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A70EC" w14:textId="77777777" w:rsidR="009D69E4" w:rsidRPr="001569FB" w:rsidRDefault="0062772D" w:rsidP="00203CF7">
      <w:pPr>
        <w:pStyle w:val="Heading2"/>
      </w:pPr>
      <w:bookmarkStart w:id="0" w:name="_Toc348432243"/>
      <w:bookmarkStart w:id="1" w:name="_Toc348432879"/>
      <w:bookmarkStart w:id="2" w:name="_Toc505253770"/>
      <w:bookmarkStart w:id="3" w:name="Main"/>
      <w:r w:rsidRPr="001569FB">
        <w:t>Section A</w:t>
      </w:r>
      <w:r w:rsidR="00BF60A0" w:rsidRPr="001569FB">
        <w:t xml:space="preserve">.  </w:t>
      </w:r>
      <w:r w:rsidR="00774DC1" w:rsidRPr="001569FB">
        <w:t>MA Growth Percentage</w:t>
      </w:r>
      <w:bookmarkEnd w:id="0"/>
      <w:bookmarkEnd w:id="1"/>
      <w:bookmarkEnd w:id="2"/>
    </w:p>
    <w:p w14:paraId="0E2AD79E" w14:textId="77777777" w:rsidR="008867CD" w:rsidRPr="001569FB" w:rsidRDefault="009D69E4" w:rsidP="000D379A">
      <w:pPr>
        <w:pStyle w:val="Default"/>
        <w:rPr>
          <w:rFonts w:ascii="Times New Roman" w:hAnsi="Times New Roman"/>
        </w:rPr>
      </w:pPr>
      <w:bookmarkStart w:id="4" w:name="_Toc374351033"/>
      <w:bookmarkStart w:id="5" w:name="_Toc374356512"/>
      <w:r w:rsidRPr="001569FB">
        <w:rPr>
          <w:rFonts w:ascii="Times New Roman" w:hAnsi="Times New Roman"/>
        </w:rPr>
        <w:t>The current estimate of the change in the national per capita MA growth percentage for aged and disabled e</w:t>
      </w:r>
      <w:r w:rsidR="00A70E97" w:rsidRPr="001569FB">
        <w:rPr>
          <w:rFonts w:ascii="Times New Roman" w:hAnsi="Times New Roman"/>
        </w:rPr>
        <w:t xml:space="preserve">nrollees combined in CY </w:t>
      </w:r>
      <w:r w:rsidR="000053E7" w:rsidRPr="001569FB">
        <w:rPr>
          <w:rFonts w:ascii="Times New Roman" w:hAnsi="Times New Roman"/>
        </w:rPr>
        <w:t xml:space="preserve">2019 </w:t>
      </w:r>
      <w:r w:rsidR="00A70E97" w:rsidRPr="001569FB">
        <w:rPr>
          <w:rFonts w:ascii="Times New Roman" w:hAnsi="Times New Roman"/>
        </w:rPr>
        <w:t xml:space="preserve">is </w:t>
      </w:r>
      <w:r w:rsidR="000A6F7A" w:rsidRPr="001569FB">
        <w:rPr>
          <w:rFonts w:ascii="Times New Roman" w:hAnsi="Times New Roman"/>
        </w:rPr>
        <w:t>5.44</w:t>
      </w:r>
      <w:r w:rsidR="00782BC3" w:rsidRPr="001569FB">
        <w:rPr>
          <w:rFonts w:ascii="Times New Roman" w:hAnsi="Times New Roman"/>
        </w:rPr>
        <w:t xml:space="preserve"> </w:t>
      </w:r>
      <w:r w:rsidR="00A70E97" w:rsidRPr="001569FB">
        <w:rPr>
          <w:rFonts w:ascii="Times New Roman" w:hAnsi="Times New Roman"/>
        </w:rPr>
        <w:t>percent</w:t>
      </w:r>
      <w:r w:rsidRPr="001569FB">
        <w:rPr>
          <w:rFonts w:ascii="Times New Roman" w:hAnsi="Times New Roman"/>
        </w:rPr>
        <w:t xml:space="preserve">.  </w:t>
      </w:r>
      <w:bookmarkEnd w:id="4"/>
      <w:bookmarkEnd w:id="5"/>
      <w:r w:rsidR="008867CD" w:rsidRPr="001569FB">
        <w:rPr>
          <w:rFonts w:ascii="Times New Roman" w:hAnsi="Times New Roman"/>
        </w:rPr>
        <w:t xml:space="preserve">This estimate reflects an underlying trend change for CY </w:t>
      </w:r>
      <w:r w:rsidR="008B3316" w:rsidRPr="001569FB">
        <w:rPr>
          <w:rFonts w:ascii="Times New Roman" w:hAnsi="Times New Roman"/>
        </w:rPr>
        <w:t xml:space="preserve">2019 </w:t>
      </w:r>
      <w:r w:rsidR="008867CD" w:rsidRPr="001569FB">
        <w:rPr>
          <w:rFonts w:ascii="Times New Roman" w:hAnsi="Times New Roman"/>
        </w:rPr>
        <w:t xml:space="preserve">in per capita cost of </w:t>
      </w:r>
      <w:r w:rsidR="000A6F7A" w:rsidRPr="001569FB">
        <w:rPr>
          <w:rFonts w:ascii="Times New Roman" w:hAnsi="Times New Roman"/>
        </w:rPr>
        <w:t>4.05</w:t>
      </w:r>
      <w:r w:rsidR="008B3316" w:rsidRPr="001569FB">
        <w:rPr>
          <w:rFonts w:ascii="Times New Roman" w:hAnsi="Times New Roman"/>
        </w:rPr>
        <w:t xml:space="preserve"> </w:t>
      </w:r>
      <w:r w:rsidR="008867CD" w:rsidRPr="001569FB">
        <w:rPr>
          <w:rFonts w:ascii="Times New Roman" w:hAnsi="Times New Roman"/>
        </w:rPr>
        <w:t xml:space="preserve">percent and, as required under section 1853(c)(6)(C) of the Act, adjustments to the estimates for prior years as indicated in the table below. </w:t>
      </w:r>
    </w:p>
    <w:p w14:paraId="1C9E7FA0" w14:textId="77777777" w:rsidR="009D69E4" w:rsidRPr="001569FB" w:rsidRDefault="008867CD" w:rsidP="000D379A">
      <w:pPr>
        <w:spacing w:after="240"/>
        <w:rPr>
          <w:szCs w:val="24"/>
        </w:rPr>
      </w:pPr>
      <w:r w:rsidRPr="001569FB">
        <w:rPr>
          <w:color w:val="000000"/>
          <w:szCs w:val="24"/>
        </w:rPr>
        <w:t xml:space="preserve">Table I-1 below summarizes the estimates for the change in the national per capita MA growth percentage for aged/disabled </w:t>
      </w:r>
      <w:r w:rsidR="00875546" w:rsidRPr="001569FB">
        <w:rPr>
          <w:color w:val="000000"/>
          <w:szCs w:val="24"/>
        </w:rPr>
        <w:t>beneficiaries</w:t>
      </w:r>
      <w:r w:rsidRPr="001569FB">
        <w:rPr>
          <w:color w:val="000000"/>
          <w:szCs w:val="24"/>
        </w:rPr>
        <w:t xml:space="preserve">. </w:t>
      </w:r>
    </w:p>
    <w:p w14:paraId="0792CB96" w14:textId="77777777" w:rsidR="00625C7E" w:rsidRPr="001569FB" w:rsidRDefault="001118E7" w:rsidP="003E32B3">
      <w:pPr>
        <w:keepNext/>
        <w:keepLines/>
        <w:spacing w:after="100" w:line="271" w:lineRule="exact"/>
        <w:jc w:val="center"/>
        <w:rPr>
          <w:b/>
          <w:szCs w:val="24"/>
        </w:rPr>
      </w:pPr>
      <w:r w:rsidRPr="001569FB">
        <w:rPr>
          <w:b/>
          <w:szCs w:val="24"/>
        </w:rPr>
        <w:t xml:space="preserve">Table I-1. </w:t>
      </w:r>
      <w:r w:rsidR="00392AA2" w:rsidRPr="001569FB">
        <w:rPr>
          <w:b/>
          <w:szCs w:val="24"/>
        </w:rPr>
        <w:t xml:space="preserve"> </w:t>
      </w:r>
      <w:r w:rsidR="00CF7E21" w:rsidRPr="001569FB">
        <w:rPr>
          <w:b/>
          <w:szCs w:val="24"/>
        </w:rPr>
        <w:t xml:space="preserve">Increase in the </w:t>
      </w:r>
      <w:r w:rsidRPr="001569FB">
        <w:rPr>
          <w:b/>
          <w:szCs w:val="24"/>
        </w:rPr>
        <w:t>National Per</w:t>
      </w:r>
      <w:r w:rsidR="00D9558B" w:rsidRPr="001569FB">
        <w:rPr>
          <w:b/>
          <w:szCs w:val="24"/>
        </w:rPr>
        <w:t xml:space="preserve"> Capita MA Growth Percentage</w:t>
      </w:r>
      <w:r w:rsidR="00CF7E21" w:rsidRPr="001569FB">
        <w:rPr>
          <w:b/>
          <w:szCs w:val="24"/>
        </w:rPr>
        <w:t>s</w:t>
      </w:r>
      <w:r w:rsidR="00D9558B" w:rsidRPr="001569FB">
        <w:rPr>
          <w:b/>
          <w:szCs w:val="24"/>
        </w:rPr>
        <w:t xml:space="preserve"> </w:t>
      </w:r>
      <w:r w:rsidR="00D725A7" w:rsidRPr="001569FB">
        <w:rPr>
          <w:b/>
          <w:szCs w:val="24"/>
        </w:rPr>
        <w:t xml:space="preserve">for </w:t>
      </w:r>
      <w:r w:rsidR="008B3316" w:rsidRPr="001569FB">
        <w:rPr>
          <w:b/>
          <w:szCs w:val="24"/>
        </w:rPr>
        <w:t>2019</w:t>
      </w:r>
    </w:p>
    <w:tbl>
      <w:tblPr>
        <w:tblW w:w="9444" w:type="dxa"/>
        <w:jc w:val="center"/>
        <w:tblLayout w:type="fixed"/>
        <w:tblLook w:val="04A0" w:firstRow="1" w:lastRow="0" w:firstColumn="1" w:lastColumn="0" w:noHBand="0" w:noVBand="1"/>
      </w:tblPr>
      <w:tblGrid>
        <w:gridCol w:w="1800"/>
        <w:gridCol w:w="1436"/>
        <w:gridCol w:w="1350"/>
        <w:gridCol w:w="1350"/>
        <w:gridCol w:w="1350"/>
        <w:gridCol w:w="2158"/>
      </w:tblGrid>
      <w:tr w:rsidR="004277A7" w:rsidRPr="001569FB" w14:paraId="216388CB" w14:textId="77777777" w:rsidTr="00FD6D3E">
        <w:trPr>
          <w:cantSplit/>
          <w:tblHeader/>
          <w:jc w:val="center"/>
        </w:trPr>
        <w:tc>
          <w:tcPr>
            <w:tcW w:w="1800" w:type="dxa"/>
          </w:tcPr>
          <w:p w14:paraId="2598DE49" w14:textId="77777777" w:rsidR="004277A7" w:rsidRPr="001569FB" w:rsidRDefault="004277A7" w:rsidP="004277A7">
            <w:pPr>
              <w:pStyle w:val="ColHead"/>
              <w:keepNext/>
              <w:keepLines/>
              <w:pBdr>
                <w:bottom w:val="none" w:sz="0" w:space="0" w:color="auto"/>
              </w:pBdr>
              <w:spacing w:after="0"/>
              <w:rPr>
                <w:sz w:val="24"/>
                <w:szCs w:val="24"/>
              </w:rPr>
            </w:pPr>
          </w:p>
        </w:tc>
        <w:tc>
          <w:tcPr>
            <w:tcW w:w="1436" w:type="dxa"/>
            <w:vAlign w:val="bottom"/>
            <w:hideMark/>
          </w:tcPr>
          <w:p w14:paraId="7494511C" w14:textId="77777777" w:rsidR="004277A7" w:rsidRPr="001569FB" w:rsidRDefault="004277A7" w:rsidP="004277A7">
            <w:pPr>
              <w:pStyle w:val="ColHead"/>
              <w:keepNext/>
              <w:keepLines/>
              <w:spacing w:after="0"/>
              <w:rPr>
                <w:b/>
                <w:sz w:val="24"/>
                <w:szCs w:val="24"/>
              </w:rPr>
            </w:pPr>
            <w:r w:rsidRPr="001569FB">
              <w:rPr>
                <w:b/>
                <w:sz w:val="24"/>
                <w:szCs w:val="24"/>
              </w:rPr>
              <w:t>Prior Increases</w:t>
            </w:r>
          </w:p>
        </w:tc>
        <w:tc>
          <w:tcPr>
            <w:tcW w:w="4050" w:type="dxa"/>
            <w:gridSpan w:val="3"/>
            <w:vAlign w:val="bottom"/>
            <w:hideMark/>
          </w:tcPr>
          <w:p w14:paraId="78F8A105" w14:textId="77777777" w:rsidR="004277A7" w:rsidRPr="001569FB" w:rsidRDefault="004277A7" w:rsidP="004277A7">
            <w:pPr>
              <w:pStyle w:val="ColHeadSpan"/>
              <w:keepNext/>
              <w:keepLines/>
              <w:spacing w:after="0"/>
              <w:rPr>
                <w:b/>
                <w:sz w:val="24"/>
                <w:szCs w:val="24"/>
              </w:rPr>
            </w:pPr>
            <w:r w:rsidRPr="001569FB">
              <w:rPr>
                <w:b/>
                <w:sz w:val="24"/>
                <w:szCs w:val="24"/>
              </w:rPr>
              <w:t>Current Increases</w:t>
            </w:r>
          </w:p>
        </w:tc>
        <w:tc>
          <w:tcPr>
            <w:tcW w:w="2158" w:type="dxa"/>
            <w:vMerge w:val="restart"/>
            <w:vAlign w:val="bottom"/>
            <w:hideMark/>
          </w:tcPr>
          <w:p w14:paraId="754634C6" w14:textId="77777777" w:rsidR="004277A7" w:rsidRPr="001569FB" w:rsidRDefault="004277A7">
            <w:pPr>
              <w:pStyle w:val="ColHead"/>
              <w:keepNext/>
              <w:keepLines/>
              <w:rPr>
                <w:b/>
                <w:sz w:val="24"/>
                <w:szCs w:val="24"/>
                <w:vertAlign w:val="superscript"/>
              </w:rPr>
            </w:pPr>
            <w:r w:rsidRPr="001569FB">
              <w:rPr>
                <w:b/>
                <w:sz w:val="24"/>
                <w:szCs w:val="24"/>
              </w:rPr>
              <w:t xml:space="preserve">NPCMAGP for </w:t>
            </w:r>
            <w:r w:rsidR="008B3316" w:rsidRPr="001569FB">
              <w:rPr>
                <w:b/>
                <w:sz w:val="24"/>
                <w:szCs w:val="24"/>
              </w:rPr>
              <w:t xml:space="preserve">2019 </w:t>
            </w:r>
            <w:r w:rsidRPr="001569FB">
              <w:rPr>
                <w:b/>
                <w:sz w:val="24"/>
                <w:szCs w:val="24"/>
              </w:rPr>
              <w:br/>
              <w:t xml:space="preserve">With §1853(c)(6)(C) </w:t>
            </w:r>
            <w:r w:rsidRPr="001569FB">
              <w:rPr>
                <w:b/>
                <w:sz w:val="24"/>
                <w:szCs w:val="24"/>
              </w:rPr>
              <w:br/>
              <w:t>adjustment</w:t>
            </w:r>
            <w:r w:rsidRPr="001569FB">
              <w:rPr>
                <w:b/>
                <w:sz w:val="24"/>
                <w:szCs w:val="24"/>
                <w:vertAlign w:val="superscript"/>
              </w:rPr>
              <w:t>1</w:t>
            </w:r>
          </w:p>
        </w:tc>
      </w:tr>
      <w:tr w:rsidR="004277A7" w:rsidRPr="001569FB" w14:paraId="0D6A4867" w14:textId="77777777" w:rsidTr="00FD6D3E">
        <w:trPr>
          <w:cantSplit/>
          <w:tblHeader/>
          <w:jc w:val="center"/>
        </w:trPr>
        <w:tc>
          <w:tcPr>
            <w:tcW w:w="1800" w:type="dxa"/>
          </w:tcPr>
          <w:p w14:paraId="028386C7" w14:textId="77777777" w:rsidR="004277A7" w:rsidRPr="001569FB" w:rsidRDefault="004277A7" w:rsidP="004277A7">
            <w:pPr>
              <w:pStyle w:val="ColHead"/>
              <w:keepNext/>
              <w:keepLines/>
              <w:pBdr>
                <w:bottom w:val="none" w:sz="0" w:space="0" w:color="auto"/>
              </w:pBdr>
              <w:spacing w:before="400"/>
              <w:rPr>
                <w:sz w:val="24"/>
                <w:szCs w:val="24"/>
              </w:rPr>
            </w:pPr>
          </w:p>
        </w:tc>
        <w:tc>
          <w:tcPr>
            <w:tcW w:w="1436" w:type="dxa"/>
            <w:vAlign w:val="bottom"/>
          </w:tcPr>
          <w:p w14:paraId="0AD6282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54CF524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30949D7E" w14:textId="77777777" w:rsidR="004277A7" w:rsidRPr="001569FB" w:rsidRDefault="004277A7" w:rsidP="00761CA3">
            <w:pPr>
              <w:pStyle w:val="ColHead"/>
              <w:keepNext/>
              <w:keepLines/>
              <w:spacing w:before="400"/>
              <w:rPr>
                <w:b/>
                <w:sz w:val="24"/>
                <w:szCs w:val="24"/>
              </w:rPr>
            </w:pPr>
            <w:r w:rsidRPr="001569FB">
              <w:rPr>
                <w:b/>
                <w:sz w:val="24"/>
                <w:szCs w:val="24"/>
              </w:rPr>
              <w:t>201</w:t>
            </w:r>
            <w:r w:rsidR="00761CA3" w:rsidRPr="001569FB">
              <w:rPr>
                <w:b/>
                <w:sz w:val="24"/>
                <w:szCs w:val="24"/>
              </w:rPr>
              <w:t>8</w:t>
            </w:r>
            <w:r w:rsidRPr="001569FB">
              <w:rPr>
                <w:b/>
                <w:sz w:val="24"/>
                <w:szCs w:val="24"/>
              </w:rPr>
              <w:t xml:space="preserve"> to </w:t>
            </w:r>
            <w:r w:rsidR="008B3316" w:rsidRPr="001569FB">
              <w:rPr>
                <w:b/>
                <w:sz w:val="24"/>
                <w:szCs w:val="24"/>
              </w:rPr>
              <w:t>201</w:t>
            </w:r>
            <w:r w:rsidR="00761CA3" w:rsidRPr="001569FB">
              <w:rPr>
                <w:b/>
                <w:sz w:val="24"/>
                <w:szCs w:val="24"/>
              </w:rPr>
              <w:t>9</w:t>
            </w:r>
          </w:p>
        </w:tc>
        <w:tc>
          <w:tcPr>
            <w:tcW w:w="1350" w:type="dxa"/>
            <w:vAlign w:val="bottom"/>
          </w:tcPr>
          <w:p w14:paraId="506AB34E" w14:textId="77777777" w:rsidR="004277A7" w:rsidRPr="001569FB" w:rsidRDefault="004277A7" w:rsidP="00761CA3">
            <w:pPr>
              <w:pStyle w:val="ColHead"/>
              <w:keepNext/>
              <w:keepLines/>
              <w:spacing w:before="400"/>
              <w:rPr>
                <w:b/>
                <w:sz w:val="24"/>
                <w:szCs w:val="24"/>
              </w:rPr>
            </w:pPr>
            <w:r w:rsidRPr="001569FB">
              <w:rPr>
                <w:b/>
                <w:sz w:val="24"/>
                <w:szCs w:val="24"/>
              </w:rPr>
              <w:t xml:space="preserve">2003 to </w:t>
            </w:r>
            <w:r w:rsidR="008B3316" w:rsidRPr="001569FB">
              <w:rPr>
                <w:b/>
                <w:sz w:val="24"/>
                <w:szCs w:val="24"/>
              </w:rPr>
              <w:t>201</w:t>
            </w:r>
            <w:r w:rsidR="00761CA3" w:rsidRPr="001569FB">
              <w:rPr>
                <w:b/>
                <w:sz w:val="24"/>
                <w:szCs w:val="24"/>
              </w:rPr>
              <w:t>9</w:t>
            </w:r>
          </w:p>
        </w:tc>
        <w:tc>
          <w:tcPr>
            <w:tcW w:w="2158" w:type="dxa"/>
            <w:vMerge/>
            <w:vAlign w:val="center"/>
            <w:hideMark/>
          </w:tcPr>
          <w:p w14:paraId="286D8A95" w14:textId="77777777" w:rsidR="004277A7" w:rsidRPr="001569FB" w:rsidRDefault="004277A7" w:rsidP="004277A7">
            <w:pPr>
              <w:keepNext/>
              <w:keepLines/>
              <w:rPr>
                <w:szCs w:val="24"/>
                <w:vertAlign w:val="superscript"/>
              </w:rPr>
            </w:pPr>
          </w:p>
        </w:tc>
      </w:tr>
      <w:tr w:rsidR="00693C75" w:rsidRPr="001569FB" w14:paraId="5929EB63" w14:textId="77777777" w:rsidTr="00FD6D3E">
        <w:trPr>
          <w:cantSplit/>
          <w:trHeight w:val="306"/>
          <w:jc w:val="center"/>
        </w:trPr>
        <w:tc>
          <w:tcPr>
            <w:tcW w:w="1800" w:type="dxa"/>
            <w:tcBorders>
              <w:top w:val="nil"/>
              <w:left w:val="nil"/>
              <w:bottom w:val="single" w:sz="4" w:space="0" w:color="auto"/>
              <w:right w:val="nil"/>
            </w:tcBorders>
            <w:vAlign w:val="center"/>
          </w:tcPr>
          <w:p w14:paraId="41685BD4" w14:textId="77777777" w:rsidR="00693C75" w:rsidRPr="001569FB" w:rsidRDefault="00693C75" w:rsidP="00FD6D3E">
            <w:pPr>
              <w:spacing w:after="120" w:line="240" w:lineRule="auto"/>
              <w:jc w:val="center"/>
              <w:rPr>
                <w:szCs w:val="24"/>
              </w:rPr>
            </w:pPr>
            <w:r w:rsidRPr="001569FB">
              <w:rPr>
                <w:szCs w:val="24"/>
              </w:rPr>
              <w:t>Aged+Disable</w:t>
            </w:r>
            <w:r w:rsidR="00172DB0" w:rsidRPr="001569FB">
              <w:rPr>
                <w:szCs w:val="24"/>
              </w:rPr>
              <w:t>d</w:t>
            </w:r>
          </w:p>
        </w:tc>
        <w:tc>
          <w:tcPr>
            <w:tcW w:w="1436" w:type="dxa"/>
            <w:tcBorders>
              <w:top w:val="nil"/>
              <w:left w:val="nil"/>
              <w:bottom w:val="single" w:sz="4" w:space="0" w:color="auto"/>
              <w:right w:val="nil"/>
            </w:tcBorders>
            <w:vAlign w:val="center"/>
            <w:hideMark/>
          </w:tcPr>
          <w:p w14:paraId="5B97A7A2" w14:textId="77777777" w:rsidR="00693C75" w:rsidRPr="001569FB" w:rsidRDefault="00693C75" w:rsidP="00FD6D3E">
            <w:pPr>
              <w:tabs>
                <w:tab w:val="decimal" w:pos="610"/>
              </w:tabs>
              <w:spacing w:after="120" w:line="240" w:lineRule="auto"/>
              <w:jc w:val="center"/>
              <w:rPr>
                <w:szCs w:val="24"/>
              </w:rPr>
            </w:pPr>
            <w:r w:rsidRPr="001569FB">
              <w:t>58.76%</w:t>
            </w:r>
          </w:p>
        </w:tc>
        <w:tc>
          <w:tcPr>
            <w:tcW w:w="1350" w:type="dxa"/>
            <w:tcBorders>
              <w:top w:val="nil"/>
              <w:left w:val="nil"/>
              <w:bottom w:val="single" w:sz="4" w:space="0" w:color="auto"/>
              <w:right w:val="nil"/>
            </w:tcBorders>
            <w:vAlign w:val="center"/>
            <w:hideMark/>
          </w:tcPr>
          <w:p w14:paraId="6406E6F6" w14:textId="77777777" w:rsidR="00693C75" w:rsidRPr="001569FB" w:rsidRDefault="00693C75" w:rsidP="00FD6D3E">
            <w:pPr>
              <w:tabs>
                <w:tab w:val="decimal" w:pos="432"/>
              </w:tabs>
              <w:spacing w:after="120" w:line="240" w:lineRule="auto"/>
              <w:jc w:val="center"/>
              <w:rPr>
                <w:szCs w:val="24"/>
              </w:rPr>
            </w:pPr>
            <w:r w:rsidRPr="001569FB">
              <w:t>60.88%</w:t>
            </w:r>
          </w:p>
        </w:tc>
        <w:tc>
          <w:tcPr>
            <w:tcW w:w="1350" w:type="dxa"/>
            <w:tcBorders>
              <w:top w:val="nil"/>
              <w:left w:val="nil"/>
              <w:bottom w:val="single" w:sz="4" w:space="0" w:color="auto"/>
              <w:right w:val="nil"/>
            </w:tcBorders>
            <w:vAlign w:val="center"/>
            <w:hideMark/>
          </w:tcPr>
          <w:p w14:paraId="77D767E5" w14:textId="77777777" w:rsidR="00693C75" w:rsidRPr="001569FB" w:rsidRDefault="00693C75" w:rsidP="00FD6D3E">
            <w:pPr>
              <w:tabs>
                <w:tab w:val="decimal" w:pos="432"/>
              </w:tabs>
              <w:spacing w:after="120" w:line="240" w:lineRule="auto"/>
              <w:jc w:val="center"/>
              <w:rPr>
                <w:szCs w:val="24"/>
              </w:rPr>
            </w:pPr>
            <w:r w:rsidRPr="001569FB">
              <w:t>4.05%</w:t>
            </w:r>
          </w:p>
        </w:tc>
        <w:tc>
          <w:tcPr>
            <w:tcW w:w="1350" w:type="dxa"/>
            <w:tcBorders>
              <w:top w:val="nil"/>
              <w:left w:val="nil"/>
              <w:bottom w:val="single" w:sz="4" w:space="0" w:color="auto"/>
              <w:right w:val="nil"/>
            </w:tcBorders>
            <w:vAlign w:val="center"/>
            <w:hideMark/>
          </w:tcPr>
          <w:p w14:paraId="1DB9B80D" w14:textId="77777777" w:rsidR="00693C75" w:rsidRPr="001569FB" w:rsidRDefault="00693C75" w:rsidP="00FD6D3E">
            <w:pPr>
              <w:tabs>
                <w:tab w:val="decimal" w:pos="432"/>
              </w:tabs>
              <w:spacing w:after="120" w:line="240" w:lineRule="auto"/>
              <w:jc w:val="center"/>
              <w:rPr>
                <w:szCs w:val="24"/>
              </w:rPr>
            </w:pPr>
            <w:r w:rsidRPr="001569FB">
              <w:t>67.40%</w:t>
            </w:r>
          </w:p>
        </w:tc>
        <w:tc>
          <w:tcPr>
            <w:tcW w:w="2158" w:type="dxa"/>
            <w:tcBorders>
              <w:top w:val="nil"/>
              <w:left w:val="nil"/>
              <w:bottom w:val="single" w:sz="4" w:space="0" w:color="auto"/>
              <w:right w:val="nil"/>
            </w:tcBorders>
            <w:vAlign w:val="center"/>
            <w:hideMark/>
          </w:tcPr>
          <w:p w14:paraId="78D687F0" w14:textId="77777777" w:rsidR="00693C75" w:rsidRPr="001569FB" w:rsidRDefault="00693C75" w:rsidP="001F65FB">
            <w:pPr>
              <w:tabs>
                <w:tab w:val="decimal" w:pos="256"/>
              </w:tabs>
              <w:spacing w:after="120" w:line="240" w:lineRule="auto"/>
              <w:jc w:val="center"/>
              <w:rPr>
                <w:szCs w:val="24"/>
              </w:rPr>
            </w:pPr>
            <w:r w:rsidRPr="001569FB">
              <w:t>5.44%</w:t>
            </w:r>
          </w:p>
        </w:tc>
      </w:tr>
    </w:tbl>
    <w:p w14:paraId="38380FB4" w14:textId="77777777" w:rsidR="00625C7E" w:rsidRPr="001569FB" w:rsidRDefault="0048434A" w:rsidP="0048434A">
      <w:pPr>
        <w:pStyle w:val="FN"/>
        <w:tabs>
          <w:tab w:val="left" w:pos="8135"/>
        </w:tabs>
        <w:spacing w:before="0"/>
        <w:rPr>
          <w:sz w:val="24"/>
          <w:szCs w:val="24"/>
        </w:rPr>
      </w:pPr>
      <w:r w:rsidRPr="001569FB">
        <w:rPr>
          <w:sz w:val="24"/>
          <w:szCs w:val="24"/>
          <w:vertAlign w:val="superscript"/>
        </w:rPr>
        <w:t>1</w:t>
      </w:r>
      <w:r w:rsidRPr="001569FB">
        <w:rPr>
          <w:sz w:val="24"/>
          <w:szCs w:val="24"/>
        </w:rPr>
        <w:t>Current increases for 2003-</w:t>
      </w:r>
      <w:r w:rsidR="008B3316" w:rsidRPr="001569FB">
        <w:rPr>
          <w:sz w:val="24"/>
          <w:szCs w:val="24"/>
        </w:rPr>
        <w:t xml:space="preserve">2019 </w:t>
      </w:r>
      <w:r w:rsidRPr="001569FB">
        <w:rPr>
          <w:sz w:val="24"/>
          <w:szCs w:val="24"/>
        </w:rPr>
        <w:t>divided by the prior increases for 2003-</w:t>
      </w:r>
      <w:r w:rsidR="008B3316" w:rsidRPr="001569FB">
        <w:rPr>
          <w:sz w:val="24"/>
          <w:szCs w:val="24"/>
        </w:rPr>
        <w:t>2018</w:t>
      </w:r>
    </w:p>
    <w:p w14:paraId="59BF44F4" w14:textId="77777777" w:rsidR="006625EB" w:rsidRPr="001569FB" w:rsidRDefault="0062772D" w:rsidP="00203CF7">
      <w:pPr>
        <w:pStyle w:val="Heading2"/>
      </w:pPr>
      <w:bookmarkStart w:id="6" w:name="_Toc348432244"/>
      <w:bookmarkStart w:id="7" w:name="_Toc348432880"/>
      <w:bookmarkStart w:id="8" w:name="_Toc505253771"/>
      <w:r w:rsidRPr="001569FB">
        <w:t>Section B</w:t>
      </w:r>
      <w:r w:rsidR="00BF60A0" w:rsidRPr="001569FB">
        <w:t xml:space="preserve">.  </w:t>
      </w:r>
      <w:r w:rsidR="006625EB" w:rsidRPr="001569FB">
        <w:t>FFS Growth Percentage</w:t>
      </w:r>
      <w:bookmarkEnd w:id="6"/>
      <w:bookmarkEnd w:id="7"/>
      <w:bookmarkEnd w:id="8"/>
    </w:p>
    <w:p w14:paraId="19C5394E" w14:textId="29A472D3" w:rsidR="0083365C" w:rsidRPr="001569FB" w:rsidRDefault="007F13D8" w:rsidP="002707EC">
      <w:pPr>
        <w:spacing w:after="200"/>
        <w:rPr>
          <w:szCs w:val="24"/>
        </w:rPr>
      </w:pPr>
      <w:r w:rsidRPr="001569FB">
        <w:rPr>
          <w:szCs w:val="24"/>
        </w:rPr>
        <w:t>Section 1853(n)(2) of the Act</w:t>
      </w:r>
      <w:r w:rsidR="007973E2" w:rsidRPr="001569FB">
        <w:rPr>
          <w:szCs w:val="24"/>
        </w:rPr>
        <w:t xml:space="preserve"> requires that the specified amount </w:t>
      </w:r>
      <w:r w:rsidR="008646CE" w:rsidRPr="001569FB">
        <w:rPr>
          <w:szCs w:val="24"/>
        </w:rPr>
        <w:t xml:space="preserve">for a county </w:t>
      </w:r>
      <w:r w:rsidR="007973E2" w:rsidRPr="001569FB">
        <w:rPr>
          <w:szCs w:val="24"/>
        </w:rPr>
        <w:t xml:space="preserve">be calculated as a percentage of the county FFS </w:t>
      </w:r>
      <w:r w:rsidR="008646CE" w:rsidRPr="001569FB">
        <w:rPr>
          <w:szCs w:val="24"/>
        </w:rPr>
        <w:t>costs</w:t>
      </w:r>
      <w:r w:rsidR="007973E2" w:rsidRPr="001569FB">
        <w:rPr>
          <w:szCs w:val="24"/>
        </w:rPr>
        <w:t>.</w:t>
      </w:r>
      <w:r w:rsidR="0083365C" w:rsidRPr="001569FB">
        <w:rPr>
          <w:szCs w:val="24"/>
        </w:rPr>
        <w:t xml:space="preserve"> </w:t>
      </w:r>
      <w:r w:rsidR="007A6384" w:rsidRPr="001569FB">
        <w:rPr>
          <w:szCs w:val="24"/>
        </w:rPr>
        <w:t xml:space="preserve"> </w:t>
      </w:r>
      <w:r w:rsidR="0083365C" w:rsidRPr="001569FB">
        <w:rPr>
          <w:szCs w:val="24"/>
        </w:rPr>
        <w:t xml:space="preserve">Table I-2 below provides the current estimate of the </w:t>
      </w:r>
      <w:r w:rsidR="00D25C2D" w:rsidRPr="001569FB">
        <w:rPr>
          <w:szCs w:val="24"/>
        </w:rPr>
        <w:t>change</w:t>
      </w:r>
      <w:r w:rsidR="00A073F1" w:rsidRPr="001569FB">
        <w:rPr>
          <w:szCs w:val="24"/>
        </w:rPr>
        <w:t xml:space="preserve"> </w:t>
      </w:r>
      <w:r w:rsidR="0083365C" w:rsidRPr="001569FB">
        <w:rPr>
          <w:szCs w:val="24"/>
        </w:rPr>
        <w:t xml:space="preserve">in the Aged/Disabled FFS United States per capita cost (USPCC), which will be used </w:t>
      </w:r>
      <w:r w:rsidR="00150D4B" w:rsidRPr="001569FB">
        <w:rPr>
          <w:szCs w:val="24"/>
        </w:rPr>
        <w:t xml:space="preserve">as the basis </w:t>
      </w:r>
      <w:r w:rsidR="0083365C" w:rsidRPr="001569FB">
        <w:rPr>
          <w:szCs w:val="24"/>
        </w:rPr>
        <w:t xml:space="preserve">for the county FFS </w:t>
      </w:r>
      <w:r w:rsidR="00441149" w:rsidRPr="001569FB">
        <w:rPr>
          <w:szCs w:val="24"/>
        </w:rPr>
        <w:t>rate</w:t>
      </w:r>
      <w:r w:rsidR="00150D4B" w:rsidRPr="001569FB">
        <w:rPr>
          <w:szCs w:val="24"/>
        </w:rPr>
        <w:t>s</w:t>
      </w:r>
      <w:r w:rsidR="0083365C" w:rsidRPr="001569FB">
        <w:rPr>
          <w:szCs w:val="24"/>
        </w:rPr>
        <w:t xml:space="preserve">. </w:t>
      </w:r>
      <w:r w:rsidR="007A6384" w:rsidRPr="001569FB">
        <w:rPr>
          <w:szCs w:val="24"/>
        </w:rPr>
        <w:t xml:space="preserve"> </w:t>
      </w:r>
      <w:r w:rsidR="0083365C" w:rsidRPr="001569FB">
        <w:rPr>
          <w:szCs w:val="24"/>
        </w:rPr>
        <w:t xml:space="preserve">The percentage </w:t>
      </w:r>
      <w:r w:rsidR="00830B7D" w:rsidRPr="001569FB">
        <w:rPr>
          <w:szCs w:val="24"/>
        </w:rPr>
        <w:t>change</w:t>
      </w:r>
      <w:r w:rsidR="00A073F1" w:rsidRPr="001569FB">
        <w:rPr>
          <w:szCs w:val="24"/>
        </w:rPr>
        <w:t xml:space="preserve"> </w:t>
      </w:r>
      <w:r w:rsidR="0083365C" w:rsidRPr="001569FB">
        <w:rPr>
          <w:szCs w:val="24"/>
        </w:rPr>
        <w:t xml:space="preserve">in the FFS USPCC is shown as the current projected FFS USPCC for </w:t>
      </w:r>
      <w:r w:rsidR="00FF09F2" w:rsidRPr="001569FB">
        <w:rPr>
          <w:szCs w:val="24"/>
        </w:rPr>
        <w:t xml:space="preserve">2019 </w:t>
      </w:r>
      <w:r w:rsidR="0083365C" w:rsidRPr="001569FB">
        <w:rPr>
          <w:szCs w:val="24"/>
        </w:rPr>
        <w:t xml:space="preserve">divided by </w:t>
      </w:r>
      <w:r w:rsidR="008646CE" w:rsidRPr="001569FB">
        <w:rPr>
          <w:szCs w:val="24"/>
        </w:rPr>
        <w:t xml:space="preserve">the prior </w:t>
      </w:r>
      <w:r w:rsidR="0083365C" w:rsidRPr="001569FB">
        <w:rPr>
          <w:szCs w:val="24"/>
        </w:rPr>
        <w:t xml:space="preserve">projected FFS USPCC for </w:t>
      </w:r>
      <w:r w:rsidR="00FF09F2" w:rsidRPr="001569FB">
        <w:rPr>
          <w:szCs w:val="24"/>
        </w:rPr>
        <w:t>2018</w:t>
      </w:r>
      <w:r w:rsidR="0083365C" w:rsidRPr="001569FB">
        <w:rPr>
          <w:szCs w:val="24"/>
        </w:rPr>
        <w:t xml:space="preserve">. </w:t>
      </w:r>
    </w:p>
    <w:p w14:paraId="3E34380F" w14:textId="15BB872F" w:rsidR="00EF1741" w:rsidRPr="001569FB" w:rsidRDefault="009E1BE3" w:rsidP="002707EC">
      <w:pPr>
        <w:spacing w:after="200"/>
        <w:rPr>
          <w:szCs w:val="24"/>
        </w:rPr>
      </w:pPr>
      <w:r w:rsidRPr="001569FB">
        <w:rPr>
          <w:color w:val="000000"/>
          <w:szCs w:val="24"/>
        </w:rPr>
        <w:t xml:space="preserve">Table I-2 also shows the change in the FFS USPCC for dialysis-only ESRD. </w:t>
      </w:r>
      <w:r w:rsidR="007A6384" w:rsidRPr="001569FB">
        <w:rPr>
          <w:color w:val="000000"/>
          <w:szCs w:val="24"/>
        </w:rPr>
        <w:t xml:space="preserve"> </w:t>
      </w:r>
      <w:r w:rsidRPr="001569FB">
        <w:rPr>
          <w:color w:val="000000"/>
          <w:szCs w:val="24"/>
        </w:rPr>
        <w:t xml:space="preserve">Statewide dialysis-only ESRD rates are determined by applying a historical average geographic adjustment to a projected FFS dialysis-only ESRD USPCC. </w:t>
      </w:r>
      <w:r w:rsidR="007A6384" w:rsidRPr="001569FB">
        <w:rPr>
          <w:color w:val="000000"/>
          <w:szCs w:val="24"/>
        </w:rPr>
        <w:t xml:space="preserve"> </w:t>
      </w:r>
      <w:r w:rsidRPr="001569FB">
        <w:rPr>
          <w:color w:val="000000"/>
          <w:szCs w:val="24"/>
        </w:rPr>
        <w:t>We will use a 5-year average of State data to determine the average geographic adjustment, similar to the method used to determine the geographic adjustments for non-ESRD rates.</w:t>
      </w:r>
      <w:r w:rsidR="00EF1741" w:rsidRPr="001569FB">
        <w:rPr>
          <w:szCs w:val="24"/>
        </w:rPr>
        <w:t xml:space="preserve"> </w:t>
      </w:r>
    </w:p>
    <w:p w14:paraId="74575F4D" w14:textId="3C09FD7A" w:rsidR="009E1BE3" w:rsidRPr="001569FB" w:rsidRDefault="009E1BE3" w:rsidP="003E32B3">
      <w:pPr>
        <w:keepNext/>
        <w:keepLines/>
        <w:spacing w:after="100" w:line="271" w:lineRule="exact"/>
        <w:jc w:val="center"/>
        <w:rPr>
          <w:b/>
          <w:bCs/>
          <w:spacing w:val="2"/>
          <w:position w:val="-1"/>
          <w:szCs w:val="24"/>
        </w:rPr>
      </w:pPr>
      <w:r w:rsidRPr="001569FB">
        <w:rPr>
          <w:b/>
          <w:bCs/>
          <w:spacing w:val="1"/>
          <w:position w:val="-1"/>
          <w:szCs w:val="24"/>
        </w:rPr>
        <w:t>T</w:t>
      </w:r>
      <w:r w:rsidRPr="001569FB">
        <w:rPr>
          <w:b/>
          <w:bCs/>
          <w:position w:val="-1"/>
          <w:szCs w:val="24"/>
        </w:rPr>
        <w:t>a</w:t>
      </w:r>
      <w:r w:rsidRPr="001569FB">
        <w:rPr>
          <w:b/>
          <w:bCs/>
          <w:spacing w:val="1"/>
          <w:position w:val="-1"/>
          <w:szCs w:val="24"/>
        </w:rPr>
        <w:t>b</w:t>
      </w:r>
      <w:r w:rsidRPr="001569FB">
        <w:rPr>
          <w:b/>
          <w:bCs/>
          <w:position w:val="-1"/>
          <w:szCs w:val="24"/>
        </w:rPr>
        <w:t>le</w:t>
      </w:r>
      <w:r w:rsidRPr="001569FB">
        <w:rPr>
          <w:b/>
          <w:bCs/>
          <w:spacing w:val="-1"/>
          <w:position w:val="-1"/>
          <w:szCs w:val="24"/>
        </w:rPr>
        <w:t xml:space="preserve"> </w:t>
      </w:r>
      <w:r w:rsidR="00776266" w:rsidRPr="001569FB">
        <w:rPr>
          <w:b/>
          <w:bCs/>
          <w:position w:val="-1"/>
          <w:szCs w:val="24"/>
        </w:rPr>
        <w:t>I</w:t>
      </w:r>
      <w:r w:rsidRPr="001569FB">
        <w:rPr>
          <w:b/>
          <w:bCs/>
          <w:position w:val="-1"/>
          <w:szCs w:val="24"/>
        </w:rPr>
        <w:t>-2</w:t>
      </w:r>
      <w:r w:rsidR="00E74FEB" w:rsidRPr="001569FB">
        <w:rPr>
          <w:b/>
          <w:bCs/>
          <w:position w:val="-1"/>
          <w:szCs w:val="24"/>
        </w:rPr>
        <w:t>.</w:t>
      </w:r>
      <w:r w:rsidR="00146ED3" w:rsidRPr="001569FB">
        <w:rPr>
          <w:b/>
          <w:bCs/>
          <w:position w:val="-1"/>
          <w:szCs w:val="24"/>
        </w:rPr>
        <w:t xml:space="preserve"> </w:t>
      </w:r>
      <w:r w:rsidRPr="001569FB">
        <w:rPr>
          <w:b/>
          <w:bCs/>
          <w:position w:val="-1"/>
          <w:szCs w:val="24"/>
        </w:rPr>
        <w:t>I</w:t>
      </w:r>
      <w:r w:rsidRPr="001569FB">
        <w:rPr>
          <w:b/>
          <w:bCs/>
          <w:spacing w:val="1"/>
          <w:position w:val="-1"/>
          <w:szCs w:val="24"/>
        </w:rPr>
        <w:t>n</w:t>
      </w:r>
      <w:r w:rsidRPr="001569FB">
        <w:rPr>
          <w:b/>
          <w:bCs/>
          <w:spacing w:val="-1"/>
          <w:position w:val="-1"/>
          <w:szCs w:val="24"/>
        </w:rPr>
        <w:t>cre</w:t>
      </w:r>
      <w:r w:rsidRPr="001569FB">
        <w:rPr>
          <w:b/>
          <w:bCs/>
          <w:position w:val="-1"/>
          <w:szCs w:val="24"/>
        </w:rPr>
        <w:t>ase</w:t>
      </w:r>
      <w:r w:rsidRPr="001569FB">
        <w:rPr>
          <w:b/>
          <w:bCs/>
          <w:spacing w:val="-1"/>
          <w:position w:val="-1"/>
          <w:szCs w:val="24"/>
        </w:rPr>
        <w:t xml:space="preserve"> </w:t>
      </w:r>
      <w:r w:rsidRPr="001569FB">
        <w:rPr>
          <w:b/>
          <w:bCs/>
          <w:position w:val="-1"/>
          <w:szCs w:val="24"/>
        </w:rPr>
        <w:t>in</w:t>
      </w:r>
      <w:r w:rsidRPr="001569FB">
        <w:rPr>
          <w:b/>
          <w:bCs/>
          <w:spacing w:val="1"/>
          <w:position w:val="-1"/>
          <w:szCs w:val="24"/>
        </w:rPr>
        <w:t xml:space="preserve"> </w:t>
      </w:r>
      <w:r w:rsidRPr="001569FB">
        <w:rPr>
          <w:b/>
          <w:bCs/>
          <w:spacing w:val="-1"/>
          <w:position w:val="-1"/>
          <w:szCs w:val="24"/>
        </w:rPr>
        <w:t>t</w:t>
      </w:r>
      <w:r w:rsidRPr="001569FB">
        <w:rPr>
          <w:b/>
          <w:bCs/>
          <w:spacing w:val="1"/>
          <w:position w:val="-1"/>
          <w:szCs w:val="24"/>
        </w:rPr>
        <w:t>h</w:t>
      </w:r>
      <w:r w:rsidRPr="001569FB">
        <w:rPr>
          <w:b/>
          <w:bCs/>
          <w:position w:val="-1"/>
          <w:szCs w:val="24"/>
        </w:rPr>
        <w:t>e</w:t>
      </w:r>
      <w:r w:rsidRPr="001569FB">
        <w:rPr>
          <w:b/>
          <w:bCs/>
          <w:spacing w:val="-1"/>
          <w:position w:val="-1"/>
          <w:szCs w:val="24"/>
        </w:rPr>
        <w:t xml:space="preserve"> </w:t>
      </w:r>
      <w:r w:rsidRPr="001569FB">
        <w:rPr>
          <w:b/>
          <w:bCs/>
          <w:position w:val="-1"/>
          <w:szCs w:val="24"/>
        </w:rPr>
        <w:t>U</w:t>
      </w:r>
      <w:r w:rsidRPr="001569FB">
        <w:rPr>
          <w:b/>
          <w:bCs/>
          <w:spacing w:val="3"/>
          <w:position w:val="-1"/>
          <w:szCs w:val="24"/>
        </w:rPr>
        <w:t>S</w:t>
      </w:r>
      <w:r w:rsidRPr="001569FB">
        <w:rPr>
          <w:b/>
          <w:bCs/>
          <w:spacing w:val="-3"/>
          <w:position w:val="-1"/>
          <w:szCs w:val="24"/>
        </w:rPr>
        <w:t>P</w:t>
      </w:r>
      <w:r w:rsidRPr="001569FB">
        <w:rPr>
          <w:b/>
          <w:bCs/>
          <w:position w:val="-1"/>
          <w:szCs w:val="24"/>
        </w:rPr>
        <w:t>CC</w:t>
      </w:r>
      <w:r w:rsidRPr="001569FB">
        <w:rPr>
          <w:b/>
          <w:bCs/>
          <w:spacing w:val="2"/>
          <w:position w:val="-1"/>
          <w:szCs w:val="24"/>
        </w:rPr>
        <w:t xml:space="preserve"> </w:t>
      </w:r>
      <w:r w:rsidRPr="001569FB">
        <w:rPr>
          <w:b/>
          <w:bCs/>
          <w:spacing w:val="-2"/>
          <w:position w:val="-1"/>
          <w:szCs w:val="24"/>
        </w:rPr>
        <w:t>G</w:t>
      </w:r>
      <w:r w:rsidRPr="001569FB">
        <w:rPr>
          <w:b/>
          <w:bCs/>
          <w:spacing w:val="-1"/>
          <w:position w:val="-1"/>
          <w:szCs w:val="24"/>
        </w:rPr>
        <w:t>r</w:t>
      </w:r>
      <w:r w:rsidRPr="001569FB">
        <w:rPr>
          <w:b/>
          <w:bCs/>
          <w:position w:val="-1"/>
          <w:szCs w:val="24"/>
        </w:rPr>
        <w:t>o</w:t>
      </w:r>
      <w:r w:rsidRPr="001569FB">
        <w:rPr>
          <w:b/>
          <w:bCs/>
          <w:spacing w:val="2"/>
          <w:position w:val="-1"/>
          <w:szCs w:val="24"/>
        </w:rPr>
        <w:t>w</w:t>
      </w:r>
      <w:r w:rsidRPr="001569FB">
        <w:rPr>
          <w:b/>
          <w:bCs/>
          <w:spacing w:val="-1"/>
          <w:position w:val="-1"/>
          <w:szCs w:val="24"/>
        </w:rPr>
        <w:t>t</w:t>
      </w:r>
      <w:r w:rsidRPr="001569FB">
        <w:rPr>
          <w:b/>
          <w:bCs/>
          <w:position w:val="-1"/>
          <w:szCs w:val="24"/>
        </w:rPr>
        <w:t>h</w:t>
      </w:r>
      <w:r w:rsidRPr="001569FB">
        <w:rPr>
          <w:b/>
          <w:bCs/>
          <w:spacing w:val="3"/>
          <w:position w:val="-1"/>
          <w:szCs w:val="24"/>
        </w:rPr>
        <w:t xml:space="preserve"> </w:t>
      </w:r>
      <w:r w:rsidRPr="001569FB">
        <w:rPr>
          <w:b/>
          <w:bCs/>
          <w:spacing w:val="-3"/>
          <w:position w:val="-1"/>
          <w:szCs w:val="24"/>
        </w:rPr>
        <w:t>P</w:t>
      </w:r>
      <w:r w:rsidRPr="001569FB">
        <w:rPr>
          <w:b/>
          <w:bCs/>
          <w:spacing w:val="1"/>
          <w:position w:val="-1"/>
          <w:szCs w:val="24"/>
        </w:rPr>
        <w:t>e</w:t>
      </w:r>
      <w:r w:rsidRPr="001569FB">
        <w:rPr>
          <w:b/>
          <w:bCs/>
          <w:spacing w:val="-1"/>
          <w:position w:val="-1"/>
          <w:szCs w:val="24"/>
        </w:rPr>
        <w:t>r</w:t>
      </w:r>
      <w:r w:rsidRPr="001569FB">
        <w:rPr>
          <w:b/>
          <w:bCs/>
          <w:spacing w:val="1"/>
          <w:position w:val="-1"/>
          <w:szCs w:val="24"/>
        </w:rPr>
        <w:t>c</w:t>
      </w:r>
      <w:r w:rsidRPr="001569FB">
        <w:rPr>
          <w:b/>
          <w:bCs/>
          <w:spacing w:val="-1"/>
          <w:position w:val="-1"/>
          <w:szCs w:val="24"/>
        </w:rPr>
        <w:t>e</w:t>
      </w:r>
      <w:r w:rsidRPr="001569FB">
        <w:rPr>
          <w:b/>
          <w:bCs/>
          <w:spacing w:val="1"/>
          <w:position w:val="-1"/>
          <w:szCs w:val="24"/>
        </w:rPr>
        <w:t>n</w:t>
      </w:r>
      <w:r w:rsidRPr="001569FB">
        <w:rPr>
          <w:b/>
          <w:bCs/>
          <w:spacing w:val="-1"/>
          <w:position w:val="-1"/>
          <w:szCs w:val="24"/>
        </w:rPr>
        <w:t>t</w:t>
      </w:r>
      <w:r w:rsidRPr="001569FB">
        <w:rPr>
          <w:b/>
          <w:bCs/>
          <w:position w:val="-1"/>
          <w:szCs w:val="24"/>
        </w:rPr>
        <w:t>age</w:t>
      </w:r>
      <w:r w:rsidRPr="001569FB">
        <w:rPr>
          <w:b/>
          <w:bCs/>
          <w:spacing w:val="-1"/>
          <w:position w:val="-1"/>
          <w:szCs w:val="24"/>
        </w:rPr>
        <w:t xml:space="preserve"> </w:t>
      </w:r>
      <w:r w:rsidRPr="001569FB">
        <w:rPr>
          <w:b/>
          <w:bCs/>
          <w:spacing w:val="2"/>
          <w:position w:val="-1"/>
          <w:szCs w:val="24"/>
        </w:rPr>
        <w:t>f</w:t>
      </w:r>
      <w:r w:rsidRPr="001569FB">
        <w:rPr>
          <w:b/>
          <w:bCs/>
          <w:position w:val="-1"/>
          <w:szCs w:val="24"/>
        </w:rPr>
        <w:t>or</w:t>
      </w:r>
      <w:r w:rsidRPr="001569FB">
        <w:rPr>
          <w:b/>
          <w:bCs/>
          <w:spacing w:val="-1"/>
          <w:position w:val="-1"/>
          <w:szCs w:val="24"/>
        </w:rPr>
        <w:t xml:space="preserve"> </w:t>
      </w:r>
      <w:r w:rsidRPr="001569FB">
        <w:rPr>
          <w:b/>
          <w:bCs/>
          <w:position w:val="-1"/>
          <w:szCs w:val="24"/>
        </w:rPr>
        <w:t xml:space="preserve">CY </w:t>
      </w:r>
      <w:r w:rsidR="009814CF" w:rsidRPr="001569FB">
        <w:rPr>
          <w:b/>
          <w:bCs/>
          <w:position w:val="-1"/>
          <w:szCs w:val="24"/>
        </w:rPr>
        <w:t>20</w:t>
      </w:r>
      <w:r w:rsidR="009814CF" w:rsidRPr="001569FB">
        <w:rPr>
          <w:b/>
          <w:bCs/>
          <w:spacing w:val="2"/>
          <w:position w:val="-1"/>
          <w:szCs w:val="24"/>
        </w:rPr>
        <w:t>19</w:t>
      </w:r>
    </w:p>
    <w:tbl>
      <w:tblPr>
        <w:tblW w:w="9720" w:type="dxa"/>
        <w:tblLayout w:type="fixed"/>
        <w:tblCellMar>
          <w:left w:w="0" w:type="dxa"/>
          <w:right w:w="0" w:type="dxa"/>
        </w:tblCellMar>
        <w:tblLook w:val="01E0" w:firstRow="1" w:lastRow="1" w:firstColumn="1" w:lastColumn="1" w:noHBand="0" w:noVBand="0"/>
      </w:tblPr>
      <w:tblGrid>
        <w:gridCol w:w="2250"/>
        <w:gridCol w:w="2520"/>
        <w:gridCol w:w="270"/>
        <w:gridCol w:w="2160"/>
        <w:gridCol w:w="450"/>
        <w:gridCol w:w="2070"/>
      </w:tblGrid>
      <w:tr w:rsidR="006B1789" w:rsidRPr="001569FB" w14:paraId="11A8C225" w14:textId="77777777" w:rsidTr="002707EC">
        <w:trPr>
          <w:cantSplit/>
          <w:trHeight w:hRule="exact" w:val="355"/>
          <w:tblHeader/>
        </w:trPr>
        <w:tc>
          <w:tcPr>
            <w:tcW w:w="2250" w:type="dxa"/>
            <w:tcBorders>
              <w:top w:val="nil"/>
              <w:left w:val="nil"/>
              <w:bottom w:val="nil"/>
              <w:right w:val="nil"/>
            </w:tcBorders>
          </w:tcPr>
          <w:p w14:paraId="56F01498" w14:textId="77777777" w:rsidR="006B1789" w:rsidRPr="001569FB" w:rsidRDefault="006B1789" w:rsidP="0049126F">
            <w:pPr>
              <w:keepNext/>
              <w:keepLines/>
              <w:rPr>
                <w:sz w:val="23"/>
                <w:szCs w:val="23"/>
              </w:rPr>
            </w:pPr>
          </w:p>
        </w:tc>
        <w:tc>
          <w:tcPr>
            <w:tcW w:w="2790" w:type="dxa"/>
            <w:gridSpan w:val="2"/>
            <w:tcBorders>
              <w:top w:val="nil"/>
              <w:left w:val="nil"/>
              <w:bottom w:val="single" w:sz="4" w:space="0" w:color="000000"/>
              <w:right w:val="nil"/>
            </w:tcBorders>
          </w:tcPr>
          <w:p w14:paraId="5352DC5E" w14:textId="77777777" w:rsidR="006B1789" w:rsidRPr="001569FB" w:rsidRDefault="006B1789" w:rsidP="002707EC">
            <w:pPr>
              <w:keepNext/>
              <w:keepLines/>
              <w:spacing w:before="73"/>
              <w:ind w:right="-20"/>
              <w:rPr>
                <w:sz w:val="23"/>
                <w:szCs w:val="23"/>
              </w:rPr>
            </w:pPr>
            <w:r w:rsidRPr="001569FB">
              <w:rPr>
                <w:sz w:val="23"/>
                <w:szCs w:val="23"/>
              </w:rPr>
              <w:t>Total USPCC – Non-ESRD</w:t>
            </w:r>
          </w:p>
        </w:tc>
        <w:tc>
          <w:tcPr>
            <w:tcW w:w="2610" w:type="dxa"/>
            <w:gridSpan w:val="2"/>
            <w:tcBorders>
              <w:top w:val="nil"/>
              <w:left w:val="nil"/>
              <w:bottom w:val="single" w:sz="4" w:space="0" w:color="000000"/>
              <w:right w:val="nil"/>
            </w:tcBorders>
          </w:tcPr>
          <w:p w14:paraId="2CDCD120" w14:textId="77777777" w:rsidR="006B1789" w:rsidRPr="001569FB" w:rsidRDefault="006B1789" w:rsidP="00866B81">
            <w:pPr>
              <w:keepNext/>
              <w:keepLines/>
              <w:spacing w:before="73"/>
              <w:ind w:left="-180" w:right="-20"/>
              <w:jc w:val="center"/>
              <w:rPr>
                <w:sz w:val="23"/>
                <w:szCs w:val="23"/>
              </w:rPr>
            </w:pPr>
            <w:r w:rsidRPr="001569FB">
              <w:rPr>
                <w:sz w:val="23"/>
                <w:szCs w:val="23"/>
              </w:rPr>
              <w:t>FFS USPCC – Non-ESRD</w:t>
            </w:r>
          </w:p>
        </w:tc>
        <w:tc>
          <w:tcPr>
            <w:tcW w:w="2070" w:type="dxa"/>
            <w:tcBorders>
              <w:top w:val="nil"/>
              <w:left w:val="nil"/>
              <w:bottom w:val="single" w:sz="4" w:space="0" w:color="000000"/>
              <w:right w:val="nil"/>
            </w:tcBorders>
          </w:tcPr>
          <w:p w14:paraId="3A88155F" w14:textId="163CB3DE" w:rsidR="006B1789" w:rsidRPr="001569FB" w:rsidRDefault="006B1789" w:rsidP="002707EC">
            <w:pPr>
              <w:keepNext/>
              <w:keepLines/>
              <w:spacing w:before="73"/>
              <w:ind w:left="90" w:hanging="180"/>
              <w:jc w:val="center"/>
              <w:rPr>
                <w:sz w:val="23"/>
                <w:szCs w:val="23"/>
              </w:rPr>
            </w:pPr>
            <w:r w:rsidRPr="001569FB">
              <w:rPr>
                <w:sz w:val="23"/>
                <w:szCs w:val="23"/>
              </w:rPr>
              <w:t>Dialysis-only ESRD USPCC</w:t>
            </w:r>
          </w:p>
        </w:tc>
      </w:tr>
      <w:tr w:rsidR="00693C75" w:rsidRPr="001569FB" w14:paraId="4FE56DDA" w14:textId="77777777" w:rsidTr="002707EC">
        <w:trPr>
          <w:cantSplit/>
          <w:trHeight w:hRule="exact" w:val="253"/>
        </w:trPr>
        <w:tc>
          <w:tcPr>
            <w:tcW w:w="2250" w:type="dxa"/>
            <w:tcBorders>
              <w:top w:val="nil"/>
              <w:left w:val="nil"/>
              <w:bottom w:val="nil"/>
              <w:right w:val="nil"/>
            </w:tcBorders>
          </w:tcPr>
          <w:p w14:paraId="122CB6BF" w14:textId="77777777" w:rsidR="00693C75" w:rsidRPr="001569FB" w:rsidRDefault="00693C75" w:rsidP="002707EC">
            <w:pPr>
              <w:keepNext/>
              <w:keepLines/>
              <w:spacing w:line="225" w:lineRule="exact"/>
              <w:ind w:left="90" w:right="-20"/>
              <w:rPr>
                <w:sz w:val="23"/>
                <w:szCs w:val="23"/>
              </w:rPr>
            </w:pPr>
            <w:r w:rsidRPr="001569FB">
              <w:rPr>
                <w:spacing w:val="-1"/>
                <w:sz w:val="23"/>
                <w:szCs w:val="23"/>
              </w:rPr>
              <w:t>Cu</w:t>
            </w:r>
            <w:r w:rsidRPr="001569FB">
              <w:rPr>
                <w:spacing w:val="1"/>
                <w:sz w:val="23"/>
                <w:szCs w:val="23"/>
              </w:rPr>
              <w:t>rr</w:t>
            </w:r>
            <w:r w:rsidRPr="001569FB">
              <w:rPr>
                <w:sz w:val="23"/>
                <w:szCs w:val="23"/>
              </w:rPr>
              <w:t>e</w:t>
            </w:r>
            <w:r w:rsidRPr="001569FB">
              <w:rPr>
                <w:spacing w:val="1"/>
                <w:sz w:val="23"/>
                <w:szCs w:val="23"/>
              </w:rPr>
              <w:t>n</w:t>
            </w:r>
            <w:r w:rsidRPr="001569FB">
              <w:rPr>
                <w:sz w:val="23"/>
                <w:szCs w:val="23"/>
              </w:rPr>
              <w:t>t</w:t>
            </w:r>
            <w:r w:rsidRPr="001569FB">
              <w:rPr>
                <w:spacing w:val="-6"/>
                <w:sz w:val="23"/>
                <w:szCs w:val="23"/>
              </w:rPr>
              <w:t xml:space="preserve"> </w:t>
            </w:r>
            <w:r w:rsidRPr="001569FB">
              <w:rPr>
                <w:spacing w:val="1"/>
                <w:sz w:val="23"/>
                <w:szCs w:val="23"/>
              </w:rPr>
              <w:t>pro</w:t>
            </w:r>
            <w:r w:rsidRPr="001569FB">
              <w:rPr>
                <w:spacing w:val="2"/>
                <w:sz w:val="23"/>
                <w:szCs w:val="23"/>
              </w:rPr>
              <w:t>j</w:t>
            </w:r>
            <w:r w:rsidRPr="001569FB">
              <w:rPr>
                <w:sz w:val="23"/>
                <w:szCs w:val="23"/>
              </w:rPr>
              <w:t>ect</w:t>
            </w:r>
            <w:r w:rsidRPr="001569FB">
              <w:rPr>
                <w:spacing w:val="-2"/>
                <w:sz w:val="23"/>
                <w:szCs w:val="23"/>
              </w:rPr>
              <w:t>e</w:t>
            </w:r>
            <w:r w:rsidRPr="001569FB">
              <w:rPr>
                <w:sz w:val="23"/>
                <w:szCs w:val="23"/>
              </w:rPr>
              <w:t>d</w:t>
            </w:r>
            <w:r w:rsidRPr="001569FB">
              <w:rPr>
                <w:spacing w:val="-5"/>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19</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single" w:sz="4" w:space="0" w:color="000000"/>
              <w:left w:val="nil"/>
              <w:bottom w:val="nil"/>
              <w:right w:val="nil"/>
            </w:tcBorders>
          </w:tcPr>
          <w:p w14:paraId="586B84CB" w14:textId="77777777" w:rsidR="00693C75" w:rsidRPr="001569FB" w:rsidRDefault="00693C75" w:rsidP="002707EC">
            <w:pPr>
              <w:keepNext/>
              <w:keepLines/>
              <w:tabs>
                <w:tab w:val="decimal" w:pos="1260"/>
              </w:tabs>
              <w:spacing w:line="225" w:lineRule="exact"/>
              <w:ind w:right="270"/>
              <w:rPr>
                <w:sz w:val="23"/>
                <w:szCs w:val="23"/>
              </w:rPr>
            </w:pPr>
            <w:r w:rsidRPr="001569FB">
              <w:rPr>
                <w:sz w:val="23"/>
                <w:szCs w:val="23"/>
              </w:rPr>
              <w:t>$910.38</w:t>
            </w:r>
          </w:p>
        </w:tc>
        <w:tc>
          <w:tcPr>
            <w:tcW w:w="2430" w:type="dxa"/>
            <w:gridSpan w:val="2"/>
            <w:tcBorders>
              <w:top w:val="single" w:sz="4" w:space="0" w:color="000000"/>
              <w:left w:val="nil"/>
              <w:bottom w:val="nil"/>
              <w:right w:val="nil"/>
            </w:tcBorders>
          </w:tcPr>
          <w:p w14:paraId="2FD23D8F" w14:textId="77777777" w:rsidR="00693C75" w:rsidRPr="001569FB" w:rsidRDefault="00693C75" w:rsidP="002707EC">
            <w:pPr>
              <w:keepNext/>
              <w:keepLines/>
              <w:tabs>
                <w:tab w:val="decimal" w:pos="1260"/>
              </w:tabs>
              <w:spacing w:line="225" w:lineRule="exact"/>
              <w:rPr>
                <w:sz w:val="23"/>
                <w:szCs w:val="23"/>
              </w:rPr>
            </w:pPr>
            <w:r w:rsidRPr="001569FB">
              <w:rPr>
                <w:sz w:val="23"/>
                <w:szCs w:val="23"/>
              </w:rPr>
              <w:t>$882.33</w:t>
            </w:r>
          </w:p>
        </w:tc>
        <w:tc>
          <w:tcPr>
            <w:tcW w:w="2520" w:type="dxa"/>
            <w:gridSpan w:val="2"/>
            <w:tcBorders>
              <w:top w:val="single" w:sz="4" w:space="0" w:color="000000"/>
              <w:left w:val="nil"/>
              <w:bottom w:val="nil"/>
              <w:right w:val="nil"/>
            </w:tcBorders>
          </w:tcPr>
          <w:p w14:paraId="2F905A50" w14:textId="77777777" w:rsidR="00693C75" w:rsidRPr="001569FB" w:rsidRDefault="00693C75" w:rsidP="002707EC">
            <w:pPr>
              <w:keepNext/>
              <w:keepLines/>
              <w:tabs>
                <w:tab w:val="decimal" w:pos="1620"/>
              </w:tabs>
              <w:spacing w:line="225" w:lineRule="exact"/>
              <w:ind w:left="720"/>
              <w:rPr>
                <w:sz w:val="23"/>
                <w:szCs w:val="23"/>
              </w:rPr>
            </w:pPr>
            <w:r w:rsidRPr="001569FB">
              <w:rPr>
                <w:sz w:val="23"/>
                <w:szCs w:val="23"/>
              </w:rPr>
              <w:t>$7,495.03</w:t>
            </w:r>
          </w:p>
        </w:tc>
      </w:tr>
      <w:tr w:rsidR="00693C75" w:rsidRPr="001569FB" w14:paraId="0132FDA4" w14:textId="77777777" w:rsidTr="002707EC">
        <w:trPr>
          <w:cantSplit/>
          <w:trHeight w:hRule="exact" w:val="264"/>
        </w:trPr>
        <w:tc>
          <w:tcPr>
            <w:tcW w:w="2250" w:type="dxa"/>
            <w:tcBorders>
              <w:top w:val="nil"/>
              <w:left w:val="nil"/>
              <w:bottom w:val="nil"/>
              <w:right w:val="nil"/>
            </w:tcBorders>
          </w:tcPr>
          <w:p w14:paraId="2FB42647" w14:textId="77777777" w:rsidR="00693C75" w:rsidRPr="001569FB" w:rsidRDefault="00693C75" w:rsidP="002707EC">
            <w:pPr>
              <w:keepNext/>
              <w:keepLines/>
              <w:spacing w:before="6"/>
              <w:ind w:left="90" w:right="-20"/>
              <w:rPr>
                <w:sz w:val="23"/>
                <w:szCs w:val="23"/>
              </w:rPr>
            </w:pPr>
            <w:r w:rsidRPr="001569FB">
              <w:rPr>
                <w:spacing w:val="2"/>
                <w:sz w:val="23"/>
                <w:szCs w:val="23"/>
              </w:rPr>
              <w:t>P</w:t>
            </w:r>
            <w:r w:rsidRPr="001569FB">
              <w:rPr>
                <w:spacing w:val="1"/>
                <w:sz w:val="23"/>
                <w:szCs w:val="23"/>
              </w:rPr>
              <w:t>r</w:t>
            </w:r>
            <w:r w:rsidRPr="001569FB">
              <w:rPr>
                <w:sz w:val="23"/>
                <w:szCs w:val="23"/>
              </w:rPr>
              <w:t>i</w:t>
            </w:r>
            <w:r w:rsidRPr="001569FB">
              <w:rPr>
                <w:spacing w:val="1"/>
                <w:sz w:val="23"/>
                <w:szCs w:val="23"/>
              </w:rPr>
              <w:t>o</w:t>
            </w:r>
            <w:r w:rsidRPr="001569FB">
              <w:rPr>
                <w:sz w:val="23"/>
                <w:szCs w:val="23"/>
              </w:rPr>
              <w:t>r</w:t>
            </w:r>
            <w:r w:rsidRPr="001569FB">
              <w:rPr>
                <w:spacing w:val="-5"/>
                <w:sz w:val="23"/>
                <w:szCs w:val="23"/>
              </w:rPr>
              <w:t xml:space="preserve"> </w:t>
            </w:r>
            <w:r w:rsidRPr="001569FB">
              <w:rPr>
                <w:spacing w:val="1"/>
                <w:sz w:val="23"/>
                <w:szCs w:val="23"/>
              </w:rPr>
              <w:t>pr</w:t>
            </w:r>
            <w:r w:rsidRPr="001569FB">
              <w:rPr>
                <w:spacing w:val="-1"/>
                <w:sz w:val="23"/>
                <w:szCs w:val="23"/>
              </w:rPr>
              <w:t>o</w:t>
            </w:r>
            <w:r w:rsidRPr="001569FB">
              <w:rPr>
                <w:spacing w:val="2"/>
                <w:sz w:val="23"/>
                <w:szCs w:val="23"/>
              </w:rPr>
              <w:t>j</w:t>
            </w:r>
            <w:r w:rsidRPr="001569FB">
              <w:rPr>
                <w:sz w:val="23"/>
                <w:szCs w:val="23"/>
              </w:rPr>
              <w:t>ected</w:t>
            </w:r>
            <w:r w:rsidRPr="001569FB">
              <w:rPr>
                <w:spacing w:val="-8"/>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w:t>
            </w:r>
            <w:r w:rsidRPr="001569FB">
              <w:rPr>
                <w:sz w:val="23"/>
                <w:szCs w:val="23"/>
              </w:rPr>
              <w:t>8</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nil"/>
              <w:left w:val="nil"/>
              <w:bottom w:val="nil"/>
              <w:right w:val="nil"/>
            </w:tcBorders>
          </w:tcPr>
          <w:p w14:paraId="2D2D42B8" w14:textId="77777777" w:rsidR="00693C75" w:rsidRPr="001569FB" w:rsidRDefault="00693C75" w:rsidP="002707EC">
            <w:pPr>
              <w:keepNext/>
              <w:keepLines/>
              <w:tabs>
                <w:tab w:val="decimal" w:pos="1260"/>
              </w:tabs>
              <w:spacing w:before="6"/>
              <w:ind w:right="270"/>
              <w:rPr>
                <w:sz w:val="23"/>
                <w:szCs w:val="23"/>
              </w:rPr>
            </w:pPr>
            <w:r w:rsidRPr="001569FB">
              <w:rPr>
                <w:sz w:val="23"/>
                <w:szCs w:val="23"/>
              </w:rPr>
              <w:t>$863.39</w:t>
            </w:r>
          </w:p>
        </w:tc>
        <w:tc>
          <w:tcPr>
            <w:tcW w:w="2430" w:type="dxa"/>
            <w:gridSpan w:val="2"/>
            <w:tcBorders>
              <w:top w:val="nil"/>
              <w:left w:val="nil"/>
              <w:bottom w:val="nil"/>
              <w:right w:val="nil"/>
            </w:tcBorders>
          </w:tcPr>
          <w:p w14:paraId="3C6546EA" w14:textId="77777777" w:rsidR="00693C75" w:rsidRPr="001569FB" w:rsidRDefault="00693C75" w:rsidP="002707EC">
            <w:pPr>
              <w:keepNext/>
              <w:keepLines/>
              <w:tabs>
                <w:tab w:val="decimal" w:pos="1260"/>
              </w:tabs>
              <w:spacing w:before="6"/>
              <w:rPr>
                <w:sz w:val="23"/>
                <w:szCs w:val="23"/>
              </w:rPr>
            </w:pPr>
            <w:r w:rsidRPr="001569FB">
              <w:rPr>
                <w:sz w:val="23"/>
                <w:szCs w:val="23"/>
              </w:rPr>
              <w:t>$847.73</w:t>
            </w:r>
          </w:p>
        </w:tc>
        <w:tc>
          <w:tcPr>
            <w:tcW w:w="2520" w:type="dxa"/>
            <w:gridSpan w:val="2"/>
            <w:tcBorders>
              <w:top w:val="nil"/>
              <w:left w:val="nil"/>
              <w:bottom w:val="nil"/>
              <w:right w:val="nil"/>
            </w:tcBorders>
          </w:tcPr>
          <w:p w14:paraId="145E5015" w14:textId="77777777" w:rsidR="00693C75" w:rsidRPr="001569FB" w:rsidRDefault="00693C75" w:rsidP="002707EC">
            <w:pPr>
              <w:keepNext/>
              <w:keepLines/>
              <w:tabs>
                <w:tab w:val="decimal" w:pos="1620"/>
              </w:tabs>
              <w:spacing w:before="6"/>
              <w:ind w:left="720"/>
              <w:rPr>
                <w:sz w:val="23"/>
                <w:szCs w:val="23"/>
              </w:rPr>
            </w:pPr>
            <w:r w:rsidRPr="001569FB">
              <w:rPr>
                <w:sz w:val="23"/>
                <w:szCs w:val="23"/>
              </w:rPr>
              <w:t>$7,133.42</w:t>
            </w:r>
          </w:p>
        </w:tc>
      </w:tr>
      <w:tr w:rsidR="00693C75" w:rsidRPr="001569FB" w14:paraId="44B241A6" w14:textId="77777777" w:rsidTr="002707EC">
        <w:trPr>
          <w:cantSplit/>
          <w:trHeight w:hRule="exact" w:val="285"/>
        </w:trPr>
        <w:tc>
          <w:tcPr>
            <w:tcW w:w="2250" w:type="dxa"/>
            <w:tcBorders>
              <w:top w:val="nil"/>
              <w:left w:val="nil"/>
              <w:bottom w:val="single" w:sz="4" w:space="0" w:color="000000"/>
              <w:right w:val="nil"/>
            </w:tcBorders>
          </w:tcPr>
          <w:p w14:paraId="1C391F0C" w14:textId="77777777" w:rsidR="00693C75" w:rsidRPr="001569FB" w:rsidRDefault="00693C75" w:rsidP="002707EC">
            <w:pPr>
              <w:spacing w:before="6"/>
              <w:ind w:left="90" w:right="-20"/>
              <w:rPr>
                <w:sz w:val="23"/>
                <w:szCs w:val="23"/>
              </w:rPr>
            </w:pPr>
            <w:r w:rsidRPr="001569FB">
              <w:rPr>
                <w:spacing w:val="2"/>
                <w:sz w:val="23"/>
                <w:szCs w:val="23"/>
              </w:rPr>
              <w:t>P</w:t>
            </w:r>
            <w:r w:rsidRPr="001569FB">
              <w:rPr>
                <w:sz w:val="23"/>
                <w:szCs w:val="23"/>
              </w:rPr>
              <w:t>e</w:t>
            </w:r>
            <w:r w:rsidRPr="001569FB">
              <w:rPr>
                <w:spacing w:val="1"/>
                <w:sz w:val="23"/>
                <w:szCs w:val="23"/>
              </w:rPr>
              <w:t>r</w:t>
            </w:r>
            <w:r w:rsidRPr="001569FB">
              <w:rPr>
                <w:sz w:val="23"/>
                <w:szCs w:val="23"/>
              </w:rPr>
              <w:t>ce</w:t>
            </w:r>
            <w:r w:rsidRPr="001569FB">
              <w:rPr>
                <w:spacing w:val="-1"/>
                <w:sz w:val="23"/>
                <w:szCs w:val="23"/>
              </w:rPr>
              <w:t>n</w:t>
            </w:r>
            <w:r w:rsidRPr="001569FB">
              <w:rPr>
                <w:sz w:val="23"/>
                <w:szCs w:val="23"/>
              </w:rPr>
              <w:t>t</w:t>
            </w:r>
            <w:r w:rsidRPr="001569FB">
              <w:rPr>
                <w:spacing w:val="-6"/>
                <w:sz w:val="23"/>
                <w:szCs w:val="23"/>
              </w:rPr>
              <w:t xml:space="preserve"> </w:t>
            </w:r>
            <w:r w:rsidRPr="001569FB">
              <w:rPr>
                <w:sz w:val="23"/>
                <w:szCs w:val="23"/>
              </w:rPr>
              <w:t>i</w:t>
            </w:r>
            <w:r w:rsidRPr="001569FB">
              <w:rPr>
                <w:spacing w:val="-1"/>
                <w:sz w:val="23"/>
                <w:szCs w:val="23"/>
              </w:rPr>
              <w:t>n</w:t>
            </w:r>
            <w:r w:rsidRPr="001569FB">
              <w:rPr>
                <w:sz w:val="23"/>
                <w:szCs w:val="23"/>
              </w:rPr>
              <w:t>c</w:t>
            </w:r>
            <w:r w:rsidRPr="001569FB">
              <w:rPr>
                <w:spacing w:val="1"/>
                <w:sz w:val="23"/>
                <w:szCs w:val="23"/>
              </w:rPr>
              <w:t>r</w:t>
            </w:r>
            <w:r w:rsidRPr="001569FB">
              <w:rPr>
                <w:sz w:val="23"/>
                <w:szCs w:val="23"/>
              </w:rPr>
              <w:t>ea</w:t>
            </w:r>
            <w:r w:rsidRPr="001569FB">
              <w:rPr>
                <w:spacing w:val="-1"/>
                <w:sz w:val="23"/>
                <w:szCs w:val="23"/>
              </w:rPr>
              <w:t>s</w:t>
            </w:r>
            <w:r w:rsidRPr="001569FB">
              <w:rPr>
                <w:sz w:val="23"/>
                <w:szCs w:val="23"/>
              </w:rPr>
              <w:t>e</w:t>
            </w:r>
          </w:p>
        </w:tc>
        <w:tc>
          <w:tcPr>
            <w:tcW w:w="2520" w:type="dxa"/>
            <w:tcBorders>
              <w:top w:val="nil"/>
              <w:left w:val="nil"/>
              <w:bottom w:val="single" w:sz="4" w:space="0" w:color="000000"/>
              <w:right w:val="nil"/>
            </w:tcBorders>
          </w:tcPr>
          <w:p w14:paraId="5668D81D" w14:textId="77777777" w:rsidR="00693C75" w:rsidRPr="001569FB" w:rsidRDefault="00693C75" w:rsidP="002707EC">
            <w:pPr>
              <w:tabs>
                <w:tab w:val="decimal" w:pos="1080"/>
              </w:tabs>
              <w:spacing w:before="6"/>
              <w:ind w:right="270"/>
              <w:rPr>
                <w:sz w:val="23"/>
                <w:szCs w:val="23"/>
              </w:rPr>
            </w:pPr>
            <w:r w:rsidRPr="001569FB">
              <w:rPr>
                <w:sz w:val="23"/>
                <w:szCs w:val="23"/>
              </w:rPr>
              <w:t>5.44%</w:t>
            </w:r>
          </w:p>
        </w:tc>
        <w:tc>
          <w:tcPr>
            <w:tcW w:w="2430" w:type="dxa"/>
            <w:gridSpan w:val="2"/>
            <w:tcBorders>
              <w:top w:val="nil"/>
              <w:left w:val="nil"/>
              <w:bottom w:val="single" w:sz="4" w:space="0" w:color="000000"/>
              <w:right w:val="nil"/>
            </w:tcBorders>
          </w:tcPr>
          <w:p w14:paraId="0F37C431" w14:textId="77777777" w:rsidR="00693C75" w:rsidRPr="001569FB" w:rsidRDefault="00693C75" w:rsidP="002707EC">
            <w:pPr>
              <w:tabs>
                <w:tab w:val="decimal" w:pos="1080"/>
              </w:tabs>
              <w:spacing w:before="6"/>
              <w:ind w:hanging="684"/>
              <w:rPr>
                <w:sz w:val="23"/>
                <w:szCs w:val="23"/>
              </w:rPr>
            </w:pPr>
            <w:r w:rsidRPr="001569FB">
              <w:rPr>
                <w:sz w:val="23"/>
                <w:szCs w:val="23"/>
              </w:rPr>
              <w:t>4.08%</w:t>
            </w:r>
          </w:p>
        </w:tc>
        <w:tc>
          <w:tcPr>
            <w:tcW w:w="2520" w:type="dxa"/>
            <w:gridSpan w:val="2"/>
            <w:tcBorders>
              <w:top w:val="nil"/>
              <w:left w:val="nil"/>
              <w:bottom w:val="single" w:sz="4" w:space="0" w:color="000000"/>
              <w:right w:val="nil"/>
            </w:tcBorders>
          </w:tcPr>
          <w:p w14:paraId="696E39F4" w14:textId="77777777" w:rsidR="00693C75" w:rsidRPr="001569FB" w:rsidRDefault="00693C75" w:rsidP="002707EC">
            <w:pPr>
              <w:tabs>
                <w:tab w:val="decimal" w:pos="1440"/>
              </w:tabs>
              <w:spacing w:before="6"/>
              <w:ind w:right="-270"/>
              <w:rPr>
                <w:sz w:val="23"/>
                <w:szCs w:val="23"/>
              </w:rPr>
            </w:pPr>
            <w:r w:rsidRPr="001569FB">
              <w:rPr>
                <w:sz w:val="23"/>
                <w:szCs w:val="23"/>
              </w:rPr>
              <w:t>5.07%</w:t>
            </w:r>
          </w:p>
        </w:tc>
      </w:tr>
    </w:tbl>
    <w:p w14:paraId="058D4863" w14:textId="4DEA500C" w:rsidR="00BA0718" w:rsidRPr="001569FB" w:rsidRDefault="00BA0718" w:rsidP="00542786">
      <w:pPr>
        <w:keepLines/>
        <w:spacing w:before="400" w:after="200"/>
        <w:rPr>
          <w:szCs w:val="24"/>
        </w:rPr>
      </w:pPr>
      <w:r w:rsidRPr="001569FB">
        <w:rPr>
          <w:szCs w:val="24"/>
        </w:rPr>
        <w:lastRenderedPageBreak/>
        <w:t>Table I-3 compares last year’s estimate of the total non-ESRD USPCC with current estimates for 200</w:t>
      </w:r>
      <w:r w:rsidR="0065365E" w:rsidRPr="001569FB">
        <w:rPr>
          <w:szCs w:val="24"/>
        </w:rPr>
        <w:t>3</w:t>
      </w:r>
      <w:r w:rsidRPr="001569FB">
        <w:rPr>
          <w:szCs w:val="24"/>
        </w:rPr>
        <w:t xml:space="preserve"> to </w:t>
      </w:r>
      <w:r w:rsidR="005B47B8" w:rsidRPr="001569FB">
        <w:rPr>
          <w:szCs w:val="24"/>
        </w:rPr>
        <w:t>2021</w:t>
      </w:r>
      <w:r w:rsidRPr="001569FB">
        <w:rPr>
          <w:szCs w:val="24"/>
        </w:rPr>
        <w:t xml:space="preserve">, and Table I-4 compares last year’s FFS non-ESRD USPCC estimates with </w:t>
      </w:r>
      <w:r w:rsidR="008646CE" w:rsidRPr="001569FB">
        <w:rPr>
          <w:szCs w:val="24"/>
        </w:rPr>
        <w:t xml:space="preserve">current </w:t>
      </w:r>
      <w:r w:rsidRPr="001569FB">
        <w:rPr>
          <w:szCs w:val="24"/>
        </w:rPr>
        <w:t>estimates</w:t>
      </w:r>
      <w:r w:rsidR="008646CE" w:rsidRPr="001569FB">
        <w:rPr>
          <w:szCs w:val="24"/>
        </w:rPr>
        <w:t>.</w:t>
      </w:r>
      <w:r w:rsidRPr="001569FB">
        <w:rPr>
          <w:szCs w:val="24"/>
        </w:rPr>
        <w:t xml:space="preserve"> </w:t>
      </w:r>
      <w:r w:rsidR="007A6384" w:rsidRPr="001569FB">
        <w:rPr>
          <w:szCs w:val="24"/>
        </w:rPr>
        <w:t xml:space="preserve"> </w:t>
      </w:r>
      <w:r w:rsidRPr="001569FB">
        <w:rPr>
          <w:szCs w:val="24"/>
        </w:rPr>
        <w:t xml:space="preserve">The </w:t>
      </w:r>
      <w:r w:rsidR="008646CE" w:rsidRPr="001569FB">
        <w:rPr>
          <w:szCs w:val="24"/>
        </w:rPr>
        <w:t xml:space="preserve">total </w:t>
      </w:r>
      <w:r w:rsidRPr="001569FB">
        <w:rPr>
          <w:szCs w:val="24"/>
        </w:rPr>
        <w:t xml:space="preserve">USPCCs are the basis for the National Per Capita MA Growth Percentages. </w:t>
      </w:r>
      <w:r w:rsidR="00067315" w:rsidRPr="001569FB">
        <w:rPr>
          <w:szCs w:val="24"/>
        </w:rPr>
        <w:t xml:space="preserve"> </w:t>
      </w:r>
      <w:r w:rsidRPr="001569FB">
        <w:rPr>
          <w:szCs w:val="24"/>
        </w:rPr>
        <w:t xml:space="preserve">In addition, these tables show the current projections of the USPCCs through </w:t>
      </w:r>
      <w:r w:rsidR="005B47B8" w:rsidRPr="001569FB">
        <w:rPr>
          <w:szCs w:val="24"/>
        </w:rPr>
        <w:t>2021</w:t>
      </w:r>
      <w:r w:rsidRPr="001569FB">
        <w:rPr>
          <w:szCs w:val="24"/>
        </w:rPr>
        <w:t xml:space="preserve">. </w:t>
      </w:r>
      <w:r w:rsidR="007A6384" w:rsidRPr="001569FB">
        <w:rPr>
          <w:szCs w:val="24"/>
        </w:rPr>
        <w:t xml:space="preserve"> </w:t>
      </w:r>
      <w:r w:rsidRPr="001569FB">
        <w:rPr>
          <w:szCs w:val="24"/>
        </w:rPr>
        <w:t>Caution should be employed in the use of this information.</w:t>
      </w:r>
      <w:r w:rsidR="007A6384" w:rsidRPr="001569FB">
        <w:rPr>
          <w:szCs w:val="24"/>
        </w:rPr>
        <w:t xml:space="preserve"> </w:t>
      </w:r>
      <w:r w:rsidRPr="001569FB">
        <w:rPr>
          <w:szCs w:val="24"/>
        </w:rPr>
        <w:t xml:space="preserve"> It is based upon nationwide averages, and local conditions can differ substantially from conditions nationwide. None of the data presented here pertain to the Medicare prescription drug benefit.</w:t>
      </w:r>
    </w:p>
    <w:p w14:paraId="181EB198" w14:textId="31CD002D" w:rsidR="002C6D3A" w:rsidRPr="001569FB" w:rsidRDefault="002C6D3A" w:rsidP="002707EC">
      <w:pPr>
        <w:keepLines/>
        <w:spacing w:before="200" w:after="200"/>
        <w:rPr>
          <w:szCs w:val="24"/>
        </w:rPr>
      </w:pPr>
      <w:r w:rsidRPr="001569FB">
        <w:rPr>
          <w:bCs/>
          <w:iCs/>
          <w:color w:val="000000"/>
          <w:szCs w:val="24"/>
        </w:rPr>
        <w:t xml:space="preserve">In accordance with the </w:t>
      </w:r>
      <w:r w:rsidRPr="001569FB">
        <w:t xml:space="preserve">CY 2017 Quality Payment Program (QPP) </w:t>
      </w:r>
      <w:r w:rsidRPr="001569FB">
        <w:rPr>
          <w:bCs/>
          <w:iCs/>
          <w:color w:val="000000"/>
          <w:szCs w:val="24"/>
        </w:rPr>
        <w:t>final rule with comment period (81 FR 77008), we expect that clinician payment adjustments will be made in CY 2019.  Consistent with current policy, FFS incentives will continue to be included in the calculation of FFS costs for MA ratesetting purposes such that an estimate of the aggregate impact will be</w:t>
      </w:r>
      <w:r w:rsidR="005B714E" w:rsidRPr="001569FB">
        <w:rPr>
          <w:bCs/>
          <w:iCs/>
          <w:color w:val="000000"/>
          <w:szCs w:val="24"/>
        </w:rPr>
        <w:t xml:space="preserve"> </w:t>
      </w:r>
      <w:r w:rsidRPr="001569FB">
        <w:rPr>
          <w:bCs/>
          <w:iCs/>
          <w:color w:val="000000"/>
          <w:szCs w:val="24"/>
        </w:rPr>
        <w:t>taken into account in the projected FFS USPCC for 2019.</w:t>
      </w:r>
      <w:r w:rsidR="009C48F8" w:rsidRPr="001569FB">
        <w:rPr>
          <w:bCs/>
          <w:iCs/>
          <w:color w:val="000000"/>
          <w:szCs w:val="24"/>
        </w:rPr>
        <w:t xml:space="preserve">  Attachment II Section B contains additional information regarding the calculation of FFS costs.</w:t>
      </w:r>
    </w:p>
    <w:p w14:paraId="6C8FCD76" w14:textId="664E0041" w:rsidR="009E1BE3" w:rsidRPr="001569FB" w:rsidRDefault="009E1BE3" w:rsidP="0065679D">
      <w:pPr>
        <w:keepNext/>
        <w:keepLines/>
        <w:spacing w:after="100" w:line="271" w:lineRule="exact"/>
        <w:rPr>
          <w:b/>
          <w:bCs/>
          <w:spacing w:val="-4"/>
          <w:szCs w:val="24"/>
        </w:rPr>
      </w:pPr>
      <w:bookmarkStart w:id="9" w:name="_Toc351037786"/>
      <w:bookmarkStart w:id="10" w:name="_Toc350845489"/>
      <w:bookmarkStart w:id="11" w:name="_Toc350845400"/>
      <w:bookmarkStart w:id="12" w:name="_Toc289668831"/>
      <w:r w:rsidRPr="001569FB">
        <w:rPr>
          <w:b/>
          <w:bCs/>
          <w:spacing w:val="-4"/>
          <w:szCs w:val="24"/>
        </w:rPr>
        <w:t xml:space="preserve">Table </w:t>
      </w:r>
      <w:r w:rsidR="00776266" w:rsidRPr="001569FB">
        <w:rPr>
          <w:b/>
          <w:bCs/>
          <w:spacing w:val="-4"/>
          <w:szCs w:val="24"/>
        </w:rPr>
        <w:t>I</w:t>
      </w:r>
      <w:r w:rsidRPr="001569FB">
        <w:rPr>
          <w:b/>
          <w:bCs/>
          <w:spacing w:val="-4"/>
          <w:szCs w:val="24"/>
        </w:rPr>
        <w:t>-3</w:t>
      </w:r>
      <w:r w:rsidR="00E74FEB" w:rsidRPr="001569FB">
        <w:rPr>
          <w:b/>
          <w:bCs/>
          <w:spacing w:val="-4"/>
          <w:szCs w:val="24"/>
        </w:rPr>
        <w:t>.</w:t>
      </w:r>
      <w:r w:rsidRPr="001569FB">
        <w:rPr>
          <w:b/>
          <w:bCs/>
          <w:spacing w:val="-4"/>
          <w:szCs w:val="24"/>
        </w:rPr>
        <w:t xml:space="preserve">-Comparison of Current &amp; </w:t>
      </w:r>
      <w:r w:rsidRPr="001569FB">
        <w:rPr>
          <w:b/>
          <w:bCs/>
          <w:spacing w:val="-4"/>
          <w:position w:val="-1"/>
          <w:szCs w:val="24"/>
        </w:rPr>
        <w:t>Previous</w:t>
      </w:r>
      <w:r w:rsidRPr="001569FB">
        <w:rPr>
          <w:b/>
          <w:bCs/>
          <w:spacing w:val="-4"/>
          <w:szCs w:val="24"/>
        </w:rPr>
        <w:t xml:space="preserve"> Estimates of the Total USPCC – Non-ESRD</w:t>
      </w:r>
    </w:p>
    <w:tbl>
      <w:tblPr>
        <w:tblW w:w="7788" w:type="dxa"/>
        <w:jc w:val="center"/>
        <w:tblBorders>
          <w:top w:val="single" w:sz="4"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73"/>
        <w:gridCol w:w="973"/>
        <w:gridCol w:w="973"/>
        <w:gridCol w:w="973"/>
        <w:gridCol w:w="974"/>
        <w:gridCol w:w="974"/>
        <w:gridCol w:w="974"/>
        <w:gridCol w:w="974"/>
      </w:tblGrid>
      <w:tr w:rsidR="006C7E0D" w:rsidRPr="001569FB" w14:paraId="2C28FCCB" w14:textId="77777777" w:rsidTr="00956EAA">
        <w:trPr>
          <w:tblHeader/>
          <w:jc w:val="center"/>
        </w:trPr>
        <w:tc>
          <w:tcPr>
            <w:tcW w:w="960" w:type="dxa"/>
            <w:shd w:val="clear" w:color="auto" w:fill="auto"/>
            <w:vAlign w:val="center"/>
            <w:hideMark/>
          </w:tcPr>
          <w:p w14:paraId="63CA1F60" w14:textId="77777777" w:rsidR="006C7E0D" w:rsidRPr="001569FB" w:rsidRDefault="006C7E0D" w:rsidP="0065679D">
            <w:pPr>
              <w:keepNext/>
              <w:keepLines/>
              <w:jc w:val="center"/>
              <w:rPr>
                <w:color w:val="000000"/>
                <w:sz w:val="19"/>
                <w:szCs w:val="19"/>
              </w:rPr>
            </w:pPr>
            <w:r w:rsidRPr="001569FB">
              <w:rPr>
                <w:color w:val="000000"/>
                <w:sz w:val="19"/>
                <w:szCs w:val="19"/>
              </w:rPr>
              <w:t> </w:t>
            </w:r>
          </w:p>
        </w:tc>
        <w:tc>
          <w:tcPr>
            <w:tcW w:w="1920" w:type="dxa"/>
            <w:gridSpan w:val="2"/>
            <w:shd w:val="clear" w:color="auto" w:fill="auto"/>
            <w:vAlign w:val="center"/>
            <w:hideMark/>
          </w:tcPr>
          <w:p w14:paraId="5C229B49" w14:textId="77777777" w:rsidR="006C7E0D" w:rsidRPr="001569FB" w:rsidRDefault="006C7E0D" w:rsidP="0065679D">
            <w:pPr>
              <w:keepNext/>
              <w:keepLines/>
              <w:jc w:val="center"/>
              <w:rPr>
                <w:color w:val="000000"/>
                <w:sz w:val="19"/>
                <w:szCs w:val="19"/>
              </w:rPr>
            </w:pPr>
            <w:r w:rsidRPr="001569FB">
              <w:rPr>
                <w:color w:val="000000"/>
                <w:sz w:val="19"/>
                <w:szCs w:val="19"/>
              </w:rPr>
              <w:t>Part A</w:t>
            </w:r>
          </w:p>
        </w:tc>
        <w:tc>
          <w:tcPr>
            <w:tcW w:w="1920" w:type="dxa"/>
            <w:gridSpan w:val="2"/>
            <w:shd w:val="clear" w:color="auto" w:fill="auto"/>
            <w:vAlign w:val="center"/>
            <w:hideMark/>
          </w:tcPr>
          <w:p w14:paraId="36AC3190" w14:textId="77777777" w:rsidR="006C7E0D" w:rsidRPr="001569FB" w:rsidRDefault="006C7E0D" w:rsidP="0065679D">
            <w:pPr>
              <w:keepNext/>
              <w:keepLines/>
              <w:jc w:val="center"/>
              <w:rPr>
                <w:color w:val="000000"/>
                <w:sz w:val="19"/>
                <w:szCs w:val="19"/>
              </w:rPr>
            </w:pPr>
            <w:r w:rsidRPr="001569FB">
              <w:rPr>
                <w:color w:val="000000"/>
                <w:sz w:val="19"/>
                <w:szCs w:val="19"/>
              </w:rPr>
              <w:t>Part B</w:t>
            </w:r>
          </w:p>
        </w:tc>
        <w:tc>
          <w:tcPr>
            <w:tcW w:w="2880" w:type="dxa"/>
            <w:gridSpan w:val="3"/>
            <w:shd w:val="clear" w:color="auto" w:fill="auto"/>
            <w:vAlign w:val="center"/>
            <w:hideMark/>
          </w:tcPr>
          <w:p w14:paraId="06F62653" w14:textId="77777777" w:rsidR="006C7E0D" w:rsidRPr="001569FB" w:rsidRDefault="006C7E0D" w:rsidP="0065679D">
            <w:pPr>
              <w:keepNext/>
              <w:keepLines/>
              <w:jc w:val="center"/>
              <w:rPr>
                <w:color w:val="000000"/>
                <w:sz w:val="19"/>
                <w:szCs w:val="19"/>
              </w:rPr>
            </w:pPr>
            <w:r w:rsidRPr="001569FB">
              <w:rPr>
                <w:color w:val="000000"/>
                <w:sz w:val="19"/>
                <w:szCs w:val="19"/>
              </w:rPr>
              <w:t>Part A &amp; Part B</w:t>
            </w:r>
          </w:p>
        </w:tc>
      </w:tr>
      <w:tr w:rsidR="006C7E0D" w:rsidRPr="001569FB" w14:paraId="602CEB20" w14:textId="77777777" w:rsidTr="00956EAA">
        <w:trPr>
          <w:tblHeader/>
          <w:jc w:val="center"/>
        </w:trPr>
        <w:tc>
          <w:tcPr>
            <w:tcW w:w="960" w:type="dxa"/>
            <w:shd w:val="clear" w:color="auto" w:fill="auto"/>
            <w:vAlign w:val="center"/>
            <w:hideMark/>
          </w:tcPr>
          <w:p w14:paraId="3B76CBE4"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Calendar Year</w:t>
            </w:r>
          </w:p>
        </w:tc>
        <w:tc>
          <w:tcPr>
            <w:tcW w:w="960" w:type="dxa"/>
            <w:shd w:val="clear" w:color="auto" w:fill="auto"/>
            <w:vAlign w:val="center"/>
            <w:hideMark/>
          </w:tcPr>
          <w:p w14:paraId="5778C2F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4EDD69F5"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1F36B41F"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10A8D41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37DE47FC"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657C5427"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6DB5528D"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Ratio</w:t>
            </w:r>
          </w:p>
        </w:tc>
      </w:tr>
      <w:tr w:rsidR="006C7E0D" w:rsidRPr="001569FB" w14:paraId="3EC56EE3" w14:textId="77777777" w:rsidTr="00956EAA">
        <w:trPr>
          <w:jc w:val="center"/>
        </w:trPr>
        <w:tc>
          <w:tcPr>
            <w:tcW w:w="960" w:type="dxa"/>
            <w:shd w:val="clear" w:color="auto" w:fill="auto"/>
            <w:noWrap/>
            <w:vAlign w:val="bottom"/>
            <w:hideMark/>
          </w:tcPr>
          <w:p w14:paraId="364506DD" w14:textId="77777777" w:rsidR="006C7E0D" w:rsidRPr="001569FB" w:rsidRDefault="006C7E0D" w:rsidP="0065679D">
            <w:pPr>
              <w:keepNext/>
              <w:keepLines/>
              <w:jc w:val="center"/>
              <w:rPr>
                <w:sz w:val="18"/>
                <w:szCs w:val="18"/>
              </w:rPr>
            </w:pPr>
            <w:r w:rsidRPr="001569FB">
              <w:rPr>
                <w:sz w:val="18"/>
                <w:szCs w:val="18"/>
              </w:rPr>
              <w:t>2003</w:t>
            </w:r>
          </w:p>
        </w:tc>
        <w:tc>
          <w:tcPr>
            <w:tcW w:w="960" w:type="dxa"/>
            <w:shd w:val="clear" w:color="auto" w:fill="auto"/>
            <w:noWrap/>
            <w:hideMark/>
          </w:tcPr>
          <w:p w14:paraId="112516C4"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56E725CF"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7CA25069"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79F3C0A8"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1732D84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149F0CC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34B92B78"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F25FBB2" w14:textId="77777777" w:rsidTr="00956EAA">
        <w:trPr>
          <w:jc w:val="center"/>
        </w:trPr>
        <w:tc>
          <w:tcPr>
            <w:tcW w:w="960" w:type="dxa"/>
            <w:shd w:val="clear" w:color="auto" w:fill="auto"/>
            <w:noWrap/>
            <w:vAlign w:val="bottom"/>
            <w:hideMark/>
          </w:tcPr>
          <w:p w14:paraId="373BE191" w14:textId="77777777" w:rsidR="006C7E0D" w:rsidRPr="001569FB" w:rsidRDefault="006C7E0D" w:rsidP="0065679D">
            <w:pPr>
              <w:keepNext/>
              <w:keepLines/>
              <w:jc w:val="center"/>
              <w:rPr>
                <w:sz w:val="18"/>
                <w:szCs w:val="18"/>
              </w:rPr>
            </w:pPr>
            <w:r w:rsidRPr="001569FB">
              <w:rPr>
                <w:sz w:val="18"/>
                <w:szCs w:val="18"/>
              </w:rPr>
              <w:t>2004</w:t>
            </w:r>
          </w:p>
        </w:tc>
        <w:tc>
          <w:tcPr>
            <w:tcW w:w="960" w:type="dxa"/>
            <w:shd w:val="clear" w:color="auto" w:fill="auto"/>
            <w:noWrap/>
            <w:hideMark/>
          </w:tcPr>
          <w:p w14:paraId="0F494F1F"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0A6D0AC4"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1442C504"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608CECB0"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19610BA9"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3B08FF34"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6333393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8E0C458" w14:textId="77777777" w:rsidTr="00956EAA">
        <w:trPr>
          <w:jc w:val="center"/>
        </w:trPr>
        <w:tc>
          <w:tcPr>
            <w:tcW w:w="960" w:type="dxa"/>
            <w:shd w:val="clear" w:color="auto" w:fill="auto"/>
            <w:noWrap/>
            <w:vAlign w:val="bottom"/>
            <w:hideMark/>
          </w:tcPr>
          <w:p w14:paraId="2F35AEE9" w14:textId="77777777" w:rsidR="006C7E0D" w:rsidRPr="001569FB" w:rsidRDefault="006C7E0D" w:rsidP="0065679D">
            <w:pPr>
              <w:keepNext/>
              <w:keepLines/>
              <w:jc w:val="center"/>
              <w:rPr>
                <w:sz w:val="18"/>
                <w:szCs w:val="18"/>
              </w:rPr>
            </w:pPr>
            <w:r w:rsidRPr="001569FB">
              <w:rPr>
                <w:sz w:val="18"/>
                <w:szCs w:val="18"/>
              </w:rPr>
              <w:t>2005</w:t>
            </w:r>
          </w:p>
        </w:tc>
        <w:tc>
          <w:tcPr>
            <w:tcW w:w="960" w:type="dxa"/>
            <w:shd w:val="clear" w:color="auto" w:fill="auto"/>
            <w:noWrap/>
            <w:hideMark/>
          </w:tcPr>
          <w:p w14:paraId="3983F2EB"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160AE5C9"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3B1DFD47"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088A5B8C"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3EE6B9AA"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346D8441"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68776EC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D2D3038" w14:textId="77777777" w:rsidTr="00956EAA">
        <w:trPr>
          <w:jc w:val="center"/>
        </w:trPr>
        <w:tc>
          <w:tcPr>
            <w:tcW w:w="960" w:type="dxa"/>
            <w:shd w:val="clear" w:color="auto" w:fill="auto"/>
            <w:noWrap/>
            <w:vAlign w:val="bottom"/>
            <w:hideMark/>
          </w:tcPr>
          <w:p w14:paraId="71D942D3" w14:textId="77777777" w:rsidR="006C7E0D" w:rsidRPr="001569FB" w:rsidRDefault="006C7E0D" w:rsidP="0065679D">
            <w:pPr>
              <w:keepNext/>
              <w:keepLines/>
              <w:jc w:val="center"/>
              <w:rPr>
                <w:sz w:val="18"/>
                <w:szCs w:val="18"/>
              </w:rPr>
            </w:pPr>
            <w:r w:rsidRPr="001569FB">
              <w:rPr>
                <w:sz w:val="18"/>
                <w:szCs w:val="18"/>
              </w:rPr>
              <w:t>2006</w:t>
            </w:r>
          </w:p>
        </w:tc>
        <w:tc>
          <w:tcPr>
            <w:tcW w:w="960" w:type="dxa"/>
            <w:shd w:val="clear" w:color="auto" w:fill="auto"/>
            <w:noWrap/>
            <w:hideMark/>
          </w:tcPr>
          <w:p w14:paraId="36E59735"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20E69E27"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4A4E0619"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2E4CD54F"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54A00493"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19DC632E"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36D5A524"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36A7453" w14:textId="77777777" w:rsidTr="00956EAA">
        <w:trPr>
          <w:jc w:val="center"/>
        </w:trPr>
        <w:tc>
          <w:tcPr>
            <w:tcW w:w="960" w:type="dxa"/>
            <w:shd w:val="clear" w:color="auto" w:fill="auto"/>
            <w:noWrap/>
            <w:vAlign w:val="bottom"/>
            <w:hideMark/>
          </w:tcPr>
          <w:p w14:paraId="099F9B87" w14:textId="77777777" w:rsidR="006C7E0D" w:rsidRPr="001569FB" w:rsidRDefault="006C7E0D" w:rsidP="0065679D">
            <w:pPr>
              <w:keepNext/>
              <w:keepLines/>
              <w:jc w:val="center"/>
              <w:rPr>
                <w:sz w:val="18"/>
                <w:szCs w:val="18"/>
              </w:rPr>
            </w:pPr>
            <w:r w:rsidRPr="001569FB">
              <w:rPr>
                <w:sz w:val="18"/>
                <w:szCs w:val="18"/>
              </w:rPr>
              <w:t>2007</w:t>
            </w:r>
          </w:p>
        </w:tc>
        <w:tc>
          <w:tcPr>
            <w:tcW w:w="960" w:type="dxa"/>
            <w:shd w:val="clear" w:color="auto" w:fill="auto"/>
            <w:noWrap/>
            <w:hideMark/>
          </w:tcPr>
          <w:p w14:paraId="4B1E52F3"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65610400"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55E35807"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0DB4F131"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7195A6CF"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152D5461"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070AC66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55E0775C" w14:textId="77777777" w:rsidTr="00956EAA">
        <w:trPr>
          <w:jc w:val="center"/>
        </w:trPr>
        <w:tc>
          <w:tcPr>
            <w:tcW w:w="960" w:type="dxa"/>
            <w:shd w:val="clear" w:color="auto" w:fill="auto"/>
            <w:noWrap/>
            <w:vAlign w:val="bottom"/>
            <w:hideMark/>
          </w:tcPr>
          <w:p w14:paraId="65FD673F" w14:textId="77777777" w:rsidR="006C7E0D" w:rsidRPr="001569FB" w:rsidRDefault="006C7E0D" w:rsidP="0065679D">
            <w:pPr>
              <w:keepNext/>
              <w:keepLines/>
              <w:jc w:val="center"/>
              <w:rPr>
                <w:sz w:val="18"/>
                <w:szCs w:val="18"/>
              </w:rPr>
            </w:pPr>
            <w:r w:rsidRPr="001569FB">
              <w:rPr>
                <w:sz w:val="18"/>
                <w:szCs w:val="18"/>
              </w:rPr>
              <w:t>2008</w:t>
            </w:r>
          </w:p>
        </w:tc>
        <w:tc>
          <w:tcPr>
            <w:tcW w:w="960" w:type="dxa"/>
            <w:shd w:val="clear" w:color="auto" w:fill="auto"/>
            <w:noWrap/>
            <w:hideMark/>
          </w:tcPr>
          <w:p w14:paraId="456EC696"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45C53525"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39949F50"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15B095DC"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3271CB93"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529B9826"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3628CA2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7C680C" w14:textId="77777777" w:rsidTr="00956EAA">
        <w:trPr>
          <w:jc w:val="center"/>
        </w:trPr>
        <w:tc>
          <w:tcPr>
            <w:tcW w:w="960" w:type="dxa"/>
            <w:shd w:val="clear" w:color="auto" w:fill="auto"/>
            <w:noWrap/>
            <w:vAlign w:val="bottom"/>
            <w:hideMark/>
          </w:tcPr>
          <w:p w14:paraId="1F4FF6EA" w14:textId="77777777" w:rsidR="006C7E0D" w:rsidRPr="001569FB" w:rsidRDefault="006C7E0D" w:rsidP="0065679D">
            <w:pPr>
              <w:keepNext/>
              <w:keepLines/>
              <w:jc w:val="center"/>
              <w:rPr>
                <w:sz w:val="18"/>
                <w:szCs w:val="18"/>
              </w:rPr>
            </w:pPr>
            <w:r w:rsidRPr="001569FB">
              <w:rPr>
                <w:sz w:val="18"/>
                <w:szCs w:val="18"/>
              </w:rPr>
              <w:t>2009</w:t>
            </w:r>
          </w:p>
        </w:tc>
        <w:tc>
          <w:tcPr>
            <w:tcW w:w="960" w:type="dxa"/>
            <w:shd w:val="clear" w:color="auto" w:fill="auto"/>
            <w:noWrap/>
            <w:hideMark/>
          </w:tcPr>
          <w:p w14:paraId="59C03776"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3E1C9C82"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6AACFD9E"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098A80CD"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217BE941"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29B01F9B"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64B9519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E1960F8" w14:textId="77777777" w:rsidTr="00956EAA">
        <w:trPr>
          <w:jc w:val="center"/>
        </w:trPr>
        <w:tc>
          <w:tcPr>
            <w:tcW w:w="960" w:type="dxa"/>
            <w:shd w:val="clear" w:color="auto" w:fill="auto"/>
            <w:noWrap/>
            <w:vAlign w:val="bottom"/>
            <w:hideMark/>
          </w:tcPr>
          <w:p w14:paraId="23B06BCE" w14:textId="77777777" w:rsidR="006C7E0D" w:rsidRPr="001569FB" w:rsidRDefault="006C7E0D" w:rsidP="0065679D">
            <w:pPr>
              <w:keepNext/>
              <w:keepLines/>
              <w:jc w:val="center"/>
              <w:rPr>
                <w:sz w:val="18"/>
                <w:szCs w:val="18"/>
              </w:rPr>
            </w:pPr>
            <w:r w:rsidRPr="001569FB">
              <w:rPr>
                <w:sz w:val="18"/>
                <w:szCs w:val="18"/>
              </w:rPr>
              <w:t>2010</w:t>
            </w:r>
          </w:p>
        </w:tc>
        <w:tc>
          <w:tcPr>
            <w:tcW w:w="960" w:type="dxa"/>
            <w:shd w:val="clear" w:color="auto" w:fill="auto"/>
            <w:noWrap/>
            <w:hideMark/>
          </w:tcPr>
          <w:p w14:paraId="42247056" w14:textId="77777777" w:rsidR="006C7E0D" w:rsidRPr="001569FB" w:rsidRDefault="006C7E0D" w:rsidP="0065679D">
            <w:pPr>
              <w:keepNext/>
              <w:keepLines/>
              <w:jc w:val="right"/>
              <w:rPr>
                <w:sz w:val="18"/>
                <w:szCs w:val="18"/>
              </w:rPr>
            </w:pPr>
            <w:r w:rsidRPr="001569FB">
              <w:rPr>
                <w:sz w:val="18"/>
                <w:szCs w:val="18"/>
              </w:rPr>
              <w:t xml:space="preserve">$383.93 </w:t>
            </w:r>
          </w:p>
        </w:tc>
        <w:tc>
          <w:tcPr>
            <w:tcW w:w="960" w:type="dxa"/>
            <w:shd w:val="clear" w:color="auto" w:fill="auto"/>
            <w:noWrap/>
            <w:hideMark/>
          </w:tcPr>
          <w:p w14:paraId="0AF67D6B" w14:textId="77777777" w:rsidR="006C7E0D" w:rsidRPr="001569FB" w:rsidRDefault="006C7E0D" w:rsidP="0065679D">
            <w:pPr>
              <w:keepNext/>
              <w:keepLines/>
              <w:jc w:val="right"/>
              <w:rPr>
                <w:sz w:val="18"/>
                <w:szCs w:val="18"/>
              </w:rPr>
            </w:pPr>
            <w:r w:rsidRPr="001569FB">
              <w:rPr>
                <w:sz w:val="18"/>
                <w:szCs w:val="18"/>
              </w:rPr>
              <w:t xml:space="preserve">$383.94 </w:t>
            </w:r>
          </w:p>
        </w:tc>
        <w:tc>
          <w:tcPr>
            <w:tcW w:w="960" w:type="dxa"/>
            <w:shd w:val="clear" w:color="auto" w:fill="auto"/>
            <w:noWrap/>
            <w:hideMark/>
          </w:tcPr>
          <w:p w14:paraId="2D36341C" w14:textId="77777777" w:rsidR="006C7E0D" w:rsidRPr="001569FB" w:rsidRDefault="006C7E0D" w:rsidP="0065679D">
            <w:pPr>
              <w:keepNext/>
              <w:keepLines/>
              <w:jc w:val="right"/>
              <w:rPr>
                <w:sz w:val="18"/>
                <w:szCs w:val="18"/>
              </w:rPr>
            </w:pPr>
            <w:r w:rsidRPr="001569FB">
              <w:rPr>
                <w:sz w:val="18"/>
                <w:szCs w:val="18"/>
              </w:rPr>
              <w:t>$376.81</w:t>
            </w:r>
          </w:p>
        </w:tc>
        <w:tc>
          <w:tcPr>
            <w:tcW w:w="960" w:type="dxa"/>
            <w:shd w:val="clear" w:color="auto" w:fill="auto"/>
            <w:noWrap/>
            <w:hideMark/>
          </w:tcPr>
          <w:p w14:paraId="1379DF88" w14:textId="77777777" w:rsidR="006C7E0D" w:rsidRPr="001569FB" w:rsidRDefault="006C7E0D" w:rsidP="0065679D">
            <w:pPr>
              <w:keepNext/>
              <w:keepLines/>
              <w:jc w:val="right"/>
              <w:rPr>
                <w:sz w:val="18"/>
                <w:szCs w:val="18"/>
              </w:rPr>
            </w:pPr>
            <w:r w:rsidRPr="001569FB">
              <w:rPr>
                <w:sz w:val="18"/>
                <w:szCs w:val="18"/>
              </w:rPr>
              <w:t>$376.82</w:t>
            </w:r>
          </w:p>
        </w:tc>
        <w:tc>
          <w:tcPr>
            <w:tcW w:w="960" w:type="dxa"/>
            <w:shd w:val="clear" w:color="auto" w:fill="auto"/>
            <w:noWrap/>
            <w:hideMark/>
          </w:tcPr>
          <w:p w14:paraId="45811137" w14:textId="77777777" w:rsidR="006C7E0D" w:rsidRPr="001569FB" w:rsidRDefault="006C7E0D" w:rsidP="0065679D">
            <w:pPr>
              <w:keepNext/>
              <w:keepLines/>
              <w:jc w:val="right"/>
              <w:rPr>
                <w:sz w:val="18"/>
                <w:szCs w:val="18"/>
              </w:rPr>
            </w:pPr>
            <w:r w:rsidRPr="001569FB">
              <w:rPr>
                <w:sz w:val="18"/>
                <w:szCs w:val="18"/>
              </w:rPr>
              <w:t xml:space="preserve">$760.74 </w:t>
            </w:r>
          </w:p>
        </w:tc>
        <w:tc>
          <w:tcPr>
            <w:tcW w:w="960" w:type="dxa"/>
            <w:shd w:val="clear" w:color="auto" w:fill="auto"/>
            <w:noWrap/>
            <w:hideMark/>
          </w:tcPr>
          <w:p w14:paraId="037E364A" w14:textId="77777777" w:rsidR="006C7E0D" w:rsidRPr="001569FB" w:rsidRDefault="006C7E0D" w:rsidP="0065679D">
            <w:pPr>
              <w:keepNext/>
              <w:keepLines/>
              <w:jc w:val="right"/>
              <w:rPr>
                <w:sz w:val="18"/>
                <w:szCs w:val="18"/>
              </w:rPr>
            </w:pPr>
            <w:r w:rsidRPr="001569FB">
              <w:rPr>
                <w:sz w:val="18"/>
                <w:szCs w:val="18"/>
              </w:rPr>
              <w:t xml:space="preserve">$760.76 </w:t>
            </w:r>
          </w:p>
        </w:tc>
        <w:tc>
          <w:tcPr>
            <w:tcW w:w="960" w:type="dxa"/>
            <w:shd w:val="clear" w:color="auto" w:fill="auto"/>
            <w:noWrap/>
            <w:hideMark/>
          </w:tcPr>
          <w:p w14:paraId="1BF5570D"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83DBC8F" w14:textId="77777777" w:rsidTr="00956EAA">
        <w:trPr>
          <w:jc w:val="center"/>
        </w:trPr>
        <w:tc>
          <w:tcPr>
            <w:tcW w:w="960" w:type="dxa"/>
            <w:shd w:val="clear" w:color="auto" w:fill="auto"/>
            <w:noWrap/>
            <w:vAlign w:val="bottom"/>
            <w:hideMark/>
          </w:tcPr>
          <w:p w14:paraId="1EA9DC5E" w14:textId="77777777" w:rsidR="006C7E0D" w:rsidRPr="001569FB" w:rsidRDefault="006C7E0D" w:rsidP="0065679D">
            <w:pPr>
              <w:keepNext/>
              <w:keepLines/>
              <w:jc w:val="center"/>
              <w:rPr>
                <w:sz w:val="18"/>
                <w:szCs w:val="18"/>
              </w:rPr>
            </w:pPr>
            <w:r w:rsidRPr="001569FB">
              <w:rPr>
                <w:sz w:val="18"/>
                <w:szCs w:val="18"/>
              </w:rPr>
              <w:t>2011</w:t>
            </w:r>
          </w:p>
        </w:tc>
        <w:tc>
          <w:tcPr>
            <w:tcW w:w="960" w:type="dxa"/>
            <w:shd w:val="clear" w:color="auto" w:fill="auto"/>
            <w:noWrap/>
            <w:hideMark/>
          </w:tcPr>
          <w:p w14:paraId="7577C68E" w14:textId="77777777" w:rsidR="006C7E0D" w:rsidRPr="001569FB" w:rsidRDefault="006C7E0D" w:rsidP="0065679D">
            <w:pPr>
              <w:keepNext/>
              <w:keepLines/>
              <w:jc w:val="right"/>
              <w:rPr>
                <w:sz w:val="18"/>
                <w:szCs w:val="18"/>
              </w:rPr>
            </w:pPr>
            <w:r w:rsidRPr="001569FB">
              <w:rPr>
                <w:sz w:val="18"/>
                <w:szCs w:val="18"/>
              </w:rPr>
              <w:t xml:space="preserve">$387.95 </w:t>
            </w:r>
          </w:p>
        </w:tc>
        <w:tc>
          <w:tcPr>
            <w:tcW w:w="960" w:type="dxa"/>
            <w:shd w:val="clear" w:color="auto" w:fill="auto"/>
            <w:noWrap/>
            <w:hideMark/>
          </w:tcPr>
          <w:p w14:paraId="0F092F93" w14:textId="77777777" w:rsidR="006C7E0D" w:rsidRPr="001569FB" w:rsidRDefault="006C7E0D" w:rsidP="0065679D">
            <w:pPr>
              <w:keepNext/>
              <w:keepLines/>
              <w:jc w:val="right"/>
              <w:rPr>
                <w:sz w:val="18"/>
                <w:szCs w:val="18"/>
              </w:rPr>
            </w:pPr>
            <w:r w:rsidRPr="001569FB">
              <w:rPr>
                <w:sz w:val="18"/>
                <w:szCs w:val="18"/>
              </w:rPr>
              <w:t xml:space="preserve">$386.94 </w:t>
            </w:r>
          </w:p>
        </w:tc>
        <w:tc>
          <w:tcPr>
            <w:tcW w:w="960" w:type="dxa"/>
            <w:shd w:val="clear" w:color="auto" w:fill="auto"/>
            <w:noWrap/>
            <w:hideMark/>
          </w:tcPr>
          <w:p w14:paraId="6E72C2C9" w14:textId="77777777" w:rsidR="006C7E0D" w:rsidRPr="001569FB" w:rsidRDefault="006C7E0D" w:rsidP="0065679D">
            <w:pPr>
              <w:keepNext/>
              <w:keepLines/>
              <w:jc w:val="right"/>
              <w:rPr>
                <w:sz w:val="18"/>
                <w:szCs w:val="18"/>
              </w:rPr>
            </w:pPr>
            <w:r w:rsidRPr="001569FB">
              <w:rPr>
                <w:sz w:val="18"/>
                <w:szCs w:val="18"/>
              </w:rPr>
              <w:t>$386.23</w:t>
            </w:r>
          </w:p>
        </w:tc>
        <w:tc>
          <w:tcPr>
            <w:tcW w:w="960" w:type="dxa"/>
            <w:shd w:val="clear" w:color="auto" w:fill="auto"/>
            <w:noWrap/>
            <w:hideMark/>
          </w:tcPr>
          <w:p w14:paraId="43A7958D" w14:textId="77777777" w:rsidR="006C7E0D" w:rsidRPr="001569FB" w:rsidRDefault="006C7E0D" w:rsidP="0065679D">
            <w:pPr>
              <w:keepNext/>
              <w:keepLines/>
              <w:jc w:val="right"/>
              <w:rPr>
                <w:sz w:val="18"/>
                <w:szCs w:val="18"/>
              </w:rPr>
            </w:pPr>
            <w:r w:rsidRPr="001569FB">
              <w:rPr>
                <w:sz w:val="18"/>
                <w:szCs w:val="18"/>
              </w:rPr>
              <w:t>$386.24</w:t>
            </w:r>
          </w:p>
        </w:tc>
        <w:tc>
          <w:tcPr>
            <w:tcW w:w="960" w:type="dxa"/>
            <w:shd w:val="clear" w:color="auto" w:fill="auto"/>
            <w:noWrap/>
            <w:hideMark/>
          </w:tcPr>
          <w:p w14:paraId="0F2117DE" w14:textId="77777777" w:rsidR="006C7E0D" w:rsidRPr="001569FB" w:rsidRDefault="006C7E0D" w:rsidP="0065679D">
            <w:pPr>
              <w:keepNext/>
              <w:keepLines/>
              <w:jc w:val="right"/>
              <w:rPr>
                <w:sz w:val="18"/>
                <w:szCs w:val="18"/>
              </w:rPr>
            </w:pPr>
            <w:r w:rsidRPr="001569FB">
              <w:rPr>
                <w:sz w:val="18"/>
                <w:szCs w:val="18"/>
              </w:rPr>
              <w:t xml:space="preserve">$774.18 </w:t>
            </w:r>
          </w:p>
        </w:tc>
        <w:tc>
          <w:tcPr>
            <w:tcW w:w="960" w:type="dxa"/>
            <w:shd w:val="clear" w:color="auto" w:fill="auto"/>
            <w:noWrap/>
            <w:hideMark/>
          </w:tcPr>
          <w:p w14:paraId="039D6ABB" w14:textId="77777777" w:rsidR="006C7E0D" w:rsidRPr="001569FB" w:rsidRDefault="006C7E0D" w:rsidP="0065679D">
            <w:pPr>
              <w:keepNext/>
              <w:keepLines/>
              <w:jc w:val="right"/>
              <w:rPr>
                <w:sz w:val="18"/>
                <w:szCs w:val="18"/>
              </w:rPr>
            </w:pPr>
            <w:r w:rsidRPr="001569FB">
              <w:rPr>
                <w:sz w:val="18"/>
                <w:szCs w:val="18"/>
              </w:rPr>
              <w:t xml:space="preserve">$773.18 </w:t>
            </w:r>
          </w:p>
        </w:tc>
        <w:tc>
          <w:tcPr>
            <w:tcW w:w="960" w:type="dxa"/>
            <w:shd w:val="clear" w:color="auto" w:fill="auto"/>
            <w:noWrap/>
            <w:hideMark/>
          </w:tcPr>
          <w:p w14:paraId="49143B8F"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00667079" w14:textId="77777777" w:rsidTr="00956EAA">
        <w:trPr>
          <w:jc w:val="center"/>
        </w:trPr>
        <w:tc>
          <w:tcPr>
            <w:tcW w:w="960" w:type="dxa"/>
            <w:shd w:val="clear" w:color="auto" w:fill="auto"/>
            <w:noWrap/>
            <w:vAlign w:val="bottom"/>
            <w:hideMark/>
          </w:tcPr>
          <w:p w14:paraId="63778B18" w14:textId="77777777" w:rsidR="006C7E0D" w:rsidRPr="001569FB" w:rsidRDefault="006C7E0D" w:rsidP="0065679D">
            <w:pPr>
              <w:keepNext/>
              <w:keepLines/>
              <w:jc w:val="center"/>
              <w:rPr>
                <w:sz w:val="18"/>
                <w:szCs w:val="18"/>
              </w:rPr>
            </w:pPr>
            <w:r w:rsidRPr="001569FB">
              <w:rPr>
                <w:sz w:val="18"/>
                <w:szCs w:val="18"/>
              </w:rPr>
              <w:t>2012</w:t>
            </w:r>
          </w:p>
        </w:tc>
        <w:tc>
          <w:tcPr>
            <w:tcW w:w="960" w:type="dxa"/>
            <w:shd w:val="clear" w:color="auto" w:fill="auto"/>
            <w:noWrap/>
            <w:hideMark/>
          </w:tcPr>
          <w:p w14:paraId="7C200D0E" w14:textId="77777777" w:rsidR="006C7E0D" w:rsidRPr="001569FB" w:rsidRDefault="006C7E0D" w:rsidP="0065679D">
            <w:pPr>
              <w:keepNext/>
              <w:keepLines/>
              <w:jc w:val="right"/>
              <w:rPr>
                <w:sz w:val="18"/>
                <w:szCs w:val="18"/>
              </w:rPr>
            </w:pPr>
            <w:r w:rsidRPr="001569FB">
              <w:rPr>
                <w:sz w:val="18"/>
                <w:szCs w:val="18"/>
              </w:rPr>
              <w:t xml:space="preserve">$377.47 </w:t>
            </w:r>
          </w:p>
        </w:tc>
        <w:tc>
          <w:tcPr>
            <w:tcW w:w="960" w:type="dxa"/>
            <w:shd w:val="clear" w:color="auto" w:fill="auto"/>
            <w:noWrap/>
            <w:hideMark/>
          </w:tcPr>
          <w:p w14:paraId="74A1BD28" w14:textId="77777777" w:rsidR="006C7E0D" w:rsidRPr="001569FB" w:rsidRDefault="006C7E0D" w:rsidP="0065679D">
            <w:pPr>
              <w:keepNext/>
              <w:keepLines/>
              <w:jc w:val="right"/>
              <w:rPr>
                <w:sz w:val="18"/>
                <w:szCs w:val="18"/>
              </w:rPr>
            </w:pPr>
            <w:r w:rsidRPr="001569FB">
              <w:rPr>
                <w:sz w:val="18"/>
                <w:szCs w:val="18"/>
              </w:rPr>
              <w:t xml:space="preserve">$378.95 </w:t>
            </w:r>
          </w:p>
        </w:tc>
        <w:tc>
          <w:tcPr>
            <w:tcW w:w="960" w:type="dxa"/>
            <w:shd w:val="clear" w:color="auto" w:fill="auto"/>
            <w:noWrap/>
            <w:hideMark/>
          </w:tcPr>
          <w:p w14:paraId="7BE29719" w14:textId="77777777" w:rsidR="006C7E0D" w:rsidRPr="001569FB" w:rsidRDefault="006C7E0D" w:rsidP="0065679D">
            <w:pPr>
              <w:keepNext/>
              <w:keepLines/>
              <w:jc w:val="right"/>
              <w:rPr>
                <w:sz w:val="18"/>
                <w:szCs w:val="18"/>
              </w:rPr>
            </w:pPr>
            <w:r w:rsidRPr="001569FB">
              <w:rPr>
                <w:sz w:val="18"/>
                <w:szCs w:val="18"/>
              </w:rPr>
              <w:t>$392.75</w:t>
            </w:r>
          </w:p>
        </w:tc>
        <w:tc>
          <w:tcPr>
            <w:tcW w:w="960" w:type="dxa"/>
            <w:shd w:val="clear" w:color="auto" w:fill="auto"/>
            <w:noWrap/>
            <w:hideMark/>
          </w:tcPr>
          <w:p w14:paraId="3ECB85C1" w14:textId="77777777" w:rsidR="006C7E0D" w:rsidRPr="001569FB" w:rsidRDefault="006C7E0D" w:rsidP="0065679D">
            <w:pPr>
              <w:keepNext/>
              <w:keepLines/>
              <w:jc w:val="right"/>
              <w:rPr>
                <w:sz w:val="18"/>
                <w:szCs w:val="18"/>
              </w:rPr>
            </w:pPr>
            <w:r w:rsidRPr="001569FB">
              <w:rPr>
                <w:sz w:val="18"/>
                <w:szCs w:val="18"/>
              </w:rPr>
              <w:t>$392.77</w:t>
            </w:r>
          </w:p>
        </w:tc>
        <w:tc>
          <w:tcPr>
            <w:tcW w:w="960" w:type="dxa"/>
            <w:shd w:val="clear" w:color="auto" w:fill="auto"/>
            <w:noWrap/>
            <w:hideMark/>
          </w:tcPr>
          <w:p w14:paraId="20D717B4" w14:textId="77777777" w:rsidR="006C7E0D" w:rsidRPr="001569FB" w:rsidRDefault="006C7E0D" w:rsidP="0065679D">
            <w:pPr>
              <w:keepNext/>
              <w:keepLines/>
              <w:jc w:val="right"/>
              <w:rPr>
                <w:sz w:val="18"/>
                <w:szCs w:val="18"/>
              </w:rPr>
            </w:pPr>
            <w:r w:rsidRPr="001569FB">
              <w:rPr>
                <w:sz w:val="18"/>
                <w:szCs w:val="18"/>
              </w:rPr>
              <w:t xml:space="preserve">$770.22 </w:t>
            </w:r>
          </w:p>
        </w:tc>
        <w:tc>
          <w:tcPr>
            <w:tcW w:w="960" w:type="dxa"/>
            <w:shd w:val="clear" w:color="auto" w:fill="auto"/>
            <w:noWrap/>
            <w:hideMark/>
          </w:tcPr>
          <w:p w14:paraId="76B51F04" w14:textId="77777777" w:rsidR="006C7E0D" w:rsidRPr="001569FB" w:rsidRDefault="006C7E0D" w:rsidP="0065679D">
            <w:pPr>
              <w:keepNext/>
              <w:keepLines/>
              <w:jc w:val="right"/>
              <w:rPr>
                <w:sz w:val="18"/>
                <w:szCs w:val="18"/>
              </w:rPr>
            </w:pPr>
            <w:r w:rsidRPr="001569FB">
              <w:rPr>
                <w:sz w:val="18"/>
                <w:szCs w:val="18"/>
              </w:rPr>
              <w:t xml:space="preserve">$771.72 </w:t>
            </w:r>
          </w:p>
        </w:tc>
        <w:tc>
          <w:tcPr>
            <w:tcW w:w="960" w:type="dxa"/>
            <w:shd w:val="clear" w:color="auto" w:fill="auto"/>
            <w:noWrap/>
            <w:hideMark/>
          </w:tcPr>
          <w:p w14:paraId="1D73D95C" w14:textId="77777777" w:rsidR="006C7E0D" w:rsidRPr="001569FB" w:rsidRDefault="006C7E0D" w:rsidP="0065679D">
            <w:pPr>
              <w:keepNext/>
              <w:keepLines/>
              <w:jc w:val="right"/>
              <w:rPr>
                <w:sz w:val="18"/>
                <w:szCs w:val="18"/>
              </w:rPr>
            </w:pPr>
            <w:r w:rsidRPr="001569FB">
              <w:rPr>
                <w:sz w:val="18"/>
                <w:szCs w:val="18"/>
              </w:rPr>
              <w:t>0.998</w:t>
            </w:r>
          </w:p>
        </w:tc>
      </w:tr>
      <w:tr w:rsidR="006C7E0D" w:rsidRPr="001569FB" w14:paraId="2A9C5BDA" w14:textId="77777777" w:rsidTr="00956EAA">
        <w:trPr>
          <w:jc w:val="center"/>
        </w:trPr>
        <w:tc>
          <w:tcPr>
            <w:tcW w:w="960" w:type="dxa"/>
            <w:shd w:val="clear" w:color="auto" w:fill="auto"/>
            <w:noWrap/>
            <w:vAlign w:val="bottom"/>
            <w:hideMark/>
          </w:tcPr>
          <w:p w14:paraId="74F58175" w14:textId="77777777" w:rsidR="006C7E0D" w:rsidRPr="001569FB" w:rsidRDefault="006C7E0D" w:rsidP="0065679D">
            <w:pPr>
              <w:keepNext/>
              <w:keepLines/>
              <w:jc w:val="center"/>
              <w:rPr>
                <w:sz w:val="18"/>
                <w:szCs w:val="18"/>
              </w:rPr>
            </w:pPr>
            <w:r w:rsidRPr="001569FB">
              <w:rPr>
                <w:sz w:val="18"/>
                <w:szCs w:val="18"/>
              </w:rPr>
              <w:t>2013</w:t>
            </w:r>
          </w:p>
        </w:tc>
        <w:tc>
          <w:tcPr>
            <w:tcW w:w="960" w:type="dxa"/>
            <w:shd w:val="clear" w:color="auto" w:fill="auto"/>
            <w:noWrap/>
            <w:hideMark/>
          </w:tcPr>
          <w:p w14:paraId="09746BDB"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525A6648"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7112BB0F" w14:textId="77777777" w:rsidR="006C7E0D" w:rsidRPr="001569FB" w:rsidRDefault="006C7E0D" w:rsidP="0065679D">
            <w:pPr>
              <w:keepNext/>
              <w:keepLines/>
              <w:jc w:val="right"/>
              <w:rPr>
                <w:sz w:val="18"/>
                <w:szCs w:val="18"/>
              </w:rPr>
            </w:pPr>
            <w:r w:rsidRPr="001569FB">
              <w:rPr>
                <w:sz w:val="18"/>
                <w:szCs w:val="18"/>
              </w:rPr>
              <w:t>$399.46</w:t>
            </w:r>
          </w:p>
        </w:tc>
        <w:tc>
          <w:tcPr>
            <w:tcW w:w="960" w:type="dxa"/>
            <w:shd w:val="clear" w:color="auto" w:fill="auto"/>
            <w:noWrap/>
            <w:hideMark/>
          </w:tcPr>
          <w:p w14:paraId="769F25A8" w14:textId="77777777" w:rsidR="006C7E0D" w:rsidRPr="001569FB" w:rsidRDefault="006C7E0D" w:rsidP="0065679D">
            <w:pPr>
              <w:keepNext/>
              <w:keepLines/>
              <w:jc w:val="right"/>
              <w:rPr>
                <w:sz w:val="18"/>
                <w:szCs w:val="18"/>
              </w:rPr>
            </w:pPr>
            <w:r w:rsidRPr="001569FB">
              <w:rPr>
                <w:sz w:val="18"/>
                <w:szCs w:val="18"/>
              </w:rPr>
              <w:t>$399.56</w:t>
            </w:r>
          </w:p>
        </w:tc>
        <w:tc>
          <w:tcPr>
            <w:tcW w:w="960" w:type="dxa"/>
            <w:shd w:val="clear" w:color="auto" w:fill="auto"/>
            <w:noWrap/>
            <w:hideMark/>
          </w:tcPr>
          <w:p w14:paraId="52749DEF" w14:textId="77777777" w:rsidR="006C7E0D" w:rsidRPr="001569FB" w:rsidRDefault="006C7E0D" w:rsidP="0065679D">
            <w:pPr>
              <w:keepNext/>
              <w:keepLines/>
              <w:jc w:val="right"/>
              <w:rPr>
                <w:sz w:val="18"/>
                <w:szCs w:val="18"/>
              </w:rPr>
            </w:pPr>
            <w:r w:rsidRPr="001569FB">
              <w:rPr>
                <w:sz w:val="18"/>
                <w:szCs w:val="18"/>
              </w:rPr>
              <w:t xml:space="preserve">$780.65 </w:t>
            </w:r>
          </w:p>
        </w:tc>
        <w:tc>
          <w:tcPr>
            <w:tcW w:w="960" w:type="dxa"/>
            <w:shd w:val="clear" w:color="auto" w:fill="auto"/>
            <w:noWrap/>
            <w:hideMark/>
          </w:tcPr>
          <w:p w14:paraId="5EDBB60F" w14:textId="77777777" w:rsidR="006C7E0D" w:rsidRPr="001569FB" w:rsidRDefault="006C7E0D" w:rsidP="0065679D">
            <w:pPr>
              <w:keepNext/>
              <w:keepLines/>
              <w:jc w:val="right"/>
              <w:rPr>
                <w:sz w:val="18"/>
                <w:szCs w:val="18"/>
              </w:rPr>
            </w:pPr>
            <w:r w:rsidRPr="001569FB">
              <w:rPr>
                <w:sz w:val="18"/>
                <w:szCs w:val="18"/>
              </w:rPr>
              <w:t xml:space="preserve">$780.75 </w:t>
            </w:r>
          </w:p>
        </w:tc>
        <w:tc>
          <w:tcPr>
            <w:tcW w:w="960" w:type="dxa"/>
            <w:shd w:val="clear" w:color="auto" w:fill="auto"/>
            <w:noWrap/>
            <w:hideMark/>
          </w:tcPr>
          <w:p w14:paraId="2DE44E4B"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0C3CF314" w14:textId="77777777" w:rsidTr="00956EAA">
        <w:trPr>
          <w:jc w:val="center"/>
        </w:trPr>
        <w:tc>
          <w:tcPr>
            <w:tcW w:w="960" w:type="dxa"/>
            <w:shd w:val="clear" w:color="auto" w:fill="auto"/>
            <w:noWrap/>
            <w:vAlign w:val="bottom"/>
            <w:hideMark/>
          </w:tcPr>
          <w:p w14:paraId="4B7C9469" w14:textId="77777777" w:rsidR="006C7E0D" w:rsidRPr="001569FB" w:rsidRDefault="006C7E0D" w:rsidP="0065679D">
            <w:pPr>
              <w:keepNext/>
              <w:keepLines/>
              <w:jc w:val="center"/>
              <w:rPr>
                <w:sz w:val="18"/>
                <w:szCs w:val="18"/>
              </w:rPr>
            </w:pPr>
            <w:r w:rsidRPr="001569FB">
              <w:rPr>
                <w:sz w:val="18"/>
                <w:szCs w:val="18"/>
              </w:rPr>
              <w:t>2014</w:t>
            </w:r>
          </w:p>
        </w:tc>
        <w:tc>
          <w:tcPr>
            <w:tcW w:w="960" w:type="dxa"/>
            <w:shd w:val="clear" w:color="auto" w:fill="auto"/>
            <w:noWrap/>
            <w:hideMark/>
          </w:tcPr>
          <w:p w14:paraId="05564E4C" w14:textId="77777777" w:rsidR="006C7E0D" w:rsidRPr="001569FB" w:rsidRDefault="006C7E0D" w:rsidP="0065679D">
            <w:pPr>
              <w:keepNext/>
              <w:keepLines/>
              <w:jc w:val="right"/>
              <w:rPr>
                <w:sz w:val="18"/>
                <w:szCs w:val="18"/>
              </w:rPr>
            </w:pPr>
            <w:r w:rsidRPr="001569FB">
              <w:rPr>
                <w:sz w:val="18"/>
                <w:szCs w:val="18"/>
              </w:rPr>
              <w:t xml:space="preserve">$371.96 </w:t>
            </w:r>
          </w:p>
        </w:tc>
        <w:tc>
          <w:tcPr>
            <w:tcW w:w="960" w:type="dxa"/>
            <w:shd w:val="clear" w:color="auto" w:fill="auto"/>
            <w:noWrap/>
            <w:hideMark/>
          </w:tcPr>
          <w:p w14:paraId="5B067E64" w14:textId="77777777" w:rsidR="006C7E0D" w:rsidRPr="001569FB" w:rsidRDefault="006C7E0D" w:rsidP="0065679D">
            <w:pPr>
              <w:keepNext/>
              <w:keepLines/>
              <w:jc w:val="right"/>
              <w:rPr>
                <w:sz w:val="18"/>
                <w:szCs w:val="18"/>
              </w:rPr>
            </w:pPr>
            <w:r w:rsidRPr="001569FB">
              <w:rPr>
                <w:sz w:val="18"/>
                <w:szCs w:val="18"/>
              </w:rPr>
              <w:t xml:space="preserve">$371.71 </w:t>
            </w:r>
          </w:p>
        </w:tc>
        <w:tc>
          <w:tcPr>
            <w:tcW w:w="960" w:type="dxa"/>
            <w:shd w:val="clear" w:color="auto" w:fill="auto"/>
            <w:noWrap/>
            <w:hideMark/>
          </w:tcPr>
          <w:p w14:paraId="232BB8CB" w14:textId="77777777" w:rsidR="006C7E0D" w:rsidRPr="001569FB" w:rsidRDefault="006C7E0D" w:rsidP="0065679D">
            <w:pPr>
              <w:keepNext/>
              <w:keepLines/>
              <w:jc w:val="right"/>
              <w:rPr>
                <w:sz w:val="18"/>
                <w:szCs w:val="18"/>
              </w:rPr>
            </w:pPr>
            <w:r w:rsidRPr="001569FB">
              <w:rPr>
                <w:sz w:val="18"/>
                <w:szCs w:val="18"/>
              </w:rPr>
              <w:t>$418.42</w:t>
            </w:r>
          </w:p>
        </w:tc>
        <w:tc>
          <w:tcPr>
            <w:tcW w:w="960" w:type="dxa"/>
            <w:shd w:val="clear" w:color="auto" w:fill="auto"/>
            <w:noWrap/>
            <w:hideMark/>
          </w:tcPr>
          <w:p w14:paraId="5F5CFDE4" w14:textId="77777777" w:rsidR="006C7E0D" w:rsidRPr="001569FB" w:rsidRDefault="006C7E0D" w:rsidP="0065679D">
            <w:pPr>
              <w:keepNext/>
              <w:keepLines/>
              <w:jc w:val="right"/>
              <w:rPr>
                <w:sz w:val="18"/>
                <w:szCs w:val="18"/>
              </w:rPr>
            </w:pPr>
            <w:r w:rsidRPr="001569FB">
              <w:rPr>
                <w:sz w:val="18"/>
                <w:szCs w:val="18"/>
              </w:rPr>
              <w:t>$418.73</w:t>
            </w:r>
          </w:p>
        </w:tc>
        <w:tc>
          <w:tcPr>
            <w:tcW w:w="960" w:type="dxa"/>
            <w:shd w:val="clear" w:color="auto" w:fill="auto"/>
            <w:noWrap/>
            <w:hideMark/>
          </w:tcPr>
          <w:p w14:paraId="0D84EBDF" w14:textId="77777777" w:rsidR="006C7E0D" w:rsidRPr="001569FB" w:rsidRDefault="006C7E0D" w:rsidP="0065679D">
            <w:pPr>
              <w:keepNext/>
              <w:keepLines/>
              <w:jc w:val="right"/>
              <w:rPr>
                <w:sz w:val="18"/>
                <w:szCs w:val="18"/>
              </w:rPr>
            </w:pPr>
            <w:r w:rsidRPr="001569FB">
              <w:rPr>
                <w:sz w:val="18"/>
                <w:szCs w:val="18"/>
              </w:rPr>
              <w:t xml:space="preserve">$790.38 </w:t>
            </w:r>
          </w:p>
        </w:tc>
        <w:tc>
          <w:tcPr>
            <w:tcW w:w="960" w:type="dxa"/>
            <w:shd w:val="clear" w:color="auto" w:fill="auto"/>
            <w:noWrap/>
            <w:hideMark/>
          </w:tcPr>
          <w:p w14:paraId="3F598DE6" w14:textId="77777777" w:rsidR="006C7E0D" w:rsidRPr="001569FB" w:rsidRDefault="006C7E0D" w:rsidP="0065679D">
            <w:pPr>
              <w:keepNext/>
              <w:keepLines/>
              <w:jc w:val="right"/>
              <w:rPr>
                <w:sz w:val="18"/>
                <w:szCs w:val="18"/>
              </w:rPr>
            </w:pPr>
            <w:r w:rsidRPr="001569FB">
              <w:rPr>
                <w:sz w:val="18"/>
                <w:szCs w:val="18"/>
              </w:rPr>
              <w:t xml:space="preserve">$790.44 </w:t>
            </w:r>
          </w:p>
        </w:tc>
        <w:tc>
          <w:tcPr>
            <w:tcW w:w="960" w:type="dxa"/>
            <w:shd w:val="clear" w:color="auto" w:fill="auto"/>
            <w:noWrap/>
            <w:hideMark/>
          </w:tcPr>
          <w:p w14:paraId="69A579C2"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57BDE6" w14:textId="77777777" w:rsidTr="00956EAA">
        <w:trPr>
          <w:jc w:val="center"/>
        </w:trPr>
        <w:tc>
          <w:tcPr>
            <w:tcW w:w="960" w:type="dxa"/>
            <w:shd w:val="clear" w:color="auto" w:fill="auto"/>
            <w:noWrap/>
            <w:vAlign w:val="bottom"/>
            <w:hideMark/>
          </w:tcPr>
          <w:p w14:paraId="1945F373" w14:textId="77777777" w:rsidR="006C7E0D" w:rsidRPr="001569FB" w:rsidRDefault="006C7E0D" w:rsidP="0065679D">
            <w:pPr>
              <w:keepNext/>
              <w:keepLines/>
              <w:jc w:val="center"/>
              <w:rPr>
                <w:sz w:val="18"/>
                <w:szCs w:val="18"/>
              </w:rPr>
            </w:pPr>
            <w:r w:rsidRPr="001569FB">
              <w:rPr>
                <w:sz w:val="18"/>
                <w:szCs w:val="18"/>
              </w:rPr>
              <w:t>2015</w:t>
            </w:r>
          </w:p>
        </w:tc>
        <w:tc>
          <w:tcPr>
            <w:tcW w:w="960" w:type="dxa"/>
            <w:shd w:val="clear" w:color="auto" w:fill="auto"/>
            <w:noWrap/>
            <w:hideMark/>
          </w:tcPr>
          <w:p w14:paraId="2B994A8F" w14:textId="77777777" w:rsidR="006C7E0D" w:rsidRPr="001569FB" w:rsidRDefault="006C7E0D" w:rsidP="0065679D">
            <w:pPr>
              <w:keepNext/>
              <w:keepLines/>
              <w:jc w:val="right"/>
              <w:rPr>
                <w:sz w:val="18"/>
                <w:szCs w:val="18"/>
              </w:rPr>
            </w:pPr>
            <w:r w:rsidRPr="001569FB">
              <w:rPr>
                <w:sz w:val="18"/>
                <w:szCs w:val="18"/>
              </w:rPr>
              <w:t xml:space="preserve">$375.48 </w:t>
            </w:r>
          </w:p>
        </w:tc>
        <w:tc>
          <w:tcPr>
            <w:tcW w:w="960" w:type="dxa"/>
            <w:shd w:val="clear" w:color="auto" w:fill="auto"/>
            <w:noWrap/>
            <w:hideMark/>
          </w:tcPr>
          <w:p w14:paraId="32CE2A3D" w14:textId="77777777" w:rsidR="006C7E0D" w:rsidRPr="001569FB" w:rsidRDefault="006C7E0D" w:rsidP="0065679D">
            <w:pPr>
              <w:keepNext/>
              <w:keepLines/>
              <w:jc w:val="right"/>
              <w:rPr>
                <w:sz w:val="18"/>
                <w:szCs w:val="18"/>
              </w:rPr>
            </w:pPr>
            <w:r w:rsidRPr="001569FB">
              <w:rPr>
                <w:sz w:val="18"/>
                <w:szCs w:val="18"/>
              </w:rPr>
              <w:t xml:space="preserve">$374.40 </w:t>
            </w:r>
          </w:p>
        </w:tc>
        <w:tc>
          <w:tcPr>
            <w:tcW w:w="960" w:type="dxa"/>
            <w:shd w:val="clear" w:color="auto" w:fill="auto"/>
            <w:noWrap/>
            <w:hideMark/>
          </w:tcPr>
          <w:p w14:paraId="2A373B48" w14:textId="77777777" w:rsidR="006C7E0D" w:rsidRPr="001569FB" w:rsidRDefault="006C7E0D" w:rsidP="0065679D">
            <w:pPr>
              <w:keepNext/>
              <w:keepLines/>
              <w:jc w:val="right"/>
              <w:rPr>
                <w:sz w:val="18"/>
                <w:szCs w:val="18"/>
              </w:rPr>
            </w:pPr>
            <w:r w:rsidRPr="001569FB">
              <w:rPr>
                <w:sz w:val="18"/>
                <w:szCs w:val="18"/>
              </w:rPr>
              <w:t>$435.69</w:t>
            </w:r>
          </w:p>
        </w:tc>
        <w:tc>
          <w:tcPr>
            <w:tcW w:w="960" w:type="dxa"/>
            <w:shd w:val="clear" w:color="auto" w:fill="auto"/>
            <w:noWrap/>
            <w:hideMark/>
          </w:tcPr>
          <w:p w14:paraId="23E9F9D2" w14:textId="77777777" w:rsidR="006C7E0D" w:rsidRPr="001569FB" w:rsidRDefault="006C7E0D" w:rsidP="0065679D">
            <w:pPr>
              <w:keepNext/>
              <w:keepLines/>
              <w:jc w:val="right"/>
              <w:rPr>
                <w:sz w:val="18"/>
                <w:szCs w:val="18"/>
              </w:rPr>
            </w:pPr>
            <w:r w:rsidRPr="001569FB">
              <w:rPr>
                <w:sz w:val="18"/>
                <w:szCs w:val="18"/>
              </w:rPr>
              <w:t>$436.25</w:t>
            </w:r>
          </w:p>
        </w:tc>
        <w:tc>
          <w:tcPr>
            <w:tcW w:w="960" w:type="dxa"/>
            <w:shd w:val="clear" w:color="auto" w:fill="auto"/>
            <w:noWrap/>
            <w:hideMark/>
          </w:tcPr>
          <w:p w14:paraId="6221BDC3" w14:textId="77777777" w:rsidR="006C7E0D" w:rsidRPr="001569FB" w:rsidRDefault="006C7E0D" w:rsidP="0065679D">
            <w:pPr>
              <w:keepNext/>
              <w:keepLines/>
              <w:jc w:val="right"/>
              <w:rPr>
                <w:sz w:val="18"/>
                <w:szCs w:val="18"/>
              </w:rPr>
            </w:pPr>
            <w:r w:rsidRPr="001569FB">
              <w:rPr>
                <w:sz w:val="18"/>
                <w:szCs w:val="18"/>
              </w:rPr>
              <w:t xml:space="preserve">$811.17 </w:t>
            </w:r>
          </w:p>
        </w:tc>
        <w:tc>
          <w:tcPr>
            <w:tcW w:w="960" w:type="dxa"/>
            <w:shd w:val="clear" w:color="auto" w:fill="auto"/>
            <w:noWrap/>
            <w:hideMark/>
          </w:tcPr>
          <w:p w14:paraId="4379BED3" w14:textId="77777777" w:rsidR="006C7E0D" w:rsidRPr="001569FB" w:rsidRDefault="006C7E0D" w:rsidP="0065679D">
            <w:pPr>
              <w:keepNext/>
              <w:keepLines/>
              <w:jc w:val="right"/>
              <w:rPr>
                <w:sz w:val="18"/>
                <w:szCs w:val="18"/>
              </w:rPr>
            </w:pPr>
            <w:r w:rsidRPr="001569FB">
              <w:rPr>
                <w:sz w:val="18"/>
                <w:szCs w:val="18"/>
              </w:rPr>
              <w:t xml:space="preserve">$810.65 </w:t>
            </w:r>
          </w:p>
        </w:tc>
        <w:tc>
          <w:tcPr>
            <w:tcW w:w="960" w:type="dxa"/>
            <w:shd w:val="clear" w:color="auto" w:fill="auto"/>
            <w:noWrap/>
            <w:hideMark/>
          </w:tcPr>
          <w:p w14:paraId="309A8E74"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2AE23EB7" w14:textId="77777777" w:rsidTr="00956EAA">
        <w:trPr>
          <w:jc w:val="center"/>
        </w:trPr>
        <w:tc>
          <w:tcPr>
            <w:tcW w:w="960" w:type="dxa"/>
            <w:shd w:val="clear" w:color="auto" w:fill="auto"/>
            <w:noWrap/>
            <w:vAlign w:val="bottom"/>
            <w:hideMark/>
          </w:tcPr>
          <w:p w14:paraId="251CFE84" w14:textId="77777777" w:rsidR="006C7E0D" w:rsidRPr="001569FB" w:rsidRDefault="006C7E0D" w:rsidP="0065679D">
            <w:pPr>
              <w:keepNext/>
              <w:keepLines/>
              <w:jc w:val="center"/>
              <w:rPr>
                <w:sz w:val="18"/>
                <w:szCs w:val="18"/>
              </w:rPr>
            </w:pPr>
            <w:r w:rsidRPr="001569FB">
              <w:rPr>
                <w:sz w:val="18"/>
                <w:szCs w:val="18"/>
              </w:rPr>
              <w:t>2016</w:t>
            </w:r>
          </w:p>
        </w:tc>
        <w:tc>
          <w:tcPr>
            <w:tcW w:w="960" w:type="dxa"/>
            <w:shd w:val="clear" w:color="auto" w:fill="auto"/>
            <w:noWrap/>
            <w:hideMark/>
          </w:tcPr>
          <w:p w14:paraId="645CDF40" w14:textId="77777777" w:rsidR="006C7E0D" w:rsidRPr="001569FB" w:rsidRDefault="006C7E0D" w:rsidP="0065679D">
            <w:pPr>
              <w:keepNext/>
              <w:keepLines/>
              <w:jc w:val="right"/>
              <w:rPr>
                <w:sz w:val="18"/>
                <w:szCs w:val="18"/>
              </w:rPr>
            </w:pPr>
            <w:r w:rsidRPr="001569FB">
              <w:rPr>
                <w:sz w:val="18"/>
                <w:szCs w:val="18"/>
              </w:rPr>
              <w:t xml:space="preserve">$380.16 </w:t>
            </w:r>
          </w:p>
        </w:tc>
        <w:tc>
          <w:tcPr>
            <w:tcW w:w="960" w:type="dxa"/>
            <w:shd w:val="clear" w:color="auto" w:fill="auto"/>
            <w:noWrap/>
            <w:hideMark/>
          </w:tcPr>
          <w:p w14:paraId="59ED7729" w14:textId="77777777" w:rsidR="006C7E0D" w:rsidRPr="001569FB" w:rsidRDefault="006C7E0D" w:rsidP="0065679D">
            <w:pPr>
              <w:keepNext/>
              <w:keepLines/>
              <w:jc w:val="right"/>
              <w:rPr>
                <w:sz w:val="18"/>
                <w:szCs w:val="18"/>
              </w:rPr>
            </w:pPr>
            <w:r w:rsidRPr="001569FB">
              <w:rPr>
                <w:sz w:val="18"/>
                <w:szCs w:val="18"/>
              </w:rPr>
              <w:t xml:space="preserve">$374.68 </w:t>
            </w:r>
          </w:p>
        </w:tc>
        <w:tc>
          <w:tcPr>
            <w:tcW w:w="960" w:type="dxa"/>
            <w:shd w:val="clear" w:color="auto" w:fill="auto"/>
            <w:noWrap/>
            <w:hideMark/>
          </w:tcPr>
          <w:p w14:paraId="060142BB" w14:textId="77777777" w:rsidR="006C7E0D" w:rsidRPr="001569FB" w:rsidRDefault="006C7E0D" w:rsidP="0065679D">
            <w:pPr>
              <w:keepNext/>
              <w:keepLines/>
              <w:jc w:val="right"/>
              <w:rPr>
                <w:sz w:val="18"/>
                <w:szCs w:val="18"/>
              </w:rPr>
            </w:pPr>
            <w:r w:rsidRPr="001569FB">
              <w:rPr>
                <w:sz w:val="18"/>
                <w:szCs w:val="18"/>
              </w:rPr>
              <w:t>$446.33</w:t>
            </w:r>
          </w:p>
        </w:tc>
        <w:tc>
          <w:tcPr>
            <w:tcW w:w="960" w:type="dxa"/>
            <w:shd w:val="clear" w:color="auto" w:fill="auto"/>
            <w:noWrap/>
            <w:hideMark/>
          </w:tcPr>
          <w:p w14:paraId="7969A372" w14:textId="77777777" w:rsidR="006C7E0D" w:rsidRPr="001569FB" w:rsidRDefault="006C7E0D" w:rsidP="0065679D">
            <w:pPr>
              <w:keepNext/>
              <w:keepLines/>
              <w:jc w:val="right"/>
              <w:rPr>
                <w:sz w:val="18"/>
                <w:szCs w:val="18"/>
              </w:rPr>
            </w:pPr>
            <w:r w:rsidRPr="001569FB">
              <w:rPr>
                <w:sz w:val="18"/>
                <w:szCs w:val="18"/>
              </w:rPr>
              <w:t>$447.60</w:t>
            </w:r>
          </w:p>
        </w:tc>
        <w:tc>
          <w:tcPr>
            <w:tcW w:w="960" w:type="dxa"/>
            <w:shd w:val="clear" w:color="auto" w:fill="auto"/>
            <w:noWrap/>
            <w:hideMark/>
          </w:tcPr>
          <w:p w14:paraId="64B0505C" w14:textId="77777777" w:rsidR="006C7E0D" w:rsidRPr="001569FB" w:rsidRDefault="006C7E0D" w:rsidP="0065679D">
            <w:pPr>
              <w:keepNext/>
              <w:keepLines/>
              <w:jc w:val="right"/>
              <w:rPr>
                <w:sz w:val="18"/>
                <w:szCs w:val="18"/>
              </w:rPr>
            </w:pPr>
            <w:r w:rsidRPr="001569FB">
              <w:rPr>
                <w:sz w:val="18"/>
                <w:szCs w:val="18"/>
              </w:rPr>
              <w:t xml:space="preserve">$826.49 </w:t>
            </w:r>
          </w:p>
        </w:tc>
        <w:tc>
          <w:tcPr>
            <w:tcW w:w="960" w:type="dxa"/>
            <w:shd w:val="clear" w:color="auto" w:fill="auto"/>
            <w:noWrap/>
            <w:hideMark/>
          </w:tcPr>
          <w:p w14:paraId="5B07D4AD" w14:textId="77777777" w:rsidR="006C7E0D" w:rsidRPr="001569FB" w:rsidRDefault="006C7E0D" w:rsidP="0065679D">
            <w:pPr>
              <w:keepNext/>
              <w:keepLines/>
              <w:jc w:val="right"/>
              <w:rPr>
                <w:sz w:val="18"/>
                <w:szCs w:val="18"/>
              </w:rPr>
            </w:pPr>
            <w:r w:rsidRPr="001569FB">
              <w:rPr>
                <w:sz w:val="18"/>
                <w:szCs w:val="18"/>
              </w:rPr>
              <w:t xml:space="preserve">$822.28 </w:t>
            </w:r>
          </w:p>
        </w:tc>
        <w:tc>
          <w:tcPr>
            <w:tcW w:w="960" w:type="dxa"/>
            <w:shd w:val="clear" w:color="auto" w:fill="auto"/>
            <w:noWrap/>
            <w:hideMark/>
          </w:tcPr>
          <w:p w14:paraId="5676E955" w14:textId="77777777" w:rsidR="006C7E0D" w:rsidRPr="001569FB" w:rsidRDefault="006C7E0D" w:rsidP="0065679D">
            <w:pPr>
              <w:keepNext/>
              <w:keepLines/>
              <w:jc w:val="right"/>
              <w:rPr>
                <w:sz w:val="18"/>
                <w:szCs w:val="18"/>
              </w:rPr>
            </w:pPr>
            <w:r w:rsidRPr="001569FB">
              <w:rPr>
                <w:sz w:val="18"/>
                <w:szCs w:val="18"/>
              </w:rPr>
              <w:t>1.005</w:t>
            </w:r>
          </w:p>
        </w:tc>
      </w:tr>
      <w:tr w:rsidR="006C7E0D" w:rsidRPr="001569FB" w14:paraId="5F4AB089" w14:textId="77777777" w:rsidTr="00956EAA">
        <w:trPr>
          <w:jc w:val="center"/>
        </w:trPr>
        <w:tc>
          <w:tcPr>
            <w:tcW w:w="960" w:type="dxa"/>
            <w:shd w:val="clear" w:color="auto" w:fill="auto"/>
            <w:noWrap/>
            <w:vAlign w:val="bottom"/>
            <w:hideMark/>
          </w:tcPr>
          <w:p w14:paraId="448CCE58" w14:textId="77777777" w:rsidR="006C7E0D" w:rsidRPr="001569FB" w:rsidRDefault="006C7E0D" w:rsidP="0065679D">
            <w:pPr>
              <w:keepNext/>
              <w:keepLines/>
              <w:jc w:val="center"/>
              <w:rPr>
                <w:sz w:val="18"/>
                <w:szCs w:val="18"/>
              </w:rPr>
            </w:pPr>
            <w:r w:rsidRPr="001569FB">
              <w:rPr>
                <w:sz w:val="18"/>
                <w:szCs w:val="18"/>
              </w:rPr>
              <w:t>2017</w:t>
            </w:r>
          </w:p>
        </w:tc>
        <w:tc>
          <w:tcPr>
            <w:tcW w:w="960" w:type="dxa"/>
            <w:shd w:val="clear" w:color="auto" w:fill="auto"/>
            <w:noWrap/>
            <w:hideMark/>
          </w:tcPr>
          <w:p w14:paraId="68D4D3F8" w14:textId="77777777" w:rsidR="006C7E0D" w:rsidRPr="001569FB" w:rsidRDefault="006C7E0D" w:rsidP="0065679D">
            <w:pPr>
              <w:keepNext/>
              <w:keepLines/>
              <w:jc w:val="right"/>
              <w:rPr>
                <w:sz w:val="18"/>
                <w:szCs w:val="18"/>
              </w:rPr>
            </w:pPr>
            <w:r w:rsidRPr="001569FB">
              <w:rPr>
                <w:sz w:val="18"/>
                <w:szCs w:val="18"/>
              </w:rPr>
              <w:t xml:space="preserve">$386.19 </w:t>
            </w:r>
          </w:p>
        </w:tc>
        <w:tc>
          <w:tcPr>
            <w:tcW w:w="960" w:type="dxa"/>
            <w:shd w:val="clear" w:color="auto" w:fill="auto"/>
            <w:noWrap/>
            <w:hideMark/>
          </w:tcPr>
          <w:p w14:paraId="47D4AE4E" w14:textId="77777777" w:rsidR="006C7E0D" w:rsidRPr="001569FB" w:rsidRDefault="006C7E0D" w:rsidP="0065679D">
            <w:pPr>
              <w:keepNext/>
              <w:keepLines/>
              <w:jc w:val="right"/>
              <w:rPr>
                <w:sz w:val="18"/>
                <w:szCs w:val="18"/>
              </w:rPr>
            </w:pPr>
            <w:r w:rsidRPr="001569FB">
              <w:rPr>
                <w:sz w:val="18"/>
                <w:szCs w:val="18"/>
              </w:rPr>
              <w:t xml:space="preserve">$378.11 </w:t>
            </w:r>
          </w:p>
        </w:tc>
        <w:tc>
          <w:tcPr>
            <w:tcW w:w="960" w:type="dxa"/>
            <w:shd w:val="clear" w:color="auto" w:fill="auto"/>
            <w:noWrap/>
            <w:hideMark/>
          </w:tcPr>
          <w:p w14:paraId="452FBEAD" w14:textId="77777777" w:rsidR="006C7E0D" w:rsidRPr="001569FB" w:rsidRDefault="006C7E0D" w:rsidP="0065679D">
            <w:pPr>
              <w:keepNext/>
              <w:keepLines/>
              <w:jc w:val="right"/>
              <w:rPr>
                <w:sz w:val="18"/>
                <w:szCs w:val="18"/>
              </w:rPr>
            </w:pPr>
            <w:r w:rsidRPr="001569FB">
              <w:rPr>
                <w:sz w:val="18"/>
                <w:szCs w:val="18"/>
              </w:rPr>
              <w:t>$464.62</w:t>
            </w:r>
          </w:p>
        </w:tc>
        <w:tc>
          <w:tcPr>
            <w:tcW w:w="960" w:type="dxa"/>
            <w:shd w:val="clear" w:color="auto" w:fill="auto"/>
            <w:noWrap/>
            <w:hideMark/>
          </w:tcPr>
          <w:p w14:paraId="53B2D29B" w14:textId="77777777" w:rsidR="006C7E0D" w:rsidRPr="001569FB" w:rsidRDefault="006C7E0D" w:rsidP="0065679D">
            <w:pPr>
              <w:keepNext/>
              <w:keepLines/>
              <w:jc w:val="right"/>
              <w:rPr>
                <w:sz w:val="18"/>
                <w:szCs w:val="18"/>
              </w:rPr>
            </w:pPr>
            <w:r w:rsidRPr="001569FB">
              <w:rPr>
                <w:sz w:val="18"/>
                <w:szCs w:val="18"/>
              </w:rPr>
              <w:t>$462.05</w:t>
            </w:r>
          </w:p>
        </w:tc>
        <w:tc>
          <w:tcPr>
            <w:tcW w:w="960" w:type="dxa"/>
            <w:shd w:val="clear" w:color="auto" w:fill="auto"/>
            <w:noWrap/>
            <w:hideMark/>
          </w:tcPr>
          <w:p w14:paraId="0E466365" w14:textId="77777777" w:rsidR="006C7E0D" w:rsidRPr="001569FB" w:rsidRDefault="006C7E0D" w:rsidP="0065679D">
            <w:pPr>
              <w:keepNext/>
              <w:keepLines/>
              <w:jc w:val="right"/>
              <w:rPr>
                <w:sz w:val="18"/>
                <w:szCs w:val="18"/>
              </w:rPr>
            </w:pPr>
            <w:r w:rsidRPr="001569FB">
              <w:rPr>
                <w:sz w:val="18"/>
                <w:szCs w:val="18"/>
              </w:rPr>
              <w:t xml:space="preserve">$850.81 </w:t>
            </w:r>
          </w:p>
        </w:tc>
        <w:tc>
          <w:tcPr>
            <w:tcW w:w="960" w:type="dxa"/>
            <w:shd w:val="clear" w:color="auto" w:fill="auto"/>
            <w:noWrap/>
            <w:hideMark/>
          </w:tcPr>
          <w:p w14:paraId="3D5FE06D" w14:textId="77777777" w:rsidR="006C7E0D" w:rsidRPr="001569FB" w:rsidRDefault="006C7E0D" w:rsidP="0065679D">
            <w:pPr>
              <w:keepNext/>
              <w:keepLines/>
              <w:jc w:val="right"/>
              <w:rPr>
                <w:sz w:val="18"/>
                <w:szCs w:val="18"/>
              </w:rPr>
            </w:pPr>
            <w:r w:rsidRPr="001569FB">
              <w:rPr>
                <w:sz w:val="18"/>
                <w:szCs w:val="18"/>
              </w:rPr>
              <w:t xml:space="preserve">$840.16 </w:t>
            </w:r>
          </w:p>
        </w:tc>
        <w:tc>
          <w:tcPr>
            <w:tcW w:w="960" w:type="dxa"/>
            <w:shd w:val="clear" w:color="auto" w:fill="auto"/>
            <w:noWrap/>
            <w:hideMark/>
          </w:tcPr>
          <w:p w14:paraId="22317B0F"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55C2E4F" w14:textId="77777777" w:rsidTr="00956EAA">
        <w:trPr>
          <w:jc w:val="center"/>
        </w:trPr>
        <w:tc>
          <w:tcPr>
            <w:tcW w:w="960" w:type="dxa"/>
            <w:shd w:val="clear" w:color="auto" w:fill="auto"/>
            <w:noWrap/>
            <w:vAlign w:val="bottom"/>
            <w:hideMark/>
          </w:tcPr>
          <w:p w14:paraId="4F63598D" w14:textId="77777777" w:rsidR="006C7E0D" w:rsidRPr="001569FB" w:rsidRDefault="006C7E0D" w:rsidP="0065679D">
            <w:pPr>
              <w:keepNext/>
              <w:keepLines/>
              <w:jc w:val="center"/>
              <w:rPr>
                <w:sz w:val="18"/>
                <w:szCs w:val="18"/>
              </w:rPr>
            </w:pPr>
            <w:r w:rsidRPr="001569FB">
              <w:rPr>
                <w:sz w:val="18"/>
                <w:szCs w:val="18"/>
              </w:rPr>
              <w:t>2018</w:t>
            </w:r>
          </w:p>
        </w:tc>
        <w:tc>
          <w:tcPr>
            <w:tcW w:w="960" w:type="dxa"/>
            <w:shd w:val="clear" w:color="auto" w:fill="auto"/>
            <w:noWrap/>
            <w:hideMark/>
          </w:tcPr>
          <w:p w14:paraId="316F51A3" w14:textId="77777777" w:rsidR="006C7E0D" w:rsidRPr="001569FB" w:rsidRDefault="006C7E0D" w:rsidP="0065679D">
            <w:pPr>
              <w:keepNext/>
              <w:keepLines/>
              <w:jc w:val="right"/>
              <w:rPr>
                <w:sz w:val="18"/>
                <w:szCs w:val="18"/>
              </w:rPr>
            </w:pPr>
            <w:r w:rsidRPr="001569FB">
              <w:rPr>
                <w:sz w:val="18"/>
                <w:szCs w:val="18"/>
              </w:rPr>
              <w:t xml:space="preserve">$389.05 </w:t>
            </w:r>
          </w:p>
        </w:tc>
        <w:tc>
          <w:tcPr>
            <w:tcW w:w="960" w:type="dxa"/>
            <w:shd w:val="clear" w:color="auto" w:fill="auto"/>
            <w:noWrap/>
            <w:hideMark/>
          </w:tcPr>
          <w:p w14:paraId="169BA4C5" w14:textId="77777777" w:rsidR="006C7E0D" w:rsidRPr="001569FB" w:rsidRDefault="006C7E0D" w:rsidP="0065679D">
            <w:pPr>
              <w:keepNext/>
              <w:keepLines/>
              <w:jc w:val="right"/>
              <w:rPr>
                <w:sz w:val="18"/>
                <w:szCs w:val="18"/>
              </w:rPr>
            </w:pPr>
            <w:r w:rsidRPr="001569FB">
              <w:rPr>
                <w:sz w:val="18"/>
                <w:szCs w:val="18"/>
              </w:rPr>
              <w:t xml:space="preserve">$382.86 </w:t>
            </w:r>
          </w:p>
        </w:tc>
        <w:tc>
          <w:tcPr>
            <w:tcW w:w="960" w:type="dxa"/>
            <w:shd w:val="clear" w:color="auto" w:fill="auto"/>
            <w:noWrap/>
            <w:hideMark/>
          </w:tcPr>
          <w:p w14:paraId="6C0CE923" w14:textId="77777777" w:rsidR="006C7E0D" w:rsidRPr="001569FB" w:rsidRDefault="006C7E0D" w:rsidP="0065679D">
            <w:pPr>
              <w:keepNext/>
              <w:keepLines/>
              <w:jc w:val="right"/>
              <w:rPr>
                <w:sz w:val="18"/>
                <w:szCs w:val="18"/>
              </w:rPr>
            </w:pPr>
            <w:r w:rsidRPr="001569FB">
              <w:rPr>
                <w:sz w:val="18"/>
                <w:szCs w:val="18"/>
              </w:rPr>
              <w:t>$485.88</w:t>
            </w:r>
          </w:p>
        </w:tc>
        <w:tc>
          <w:tcPr>
            <w:tcW w:w="960" w:type="dxa"/>
            <w:shd w:val="clear" w:color="auto" w:fill="auto"/>
            <w:noWrap/>
            <w:hideMark/>
          </w:tcPr>
          <w:p w14:paraId="4658E02C" w14:textId="77777777" w:rsidR="006C7E0D" w:rsidRPr="001569FB" w:rsidRDefault="006C7E0D" w:rsidP="0065679D">
            <w:pPr>
              <w:keepNext/>
              <w:keepLines/>
              <w:jc w:val="right"/>
              <w:rPr>
                <w:sz w:val="18"/>
                <w:szCs w:val="18"/>
              </w:rPr>
            </w:pPr>
            <w:r w:rsidRPr="001569FB">
              <w:rPr>
                <w:sz w:val="18"/>
                <w:szCs w:val="18"/>
              </w:rPr>
              <w:t>$480.53</w:t>
            </w:r>
          </w:p>
        </w:tc>
        <w:tc>
          <w:tcPr>
            <w:tcW w:w="960" w:type="dxa"/>
            <w:shd w:val="clear" w:color="auto" w:fill="auto"/>
            <w:noWrap/>
            <w:hideMark/>
          </w:tcPr>
          <w:p w14:paraId="5A9CC695" w14:textId="77777777" w:rsidR="006C7E0D" w:rsidRPr="001569FB" w:rsidRDefault="006C7E0D" w:rsidP="0065679D">
            <w:pPr>
              <w:keepNext/>
              <w:keepLines/>
              <w:jc w:val="right"/>
              <w:rPr>
                <w:sz w:val="18"/>
                <w:szCs w:val="18"/>
              </w:rPr>
            </w:pPr>
            <w:r w:rsidRPr="001569FB">
              <w:rPr>
                <w:sz w:val="18"/>
                <w:szCs w:val="18"/>
              </w:rPr>
              <w:t xml:space="preserve">$874.93 </w:t>
            </w:r>
          </w:p>
        </w:tc>
        <w:tc>
          <w:tcPr>
            <w:tcW w:w="960" w:type="dxa"/>
            <w:shd w:val="clear" w:color="auto" w:fill="auto"/>
            <w:noWrap/>
            <w:hideMark/>
          </w:tcPr>
          <w:p w14:paraId="4B7B30B9" w14:textId="77777777" w:rsidR="006C7E0D" w:rsidRPr="001569FB" w:rsidRDefault="006C7E0D" w:rsidP="0065679D">
            <w:pPr>
              <w:keepNext/>
              <w:keepLines/>
              <w:jc w:val="right"/>
              <w:rPr>
                <w:sz w:val="18"/>
                <w:szCs w:val="18"/>
              </w:rPr>
            </w:pPr>
            <w:r w:rsidRPr="001569FB">
              <w:rPr>
                <w:sz w:val="18"/>
                <w:szCs w:val="18"/>
              </w:rPr>
              <w:t xml:space="preserve">$863.39 </w:t>
            </w:r>
          </w:p>
        </w:tc>
        <w:tc>
          <w:tcPr>
            <w:tcW w:w="960" w:type="dxa"/>
            <w:shd w:val="clear" w:color="auto" w:fill="auto"/>
            <w:noWrap/>
            <w:hideMark/>
          </w:tcPr>
          <w:p w14:paraId="500906F1"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196859A" w14:textId="77777777" w:rsidTr="00956EAA">
        <w:trPr>
          <w:jc w:val="center"/>
        </w:trPr>
        <w:tc>
          <w:tcPr>
            <w:tcW w:w="960" w:type="dxa"/>
            <w:shd w:val="clear" w:color="auto" w:fill="auto"/>
            <w:noWrap/>
            <w:vAlign w:val="bottom"/>
            <w:hideMark/>
          </w:tcPr>
          <w:p w14:paraId="3C694F9C" w14:textId="77777777" w:rsidR="006C7E0D" w:rsidRPr="001569FB" w:rsidRDefault="006C7E0D" w:rsidP="0065679D">
            <w:pPr>
              <w:keepNext/>
              <w:keepLines/>
              <w:jc w:val="center"/>
              <w:rPr>
                <w:sz w:val="18"/>
                <w:szCs w:val="18"/>
              </w:rPr>
            </w:pPr>
            <w:r w:rsidRPr="001569FB">
              <w:rPr>
                <w:sz w:val="18"/>
                <w:szCs w:val="18"/>
              </w:rPr>
              <w:t>2019</w:t>
            </w:r>
          </w:p>
        </w:tc>
        <w:tc>
          <w:tcPr>
            <w:tcW w:w="960" w:type="dxa"/>
            <w:shd w:val="clear" w:color="auto" w:fill="auto"/>
            <w:noWrap/>
            <w:hideMark/>
          </w:tcPr>
          <w:p w14:paraId="2F1FF561" w14:textId="77777777" w:rsidR="006C7E0D" w:rsidRPr="001569FB" w:rsidRDefault="006C7E0D" w:rsidP="0065679D">
            <w:pPr>
              <w:keepNext/>
              <w:keepLines/>
              <w:jc w:val="right"/>
              <w:rPr>
                <w:sz w:val="18"/>
                <w:szCs w:val="18"/>
              </w:rPr>
            </w:pPr>
            <w:r w:rsidRPr="001569FB">
              <w:rPr>
                <w:sz w:val="18"/>
                <w:szCs w:val="18"/>
              </w:rPr>
              <w:t xml:space="preserve">$400.71 </w:t>
            </w:r>
          </w:p>
        </w:tc>
        <w:tc>
          <w:tcPr>
            <w:tcW w:w="960" w:type="dxa"/>
            <w:shd w:val="clear" w:color="auto" w:fill="auto"/>
            <w:noWrap/>
            <w:hideMark/>
          </w:tcPr>
          <w:p w14:paraId="78155EAE" w14:textId="77777777" w:rsidR="006C7E0D" w:rsidRPr="001569FB" w:rsidRDefault="006C7E0D" w:rsidP="0065679D">
            <w:pPr>
              <w:keepNext/>
              <w:keepLines/>
              <w:jc w:val="right"/>
              <w:rPr>
                <w:sz w:val="18"/>
                <w:szCs w:val="18"/>
              </w:rPr>
            </w:pPr>
            <w:r w:rsidRPr="001569FB">
              <w:rPr>
                <w:sz w:val="18"/>
                <w:szCs w:val="18"/>
              </w:rPr>
              <w:t xml:space="preserve">$396.50 </w:t>
            </w:r>
          </w:p>
        </w:tc>
        <w:tc>
          <w:tcPr>
            <w:tcW w:w="960" w:type="dxa"/>
            <w:shd w:val="clear" w:color="auto" w:fill="auto"/>
            <w:noWrap/>
            <w:hideMark/>
          </w:tcPr>
          <w:p w14:paraId="66DE2E3F" w14:textId="77777777" w:rsidR="006C7E0D" w:rsidRPr="001569FB" w:rsidRDefault="006C7E0D" w:rsidP="0065679D">
            <w:pPr>
              <w:keepNext/>
              <w:keepLines/>
              <w:jc w:val="right"/>
              <w:rPr>
                <w:sz w:val="18"/>
                <w:szCs w:val="18"/>
              </w:rPr>
            </w:pPr>
            <w:r w:rsidRPr="001569FB">
              <w:rPr>
                <w:sz w:val="18"/>
                <w:szCs w:val="18"/>
              </w:rPr>
              <w:t>$509.67</w:t>
            </w:r>
          </w:p>
        </w:tc>
        <w:tc>
          <w:tcPr>
            <w:tcW w:w="960" w:type="dxa"/>
            <w:shd w:val="clear" w:color="auto" w:fill="auto"/>
            <w:noWrap/>
            <w:hideMark/>
          </w:tcPr>
          <w:p w14:paraId="74A11C99" w14:textId="77777777" w:rsidR="006C7E0D" w:rsidRPr="001569FB" w:rsidRDefault="006C7E0D" w:rsidP="0065679D">
            <w:pPr>
              <w:keepNext/>
              <w:keepLines/>
              <w:jc w:val="right"/>
              <w:rPr>
                <w:sz w:val="18"/>
                <w:szCs w:val="18"/>
              </w:rPr>
            </w:pPr>
            <w:r w:rsidRPr="001569FB">
              <w:rPr>
                <w:sz w:val="18"/>
                <w:szCs w:val="18"/>
              </w:rPr>
              <w:t>$511.10</w:t>
            </w:r>
          </w:p>
        </w:tc>
        <w:tc>
          <w:tcPr>
            <w:tcW w:w="960" w:type="dxa"/>
            <w:shd w:val="clear" w:color="auto" w:fill="auto"/>
            <w:noWrap/>
            <w:hideMark/>
          </w:tcPr>
          <w:p w14:paraId="63D30122" w14:textId="77777777" w:rsidR="006C7E0D" w:rsidRPr="001569FB" w:rsidRDefault="006C7E0D" w:rsidP="0065679D">
            <w:pPr>
              <w:keepNext/>
              <w:keepLines/>
              <w:jc w:val="right"/>
              <w:rPr>
                <w:sz w:val="18"/>
                <w:szCs w:val="18"/>
              </w:rPr>
            </w:pPr>
            <w:r w:rsidRPr="001569FB">
              <w:rPr>
                <w:sz w:val="18"/>
                <w:szCs w:val="18"/>
              </w:rPr>
              <w:t xml:space="preserve">$910.38 </w:t>
            </w:r>
          </w:p>
        </w:tc>
        <w:tc>
          <w:tcPr>
            <w:tcW w:w="960" w:type="dxa"/>
            <w:shd w:val="clear" w:color="auto" w:fill="auto"/>
            <w:noWrap/>
            <w:hideMark/>
          </w:tcPr>
          <w:p w14:paraId="30DF5064" w14:textId="77777777" w:rsidR="006C7E0D" w:rsidRPr="001569FB" w:rsidRDefault="006C7E0D" w:rsidP="0065679D">
            <w:pPr>
              <w:keepNext/>
              <w:keepLines/>
              <w:jc w:val="right"/>
              <w:rPr>
                <w:sz w:val="18"/>
                <w:szCs w:val="18"/>
              </w:rPr>
            </w:pPr>
            <w:r w:rsidRPr="001569FB">
              <w:rPr>
                <w:sz w:val="18"/>
                <w:szCs w:val="18"/>
              </w:rPr>
              <w:t xml:space="preserve">$907.60 </w:t>
            </w:r>
          </w:p>
        </w:tc>
        <w:tc>
          <w:tcPr>
            <w:tcW w:w="960" w:type="dxa"/>
            <w:shd w:val="clear" w:color="auto" w:fill="auto"/>
            <w:noWrap/>
            <w:hideMark/>
          </w:tcPr>
          <w:p w14:paraId="021BDA68" w14:textId="77777777" w:rsidR="006C7E0D" w:rsidRPr="001569FB" w:rsidRDefault="006C7E0D" w:rsidP="0065679D">
            <w:pPr>
              <w:keepNext/>
              <w:keepLines/>
              <w:jc w:val="right"/>
              <w:rPr>
                <w:sz w:val="18"/>
                <w:szCs w:val="18"/>
              </w:rPr>
            </w:pPr>
            <w:r w:rsidRPr="001569FB">
              <w:rPr>
                <w:sz w:val="18"/>
                <w:szCs w:val="18"/>
              </w:rPr>
              <w:t>1.003</w:t>
            </w:r>
          </w:p>
        </w:tc>
      </w:tr>
      <w:tr w:rsidR="006C7E0D" w:rsidRPr="001569FB" w14:paraId="08DB4754" w14:textId="77777777" w:rsidTr="00956EAA">
        <w:trPr>
          <w:jc w:val="center"/>
        </w:trPr>
        <w:tc>
          <w:tcPr>
            <w:tcW w:w="960" w:type="dxa"/>
            <w:shd w:val="clear" w:color="auto" w:fill="auto"/>
            <w:noWrap/>
            <w:vAlign w:val="bottom"/>
          </w:tcPr>
          <w:p w14:paraId="069012CF" w14:textId="77777777" w:rsidR="006C7E0D" w:rsidRPr="001569FB" w:rsidRDefault="006C7E0D" w:rsidP="0065679D">
            <w:pPr>
              <w:keepNext/>
              <w:keepLines/>
              <w:jc w:val="center"/>
              <w:rPr>
                <w:sz w:val="18"/>
                <w:szCs w:val="18"/>
              </w:rPr>
            </w:pPr>
            <w:r w:rsidRPr="001569FB">
              <w:rPr>
                <w:sz w:val="18"/>
                <w:szCs w:val="18"/>
              </w:rPr>
              <w:t>2020</w:t>
            </w:r>
          </w:p>
        </w:tc>
        <w:tc>
          <w:tcPr>
            <w:tcW w:w="960" w:type="dxa"/>
            <w:shd w:val="clear" w:color="auto" w:fill="auto"/>
            <w:noWrap/>
          </w:tcPr>
          <w:p w14:paraId="602E399A" w14:textId="77777777" w:rsidR="006C7E0D" w:rsidRPr="001569FB" w:rsidRDefault="006C7E0D" w:rsidP="0065679D">
            <w:pPr>
              <w:keepNext/>
              <w:keepLines/>
              <w:jc w:val="right"/>
              <w:rPr>
                <w:sz w:val="18"/>
                <w:szCs w:val="18"/>
              </w:rPr>
            </w:pPr>
            <w:r w:rsidRPr="001569FB">
              <w:rPr>
                <w:sz w:val="18"/>
                <w:szCs w:val="18"/>
              </w:rPr>
              <w:t>$416.99</w:t>
            </w:r>
          </w:p>
        </w:tc>
        <w:tc>
          <w:tcPr>
            <w:tcW w:w="960" w:type="dxa"/>
            <w:shd w:val="clear" w:color="auto" w:fill="auto"/>
            <w:noWrap/>
          </w:tcPr>
          <w:p w14:paraId="6864AEAD" w14:textId="77777777" w:rsidR="006C7E0D" w:rsidRPr="001569FB" w:rsidRDefault="006C7E0D" w:rsidP="0065679D">
            <w:pPr>
              <w:keepNext/>
              <w:keepLines/>
              <w:jc w:val="right"/>
              <w:rPr>
                <w:sz w:val="18"/>
                <w:szCs w:val="18"/>
              </w:rPr>
            </w:pPr>
            <w:r w:rsidRPr="001569FB">
              <w:rPr>
                <w:sz w:val="18"/>
                <w:szCs w:val="18"/>
              </w:rPr>
              <w:t>$412.63</w:t>
            </w:r>
          </w:p>
        </w:tc>
        <w:tc>
          <w:tcPr>
            <w:tcW w:w="960" w:type="dxa"/>
            <w:shd w:val="clear" w:color="auto" w:fill="auto"/>
            <w:noWrap/>
          </w:tcPr>
          <w:p w14:paraId="798E1E2D" w14:textId="77777777" w:rsidR="006C7E0D" w:rsidRPr="001569FB" w:rsidRDefault="006C7E0D" w:rsidP="0065679D">
            <w:pPr>
              <w:keepNext/>
              <w:keepLines/>
              <w:jc w:val="right"/>
              <w:rPr>
                <w:sz w:val="18"/>
                <w:szCs w:val="18"/>
              </w:rPr>
            </w:pPr>
            <w:r w:rsidRPr="001569FB">
              <w:rPr>
                <w:sz w:val="18"/>
                <w:szCs w:val="18"/>
              </w:rPr>
              <w:t>$535.66</w:t>
            </w:r>
          </w:p>
        </w:tc>
        <w:tc>
          <w:tcPr>
            <w:tcW w:w="960" w:type="dxa"/>
            <w:shd w:val="clear" w:color="auto" w:fill="auto"/>
            <w:noWrap/>
          </w:tcPr>
          <w:p w14:paraId="5C28A3CD" w14:textId="77777777" w:rsidR="006C7E0D" w:rsidRPr="001569FB" w:rsidRDefault="006C7E0D" w:rsidP="0065679D">
            <w:pPr>
              <w:keepNext/>
              <w:keepLines/>
              <w:jc w:val="right"/>
              <w:rPr>
                <w:sz w:val="18"/>
                <w:szCs w:val="18"/>
              </w:rPr>
            </w:pPr>
            <w:r w:rsidRPr="001569FB">
              <w:rPr>
                <w:sz w:val="18"/>
                <w:szCs w:val="18"/>
              </w:rPr>
              <w:t>$538.17</w:t>
            </w:r>
          </w:p>
        </w:tc>
        <w:tc>
          <w:tcPr>
            <w:tcW w:w="960" w:type="dxa"/>
            <w:shd w:val="clear" w:color="auto" w:fill="auto"/>
            <w:noWrap/>
          </w:tcPr>
          <w:p w14:paraId="1E20C844" w14:textId="77777777" w:rsidR="006C7E0D" w:rsidRPr="001569FB" w:rsidRDefault="006C7E0D" w:rsidP="0065679D">
            <w:pPr>
              <w:keepNext/>
              <w:keepLines/>
              <w:jc w:val="right"/>
              <w:rPr>
                <w:sz w:val="18"/>
                <w:szCs w:val="18"/>
              </w:rPr>
            </w:pPr>
            <w:r w:rsidRPr="001569FB">
              <w:rPr>
                <w:sz w:val="18"/>
                <w:szCs w:val="18"/>
              </w:rPr>
              <w:t xml:space="preserve">$952.65 </w:t>
            </w:r>
          </w:p>
        </w:tc>
        <w:tc>
          <w:tcPr>
            <w:tcW w:w="960" w:type="dxa"/>
            <w:shd w:val="clear" w:color="auto" w:fill="auto"/>
            <w:noWrap/>
          </w:tcPr>
          <w:p w14:paraId="6AAF958B" w14:textId="77777777" w:rsidR="006C7E0D" w:rsidRPr="001569FB" w:rsidRDefault="006C7E0D" w:rsidP="0065679D">
            <w:pPr>
              <w:keepNext/>
              <w:keepLines/>
              <w:jc w:val="right"/>
              <w:rPr>
                <w:sz w:val="18"/>
                <w:szCs w:val="18"/>
              </w:rPr>
            </w:pPr>
            <w:r w:rsidRPr="001569FB">
              <w:rPr>
                <w:sz w:val="18"/>
                <w:szCs w:val="18"/>
              </w:rPr>
              <w:t xml:space="preserve">$950.80 </w:t>
            </w:r>
          </w:p>
        </w:tc>
        <w:tc>
          <w:tcPr>
            <w:tcW w:w="960" w:type="dxa"/>
            <w:shd w:val="clear" w:color="auto" w:fill="auto"/>
            <w:noWrap/>
          </w:tcPr>
          <w:p w14:paraId="6D08E237" w14:textId="77777777" w:rsidR="006C7E0D" w:rsidRPr="001569FB" w:rsidRDefault="006C7E0D" w:rsidP="0065679D">
            <w:pPr>
              <w:keepNext/>
              <w:keepLines/>
              <w:jc w:val="right"/>
              <w:rPr>
                <w:sz w:val="18"/>
                <w:szCs w:val="18"/>
              </w:rPr>
            </w:pPr>
            <w:r w:rsidRPr="001569FB">
              <w:rPr>
                <w:sz w:val="18"/>
                <w:szCs w:val="18"/>
              </w:rPr>
              <w:t>1.002</w:t>
            </w:r>
          </w:p>
        </w:tc>
      </w:tr>
      <w:tr w:rsidR="006C7E0D" w:rsidRPr="001569FB" w14:paraId="2AF13409" w14:textId="77777777" w:rsidTr="00956EAA">
        <w:trPr>
          <w:jc w:val="center"/>
        </w:trPr>
        <w:tc>
          <w:tcPr>
            <w:tcW w:w="960" w:type="dxa"/>
            <w:shd w:val="clear" w:color="auto" w:fill="auto"/>
            <w:noWrap/>
            <w:vAlign w:val="bottom"/>
            <w:hideMark/>
          </w:tcPr>
          <w:p w14:paraId="5F4C11FE" w14:textId="77777777" w:rsidR="006C7E0D" w:rsidRPr="001569FB" w:rsidRDefault="006C7E0D" w:rsidP="006B32D6">
            <w:pPr>
              <w:jc w:val="center"/>
              <w:rPr>
                <w:sz w:val="18"/>
                <w:szCs w:val="18"/>
              </w:rPr>
            </w:pPr>
            <w:r w:rsidRPr="001569FB">
              <w:rPr>
                <w:sz w:val="18"/>
                <w:szCs w:val="18"/>
              </w:rPr>
              <w:t>2021</w:t>
            </w:r>
          </w:p>
        </w:tc>
        <w:tc>
          <w:tcPr>
            <w:tcW w:w="960" w:type="dxa"/>
            <w:shd w:val="clear" w:color="auto" w:fill="auto"/>
            <w:noWrap/>
            <w:hideMark/>
          </w:tcPr>
          <w:p w14:paraId="045B2B1F" w14:textId="77777777" w:rsidR="006C7E0D" w:rsidRPr="001569FB" w:rsidRDefault="006C7E0D" w:rsidP="006B32D6">
            <w:pPr>
              <w:jc w:val="right"/>
              <w:rPr>
                <w:sz w:val="18"/>
                <w:szCs w:val="18"/>
              </w:rPr>
            </w:pPr>
            <w:r w:rsidRPr="001569FB">
              <w:rPr>
                <w:sz w:val="18"/>
                <w:szCs w:val="18"/>
              </w:rPr>
              <w:t>$437.08</w:t>
            </w:r>
          </w:p>
        </w:tc>
        <w:tc>
          <w:tcPr>
            <w:tcW w:w="960" w:type="dxa"/>
            <w:shd w:val="clear" w:color="auto" w:fill="auto"/>
            <w:noWrap/>
            <w:hideMark/>
          </w:tcPr>
          <w:p w14:paraId="389202AE" w14:textId="77777777" w:rsidR="006C7E0D" w:rsidRPr="001569FB" w:rsidRDefault="006C7E0D" w:rsidP="006B32D6">
            <w:pPr>
              <w:jc w:val="right"/>
              <w:rPr>
                <w:sz w:val="18"/>
                <w:szCs w:val="18"/>
              </w:rPr>
            </w:pPr>
          </w:p>
        </w:tc>
        <w:tc>
          <w:tcPr>
            <w:tcW w:w="960" w:type="dxa"/>
            <w:shd w:val="clear" w:color="auto" w:fill="auto"/>
            <w:noWrap/>
            <w:hideMark/>
          </w:tcPr>
          <w:p w14:paraId="547D8C73" w14:textId="77777777" w:rsidR="006C7E0D" w:rsidRPr="001569FB" w:rsidRDefault="006C7E0D" w:rsidP="006B32D6">
            <w:pPr>
              <w:jc w:val="right"/>
              <w:rPr>
                <w:sz w:val="18"/>
                <w:szCs w:val="18"/>
              </w:rPr>
            </w:pPr>
            <w:r w:rsidRPr="001569FB">
              <w:rPr>
                <w:sz w:val="18"/>
                <w:szCs w:val="18"/>
              </w:rPr>
              <w:t>$566.33</w:t>
            </w:r>
          </w:p>
        </w:tc>
        <w:tc>
          <w:tcPr>
            <w:tcW w:w="960" w:type="dxa"/>
            <w:shd w:val="clear" w:color="auto" w:fill="auto"/>
            <w:noWrap/>
            <w:hideMark/>
          </w:tcPr>
          <w:p w14:paraId="6F81FD4D" w14:textId="77777777" w:rsidR="006C7E0D" w:rsidRPr="001569FB" w:rsidRDefault="006C7E0D" w:rsidP="006B32D6">
            <w:pPr>
              <w:jc w:val="right"/>
              <w:rPr>
                <w:sz w:val="18"/>
                <w:szCs w:val="18"/>
              </w:rPr>
            </w:pPr>
          </w:p>
        </w:tc>
        <w:tc>
          <w:tcPr>
            <w:tcW w:w="960" w:type="dxa"/>
            <w:shd w:val="clear" w:color="auto" w:fill="auto"/>
            <w:noWrap/>
            <w:hideMark/>
          </w:tcPr>
          <w:p w14:paraId="68DF77E5" w14:textId="77777777" w:rsidR="006C7E0D" w:rsidRPr="001569FB" w:rsidRDefault="006C7E0D" w:rsidP="006B32D6">
            <w:pPr>
              <w:jc w:val="right"/>
              <w:rPr>
                <w:sz w:val="18"/>
                <w:szCs w:val="18"/>
              </w:rPr>
            </w:pPr>
            <w:r w:rsidRPr="001569FB">
              <w:rPr>
                <w:sz w:val="18"/>
                <w:szCs w:val="18"/>
              </w:rPr>
              <w:t>$1,003.41</w:t>
            </w:r>
          </w:p>
        </w:tc>
        <w:tc>
          <w:tcPr>
            <w:tcW w:w="960" w:type="dxa"/>
            <w:shd w:val="clear" w:color="auto" w:fill="auto"/>
            <w:noWrap/>
            <w:hideMark/>
          </w:tcPr>
          <w:p w14:paraId="60076F05" w14:textId="77777777" w:rsidR="006C7E0D" w:rsidRPr="001569FB" w:rsidRDefault="006C7E0D" w:rsidP="006B32D6">
            <w:pPr>
              <w:jc w:val="right"/>
              <w:rPr>
                <w:sz w:val="18"/>
                <w:szCs w:val="18"/>
              </w:rPr>
            </w:pPr>
          </w:p>
        </w:tc>
        <w:tc>
          <w:tcPr>
            <w:tcW w:w="960" w:type="dxa"/>
            <w:shd w:val="clear" w:color="auto" w:fill="auto"/>
            <w:noWrap/>
            <w:hideMark/>
          </w:tcPr>
          <w:p w14:paraId="183B0310" w14:textId="77777777" w:rsidR="006C7E0D" w:rsidRPr="001569FB" w:rsidRDefault="006C7E0D" w:rsidP="006B32D6">
            <w:pPr>
              <w:jc w:val="right"/>
              <w:rPr>
                <w:sz w:val="18"/>
                <w:szCs w:val="18"/>
              </w:rPr>
            </w:pPr>
          </w:p>
        </w:tc>
      </w:tr>
    </w:tbl>
    <w:p w14:paraId="20D0C783" w14:textId="596CB858" w:rsidR="009E1BE3" w:rsidRPr="001569FB" w:rsidRDefault="009E1BE3" w:rsidP="003E32B3">
      <w:pPr>
        <w:keepNext/>
        <w:keepLines/>
        <w:spacing w:before="480" w:after="100" w:line="271" w:lineRule="exact"/>
        <w:rPr>
          <w:b/>
          <w:bCs/>
          <w:szCs w:val="24"/>
        </w:rPr>
      </w:pPr>
      <w:r w:rsidRPr="001569FB">
        <w:rPr>
          <w:b/>
          <w:bCs/>
          <w:spacing w:val="1"/>
          <w:szCs w:val="24"/>
        </w:rPr>
        <w:t>T</w:t>
      </w:r>
      <w:r w:rsidRPr="001569FB">
        <w:rPr>
          <w:b/>
          <w:bCs/>
          <w:szCs w:val="24"/>
        </w:rPr>
        <w:t>a</w:t>
      </w:r>
      <w:r w:rsidRPr="001569FB">
        <w:rPr>
          <w:b/>
          <w:bCs/>
          <w:spacing w:val="1"/>
          <w:szCs w:val="24"/>
        </w:rPr>
        <w:t>b</w:t>
      </w:r>
      <w:r w:rsidRPr="001569FB">
        <w:rPr>
          <w:b/>
          <w:bCs/>
          <w:szCs w:val="24"/>
        </w:rPr>
        <w:t>le</w:t>
      </w:r>
      <w:r w:rsidRPr="001569FB">
        <w:rPr>
          <w:b/>
          <w:bCs/>
          <w:spacing w:val="-1"/>
          <w:szCs w:val="24"/>
        </w:rPr>
        <w:t xml:space="preserve"> </w:t>
      </w:r>
      <w:r w:rsidR="00776266" w:rsidRPr="001569FB">
        <w:rPr>
          <w:b/>
          <w:bCs/>
          <w:spacing w:val="-1"/>
          <w:szCs w:val="24"/>
        </w:rPr>
        <w:t>I</w:t>
      </w:r>
      <w:r w:rsidRPr="001569FB">
        <w:rPr>
          <w:b/>
          <w:bCs/>
          <w:spacing w:val="-1"/>
          <w:szCs w:val="24"/>
        </w:rPr>
        <w:t>-4</w:t>
      </w:r>
      <w:r w:rsidR="00146ED3" w:rsidRPr="001569FB">
        <w:rPr>
          <w:b/>
          <w:bCs/>
          <w:spacing w:val="-1"/>
          <w:szCs w:val="24"/>
        </w:rPr>
        <w:t>.</w:t>
      </w:r>
      <w:r w:rsidRPr="001569FB">
        <w:rPr>
          <w:b/>
          <w:bCs/>
          <w:spacing w:val="-1"/>
          <w:szCs w:val="24"/>
        </w:rPr>
        <w:t xml:space="preserve"> </w:t>
      </w:r>
      <w:r w:rsidRPr="001569FB">
        <w:rPr>
          <w:b/>
          <w:bCs/>
          <w:spacing w:val="-4"/>
          <w:szCs w:val="24"/>
        </w:rPr>
        <w:t>Comparison</w:t>
      </w:r>
      <w:r w:rsidRPr="001569FB">
        <w:rPr>
          <w:b/>
          <w:bCs/>
          <w:spacing w:val="1"/>
          <w:szCs w:val="24"/>
        </w:rPr>
        <w:t xml:space="preserve"> </w:t>
      </w:r>
      <w:r w:rsidRPr="001569FB">
        <w:rPr>
          <w:b/>
          <w:bCs/>
          <w:szCs w:val="24"/>
        </w:rPr>
        <w:t>of</w:t>
      </w:r>
      <w:r w:rsidRPr="001569FB">
        <w:rPr>
          <w:b/>
          <w:bCs/>
          <w:spacing w:val="2"/>
          <w:szCs w:val="24"/>
        </w:rPr>
        <w:t xml:space="preserve"> </w:t>
      </w:r>
      <w:r w:rsidRPr="001569FB">
        <w:rPr>
          <w:b/>
          <w:bCs/>
          <w:szCs w:val="24"/>
        </w:rPr>
        <w:t>C</w:t>
      </w:r>
      <w:r w:rsidRPr="001569FB">
        <w:rPr>
          <w:b/>
          <w:bCs/>
          <w:spacing w:val="1"/>
          <w:szCs w:val="24"/>
        </w:rPr>
        <w:t>u</w:t>
      </w:r>
      <w:r w:rsidRPr="001569FB">
        <w:rPr>
          <w:b/>
          <w:bCs/>
          <w:spacing w:val="-1"/>
          <w:szCs w:val="24"/>
        </w:rPr>
        <w:t>rre</w:t>
      </w:r>
      <w:r w:rsidRPr="001569FB">
        <w:rPr>
          <w:b/>
          <w:bCs/>
          <w:spacing w:val="1"/>
          <w:szCs w:val="24"/>
        </w:rPr>
        <w:t>n</w:t>
      </w:r>
      <w:r w:rsidRPr="001569FB">
        <w:rPr>
          <w:b/>
          <w:bCs/>
          <w:szCs w:val="24"/>
        </w:rPr>
        <w:t>t</w:t>
      </w:r>
      <w:r w:rsidRPr="001569FB">
        <w:rPr>
          <w:b/>
          <w:bCs/>
          <w:spacing w:val="-1"/>
          <w:szCs w:val="24"/>
        </w:rPr>
        <w:t xml:space="preserve"> </w:t>
      </w:r>
      <w:r w:rsidRPr="001569FB">
        <w:rPr>
          <w:b/>
          <w:bCs/>
          <w:szCs w:val="24"/>
        </w:rPr>
        <w:t>&amp;</w:t>
      </w:r>
      <w:r w:rsidRPr="001569FB">
        <w:rPr>
          <w:b/>
          <w:bCs/>
          <w:spacing w:val="2"/>
          <w:szCs w:val="24"/>
        </w:rPr>
        <w:t xml:space="preserve"> </w:t>
      </w:r>
      <w:r w:rsidRPr="001569FB">
        <w:rPr>
          <w:b/>
          <w:bCs/>
          <w:spacing w:val="-3"/>
          <w:szCs w:val="24"/>
        </w:rPr>
        <w:t>P</w:t>
      </w:r>
      <w:r w:rsidRPr="001569FB">
        <w:rPr>
          <w:b/>
          <w:bCs/>
          <w:spacing w:val="-1"/>
          <w:szCs w:val="24"/>
        </w:rPr>
        <w:t>re</w:t>
      </w:r>
      <w:r w:rsidRPr="001569FB">
        <w:rPr>
          <w:b/>
          <w:bCs/>
          <w:szCs w:val="24"/>
        </w:rPr>
        <w:t>vio</w:t>
      </w:r>
      <w:r w:rsidRPr="001569FB">
        <w:rPr>
          <w:b/>
          <w:bCs/>
          <w:spacing w:val="1"/>
          <w:szCs w:val="24"/>
        </w:rPr>
        <w:t>u</w:t>
      </w:r>
      <w:r w:rsidRPr="001569FB">
        <w:rPr>
          <w:b/>
          <w:bCs/>
          <w:szCs w:val="24"/>
        </w:rPr>
        <w:t>s</w:t>
      </w:r>
      <w:r w:rsidRPr="001569FB">
        <w:rPr>
          <w:b/>
          <w:bCs/>
          <w:spacing w:val="3"/>
          <w:szCs w:val="24"/>
        </w:rPr>
        <w:t xml:space="preserve"> </w:t>
      </w:r>
      <w:r w:rsidRPr="001569FB">
        <w:rPr>
          <w:b/>
          <w:bCs/>
          <w:spacing w:val="1"/>
          <w:szCs w:val="24"/>
        </w:rPr>
        <w:t>E</w:t>
      </w:r>
      <w:r w:rsidRPr="001569FB">
        <w:rPr>
          <w:b/>
          <w:bCs/>
          <w:szCs w:val="24"/>
        </w:rPr>
        <w:t>s</w:t>
      </w:r>
      <w:r w:rsidRPr="001569FB">
        <w:rPr>
          <w:b/>
          <w:bCs/>
          <w:spacing w:val="-1"/>
          <w:szCs w:val="24"/>
        </w:rPr>
        <w:t>t</w:t>
      </w:r>
      <w:r w:rsidRPr="001569FB">
        <w:rPr>
          <w:b/>
          <w:bCs/>
          <w:szCs w:val="24"/>
        </w:rPr>
        <w:t>i</w:t>
      </w:r>
      <w:r w:rsidRPr="001569FB">
        <w:rPr>
          <w:b/>
          <w:bCs/>
          <w:spacing w:val="-3"/>
          <w:szCs w:val="24"/>
        </w:rPr>
        <w:t>m</w:t>
      </w:r>
      <w:r w:rsidRPr="001569FB">
        <w:rPr>
          <w:b/>
          <w:bCs/>
          <w:szCs w:val="24"/>
        </w:rPr>
        <w:t>a</w:t>
      </w:r>
      <w:r w:rsidRPr="001569FB">
        <w:rPr>
          <w:b/>
          <w:bCs/>
          <w:spacing w:val="2"/>
          <w:szCs w:val="24"/>
        </w:rPr>
        <w:t>t</w:t>
      </w:r>
      <w:r w:rsidRPr="001569FB">
        <w:rPr>
          <w:b/>
          <w:bCs/>
          <w:spacing w:val="-1"/>
          <w:szCs w:val="24"/>
        </w:rPr>
        <w:t>e</w:t>
      </w:r>
      <w:r w:rsidRPr="001569FB">
        <w:rPr>
          <w:b/>
          <w:bCs/>
          <w:szCs w:val="24"/>
        </w:rPr>
        <w:t>s of</w:t>
      </w:r>
      <w:r w:rsidRPr="001569FB">
        <w:rPr>
          <w:b/>
          <w:bCs/>
          <w:spacing w:val="2"/>
          <w:szCs w:val="24"/>
        </w:rPr>
        <w:t xml:space="preserve"> </w:t>
      </w:r>
      <w:r w:rsidRPr="001569FB">
        <w:rPr>
          <w:b/>
          <w:bCs/>
          <w:spacing w:val="-1"/>
          <w:szCs w:val="24"/>
        </w:rPr>
        <w:t>t</w:t>
      </w:r>
      <w:r w:rsidRPr="001569FB">
        <w:rPr>
          <w:b/>
          <w:bCs/>
          <w:spacing w:val="1"/>
          <w:szCs w:val="24"/>
        </w:rPr>
        <w:t>h</w:t>
      </w:r>
      <w:r w:rsidRPr="001569FB">
        <w:rPr>
          <w:b/>
          <w:bCs/>
          <w:szCs w:val="24"/>
        </w:rPr>
        <w:t>e</w:t>
      </w:r>
      <w:r w:rsidRPr="001569FB">
        <w:rPr>
          <w:b/>
          <w:bCs/>
          <w:spacing w:val="-1"/>
          <w:szCs w:val="24"/>
        </w:rPr>
        <w:t xml:space="preserve"> </w:t>
      </w:r>
      <w:r w:rsidRPr="001569FB">
        <w:rPr>
          <w:b/>
          <w:bCs/>
          <w:szCs w:val="24"/>
        </w:rPr>
        <w:t>F</w:t>
      </w:r>
      <w:r w:rsidRPr="001569FB">
        <w:rPr>
          <w:b/>
          <w:bCs/>
          <w:spacing w:val="-3"/>
          <w:szCs w:val="24"/>
        </w:rPr>
        <w:t>F</w:t>
      </w:r>
      <w:r w:rsidRPr="001569FB">
        <w:rPr>
          <w:b/>
          <w:bCs/>
          <w:szCs w:val="24"/>
        </w:rPr>
        <w:t>S</w:t>
      </w:r>
      <w:r w:rsidRPr="001569FB">
        <w:rPr>
          <w:b/>
          <w:bCs/>
          <w:spacing w:val="1"/>
          <w:szCs w:val="24"/>
        </w:rPr>
        <w:t xml:space="preserve"> </w:t>
      </w:r>
      <w:r w:rsidRPr="001569FB">
        <w:rPr>
          <w:b/>
          <w:bCs/>
          <w:spacing w:val="2"/>
          <w:szCs w:val="24"/>
        </w:rPr>
        <w:t>U</w:t>
      </w:r>
      <w:r w:rsidRPr="001569FB">
        <w:rPr>
          <w:b/>
          <w:bCs/>
          <w:spacing w:val="1"/>
          <w:szCs w:val="24"/>
        </w:rPr>
        <w:t>S</w:t>
      </w:r>
      <w:r w:rsidRPr="001569FB">
        <w:rPr>
          <w:b/>
          <w:bCs/>
          <w:spacing w:val="-3"/>
          <w:szCs w:val="24"/>
        </w:rPr>
        <w:t>P</w:t>
      </w:r>
      <w:r w:rsidRPr="001569FB">
        <w:rPr>
          <w:b/>
          <w:bCs/>
          <w:szCs w:val="24"/>
        </w:rPr>
        <w:t xml:space="preserve">CC – </w:t>
      </w:r>
      <w:r w:rsidRPr="001569FB">
        <w:rPr>
          <w:b/>
          <w:bCs/>
          <w:spacing w:val="1"/>
          <w:szCs w:val="24"/>
        </w:rPr>
        <w:t>N</w:t>
      </w:r>
      <w:r w:rsidRPr="001569FB">
        <w:rPr>
          <w:b/>
          <w:bCs/>
          <w:szCs w:val="24"/>
        </w:rPr>
        <w:t>o</w:t>
      </w:r>
      <w:r w:rsidRPr="001569FB">
        <w:rPr>
          <w:b/>
          <w:bCs/>
          <w:spacing w:val="1"/>
          <w:szCs w:val="24"/>
        </w:rPr>
        <w:t>n</w:t>
      </w:r>
      <w:r w:rsidRPr="001569FB">
        <w:rPr>
          <w:b/>
          <w:bCs/>
          <w:spacing w:val="-1"/>
          <w:szCs w:val="24"/>
        </w:rPr>
        <w:t>-</w:t>
      </w:r>
      <w:r w:rsidRPr="001569FB">
        <w:rPr>
          <w:b/>
          <w:bCs/>
          <w:spacing w:val="1"/>
          <w:szCs w:val="24"/>
        </w:rPr>
        <w:t>ES</w:t>
      </w:r>
      <w:r w:rsidRPr="001569FB">
        <w:rPr>
          <w:b/>
          <w:bCs/>
          <w:szCs w:val="24"/>
        </w:rPr>
        <w:t>RD</w:t>
      </w:r>
    </w:p>
    <w:tbl>
      <w:tblPr>
        <w:tblW w:w="7680" w:type="dxa"/>
        <w:jc w:val="center"/>
        <w:tblLayout w:type="fixed"/>
        <w:tblCellMar>
          <w:left w:w="115" w:type="dxa"/>
          <w:right w:w="115" w:type="dxa"/>
        </w:tblCellMar>
        <w:tblLook w:val="04A0" w:firstRow="1" w:lastRow="0" w:firstColumn="1" w:lastColumn="0" w:noHBand="0" w:noVBand="1"/>
      </w:tblPr>
      <w:tblGrid>
        <w:gridCol w:w="960"/>
        <w:gridCol w:w="960"/>
        <w:gridCol w:w="960"/>
        <w:gridCol w:w="960"/>
        <w:gridCol w:w="960"/>
        <w:gridCol w:w="960"/>
        <w:gridCol w:w="960"/>
        <w:gridCol w:w="960"/>
      </w:tblGrid>
      <w:tr w:rsidR="004867CA" w:rsidRPr="001569FB" w14:paraId="6A33EDE1" w14:textId="77777777" w:rsidTr="00956EAA">
        <w:trPr>
          <w:cantSplit/>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482A731" w14:textId="77777777" w:rsidR="004867CA" w:rsidRPr="001569FB" w:rsidRDefault="004867CA" w:rsidP="006B32D6">
            <w:pPr>
              <w:rPr>
                <w:color w:val="000000"/>
                <w:sz w:val="19"/>
                <w:szCs w:val="19"/>
              </w:rPr>
            </w:pPr>
            <w:r w:rsidRPr="001569FB">
              <w:rPr>
                <w:color w:val="000000"/>
                <w:sz w:val="19"/>
                <w:szCs w:val="19"/>
              </w:rPr>
              <w:t> </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2354A891" w14:textId="77777777" w:rsidR="004867CA" w:rsidRPr="001569FB" w:rsidRDefault="004867CA" w:rsidP="006B32D6">
            <w:pPr>
              <w:jc w:val="center"/>
              <w:rPr>
                <w:color w:val="000000"/>
                <w:sz w:val="19"/>
                <w:szCs w:val="19"/>
              </w:rPr>
            </w:pPr>
            <w:r w:rsidRPr="001569FB">
              <w:rPr>
                <w:color w:val="000000"/>
                <w:sz w:val="19"/>
                <w:szCs w:val="19"/>
              </w:rPr>
              <w:t>Part A</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01D38B23" w14:textId="77777777" w:rsidR="004867CA" w:rsidRPr="001569FB" w:rsidRDefault="004867CA" w:rsidP="006B32D6">
            <w:pPr>
              <w:jc w:val="center"/>
              <w:rPr>
                <w:color w:val="000000"/>
                <w:sz w:val="19"/>
                <w:szCs w:val="19"/>
              </w:rPr>
            </w:pPr>
            <w:r w:rsidRPr="001569FB">
              <w:rPr>
                <w:color w:val="000000"/>
                <w:sz w:val="19"/>
                <w:szCs w:val="19"/>
              </w:rPr>
              <w:t>Part B</w:t>
            </w:r>
          </w:p>
        </w:tc>
        <w:tc>
          <w:tcPr>
            <w:tcW w:w="2880" w:type="dxa"/>
            <w:gridSpan w:val="3"/>
            <w:tcBorders>
              <w:top w:val="single" w:sz="8" w:space="0" w:color="auto"/>
              <w:left w:val="single" w:sz="4" w:space="0" w:color="auto"/>
              <w:bottom w:val="single" w:sz="4" w:space="0" w:color="auto"/>
              <w:right w:val="single" w:sz="8" w:space="0" w:color="000000"/>
            </w:tcBorders>
            <w:shd w:val="clear" w:color="auto" w:fill="auto"/>
            <w:vAlign w:val="center"/>
            <w:hideMark/>
          </w:tcPr>
          <w:p w14:paraId="2B8D63A1" w14:textId="77777777" w:rsidR="004867CA" w:rsidRPr="001569FB" w:rsidRDefault="004867CA" w:rsidP="006B32D6">
            <w:pPr>
              <w:jc w:val="center"/>
              <w:rPr>
                <w:color w:val="000000"/>
                <w:sz w:val="19"/>
                <w:szCs w:val="19"/>
              </w:rPr>
            </w:pPr>
            <w:r w:rsidRPr="001569FB">
              <w:rPr>
                <w:color w:val="000000"/>
                <w:sz w:val="19"/>
                <w:szCs w:val="19"/>
              </w:rPr>
              <w:t>Part A &amp; Part B</w:t>
            </w:r>
          </w:p>
        </w:tc>
      </w:tr>
      <w:tr w:rsidR="004867CA" w:rsidRPr="001569FB" w14:paraId="0750FB09" w14:textId="77777777" w:rsidTr="00956EAA">
        <w:trPr>
          <w:cantSplit/>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539D223" w14:textId="77777777" w:rsidR="004867CA" w:rsidRPr="001569FB" w:rsidRDefault="004867CA" w:rsidP="00956EAA">
            <w:pPr>
              <w:spacing w:line="240" w:lineRule="auto"/>
              <w:jc w:val="center"/>
              <w:rPr>
                <w:color w:val="000000"/>
                <w:sz w:val="19"/>
                <w:szCs w:val="19"/>
              </w:rPr>
            </w:pPr>
            <w:r w:rsidRPr="001569FB">
              <w:rPr>
                <w:color w:val="000000"/>
                <w:sz w:val="19"/>
                <w:szCs w:val="19"/>
              </w:rPr>
              <w:t>Calendar Year</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F7D27"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125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29BA1"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49304E"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ED862"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4FFC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B90A684" w14:textId="77777777" w:rsidR="004867CA" w:rsidRPr="001569FB" w:rsidRDefault="004867CA" w:rsidP="00956EAA">
            <w:pPr>
              <w:spacing w:line="240" w:lineRule="auto"/>
              <w:jc w:val="center"/>
              <w:rPr>
                <w:color w:val="000000"/>
                <w:sz w:val="19"/>
                <w:szCs w:val="19"/>
              </w:rPr>
            </w:pPr>
            <w:r w:rsidRPr="001569FB">
              <w:rPr>
                <w:color w:val="000000"/>
                <w:sz w:val="19"/>
                <w:szCs w:val="19"/>
              </w:rPr>
              <w:t>Ratio</w:t>
            </w:r>
          </w:p>
        </w:tc>
      </w:tr>
      <w:tr w:rsidR="004867CA" w:rsidRPr="001569FB" w14:paraId="2AC6C21C"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8BB3D05" w14:textId="77777777" w:rsidR="004867CA" w:rsidRPr="001569FB" w:rsidRDefault="004867CA" w:rsidP="006B32D6">
            <w:pPr>
              <w:jc w:val="center"/>
              <w:rPr>
                <w:color w:val="000000"/>
                <w:sz w:val="18"/>
                <w:szCs w:val="18"/>
              </w:rPr>
            </w:pPr>
            <w:r w:rsidRPr="001569FB">
              <w:rPr>
                <w:color w:val="000000"/>
                <w:sz w:val="18"/>
                <w:szCs w:val="18"/>
              </w:rPr>
              <w:t>2010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220BDDC"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D2080FB"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300F1C6"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6483BE8"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C2EFA3E"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42D086"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B4680C5" w14:textId="77777777" w:rsidR="004867CA" w:rsidRPr="001569FB" w:rsidRDefault="004867CA" w:rsidP="006B32D6">
            <w:pPr>
              <w:jc w:val="right"/>
              <w:rPr>
                <w:sz w:val="18"/>
                <w:szCs w:val="18"/>
              </w:rPr>
            </w:pPr>
            <w:r w:rsidRPr="001569FB">
              <w:rPr>
                <w:sz w:val="18"/>
                <w:szCs w:val="18"/>
              </w:rPr>
              <w:t>1.000</w:t>
            </w:r>
          </w:p>
        </w:tc>
      </w:tr>
      <w:tr w:rsidR="004867CA" w:rsidRPr="001569FB" w14:paraId="30A1DC9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6117D05" w14:textId="77777777" w:rsidR="004867CA" w:rsidRPr="001569FB" w:rsidRDefault="004867CA" w:rsidP="006B32D6">
            <w:pPr>
              <w:jc w:val="center"/>
              <w:rPr>
                <w:color w:val="000000"/>
                <w:sz w:val="18"/>
                <w:szCs w:val="18"/>
              </w:rPr>
            </w:pPr>
            <w:r w:rsidRPr="001569FB">
              <w:rPr>
                <w:color w:val="000000"/>
                <w:sz w:val="18"/>
                <w:szCs w:val="18"/>
              </w:rPr>
              <w:t>2011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7F60249" w14:textId="77777777" w:rsidR="004867CA" w:rsidRPr="001569FB" w:rsidRDefault="004867CA" w:rsidP="006B32D6">
            <w:pPr>
              <w:jc w:val="right"/>
              <w:rPr>
                <w:sz w:val="18"/>
                <w:szCs w:val="18"/>
              </w:rPr>
            </w:pPr>
            <w:r w:rsidRPr="001569FB">
              <w:rPr>
                <w:sz w:val="18"/>
                <w:szCs w:val="18"/>
              </w:rPr>
              <w:t>$371.38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3C2595B" w14:textId="77777777" w:rsidR="004867CA" w:rsidRPr="001569FB" w:rsidRDefault="004867CA" w:rsidP="006B32D6">
            <w:pPr>
              <w:jc w:val="right"/>
              <w:rPr>
                <w:sz w:val="18"/>
                <w:szCs w:val="18"/>
              </w:rPr>
            </w:pPr>
            <w:r w:rsidRPr="001569FB">
              <w:rPr>
                <w:sz w:val="18"/>
                <w:szCs w:val="18"/>
              </w:rPr>
              <w:t>$370.01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EA9953"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008F7DE"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319DD02" w14:textId="77777777" w:rsidR="004867CA" w:rsidRPr="001569FB" w:rsidRDefault="004867CA" w:rsidP="006B32D6">
            <w:pPr>
              <w:jc w:val="right"/>
              <w:rPr>
                <w:sz w:val="18"/>
                <w:szCs w:val="18"/>
              </w:rPr>
            </w:pPr>
            <w:r w:rsidRPr="001569FB">
              <w:rPr>
                <w:sz w:val="18"/>
                <w:szCs w:val="18"/>
              </w:rPr>
              <w:t>$755.77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407C00" w14:textId="77777777" w:rsidR="004867CA" w:rsidRPr="001569FB" w:rsidRDefault="004867CA" w:rsidP="006B32D6">
            <w:pPr>
              <w:jc w:val="right"/>
              <w:rPr>
                <w:sz w:val="18"/>
                <w:szCs w:val="18"/>
              </w:rPr>
            </w:pPr>
            <w:r w:rsidRPr="001569FB">
              <w:rPr>
                <w:sz w:val="18"/>
                <w:szCs w:val="18"/>
              </w:rPr>
              <w:t>$754.40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2EE209E2" w14:textId="77777777" w:rsidR="004867CA" w:rsidRPr="001569FB" w:rsidRDefault="004867CA" w:rsidP="006B32D6">
            <w:pPr>
              <w:jc w:val="right"/>
              <w:rPr>
                <w:sz w:val="18"/>
                <w:szCs w:val="18"/>
              </w:rPr>
            </w:pPr>
            <w:r w:rsidRPr="001569FB">
              <w:rPr>
                <w:sz w:val="18"/>
                <w:szCs w:val="18"/>
              </w:rPr>
              <w:t>1.002</w:t>
            </w:r>
          </w:p>
        </w:tc>
      </w:tr>
      <w:tr w:rsidR="004867CA" w:rsidRPr="001569FB" w14:paraId="3CAD2A3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C97B317" w14:textId="77777777" w:rsidR="004867CA" w:rsidRPr="001569FB" w:rsidRDefault="004867CA" w:rsidP="006B32D6">
            <w:pPr>
              <w:jc w:val="center"/>
              <w:rPr>
                <w:color w:val="000000"/>
                <w:sz w:val="18"/>
                <w:szCs w:val="18"/>
              </w:rPr>
            </w:pPr>
            <w:r w:rsidRPr="001569FB">
              <w:rPr>
                <w:color w:val="000000"/>
                <w:sz w:val="18"/>
                <w:szCs w:val="18"/>
              </w:rPr>
              <w:lastRenderedPageBreak/>
              <w:t>2012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BE6254" w14:textId="77777777" w:rsidR="004867CA" w:rsidRPr="001569FB" w:rsidRDefault="004867CA" w:rsidP="006B32D6">
            <w:pPr>
              <w:jc w:val="right"/>
              <w:rPr>
                <w:sz w:val="18"/>
                <w:szCs w:val="18"/>
              </w:rPr>
            </w:pPr>
            <w:r w:rsidRPr="001569FB">
              <w:rPr>
                <w:sz w:val="18"/>
                <w:szCs w:val="18"/>
              </w:rPr>
              <w:t>$357.17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CF1CB7" w14:textId="77777777" w:rsidR="004867CA" w:rsidRPr="001569FB" w:rsidRDefault="004867CA" w:rsidP="006B32D6">
            <w:pPr>
              <w:jc w:val="right"/>
              <w:rPr>
                <w:sz w:val="18"/>
                <w:szCs w:val="18"/>
              </w:rPr>
            </w:pPr>
            <w:r w:rsidRPr="001569FB">
              <w:rPr>
                <w:sz w:val="18"/>
                <w:szCs w:val="18"/>
              </w:rPr>
              <w:t>$359.17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08D570D"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9513489"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B59490E" w14:textId="77777777" w:rsidR="004867CA" w:rsidRPr="001569FB" w:rsidRDefault="004867CA" w:rsidP="006B32D6">
            <w:pPr>
              <w:jc w:val="right"/>
              <w:rPr>
                <w:sz w:val="18"/>
                <w:szCs w:val="18"/>
              </w:rPr>
            </w:pPr>
            <w:r w:rsidRPr="001569FB">
              <w:rPr>
                <w:sz w:val="18"/>
                <w:szCs w:val="18"/>
              </w:rPr>
              <w:t>$749.11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5488DC" w14:textId="77777777" w:rsidR="004867CA" w:rsidRPr="001569FB" w:rsidRDefault="004867CA" w:rsidP="006B32D6">
            <w:pPr>
              <w:jc w:val="right"/>
              <w:rPr>
                <w:sz w:val="18"/>
                <w:szCs w:val="18"/>
              </w:rPr>
            </w:pPr>
            <w:r w:rsidRPr="001569FB">
              <w:rPr>
                <w:sz w:val="18"/>
                <w:szCs w:val="18"/>
              </w:rPr>
              <w:t>$751.11</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513338B" w14:textId="77777777" w:rsidR="004867CA" w:rsidRPr="001569FB" w:rsidRDefault="004867CA" w:rsidP="006B32D6">
            <w:pPr>
              <w:jc w:val="right"/>
              <w:rPr>
                <w:sz w:val="18"/>
                <w:szCs w:val="18"/>
              </w:rPr>
            </w:pPr>
            <w:r w:rsidRPr="001569FB">
              <w:rPr>
                <w:sz w:val="18"/>
                <w:szCs w:val="18"/>
              </w:rPr>
              <w:t>0.997</w:t>
            </w:r>
          </w:p>
        </w:tc>
      </w:tr>
      <w:tr w:rsidR="004867CA" w:rsidRPr="001569FB" w14:paraId="54AFCAC5"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A3A890E" w14:textId="77777777" w:rsidR="004867CA" w:rsidRPr="001569FB" w:rsidRDefault="004867CA" w:rsidP="006B32D6">
            <w:pPr>
              <w:jc w:val="center"/>
              <w:rPr>
                <w:color w:val="000000"/>
                <w:sz w:val="18"/>
                <w:szCs w:val="18"/>
              </w:rPr>
            </w:pPr>
            <w:r w:rsidRPr="001569FB">
              <w:rPr>
                <w:color w:val="000000"/>
                <w:sz w:val="18"/>
                <w:szCs w:val="18"/>
              </w:rPr>
              <w:t>2013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2A8B395" w14:textId="77777777" w:rsidR="004867CA" w:rsidRPr="001569FB" w:rsidRDefault="004867CA" w:rsidP="006B32D6">
            <w:pPr>
              <w:jc w:val="right"/>
              <w:rPr>
                <w:sz w:val="18"/>
                <w:szCs w:val="18"/>
              </w:rPr>
            </w:pPr>
            <w:r w:rsidRPr="001569FB">
              <w:rPr>
                <w:sz w:val="18"/>
                <w:szCs w:val="18"/>
              </w:rPr>
              <w:t>$365.51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CFE1845" w14:textId="77777777" w:rsidR="004867CA" w:rsidRPr="001569FB" w:rsidRDefault="004867CA" w:rsidP="006B32D6">
            <w:pPr>
              <w:jc w:val="right"/>
              <w:rPr>
                <w:sz w:val="18"/>
                <w:szCs w:val="18"/>
              </w:rPr>
            </w:pPr>
            <w:r w:rsidRPr="001569FB">
              <w:rPr>
                <w:sz w:val="18"/>
                <w:szCs w:val="18"/>
              </w:rPr>
              <w:t>$365.50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AF5F14C" w14:textId="77777777" w:rsidR="004867CA" w:rsidRPr="001569FB" w:rsidRDefault="004867CA" w:rsidP="006B32D6">
            <w:pPr>
              <w:jc w:val="right"/>
              <w:rPr>
                <w:sz w:val="18"/>
                <w:szCs w:val="18"/>
              </w:rPr>
            </w:pPr>
            <w:r w:rsidRPr="001569FB">
              <w:rPr>
                <w:sz w:val="18"/>
                <w:szCs w:val="18"/>
              </w:rPr>
              <w:t>$395.73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36CF8A" w14:textId="77777777" w:rsidR="004867CA" w:rsidRPr="001569FB" w:rsidRDefault="004867CA" w:rsidP="006B32D6">
            <w:pPr>
              <w:jc w:val="right"/>
              <w:rPr>
                <w:sz w:val="18"/>
                <w:szCs w:val="18"/>
              </w:rPr>
            </w:pPr>
            <w:r w:rsidRPr="001569FB">
              <w:rPr>
                <w:sz w:val="18"/>
                <w:szCs w:val="18"/>
              </w:rPr>
              <w:t>$395.85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9C4E6BA" w14:textId="77777777" w:rsidR="004867CA" w:rsidRPr="001569FB" w:rsidRDefault="004867CA" w:rsidP="006B32D6">
            <w:pPr>
              <w:jc w:val="right"/>
              <w:rPr>
                <w:sz w:val="18"/>
                <w:szCs w:val="18"/>
              </w:rPr>
            </w:pPr>
            <w:r w:rsidRPr="001569FB">
              <w:rPr>
                <w:sz w:val="18"/>
                <w:szCs w:val="18"/>
              </w:rPr>
              <w:t>$761.24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1D468AD" w14:textId="77777777" w:rsidR="004867CA" w:rsidRPr="001569FB" w:rsidRDefault="004867CA" w:rsidP="006B32D6">
            <w:pPr>
              <w:jc w:val="right"/>
              <w:rPr>
                <w:sz w:val="18"/>
                <w:szCs w:val="18"/>
              </w:rPr>
            </w:pPr>
            <w:r w:rsidRPr="001569FB">
              <w:rPr>
                <w:sz w:val="18"/>
                <w:szCs w:val="18"/>
              </w:rPr>
              <w:t>$761.35</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CC09F66" w14:textId="77777777" w:rsidR="004867CA" w:rsidRPr="001569FB" w:rsidRDefault="004867CA" w:rsidP="006B32D6">
            <w:pPr>
              <w:jc w:val="right"/>
              <w:rPr>
                <w:sz w:val="18"/>
                <w:szCs w:val="18"/>
              </w:rPr>
            </w:pPr>
            <w:r w:rsidRPr="001569FB">
              <w:rPr>
                <w:sz w:val="18"/>
                <w:szCs w:val="18"/>
              </w:rPr>
              <w:t>1.000</w:t>
            </w:r>
          </w:p>
        </w:tc>
      </w:tr>
      <w:tr w:rsidR="004867CA" w:rsidRPr="001569FB" w14:paraId="159FD84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702C2AD" w14:textId="77777777" w:rsidR="004867CA" w:rsidRPr="001569FB" w:rsidRDefault="004867CA" w:rsidP="006B32D6">
            <w:pPr>
              <w:jc w:val="center"/>
              <w:rPr>
                <w:color w:val="000000"/>
                <w:sz w:val="18"/>
                <w:szCs w:val="18"/>
              </w:rPr>
            </w:pPr>
            <w:r w:rsidRPr="001569FB">
              <w:rPr>
                <w:color w:val="000000"/>
                <w:sz w:val="18"/>
                <w:szCs w:val="18"/>
              </w:rPr>
              <w:t>2014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F36241" w14:textId="77777777" w:rsidR="004867CA" w:rsidRPr="001569FB" w:rsidRDefault="004867CA" w:rsidP="006B32D6">
            <w:pPr>
              <w:jc w:val="right"/>
              <w:rPr>
                <w:sz w:val="18"/>
                <w:szCs w:val="18"/>
              </w:rPr>
            </w:pPr>
            <w:r w:rsidRPr="001569FB">
              <w:rPr>
                <w:sz w:val="18"/>
                <w:szCs w:val="18"/>
              </w:rPr>
              <w:t>$366.25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70D37BE" w14:textId="77777777" w:rsidR="004867CA" w:rsidRPr="001569FB" w:rsidRDefault="004867CA" w:rsidP="006B32D6">
            <w:pPr>
              <w:jc w:val="right"/>
              <w:rPr>
                <w:sz w:val="18"/>
                <w:szCs w:val="18"/>
              </w:rPr>
            </w:pPr>
            <w:r w:rsidRPr="001569FB">
              <w:rPr>
                <w:sz w:val="18"/>
                <w:szCs w:val="18"/>
              </w:rPr>
              <w:t>$365.80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2075F3" w14:textId="77777777" w:rsidR="004867CA" w:rsidRPr="001569FB" w:rsidRDefault="004867CA" w:rsidP="006B32D6">
            <w:pPr>
              <w:jc w:val="right"/>
              <w:rPr>
                <w:sz w:val="18"/>
                <w:szCs w:val="18"/>
              </w:rPr>
            </w:pPr>
            <w:r w:rsidRPr="001569FB">
              <w:rPr>
                <w:sz w:val="18"/>
                <w:szCs w:val="18"/>
              </w:rPr>
              <w:t>$408.81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559C3EA" w14:textId="77777777" w:rsidR="004867CA" w:rsidRPr="001569FB" w:rsidRDefault="004867CA" w:rsidP="006B32D6">
            <w:pPr>
              <w:jc w:val="right"/>
              <w:rPr>
                <w:sz w:val="18"/>
                <w:szCs w:val="18"/>
              </w:rPr>
            </w:pPr>
            <w:r w:rsidRPr="001569FB">
              <w:rPr>
                <w:sz w:val="18"/>
                <w:szCs w:val="18"/>
              </w:rPr>
              <w:t>$409.16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BDE3A4" w14:textId="77777777" w:rsidR="004867CA" w:rsidRPr="001569FB" w:rsidRDefault="004867CA" w:rsidP="006B32D6">
            <w:pPr>
              <w:jc w:val="right"/>
              <w:rPr>
                <w:sz w:val="18"/>
                <w:szCs w:val="18"/>
              </w:rPr>
            </w:pPr>
            <w:r w:rsidRPr="001569FB">
              <w:rPr>
                <w:sz w:val="18"/>
                <w:szCs w:val="18"/>
              </w:rPr>
              <w:t>$775.06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D2D92D" w14:textId="77777777" w:rsidR="004867CA" w:rsidRPr="001569FB" w:rsidRDefault="004867CA" w:rsidP="006B32D6">
            <w:pPr>
              <w:jc w:val="right"/>
              <w:rPr>
                <w:sz w:val="18"/>
                <w:szCs w:val="18"/>
              </w:rPr>
            </w:pPr>
            <w:r w:rsidRPr="001569FB">
              <w:rPr>
                <w:sz w:val="18"/>
                <w:szCs w:val="18"/>
              </w:rPr>
              <w:t>$774.96</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1DE281F2" w14:textId="77777777" w:rsidR="004867CA" w:rsidRPr="001569FB" w:rsidRDefault="004867CA" w:rsidP="006B32D6">
            <w:pPr>
              <w:jc w:val="right"/>
              <w:rPr>
                <w:sz w:val="18"/>
                <w:szCs w:val="18"/>
              </w:rPr>
            </w:pPr>
            <w:r w:rsidRPr="001569FB">
              <w:rPr>
                <w:sz w:val="18"/>
                <w:szCs w:val="18"/>
              </w:rPr>
              <w:t>1.000</w:t>
            </w:r>
          </w:p>
        </w:tc>
      </w:tr>
      <w:tr w:rsidR="004867CA" w:rsidRPr="001569FB" w14:paraId="1B35F23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394B47" w14:textId="77777777" w:rsidR="004867CA" w:rsidRPr="001569FB" w:rsidRDefault="004867CA" w:rsidP="006B32D6">
            <w:pPr>
              <w:jc w:val="center"/>
              <w:rPr>
                <w:color w:val="000000"/>
                <w:sz w:val="18"/>
                <w:szCs w:val="18"/>
              </w:rPr>
            </w:pPr>
            <w:r w:rsidRPr="001569FB">
              <w:rPr>
                <w:color w:val="000000"/>
                <w:sz w:val="18"/>
                <w:szCs w:val="18"/>
              </w:rPr>
              <w:t>2015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09A5B5" w14:textId="77777777" w:rsidR="004867CA" w:rsidRPr="001569FB" w:rsidRDefault="004867CA" w:rsidP="006B32D6">
            <w:pPr>
              <w:jc w:val="right"/>
              <w:rPr>
                <w:sz w:val="18"/>
                <w:szCs w:val="18"/>
              </w:rPr>
            </w:pPr>
            <w:r w:rsidRPr="001569FB">
              <w:rPr>
                <w:sz w:val="18"/>
                <w:szCs w:val="18"/>
              </w:rPr>
              <w:t>$371.54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A26CC1A" w14:textId="77777777" w:rsidR="004867CA" w:rsidRPr="001569FB" w:rsidRDefault="004867CA" w:rsidP="006B32D6">
            <w:pPr>
              <w:jc w:val="right"/>
              <w:rPr>
                <w:sz w:val="18"/>
                <w:szCs w:val="18"/>
              </w:rPr>
            </w:pPr>
            <w:r w:rsidRPr="001569FB">
              <w:rPr>
                <w:sz w:val="18"/>
                <w:szCs w:val="18"/>
              </w:rPr>
              <w:t>$370.14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70AF88" w14:textId="77777777" w:rsidR="004867CA" w:rsidRPr="001569FB" w:rsidRDefault="004867CA" w:rsidP="006B32D6">
            <w:pPr>
              <w:jc w:val="right"/>
              <w:rPr>
                <w:sz w:val="18"/>
                <w:szCs w:val="18"/>
              </w:rPr>
            </w:pPr>
            <w:r w:rsidRPr="001569FB">
              <w:rPr>
                <w:sz w:val="18"/>
                <w:szCs w:val="18"/>
              </w:rPr>
              <w:t>$429.12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0A9CB8" w14:textId="77777777" w:rsidR="004867CA" w:rsidRPr="001569FB" w:rsidRDefault="004867CA" w:rsidP="006B32D6">
            <w:pPr>
              <w:jc w:val="right"/>
              <w:rPr>
                <w:sz w:val="18"/>
                <w:szCs w:val="18"/>
              </w:rPr>
            </w:pPr>
            <w:r w:rsidRPr="001569FB">
              <w:rPr>
                <w:sz w:val="18"/>
                <w:szCs w:val="18"/>
              </w:rPr>
              <w:t>$430.15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D2B0E0B" w14:textId="77777777" w:rsidR="004867CA" w:rsidRPr="001569FB" w:rsidRDefault="004867CA" w:rsidP="006B32D6">
            <w:pPr>
              <w:jc w:val="right"/>
              <w:rPr>
                <w:sz w:val="18"/>
                <w:szCs w:val="18"/>
              </w:rPr>
            </w:pPr>
            <w:r w:rsidRPr="001569FB">
              <w:rPr>
                <w:sz w:val="18"/>
                <w:szCs w:val="18"/>
              </w:rPr>
              <w:t>$800.66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7C6959C" w14:textId="77777777" w:rsidR="004867CA" w:rsidRPr="001569FB" w:rsidRDefault="004867CA" w:rsidP="006B32D6">
            <w:pPr>
              <w:jc w:val="right"/>
              <w:rPr>
                <w:sz w:val="18"/>
                <w:szCs w:val="18"/>
              </w:rPr>
            </w:pPr>
            <w:r w:rsidRPr="001569FB">
              <w:rPr>
                <w:sz w:val="18"/>
                <w:szCs w:val="18"/>
              </w:rPr>
              <w:t>$800.29</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86664CD" w14:textId="77777777" w:rsidR="004867CA" w:rsidRPr="001569FB" w:rsidRDefault="004867CA" w:rsidP="006B32D6">
            <w:pPr>
              <w:jc w:val="right"/>
              <w:rPr>
                <w:sz w:val="18"/>
                <w:szCs w:val="18"/>
              </w:rPr>
            </w:pPr>
            <w:r w:rsidRPr="001569FB">
              <w:rPr>
                <w:sz w:val="18"/>
                <w:szCs w:val="18"/>
              </w:rPr>
              <w:t>1.000</w:t>
            </w:r>
          </w:p>
        </w:tc>
      </w:tr>
      <w:tr w:rsidR="004867CA" w:rsidRPr="001569FB" w14:paraId="2F26293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F9A682B" w14:textId="77777777" w:rsidR="004867CA" w:rsidRPr="001569FB" w:rsidRDefault="004867CA" w:rsidP="006B32D6">
            <w:pPr>
              <w:jc w:val="center"/>
              <w:rPr>
                <w:color w:val="000000"/>
                <w:sz w:val="18"/>
                <w:szCs w:val="18"/>
              </w:rPr>
            </w:pPr>
            <w:r w:rsidRPr="001569FB">
              <w:rPr>
                <w:color w:val="000000"/>
                <w:sz w:val="18"/>
                <w:szCs w:val="18"/>
              </w:rPr>
              <w:t>2016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19B364D" w14:textId="77777777" w:rsidR="004867CA" w:rsidRPr="001569FB" w:rsidRDefault="004867CA" w:rsidP="006B32D6">
            <w:pPr>
              <w:jc w:val="right"/>
              <w:rPr>
                <w:sz w:val="18"/>
                <w:szCs w:val="18"/>
              </w:rPr>
            </w:pPr>
            <w:r w:rsidRPr="001569FB">
              <w:rPr>
                <w:sz w:val="18"/>
                <w:szCs w:val="18"/>
              </w:rPr>
              <w:t>$375.00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7F0B68" w14:textId="77777777" w:rsidR="004867CA" w:rsidRPr="001569FB" w:rsidRDefault="004867CA" w:rsidP="006B32D6">
            <w:pPr>
              <w:jc w:val="right"/>
              <w:rPr>
                <w:sz w:val="18"/>
                <w:szCs w:val="18"/>
              </w:rPr>
            </w:pPr>
            <w:r w:rsidRPr="001569FB">
              <w:rPr>
                <w:sz w:val="18"/>
                <w:szCs w:val="18"/>
              </w:rPr>
              <w:t>$367.52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6E549AF" w14:textId="77777777" w:rsidR="004867CA" w:rsidRPr="001569FB" w:rsidRDefault="004867CA" w:rsidP="006B32D6">
            <w:pPr>
              <w:jc w:val="right"/>
              <w:rPr>
                <w:sz w:val="18"/>
                <w:szCs w:val="18"/>
              </w:rPr>
            </w:pPr>
            <w:r w:rsidRPr="001569FB">
              <w:rPr>
                <w:sz w:val="18"/>
                <w:szCs w:val="18"/>
              </w:rPr>
              <w:t>$436.56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5487B30" w14:textId="77777777" w:rsidR="004867CA" w:rsidRPr="001569FB" w:rsidRDefault="004867CA" w:rsidP="006B32D6">
            <w:pPr>
              <w:jc w:val="right"/>
              <w:rPr>
                <w:sz w:val="18"/>
                <w:szCs w:val="18"/>
              </w:rPr>
            </w:pPr>
            <w:r w:rsidRPr="001569FB">
              <w:rPr>
                <w:sz w:val="18"/>
                <w:szCs w:val="18"/>
              </w:rPr>
              <w:t>$439.16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AADE9D" w14:textId="77777777" w:rsidR="004867CA" w:rsidRPr="001569FB" w:rsidRDefault="004867CA" w:rsidP="006B32D6">
            <w:pPr>
              <w:jc w:val="right"/>
              <w:rPr>
                <w:sz w:val="18"/>
                <w:szCs w:val="18"/>
              </w:rPr>
            </w:pPr>
            <w:r w:rsidRPr="001569FB">
              <w:rPr>
                <w:sz w:val="18"/>
                <w:szCs w:val="18"/>
              </w:rPr>
              <w:t>$811.56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E2B28BE" w14:textId="77777777" w:rsidR="004867CA" w:rsidRPr="001569FB" w:rsidRDefault="004867CA" w:rsidP="006B32D6">
            <w:pPr>
              <w:jc w:val="right"/>
              <w:rPr>
                <w:sz w:val="18"/>
                <w:szCs w:val="18"/>
              </w:rPr>
            </w:pPr>
            <w:r w:rsidRPr="001569FB">
              <w:rPr>
                <w:sz w:val="18"/>
                <w:szCs w:val="18"/>
              </w:rPr>
              <w:t>$806.68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68C6D6AA" w14:textId="77777777" w:rsidR="004867CA" w:rsidRPr="001569FB" w:rsidRDefault="004867CA" w:rsidP="006B32D6">
            <w:pPr>
              <w:jc w:val="right"/>
              <w:rPr>
                <w:sz w:val="18"/>
                <w:szCs w:val="18"/>
              </w:rPr>
            </w:pPr>
            <w:r w:rsidRPr="001569FB">
              <w:rPr>
                <w:sz w:val="18"/>
                <w:szCs w:val="18"/>
              </w:rPr>
              <w:t>1.006</w:t>
            </w:r>
          </w:p>
        </w:tc>
      </w:tr>
      <w:tr w:rsidR="004867CA" w:rsidRPr="001569FB" w14:paraId="763BAE56"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6076384" w14:textId="77777777" w:rsidR="004867CA" w:rsidRPr="001569FB" w:rsidRDefault="004867CA" w:rsidP="006B32D6">
            <w:pPr>
              <w:jc w:val="center"/>
              <w:rPr>
                <w:color w:val="000000"/>
                <w:sz w:val="18"/>
                <w:szCs w:val="18"/>
              </w:rPr>
            </w:pPr>
            <w:r w:rsidRPr="001569FB">
              <w:rPr>
                <w:color w:val="000000"/>
                <w:sz w:val="18"/>
                <w:szCs w:val="18"/>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819E90" w14:textId="77777777" w:rsidR="004867CA" w:rsidRPr="001569FB" w:rsidRDefault="004867CA" w:rsidP="006B32D6">
            <w:pPr>
              <w:jc w:val="right"/>
              <w:rPr>
                <w:sz w:val="18"/>
                <w:szCs w:val="18"/>
              </w:rPr>
            </w:pPr>
            <w:r w:rsidRPr="001569FB">
              <w:rPr>
                <w:sz w:val="18"/>
                <w:szCs w:val="18"/>
              </w:rPr>
              <w:t>$377.95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ACCB76" w14:textId="77777777" w:rsidR="004867CA" w:rsidRPr="001569FB" w:rsidRDefault="004867CA" w:rsidP="006B32D6">
            <w:pPr>
              <w:jc w:val="right"/>
              <w:rPr>
                <w:sz w:val="18"/>
                <w:szCs w:val="18"/>
              </w:rPr>
            </w:pPr>
            <w:r w:rsidRPr="001569FB">
              <w:rPr>
                <w:sz w:val="18"/>
                <w:szCs w:val="18"/>
              </w:rPr>
              <w:t>$369.28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F063CD7" w14:textId="77777777" w:rsidR="004867CA" w:rsidRPr="001569FB" w:rsidRDefault="004867CA" w:rsidP="006B32D6">
            <w:pPr>
              <w:jc w:val="right"/>
              <w:rPr>
                <w:sz w:val="18"/>
                <w:szCs w:val="18"/>
              </w:rPr>
            </w:pPr>
            <w:r w:rsidRPr="001569FB">
              <w:rPr>
                <w:sz w:val="18"/>
                <w:szCs w:val="18"/>
              </w:rPr>
              <w:t>$456.08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D58EF2D" w14:textId="77777777" w:rsidR="004867CA" w:rsidRPr="001569FB" w:rsidRDefault="004867CA" w:rsidP="006B32D6">
            <w:pPr>
              <w:jc w:val="right"/>
              <w:rPr>
                <w:sz w:val="18"/>
                <w:szCs w:val="18"/>
              </w:rPr>
            </w:pPr>
            <w:r w:rsidRPr="001569FB">
              <w:rPr>
                <w:sz w:val="18"/>
                <w:szCs w:val="18"/>
              </w:rPr>
              <w:t>$455.72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DC80EB" w14:textId="77777777" w:rsidR="004867CA" w:rsidRPr="001569FB" w:rsidRDefault="004867CA" w:rsidP="006B32D6">
            <w:pPr>
              <w:jc w:val="right"/>
              <w:rPr>
                <w:sz w:val="18"/>
                <w:szCs w:val="18"/>
              </w:rPr>
            </w:pPr>
            <w:r w:rsidRPr="001569FB">
              <w:rPr>
                <w:sz w:val="18"/>
                <w:szCs w:val="18"/>
              </w:rPr>
              <w:t>$834.03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4A7C9B" w14:textId="77777777" w:rsidR="004867CA" w:rsidRPr="001569FB" w:rsidRDefault="004867CA" w:rsidP="006B32D6">
            <w:pPr>
              <w:jc w:val="right"/>
              <w:rPr>
                <w:sz w:val="18"/>
                <w:szCs w:val="18"/>
              </w:rPr>
            </w:pPr>
            <w:r w:rsidRPr="001569FB">
              <w:rPr>
                <w:sz w:val="18"/>
                <w:szCs w:val="18"/>
              </w:rPr>
              <w:t>$825.00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19B19DB" w14:textId="77777777" w:rsidR="004867CA" w:rsidRPr="001569FB" w:rsidRDefault="004867CA" w:rsidP="006B32D6">
            <w:pPr>
              <w:jc w:val="right"/>
              <w:rPr>
                <w:sz w:val="18"/>
                <w:szCs w:val="18"/>
              </w:rPr>
            </w:pPr>
            <w:r w:rsidRPr="001569FB">
              <w:rPr>
                <w:sz w:val="18"/>
                <w:szCs w:val="18"/>
              </w:rPr>
              <w:t>1.011</w:t>
            </w:r>
          </w:p>
        </w:tc>
      </w:tr>
      <w:tr w:rsidR="004867CA" w:rsidRPr="001569FB" w14:paraId="64225CE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A9C19E4" w14:textId="77777777" w:rsidR="004867CA" w:rsidRPr="001569FB" w:rsidRDefault="004867CA" w:rsidP="006B32D6">
            <w:pPr>
              <w:jc w:val="center"/>
              <w:rPr>
                <w:color w:val="000000"/>
                <w:sz w:val="18"/>
                <w:szCs w:val="18"/>
              </w:rPr>
            </w:pPr>
            <w:r w:rsidRPr="001569FB">
              <w:rPr>
                <w:color w:val="000000"/>
                <w:sz w:val="18"/>
                <w:szCs w:val="18"/>
              </w:rPr>
              <w:t>2018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19A3B64" w14:textId="77777777" w:rsidR="004867CA" w:rsidRPr="001569FB" w:rsidRDefault="004867CA" w:rsidP="006B32D6">
            <w:pPr>
              <w:jc w:val="right"/>
              <w:rPr>
                <w:sz w:val="18"/>
                <w:szCs w:val="18"/>
              </w:rPr>
            </w:pPr>
            <w:r w:rsidRPr="001569FB">
              <w:rPr>
                <w:sz w:val="18"/>
                <w:szCs w:val="18"/>
              </w:rPr>
              <w:t>$379.90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E50C99" w14:textId="77777777" w:rsidR="004867CA" w:rsidRPr="001569FB" w:rsidRDefault="004867CA" w:rsidP="006B32D6">
            <w:pPr>
              <w:jc w:val="right"/>
              <w:rPr>
                <w:sz w:val="18"/>
                <w:szCs w:val="18"/>
              </w:rPr>
            </w:pPr>
            <w:r w:rsidRPr="001569FB">
              <w:rPr>
                <w:sz w:val="18"/>
                <w:szCs w:val="18"/>
              </w:rPr>
              <w:t>$377.28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2115F0" w14:textId="77777777" w:rsidR="004867CA" w:rsidRPr="001569FB" w:rsidRDefault="004867CA" w:rsidP="006B32D6">
            <w:pPr>
              <w:jc w:val="right"/>
              <w:rPr>
                <w:sz w:val="18"/>
                <w:szCs w:val="18"/>
              </w:rPr>
            </w:pPr>
            <w:r w:rsidRPr="001569FB">
              <w:rPr>
                <w:sz w:val="18"/>
                <w:szCs w:val="18"/>
              </w:rPr>
              <w:t>$470.02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A535AB0" w14:textId="77777777" w:rsidR="004867CA" w:rsidRPr="001569FB" w:rsidRDefault="004867CA" w:rsidP="006B32D6">
            <w:pPr>
              <w:jc w:val="right"/>
              <w:rPr>
                <w:sz w:val="18"/>
                <w:szCs w:val="18"/>
              </w:rPr>
            </w:pPr>
            <w:r w:rsidRPr="001569FB">
              <w:rPr>
                <w:sz w:val="18"/>
                <w:szCs w:val="18"/>
              </w:rPr>
              <w:t>$470.45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ACAE080" w14:textId="77777777" w:rsidR="004867CA" w:rsidRPr="001569FB" w:rsidRDefault="004867CA" w:rsidP="006B32D6">
            <w:pPr>
              <w:jc w:val="right"/>
              <w:rPr>
                <w:sz w:val="18"/>
                <w:szCs w:val="18"/>
              </w:rPr>
            </w:pPr>
            <w:r w:rsidRPr="001569FB">
              <w:rPr>
                <w:sz w:val="18"/>
                <w:szCs w:val="18"/>
              </w:rPr>
              <w:t>$849.92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136677" w14:textId="77777777" w:rsidR="004867CA" w:rsidRPr="001569FB" w:rsidRDefault="004867CA" w:rsidP="006B32D6">
            <w:pPr>
              <w:jc w:val="right"/>
              <w:rPr>
                <w:sz w:val="18"/>
                <w:szCs w:val="18"/>
              </w:rPr>
            </w:pPr>
            <w:r w:rsidRPr="001569FB">
              <w:rPr>
                <w:sz w:val="18"/>
                <w:szCs w:val="18"/>
              </w:rPr>
              <w:t>$847.73</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74EC683" w14:textId="77777777" w:rsidR="004867CA" w:rsidRPr="001569FB" w:rsidRDefault="004867CA" w:rsidP="006B32D6">
            <w:pPr>
              <w:jc w:val="right"/>
              <w:rPr>
                <w:sz w:val="18"/>
                <w:szCs w:val="18"/>
              </w:rPr>
            </w:pPr>
            <w:r w:rsidRPr="001569FB">
              <w:rPr>
                <w:sz w:val="18"/>
                <w:szCs w:val="18"/>
              </w:rPr>
              <w:t>1.003</w:t>
            </w:r>
          </w:p>
        </w:tc>
      </w:tr>
      <w:tr w:rsidR="004867CA" w:rsidRPr="001569FB" w14:paraId="355CBBF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53683C" w14:textId="77777777" w:rsidR="004867CA" w:rsidRPr="001569FB" w:rsidRDefault="004867CA" w:rsidP="006B32D6">
            <w:pPr>
              <w:jc w:val="center"/>
              <w:rPr>
                <w:color w:val="000000"/>
                <w:sz w:val="18"/>
                <w:szCs w:val="18"/>
              </w:rPr>
            </w:pPr>
            <w:r w:rsidRPr="001569FB">
              <w:rPr>
                <w:color w:val="000000"/>
                <w:sz w:val="18"/>
                <w:szCs w:val="18"/>
              </w:rPr>
              <w:t>2019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D27680" w14:textId="77777777" w:rsidR="004867CA" w:rsidRPr="001569FB" w:rsidRDefault="004867CA" w:rsidP="006B32D6">
            <w:pPr>
              <w:jc w:val="right"/>
              <w:rPr>
                <w:sz w:val="18"/>
                <w:szCs w:val="18"/>
              </w:rPr>
            </w:pPr>
            <w:r w:rsidRPr="001569FB">
              <w:rPr>
                <w:sz w:val="18"/>
                <w:szCs w:val="18"/>
              </w:rPr>
              <w:t>$390.02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18E8E4" w14:textId="77777777" w:rsidR="004867CA" w:rsidRPr="001569FB" w:rsidRDefault="004867CA" w:rsidP="006B32D6">
            <w:pPr>
              <w:jc w:val="right"/>
              <w:rPr>
                <w:sz w:val="18"/>
                <w:szCs w:val="18"/>
              </w:rPr>
            </w:pPr>
            <w:r w:rsidRPr="001569FB">
              <w:rPr>
                <w:sz w:val="18"/>
                <w:szCs w:val="18"/>
              </w:rPr>
              <w:t>$390.42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AB24E2" w14:textId="77777777" w:rsidR="004867CA" w:rsidRPr="001569FB" w:rsidRDefault="004867CA" w:rsidP="006B32D6">
            <w:pPr>
              <w:jc w:val="right"/>
              <w:rPr>
                <w:sz w:val="18"/>
                <w:szCs w:val="18"/>
              </w:rPr>
            </w:pPr>
            <w:r w:rsidRPr="001569FB">
              <w:rPr>
                <w:sz w:val="18"/>
                <w:szCs w:val="18"/>
              </w:rPr>
              <w:t>$492.31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B2B277" w14:textId="77777777" w:rsidR="004867CA" w:rsidRPr="001569FB" w:rsidRDefault="004867CA" w:rsidP="006B32D6">
            <w:pPr>
              <w:jc w:val="right"/>
              <w:rPr>
                <w:sz w:val="18"/>
                <w:szCs w:val="18"/>
              </w:rPr>
            </w:pPr>
            <w:r w:rsidRPr="001569FB">
              <w:rPr>
                <w:sz w:val="18"/>
                <w:szCs w:val="18"/>
              </w:rPr>
              <w:t>$498.55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755A32" w14:textId="77777777" w:rsidR="004867CA" w:rsidRPr="001569FB" w:rsidRDefault="004867CA" w:rsidP="006B32D6">
            <w:pPr>
              <w:jc w:val="right"/>
              <w:rPr>
                <w:sz w:val="18"/>
                <w:szCs w:val="18"/>
              </w:rPr>
            </w:pPr>
            <w:r w:rsidRPr="001569FB">
              <w:rPr>
                <w:sz w:val="18"/>
                <w:szCs w:val="18"/>
              </w:rPr>
              <w:t>$882.33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11F746" w14:textId="77777777" w:rsidR="004867CA" w:rsidRPr="001569FB" w:rsidRDefault="004867CA" w:rsidP="006B32D6">
            <w:pPr>
              <w:jc w:val="right"/>
              <w:rPr>
                <w:sz w:val="18"/>
                <w:szCs w:val="18"/>
              </w:rPr>
            </w:pPr>
            <w:r w:rsidRPr="001569FB">
              <w:rPr>
                <w:sz w:val="18"/>
                <w:szCs w:val="18"/>
              </w:rPr>
              <w:t>$888.97</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547FA5F" w14:textId="77777777" w:rsidR="004867CA" w:rsidRPr="001569FB" w:rsidRDefault="004867CA" w:rsidP="006B32D6">
            <w:pPr>
              <w:jc w:val="right"/>
              <w:rPr>
                <w:sz w:val="18"/>
                <w:szCs w:val="18"/>
              </w:rPr>
            </w:pPr>
            <w:r w:rsidRPr="001569FB">
              <w:rPr>
                <w:sz w:val="18"/>
                <w:szCs w:val="18"/>
              </w:rPr>
              <w:t>0.993</w:t>
            </w:r>
          </w:p>
        </w:tc>
      </w:tr>
      <w:tr w:rsidR="004867CA" w:rsidRPr="001569FB" w14:paraId="43865F2E"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tcPr>
          <w:p w14:paraId="41A4E2EE" w14:textId="77777777" w:rsidR="004867CA" w:rsidRPr="001569FB" w:rsidRDefault="004867CA" w:rsidP="006B32D6">
            <w:pPr>
              <w:jc w:val="center"/>
              <w:rPr>
                <w:color w:val="000000"/>
                <w:sz w:val="18"/>
                <w:szCs w:val="18"/>
              </w:rPr>
            </w:pPr>
            <w:r w:rsidRPr="001569FB">
              <w:rPr>
                <w:color w:val="000000"/>
                <w:sz w:val="18"/>
                <w:szCs w:val="18"/>
              </w:rPr>
              <w:t>2020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DA28E43" w14:textId="77777777" w:rsidR="004867CA" w:rsidRPr="001569FB" w:rsidRDefault="004867CA" w:rsidP="006B32D6">
            <w:pPr>
              <w:jc w:val="right"/>
              <w:rPr>
                <w:sz w:val="18"/>
                <w:szCs w:val="18"/>
              </w:rPr>
            </w:pPr>
            <w:r w:rsidRPr="001569FB">
              <w:rPr>
                <w:sz w:val="18"/>
                <w:szCs w:val="18"/>
              </w:rPr>
              <w:t>$404.71</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10389D53" w14:textId="77777777" w:rsidR="004867CA" w:rsidRPr="001569FB" w:rsidRDefault="004867CA" w:rsidP="006B32D6">
            <w:pPr>
              <w:jc w:val="right"/>
              <w:rPr>
                <w:sz w:val="18"/>
                <w:szCs w:val="18"/>
              </w:rPr>
            </w:pPr>
            <w:r w:rsidRPr="001569FB">
              <w:rPr>
                <w:sz w:val="18"/>
                <w:szCs w:val="18"/>
              </w:rPr>
              <w:t>$405.85</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6F82BBA" w14:textId="77777777" w:rsidR="004867CA" w:rsidRPr="001569FB" w:rsidRDefault="004867CA" w:rsidP="006B32D6">
            <w:pPr>
              <w:jc w:val="right"/>
              <w:rPr>
                <w:sz w:val="18"/>
                <w:szCs w:val="18"/>
              </w:rPr>
            </w:pPr>
            <w:r w:rsidRPr="001569FB">
              <w:rPr>
                <w:sz w:val="18"/>
                <w:szCs w:val="18"/>
              </w:rPr>
              <w:t>$515.98</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59B26FB6" w14:textId="77777777" w:rsidR="004867CA" w:rsidRPr="001569FB" w:rsidRDefault="004867CA" w:rsidP="006B32D6">
            <w:pPr>
              <w:jc w:val="right"/>
              <w:rPr>
                <w:sz w:val="18"/>
                <w:szCs w:val="18"/>
              </w:rPr>
            </w:pPr>
            <w:r w:rsidRPr="001569FB">
              <w:rPr>
                <w:sz w:val="18"/>
                <w:szCs w:val="18"/>
              </w:rPr>
              <w:t>$524.10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2D747D99" w14:textId="77777777" w:rsidR="004867CA" w:rsidRPr="001569FB" w:rsidRDefault="004867CA" w:rsidP="006B32D6">
            <w:pPr>
              <w:jc w:val="right"/>
              <w:rPr>
                <w:sz w:val="18"/>
                <w:szCs w:val="18"/>
              </w:rPr>
            </w:pPr>
            <w:r w:rsidRPr="001569FB">
              <w:rPr>
                <w:sz w:val="18"/>
                <w:szCs w:val="18"/>
              </w:rPr>
              <w:t>$920.69</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903204F" w14:textId="77777777" w:rsidR="004867CA" w:rsidRPr="001569FB" w:rsidRDefault="004867CA" w:rsidP="006B32D6">
            <w:pPr>
              <w:jc w:val="right"/>
              <w:rPr>
                <w:sz w:val="18"/>
                <w:szCs w:val="18"/>
              </w:rPr>
            </w:pPr>
            <w:r w:rsidRPr="001569FB">
              <w:rPr>
                <w:sz w:val="18"/>
                <w:szCs w:val="18"/>
              </w:rPr>
              <w:t>$929.95</w:t>
            </w:r>
          </w:p>
        </w:tc>
        <w:tc>
          <w:tcPr>
            <w:tcW w:w="960" w:type="dxa"/>
            <w:tcBorders>
              <w:top w:val="single" w:sz="4" w:space="0" w:color="auto"/>
              <w:left w:val="single" w:sz="4" w:space="0" w:color="auto"/>
              <w:bottom w:val="single" w:sz="4" w:space="0" w:color="auto"/>
              <w:right w:val="single" w:sz="8" w:space="0" w:color="auto"/>
            </w:tcBorders>
            <w:shd w:val="clear" w:color="auto" w:fill="auto"/>
          </w:tcPr>
          <w:p w14:paraId="37FB6CB6" w14:textId="77777777" w:rsidR="004867CA" w:rsidRPr="001569FB" w:rsidRDefault="004867CA" w:rsidP="006B32D6">
            <w:pPr>
              <w:jc w:val="right"/>
              <w:rPr>
                <w:sz w:val="18"/>
                <w:szCs w:val="18"/>
              </w:rPr>
            </w:pPr>
            <w:r w:rsidRPr="001569FB">
              <w:rPr>
                <w:sz w:val="18"/>
                <w:szCs w:val="18"/>
              </w:rPr>
              <w:t>0.990</w:t>
            </w:r>
          </w:p>
        </w:tc>
      </w:tr>
      <w:tr w:rsidR="004867CA" w:rsidRPr="001569FB" w14:paraId="1718F9CF" w14:textId="77777777" w:rsidTr="00956EAA">
        <w:trPr>
          <w:jc w:val="center"/>
        </w:trPr>
        <w:tc>
          <w:tcPr>
            <w:tcW w:w="9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14FE321E" w14:textId="77777777" w:rsidR="004867CA" w:rsidRPr="001569FB" w:rsidRDefault="004867CA" w:rsidP="006B32D6">
            <w:pPr>
              <w:jc w:val="center"/>
              <w:rPr>
                <w:sz w:val="18"/>
                <w:szCs w:val="18"/>
              </w:rPr>
            </w:pPr>
            <w:r w:rsidRPr="001569FB">
              <w:rPr>
                <w:sz w:val="18"/>
                <w:szCs w:val="18"/>
              </w:rPr>
              <w:t>2021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6D56A88" w14:textId="77777777" w:rsidR="004867CA" w:rsidRPr="001569FB" w:rsidRDefault="004867CA" w:rsidP="006B32D6">
            <w:pPr>
              <w:jc w:val="right"/>
              <w:rPr>
                <w:sz w:val="18"/>
                <w:szCs w:val="18"/>
              </w:rPr>
            </w:pPr>
            <w:r w:rsidRPr="001569FB">
              <w:rPr>
                <w:sz w:val="18"/>
                <w:szCs w:val="18"/>
              </w:rPr>
              <w:t>$423.38</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464E81A"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5E2921A8" w14:textId="77777777" w:rsidR="004867CA" w:rsidRPr="001569FB" w:rsidRDefault="004867CA" w:rsidP="006B32D6">
            <w:pPr>
              <w:jc w:val="right"/>
              <w:rPr>
                <w:sz w:val="18"/>
                <w:szCs w:val="18"/>
              </w:rPr>
            </w:pPr>
            <w:r w:rsidRPr="001569FB">
              <w:rPr>
                <w:sz w:val="18"/>
                <w:szCs w:val="18"/>
              </w:rPr>
              <w:t>$544.43</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6AFD1FBE"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hideMark/>
          </w:tcPr>
          <w:p w14:paraId="0BB7A394" w14:textId="77777777" w:rsidR="004867CA" w:rsidRPr="001569FB" w:rsidRDefault="004867CA" w:rsidP="006B32D6">
            <w:pPr>
              <w:jc w:val="right"/>
              <w:rPr>
                <w:sz w:val="18"/>
                <w:szCs w:val="18"/>
              </w:rPr>
            </w:pPr>
            <w:r w:rsidRPr="001569FB">
              <w:rPr>
                <w:sz w:val="18"/>
                <w:szCs w:val="18"/>
              </w:rPr>
              <w:t>$967.81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1F0B1971"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8" w:space="0" w:color="auto"/>
            </w:tcBorders>
            <w:shd w:val="clear" w:color="auto" w:fill="auto"/>
            <w:noWrap/>
            <w:hideMark/>
          </w:tcPr>
          <w:p w14:paraId="07DBD221" w14:textId="77777777" w:rsidR="004867CA" w:rsidRPr="001569FB" w:rsidRDefault="004867CA" w:rsidP="006B32D6">
            <w:pPr>
              <w:jc w:val="right"/>
              <w:rPr>
                <w:sz w:val="18"/>
                <w:szCs w:val="18"/>
              </w:rPr>
            </w:pPr>
          </w:p>
        </w:tc>
      </w:tr>
    </w:tbl>
    <w:bookmarkEnd w:id="9"/>
    <w:bookmarkEnd w:id="10"/>
    <w:bookmarkEnd w:id="11"/>
    <w:bookmarkEnd w:id="12"/>
    <w:p w14:paraId="4FF18138" w14:textId="14223EFE" w:rsidR="004867CA" w:rsidRPr="001569FB" w:rsidRDefault="005B7F29" w:rsidP="002707EC">
      <w:pPr>
        <w:spacing w:before="400" w:after="200"/>
        <w:rPr>
          <w:szCs w:val="24"/>
        </w:rPr>
      </w:pPr>
      <w:r w:rsidRPr="001569FB">
        <w:rPr>
          <w:szCs w:val="24"/>
        </w:rPr>
        <w:t>These estimates are preliminary and could change when the fin</w:t>
      </w:r>
      <w:r w:rsidR="0080555C" w:rsidRPr="001569FB">
        <w:rPr>
          <w:szCs w:val="24"/>
        </w:rPr>
        <w:t xml:space="preserve">al rates are announced </w:t>
      </w:r>
      <w:r w:rsidR="009C7022" w:rsidRPr="001569FB">
        <w:rPr>
          <w:szCs w:val="24"/>
        </w:rPr>
        <w:t>no later than</w:t>
      </w:r>
      <w:r w:rsidR="0080555C" w:rsidRPr="001569FB">
        <w:rPr>
          <w:szCs w:val="24"/>
        </w:rPr>
        <w:t xml:space="preserve"> April</w:t>
      </w:r>
      <w:r w:rsidR="00542786" w:rsidRPr="001569FB">
        <w:rPr>
          <w:szCs w:val="24"/>
        </w:rPr>
        <w:t> </w:t>
      </w:r>
      <w:r w:rsidR="005B47B8" w:rsidRPr="001569FB">
        <w:rPr>
          <w:szCs w:val="24"/>
        </w:rPr>
        <w:t>2</w:t>
      </w:r>
      <w:r w:rsidR="0080555C" w:rsidRPr="001569FB">
        <w:rPr>
          <w:szCs w:val="24"/>
        </w:rPr>
        <w:t xml:space="preserve">, </w:t>
      </w:r>
      <w:r w:rsidR="005B47B8" w:rsidRPr="001569FB">
        <w:rPr>
          <w:szCs w:val="24"/>
        </w:rPr>
        <w:t xml:space="preserve">2018 </w:t>
      </w:r>
      <w:r w:rsidRPr="001569FB">
        <w:rPr>
          <w:szCs w:val="24"/>
        </w:rPr>
        <w:t xml:space="preserve">in the Announcement of CY </w:t>
      </w:r>
      <w:r w:rsidR="005B47B8" w:rsidRPr="001569FB">
        <w:rPr>
          <w:szCs w:val="24"/>
        </w:rPr>
        <w:t xml:space="preserve">2019 </w:t>
      </w:r>
      <w:r w:rsidRPr="001569FB">
        <w:rPr>
          <w:szCs w:val="24"/>
        </w:rPr>
        <w:t xml:space="preserve">Medicare Advantage Capitation Rates and Medicare Advantage and Part D Payment Policies.  Further details on the derivation of the national per capita MA growth percentage and the </w:t>
      </w:r>
      <w:r w:rsidR="002206C0" w:rsidRPr="001569FB">
        <w:rPr>
          <w:szCs w:val="24"/>
        </w:rPr>
        <w:t>FFS</w:t>
      </w:r>
      <w:r w:rsidRPr="001569FB">
        <w:rPr>
          <w:szCs w:val="24"/>
        </w:rPr>
        <w:t xml:space="preserve"> growth percentage will also be presented in the April</w:t>
      </w:r>
      <w:r w:rsidR="00542786" w:rsidRPr="001569FB">
        <w:rPr>
          <w:szCs w:val="24"/>
        </w:rPr>
        <w:t> </w:t>
      </w:r>
      <w:r w:rsidR="005B47B8" w:rsidRPr="001569FB">
        <w:rPr>
          <w:szCs w:val="24"/>
        </w:rPr>
        <w:t>2</w:t>
      </w:r>
      <w:r w:rsidRPr="001569FB">
        <w:rPr>
          <w:szCs w:val="24"/>
        </w:rPr>
        <w:t xml:space="preserve">, </w:t>
      </w:r>
      <w:r w:rsidR="005B47B8" w:rsidRPr="001569FB">
        <w:rPr>
          <w:szCs w:val="24"/>
        </w:rPr>
        <w:t xml:space="preserve">2018 </w:t>
      </w:r>
      <w:r w:rsidRPr="001569FB">
        <w:rPr>
          <w:szCs w:val="24"/>
        </w:rPr>
        <w:t>Announcement.</w:t>
      </w:r>
    </w:p>
    <w:p w14:paraId="7EF71CE7" w14:textId="77777777" w:rsidR="00E56C19" w:rsidRPr="001569FB" w:rsidRDefault="00FB3419" w:rsidP="00E97F49">
      <w:pPr>
        <w:pStyle w:val="Heading1"/>
        <w:spacing w:before="0"/>
      </w:pPr>
      <w:r w:rsidRPr="001569FB">
        <w:br w:type="page"/>
      </w:r>
      <w:bookmarkStart w:id="13" w:name="_Toc188260054"/>
      <w:bookmarkStart w:id="14" w:name="_Toc188260055"/>
      <w:bookmarkStart w:id="15" w:name="_Toc188260638"/>
      <w:bookmarkStart w:id="16" w:name="_Toc244598067"/>
      <w:bookmarkStart w:id="17" w:name="_Toc251077208"/>
      <w:bookmarkStart w:id="18" w:name="_Toc252786165"/>
      <w:bookmarkStart w:id="19" w:name="_Toc253762189"/>
      <w:bookmarkStart w:id="20" w:name="_Toc254094844"/>
      <w:bookmarkStart w:id="21" w:name="_Toc280340511"/>
      <w:bookmarkStart w:id="22" w:name="_Toc282710011"/>
      <w:bookmarkStart w:id="23" w:name="_Toc348432178"/>
      <w:bookmarkStart w:id="24" w:name="_Toc348432245"/>
      <w:bookmarkStart w:id="25" w:name="_Toc348432881"/>
      <w:bookmarkStart w:id="26" w:name="_Toc505253772"/>
      <w:r w:rsidR="00EB4867" w:rsidRPr="001569FB">
        <w:lastRenderedPageBreak/>
        <w:t>Attachment II</w:t>
      </w:r>
      <w:bookmarkStart w:id="27" w:name="_Toc188260056"/>
      <w:bookmarkStart w:id="28" w:name="_Toc188260639"/>
      <w:bookmarkEnd w:id="13"/>
      <w:bookmarkEnd w:id="14"/>
      <w:bookmarkEnd w:id="15"/>
      <w:r w:rsidR="00BF60A0" w:rsidRPr="001569FB">
        <w:t xml:space="preserve">.  </w:t>
      </w:r>
      <w:r w:rsidR="00EB4867" w:rsidRPr="001569FB">
        <w:t xml:space="preserve">Changes in the </w:t>
      </w:r>
      <w:r w:rsidR="000C3326" w:rsidRPr="001569FB">
        <w:t xml:space="preserve">Part C </w:t>
      </w:r>
      <w:r w:rsidR="00EB4867" w:rsidRPr="001569FB">
        <w:t xml:space="preserve">Payment Methodology for </w:t>
      </w:r>
      <w:bookmarkEnd w:id="27"/>
      <w:bookmarkEnd w:id="28"/>
      <w:r w:rsidR="00EB4867" w:rsidRPr="001569FB">
        <w:t xml:space="preserve">CY </w:t>
      </w:r>
      <w:bookmarkStart w:id="29" w:name="_Toc244598068"/>
      <w:bookmarkStart w:id="30" w:name="_Toc251077209"/>
      <w:bookmarkStart w:id="31" w:name="_Toc252786166"/>
      <w:bookmarkStart w:id="32" w:name="_Toc253762190"/>
      <w:bookmarkStart w:id="33" w:name="_Toc254094845"/>
      <w:bookmarkStart w:id="34" w:name="_Toc188260057"/>
      <w:bookmarkStart w:id="35" w:name="_Toc188260646"/>
      <w:bookmarkEnd w:id="16"/>
      <w:bookmarkEnd w:id="17"/>
      <w:bookmarkEnd w:id="18"/>
      <w:bookmarkEnd w:id="19"/>
      <w:bookmarkEnd w:id="20"/>
      <w:bookmarkEnd w:id="21"/>
      <w:bookmarkEnd w:id="22"/>
      <w:bookmarkEnd w:id="23"/>
      <w:bookmarkEnd w:id="24"/>
      <w:bookmarkEnd w:id="25"/>
      <w:r w:rsidR="001043AB" w:rsidRPr="001569FB">
        <w:t>2019</w:t>
      </w:r>
      <w:bookmarkEnd w:id="26"/>
    </w:p>
    <w:p w14:paraId="691CC8C5" w14:textId="77777777" w:rsidR="00B94A0F" w:rsidRPr="001569FB" w:rsidRDefault="0062772D" w:rsidP="00203CF7">
      <w:pPr>
        <w:pStyle w:val="Heading2"/>
      </w:pPr>
      <w:bookmarkStart w:id="36" w:name="_Toc280340512"/>
      <w:bookmarkStart w:id="37" w:name="_Toc282710012"/>
      <w:bookmarkStart w:id="38" w:name="_Toc348432246"/>
      <w:bookmarkStart w:id="39" w:name="_Toc348432882"/>
      <w:bookmarkStart w:id="40" w:name="_Toc505253773"/>
      <w:bookmarkEnd w:id="29"/>
      <w:bookmarkEnd w:id="30"/>
      <w:bookmarkEnd w:id="31"/>
      <w:bookmarkEnd w:id="32"/>
      <w:bookmarkEnd w:id="33"/>
      <w:r w:rsidRPr="001569FB">
        <w:t>Section A</w:t>
      </w:r>
      <w:r w:rsidR="00BF60A0" w:rsidRPr="001569FB">
        <w:t xml:space="preserve">.  </w:t>
      </w:r>
      <w:r w:rsidR="00E56C19" w:rsidRPr="001569FB">
        <w:t>MA Benchmark, Quality Bonus Payments and Rebate</w:t>
      </w:r>
      <w:bookmarkEnd w:id="36"/>
      <w:bookmarkEnd w:id="37"/>
      <w:bookmarkEnd w:id="38"/>
      <w:bookmarkEnd w:id="39"/>
      <w:bookmarkEnd w:id="40"/>
    </w:p>
    <w:p w14:paraId="104F1B57" w14:textId="77777777" w:rsidR="00B965E6" w:rsidRPr="001569FB" w:rsidRDefault="00485C7A" w:rsidP="002707EC">
      <w:pPr>
        <w:spacing w:after="200"/>
        <w:rPr>
          <w:szCs w:val="24"/>
        </w:rPr>
      </w:pPr>
      <w:bookmarkStart w:id="41" w:name="_Toc280340515"/>
      <w:r w:rsidRPr="001569FB">
        <w:rPr>
          <w:szCs w:val="24"/>
        </w:rPr>
        <w:t>Section 1853(c)(1)(D)(ii) of the Act requires CMS to rebase the county FFS rates, which form the basis of the specified amount</w:t>
      </w:r>
      <w:r w:rsidR="0088271C" w:rsidRPr="001569FB">
        <w:rPr>
          <w:szCs w:val="24"/>
        </w:rPr>
        <w:t xml:space="preserve"> described in Section A2 below</w:t>
      </w:r>
      <w:r w:rsidRPr="001569FB">
        <w:rPr>
          <w:szCs w:val="24"/>
        </w:rPr>
        <w:t>, periodically but not less than once every three years.  When the rates are rebased, CMS updates its estimate of each county’s FFS costs using more current FFS claims information.  CMS intends to rebase the county FFS rates for 201</w:t>
      </w:r>
      <w:r w:rsidR="00912039" w:rsidRPr="001569FB">
        <w:rPr>
          <w:szCs w:val="24"/>
        </w:rPr>
        <w:t>9</w:t>
      </w:r>
      <w:r w:rsidRPr="001569FB">
        <w:rPr>
          <w:szCs w:val="24"/>
        </w:rPr>
        <w:t>.</w:t>
      </w:r>
      <w:r w:rsidR="005D75FB" w:rsidRPr="001569FB">
        <w:rPr>
          <w:szCs w:val="24"/>
        </w:rPr>
        <w:t xml:space="preserve"> </w:t>
      </w:r>
      <w:r w:rsidR="003C4329" w:rsidRPr="001569FB">
        <w:rPr>
          <w:szCs w:val="24"/>
        </w:rPr>
        <w:t xml:space="preserve">(Please note that throughout this document, the terms </w:t>
      </w:r>
      <w:r w:rsidR="00DE6606" w:rsidRPr="001569FB">
        <w:rPr>
          <w:szCs w:val="24"/>
        </w:rPr>
        <w:t>“</w:t>
      </w:r>
      <w:r w:rsidR="003C4329" w:rsidRPr="001569FB">
        <w:rPr>
          <w:szCs w:val="24"/>
        </w:rPr>
        <w:t>benchmark</w:t>
      </w:r>
      <w:r w:rsidR="00DE6606" w:rsidRPr="001569FB">
        <w:rPr>
          <w:szCs w:val="24"/>
        </w:rPr>
        <w:t>”</w:t>
      </w:r>
      <w:r w:rsidR="003C4329" w:rsidRPr="001569FB">
        <w:rPr>
          <w:szCs w:val="24"/>
        </w:rPr>
        <w:t xml:space="preserve"> and </w:t>
      </w:r>
      <w:r w:rsidR="00DE6606" w:rsidRPr="001569FB">
        <w:rPr>
          <w:szCs w:val="24"/>
        </w:rPr>
        <w:t>”</w:t>
      </w:r>
      <w:r w:rsidR="003C4329" w:rsidRPr="001569FB">
        <w:rPr>
          <w:szCs w:val="24"/>
        </w:rPr>
        <w:t>county rate</w:t>
      </w:r>
      <w:r w:rsidR="00DE6606" w:rsidRPr="001569FB">
        <w:rPr>
          <w:szCs w:val="24"/>
        </w:rPr>
        <w:t>”</w:t>
      </w:r>
      <w:r w:rsidR="003C4329" w:rsidRPr="001569FB">
        <w:rPr>
          <w:szCs w:val="24"/>
        </w:rPr>
        <w:t xml:space="preserve"> are used interchangeably, and the term </w:t>
      </w:r>
      <w:r w:rsidR="00DE6606" w:rsidRPr="001569FB">
        <w:rPr>
          <w:szCs w:val="24"/>
        </w:rPr>
        <w:t>“</w:t>
      </w:r>
      <w:r w:rsidR="003C4329" w:rsidRPr="001569FB">
        <w:rPr>
          <w:szCs w:val="24"/>
        </w:rPr>
        <w:t>service area benchmark</w:t>
      </w:r>
      <w:r w:rsidR="00DE6606" w:rsidRPr="001569FB">
        <w:rPr>
          <w:szCs w:val="24"/>
        </w:rPr>
        <w:t>”</w:t>
      </w:r>
      <w:r w:rsidR="003C4329" w:rsidRPr="001569FB">
        <w:rPr>
          <w:szCs w:val="24"/>
        </w:rPr>
        <w:t xml:space="preserve"> indicate</w:t>
      </w:r>
      <w:r w:rsidR="00815CD3" w:rsidRPr="001569FB">
        <w:rPr>
          <w:szCs w:val="24"/>
        </w:rPr>
        <w:t>s</w:t>
      </w:r>
      <w:r w:rsidR="003C4329" w:rsidRPr="001569FB">
        <w:rPr>
          <w:szCs w:val="24"/>
        </w:rPr>
        <w:t xml:space="preserve"> the bidding target for a</w:t>
      </w:r>
      <w:r w:rsidR="00704FBB" w:rsidRPr="001569FB">
        <w:rPr>
          <w:szCs w:val="24"/>
        </w:rPr>
        <w:t>n MA</w:t>
      </w:r>
      <w:r w:rsidR="003C4329" w:rsidRPr="001569FB">
        <w:rPr>
          <w:szCs w:val="24"/>
        </w:rPr>
        <w:t xml:space="preserve"> plan</w:t>
      </w:r>
      <w:r w:rsidR="00A522DD" w:rsidRPr="001569FB">
        <w:rPr>
          <w:szCs w:val="24"/>
        </w:rPr>
        <w:t xml:space="preserve"> based on its specific service area</w:t>
      </w:r>
      <w:r w:rsidR="007F7D84" w:rsidRPr="001569FB">
        <w:rPr>
          <w:szCs w:val="24"/>
        </w:rPr>
        <w:t>.</w:t>
      </w:r>
      <w:r w:rsidR="003C4329" w:rsidRPr="001569FB">
        <w:rPr>
          <w:szCs w:val="24"/>
        </w:rPr>
        <w:t>)</w:t>
      </w:r>
    </w:p>
    <w:p w14:paraId="45D8900D" w14:textId="77777777" w:rsidR="000C1D58" w:rsidRPr="001569FB" w:rsidDel="00CC0A71" w:rsidRDefault="000C1D58" w:rsidP="002707EC">
      <w:pPr>
        <w:spacing w:before="200" w:after="200"/>
        <w:rPr>
          <w:szCs w:val="24"/>
        </w:rPr>
      </w:pPr>
      <w:r w:rsidRPr="001569FB">
        <w:rPr>
          <w:szCs w:val="24"/>
        </w:rPr>
        <w:t>The Program</w:t>
      </w:r>
      <w:r w:rsidR="00F5649B" w:rsidRPr="001569FB">
        <w:rPr>
          <w:szCs w:val="24"/>
        </w:rPr>
        <w:t>s</w:t>
      </w:r>
      <w:r w:rsidRPr="001569FB">
        <w:rPr>
          <w:szCs w:val="24"/>
        </w:rPr>
        <w:t xml:space="preserve"> </w:t>
      </w:r>
      <w:r w:rsidR="00617924" w:rsidRPr="001569FB">
        <w:rPr>
          <w:szCs w:val="24"/>
        </w:rPr>
        <w:t>of</w:t>
      </w:r>
      <w:r w:rsidRPr="001569FB">
        <w:rPr>
          <w:szCs w:val="24"/>
        </w:rPr>
        <w:t xml:space="preserve"> All</w:t>
      </w:r>
      <w:r w:rsidR="002744E3" w:rsidRPr="001569FB">
        <w:rPr>
          <w:szCs w:val="24"/>
        </w:rPr>
        <w:t>-</w:t>
      </w:r>
      <w:r w:rsidRPr="001569FB">
        <w:rPr>
          <w:szCs w:val="24"/>
        </w:rPr>
        <w:t xml:space="preserve">Inclusive Care for the Elderly </w:t>
      </w:r>
      <w:r w:rsidR="00415C62" w:rsidRPr="001569FB">
        <w:rPr>
          <w:szCs w:val="24"/>
        </w:rPr>
        <w:t xml:space="preserve">(PACE) </w:t>
      </w:r>
      <w:r w:rsidR="00103D6B" w:rsidRPr="001569FB">
        <w:rPr>
          <w:szCs w:val="24"/>
        </w:rPr>
        <w:t>plans are</w:t>
      </w:r>
      <w:r w:rsidRPr="001569FB">
        <w:rPr>
          <w:szCs w:val="24"/>
        </w:rPr>
        <w:t xml:space="preserve"> exempt from the </w:t>
      </w:r>
      <w:r w:rsidR="00A522DD" w:rsidRPr="001569FB">
        <w:rPr>
          <w:szCs w:val="24"/>
        </w:rPr>
        <w:t>use of the specified amount</w:t>
      </w:r>
      <w:r w:rsidRPr="001569FB">
        <w:rPr>
          <w:szCs w:val="24"/>
        </w:rPr>
        <w:t xml:space="preserve">, per </w:t>
      </w:r>
      <w:r w:rsidR="004C0B32" w:rsidRPr="001569FB">
        <w:rPr>
          <w:szCs w:val="24"/>
        </w:rPr>
        <w:t>s</w:t>
      </w:r>
      <w:r w:rsidR="00416039" w:rsidRPr="001569FB">
        <w:rPr>
          <w:szCs w:val="24"/>
        </w:rPr>
        <w:t xml:space="preserve">ection </w:t>
      </w:r>
      <w:r w:rsidRPr="001569FB">
        <w:rPr>
          <w:szCs w:val="24"/>
        </w:rPr>
        <w:t>1853(n)(5) of the Act.</w:t>
      </w:r>
    </w:p>
    <w:p w14:paraId="201B2C73" w14:textId="77777777" w:rsidR="008325FD" w:rsidRPr="001569FB" w:rsidRDefault="00320831" w:rsidP="00203CF7">
      <w:pPr>
        <w:pStyle w:val="Heading3"/>
      </w:pPr>
      <w:r w:rsidRPr="001569FB">
        <w:t xml:space="preserve">A1.  </w:t>
      </w:r>
      <w:r w:rsidR="008325FD" w:rsidRPr="001569FB">
        <w:t>Applicable Amount</w:t>
      </w:r>
    </w:p>
    <w:p w14:paraId="4D84F691" w14:textId="77777777" w:rsidR="008325FD" w:rsidRPr="001569FB" w:rsidRDefault="008325FD" w:rsidP="002707EC">
      <w:pPr>
        <w:spacing w:before="200" w:after="200"/>
        <w:rPr>
          <w:szCs w:val="24"/>
        </w:rPr>
      </w:pPr>
      <w:r w:rsidRPr="001569FB">
        <w:rPr>
          <w:szCs w:val="24"/>
        </w:rPr>
        <w:t xml:space="preserve">The applicable amount </w:t>
      </w:r>
      <w:r w:rsidR="001B6EF2" w:rsidRPr="001569FB">
        <w:rPr>
          <w:szCs w:val="24"/>
        </w:rPr>
        <w:t>is</w:t>
      </w:r>
      <w:r w:rsidR="00752529" w:rsidRPr="001569FB">
        <w:rPr>
          <w:szCs w:val="24"/>
        </w:rPr>
        <w:t xml:space="preserve"> </w:t>
      </w:r>
      <w:r w:rsidRPr="001569FB">
        <w:rPr>
          <w:szCs w:val="24"/>
        </w:rPr>
        <w:t>the rate established under section 1853(k)(1)</w:t>
      </w:r>
      <w:r w:rsidR="002D6D0D" w:rsidRPr="001569FB">
        <w:rPr>
          <w:szCs w:val="24"/>
        </w:rPr>
        <w:t xml:space="preserve"> of the Act</w:t>
      </w:r>
      <w:r w:rsidRPr="001569FB">
        <w:rPr>
          <w:szCs w:val="24"/>
        </w:rPr>
        <w:t xml:space="preserve">.  </w:t>
      </w:r>
      <w:r w:rsidR="004963C5" w:rsidRPr="001569FB">
        <w:rPr>
          <w:szCs w:val="24"/>
        </w:rPr>
        <w:t xml:space="preserve">As CMS </w:t>
      </w:r>
      <w:r w:rsidR="00702F98" w:rsidRPr="001569FB">
        <w:rPr>
          <w:szCs w:val="24"/>
        </w:rPr>
        <w:t>intends to</w:t>
      </w:r>
      <w:r w:rsidR="004963C5" w:rsidRPr="001569FB">
        <w:rPr>
          <w:szCs w:val="24"/>
        </w:rPr>
        <w:t xml:space="preserve"> rebase the rates in </w:t>
      </w:r>
      <w:r w:rsidR="00E506C5" w:rsidRPr="001569FB">
        <w:rPr>
          <w:szCs w:val="24"/>
        </w:rPr>
        <w:t>2019</w:t>
      </w:r>
      <w:r w:rsidR="004963C5" w:rsidRPr="001569FB">
        <w:rPr>
          <w:szCs w:val="24"/>
        </w:rPr>
        <w:t>, the applicable amount</w:t>
      </w:r>
      <w:r w:rsidR="001B6EF2" w:rsidRPr="001569FB">
        <w:rPr>
          <w:szCs w:val="24"/>
        </w:rPr>
        <w:t xml:space="preserve"> for </w:t>
      </w:r>
      <w:r w:rsidR="00E506C5" w:rsidRPr="001569FB">
        <w:rPr>
          <w:szCs w:val="24"/>
        </w:rPr>
        <w:t xml:space="preserve">2019 </w:t>
      </w:r>
      <w:r w:rsidR="001B6EF2" w:rsidRPr="001569FB">
        <w:rPr>
          <w:szCs w:val="24"/>
        </w:rPr>
        <w:t>is</w:t>
      </w:r>
      <w:r w:rsidR="00752529" w:rsidRPr="001569FB">
        <w:rPr>
          <w:szCs w:val="24"/>
        </w:rPr>
        <w:t xml:space="preserve"> </w:t>
      </w:r>
      <w:r w:rsidRPr="001569FB">
        <w:rPr>
          <w:szCs w:val="24"/>
        </w:rPr>
        <w:t xml:space="preserve">the greater of: </w:t>
      </w:r>
      <w:r w:rsidR="001B6EF2" w:rsidRPr="001569FB">
        <w:rPr>
          <w:szCs w:val="24"/>
        </w:rPr>
        <w:t>(</w:t>
      </w:r>
      <w:r w:rsidRPr="001569FB">
        <w:rPr>
          <w:szCs w:val="24"/>
        </w:rPr>
        <w:t xml:space="preserve">1) the county’s </w:t>
      </w:r>
      <w:r w:rsidR="00E506C5" w:rsidRPr="001569FB">
        <w:rPr>
          <w:szCs w:val="24"/>
        </w:rPr>
        <w:t xml:space="preserve">2019 </w:t>
      </w:r>
      <w:r w:rsidRPr="001569FB">
        <w:rPr>
          <w:szCs w:val="24"/>
        </w:rPr>
        <w:t xml:space="preserve">FFS </w:t>
      </w:r>
      <w:r w:rsidR="002C79E3" w:rsidRPr="001569FB">
        <w:rPr>
          <w:szCs w:val="24"/>
        </w:rPr>
        <w:t>cost</w:t>
      </w:r>
      <w:r w:rsidRPr="001569FB">
        <w:rPr>
          <w:szCs w:val="24"/>
        </w:rPr>
        <w:t xml:space="preserve"> or </w:t>
      </w:r>
      <w:r w:rsidR="001B6EF2" w:rsidRPr="001569FB">
        <w:rPr>
          <w:szCs w:val="24"/>
        </w:rPr>
        <w:t>(</w:t>
      </w:r>
      <w:r w:rsidRPr="001569FB">
        <w:rPr>
          <w:szCs w:val="24"/>
        </w:rPr>
        <w:t xml:space="preserve">2) the </w:t>
      </w:r>
      <w:r w:rsidR="00E506C5" w:rsidRPr="001569FB">
        <w:rPr>
          <w:szCs w:val="24"/>
        </w:rPr>
        <w:t xml:space="preserve">2018 </w:t>
      </w:r>
      <w:r w:rsidRPr="001569FB">
        <w:rPr>
          <w:szCs w:val="24"/>
        </w:rPr>
        <w:t xml:space="preserve">applicable amount increased by the CY </w:t>
      </w:r>
      <w:r w:rsidR="00E506C5" w:rsidRPr="001569FB">
        <w:rPr>
          <w:szCs w:val="24"/>
        </w:rPr>
        <w:t xml:space="preserve">2019 </w:t>
      </w:r>
      <w:r w:rsidRPr="001569FB">
        <w:rPr>
          <w:szCs w:val="24"/>
        </w:rPr>
        <w:t xml:space="preserve">National Per Capita Medicare Advantage Growth Percentage. </w:t>
      </w:r>
      <w:r w:rsidR="00596697" w:rsidRPr="001569FB">
        <w:rPr>
          <w:szCs w:val="24"/>
        </w:rPr>
        <w:t xml:space="preserve"> </w:t>
      </w:r>
      <w:r w:rsidR="00E506C5" w:rsidRPr="001569FB">
        <w:rPr>
          <w:szCs w:val="24"/>
        </w:rPr>
        <w:t>A</w:t>
      </w:r>
      <w:r w:rsidR="001B6EF2" w:rsidRPr="001569FB">
        <w:rPr>
          <w:szCs w:val="24"/>
        </w:rPr>
        <w:t>s discussed in Section A</w:t>
      </w:r>
      <w:r w:rsidR="00F858F1" w:rsidRPr="001569FB">
        <w:rPr>
          <w:szCs w:val="24"/>
        </w:rPr>
        <w:t>5</w:t>
      </w:r>
      <w:r w:rsidR="001B6EF2" w:rsidRPr="001569FB">
        <w:rPr>
          <w:szCs w:val="24"/>
        </w:rPr>
        <w:t xml:space="preserve">, </w:t>
      </w:r>
      <w:r w:rsidR="00631EF2" w:rsidRPr="001569FB">
        <w:rPr>
          <w:szCs w:val="24"/>
        </w:rPr>
        <w:t>s</w:t>
      </w:r>
      <w:r w:rsidR="001B6EF2" w:rsidRPr="001569FB">
        <w:rPr>
          <w:szCs w:val="24"/>
        </w:rPr>
        <w:t xml:space="preserve">ection 1853(n)(4) of the Act requires that the benchmark </w:t>
      </w:r>
      <w:r w:rsidR="00A522DD" w:rsidRPr="001569FB">
        <w:rPr>
          <w:szCs w:val="24"/>
        </w:rPr>
        <w:t xml:space="preserve">(determined taking into account the quality bonus percentage increase) </w:t>
      </w:r>
      <w:r w:rsidR="001B6EF2" w:rsidRPr="001569FB">
        <w:rPr>
          <w:szCs w:val="24"/>
        </w:rPr>
        <w:t>for each county must be capped at the county’s applicable amount.</w:t>
      </w:r>
    </w:p>
    <w:p w14:paraId="00F3FAC3" w14:textId="77777777" w:rsidR="008325FD" w:rsidRPr="001569FB" w:rsidRDefault="00320831" w:rsidP="00203CF7">
      <w:pPr>
        <w:pStyle w:val="Heading3"/>
      </w:pPr>
      <w:r w:rsidRPr="001569FB">
        <w:t xml:space="preserve">A2.  </w:t>
      </w:r>
      <w:r w:rsidR="008325FD" w:rsidRPr="001569FB">
        <w:t xml:space="preserve">Specified Amount </w:t>
      </w:r>
    </w:p>
    <w:p w14:paraId="2AE7B567" w14:textId="77777777" w:rsidR="008325FD" w:rsidRPr="001569FB" w:rsidRDefault="00B55072" w:rsidP="002707EC">
      <w:pPr>
        <w:spacing w:before="200" w:after="200"/>
        <w:rPr>
          <w:szCs w:val="24"/>
        </w:rPr>
      </w:pPr>
      <w:r w:rsidRPr="001569FB">
        <w:rPr>
          <w:szCs w:val="24"/>
        </w:rPr>
        <w:t>Under section 1853(n)(2)(A)</w:t>
      </w:r>
      <w:r w:rsidR="00103D6B" w:rsidRPr="001569FB">
        <w:rPr>
          <w:szCs w:val="24"/>
        </w:rPr>
        <w:t xml:space="preserve"> of the Act</w:t>
      </w:r>
      <w:r w:rsidRPr="001569FB">
        <w:rPr>
          <w:szCs w:val="24"/>
        </w:rPr>
        <w:t>, t</w:t>
      </w:r>
      <w:r w:rsidR="008325FD" w:rsidRPr="001569FB">
        <w:rPr>
          <w:szCs w:val="24"/>
        </w:rPr>
        <w:t>he specified amount is based upon the following formula</w:t>
      </w:r>
      <w:r w:rsidR="00596697" w:rsidRPr="001569FB">
        <w:rPr>
          <w:szCs w:val="24"/>
        </w:rPr>
        <w:t>:</w:t>
      </w:r>
    </w:p>
    <w:p w14:paraId="1626EA7E" w14:textId="77777777" w:rsidR="008325FD" w:rsidRPr="001569FB" w:rsidRDefault="008325FD" w:rsidP="002707EC">
      <w:pPr>
        <w:spacing w:before="200"/>
        <w:rPr>
          <w:szCs w:val="24"/>
        </w:rPr>
      </w:pPr>
      <w:r w:rsidRPr="001569FB">
        <w:rPr>
          <w:szCs w:val="24"/>
        </w:rPr>
        <w:t>(201</w:t>
      </w:r>
      <w:r w:rsidR="00912039" w:rsidRPr="001569FB">
        <w:rPr>
          <w:szCs w:val="24"/>
        </w:rPr>
        <w:t>9</w:t>
      </w:r>
      <w:r w:rsidRPr="001569FB">
        <w:rPr>
          <w:szCs w:val="24"/>
        </w:rPr>
        <w:t xml:space="preserve"> FFS </w:t>
      </w:r>
      <w:r w:rsidR="002C79E3" w:rsidRPr="001569FB">
        <w:rPr>
          <w:szCs w:val="24"/>
        </w:rPr>
        <w:t>cost</w:t>
      </w:r>
      <w:r w:rsidRPr="001569FB">
        <w:rPr>
          <w:szCs w:val="24"/>
        </w:rPr>
        <w:t xml:space="preserve"> minus IME phase-out amount) × (applicable percentage + applicable percentage quality increase) </w:t>
      </w:r>
    </w:p>
    <w:p w14:paraId="6DFE99FB" w14:textId="77777777" w:rsidR="00B965E6" w:rsidRPr="001569FB" w:rsidRDefault="00EE268B" w:rsidP="002707EC">
      <w:pPr>
        <w:spacing w:after="200"/>
        <w:ind w:left="720"/>
        <w:rPr>
          <w:szCs w:val="24"/>
        </w:rPr>
      </w:pPr>
      <w:r w:rsidRPr="001569FB">
        <w:rPr>
          <w:szCs w:val="24"/>
        </w:rPr>
        <w:t>Where:</w:t>
      </w:r>
    </w:p>
    <w:p w14:paraId="5B662F33" w14:textId="77777777" w:rsidR="00906C5C" w:rsidRPr="001569FB" w:rsidRDefault="00EE268B" w:rsidP="00BB3819">
      <w:pPr>
        <w:spacing w:after="240"/>
        <w:ind w:left="720"/>
        <w:rPr>
          <w:szCs w:val="24"/>
        </w:rPr>
      </w:pPr>
      <w:r w:rsidRPr="001569FB">
        <w:rPr>
          <w:szCs w:val="24"/>
          <w:u w:val="single"/>
        </w:rPr>
        <w:t>IME phase-out amount</w:t>
      </w:r>
      <w:r w:rsidRPr="001569FB">
        <w:rPr>
          <w:szCs w:val="24"/>
        </w:rPr>
        <w:t xml:space="preserve"> </w:t>
      </w:r>
      <w:r w:rsidR="00D22E10" w:rsidRPr="001569FB">
        <w:rPr>
          <w:szCs w:val="24"/>
        </w:rPr>
        <w:t xml:space="preserve">is the </w:t>
      </w:r>
      <w:r w:rsidRPr="001569FB">
        <w:rPr>
          <w:szCs w:val="24"/>
        </w:rPr>
        <w:t>ind</w:t>
      </w:r>
      <w:r w:rsidR="00906C5C" w:rsidRPr="001569FB">
        <w:rPr>
          <w:szCs w:val="24"/>
        </w:rPr>
        <w:t xml:space="preserve">irect costs of medical education phase-out amount </w:t>
      </w:r>
      <w:r w:rsidR="00BC202F" w:rsidRPr="001569FB">
        <w:rPr>
          <w:szCs w:val="24"/>
        </w:rPr>
        <w:t xml:space="preserve">as </w:t>
      </w:r>
      <w:r w:rsidR="00D22E10" w:rsidRPr="001569FB">
        <w:rPr>
          <w:szCs w:val="24"/>
        </w:rPr>
        <w:t xml:space="preserve">specified at </w:t>
      </w:r>
      <w:r w:rsidR="004C0B32" w:rsidRPr="001569FB">
        <w:rPr>
          <w:szCs w:val="24"/>
        </w:rPr>
        <w:t>s</w:t>
      </w:r>
      <w:r w:rsidR="00D22E10" w:rsidRPr="001569FB">
        <w:rPr>
          <w:szCs w:val="24"/>
        </w:rPr>
        <w:t>ection 1853(k)(4)</w:t>
      </w:r>
      <w:r w:rsidR="002744E3" w:rsidRPr="001569FB">
        <w:rPr>
          <w:szCs w:val="24"/>
        </w:rPr>
        <w:t xml:space="preserve"> and section</w:t>
      </w:r>
      <w:r w:rsidR="00103D6B" w:rsidRPr="001569FB">
        <w:rPr>
          <w:szCs w:val="24"/>
        </w:rPr>
        <w:t>s</w:t>
      </w:r>
      <w:r w:rsidR="002744E3" w:rsidRPr="001569FB">
        <w:rPr>
          <w:szCs w:val="24"/>
        </w:rPr>
        <w:t xml:space="preserve"> 1853(n)(2)(E) and (F);</w:t>
      </w:r>
    </w:p>
    <w:p w14:paraId="7A2DA73E" w14:textId="77777777" w:rsidR="00D22E10" w:rsidRPr="001569FB" w:rsidRDefault="00D22E10" w:rsidP="00BB3819">
      <w:pPr>
        <w:spacing w:after="240"/>
        <w:ind w:left="720"/>
        <w:rPr>
          <w:szCs w:val="24"/>
        </w:rPr>
      </w:pPr>
      <w:r w:rsidRPr="001569FB">
        <w:rPr>
          <w:szCs w:val="24"/>
          <w:u w:val="single"/>
        </w:rPr>
        <w:t>Applicable percentage</w:t>
      </w:r>
      <w:r w:rsidRPr="001569FB">
        <w:rPr>
          <w:szCs w:val="24"/>
        </w:rPr>
        <w:t xml:space="preserve"> is a statutory percentage applied to the county’s base payment amount, as described at </w:t>
      </w:r>
      <w:r w:rsidR="009318A4" w:rsidRPr="001569FB">
        <w:rPr>
          <w:szCs w:val="24"/>
        </w:rPr>
        <w:t>section</w:t>
      </w:r>
      <w:r w:rsidRPr="001569FB">
        <w:rPr>
          <w:szCs w:val="24"/>
        </w:rPr>
        <w:t xml:space="preserve"> 1853(n)(2)(B); and</w:t>
      </w:r>
    </w:p>
    <w:p w14:paraId="4475EF0F" w14:textId="77777777" w:rsidR="00D22E10" w:rsidRPr="001569FB" w:rsidRDefault="00D22E10" w:rsidP="00BB3819">
      <w:pPr>
        <w:spacing w:after="240"/>
        <w:ind w:left="720"/>
        <w:rPr>
          <w:szCs w:val="24"/>
        </w:rPr>
      </w:pPr>
      <w:r w:rsidRPr="001569FB">
        <w:rPr>
          <w:szCs w:val="24"/>
          <w:u w:val="single"/>
        </w:rPr>
        <w:t>Applicable percentage quality increase</w:t>
      </w:r>
      <w:r w:rsidRPr="001569FB">
        <w:rPr>
          <w:szCs w:val="24"/>
        </w:rPr>
        <w:t xml:space="preserve">, </w:t>
      </w:r>
      <w:r w:rsidR="0051692C" w:rsidRPr="001569FB">
        <w:rPr>
          <w:szCs w:val="24"/>
        </w:rPr>
        <w:t>referred to in this document as the q</w:t>
      </w:r>
      <w:r w:rsidR="00EC4CE3" w:rsidRPr="001569FB">
        <w:rPr>
          <w:szCs w:val="24"/>
        </w:rPr>
        <w:t>uality bonus payment (QBP) percentage</w:t>
      </w:r>
      <w:r w:rsidR="0051692C" w:rsidRPr="001569FB">
        <w:rPr>
          <w:szCs w:val="24"/>
        </w:rPr>
        <w:t>, is a percentage point increase to the applicable percentage for a county in a qualifying plan’s service area.</w:t>
      </w:r>
    </w:p>
    <w:p w14:paraId="7B60DDE6" w14:textId="77777777" w:rsidR="00CE35E8" w:rsidRPr="001569FB" w:rsidRDefault="008325FD" w:rsidP="002707EC">
      <w:pPr>
        <w:spacing w:before="200" w:after="200"/>
        <w:rPr>
          <w:szCs w:val="24"/>
        </w:rPr>
      </w:pPr>
      <w:r w:rsidRPr="001569FB">
        <w:rPr>
          <w:szCs w:val="24"/>
        </w:rPr>
        <w:lastRenderedPageBreak/>
        <w:t xml:space="preserve">Section 1853(n)(2)(C) </w:t>
      </w:r>
      <w:r w:rsidR="009C088E" w:rsidRPr="001569FB">
        <w:rPr>
          <w:szCs w:val="24"/>
        </w:rPr>
        <w:t xml:space="preserve">of the Act </w:t>
      </w:r>
      <w:r w:rsidRPr="001569FB">
        <w:rPr>
          <w:szCs w:val="24"/>
        </w:rPr>
        <w:t xml:space="preserve">requires CMS to determine applicable percentages for a year based on county FFS rate rankings for the </w:t>
      </w:r>
      <w:r w:rsidR="00EC4CE3" w:rsidRPr="001569FB">
        <w:rPr>
          <w:szCs w:val="24"/>
        </w:rPr>
        <w:t xml:space="preserve">most recent </w:t>
      </w:r>
      <w:r w:rsidRPr="001569FB">
        <w:rPr>
          <w:szCs w:val="24"/>
        </w:rPr>
        <w:t xml:space="preserve">year that was a rebasing year.  To determine the CY </w:t>
      </w:r>
      <w:r w:rsidR="00AA6AFC" w:rsidRPr="001569FB">
        <w:rPr>
          <w:szCs w:val="24"/>
        </w:rPr>
        <w:t xml:space="preserve">2019 </w:t>
      </w:r>
      <w:r w:rsidRPr="001569FB">
        <w:rPr>
          <w:szCs w:val="24"/>
        </w:rPr>
        <w:t xml:space="preserve">applicable percentages for counties in the 50 States and the District of Columbia, CMS will rank counties from highest to lowest based upon their </w:t>
      </w:r>
      <w:r w:rsidR="00AA6AFC" w:rsidRPr="001569FB">
        <w:rPr>
          <w:szCs w:val="24"/>
        </w:rPr>
        <w:t xml:space="preserve">2018 </w:t>
      </w:r>
      <w:r w:rsidR="0009658A" w:rsidRPr="001569FB">
        <w:rPr>
          <w:szCs w:val="24"/>
        </w:rPr>
        <w:t xml:space="preserve">average per capita </w:t>
      </w:r>
      <w:r w:rsidRPr="001569FB">
        <w:rPr>
          <w:szCs w:val="24"/>
        </w:rPr>
        <w:t xml:space="preserve">FFS </w:t>
      </w:r>
      <w:r w:rsidR="00200D58" w:rsidRPr="001569FB">
        <w:rPr>
          <w:szCs w:val="24"/>
        </w:rPr>
        <w:t>rate</w:t>
      </w:r>
      <w:r w:rsidRPr="001569FB">
        <w:rPr>
          <w:szCs w:val="24"/>
        </w:rPr>
        <w:t xml:space="preserve">, because </w:t>
      </w:r>
      <w:r w:rsidR="00AA6AFC" w:rsidRPr="001569FB">
        <w:rPr>
          <w:szCs w:val="24"/>
        </w:rPr>
        <w:t xml:space="preserve">2018 </w:t>
      </w:r>
      <w:r w:rsidRPr="001569FB">
        <w:rPr>
          <w:szCs w:val="24"/>
        </w:rPr>
        <w:t xml:space="preserve">is the most recent rebasing year prior to </w:t>
      </w:r>
      <w:r w:rsidR="00AA6AFC" w:rsidRPr="001569FB">
        <w:rPr>
          <w:szCs w:val="24"/>
        </w:rPr>
        <w:t>2019</w:t>
      </w:r>
      <w:r w:rsidRPr="001569FB">
        <w:rPr>
          <w:szCs w:val="24"/>
        </w:rPr>
        <w:t xml:space="preserve">.  CMS will then place the rates into four quartiles.  For the territories, CMS will assign an applicable percentage to each </w:t>
      </w:r>
      <w:r w:rsidR="00BC3C22" w:rsidRPr="001569FB">
        <w:rPr>
          <w:szCs w:val="24"/>
        </w:rPr>
        <w:t xml:space="preserve">territory </w:t>
      </w:r>
      <w:r w:rsidRPr="001569FB">
        <w:rPr>
          <w:szCs w:val="24"/>
        </w:rPr>
        <w:t xml:space="preserve">county based on where the </w:t>
      </w:r>
      <w:r w:rsidR="00BC3C22" w:rsidRPr="001569FB">
        <w:rPr>
          <w:szCs w:val="24"/>
        </w:rPr>
        <w:t xml:space="preserve">territory </w:t>
      </w:r>
      <w:r w:rsidRPr="001569FB">
        <w:rPr>
          <w:szCs w:val="24"/>
        </w:rPr>
        <w:t>county rate falls in the quartiles established for the 50 States and the District of Columbia</w:t>
      </w:r>
      <w:r w:rsidR="00BF60A0" w:rsidRPr="001569FB">
        <w:rPr>
          <w:szCs w:val="24"/>
        </w:rPr>
        <w:t>.</w:t>
      </w:r>
      <w:r w:rsidR="00CE35E8" w:rsidRPr="001569FB">
        <w:rPr>
          <w:szCs w:val="24"/>
        </w:rPr>
        <w:t xml:space="preserve"> </w:t>
      </w:r>
    </w:p>
    <w:p w14:paraId="4E2DBD62" w14:textId="2424B87D" w:rsidR="008325FD" w:rsidRPr="001569FB" w:rsidRDefault="001C241A" w:rsidP="002707EC">
      <w:pPr>
        <w:spacing w:before="200" w:after="200"/>
        <w:rPr>
          <w:szCs w:val="24"/>
        </w:rPr>
      </w:pPr>
      <w:r w:rsidRPr="001569FB">
        <w:rPr>
          <w:szCs w:val="24"/>
        </w:rPr>
        <w:t xml:space="preserve">CMS is publishing the </w:t>
      </w:r>
      <w:r w:rsidR="00AA6AFC" w:rsidRPr="001569FB">
        <w:rPr>
          <w:szCs w:val="24"/>
        </w:rPr>
        <w:t xml:space="preserve">2019 </w:t>
      </w:r>
      <w:r w:rsidRPr="001569FB">
        <w:rPr>
          <w:szCs w:val="24"/>
        </w:rPr>
        <w:t>applicable percentages by county with the Advance Notice at</w:t>
      </w:r>
      <w:r w:rsidR="00FB3419" w:rsidRPr="001569FB">
        <w:rPr>
          <w:szCs w:val="24"/>
        </w:rPr>
        <w:t xml:space="preserve"> </w:t>
      </w:r>
      <w:hyperlink r:id="rId12" w:history="1">
        <w:r w:rsidR="00146ED3" w:rsidRPr="001569FB">
          <w:rPr>
            <w:rStyle w:val="Hyperlink"/>
            <w:szCs w:val="24"/>
          </w:rPr>
          <w:t>https://www.cms.gov/Medicare/Health-Plans/​MedicareAdvtgSpecRateStats/​Announcements-and-Documents.html</w:t>
        </w:r>
      </w:hyperlink>
      <w:r w:rsidR="00146ED3" w:rsidRPr="001569FB">
        <w:rPr>
          <w:szCs w:val="24"/>
        </w:rPr>
        <w:t xml:space="preserve">. </w:t>
      </w:r>
      <w:r w:rsidR="008325FD" w:rsidRPr="001569FB">
        <w:rPr>
          <w:szCs w:val="24"/>
        </w:rPr>
        <w:t>Each county</w:t>
      </w:r>
      <w:r w:rsidR="00596697" w:rsidRPr="001569FB">
        <w:rPr>
          <w:szCs w:val="24"/>
        </w:rPr>
        <w:t>’</w:t>
      </w:r>
      <w:r w:rsidR="008325FD" w:rsidRPr="001569FB">
        <w:rPr>
          <w:szCs w:val="24"/>
        </w:rPr>
        <w:t xml:space="preserve">s applicable percentage is assigned based upon its quartile ranking, as follows: </w:t>
      </w:r>
    </w:p>
    <w:p w14:paraId="4BC74A1E" w14:textId="77777777" w:rsidR="008325FD" w:rsidRPr="001569FB" w:rsidRDefault="008325FD" w:rsidP="00E54CD1">
      <w:pPr>
        <w:pStyle w:val="TableTitle0"/>
        <w:rPr>
          <w:szCs w:val="24"/>
        </w:rPr>
      </w:pPr>
      <w:r w:rsidRPr="001569FB">
        <w:rPr>
          <w:szCs w:val="24"/>
        </w:rPr>
        <w:t>Table II-1</w:t>
      </w:r>
      <w:r w:rsidR="00392AA2" w:rsidRPr="001569FB">
        <w:rPr>
          <w:szCs w:val="24"/>
        </w:rPr>
        <w:t xml:space="preserve">. </w:t>
      </w:r>
      <w:r w:rsidRPr="001569FB">
        <w:rPr>
          <w:szCs w:val="24"/>
        </w:rPr>
        <w:t xml:space="preserve"> FFS Quartile Assignment </w:t>
      </w:r>
    </w:p>
    <w:tbl>
      <w:tblPr>
        <w:tblW w:w="0" w:type="auto"/>
        <w:jc w:val="center"/>
        <w:tblLayout w:type="fixed"/>
        <w:tblCellMar>
          <w:left w:w="115" w:type="dxa"/>
          <w:right w:w="115" w:type="dxa"/>
        </w:tblCellMar>
        <w:tblLook w:val="04A0" w:firstRow="1" w:lastRow="0" w:firstColumn="1" w:lastColumn="0" w:noHBand="0" w:noVBand="1"/>
      </w:tblPr>
      <w:tblGrid>
        <w:gridCol w:w="1698"/>
        <w:gridCol w:w="2160"/>
      </w:tblGrid>
      <w:tr w:rsidR="008325FD" w:rsidRPr="001569FB" w14:paraId="61CF7FE1" w14:textId="77777777" w:rsidTr="00BF7934">
        <w:trPr>
          <w:cantSplit/>
          <w:tblHeader/>
          <w:jc w:val="center"/>
        </w:trPr>
        <w:tc>
          <w:tcPr>
            <w:tcW w:w="1698" w:type="dxa"/>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hideMark/>
          </w:tcPr>
          <w:p w14:paraId="377341DB" w14:textId="77777777" w:rsidR="008325FD" w:rsidRPr="001569FB" w:rsidRDefault="008325FD" w:rsidP="009C088E">
            <w:pPr>
              <w:keepNext/>
              <w:keepLines/>
              <w:spacing w:before="40" w:after="40"/>
              <w:jc w:val="center"/>
              <w:rPr>
                <w:b/>
                <w:szCs w:val="24"/>
              </w:rPr>
            </w:pPr>
            <w:r w:rsidRPr="001569FB">
              <w:rPr>
                <w:b/>
                <w:szCs w:val="24"/>
              </w:rPr>
              <w:t>Quartile</w:t>
            </w:r>
          </w:p>
        </w:tc>
        <w:tc>
          <w:tcPr>
            <w:tcW w:w="2160" w:type="dxa"/>
            <w:tcBorders>
              <w:top w:val="single" w:sz="4" w:space="0" w:color="auto"/>
              <w:left w:val="nil"/>
              <w:bottom w:val="single" w:sz="4" w:space="0" w:color="auto"/>
              <w:right w:val="single" w:sz="4" w:space="0" w:color="auto"/>
            </w:tcBorders>
            <w:shd w:val="clear" w:color="auto" w:fill="DDD9C3" w:themeFill="background2" w:themeFillShade="E6"/>
            <w:noWrap/>
            <w:vAlign w:val="bottom"/>
            <w:hideMark/>
          </w:tcPr>
          <w:p w14:paraId="5BB24A0B" w14:textId="77777777" w:rsidR="008325FD" w:rsidRPr="001569FB" w:rsidRDefault="008325FD" w:rsidP="009F12EC">
            <w:pPr>
              <w:keepNext/>
              <w:keepLines/>
              <w:spacing w:before="40" w:after="40"/>
              <w:jc w:val="center"/>
              <w:rPr>
                <w:b/>
                <w:szCs w:val="24"/>
              </w:rPr>
            </w:pPr>
            <w:r w:rsidRPr="001569FB">
              <w:rPr>
                <w:b/>
                <w:szCs w:val="24"/>
              </w:rPr>
              <w:t xml:space="preserve">Applicable </w:t>
            </w:r>
            <w:r w:rsidR="009F12EC" w:rsidRPr="001569FB">
              <w:rPr>
                <w:b/>
                <w:szCs w:val="24"/>
              </w:rPr>
              <w:br/>
            </w:r>
            <w:r w:rsidRPr="001569FB">
              <w:rPr>
                <w:b/>
                <w:szCs w:val="24"/>
              </w:rPr>
              <w:t>Percentage</w:t>
            </w:r>
          </w:p>
        </w:tc>
      </w:tr>
      <w:tr w:rsidR="008325FD" w:rsidRPr="001569FB" w14:paraId="1994F63E"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7069CC8D" w14:textId="77777777" w:rsidR="008325FD" w:rsidRPr="001569FB" w:rsidRDefault="008325FD" w:rsidP="00BF7934">
            <w:pPr>
              <w:keepNext/>
              <w:keepLines/>
              <w:spacing w:before="40" w:after="40"/>
              <w:ind w:left="70"/>
              <w:rPr>
                <w:szCs w:val="24"/>
              </w:rPr>
            </w:pPr>
            <w:r w:rsidRPr="001569FB">
              <w:rPr>
                <w:szCs w:val="24"/>
              </w:rPr>
              <w:t>4</w:t>
            </w:r>
            <w:r w:rsidRPr="001569FB">
              <w:rPr>
                <w:szCs w:val="24"/>
                <w:vertAlign w:val="superscript"/>
              </w:rPr>
              <w:t>th</w:t>
            </w:r>
            <w:r w:rsidRPr="001569FB">
              <w:rPr>
                <w:szCs w:val="24"/>
              </w:rPr>
              <w:t xml:space="preserve"> (highest)</w:t>
            </w:r>
          </w:p>
        </w:tc>
        <w:tc>
          <w:tcPr>
            <w:tcW w:w="2160" w:type="dxa"/>
            <w:tcBorders>
              <w:top w:val="nil"/>
              <w:left w:val="nil"/>
              <w:bottom w:val="single" w:sz="4" w:space="0" w:color="auto"/>
              <w:right w:val="single" w:sz="4" w:space="0" w:color="auto"/>
            </w:tcBorders>
            <w:shd w:val="clear" w:color="auto" w:fill="auto"/>
            <w:noWrap/>
            <w:vAlign w:val="bottom"/>
            <w:hideMark/>
          </w:tcPr>
          <w:p w14:paraId="25D93A0E"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95%</w:t>
            </w:r>
          </w:p>
        </w:tc>
      </w:tr>
      <w:tr w:rsidR="008325FD" w:rsidRPr="001569FB" w14:paraId="66D9147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02B7631F" w14:textId="77777777" w:rsidR="008325FD" w:rsidRPr="001569FB" w:rsidRDefault="008325FD" w:rsidP="00BF7934">
            <w:pPr>
              <w:keepNext/>
              <w:keepLines/>
              <w:spacing w:before="40" w:after="40"/>
              <w:ind w:left="70"/>
              <w:rPr>
                <w:szCs w:val="24"/>
              </w:rPr>
            </w:pPr>
            <w:r w:rsidRPr="001569FB">
              <w:rPr>
                <w:szCs w:val="24"/>
              </w:rPr>
              <w:t>3</w:t>
            </w:r>
            <w:r w:rsidRPr="001569FB">
              <w:rPr>
                <w:szCs w:val="24"/>
                <w:vertAlign w:val="superscript"/>
              </w:rPr>
              <w:t>rd</w:t>
            </w:r>
          </w:p>
        </w:tc>
        <w:tc>
          <w:tcPr>
            <w:tcW w:w="2160" w:type="dxa"/>
            <w:tcBorders>
              <w:top w:val="nil"/>
              <w:left w:val="nil"/>
              <w:bottom w:val="single" w:sz="4" w:space="0" w:color="auto"/>
              <w:right w:val="single" w:sz="4" w:space="0" w:color="auto"/>
            </w:tcBorders>
            <w:shd w:val="clear" w:color="auto" w:fill="auto"/>
            <w:noWrap/>
            <w:vAlign w:val="center"/>
            <w:hideMark/>
          </w:tcPr>
          <w:p w14:paraId="50625163"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100%</w:t>
            </w:r>
          </w:p>
        </w:tc>
      </w:tr>
      <w:tr w:rsidR="008325FD" w:rsidRPr="001569FB" w14:paraId="2D0FF18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30F3E1DE" w14:textId="77777777" w:rsidR="008325FD" w:rsidRPr="001569FB" w:rsidRDefault="008325FD" w:rsidP="00BF7934">
            <w:pPr>
              <w:keepNext/>
              <w:keepLines/>
              <w:spacing w:before="40" w:after="40"/>
              <w:ind w:left="70"/>
              <w:rPr>
                <w:szCs w:val="24"/>
              </w:rPr>
            </w:pPr>
            <w:r w:rsidRPr="001569FB">
              <w:rPr>
                <w:szCs w:val="24"/>
              </w:rPr>
              <w:t>2</w:t>
            </w:r>
            <w:r w:rsidRPr="001569FB">
              <w:rPr>
                <w:szCs w:val="24"/>
                <w:vertAlign w:val="superscript"/>
              </w:rPr>
              <w:t>nd</w:t>
            </w:r>
          </w:p>
        </w:tc>
        <w:tc>
          <w:tcPr>
            <w:tcW w:w="2160" w:type="dxa"/>
            <w:tcBorders>
              <w:top w:val="nil"/>
              <w:left w:val="nil"/>
              <w:bottom w:val="single" w:sz="4" w:space="0" w:color="auto"/>
              <w:right w:val="single" w:sz="4" w:space="0" w:color="auto"/>
            </w:tcBorders>
            <w:shd w:val="clear" w:color="auto" w:fill="auto"/>
            <w:noWrap/>
            <w:vAlign w:val="center"/>
            <w:hideMark/>
          </w:tcPr>
          <w:p w14:paraId="172CCF0D"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107.5%</w:t>
            </w:r>
          </w:p>
        </w:tc>
      </w:tr>
      <w:tr w:rsidR="008325FD" w:rsidRPr="001569FB" w14:paraId="3217237F"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57B2812B" w14:textId="77777777" w:rsidR="008325FD" w:rsidRPr="001569FB" w:rsidRDefault="008325FD" w:rsidP="00BF7934">
            <w:pPr>
              <w:spacing w:before="40" w:after="40"/>
              <w:ind w:left="70"/>
              <w:rPr>
                <w:szCs w:val="24"/>
              </w:rPr>
            </w:pPr>
            <w:r w:rsidRPr="001569FB">
              <w:rPr>
                <w:szCs w:val="24"/>
              </w:rPr>
              <w:t>1</w:t>
            </w:r>
            <w:r w:rsidRPr="001569FB">
              <w:rPr>
                <w:szCs w:val="24"/>
                <w:vertAlign w:val="superscript"/>
              </w:rPr>
              <w:t>st</w:t>
            </w:r>
            <w:r w:rsidRPr="001569FB">
              <w:rPr>
                <w:szCs w:val="24"/>
              </w:rPr>
              <w:t xml:space="preserve"> (lowest)</w:t>
            </w:r>
          </w:p>
        </w:tc>
        <w:tc>
          <w:tcPr>
            <w:tcW w:w="2160" w:type="dxa"/>
            <w:tcBorders>
              <w:top w:val="nil"/>
              <w:left w:val="nil"/>
              <w:bottom w:val="single" w:sz="4" w:space="0" w:color="auto"/>
              <w:right w:val="single" w:sz="4" w:space="0" w:color="auto"/>
            </w:tcBorders>
            <w:shd w:val="clear" w:color="auto" w:fill="auto"/>
            <w:noWrap/>
            <w:vAlign w:val="center"/>
            <w:hideMark/>
          </w:tcPr>
          <w:p w14:paraId="76122B61" w14:textId="77777777" w:rsidR="008325FD" w:rsidRPr="001569FB" w:rsidRDefault="009F12EC" w:rsidP="009F12EC">
            <w:pPr>
              <w:tabs>
                <w:tab w:val="decimal" w:pos="882"/>
                <w:tab w:val="decimal" w:pos="2571"/>
              </w:tabs>
              <w:spacing w:before="40" w:after="40"/>
              <w:rPr>
                <w:szCs w:val="24"/>
              </w:rPr>
            </w:pPr>
            <w:r w:rsidRPr="001569FB">
              <w:rPr>
                <w:szCs w:val="24"/>
              </w:rPr>
              <w:tab/>
            </w:r>
            <w:r w:rsidR="008325FD" w:rsidRPr="001569FB">
              <w:rPr>
                <w:szCs w:val="24"/>
              </w:rPr>
              <w:t>115%</w:t>
            </w:r>
          </w:p>
        </w:tc>
      </w:tr>
    </w:tbl>
    <w:p w14:paraId="3CB99155" w14:textId="77777777" w:rsidR="008325FD" w:rsidRPr="001569FB" w:rsidRDefault="008325FD" w:rsidP="002707EC">
      <w:pPr>
        <w:spacing w:before="200" w:after="200"/>
        <w:rPr>
          <w:szCs w:val="24"/>
        </w:rPr>
      </w:pPr>
      <w:r w:rsidRPr="001569FB">
        <w:rPr>
          <w:szCs w:val="24"/>
        </w:rPr>
        <w:t>Section 1853(n)(2)(D) of the Act provides that, beginning in 2013, if there is a change in a county</w:t>
      </w:r>
      <w:r w:rsidR="00C85A00" w:rsidRPr="001569FB">
        <w:rPr>
          <w:szCs w:val="24"/>
        </w:rPr>
        <w:t>’</w:t>
      </w:r>
      <w:r w:rsidRPr="001569FB">
        <w:rPr>
          <w:szCs w:val="24"/>
        </w:rPr>
        <w:t>s quartile ranking for a payment year compared to the county</w:t>
      </w:r>
      <w:r w:rsidR="00C85A00" w:rsidRPr="001569FB">
        <w:rPr>
          <w:szCs w:val="24"/>
        </w:rPr>
        <w:t>’</w:t>
      </w:r>
      <w:r w:rsidRPr="001569FB">
        <w:rPr>
          <w:szCs w:val="24"/>
        </w:rPr>
        <w:t>s ranking in the previous year, the applicable percentage for the area for the year shall be the average of</w:t>
      </w:r>
      <w:r w:rsidR="001C241A" w:rsidRPr="001569FB">
        <w:rPr>
          <w:szCs w:val="24"/>
        </w:rPr>
        <w:t xml:space="preserve">: </w:t>
      </w:r>
      <w:r w:rsidR="005F1290" w:rsidRPr="001569FB">
        <w:rPr>
          <w:szCs w:val="24"/>
        </w:rPr>
        <w:t>(</w:t>
      </w:r>
      <w:r w:rsidR="001C241A" w:rsidRPr="001569FB">
        <w:rPr>
          <w:szCs w:val="24"/>
        </w:rPr>
        <w:t>1)</w:t>
      </w:r>
      <w:r w:rsidRPr="001569FB">
        <w:rPr>
          <w:szCs w:val="24"/>
        </w:rPr>
        <w:t xml:space="preserve"> the applicable percentage for the previous year and </w:t>
      </w:r>
      <w:r w:rsidR="005F1290" w:rsidRPr="001569FB">
        <w:rPr>
          <w:szCs w:val="24"/>
        </w:rPr>
        <w:t>(</w:t>
      </w:r>
      <w:r w:rsidR="001C241A" w:rsidRPr="001569FB">
        <w:rPr>
          <w:szCs w:val="24"/>
        </w:rPr>
        <w:t xml:space="preserve">2) </w:t>
      </w:r>
      <w:r w:rsidRPr="001569FB">
        <w:rPr>
          <w:szCs w:val="24"/>
        </w:rPr>
        <w:t xml:space="preserve">the applicable percentage </w:t>
      </w:r>
      <w:r w:rsidR="001C241A" w:rsidRPr="001569FB">
        <w:rPr>
          <w:szCs w:val="24"/>
        </w:rPr>
        <w:t xml:space="preserve">for the current year.  For both years, CMS will calculate the applicable percentage </w:t>
      </w:r>
      <w:r w:rsidRPr="001569FB">
        <w:rPr>
          <w:szCs w:val="24"/>
        </w:rPr>
        <w:t>that would otherwise apply for the area for the year in the absence of this transitional provision.  For example, if a county</w:t>
      </w:r>
      <w:r w:rsidR="005F1290" w:rsidRPr="001569FB">
        <w:rPr>
          <w:szCs w:val="24"/>
        </w:rPr>
        <w:t>’</w:t>
      </w:r>
      <w:r w:rsidRPr="001569FB">
        <w:rPr>
          <w:szCs w:val="24"/>
        </w:rPr>
        <w:t xml:space="preserve">s ranking changed from the </w:t>
      </w:r>
      <w:r w:rsidR="00D012F0" w:rsidRPr="001569FB">
        <w:rPr>
          <w:szCs w:val="24"/>
        </w:rPr>
        <w:t xml:space="preserve">second </w:t>
      </w:r>
      <w:r w:rsidRPr="001569FB">
        <w:rPr>
          <w:szCs w:val="24"/>
        </w:rPr>
        <w:t xml:space="preserve">quartile to the </w:t>
      </w:r>
      <w:r w:rsidR="00D012F0" w:rsidRPr="001569FB">
        <w:rPr>
          <w:szCs w:val="24"/>
        </w:rPr>
        <w:t xml:space="preserve">third </w:t>
      </w:r>
      <w:r w:rsidRPr="001569FB">
        <w:rPr>
          <w:szCs w:val="24"/>
        </w:rPr>
        <w:t>quartile, the applicable percentage would be 103.75 percent for the year of the change – the average of 107.5 percent and 100 percent.</w:t>
      </w:r>
    </w:p>
    <w:p w14:paraId="36094DAF" w14:textId="77777777" w:rsidR="00FD6B02" w:rsidRPr="001569FB" w:rsidRDefault="00320831" w:rsidP="00EB7FE0">
      <w:pPr>
        <w:pStyle w:val="Heading3"/>
      </w:pPr>
      <w:r w:rsidRPr="001569FB">
        <w:t xml:space="preserve">A3.  </w:t>
      </w:r>
      <w:r w:rsidR="008325FD" w:rsidRPr="001569FB">
        <w:t>Quality Bonus Payment</w:t>
      </w:r>
      <w:r w:rsidR="00EC4CE3" w:rsidRPr="001569FB">
        <w:t xml:space="preserve"> Percentage</w:t>
      </w:r>
      <w:r w:rsidR="008325FD" w:rsidRPr="001569FB">
        <w:t xml:space="preserve"> </w:t>
      </w:r>
    </w:p>
    <w:p w14:paraId="1DF60A51" w14:textId="77777777" w:rsidR="008325FD" w:rsidRPr="001569FB" w:rsidRDefault="008325FD" w:rsidP="002707EC">
      <w:pPr>
        <w:spacing w:before="200" w:after="200"/>
        <w:rPr>
          <w:szCs w:val="24"/>
        </w:rPr>
      </w:pPr>
      <w:r w:rsidRPr="001569FB">
        <w:rPr>
          <w:szCs w:val="24"/>
        </w:rPr>
        <w:t>The Act provides for CMS to make quality bonus payments to MA organizations that meet quality standards measured under a five-star quality rating system</w:t>
      </w:r>
      <w:r w:rsidR="00F458AE" w:rsidRPr="001569FB">
        <w:rPr>
          <w:szCs w:val="24"/>
        </w:rPr>
        <w:t>.</w:t>
      </w:r>
      <w:r w:rsidRPr="001569FB">
        <w:rPr>
          <w:szCs w:val="24"/>
        </w:rPr>
        <w:t xml:space="preserve">  </w:t>
      </w:r>
      <w:r w:rsidR="00EC4CE3" w:rsidRPr="001569FB">
        <w:rPr>
          <w:szCs w:val="24"/>
        </w:rPr>
        <w:t>In this document</w:t>
      </w:r>
      <w:r w:rsidR="00C8168C" w:rsidRPr="001569FB">
        <w:rPr>
          <w:szCs w:val="24"/>
        </w:rPr>
        <w:t>,</w:t>
      </w:r>
      <w:r w:rsidR="00EC4CE3" w:rsidRPr="001569FB">
        <w:rPr>
          <w:szCs w:val="24"/>
        </w:rPr>
        <w:t xml:space="preserve"> we </w:t>
      </w:r>
      <w:r w:rsidR="00794725" w:rsidRPr="001569FB">
        <w:rPr>
          <w:szCs w:val="24"/>
        </w:rPr>
        <w:t xml:space="preserve">refer to this quality bonus as the </w:t>
      </w:r>
      <w:r w:rsidR="00EC4CE3" w:rsidRPr="001569FB">
        <w:rPr>
          <w:i/>
          <w:szCs w:val="24"/>
        </w:rPr>
        <w:t>quality bonus payment (QBP) percentage</w:t>
      </w:r>
      <w:r w:rsidR="00EC4CE3" w:rsidRPr="001569FB">
        <w:rPr>
          <w:szCs w:val="24"/>
        </w:rPr>
        <w:t xml:space="preserve"> instead of </w:t>
      </w:r>
      <w:r w:rsidR="00794725" w:rsidRPr="001569FB">
        <w:rPr>
          <w:szCs w:val="24"/>
        </w:rPr>
        <w:t xml:space="preserve">using </w:t>
      </w:r>
      <w:r w:rsidR="00EC4CE3" w:rsidRPr="001569FB">
        <w:rPr>
          <w:szCs w:val="24"/>
        </w:rPr>
        <w:t xml:space="preserve">the statutory term </w:t>
      </w:r>
      <w:r w:rsidR="00EC4CE3" w:rsidRPr="001569FB">
        <w:rPr>
          <w:i/>
          <w:szCs w:val="24"/>
        </w:rPr>
        <w:t>applicable percentage quality increase</w:t>
      </w:r>
      <w:r w:rsidR="00BF60A0" w:rsidRPr="001569FB">
        <w:rPr>
          <w:szCs w:val="24"/>
        </w:rPr>
        <w:t xml:space="preserve">.  </w:t>
      </w:r>
      <w:r w:rsidRPr="001569FB">
        <w:rPr>
          <w:szCs w:val="24"/>
        </w:rPr>
        <w:t xml:space="preserve">The QBP percentage is </w:t>
      </w:r>
      <w:r w:rsidR="00794725" w:rsidRPr="001569FB">
        <w:rPr>
          <w:szCs w:val="24"/>
        </w:rPr>
        <w:t xml:space="preserve">a percentage point increase </w:t>
      </w:r>
      <w:r w:rsidRPr="001569FB">
        <w:rPr>
          <w:szCs w:val="24"/>
        </w:rPr>
        <w:t xml:space="preserve">to the applicable percentage </w:t>
      </w:r>
      <w:r w:rsidR="00794725" w:rsidRPr="001569FB">
        <w:rPr>
          <w:szCs w:val="24"/>
        </w:rPr>
        <w:t xml:space="preserve">for </w:t>
      </w:r>
      <w:r w:rsidR="00553D5F" w:rsidRPr="001569FB">
        <w:rPr>
          <w:szCs w:val="24"/>
        </w:rPr>
        <w:t>each</w:t>
      </w:r>
      <w:r w:rsidR="00794725" w:rsidRPr="001569FB">
        <w:rPr>
          <w:szCs w:val="24"/>
        </w:rPr>
        <w:t xml:space="preserve"> county </w:t>
      </w:r>
      <w:r w:rsidR="00553D5F" w:rsidRPr="001569FB">
        <w:rPr>
          <w:szCs w:val="24"/>
        </w:rPr>
        <w:t xml:space="preserve">in a qualifying </w:t>
      </w:r>
      <w:r w:rsidR="00794725" w:rsidRPr="001569FB">
        <w:rPr>
          <w:szCs w:val="24"/>
        </w:rPr>
        <w:t xml:space="preserve">plan’s service area, </w:t>
      </w:r>
      <w:r w:rsidRPr="001569FB">
        <w:rPr>
          <w:szCs w:val="24"/>
        </w:rPr>
        <w:t>before multiplying the percentage by the FFS rate for the year to d</w:t>
      </w:r>
      <w:r w:rsidR="00EB7FE0" w:rsidRPr="001569FB">
        <w:rPr>
          <w:szCs w:val="24"/>
        </w:rPr>
        <w:t>etermine the specified amount.</w:t>
      </w:r>
    </w:p>
    <w:p w14:paraId="02F693CE" w14:textId="77777777" w:rsidR="00DD6E24" w:rsidRPr="001569FB" w:rsidRDefault="000F3533" w:rsidP="002707EC">
      <w:pPr>
        <w:spacing w:before="200" w:after="200"/>
        <w:rPr>
          <w:szCs w:val="24"/>
        </w:rPr>
      </w:pPr>
      <w:r w:rsidRPr="001569FB">
        <w:rPr>
          <w:szCs w:val="24"/>
        </w:rPr>
        <w:lastRenderedPageBreak/>
        <w:t xml:space="preserve">Table II-2 shows the QBP percentage for each Star Rating for </w:t>
      </w:r>
      <w:r w:rsidR="004F3AA0" w:rsidRPr="001569FB">
        <w:rPr>
          <w:szCs w:val="24"/>
        </w:rPr>
        <w:t xml:space="preserve">2019 </w:t>
      </w:r>
      <w:r w:rsidRPr="001569FB">
        <w:rPr>
          <w:szCs w:val="24"/>
        </w:rPr>
        <w:t>payments.</w:t>
      </w:r>
      <w:r w:rsidR="004619FA" w:rsidRPr="001569FB">
        <w:rPr>
          <w:szCs w:val="24"/>
        </w:rPr>
        <w:t xml:space="preserve">  </w:t>
      </w:r>
      <w:r w:rsidRPr="001569FB">
        <w:rPr>
          <w:szCs w:val="24"/>
        </w:rPr>
        <w:t xml:space="preserve">For CY </w:t>
      </w:r>
      <w:r w:rsidR="004F3AA0" w:rsidRPr="001569FB">
        <w:rPr>
          <w:szCs w:val="24"/>
        </w:rPr>
        <w:t xml:space="preserve">2019 </w:t>
      </w:r>
      <w:r w:rsidR="008325FD" w:rsidRPr="001569FB">
        <w:rPr>
          <w:szCs w:val="24"/>
        </w:rPr>
        <w:t xml:space="preserve">payments, </w:t>
      </w:r>
      <w:r w:rsidR="006239DF" w:rsidRPr="001569FB">
        <w:rPr>
          <w:szCs w:val="24"/>
        </w:rPr>
        <w:t xml:space="preserve">plans with </w:t>
      </w:r>
      <w:r w:rsidR="00A311F4" w:rsidRPr="001569FB">
        <w:rPr>
          <w:szCs w:val="24"/>
        </w:rPr>
        <w:t>fewer</w:t>
      </w:r>
      <w:r w:rsidR="006239DF" w:rsidRPr="001569FB">
        <w:rPr>
          <w:szCs w:val="24"/>
        </w:rPr>
        <w:t xml:space="preserve"> than </w:t>
      </w:r>
      <w:r w:rsidR="00473F70" w:rsidRPr="001569FB">
        <w:rPr>
          <w:szCs w:val="24"/>
        </w:rPr>
        <w:t>four</w:t>
      </w:r>
      <w:r w:rsidR="006239DF" w:rsidRPr="001569FB">
        <w:rPr>
          <w:szCs w:val="24"/>
        </w:rPr>
        <w:t xml:space="preserve"> stars will </w:t>
      </w:r>
      <w:r w:rsidR="00FD49DF" w:rsidRPr="001569FB">
        <w:rPr>
          <w:szCs w:val="24"/>
        </w:rPr>
        <w:t xml:space="preserve">not </w:t>
      </w:r>
      <w:r w:rsidR="006239DF" w:rsidRPr="001569FB">
        <w:rPr>
          <w:szCs w:val="24"/>
        </w:rPr>
        <w:t xml:space="preserve">receive </w:t>
      </w:r>
      <w:r w:rsidR="008C3D12" w:rsidRPr="001569FB">
        <w:rPr>
          <w:szCs w:val="24"/>
        </w:rPr>
        <w:t xml:space="preserve">a </w:t>
      </w:r>
      <w:r w:rsidR="006239DF" w:rsidRPr="001569FB">
        <w:rPr>
          <w:szCs w:val="24"/>
        </w:rPr>
        <w:t>QBP percentage</w:t>
      </w:r>
      <w:r w:rsidR="00320831" w:rsidRPr="001569FB">
        <w:rPr>
          <w:szCs w:val="24"/>
        </w:rPr>
        <w:t xml:space="preserve"> increase to the </w:t>
      </w:r>
      <w:r w:rsidR="006239DF" w:rsidRPr="001569FB">
        <w:rPr>
          <w:szCs w:val="24"/>
        </w:rPr>
        <w:t>county rates</w:t>
      </w:r>
      <w:r w:rsidR="00320831" w:rsidRPr="001569FB">
        <w:rPr>
          <w:szCs w:val="24"/>
        </w:rPr>
        <w:t xml:space="preserve">, and plans with </w:t>
      </w:r>
      <w:r w:rsidR="00EF7011" w:rsidRPr="001569FB">
        <w:rPr>
          <w:szCs w:val="24"/>
        </w:rPr>
        <w:t>four</w:t>
      </w:r>
      <w:r w:rsidR="00320831" w:rsidRPr="001569FB">
        <w:rPr>
          <w:szCs w:val="24"/>
        </w:rPr>
        <w:t xml:space="preserve"> or more stars will receive </w:t>
      </w:r>
      <w:r w:rsidR="008C3D12" w:rsidRPr="001569FB">
        <w:rPr>
          <w:szCs w:val="24"/>
        </w:rPr>
        <w:t xml:space="preserve">a </w:t>
      </w:r>
      <w:r w:rsidR="00320831" w:rsidRPr="001569FB">
        <w:rPr>
          <w:szCs w:val="24"/>
        </w:rPr>
        <w:t>QBP percentage increase to the county rates</w:t>
      </w:r>
      <w:r w:rsidR="006239DF" w:rsidRPr="001569FB">
        <w:rPr>
          <w:szCs w:val="24"/>
        </w:rPr>
        <w:t xml:space="preserve">, as set forth in </w:t>
      </w:r>
      <w:r w:rsidR="004C0B32" w:rsidRPr="001569FB">
        <w:rPr>
          <w:szCs w:val="24"/>
        </w:rPr>
        <w:t>s</w:t>
      </w:r>
      <w:r w:rsidR="006239DF" w:rsidRPr="001569FB">
        <w:rPr>
          <w:szCs w:val="24"/>
        </w:rPr>
        <w:t>ections 1853(n) and 1853(o) of the Act</w:t>
      </w:r>
      <w:r w:rsidR="00320831" w:rsidRPr="001569FB">
        <w:rPr>
          <w:szCs w:val="24"/>
        </w:rPr>
        <w:t>.</w:t>
      </w:r>
      <w:r w:rsidR="00A23B60" w:rsidRPr="001569FB">
        <w:rPr>
          <w:szCs w:val="24"/>
        </w:rPr>
        <w:t xml:space="preserve">  </w:t>
      </w:r>
      <w:r w:rsidR="008C3D12" w:rsidRPr="001569FB">
        <w:rPr>
          <w:szCs w:val="24"/>
        </w:rPr>
        <w:t>S</w:t>
      </w:r>
      <w:r w:rsidR="00387A0F" w:rsidRPr="001569FB">
        <w:rPr>
          <w:szCs w:val="24"/>
        </w:rPr>
        <w:t xml:space="preserve">ee </w:t>
      </w:r>
      <w:r w:rsidR="007E1008" w:rsidRPr="001569FB">
        <w:rPr>
          <w:szCs w:val="24"/>
        </w:rPr>
        <w:t>S</w:t>
      </w:r>
      <w:r w:rsidR="00387A0F" w:rsidRPr="001569FB">
        <w:rPr>
          <w:szCs w:val="24"/>
        </w:rPr>
        <w:t xml:space="preserve">ection </w:t>
      </w:r>
      <w:r w:rsidR="00F858F1" w:rsidRPr="001569FB">
        <w:rPr>
          <w:szCs w:val="24"/>
        </w:rPr>
        <w:t xml:space="preserve">A6 </w:t>
      </w:r>
      <w:r w:rsidR="00A16554" w:rsidRPr="001569FB">
        <w:rPr>
          <w:szCs w:val="24"/>
        </w:rPr>
        <w:t>for</w:t>
      </w:r>
      <w:r w:rsidR="00387A0F" w:rsidRPr="001569FB">
        <w:rPr>
          <w:szCs w:val="24"/>
        </w:rPr>
        <w:t xml:space="preserve"> rebate percentages</w:t>
      </w:r>
      <w:r w:rsidR="00BB1206" w:rsidRPr="001569FB">
        <w:rPr>
          <w:szCs w:val="24"/>
        </w:rPr>
        <w:t xml:space="preserve"> for CY 201</w:t>
      </w:r>
      <w:r w:rsidR="00912039" w:rsidRPr="001569FB">
        <w:rPr>
          <w:szCs w:val="24"/>
        </w:rPr>
        <w:t>9</w:t>
      </w:r>
      <w:r w:rsidR="00387A0F" w:rsidRPr="001569FB">
        <w:rPr>
          <w:szCs w:val="24"/>
        </w:rPr>
        <w:t>.</w:t>
      </w:r>
    </w:p>
    <w:p w14:paraId="4890F929" w14:textId="77777777" w:rsidR="008325FD" w:rsidRPr="001569FB" w:rsidRDefault="008325FD" w:rsidP="008C291C">
      <w:pPr>
        <w:pStyle w:val="TableTitle0"/>
        <w:rPr>
          <w:szCs w:val="24"/>
        </w:rPr>
      </w:pPr>
      <w:r w:rsidRPr="001569FB">
        <w:rPr>
          <w:szCs w:val="24"/>
        </w:rPr>
        <w:t>Table II-2 Percentage Add-on to Applicable Percentage</w:t>
      </w:r>
      <w:r w:rsidR="00BE57DA" w:rsidRPr="001569FB">
        <w:rPr>
          <w:szCs w:val="24"/>
        </w:rPr>
        <w:t xml:space="preserve"> </w:t>
      </w:r>
      <w:r w:rsidR="00BB3819" w:rsidRPr="001569FB">
        <w:rPr>
          <w:szCs w:val="24"/>
        </w:rPr>
        <w:br/>
      </w:r>
      <w:r w:rsidRPr="001569FB">
        <w:rPr>
          <w:szCs w:val="24"/>
        </w:rPr>
        <w:t>for Quality Bonus Payments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08"/>
        <w:gridCol w:w="2520"/>
      </w:tblGrid>
      <w:tr w:rsidR="008325FD" w:rsidRPr="001569FB" w14:paraId="3D927234" w14:textId="77777777" w:rsidTr="009F12EC">
        <w:trPr>
          <w:cantSplit/>
          <w:trHeight w:val="316"/>
          <w:tblHeader/>
          <w:jc w:val="center"/>
        </w:trPr>
        <w:tc>
          <w:tcPr>
            <w:tcW w:w="1908" w:type="dxa"/>
            <w:shd w:val="clear" w:color="auto" w:fill="DDD9C3" w:themeFill="background2" w:themeFillShade="E6"/>
          </w:tcPr>
          <w:p w14:paraId="7CB383FE" w14:textId="77777777" w:rsidR="008325FD" w:rsidRPr="001569FB" w:rsidRDefault="008325FD" w:rsidP="009F12EC">
            <w:pPr>
              <w:keepNext/>
              <w:keepLines/>
              <w:autoSpaceDE w:val="0"/>
              <w:autoSpaceDN w:val="0"/>
              <w:adjustRightInd w:val="0"/>
              <w:spacing w:before="40" w:after="40" w:line="240" w:lineRule="auto"/>
              <w:jc w:val="center"/>
              <w:rPr>
                <w:b/>
                <w:szCs w:val="24"/>
              </w:rPr>
            </w:pPr>
            <w:r w:rsidRPr="001569FB">
              <w:rPr>
                <w:b/>
                <w:szCs w:val="24"/>
              </w:rPr>
              <w:t>Star Rating</w:t>
            </w:r>
          </w:p>
        </w:tc>
        <w:tc>
          <w:tcPr>
            <w:tcW w:w="2520" w:type="dxa"/>
            <w:shd w:val="clear" w:color="auto" w:fill="DDD9C3" w:themeFill="background2" w:themeFillShade="E6"/>
          </w:tcPr>
          <w:p w14:paraId="0DDB9FE9" w14:textId="77777777" w:rsidR="008325FD" w:rsidRPr="001569FB" w:rsidRDefault="008325FD" w:rsidP="00912039">
            <w:pPr>
              <w:keepNext/>
              <w:keepLines/>
              <w:autoSpaceDE w:val="0"/>
              <w:autoSpaceDN w:val="0"/>
              <w:adjustRightInd w:val="0"/>
              <w:spacing w:before="40" w:after="40" w:line="240" w:lineRule="auto"/>
              <w:jc w:val="center"/>
              <w:rPr>
                <w:b/>
                <w:szCs w:val="24"/>
              </w:rPr>
            </w:pPr>
            <w:r w:rsidRPr="001569FB">
              <w:rPr>
                <w:b/>
                <w:szCs w:val="24"/>
              </w:rPr>
              <w:t>201</w:t>
            </w:r>
            <w:r w:rsidR="00912039" w:rsidRPr="001569FB">
              <w:rPr>
                <w:b/>
                <w:szCs w:val="24"/>
              </w:rPr>
              <w:t>9</w:t>
            </w:r>
            <w:r w:rsidRPr="001569FB">
              <w:rPr>
                <w:b/>
                <w:szCs w:val="24"/>
              </w:rPr>
              <w:t xml:space="preserve"> QBP Percentage</w:t>
            </w:r>
            <w:r w:rsidR="008D77D6" w:rsidRPr="001569FB">
              <w:rPr>
                <w:b/>
                <w:szCs w:val="24"/>
              </w:rPr>
              <w:t xml:space="preserve"> </w:t>
            </w:r>
          </w:p>
        </w:tc>
      </w:tr>
      <w:tr w:rsidR="008325FD" w:rsidRPr="001569FB" w14:paraId="566DC76F" w14:textId="77777777" w:rsidTr="00007820">
        <w:trPr>
          <w:cantSplit/>
          <w:trHeight w:val="251"/>
          <w:jc w:val="center"/>
        </w:trPr>
        <w:tc>
          <w:tcPr>
            <w:tcW w:w="1908" w:type="dxa"/>
          </w:tcPr>
          <w:p w14:paraId="36341673" w14:textId="77777777" w:rsidR="008325FD" w:rsidRPr="001569FB" w:rsidRDefault="00B43BCC" w:rsidP="00BC3C22">
            <w:pPr>
              <w:keepNext/>
              <w:keepLines/>
              <w:rPr>
                <w:szCs w:val="24"/>
              </w:rPr>
            </w:pPr>
            <w:r w:rsidRPr="001569FB">
              <w:rPr>
                <w:szCs w:val="24"/>
              </w:rPr>
              <w:t>Fewer</w:t>
            </w:r>
            <w:r w:rsidR="008325FD" w:rsidRPr="001569FB">
              <w:rPr>
                <w:szCs w:val="24"/>
              </w:rPr>
              <w:t xml:space="preserve"> than </w:t>
            </w:r>
            <w:r w:rsidR="00BC3C22" w:rsidRPr="001569FB">
              <w:rPr>
                <w:szCs w:val="24"/>
              </w:rPr>
              <w:t xml:space="preserve">4 </w:t>
            </w:r>
            <w:r w:rsidR="008325FD" w:rsidRPr="001569FB">
              <w:rPr>
                <w:szCs w:val="24"/>
              </w:rPr>
              <w:t xml:space="preserve">stars </w:t>
            </w:r>
          </w:p>
        </w:tc>
        <w:tc>
          <w:tcPr>
            <w:tcW w:w="2520" w:type="dxa"/>
            <w:vAlign w:val="center"/>
          </w:tcPr>
          <w:p w14:paraId="074E004A"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0%</w:t>
            </w:r>
          </w:p>
        </w:tc>
      </w:tr>
      <w:tr w:rsidR="008325FD" w:rsidRPr="001569FB" w14:paraId="659DD77D" w14:textId="77777777" w:rsidTr="00007820">
        <w:trPr>
          <w:cantSplit/>
          <w:trHeight w:val="157"/>
          <w:jc w:val="center"/>
        </w:trPr>
        <w:tc>
          <w:tcPr>
            <w:tcW w:w="1908" w:type="dxa"/>
          </w:tcPr>
          <w:p w14:paraId="4C88E223" w14:textId="77777777" w:rsidR="008325FD" w:rsidRPr="001569FB" w:rsidRDefault="008325FD" w:rsidP="009F12EC">
            <w:pPr>
              <w:keepNext/>
              <w:keepLines/>
              <w:rPr>
                <w:szCs w:val="24"/>
              </w:rPr>
            </w:pPr>
            <w:r w:rsidRPr="001569FB">
              <w:rPr>
                <w:szCs w:val="24"/>
              </w:rPr>
              <w:t xml:space="preserve">4 stars </w:t>
            </w:r>
          </w:p>
        </w:tc>
        <w:tc>
          <w:tcPr>
            <w:tcW w:w="2520" w:type="dxa"/>
            <w:vAlign w:val="center"/>
          </w:tcPr>
          <w:p w14:paraId="3A58395F"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02994549" w14:textId="77777777" w:rsidTr="00007820">
        <w:trPr>
          <w:cantSplit/>
          <w:trHeight w:val="157"/>
          <w:jc w:val="center"/>
        </w:trPr>
        <w:tc>
          <w:tcPr>
            <w:tcW w:w="1908" w:type="dxa"/>
          </w:tcPr>
          <w:p w14:paraId="7360B86A" w14:textId="77777777" w:rsidR="008325FD" w:rsidRPr="001569FB" w:rsidRDefault="008325FD" w:rsidP="009F12EC">
            <w:pPr>
              <w:keepNext/>
              <w:keepLines/>
              <w:rPr>
                <w:szCs w:val="24"/>
              </w:rPr>
            </w:pPr>
            <w:r w:rsidRPr="001569FB">
              <w:rPr>
                <w:szCs w:val="24"/>
              </w:rPr>
              <w:t xml:space="preserve">4.5 stars </w:t>
            </w:r>
          </w:p>
        </w:tc>
        <w:tc>
          <w:tcPr>
            <w:tcW w:w="2520" w:type="dxa"/>
            <w:vAlign w:val="center"/>
          </w:tcPr>
          <w:p w14:paraId="608FAAD3"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11A50444" w14:textId="77777777" w:rsidTr="00007820">
        <w:trPr>
          <w:cantSplit/>
          <w:trHeight w:val="157"/>
          <w:jc w:val="center"/>
        </w:trPr>
        <w:tc>
          <w:tcPr>
            <w:tcW w:w="1908" w:type="dxa"/>
          </w:tcPr>
          <w:p w14:paraId="4D03B2D2" w14:textId="77777777" w:rsidR="008325FD" w:rsidRPr="001569FB" w:rsidRDefault="008325FD" w:rsidP="00A841B3">
            <w:pPr>
              <w:keepLines/>
              <w:autoSpaceDE w:val="0"/>
              <w:autoSpaceDN w:val="0"/>
              <w:adjustRightInd w:val="0"/>
              <w:spacing w:before="40" w:after="40" w:line="240" w:lineRule="auto"/>
              <w:rPr>
                <w:szCs w:val="24"/>
              </w:rPr>
            </w:pPr>
            <w:r w:rsidRPr="001569FB">
              <w:rPr>
                <w:szCs w:val="24"/>
              </w:rPr>
              <w:t xml:space="preserve">5 stars </w:t>
            </w:r>
          </w:p>
        </w:tc>
        <w:tc>
          <w:tcPr>
            <w:tcW w:w="2520" w:type="dxa"/>
            <w:vAlign w:val="center"/>
          </w:tcPr>
          <w:p w14:paraId="21F01010" w14:textId="77777777" w:rsidR="008325FD" w:rsidRPr="001569FB" w:rsidRDefault="00C56ED8" w:rsidP="00A841B3">
            <w:pPr>
              <w:keepLines/>
              <w:tabs>
                <w:tab w:val="decimal" w:pos="1122"/>
              </w:tabs>
              <w:autoSpaceDE w:val="0"/>
              <w:autoSpaceDN w:val="0"/>
              <w:adjustRightInd w:val="0"/>
              <w:spacing w:before="40" w:after="40" w:line="240" w:lineRule="auto"/>
              <w:rPr>
                <w:szCs w:val="24"/>
              </w:rPr>
            </w:pPr>
            <w:r w:rsidRPr="001569FB">
              <w:rPr>
                <w:szCs w:val="24"/>
              </w:rPr>
              <w:t>5%</w:t>
            </w:r>
          </w:p>
        </w:tc>
      </w:tr>
    </w:tbl>
    <w:p w14:paraId="02A15F00" w14:textId="77777777" w:rsidR="008E02EF" w:rsidRPr="001569FB" w:rsidRDefault="008325FD" w:rsidP="002707EC">
      <w:pPr>
        <w:spacing w:before="200" w:after="200"/>
        <w:rPr>
          <w:szCs w:val="24"/>
        </w:rPr>
      </w:pPr>
      <w:r w:rsidRPr="001569FB">
        <w:rPr>
          <w:szCs w:val="24"/>
        </w:rPr>
        <w:t>A</w:t>
      </w:r>
      <w:r w:rsidR="00AF70C5" w:rsidRPr="001569FB">
        <w:rPr>
          <w:szCs w:val="24"/>
        </w:rPr>
        <w:t>n</w:t>
      </w:r>
      <w:r w:rsidRPr="001569FB">
        <w:rPr>
          <w:szCs w:val="24"/>
        </w:rPr>
        <w:t xml:space="preserve"> MA plan’s </w:t>
      </w:r>
      <w:r w:rsidR="007B0843" w:rsidRPr="001569FB">
        <w:rPr>
          <w:szCs w:val="24"/>
        </w:rPr>
        <w:t>Star Rating</w:t>
      </w:r>
      <w:r w:rsidRPr="001569FB">
        <w:rPr>
          <w:szCs w:val="24"/>
        </w:rPr>
        <w:t xml:space="preserve"> is the rating assigned to its contract</w:t>
      </w:r>
      <w:r w:rsidR="00E84123" w:rsidRPr="001569FB">
        <w:rPr>
          <w:szCs w:val="24"/>
        </w:rPr>
        <w:t>; the contract rating is applied to each plan under that contract</w:t>
      </w:r>
      <w:r w:rsidRPr="001569FB">
        <w:rPr>
          <w:szCs w:val="24"/>
        </w:rPr>
        <w:t xml:space="preserve">.  MA plans with a </w:t>
      </w:r>
      <w:r w:rsidR="007B0843" w:rsidRPr="001569FB">
        <w:rPr>
          <w:szCs w:val="24"/>
        </w:rPr>
        <w:t>Star Rating</w:t>
      </w:r>
      <w:r w:rsidRPr="001569FB">
        <w:rPr>
          <w:szCs w:val="24"/>
        </w:rPr>
        <w:t xml:space="preserve"> of </w:t>
      </w:r>
      <w:r w:rsidR="00473F70" w:rsidRPr="001569FB">
        <w:rPr>
          <w:szCs w:val="24"/>
        </w:rPr>
        <w:t>four</w:t>
      </w:r>
      <w:r w:rsidRPr="001569FB">
        <w:rPr>
          <w:szCs w:val="24"/>
        </w:rPr>
        <w:t xml:space="preserve"> or more stars will bid against their service area benchmarks that include the </w:t>
      </w:r>
      <w:r w:rsidR="00473F70" w:rsidRPr="001569FB">
        <w:rPr>
          <w:szCs w:val="24"/>
        </w:rPr>
        <w:t>5-percentage</w:t>
      </w:r>
      <w:r w:rsidRPr="001569FB">
        <w:rPr>
          <w:szCs w:val="24"/>
        </w:rPr>
        <w:t xml:space="preserve"> point </w:t>
      </w:r>
      <w:r w:rsidR="00EC0FD1" w:rsidRPr="001569FB">
        <w:rPr>
          <w:szCs w:val="24"/>
        </w:rPr>
        <w:t xml:space="preserve">QBP </w:t>
      </w:r>
      <w:r w:rsidRPr="001569FB">
        <w:rPr>
          <w:szCs w:val="24"/>
        </w:rPr>
        <w:t xml:space="preserve">add-on to </w:t>
      </w:r>
      <w:r w:rsidR="007854B3" w:rsidRPr="001569FB">
        <w:rPr>
          <w:szCs w:val="24"/>
        </w:rPr>
        <w:t xml:space="preserve">the applicable percentage for the </w:t>
      </w:r>
      <w:r w:rsidR="006A333E" w:rsidRPr="001569FB">
        <w:rPr>
          <w:szCs w:val="24"/>
        </w:rPr>
        <w:t>benchmark</w:t>
      </w:r>
      <w:r w:rsidR="007854B3" w:rsidRPr="001569FB">
        <w:rPr>
          <w:szCs w:val="24"/>
        </w:rPr>
        <w:t xml:space="preserve"> in </w:t>
      </w:r>
      <w:r w:rsidRPr="001569FB">
        <w:rPr>
          <w:szCs w:val="24"/>
        </w:rPr>
        <w:t xml:space="preserve">each county in the service area.  </w:t>
      </w:r>
      <w:r w:rsidR="002A2692" w:rsidRPr="001569FB">
        <w:rPr>
          <w:szCs w:val="24"/>
        </w:rPr>
        <w:t xml:space="preserve">For </w:t>
      </w:r>
      <w:r w:rsidR="00EF33E6" w:rsidRPr="001569FB">
        <w:rPr>
          <w:szCs w:val="24"/>
        </w:rPr>
        <w:t>2019</w:t>
      </w:r>
      <w:r w:rsidR="002A2692" w:rsidRPr="001569FB">
        <w:rPr>
          <w:szCs w:val="24"/>
        </w:rPr>
        <w:t xml:space="preserve">, </w:t>
      </w:r>
      <w:r w:rsidRPr="001569FB">
        <w:rPr>
          <w:szCs w:val="24"/>
        </w:rPr>
        <w:t xml:space="preserve">MA plans with a </w:t>
      </w:r>
      <w:r w:rsidR="007B0843" w:rsidRPr="001569FB">
        <w:rPr>
          <w:szCs w:val="24"/>
        </w:rPr>
        <w:t>Star Rating</w:t>
      </w:r>
      <w:r w:rsidRPr="001569FB">
        <w:rPr>
          <w:szCs w:val="24"/>
        </w:rPr>
        <w:t xml:space="preserve"> </w:t>
      </w:r>
      <w:r w:rsidR="007E1008" w:rsidRPr="001569FB">
        <w:rPr>
          <w:szCs w:val="24"/>
        </w:rPr>
        <w:t xml:space="preserve">of </w:t>
      </w:r>
      <w:r w:rsidR="00A311F4" w:rsidRPr="001569FB">
        <w:rPr>
          <w:szCs w:val="24"/>
        </w:rPr>
        <w:t>fewer</w:t>
      </w:r>
      <w:r w:rsidRPr="001569FB">
        <w:rPr>
          <w:szCs w:val="24"/>
        </w:rPr>
        <w:t xml:space="preserve"> than </w:t>
      </w:r>
      <w:r w:rsidR="00473F70" w:rsidRPr="001569FB">
        <w:rPr>
          <w:szCs w:val="24"/>
        </w:rPr>
        <w:t>four</w:t>
      </w:r>
      <w:r w:rsidRPr="001569FB">
        <w:rPr>
          <w:szCs w:val="24"/>
        </w:rPr>
        <w:t xml:space="preserve"> stars will bid against service area benchmarks that do not include QBP </w:t>
      </w:r>
      <w:r w:rsidR="00EC0FD1" w:rsidRPr="001569FB">
        <w:rPr>
          <w:szCs w:val="24"/>
        </w:rPr>
        <w:t>add-ons to the county rates</w:t>
      </w:r>
      <w:r w:rsidRPr="001569FB">
        <w:rPr>
          <w:szCs w:val="24"/>
        </w:rPr>
        <w:t xml:space="preserve">, with </w:t>
      </w:r>
      <w:r w:rsidR="00F77389" w:rsidRPr="001569FB">
        <w:rPr>
          <w:szCs w:val="24"/>
        </w:rPr>
        <w:t xml:space="preserve">the exceptions </w:t>
      </w:r>
      <w:r w:rsidR="009F3D72" w:rsidRPr="001569FB">
        <w:rPr>
          <w:szCs w:val="24"/>
        </w:rPr>
        <w:t xml:space="preserve">of new MA plans and low enrollment plans.  </w:t>
      </w:r>
      <w:r w:rsidR="008E02EF" w:rsidRPr="001569FB">
        <w:rPr>
          <w:szCs w:val="24"/>
        </w:rPr>
        <w:t xml:space="preserve">As discussed below, all </w:t>
      </w:r>
      <w:r w:rsidR="007854B3" w:rsidRPr="001569FB">
        <w:rPr>
          <w:szCs w:val="24"/>
        </w:rPr>
        <w:t>benchmarks</w:t>
      </w:r>
      <w:r w:rsidR="008E02EF" w:rsidRPr="001569FB">
        <w:rPr>
          <w:szCs w:val="24"/>
        </w:rPr>
        <w:t xml:space="preserve"> </w:t>
      </w:r>
      <w:r w:rsidR="007839AE" w:rsidRPr="001569FB">
        <w:rPr>
          <w:szCs w:val="24"/>
        </w:rPr>
        <w:t xml:space="preserve">(determined after application of the QBP percentage) </w:t>
      </w:r>
      <w:r w:rsidR="008E02EF" w:rsidRPr="001569FB">
        <w:rPr>
          <w:szCs w:val="24"/>
        </w:rPr>
        <w:t xml:space="preserve">are capped at the </w:t>
      </w:r>
      <w:r w:rsidR="007E1008"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 xml:space="preserve">amount per </w:t>
      </w:r>
      <w:r w:rsidR="007E1008" w:rsidRPr="001569FB">
        <w:rPr>
          <w:szCs w:val="24"/>
        </w:rPr>
        <w:t>s</w:t>
      </w:r>
      <w:r w:rsidR="008E02EF" w:rsidRPr="001569FB">
        <w:rPr>
          <w:szCs w:val="24"/>
        </w:rPr>
        <w:t xml:space="preserve">ection 1853(n)(4) of the Act. </w:t>
      </w:r>
    </w:p>
    <w:p w14:paraId="03C6429E" w14:textId="71AB8C92" w:rsidR="00EF1741" w:rsidRPr="001569FB" w:rsidRDefault="009B4AB9" w:rsidP="008A1B99">
      <w:pPr>
        <w:pStyle w:val="Heading4"/>
      </w:pPr>
      <w:r w:rsidRPr="001569FB">
        <w:t>New MA Plans</w:t>
      </w:r>
    </w:p>
    <w:p w14:paraId="67F6630B" w14:textId="77777777" w:rsidR="008E02EF" w:rsidRPr="001569FB" w:rsidRDefault="00E84123" w:rsidP="002707EC">
      <w:pPr>
        <w:spacing w:before="200" w:after="200"/>
        <w:rPr>
          <w:szCs w:val="24"/>
        </w:rPr>
      </w:pPr>
      <w:r w:rsidRPr="001569FB">
        <w:rPr>
          <w:szCs w:val="24"/>
        </w:rPr>
        <w:t xml:space="preserve">New MA plans are treated as qualifying plans that are eligible to receive a QBP percentage increase to the county rates, except that the QBP percentage will be 3.5 percentage points, per section 1853(o)(3)(A)(iii)(I)(cc) of the Act.  </w:t>
      </w:r>
      <w:r w:rsidR="009E2B9F" w:rsidRPr="001569FB">
        <w:rPr>
          <w:szCs w:val="24"/>
        </w:rPr>
        <w:t>That is, new MA plan</w:t>
      </w:r>
      <w:r w:rsidR="00F52D69" w:rsidRPr="001569FB">
        <w:rPr>
          <w:szCs w:val="24"/>
        </w:rPr>
        <w:t>s</w:t>
      </w:r>
      <w:r w:rsidR="009E2B9F" w:rsidRPr="001569FB">
        <w:rPr>
          <w:szCs w:val="24"/>
        </w:rPr>
        <w:t xml:space="preserve"> will bid against a service area benchmark that reflects a 3.5 percentage point increase to </w:t>
      </w:r>
      <w:r w:rsidR="007854B3" w:rsidRPr="001569FB">
        <w:rPr>
          <w:szCs w:val="24"/>
        </w:rPr>
        <w:t xml:space="preserve">the applicable percentage used to set the benchmark for </w:t>
      </w:r>
      <w:r w:rsidR="009E2B9F" w:rsidRPr="001569FB">
        <w:rPr>
          <w:szCs w:val="24"/>
        </w:rPr>
        <w:t xml:space="preserve">each county in the plan’s service area.  </w:t>
      </w:r>
      <w:r w:rsidRPr="001569FB">
        <w:rPr>
          <w:szCs w:val="24"/>
        </w:rPr>
        <w:t xml:space="preserve">Per section 1853(o)(3)(A)(iii)(II) of the Act, for the purpose of determining a QBP percentage, the term “new MA plan” refers to an MA plan offered by a parent organization that has not had another MA contract in the preceding three-year period.  </w:t>
      </w:r>
      <w:r w:rsidR="008E02EF" w:rsidRPr="001569FB">
        <w:rPr>
          <w:szCs w:val="24"/>
        </w:rPr>
        <w:t xml:space="preserve">As discussed below, all rates are capped at the </w:t>
      </w:r>
      <w:r w:rsidR="00F52D69"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amount</w:t>
      </w:r>
      <w:r w:rsidR="007839AE" w:rsidRPr="001569FB">
        <w:rPr>
          <w:szCs w:val="24"/>
        </w:rPr>
        <w:t xml:space="preserve"> (determined after application of the QBP percentage)</w:t>
      </w:r>
      <w:r w:rsidR="008E02EF" w:rsidRPr="001569FB">
        <w:rPr>
          <w:szCs w:val="24"/>
        </w:rPr>
        <w:t xml:space="preserve"> –</w:t>
      </w:r>
      <w:r w:rsidR="00E23887" w:rsidRPr="001569FB">
        <w:rPr>
          <w:szCs w:val="24"/>
        </w:rPr>
        <w:t xml:space="preserve"> </w:t>
      </w:r>
      <w:r w:rsidR="008E02EF" w:rsidRPr="001569FB">
        <w:rPr>
          <w:szCs w:val="24"/>
        </w:rPr>
        <w:t xml:space="preserve">per </w:t>
      </w:r>
      <w:r w:rsidR="00F52D69" w:rsidRPr="001569FB">
        <w:rPr>
          <w:szCs w:val="24"/>
        </w:rPr>
        <w:t>s</w:t>
      </w:r>
      <w:r w:rsidR="008E02EF" w:rsidRPr="001569FB">
        <w:rPr>
          <w:szCs w:val="24"/>
        </w:rPr>
        <w:t xml:space="preserve">ection 1853(n)(4) of the Act. </w:t>
      </w:r>
    </w:p>
    <w:p w14:paraId="72427DF1" w14:textId="77777777" w:rsidR="007216C0" w:rsidRPr="001569FB" w:rsidRDefault="00E84123" w:rsidP="002707EC">
      <w:pPr>
        <w:spacing w:before="200" w:after="200"/>
        <w:rPr>
          <w:szCs w:val="24"/>
        </w:rPr>
      </w:pPr>
      <w:r w:rsidRPr="001569FB">
        <w:rPr>
          <w:szCs w:val="24"/>
        </w:rPr>
        <w:t xml:space="preserve">For 2019, CMS intends to continue the policy finalized in the 2012 Rate Announcement </w:t>
      </w:r>
      <w:r w:rsidR="00AB7358" w:rsidRPr="001569FB">
        <w:rPr>
          <w:szCs w:val="24"/>
        </w:rPr>
        <w:t>(</w:t>
      </w:r>
      <w:hyperlink r:id="rId13" w:tooltip="Hyperlink to access the 2012 Rate Announcement" w:history="1">
        <w:r w:rsidR="00AB7358" w:rsidRPr="001569FB">
          <w:rPr>
            <w:rStyle w:val="Hyperlink"/>
            <w:szCs w:val="24"/>
          </w:rPr>
          <w:t>https://www.cms.gov/Medicare/Health-Plans/​MedicareAdvtgSpecRateStats/​Announcements-and-Documents.html</w:t>
        </w:r>
      </w:hyperlink>
      <w:r w:rsidRPr="001569FB">
        <w:rPr>
          <w:rStyle w:val="Hyperlink"/>
          <w:color w:val="auto"/>
          <w:szCs w:val="24"/>
          <w:u w:val="none"/>
        </w:rPr>
        <w:t>)</w:t>
      </w:r>
      <w:r w:rsidRPr="001569FB">
        <w:rPr>
          <w:rStyle w:val="Hyperlink"/>
          <w:szCs w:val="24"/>
          <w:u w:val="none"/>
        </w:rPr>
        <w:t xml:space="preserve"> </w:t>
      </w:r>
      <w:r w:rsidR="0036693C" w:rsidRPr="001569FB">
        <w:rPr>
          <w:szCs w:val="24"/>
        </w:rPr>
        <w:t xml:space="preserve">that for </w:t>
      </w:r>
      <w:r w:rsidR="009F3D72" w:rsidRPr="001569FB">
        <w:rPr>
          <w:szCs w:val="24"/>
        </w:rPr>
        <w:t xml:space="preserve">a parent organization </w:t>
      </w:r>
      <w:r w:rsidR="0036693C" w:rsidRPr="001569FB">
        <w:rPr>
          <w:szCs w:val="24"/>
        </w:rPr>
        <w:t xml:space="preserve">that has had a </w:t>
      </w:r>
      <w:r w:rsidR="009F3D72" w:rsidRPr="001569FB">
        <w:rPr>
          <w:szCs w:val="24"/>
        </w:rPr>
        <w:t xml:space="preserve">contract with CMS </w:t>
      </w:r>
      <w:r w:rsidR="0036693C" w:rsidRPr="001569FB">
        <w:rPr>
          <w:szCs w:val="24"/>
        </w:rPr>
        <w:t xml:space="preserve">in the </w:t>
      </w:r>
      <w:r w:rsidR="00092FE1" w:rsidRPr="001569FB">
        <w:rPr>
          <w:szCs w:val="24"/>
        </w:rPr>
        <w:t>preceding</w:t>
      </w:r>
      <w:r w:rsidR="0036693C" w:rsidRPr="001569FB">
        <w:rPr>
          <w:szCs w:val="24"/>
        </w:rPr>
        <w:t xml:space="preserve"> three</w:t>
      </w:r>
      <w:r w:rsidR="00092FE1" w:rsidRPr="001569FB">
        <w:rPr>
          <w:szCs w:val="24"/>
        </w:rPr>
        <w:t>-</w:t>
      </w:r>
      <w:r w:rsidR="0036693C" w:rsidRPr="001569FB">
        <w:rPr>
          <w:szCs w:val="24"/>
        </w:rPr>
        <w:t>year</w:t>
      </w:r>
      <w:r w:rsidR="00092FE1" w:rsidRPr="001569FB">
        <w:rPr>
          <w:szCs w:val="24"/>
        </w:rPr>
        <w:t>-period</w:t>
      </w:r>
      <w:r w:rsidR="0036693C" w:rsidRPr="001569FB">
        <w:rPr>
          <w:szCs w:val="24"/>
        </w:rPr>
        <w:t>, any new MA contract under that parent organization will receive a</w:t>
      </w:r>
      <w:r w:rsidR="0096702A" w:rsidRPr="001569FB">
        <w:rPr>
          <w:szCs w:val="24"/>
        </w:rPr>
        <w:t>n enrollment-</w:t>
      </w:r>
      <w:r w:rsidR="0036693C" w:rsidRPr="001569FB">
        <w:rPr>
          <w:szCs w:val="24"/>
        </w:rPr>
        <w:t xml:space="preserve">weighted average of the </w:t>
      </w:r>
      <w:r w:rsidR="007B0843" w:rsidRPr="001569FB">
        <w:rPr>
          <w:szCs w:val="24"/>
        </w:rPr>
        <w:t>Star Rating</w:t>
      </w:r>
      <w:r w:rsidR="0036693C" w:rsidRPr="001569FB">
        <w:rPr>
          <w:szCs w:val="24"/>
        </w:rPr>
        <w:t>s earned by the parent organization</w:t>
      </w:r>
      <w:r w:rsidR="007910E4" w:rsidRPr="001569FB">
        <w:rPr>
          <w:szCs w:val="24"/>
        </w:rPr>
        <w:t>’</w:t>
      </w:r>
      <w:r w:rsidR="0036693C" w:rsidRPr="001569FB">
        <w:rPr>
          <w:szCs w:val="24"/>
        </w:rPr>
        <w:t xml:space="preserve">s existing </w:t>
      </w:r>
      <w:r w:rsidR="0036693C" w:rsidRPr="001569FB">
        <w:rPr>
          <w:szCs w:val="24"/>
        </w:rPr>
        <w:lastRenderedPageBreak/>
        <w:t xml:space="preserve">MA contracts.  </w:t>
      </w:r>
      <w:r w:rsidR="00767074" w:rsidRPr="001569FB">
        <w:rPr>
          <w:szCs w:val="24"/>
        </w:rPr>
        <w:t>Such plans may qualify for a QBP increase based on the enrollment-weighted average rating</w:t>
      </w:r>
      <w:r w:rsidR="007854B3" w:rsidRPr="001569FB">
        <w:rPr>
          <w:szCs w:val="24"/>
        </w:rPr>
        <w:t xml:space="preserve"> of the parent organization</w:t>
      </w:r>
      <w:r w:rsidR="002560C9" w:rsidRPr="001569FB">
        <w:rPr>
          <w:szCs w:val="24"/>
        </w:rPr>
        <w:t>.</w:t>
      </w:r>
      <w:r w:rsidR="0036693C" w:rsidRPr="001569FB">
        <w:rPr>
          <w:szCs w:val="24"/>
        </w:rPr>
        <w:t xml:space="preserve"> </w:t>
      </w:r>
    </w:p>
    <w:p w14:paraId="7BE6791D" w14:textId="77777777" w:rsidR="00EF1741" w:rsidRPr="001569FB" w:rsidRDefault="007216C0" w:rsidP="002707EC">
      <w:pPr>
        <w:autoSpaceDE w:val="0"/>
        <w:autoSpaceDN w:val="0"/>
        <w:adjustRightInd w:val="0"/>
        <w:spacing w:before="200" w:after="200"/>
        <w:rPr>
          <w:szCs w:val="24"/>
        </w:rPr>
      </w:pPr>
      <w:r w:rsidRPr="001569FB">
        <w:rPr>
          <w:szCs w:val="24"/>
        </w:rPr>
        <w:t xml:space="preserve">The Medicare Access and CHIP Reauthorization Act of 2015 (MACRA) </w:t>
      </w:r>
      <w:r w:rsidR="00103D6B" w:rsidRPr="001569FB">
        <w:rPr>
          <w:szCs w:val="24"/>
        </w:rPr>
        <w:t xml:space="preserve">(Pub. L. 114-10) </w:t>
      </w:r>
      <w:r w:rsidRPr="001569FB">
        <w:rPr>
          <w:szCs w:val="24"/>
        </w:rPr>
        <w:t xml:space="preserve">contained provisions to permit </w:t>
      </w:r>
      <w:r w:rsidR="00C43965" w:rsidRPr="001569FB">
        <w:rPr>
          <w:szCs w:val="24"/>
        </w:rPr>
        <w:t>reasonable</w:t>
      </w:r>
      <w:r w:rsidRPr="001569FB">
        <w:rPr>
          <w:szCs w:val="24"/>
        </w:rPr>
        <w:t xml:space="preserve"> cost reimbursement contracts to transition into MA plans </w:t>
      </w:r>
      <w:r w:rsidR="007839AE" w:rsidRPr="001569FB">
        <w:rPr>
          <w:szCs w:val="24"/>
        </w:rPr>
        <w:t>through</w:t>
      </w:r>
      <w:r w:rsidRPr="001569FB">
        <w:rPr>
          <w:szCs w:val="24"/>
        </w:rPr>
        <w:t xml:space="preserve"> CY 2019, and allowed Medicare Advantage Organizations (MAOs) to deem the enrollment of their cost enrollees into successor affiliated MA plans that meet specific conditions.  MACRA amended </w:t>
      </w:r>
      <w:r w:rsidR="00631EF2" w:rsidRPr="001569FB">
        <w:rPr>
          <w:szCs w:val="24"/>
        </w:rPr>
        <w:t>s</w:t>
      </w:r>
      <w:r w:rsidRPr="001569FB">
        <w:rPr>
          <w:szCs w:val="24"/>
        </w:rPr>
        <w:t xml:space="preserve">ection 1853(o)(4) of the Act such that, for </w:t>
      </w:r>
      <w:r w:rsidR="00691A88" w:rsidRPr="001569FB">
        <w:rPr>
          <w:szCs w:val="24"/>
        </w:rPr>
        <w:t xml:space="preserve">its </w:t>
      </w:r>
      <w:r w:rsidRPr="001569FB">
        <w:rPr>
          <w:szCs w:val="24"/>
        </w:rPr>
        <w:t xml:space="preserve">first three years </w:t>
      </w:r>
      <w:r w:rsidR="004163C0" w:rsidRPr="001569FB">
        <w:rPr>
          <w:szCs w:val="24"/>
        </w:rPr>
        <w:t>as</w:t>
      </w:r>
      <w:r w:rsidRPr="001569FB">
        <w:rPr>
          <w:szCs w:val="24"/>
        </w:rPr>
        <w:t xml:space="preserve"> a </w:t>
      </w:r>
      <w:r w:rsidR="004163C0" w:rsidRPr="001569FB">
        <w:rPr>
          <w:szCs w:val="24"/>
        </w:rPr>
        <w:t>converted MA plan receiving</w:t>
      </w:r>
      <w:r w:rsidRPr="001569FB">
        <w:rPr>
          <w:szCs w:val="24"/>
        </w:rPr>
        <w:t xml:space="preserve"> deemed enrollment, </w:t>
      </w:r>
      <w:bookmarkStart w:id="42" w:name="H44E86FEDD061419F8D46A4C5D6FFB78F"/>
      <w:bookmarkEnd w:id="42"/>
      <w:r w:rsidR="007854B3" w:rsidRPr="001569FB">
        <w:rPr>
          <w:szCs w:val="24"/>
        </w:rPr>
        <w:t>the</w:t>
      </w:r>
      <w:r w:rsidRPr="001569FB">
        <w:rPr>
          <w:szCs w:val="24"/>
        </w:rPr>
        <w:t xml:space="preserve"> </w:t>
      </w:r>
      <w:r w:rsidR="004163C0" w:rsidRPr="001569FB">
        <w:rPr>
          <w:szCs w:val="24"/>
        </w:rPr>
        <w:t xml:space="preserve">converted </w:t>
      </w:r>
      <w:r w:rsidRPr="001569FB">
        <w:rPr>
          <w:szCs w:val="24"/>
        </w:rPr>
        <w:t>plan shall not be treated as a new MA plan.</w:t>
      </w:r>
      <w:r w:rsidR="00EF1741" w:rsidRPr="001569FB">
        <w:rPr>
          <w:szCs w:val="24"/>
        </w:rPr>
        <w:t xml:space="preserve"> </w:t>
      </w:r>
    </w:p>
    <w:p w14:paraId="53C14365" w14:textId="77777777" w:rsidR="00812F23" w:rsidRPr="001569FB" w:rsidRDefault="009B4AB9" w:rsidP="008A1B99">
      <w:pPr>
        <w:pStyle w:val="Heading4"/>
      </w:pPr>
      <w:r w:rsidRPr="001569FB">
        <w:t>Low Enrollment Plans</w:t>
      </w:r>
    </w:p>
    <w:p w14:paraId="38436F41" w14:textId="77777777" w:rsidR="00CE35E8" w:rsidRPr="001569FB" w:rsidRDefault="00DA68E4" w:rsidP="002707EC">
      <w:pPr>
        <w:spacing w:before="200" w:after="200"/>
        <w:rPr>
          <w:szCs w:val="24"/>
        </w:rPr>
      </w:pPr>
      <w:r w:rsidRPr="001569FB">
        <w:rPr>
          <w:szCs w:val="24"/>
        </w:rPr>
        <w:t>Sec</w:t>
      </w:r>
      <w:r w:rsidR="00477E82" w:rsidRPr="001569FB">
        <w:rPr>
          <w:szCs w:val="24"/>
        </w:rPr>
        <w:t>tion</w:t>
      </w:r>
      <w:r w:rsidRPr="001569FB">
        <w:rPr>
          <w:szCs w:val="24"/>
        </w:rPr>
        <w:t xml:space="preserve"> 1853(o)(3)(A)(ii)(II) of the Act, as implemented at §</w:t>
      </w:r>
      <w:r w:rsidR="000D32E3" w:rsidRPr="001569FB">
        <w:rPr>
          <w:szCs w:val="24"/>
        </w:rPr>
        <w:t xml:space="preserve"> </w:t>
      </w:r>
      <w:r w:rsidRPr="001569FB">
        <w:rPr>
          <w:szCs w:val="24"/>
        </w:rPr>
        <w:t>422.258(d)(7)(iv)(B),</w:t>
      </w:r>
      <w:r w:rsidR="00477E82" w:rsidRPr="001569FB">
        <w:rPr>
          <w:rStyle w:val="FootnoteReference"/>
          <w:szCs w:val="24"/>
        </w:rPr>
        <w:footnoteReference w:id="1"/>
      </w:r>
      <w:r w:rsidRPr="001569FB">
        <w:rPr>
          <w:szCs w:val="24"/>
        </w:rPr>
        <w:t xml:space="preserve"> provides that for 2013 and subsequent years, CMS shall </w:t>
      </w:r>
      <w:r w:rsidR="00AC046D" w:rsidRPr="001569FB">
        <w:rPr>
          <w:szCs w:val="24"/>
        </w:rPr>
        <w:t xml:space="preserve">develop a method for determining whether an MA plan with low enrollment is a qualifying plan for purposes of receiving an increase in payment under section 1853(o).  We apply this determination at </w:t>
      </w:r>
      <w:r w:rsidR="00A9020C" w:rsidRPr="001569FB">
        <w:rPr>
          <w:szCs w:val="24"/>
        </w:rPr>
        <w:t>the</w:t>
      </w:r>
      <w:r w:rsidR="00AC046D" w:rsidRPr="001569FB">
        <w:rPr>
          <w:szCs w:val="24"/>
        </w:rPr>
        <w:t xml:space="preserve"> contract level, and thus determine whether a contract </w:t>
      </w:r>
      <w:r w:rsidR="000434A4" w:rsidRPr="001569FB">
        <w:rPr>
          <w:szCs w:val="24"/>
        </w:rPr>
        <w:t xml:space="preserve">(meaning all plans under that contract) </w:t>
      </w:r>
      <w:r w:rsidRPr="001569FB">
        <w:rPr>
          <w:szCs w:val="24"/>
        </w:rPr>
        <w:t>is a qualifying contract</w:t>
      </w:r>
      <w:r w:rsidR="00BF60A0" w:rsidRPr="001569FB">
        <w:rPr>
          <w:szCs w:val="24"/>
        </w:rPr>
        <w:t xml:space="preserve">.  </w:t>
      </w:r>
      <w:r w:rsidR="00416039" w:rsidRPr="001569FB">
        <w:rPr>
          <w:szCs w:val="24"/>
        </w:rPr>
        <w:t>Pursuant to § 422.252, a low enrollment contract is one that could not undertake Healthcare Effectiveness Data and Information Set (HEDIS) and Health Outcome Survey (HOS) data collections because of a lack of a sufficient number of enrollees to reliably measure the performance of the health plan.</w:t>
      </w:r>
      <w:r w:rsidR="00CE35E8" w:rsidRPr="001569FB">
        <w:rPr>
          <w:szCs w:val="24"/>
        </w:rPr>
        <w:t xml:space="preserve"> </w:t>
      </w:r>
    </w:p>
    <w:p w14:paraId="0E0FEA3B" w14:textId="2021EACB" w:rsidR="002B4A58" w:rsidRPr="001569FB" w:rsidRDefault="00A9020C" w:rsidP="002707EC">
      <w:pPr>
        <w:spacing w:before="200" w:after="200"/>
        <w:rPr>
          <w:szCs w:val="24"/>
        </w:rPr>
      </w:pPr>
      <w:r w:rsidRPr="001569FB">
        <w:rPr>
          <w:szCs w:val="24"/>
        </w:rPr>
        <w:t>S</w:t>
      </w:r>
      <w:r w:rsidR="00A35AB1" w:rsidRPr="001569FB">
        <w:rPr>
          <w:szCs w:val="24"/>
        </w:rPr>
        <w:t xml:space="preserve">ection 1853(o)(3)(A)(ii) </w:t>
      </w:r>
      <w:r w:rsidR="00E550F7" w:rsidRPr="001569FB">
        <w:rPr>
          <w:szCs w:val="24"/>
        </w:rPr>
        <w:t xml:space="preserve">of the Act </w:t>
      </w:r>
      <w:r w:rsidR="00A35AB1" w:rsidRPr="001569FB">
        <w:rPr>
          <w:szCs w:val="24"/>
        </w:rPr>
        <w:t xml:space="preserve">does not address the amount of </w:t>
      </w:r>
      <w:r w:rsidRPr="001569FB">
        <w:rPr>
          <w:szCs w:val="24"/>
        </w:rPr>
        <w:t>the</w:t>
      </w:r>
      <w:r w:rsidR="00A35AB1" w:rsidRPr="001569FB">
        <w:rPr>
          <w:szCs w:val="24"/>
        </w:rPr>
        <w:t xml:space="preserve"> increase</w:t>
      </w:r>
      <w:r w:rsidRPr="001569FB">
        <w:rPr>
          <w:szCs w:val="24"/>
        </w:rPr>
        <w:t xml:space="preserve"> for low enrollment contracts</w:t>
      </w:r>
      <w:r w:rsidR="00A35AB1" w:rsidRPr="001569FB">
        <w:rPr>
          <w:szCs w:val="24"/>
        </w:rPr>
        <w:t xml:space="preserve">.  </w:t>
      </w:r>
      <w:r w:rsidR="00E84123" w:rsidRPr="001569FB">
        <w:rPr>
          <w:szCs w:val="24"/>
        </w:rPr>
        <w:t>F</w:t>
      </w:r>
      <w:r w:rsidR="002B4A58" w:rsidRPr="001569FB">
        <w:rPr>
          <w:szCs w:val="24"/>
        </w:rPr>
        <w:t>or 201</w:t>
      </w:r>
      <w:r w:rsidR="00912039" w:rsidRPr="001569FB">
        <w:rPr>
          <w:szCs w:val="24"/>
        </w:rPr>
        <w:t>9</w:t>
      </w:r>
      <w:r w:rsidR="002B4A58" w:rsidRPr="001569FB">
        <w:rPr>
          <w:szCs w:val="24"/>
        </w:rPr>
        <w:t xml:space="preserve"> payments, we </w:t>
      </w:r>
      <w:r w:rsidR="00E84123" w:rsidRPr="001569FB">
        <w:rPr>
          <w:szCs w:val="24"/>
        </w:rPr>
        <w:t xml:space="preserve">intend to continue the current policy </w:t>
      </w:r>
      <w:r w:rsidR="00823EBE" w:rsidRPr="001569FB">
        <w:rPr>
          <w:szCs w:val="24"/>
        </w:rPr>
        <w:t xml:space="preserve">that </w:t>
      </w:r>
      <w:r w:rsidR="002B4A58" w:rsidRPr="001569FB">
        <w:rPr>
          <w:szCs w:val="24"/>
        </w:rPr>
        <w:t xml:space="preserve">low enrollment </w:t>
      </w:r>
      <w:r w:rsidR="0009658A" w:rsidRPr="001569FB">
        <w:rPr>
          <w:szCs w:val="24"/>
        </w:rPr>
        <w:t>contracts</w:t>
      </w:r>
      <w:r w:rsidR="002B4A58" w:rsidRPr="001569FB">
        <w:rPr>
          <w:szCs w:val="24"/>
        </w:rPr>
        <w:t xml:space="preserve"> </w:t>
      </w:r>
      <w:r w:rsidR="00823EBE" w:rsidRPr="001569FB">
        <w:rPr>
          <w:szCs w:val="24"/>
        </w:rPr>
        <w:t>be included as</w:t>
      </w:r>
      <w:r w:rsidR="00A35AB1" w:rsidRPr="001569FB">
        <w:rPr>
          <w:szCs w:val="24"/>
        </w:rPr>
        <w:t xml:space="preserve"> </w:t>
      </w:r>
      <w:r w:rsidR="002B4A58" w:rsidRPr="001569FB">
        <w:rPr>
          <w:szCs w:val="24"/>
        </w:rPr>
        <w:t xml:space="preserve">qualifying </w:t>
      </w:r>
      <w:r w:rsidR="0009658A" w:rsidRPr="001569FB">
        <w:rPr>
          <w:szCs w:val="24"/>
        </w:rPr>
        <w:t>contracts</w:t>
      </w:r>
      <w:r w:rsidR="00823EBE" w:rsidRPr="001569FB">
        <w:rPr>
          <w:szCs w:val="24"/>
        </w:rPr>
        <w:t xml:space="preserve"> that</w:t>
      </w:r>
      <w:r w:rsidR="00754C4B" w:rsidRPr="001569FB">
        <w:rPr>
          <w:szCs w:val="24"/>
        </w:rPr>
        <w:t xml:space="preserve"> </w:t>
      </w:r>
      <w:r w:rsidR="00A35AB1" w:rsidRPr="001569FB">
        <w:rPr>
          <w:szCs w:val="24"/>
        </w:rPr>
        <w:t xml:space="preserve">receive </w:t>
      </w:r>
      <w:r w:rsidR="002B4A58" w:rsidRPr="001569FB">
        <w:rPr>
          <w:szCs w:val="24"/>
        </w:rPr>
        <w:t>the QBP percentage</w:t>
      </w:r>
      <w:r w:rsidR="00A35AB1" w:rsidRPr="001569FB">
        <w:rPr>
          <w:szCs w:val="24"/>
        </w:rPr>
        <w:t xml:space="preserve"> of </w:t>
      </w:r>
      <w:r w:rsidR="002B4A58" w:rsidRPr="001569FB">
        <w:rPr>
          <w:szCs w:val="24"/>
        </w:rPr>
        <w:t>3.5 percentage points</w:t>
      </w:r>
      <w:r w:rsidR="004B02C7" w:rsidRPr="001569FB">
        <w:rPr>
          <w:szCs w:val="24"/>
        </w:rPr>
        <w:t xml:space="preserve">, similar to the QBP percentage increase applied </w:t>
      </w:r>
      <w:r w:rsidR="00C14999" w:rsidRPr="001569FB">
        <w:rPr>
          <w:szCs w:val="24"/>
        </w:rPr>
        <w:t xml:space="preserve">to </w:t>
      </w:r>
      <w:r w:rsidR="00A35AB1" w:rsidRPr="001569FB">
        <w:rPr>
          <w:szCs w:val="24"/>
        </w:rPr>
        <w:t xml:space="preserve">new MA plans.  We </w:t>
      </w:r>
      <w:r w:rsidR="00E84123" w:rsidRPr="001569FB">
        <w:rPr>
          <w:szCs w:val="24"/>
        </w:rPr>
        <w:t>discussed the basis of this policy in detail in the 2018 Rate Announcement (</w:t>
      </w:r>
      <w:hyperlink r:id="rId14" w:tooltip="Hyperlink to access the 2018 Rate Announcement" w:history="1">
        <w:r w:rsidR="00E84123" w:rsidRPr="001569FB">
          <w:rPr>
            <w:rStyle w:val="Hyperlink"/>
            <w:szCs w:val="24"/>
          </w:rPr>
          <w:t>https://www.cms.gov/Medicare/</w:t>
        </w:r>
        <w:r w:rsidR="008E38C8" w:rsidRPr="001569FB">
          <w:rPr>
            <w:rStyle w:val="Hyperlink"/>
            <w:szCs w:val="24"/>
          </w:rPr>
          <w:t>‌</w:t>
        </w:r>
        <w:r w:rsidR="00E84123" w:rsidRPr="001569FB">
          <w:rPr>
            <w:rStyle w:val="Hyperlink"/>
            <w:szCs w:val="24"/>
          </w:rPr>
          <w:t>Health-Plans/​MedicareAdvtgSpecRateStats/​Announcements-and-Documents.html</w:t>
        </w:r>
      </w:hyperlink>
      <w:r w:rsidR="00E84123" w:rsidRPr="001569FB">
        <w:rPr>
          <w:rStyle w:val="Hyperlink"/>
          <w:color w:val="auto"/>
          <w:szCs w:val="24"/>
          <w:u w:val="none"/>
        </w:rPr>
        <w:t>)</w:t>
      </w:r>
      <w:r w:rsidR="00E84123" w:rsidRPr="001569FB">
        <w:rPr>
          <w:rStyle w:val="Hyperlink"/>
          <w:szCs w:val="24"/>
          <w:u w:val="none"/>
        </w:rPr>
        <w:t xml:space="preserve">.  </w:t>
      </w:r>
    </w:p>
    <w:p w14:paraId="13999634" w14:textId="77777777" w:rsidR="0088271C" w:rsidRPr="001569FB" w:rsidRDefault="0088271C" w:rsidP="0088271C">
      <w:pPr>
        <w:pStyle w:val="Heading4"/>
      </w:pPr>
      <w:r w:rsidRPr="001569FB">
        <w:t>Contract Consolidations and QBP</w:t>
      </w:r>
    </w:p>
    <w:p w14:paraId="06240849" w14:textId="77777777" w:rsidR="0088271C" w:rsidRPr="001569FB" w:rsidRDefault="00C37CB2" w:rsidP="002707EC">
      <w:pPr>
        <w:spacing w:before="200" w:after="200" w:line="269" w:lineRule="auto"/>
        <w:rPr>
          <w:szCs w:val="24"/>
        </w:rPr>
      </w:pPr>
      <w:r w:rsidRPr="001569FB">
        <w:rPr>
          <w:szCs w:val="24"/>
          <w:lang w:val="en-GB"/>
        </w:rPr>
        <w:t>CMS</w:t>
      </w:r>
      <w:r w:rsidR="0088271C" w:rsidRPr="001569FB">
        <w:rPr>
          <w:szCs w:val="24"/>
          <w:lang w:val="en-GB"/>
        </w:rPr>
        <w:t xml:space="preserve"> </w:t>
      </w:r>
      <w:r w:rsidRPr="001569FB">
        <w:rPr>
          <w:szCs w:val="24"/>
          <w:lang w:val="en-GB"/>
        </w:rPr>
        <w:t>proposed</w:t>
      </w:r>
      <w:r w:rsidR="0088271C" w:rsidRPr="001569FB">
        <w:rPr>
          <w:szCs w:val="24"/>
          <w:lang w:val="en-GB"/>
        </w:rPr>
        <w:t xml:space="preserve"> in the </w:t>
      </w:r>
      <w:r w:rsidR="0088271C" w:rsidRPr="001569FB">
        <w:rPr>
          <w:bCs/>
          <w:szCs w:val="24"/>
        </w:rPr>
        <w:t xml:space="preserve">Contract Year 2019 Policy and Technical Changes to the Medicare Advantage and the Medicare Prescription Drug Benefit Programs </w:t>
      </w:r>
      <w:r w:rsidR="00691A88" w:rsidRPr="001569FB">
        <w:rPr>
          <w:bCs/>
          <w:szCs w:val="24"/>
        </w:rPr>
        <w:t xml:space="preserve">Proposed Rule </w:t>
      </w:r>
      <w:r w:rsidR="0088271C" w:rsidRPr="001569FB">
        <w:rPr>
          <w:bCs/>
          <w:szCs w:val="24"/>
        </w:rPr>
        <w:t>(CMS-4182-P)</w:t>
      </w:r>
      <w:r w:rsidRPr="001569FB">
        <w:rPr>
          <w:bCs/>
          <w:szCs w:val="24"/>
        </w:rPr>
        <w:t xml:space="preserve"> </w:t>
      </w:r>
      <w:r w:rsidR="009B1C32" w:rsidRPr="001569FB">
        <w:rPr>
          <w:szCs w:val="24"/>
        </w:rPr>
        <w:t>(</w:t>
      </w:r>
      <w:r w:rsidR="009B1C32" w:rsidRPr="001569FB">
        <w:rPr>
          <w:color w:val="000000"/>
          <w:szCs w:val="24"/>
        </w:rPr>
        <w:t xml:space="preserve">82 FR 56336) </w:t>
      </w:r>
      <w:r w:rsidRPr="001569FB">
        <w:rPr>
          <w:bCs/>
          <w:szCs w:val="24"/>
        </w:rPr>
        <w:t>that</w:t>
      </w:r>
      <w:r w:rsidR="0088271C" w:rsidRPr="001569FB">
        <w:rPr>
          <w:bCs/>
          <w:szCs w:val="24"/>
        </w:rPr>
        <w:t xml:space="preserve"> when </w:t>
      </w:r>
      <w:r w:rsidR="0088271C" w:rsidRPr="001569FB">
        <w:rPr>
          <w:szCs w:val="24"/>
        </w:rPr>
        <w:t xml:space="preserve">consolidations involve two or more contracts for health and/or drug services of the same plan type under the same legal entity combining into a single contract at the start of a contract year, the </w:t>
      </w:r>
      <w:r w:rsidR="00BF33B0" w:rsidRPr="001569FB">
        <w:rPr>
          <w:szCs w:val="24"/>
        </w:rPr>
        <w:t>rating used to determine QBP status (“</w:t>
      </w:r>
      <w:r w:rsidR="0088271C" w:rsidRPr="001569FB">
        <w:rPr>
          <w:szCs w:val="24"/>
        </w:rPr>
        <w:t>QBP rating</w:t>
      </w:r>
      <w:r w:rsidR="00BF33B0" w:rsidRPr="001569FB">
        <w:rPr>
          <w:szCs w:val="24"/>
        </w:rPr>
        <w:t>”)</w:t>
      </w:r>
      <w:r w:rsidR="0088271C" w:rsidRPr="001569FB">
        <w:rPr>
          <w:szCs w:val="24"/>
        </w:rPr>
        <w:t xml:space="preserve"> for that first year following the consolidation would be the enrollment weighted average of what would have been the QBP ratings of the surviving and consumed contracts using the contract enrollment in November of the year the Star Ratings were released.  For example, if two contracts consolidate starting in January 2020, the 2020 QBP rating would be based on the 2019 Star Ratings released </w:t>
      </w:r>
      <w:r w:rsidR="0088271C" w:rsidRPr="001569FB">
        <w:rPr>
          <w:szCs w:val="24"/>
        </w:rPr>
        <w:lastRenderedPageBreak/>
        <w:t>in October 2018 using the November 2018 enrollment of the surviving and consumed contracts.</w:t>
      </w:r>
      <w:r w:rsidRPr="001569FB">
        <w:rPr>
          <w:szCs w:val="24"/>
        </w:rPr>
        <w:t xml:space="preserve">  The application of this policy for CY 2019 and future periods will be addressed in the pending rulemaking.</w:t>
      </w:r>
    </w:p>
    <w:p w14:paraId="2F5E7F42" w14:textId="77777777" w:rsidR="008325FD" w:rsidRPr="001569FB" w:rsidRDefault="00320831" w:rsidP="00203CF7">
      <w:pPr>
        <w:pStyle w:val="Heading3"/>
      </w:pPr>
      <w:r w:rsidRPr="001569FB">
        <w:t xml:space="preserve">A4.  </w:t>
      </w:r>
      <w:r w:rsidR="008325FD" w:rsidRPr="001569FB">
        <w:t>Qualifying County Bonus Payment</w:t>
      </w:r>
    </w:p>
    <w:p w14:paraId="5744DD4B" w14:textId="77777777" w:rsidR="00EF1741" w:rsidRPr="001569FB" w:rsidRDefault="008325FD" w:rsidP="002707EC">
      <w:pPr>
        <w:spacing w:before="200" w:after="200"/>
        <w:rPr>
          <w:szCs w:val="24"/>
        </w:rPr>
      </w:pPr>
      <w:r w:rsidRPr="001569FB">
        <w:rPr>
          <w:szCs w:val="24"/>
        </w:rPr>
        <w:t xml:space="preserve">Beginning with </w:t>
      </w:r>
      <w:r w:rsidR="00691A88" w:rsidRPr="001569FB">
        <w:rPr>
          <w:szCs w:val="24"/>
        </w:rPr>
        <w:t xml:space="preserve">contract </w:t>
      </w:r>
      <w:r w:rsidRPr="001569FB">
        <w:rPr>
          <w:szCs w:val="24"/>
        </w:rPr>
        <w:t xml:space="preserve">year 2012, </w:t>
      </w:r>
      <w:r w:rsidR="004C0B32" w:rsidRPr="001569FB">
        <w:rPr>
          <w:szCs w:val="24"/>
        </w:rPr>
        <w:t>s</w:t>
      </w:r>
      <w:r w:rsidR="0096702A" w:rsidRPr="001569FB">
        <w:rPr>
          <w:szCs w:val="24"/>
        </w:rPr>
        <w:t>ection 1853</w:t>
      </w:r>
      <w:r w:rsidR="0072297D" w:rsidRPr="001569FB">
        <w:rPr>
          <w:szCs w:val="24"/>
        </w:rPr>
        <w:t xml:space="preserve">(o)(2) of the Act </w:t>
      </w:r>
      <w:r w:rsidRPr="001569FB">
        <w:rPr>
          <w:szCs w:val="24"/>
        </w:rPr>
        <w:t xml:space="preserve">extends a double </w:t>
      </w:r>
      <w:r w:rsidR="00EC0FD1" w:rsidRPr="001569FB">
        <w:rPr>
          <w:szCs w:val="24"/>
        </w:rPr>
        <w:t xml:space="preserve">QBP </w:t>
      </w:r>
      <w:r w:rsidRPr="001569FB">
        <w:rPr>
          <w:szCs w:val="24"/>
        </w:rPr>
        <w:t xml:space="preserve">percentage to a qualifying plan located in a “qualifying county.”  </w:t>
      </w:r>
      <w:r w:rsidR="00691A88" w:rsidRPr="001569FB">
        <w:rPr>
          <w:szCs w:val="24"/>
        </w:rPr>
        <w:t xml:space="preserve">For 2019, </w:t>
      </w:r>
      <w:r w:rsidRPr="001569FB">
        <w:rPr>
          <w:szCs w:val="24"/>
        </w:rPr>
        <w:t xml:space="preserve">a qualifying county </w:t>
      </w:r>
      <w:r w:rsidR="00866AA9" w:rsidRPr="001569FB">
        <w:rPr>
          <w:szCs w:val="24"/>
        </w:rPr>
        <w:t>i</w:t>
      </w:r>
      <w:r w:rsidRPr="001569FB">
        <w:rPr>
          <w:szCs w:val="24"/>
        </w:rPr>
        <w:t>s a county that meets the following three criteria:</w:t>
      </w:r>
      <w:r w:rsidR="00EF1741" w:rsidRPr="001569FB">
        <w:rPr>
          <w:szCs w:val="24"/>
        </w:rPr>
        <w:t xml:space="preserve"> </w:t>
      </w:r>
    </w:p>
    <w:p w14:paraId="07EA69AE" w14:textId="77777777" w:rsidR="00FF381E" w:rsidRPr="001569FB" w:rsidRDefault="009B0357" w:rsidP="00FF381E">
      <w:pPr>
        <w:spacing w:after="240"/>
        <w:ind w:left="720"/>
        <w:rPr>
          <w:szCs w:val="24"/>
        </w:rPr>
      </w:pPr>
      <w:r w:rsidRPr="001569FB">
        <w:rPr>
          <w:szCs w:val="24"/>
        </w:rPr>
        <w:t>(</w:t>
      </w:r>
      <w:r w:rsidR="008325FD" w:rsidRPr="001569FB">
        <w:rPr>
          <w:szCs w:val="24"/>
        </w:rPr>
        <w:t xml:space="preserve">1) has an MA capitation rate that, in 2004, was based on the amount specified in section </w:t>
      </w:r>
      <w:r w:rsidR="00B22E58" w:rsidRPr="001569FB">
        <w:rPr>
          <w:szCs w:val="24"/>
        </w:rPr>
        <w:t>1853</w:t>
      </w:r>
      <w:r w:rsidR="008325FD" w:rsidRPr="001569FB">
        <w:rPr>
          <w:szCs w:val="24"/>
        </w:rPr>
        <w:t xml:space="preserve">(c)(1)(B) for a Metropolitan Statistical Area with a population of more than 250,000; </w:t>
      </w:r>
    </w:p>
    <w:p w14:paraId="46E4ED1C" w14:textId="77777777" w:rsidR="00FF381E" w:rsidRPr="001569FB" w:rsidRDefault="009B0357" w:rsidP="00FF381E">
      <w:pPr>
        <w:spacing w:after="240"/>
        <w:ind w:left="720"/>
        <w:rPr>
          <w:szCs w:val="24"/>
        </w:rPr>
      </w:pPr>
      <w:r w:rsidRPr="001569FB">
        <w:rPr>
          <w:szCs w:val="24"/>
        </w:rPr>
        <w:t>(</w:t>
      </w:r>
      <w:r w:rsidR="008325FD" w:rsidRPr="001569FB">
        <w:rPr>
          <w:szCs w:val="24"/>
        </w:rPr>
        <w:t>2) as of December 2009, had at least 25 percent of</w:t>
      </w:r>
      <w:r w:rsidR="00B22E58" w:rsidRPr="001569FB">
        <w:rPr>
          <w:szCs w:val="24"/>
        </w:rPr>
        <w:t xml:space="preserve"> MA</w:t>
      </w:r>
      <w:r w:rsidR="0072297D" w:rsidRPr="001569FB">
        <w:rPr>
          <w:szCs w:val="24"/>
        </w:rPr>
        <w:t>-</w:t>
      </w:r>
      <w:r w:rsidR="00B22E58" w:rsidRPr="001569FB">
        <w:rPr>
          <w:szCs w:val="24"/>
        </w:rPr>
        <w:t>eligible</w:t>
      </w:r>
      <w:r w:rsidR="008325FD" w:rsidRPr="001569FB">
        <w:rPr>
          <w:szCs w:val="24"/>
        </w:rPr>
        <w:t xml:space="preserve"> beneficiaries residing in the county enrolled in a MA plan; and </w:t>
      </w:r>
    </w:p>
    <w:p w14:paraId="57692E27" w14:textId="77777777" w:rsidR="00EF1741" w:rsidRPr="001569FB" w:rsidRDefault="009B0357" w:rsidP="00213B83">
      <w:pPr>
        <w:spacing w:after="200"/>
        <w:ind w:left="720"/>
        <w:rPr>
          <w:szCs w:val="24"/>
        </w:rPr>
      </w:pPr>
      <w:r w:rsidRPr="001569FB">
        <w:rPr>
          <w:szCs w:val="24"/>
        </w:rPr>
        <w:t>(</w:t>
      </w:r>
      <w:r w:rsidR="008325FD" w:rsidRPr="001569FB">
        <w:rPr>
          <w:szCs w:val="24"/>
        </w:rPr>
        <w:t xml:space="preserve">3) has </w:t>
      </w:r>
      <w:r w:rsidR="00AA42E9" w:rsidRPr="001569FB">
        <w:rPr>
          <w:szCs w:val="24"/>
        </w:rPr>
        <w:t>per capita</w:t>
      </w:r>
      <w:r w:rsidR="008325FD" w:rsidRPr="001569FB">
        <w:rPr>
          <w:szCs w:val="24"/>
        </w:rPr>
        <w:t xml:space="preserve"> FFS </w:t>
      </w:r>
      <w:r w:rsidR="00473F70" w:rsidRPr="001569FB">
        <w:rPr>
          <w:szCs w:val="24"/>
        </w:rPr>
        <w:t>County</w:t>
      </w:r>
      <w:r w:rsidR="008325FD" w:rsidRPr="001569FB">
        <w:rPr>
          <w:szCs w:val="24"/>
        </w:rPr>
        <w:t xml:space="preserve"> spending for </w:t>
      </w:r>
      <w:r w:rsidR="00CB6ADD" w:rsidRPr="001569FB">
        <w:rPr>
          <w:szCs w:val="24"/>
        </w:rPr>
        <w:t xml:space="preserve">2019 </w:t>
      </w:r>
      <w:r w:rsidR="008325FD" w:rsidRPr="001569FB">
        <w:rPr>
          <w:szCs w:val="24"/>
        </w:rPr>
        <w:t xml:space="preserve">that is less than the national </w:t>
      </w:r>
      <w:r w:rsidR="00AA42E9" w:rsidRPr="001569FB">
        <w:rPr>
          <w:szCs w:val="24"/>
        </w:rPr>
        <w:t xml:space="preserve">monthly per capita cost for </w:t>
      </w:r>
      <w:r w:rsidR="008325FD" w:rsidRPr="001569FB">
        <w:rPr>
          <w:szCs w:val="24"/>
        </w:rPr>
        <w:t xml:space="preserve">FFS for </w:t>
      </w:r>
      <w:r w:rsidR="00CB6ADD" w:rsidRPr="001569FB">
        <w:rPr>
          <w:szCs w:val="24"/>
        </w:rPr>
        <w:t>2019</w:t>
      </w:r>
      <w:r w:rsidR="008325FD" w:rsidRPr="001569FB">
        <w:rPr>
          <w:szCs w:val="24"/>
        </w:rPr>
        <w:t>.</w:t>
      </w:r>
      <w:r w:rsidR="00EF1741" w:rsidRPr="001569FB">
        <w:rPr>
          <w:szCs w:val="24"/>
        </w:rPr>
        <w:t xml:space="preserve"> </w:t>
      </w:r>
    </w:p>
    <w:p w14:paraId="791C65FB" w14:textId="77777777" w:rsidR="00691A88" w:rsidRPr="001569FB" w:rsidRDefault="00691A88" w:rsidP="002707EC">
      <w:pPr>
        <w:spacing w:before="200" w:after="200"/>
        <w:rPr>
          <w:szCs w:val="24"/>
        </w:rPr>
      </w:pPr>
      <w:r w:rsidRPr="001569FB">
        <w:rPr>
          <w:i/>
          <w:szCs w:val="24"/>
        </w:rPr>
        <w:t>See</w:t>
      </w:r>
      <w:r w:rsidRPr="001569FB">
        <w:rPr>
          <w:szCs w:val="24"/>
        </w:rPr>
        <w:t xml:space="preserve"> section 1853(o)(3)(B) of the Act.</w:t>
      </w:r>
    </w:p>
    <w:p w14:paraId="518149E4" w14:textId="77777777" w:rsidR="008325FD" w:rsidRPr="001569FB" w:rsidRDefault="009636E3" w:rsidP="002707EC">
      <w:pPr>
        <w:spacing w:before="200" w:after="200"/>
        <w:rPr>
          <w:szCs w:val="24"/>
        </w:rPr>
      </w:pPr>
      <w:r w:rsidRPr="001569FB">
        <w:rPr>
          <w:szCs w:val="24"/>
        </w:rPr>
        <w:t>As an</w:t>
      </w:r>
      <w:r w:rsidR="008325FD" w:rsidRPr="001569FB">
        <w:rPr>
          <w:szCs w:val="24"/>
        </w:rPr>
        <w:t xml:space="preserve"> example, a</w:t>
      </w:r>
      <w:r w:rsidR="004B02C7" w:rsidRPr="001569FB">
        <w:rPr>
          <w:szCs w:val="24"/>
        </w:rPr>
        <w:t xml:space="preserve"> qualifying</w:t>
      </w:r>
      <w:r w:rsidR="008325FD" w:rsidRPr="001569FB">
        <w:rPr>
          <w:szCs w:val="24"/>
        </w:rPr>
        <w:t xml:space="preserve"> plan with a rating of 4.5 stars will have 5 </w:t>
      </w:r>
      <w:r w:rsidR="00EC0FD1" w:rsidRPr="001569FB">
        <w:rPr>
          <w:szCs w:val="24"/>
        </w:rPr>
        <w:t xml:space="preserve">QBP </w:t>
      </w:r>
      <w:r w:rsidR="008325FD" w:rsidRPr="001569FB">
        <w:rPr>
          <w:szCs w:val="24"/>
        </w:rPr>
        <w:t>percentage points added to the applicable percentage of each county in its service area</w:t>
      </w:r>
      <w:r w:rsidR="00BF60A0" w:rsidRPr="001569FB">
        <w:rPr>
          <w:szCs w:val="24"/>
        </w:rPr>
        <w:t xml:space="preserve">.  </w:t>
      </w:r>
      <w:r w:rsidR="008325FD" w:rsidRPr="001569FB">
        <w:rPr>
          <w:szCs w:val="24"/>
        </w:rPr>
        <w:t xml:space="preserve">For </w:t>
      </w:r>
      <w:r w:rsidR="00C37CB2" w:rsidRPr="001569FB">
        <w:rPr>
          <w:szCs w:val="24"/>
        </w:rPr>
        <w:t>e</w:t>
      </w:r>
      <w:r w:rsidR="008325FD" w:rsidRPr="001569FB">
        <w:rPr>
          <w:szCs w:val="24"/>
        </w:rPr>
        <w:t>a</w:t>
      </w:r>
      <w:r w:rsidR="00C37CB2" w:rsidRPr="001569FB">
        <w:rPr>
          <w:szCs w:val="24"/>
        </w:rPr>
        <w:t>ch</w:t>
      </w:r>
      <w:r w:rsidR="008325FD" w:rsidRPr="001569FB">
        <w:rPr>
          <w:szCs w:val="24"/>
        </w:rPr>
        <w:t xml:space="preserve"> qualifying county in that plan</w:t>
      </w:r>
      <w:r w:rsidR="00CD4F6F" w:rsidRPr="001569FB">
        <w:rPr>
          <w:szCs w:val="24"/>
        </w:rPr>
        <w:t>’</w:t>
      </w:r>
      <w:r w:rsidR="008325FD" w:rsidRPr="001569FB">
        <w:rPr>
          <w:szCs w:val="24"/>
        </w:rPr>
        <w:t>s service area, an additional 5 percentage points w</w:t>
      </w:r>
      <w:r w:rsidR="00866AA9" w:rsidRPr="001569FB">
        <w:rPr>
          <w:szCs w:val="24"/>
        </w:rPr>
        <w:t>ill</w:t>
      </w:r>
      <w:r w:rsidR="008325FD" w:rsidRPr="001569FB">
        <w:rPr>
          <w:szCs w:val="24"/>
        </w:rPr>
        <w:t xml:space="preserve"> be added to that county</w:t>
      </w:r>
      <w:r w:rsidR="00CD4F6F" w:rsidRPr="001569FB">
        <w:rPr>
          <w:szCs w:val="24"/>
        </w:rPr>
        <w:t>’</w:t>
      </w:r>
      <w:r w:rsidR="008325FD" w:rsidRPr="001569FB">
        <w:rPr>
          <w:szCs w:val="24"/>
        </w:rPr>
        <w:t xml:space="preserve">s applicable percentage for a total </w:t>
      </w:r>
      <w:r w:rsidR="00B22E58" w:rsidRPr="001569FB">
        <w:rPr>
          <w:szCs w:val="24"/>
        </w:rPr>
        <w:t xml:space="preserve">increase </w:t>
      </w:r>
      <w:r w:rsidR="008325FD" w:rsidRPr="001569FB">
        <w:rPr>
          <w:szCs w:val="24"/>
        </w:rPr>
        <w:t>of 10 percentage points</w:t>
      </w:r>
      <w:r w:rsidR="004B02C7" w:rsidRPr="001569FB">
        <w:rPr>
          <w:szCs w:val="24"/>
        </w:rPr>
        <w:t xml:space="preserve"> used to calculate the benchmark</w:t>
      </w:r>
      <w:r w:rsidR="00BF60A0" w:rsidRPr="001569FB">
        <w:rPr>
          <w:szCs w:val="24"/>
        </w:rPr>
        <w:t xml:space="preserve">.  </w:t>
      </w:r>
      <w:r w:rsidR="008325FD" w:rsidRPr="001569FB">
        <w:rPr>
          <w:szCs w:val="24"/>
        </w:rPr>
        <w:t xml:space="preserve">If this qualifying county </w:t>
      </w:r>
      <w:r w:rsidR="00416039" w:rsidRPr="001569FB">
        <w:rPr>
          <w:szCs w:val="24"/>
        </w:rPr>
        <w:t xml:space="preserve">otherwise </w:t>
      </w:r>
      <w:r w:rsidR="008325FD" w:rsidRPr="001569FB">
        <w:rPr>
          <w:szCs w:val="24"/>
        </w:rPr>
        <w:t xml:space="preserve">has an applicable percentage of 95 percent, this is increased to 105 percent </w:t>
      </w:r>
      <w:r w:rsidR="00416039" w:rsidRPr="001569FB">
        <w:rPr>
          <w:szCs w:val="24"/>
        </w:rPr>
        <w:t xml:space="preserve">to reflect the quality bonus payment percentage </w:t>
      </w:r>
      <w:r w:rsidR="008325FD" w:rsidRPr="001569FB">
        <w:rPr>
          <w:szCs w:val="24"/>
        </w:rPr>
        <w:t>for that county.</w:t>
      </w:r>
      <w:r w:rsidR="004619FA" w:rsidRPr="001569FB">
        <w:rPr>
          <w:szCs w:val="24"/>
        </w:rPr>
        <w:t xml:space="preserve">  As discussed below, all </w:t>
      </w:r>
      <w:r w:rsidR="004B02C7" w:rsidRPr="001569FB">
        <w:rPr>
          <w:szCs w:val="24"/>
        </w:rPr>
        <w:t>benchmarks</w:t>
      </w:r>
      <w:r w:rsidR="004619FA" w:rsidRPr="001569FB">
        <w:rPr>
          <w:szCs w:val="24"/>
        </w:rPr>
        <w:t xml:space="preserve"> are capped at the </w:t>
      </w:r>
      <w:r w:rsidR="00CD4F6F" w:rsidRPr="001569FB">
        <w:rPr>
          <w:szCs w:val="24"/>
        </w:rPr>
        <w:t>s</w:t>
      </w:r>
      <w:r w:rsidR="004619FA" w:rsidRPr="001569FB">
        <w:rPr>
          <w:szCs w:val="24"/>
        </w:rPr>
        <w:t xml:space="preserve">ection 1853(k)(1) </w:t>
      </w:r>
      <w:r w:rsidR="00640608" w:rsidRPr="001569FB">
        <w:rPr>
          <w:szCs w:val="24"/>
        </w:rPr>
        <w:t xml:space="preserve">applicable </w:t>
      </w:r>
      <w:r w:rsidR="004619FA" w:rsidRPr="001569FB">
        <w:rPr>
          <w:szCs w:val="24"/>
        </w:rPr>
        <w:t xml:space="preserve">amount </w:t>
      </w:r>
      <w:r w:rsidR="00522217" w:rsidRPr="001569FB">
        <w:rPr>
          <w:szCs w:val="24"/>
        </w:rPr>
        <w:t xml:space="preserve">(determined after application of the QBP percentage) </w:t>
      </w:r>
      <w:r w:rsidR="004619FA" w:rsidRPr="001569FB">
        <w:rPr>
          <w:szCs w:val="24"/>
        </w:rPr>
        <w:t xml:space="preserve">per </w:t>
      </w:r>
      <w:r w:rsidR="00CD4F6F" w:rsidRPr="001569FB">
        <w:rPr>
          <w:szCs w:val="24"/>
        </w:rPr>
        <w:t>s</w:t>
      </w:r>
      <w:r w:rsidR="004619FA" w:rsidRPr="001569FB">
        <w:rPr>
          <w:szCs w:val="24"/>
        </w:rPr>
        <w:t>ection 1853(n)(4) of the Act.</w:t>
      </w:r>
    </w:p>
    <w:p w14:paraId="67FC8578" w14:textId="651A2A2C" w:rsidR="008325FD" w:rsidRPr="001569FB" w:rsidRDefault="008325FD" w:rsidP="00BB3819">
      <w:pPr>
        <w:spacing w:after="240"/>
        <w:rPr>
          <w:szCs w:val="24"/>
        </w:rPr>
      </w:pPr>
      <w:r w:rsidRPr="001569FB">
        <w:rPr>
          <w:szCs w:val="24"/>
        </w:rPr>
        <w:t xml:space="preserve">CMS will publish a complete list of qualifying counties in the final </w:t>
      </w:r>
      <w:r w:rsidR="00E765A8" w:rsidRPr="001569FB">
        <w:rPr>
          <w:szCs w:val="24"/>
        </w:rPr>
        <w:t xml:space="preserve">2019 </w:t>
      </w:r>
      <w:r w:rsidR="00C37CB2" w:rsidRPr="001569FB">
        <w:rPr>
          <w:szCs w:val="24"/>
        </w:rPr>
        <w:t xml:space="preserve">Rate </w:t>
      </w:r>
      <w:r w:rsidRPr="001569FB">
        <w:rPr>
          <w:szCs w:val="24"/>
        </w:rPr>
        <w:t>Announcement.  The listing will contain all counties that meet all three criteria</w:t>
      </w:r>
      <w:r w:rsidR="00B22E58" w:rsidRPr="001569FB">
        <w:rPr>
          <w:szCs w:val="24"/>
        </w:rPr>
        <w:t xml:space="preserve"> </w:t>
      </w:r>
      <w:r w:rsidR="00DE7578" w:rsidRPr="001569FB">
        <w:rPr>
          <w:szCs w:val="24"/>
        </w:rPr>
        <w:t xml:space="preserve">stated above. </w:t>
      </w:r>
      <w:r w:rsidR="00BF60A0" w:rsidRPr="001569FB">
        <w:rPr>
          <w:szCs w:val="24"/>
        </w:rPr>
        <w:t xml:space="preserve"> </w:t>
      </w:r>
      <w:r w:rsidRPr="001569FB">
        <w:rPr>
          <w:szCs w:val="24"/>
        </w:rPr>
        <w:t xml:space="preserve">Two of the three elements for determining a qualifying county </w:t>
      </w:r>
      <w:r w:rsidR="00DE7578" w:rsidRPr="001569FB">
        <w:rPr>
          <w:szCs w:val="24"/>
        </w:rPr>
        <w:t>(</w:t>
      </w:r>
      <w:r w:rsidRPr="001569FB">
        <w:rPr>
          <w:szCs w:val="24"/>
        </w:rPr>
        <w:t>2004 urban floors (Y/N</w:t>
      </w:r>
      <w:r w:rsidR="00D606F0" w:rsidRPr="001569FB">
        <w:rPr>
          <w:szCs w:val="24"/>
        </w:rPr>
        <w:t>)</w:t>
      </w:r>
      <w:r w:rsidRPr="001569FB">
        <w:rPr>
          <w:szCs w:val="24"/>
        </w:rPr>
        <w:t xml:space="preserve"> for each county</w:t>
      </w:r>
      <w:r w:rsidR="00D27D5A" w:rsidRPr="001569FB">
        <w:rPr>
          <w:szCs w:val="24"/>
        </w:rPr>
        <w:t>,</w:t>
      </w:r>
      <w:r w:rsidRPr="001569FB">
        <w:rPr>
          <w:szCs w:val="24"/>
        </w:rPr>
        <w:t xml:space="preserve"> and 2009 Medicare Advantage penetration rates</w:t>
      </w:r>
      <w:r w:rsidR="00D27D5A" w:rsidRPr="001569FB">
        <w:rPr>
          <w:szCs w:val="24"/>
        </w:rPr>
        <w:t>)</w:t>
      </w:r>
      <w:r w:rsidRPr="001569FB">
        <w:rPr>
          <w:szCs w:val="24"/>
        </w:rPr>
        <w:t xml:space="preserve"> can be found </w:t>
      </w:r>
      <w:r w:rsidR="00DE7578" w:rsidRPr="001569FB">
        <w:rPr>
          <w:szCs w:val="24"/>
        </w:rPr>
        <w:t xml:space="preserve">in the </w:t>
      </w:r>
      <w:r w:rsidR="00691A88" w:rsidRPr="001569FB">
        <w:rPr>
          <w:szCs w:val="24"/>
        </w:rPr>
        <w:t xml:space="preserve">2018 </w:t>
      </w:r>
      <w:r w:rsidR="00DE7578" w:rsidRPr="001569FB">
        <w:rPr>
          <w:szCs w:val="24"/>
        </w:rPr>
        <w:t xml:space="preserve">Rate Calculation Data file (columns </w:t>
      </w:r>
      <w:r w:rsidR="00D27D5A" w:rsidRPr="001569FB">
        <w:rPr>
          <w:szCs w:val="24"/>
        </w:rPr>
        <w:t>Z</w:t>
      </w:r>
      <w:r w:rsidR="00DE7578" w:rsidRPr="001569FB">
        <w:rPr>
          <w:szCs w:val="24"/>
        </w:rPr>
        <w:t xml:space="preserve"> and </w:t>
      </w:r>
      <w:r w:rsidR="00D27D5A" w:rsidRPr="001569FB">
        <w:rPr>
          <w:szCs w:val="24"/>
        </w:rPr>
        <w:t>AA</w:t>
      </w:r>
      <w:r w:rsidR="00DE7578" w:rsidRPr="001569FB">
        <w:rPr>
          <w:szCs w:val="24"/>
        </w:rPr>
        <w:t>) on</w:t>
      </w:r>
      <w:r w:rsidRPr="001569FB">
        <w:rPr>
          <w:szCs w:val="24"/>
        </w:rPr>
        <w:t xml:space="preserve"> the CMS website at </w:t>
      </w:r>
      <w:hyperlink r:id="rId15" w:tooltip="Hyperlink to access the Ratebooks &amp; Supporting Data webpage on the CMS website" w:history="1">
        <w:r w:rsidR="00EF1741" w:rsidRPr="001569FB">
          <w:rPr>
            <w:rStyle w:val="Hyperlink"/>
            <w:szCs w:val="24"/>
          </w:rPr>
          <w:t>https://www.cms.gov/Medicare/Health-Plans/​MedicareAdvtgSpecRateStats/Ratebooks-and-Supporting-Data.html</w:t>
        </w:r>
      </w:hyperlink>
      <w:r w:rsidR="00815CD3" w:rsidRPr="001569FB">
        <w:rPr>
          <w:szCs w:val="24"/>
        </w:rPr>
        <w:t>.</w:t>
      </w:r>
      <w:r w:rsidR="00143138" w:rsidRPr="001569FB">
        <w:rPr>
          <w:szCs w:val="24"/>
        </w:rPr>
        <w:t xml:space="preserve"> </w:t>
      </w:r>
      <w:r w:rsidR="00CD4F6F" w:rsidRPr="001569FB">
        <w:rPr>
          <w:szCs w:val="24"/>
        </w:rPr>
        <w:t xml:space="preserve"> </w:t>
      </w:r>
      <w:r w:rsidR="00143138" w:rsidRPr="001569FB">
        <w:rPr>
          <w:szCs w:val="24"/>
        </w:rPr>
        <w:t xml:space="preserve">The </w:t>
      </w:r>
      <w:r w:rsidR="00F16242" w:rsidRPr="001569FB">
        <w:rPr>
          <w:szCs w:val="24"/>
        </w:rPr>
        <w:t>2019</w:t>
      </w:r>
      <w:r w:rsidR="00640608" w:rsidRPr="001569FB">
        <w:rPr>
          <w:szCs w:val="24"/>
        </w:rPr>
        <w:t xml:space="preserve"> </w:t>
      </w:r>
      <w:r w:rsidR="00143138" w:rsidRPr="001569FB">
        <w:rPr>
          <w:szCs w:val="24"/>
        </w:rPr>
        <w:t xml:space="preserve">FFS rates, which are necessary for the third criterion, are not available at </w:t>
      </w:r>
      <w:r w:rsidR="00A63EB5" w:rsidRPr="001569FB">
        <w:rPr>
          <w:szCs w:val="24"/>
        </w:rPr>
        <w:t xml:space="preserve">the time this Advance Notice is </w:t>
      </w:r>
      <w:r w:rsidR="00143138" w:rsidRPr="001569FB">
        <w:rPr>
          <w:szCs w:val="24"/>
        </w:rPr>
        <w:t xml:space="preserve">published. </w:t>
      </w:r>
      <w:r w:rsidR="00CD4F6F" w:rsidRPr="001569FB">
        <w:rPr>
          <w:szCs w:val="24"/>
        </w:rPr>
        <w:t xml:space="preserve"> </w:t>
      </w:r>
      <w:r w:rsidR="00143138" w:rsidRPr="001569FB">
        <w:rPr>
          <w:szCs w:val="24"/>
        </w:rPr>
        <w:t xml:space="preserve">The FFS rates and the national average FFS spending amount will be published in the final </w:t>
      </w:r>
      <w:r w:rsidR="00E765A8" w:rsidRPr="001569FB">
        <w:rPr>
          <w:szCs w:val="24"/>
        </w:rPr>
        <w:t xml:space="preserve">2019 </w:t>
      </w:r>
      <w:r w:rsidR="00E84123" w:rsidRPr="001569FB">
        <w:rPr>
          <w:szCs w:val="24"/>
        </w:rPr>
        <w:t xml:space="preserve">Rate </w:t>
      </w:r>
      <w:r w:rsidR="00143138" w:rsidRPr="001569FB">
        <w:rPr>
          <w:szCs w:val="24"/>
        </w:rPr>
        <w:t>Announcement.</w:t>
      </w:r>
    </w:p>
    <w:p w14:paraId="5D993E09" w14:textId="77777777" w:rsidR="008325FD" w:rsidRPr="001569FB" w:rsidRDefault="00F858F1" w:rsidP="00203CF7">
      <w:pPr>
        <w:pStyle w:val="Heading3"/>
      </w:pPr>
      <w:r w:rsidRPr="001569FB">
        <w:t>A5</w:t>
      </w:r>
      <w:r w:rsidR="00320831" w:rsidRPr="001569FB">
        <w:t xml:space="preserve">.  </w:t>
      </w:r>
      <w:r w:rsidR="008325FD" w:rsidRPr="001569FB">
        <w:t>Cap on Benchmarks</w:t>
      </w:r>
    </w:p>
    <w:p w14:paraId="5AEDB942" w14:textId="77777777" w:rsidR="002744E3" w:rsidRPr="001569FB" w:rsidRDefault="008325FD" w:rsidP="002707EC">
      <w:pPr>
        <w:spacing w:before="200" w:after="200"/>
        <w:rPr>
          <w:szCs w:val="24"/>
        </w:rPr>
      </w:pPr>
      <w:r w:rsidRPr="001569FB">
        <w:rPr>
          <w:szCs w:val="24"/>
        </w:rPr>
        <w:t xml:space="preserve">Section 1853(n)(4) </w:t>
      </w:r>
      <w:r w:rsidR="00D012F0" w:rsidRPr="001569FB">
        <w:rPr>
          <w:szCs w:val="24"/>
        </w:rPr>
        <w:t xml:space="preserve">of the Act </w:t>
      </w:r>
      <w:r w:rsidRPr="001569FB">
        <w:rPr>
          <w:szCs w:val="24"/>
        </w:rPr>
        <w:t>requires that the benchmark</w:t>
      </w:r>
      <w:r w:rsidR="00585ECF" w:rsidRPr="001569FB">
        <w:rPr>
          <w:szCs w:val="24"/>
        </w:rPr>
        <w:t xml:space="preserve"> (determined taking into account application of the QBP percentage) </w:t>
      </w:r>
      <w:r w:rsidRPr="001569FB">
        <w:rPr>
          <w:szCs w:val="24"/>
        </w:rPr>
        <w:t xml:space="preserve">for a county must be capped at the level of the county’s </w:t>
      </w:r>
      <w:r w:rsidRPr="001569FB">
        <w:rPr>
          <w:szCs w:val="24"/>
        </w:rPr>
        <w:lastRenderedPageBreak/>
        <w:t xml:space="preserve">applicable amount </w:t>
      </w:r>
      <w:r w:rsidR="001C63EC" w:rsidRPr="001569FB">
        <w:rPr>
          <w:szCs w:val="24"/>
        </w:rPr>
        <w:t>determined under</w:t>
      </w:r>
      <w:r w:rsidRPr="001569FB">
        <w:rPr>
          <w:szCs w:val="24"/>
        </w:rPr>
        <w:t xml:space="preserve"> </w:t>
      </w:r>
      <w:r w:rsidR="00EA2C01" w:rsidRPr="001569FB">
        <w:rPr>
          <w:szCs w:val="24"/>
        </w:rPr>
        <w:t>s</w:t>
      </w:r>
      <w:r w:rsidRPr="001569FB">
        <w:rPr>
          <w:szCs w:val="24"/>
        </w:rPr>
        <w:t xml:space="preserve">ection 1853(k)(1).  </w:t>
      </w:r>
      <w:r w:rsidR="00585ECF" w:rsidRPr="001569FB">
        <w:rPr>
          <w:szCs w:val="24"/>
        </w:rPr>
        <w:t xml:space="preserve">We interpret this </w:t>
      </w:r>
      <w:r w:rsidRPr="001569FB">
        <w:rPr>
          <w:szCs w:val="24"/>
        </w:rPr>
        <w:t xml:space="preserve">provision </w:t>
      </w:r>
      <w:r w:rsidR="00585ECF" w:rsidRPr="001569FB">
        <w:rPr>
          <w:szCs w:val="24"/>
        </w:rPr>
        <w:t xml:space="preserve">as requiring </w:t>
      </w:r>
      <w:r w:rsidRPr="001569FB">
        <w:rPr>
          <w:szCs w:val="24"/>
        </w:rPr>
        <w:t xml:space="preserve">that the QBP increase must be included in the benchmark before the comparison is made to determine if the cap is </w:t>
      </w:r>
      <w:r w:rsidR="00585ECF" w:rsidRPr="001569FB">
        <w:rPr>
          <w:szCs w:val="24"/>
        </w:rPr>
        <w:t>applied</w:t>
      </w:r>
      <w:r w:rsidRPr="001569FB">
        <w:rPr>
          <w:szCs w:val="24"/>
        </w:rPr>
        <w:t xml:space="preserve">.  </w:t>
      </w:r>
      <w:r w:rsidR="00D80BBB" w:rsidRPr="001569FB">
        <w:rPr>
          <w:szCs w:val="24"/>
        </w:rPr>
        <w:t xml:space="preserve">Thus, for all counties, </w:t>
      </w:r>
      <w:r w:rsidR="00585ECF" w:rsidRPr="001569FB">
        <w:rPr>
          <w:szCs w:val="24"/>
        </w:rPr>
        <w:t xml:space="preserve">post-QBP percentage </w:t>
      </w:r>
      <w:r w:rsidR="00D80BBB" w:rsidRPr="001569FB">
        <w:rPr>
          <w:szCs w:val="24"/>
        </w:rPr>
        <w:t xml:space="preserve">rates are capped at the </w:t>
      </w:r>
      <w:r w:rsidR="00EA2C01" w:rsidRPr="001569FB">
        <w:rPr>
          <w:szCs w:val="24"/>
        </w:rPr>
        <w:t>s</w:t>
      </w:r>
      <w:r w:rsidR="00D80BBB" w:rsidRPr="001569FB">
        <w:rPr>
          <w:szCs w:val="24"/>
        </w:rPr>
        <w:t xml:space="preserve">ection 1853(k)(1) </w:t>
      </w:r>
      <w:r w:rsidR="00C6251E" w:rsidRPr="001569FB">
        <w:rPr>
          <w:szCs w:val="24"/>
        </w:rPr>
        <w:t xml:space="preserve">applicable </w:t>
      </w:r>
      <w:r w:rsidR="00D80BBB" w:rsidRPr="001569FB">
        <w:rPr>
          <w:szCs w:val="24"/>
        </w:rPr>
        <w:t>amount</w:t>
      </w:r>
      <w:r w:rsidR="00F858F1" w:rsidRPr="001569FB">
        <w:rPr>
          <w:szCs w:val="24"/>
        </w:rPr>
        <w:t>.</w:t>
      </w:r>
    </w:p>
    <w:p w14:paraId="409563A4" w14:textId="33D705F5" w:rsidR="002744E3" w:rsidRPr="001569FB" w:rsidRDefault="002744E3" w:rsidP="002707EC">
      <w:pPr>
        <w:spacing w:before="200" w:after="200"/>
        <w:rPr>
          <w:szCs w:val="24"/>
        </w:rPr>
      </w:pPr>
      <w:r w:rsidRPr="001569FB">
        <w:rPr>
          <w:szCs w:val="24"/>
        </w:rPr>
        <w:t xml:space="preserve">CMS shares the concerns stakeholders have raised about any rate-setting mechanism that diminishes incentives for MA plans to continuously improve the care provided to Medicare beneficiaries, and </w:t>
      </w:r>
      <w:r w:rsidR="00691A88" w:rsidRPr="001569FB">
        <w:rPr>
          <w:szCs w:val="24"/>
        </w:rPr>
        <w:t>agree</w:t>
      </w:r>
      <w:r w:rsidR="006E2529" w:rsidRPr="001569FB">
        <w:rPr>
          <w:szCs w:val="24"/>
        </w:rPr>
        <w:t>s</w:t>
      </w:r>
      <w:r w:rsidR="00691A88" w:rsidRPr="001569FB">
        <w:rPr>
          <w:szCs w:val="24"/>
        </w:rPr>
        <w:t xml:space="preserve"> </w:t>
      </w:r>
      <w:r w:rsidRPr="001569FB">
        <w:rPr>
          <w:szCs w:val="24"/>
        </w:rPr>
        <w:t xml:space="preserve">that a primary goal of the </w:t>
      </w:r>
      <w:r w:rsidR="00691A88" w:rsidRPr="001569FB">
        <w:rPr>
          <w:szCs w:val="24"/>
        </w:rPr>
        <w:t xml:space="preserve">Star Rating </w:t>
      </w:r>
      <w:r w:rsidRPr="001569FB">
        <w:rPr>
          <w:szCs w:val="24"/>
        </w:rPr>
        <w:t xml:space="preserve">system for MA </w:t>
      </w:r>
      <w:r w:rsidR="00866AA9" w:rsidRPr="001569FB">
        <w:rPr>
          <w:szCs w:val="24"/>
        </w:rPr>
        <w:t>is</w:t>
      </w:r>
      <w:r w:rsidRPr="001569FB">
        <w:rPr>
          <w:szCs w:val="24"/>
        </w:rPr>
        <w:t xml:space="preserve"> to encourage plans to continuously improve the quality of the care provided to their enrollees. </w:t>
      </w:r>
      <w:r w:rsidR="007A6384" w:rsidRPr="001569FB">
        <w:rPr>
          <w:szCs w:val="24"/>
        </w:rPr>
        <w:t xml:space="preserve"> </w:t>
      </w:r>
      <w:r w:rsidRPr="001569FB">
        <w:rPr>
          <w:szCs w:val="24"/>
        </w:rPr>
        <w:t>However, while we appreciate the concerns stakeholders have raised in connection with the cap on benchmarks, CMS</w:t>
      </w:r>
      <w:r w:rsidR="00F858F1" w:rsidRPr="001569FB">
        <w:rPr>
          <w:szCs w:val="24"/>
        </w:rPr>
        <w:t xml:space="preserve"> has not identified </w:t>
      </w:r>
      <w:r w:rsidR="00297826" w:rsidRPr="001569FB">
        <w:rPr>
          <w:szCs w:val="24"/>
        </w:rPr>
        <w:t>an approach</w:t>
      </w:r>
      <w:r w:rsidR="00F858F1" w:rsidRPr="001569FB">
        <w:rPr>
          <w:szCs w:val="24"/>
        </w:rPr>
        <w:t xml:space="preserve"> under section 1853(n)(4) of the Act to eliminate application of the rate cap or exclude the bonus payment from the cap calculation.</w:t>
      </w:r>
      <w:r w:rsidRPr="001569FB">
        <w:rPr>
          <w:szCs w:val="24"/>
        </w:rPr>
        <w:t xml:space="preserve"> </w:t>
      </w:r>
    </w:p>
    <w:p w14:paraId="3E1C59A1" w14:textId="77777777" w:rsidR="008325FD" w:rsidRPr="001569FB" w:rsidRDefault="00F858F1" w:rsidP="00203CF7">
      <w:pPr>
        <w:pStyle w:val="Heading3"/>
      </w:pPr>
      <w:r w:rsidRPr="001569FB">
        <w:t>A6</w:t>
      </w:r>
      <w:r w:rsidR="00320831" w:rsidRPr="001569FB">
        <w:t xml:space="preserve">.  </w:t>
      </w:r>
      <w:r w:rsidR="00D012F0" w:rsidRPr="001569FB">
        <w:t>Rebate</w:t>
      </w:r>
    </w:p>
    <w:p w14:paraId="60A7412A" w14:textId="393CF364" w:rsidR="008325FD" w:rsidRPr="001569FB" w:rsidRDefault="008325FD" w:rsidP="00AF70C5">
      <w:pPr>
        <w:rPr>
          <w:szCs w:val="24"/>
        </w:rPr>
      </w:pPr>
      <w:r w:rsidRPr="001569FB">
        <w:rPr>
          <w:szCs w:val="24"/>
        </w:rPr>
        <w:t xml:space="preserve">Under section 1854(b)(1)(C) of the Act, </w:t>
      </w:r>
      <w:r w:rsidR="00B22E58" w:rsidRPr="001569FB">
        <w:rPr>
          <w:szCs w:val="24"/>
        </w:rPr>
        <w:t xml:space="preserve">except for MSA plans, </w:t>
      </w:r>
      <w:r w:rsidRPr="001569FB">
        <w:rPr>
          <w:szCs w:val="24"/>
        </w:rPr>
        <w:t xml:space="preserve">the level of rebate </w:t>
      </w:r>
      <w:r w:rsidR="00585ECF" w:rsidRPr="001569FB">
        <w:rPr>
          <w:szCs w:val="24"/>
        </w:rPr>
        <w:t xml:space="preserve">for each plan </w:t>
      </w:r>
      <w:r w:rsidRPr="001569FB">
        <w:rPr>
          <w:szCs w:val="24"/>
        </w:rPr>
        <w:t xml:space="preserve">is </w:t>
      </w:r>
      <w:r w:rsidR="00C6251E" w:rsidRPr="001569FB">
        <w:rPr>
          <w:szCs w:val="24"/>
        </w:rPr>
        <w:t>based on</w:t>
      </w:r>
      <w:r w:rsidRPr="001569FB">
        <w:rPr>
          <w:szCs w:val="24"/>
        </w:rPr>
        <w:t xml:space="preserve"> the plan</w:t>
      </w:r>
      <w:r w:rsidR="00C136A1" w:rsidRPr="001569FB">
        <w:rPr>
          <w:szCs w:val="24"/>
        </w:rPr>
        <w:t>’</w:t>
      </w:r>
      <w:r w:rsidRPr="001569FB">
        <w:rPr>
          <w:szCs w:val="24"/>
        </w:rPr>
        <w:t xml:space="preserve">s </w:t>
      </w:r>
      <w:r w:rsidR="007B0843" w:rsidRPr="001569FB">
        <w:rPr>
          <w:szCs w:val="24"/>
        </w:rPr>
        <w:t>Star Rating</w:t>
      </w:r>
      <w:r w:rsidR="00BF60A0" w:rsidRPr="001569FB">
        <w:rPr>
          <w:szCs w:val="24"/>
        </w:rPr>
        <w:t xml:space="preserve">.  </w:t>
      </w:r>
      <w:r w:rsidR="005A0ED0" w:rsidRPr="001569FB">
        <w:rPr>
          <w:szCs w:val="24"/>
        </w:rPr>
        <w:t xml:space="preserve">Rebates </w:t>
      </w:r>
      <w:r w:rsidR="00585ECF" w:rsidRPr="001569FB">
        <w:rPr>
          <w:szCs w:val="24"/>
        </w:rPr>
        <w:t xml:space="preserve">for each plan </w:t>
      </w:r>
      <w:r w:rsidR="005A0ED0" w:rsidRPr="001569FB">
        <w:rPr>
          <w:szCs w:val="24"/>
        </w:rPr>
        <w:t>are calculated as a percentage of t</w:t>
      </w:r>
      <w:r w:rsidR="00554D1F" w:rsidRPr="001569FB">
        <w:rPr>
          <w:szCs w:val="24"/>
        </w:rPr>
        <w:t xml:space="preserve">he </w:t>
      </w:r>
      <w:r w:rsidR="004D318C" w:rsidRPr="001569FB">
        <w:rPr>
          <w:szCs w:val="24"/>
        </w:rPr>
        <w:t xml:space="preserve">amount by which </w:t>
      </w:r>
      <w:r w:rsidR="00554D1F" w:rsidRPr="001569FB">
        <w:rPr>
          <w:szCs w:val="24"/>
        </w:rPr>
        <w:t>the risk-</w:t>
      </w:r>
      <w:r w:rsidR="005A0ED0" w:rsidRPr="001569FB">
        <w:rPr>
          <w:szCs w:val="24"/>
        </w:rPr>
        <w:t>adjusted servi</w:t>
      </w:r>
      <w:r w:rsidR="00554D1F" w:rsidRPr="001569FB">
        <w:rPr>
          <w:szCs w:val="24"/>
        </w:rPr>
        <w:t xml:space="preserve">ce area benchmark </w:t>
      </w:r>
      <w:r w:rsidR="004D318C" w:rsidRPr="001569FB">
        <w:rPr>
          <w:szCs w:val="24"/>
        </w:rPr>
        <w:t>exceeds</w:t>
      </w:r>
      <w:r w:rsidR="00554D1F" w:rsidRPr="001569FB">
        <w:rPr>
          <w:szCs w:val="24"/>
        </w:rPr>
        <w:t xml:space="preserve"> the risk-</w:t>
      </w:r>
      <w:r w:rsidR="005A0ED0" w:rsidRPr="001569FB">
        <w:rPr>
          <w:szCs w:val="24"/>
        </w:rPr>
        <w:t>adjusted bid</w:t>
      </w:r>
      <w:r w:rsidR="00BF60A0" w:rsidRPr="001569FB">
        <w:rPr>
          <w:szCs w:val="24"/>
        </w:rPr>
        <w:t xml:space="preserve">.  </w:t>
      </w:r>
      <w:r w:rsidR="001C63EC" w:rsidRPr="001569FB">
        <w:rPr>
          <w:szCs w:val="24"/>
        </w:rPr>
        <w:t>Under § 422.266(b), p</w:t>
      </w:r>
      <w:r w:rsidR="005A0ED0" w:rsidRPr="001569FB">
        <w:rPr>
          <w:szCs w:val="24"/>
        </w:rPr>
        <w:t xml:space="preserve">lans </w:t>
      </w:r>
      <w:r w:rsidR="001C63EC" w:rsidRPr="001569FB">
        <w:rPr>
          <w:szCs w:val="24"/>
        </w:rPr>
        <w:t xml:space="preserve">may </w:t>
      </w:r>
      <w:r w:rsidR="005A0ED0" w:rsidRPr="001569FB">
        <w:rPr>
          <w:szCs w:val="24"/>
        </w:rPr>
        <w:t xml:space="preserve">use rebates to fund </w:t>
      </w:r>
      <w:r w:rsidR="00C128E4" w:rsidRPr="001569FB">
        <w:rPr>
          <w:szCs w:val="24"/>
        </w:rPr>
        <w:t xml:space="preserve">mandatory </w:t>
      </w:r>
      <w:r w:rsidR="005A0ED0" w:rsidRPr="001569FB">
        <w:rPr>
          <w:szCs w:val="24"/>
        </w:rPr>
        <w:t>supplemental benefits and</w:t>
      </w:r>
      <w:r w:rsidR="00554D1F" w:rsidRPr="001569FB">
        <w:rPr>
          <w:szCs w:val="24"/>
        </w:rPr>
        <w:t>/</w:t>
      </w:r>
      <w:r w:rsidR="005A0ED0" w:rsidRPr="001569FB">
        <w:rPr>
          <w:szCs w:val="24"/>
        </w:rPr>
        <w:t xml:space="preserve">or to </w:t>
      </w:r>
      <w:r w:rsidR="00875D17" w:rsidRPr="001569FB">
        <w:rPr>
          <w:szCs w:val="24"/>
        </w:rPr>
        <w:t>buy down beneficiary premiums</w:t>
      </w:r>
      <w:r w:rsidR="001C63EC" w:rsidRPr="001569FB">
        <w:rPr>
          <w:szCs w:val="24"/>
        </w:rPr>
        <w:t xml:space="preserve"> for Part B and/or prescription drug coverage</w:t>
      </w:r>
      <w:r w:rsidR="00BF60A0" w:rsidRPr="001569FB">
        <w:rPr>
          <w:szCs w:val="24"/>
        </w:rPr>
        <w:t xml:space="preserve">.  </w:t>
      </w:r>
      <w:r w:rsidR="0064082D" w:rsidRPr="001569FB">
        <w:rPr>
          <w:szCs w:val="24"/>
        </w:rPr>
        <w:t xml:space="preserve">Section 1854(b)(1)(C) </w:t>
      </w:r>
      <w:r w:rsidRPr="001569FB">
        <w:rPr>
          <w:szCs w:val="24"/>
        </w:rPr>
        <w:t xml:space="preserve">stipulates rebate percentages </w:t>
      </w:r>
      <w:r w:rsidR="00A464CF" w:rsidRPr="001569FB">
        <w:rPr>
          <w:szCs w:val="24"/>
        </w:rPr>
        <w:t xml:space="preserve">that </w:t>
      </w:r>
      <w:r w:rsidRPr="001569FB">
        <w:rPr>
          <w:szCs w:val="24"/>
        </w:rPr>
        <w:t xml:space="preserve">apply based on a plan’s </w:t>
      </w:r>
      <w:r w:rsidR="007B0843" w:rsidRPr="001569FB">
        <w:rPr>
          <w:szCs w:val="24"/>
        </w:rPr>
        <w:t>Star Rating</w:t>
      </w:r>
      <w:r w:rsidRPr="001569FB">
        <w:rPr>
          <w:szCs w:val="24"/>
        </w:rPr>
        <w:t>, as shown in Table II-</w:t>
      </w:r>
      <w:r w:rsidR="00146ED3" w:rsidRPr="001569FB">
        <w:rPr>
          <w:szCs w:val="24"/>
        </w:rPr>
        <w:t>3</w:t>
      </w:r>
      <w:r w:rsidR="006F387D" w:rsidRPr="001569FB">
        <w:rPr>
          <w:szCs w:val="24"/>
        </w:rPr>
        <w:t>.</w:t>
      </w:r>
      <w:r w:rsidRPr="001569FB">
        <w:rPr>
          <w:szCs w:val="24"/>
        </w:rPr>
        <w:t xml:space="preserve"> </w:t>
      </w:r>
    </w:p>
    <w:p w14:paraId="0B7BD3A2" w14:textId="72521752" w:rsidR="008325FD" w:rsidRPr="001569FB" w:rsidRDefault="008325FD" w:rsidP="008C291C">
      <w:pPr>
        <w:pStyle w:val="TableTitle0"/>
        <w:rPr>
          <w:szCs w:val="24"/>
        </w:rPr>
      </w:pPr>
      <w:r w:rsidRPr="001569FB">
        <w:rPr>
          <w:szCs w:val="24"/>
        </w:rPr>
        <w:t>Table II-</w:t>
      </w:r>
      <w:r w:rsidR="00146ED3" w:rsidRPr="001569FB">
        <w:rPr>
          <w:szCs w:val="24"/>
        </w:rPr>
        <w:t>3</w:t>
      </w:r>
      <w:r w:rsidRPr="001569FB">
        <w:rPr>
          <w:szCs w:val="24"/>
        </w:rPr>
        <w:t xml:space="preserve">.  MA Rebate </w:t>
      </w:r>
      <w:r w:rsidR="005A0ED0" w:rsidRPr="001569FB">
        <w:rPr>
          <w:szCs w:val="24"/>
        </w:rPr>
        <w:t>Percentages</w:t>
      </w:r>
    </w:p>
    <w:tbl>
      <w:tblPr>
        <w:tblW w:w="19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436"/>
      </w:tblGrid>
      <w:tr w:rsidR="008325FD" w:rsidRPr="001569FB" w14:paraId="6997DD89" w14:textId="77777777" w:rsidTr="00203CF7">
        <w:trPr>
          <w:cantSplit/>
          <w:tblHeader/>
          <w:jc w:val="center"/>
        </w:trPr>
        <w:tc>
          <w:tcPr>
            <w:tcW w:w="3007" w:type="pct"/>
            <w:shd w:val="clear" w:color="auto" w:fill="DDD9C3" w:themeFill="background2" w:themeFillShade="E6"/>
            <w:vAlign w:val="bottom"/>
            <w:hideMark/>
          </w:tcPr>
          <w:p w14:paraId="2872AC7E" w14:textId="77777777" w:rsidR="008325FD" w:rsidRPr="001569FB" w:rsidRDefault="008325FD" w:rsidP="00577751">
            <w:pPr>
              <w:keepNext/>
              <w:spacing w:before="40" w:after="40"/>
              <w:jc w:val="center"/>
              <w:rPr>
                <w:b/>
                <w:bCs/>
                <w:szCs w:val="24"/>
              </w:rPr>
            </w:pPr>
            <w:r w:rsidRPr="001569FB">
              <w:rPr>
                <w:b/>
                <w:bCs/>
                <w:szCs w:val="24"/>
              </w:rPr>
              <w:t>Star Rating</w:t>
            </w:r>
          </w:p>
        </w:tc>
        <w:tc>
          <w:tcPr>
            <w:tcW w:w="1993" w:type="pct"/>
            <w:shd w:val="clear" w:color="auto" w:fill="DDD9C3" w:themeFill="background2" w:themeFillShade="E6"/>
            <w:noWrap/>
            <w:vAlign w:val="bottom"/>
            <w:hideMark/>
          </w:tcPr>
          <w:p w14:paraId="525031EB" w14:textId="77777777" w:rsidR="008325FD" w:rsidRPr="001569FB" w:rsidRDefault="008325FD" w:rsidP="00912039">
            <w:pPr>
              <w:keepNext/>
              <w:spacing w:before="40" w:after="40"/>
              <w:jc w:val="center"/>
              <w:rPr>
                <w:b/>
                <w:bCs/>
                <w:szCs w:val="24"/>
              </w:rPr>
            </w:pPr>
            <w:r w:rsidRPr="001569FB">
              <w:rPr>
                <w:b/>
                <w:bCs/>
                <w:szCs w:val="24"/>
              </w:rPr>
              <w:t>201</w:t>
            </w:r>
            <w:r w:rsidR="00912039" w:rsidRPr="001569FB">
              <w:rPr>
                <w:b/>
                <w:bCs/>
                <w:szCs w:val="24"/>
              </w:rPr>
              <w:t>9</w:t>
            </w:r>
          </w:p>
        </w:tc>
      </w:tr>
      <w:tr w:rsidR="008325FD" w:rsidRPr="001569FB" w14:paraId="1C91F0D6" w14:textId="77777777" w:rsidTr="00203CF7">
        <w:trPr>
          <w:cantSplit/>
          <w:jc w:val="center"/>
        </w:trPr>
        <w:tc>
          <w:tcPr>
            <w:tcW w:w="3007" w:type="pct"/>
            <w:shd w:val="clear" w:color="auto" w:fill="auto"/>
            <w:noWrap/>
            <w:vAlign w:val="bottom"/>
            <w:hideMark/>
          </w:tcPr>
          <w:p w14:paraId="021AB075" w14:textId="77777777" w:rsidR="008325FD" w:rsidRPr="001569FB" w:rsidRDefault="008325FD" w:rsidP="00577751">
            <w:pPr>
              <w:keepNext/>
              <w:spacing w:before="40" w:after="40"/>
              <w:rPr>
                <w:szCs w:val="24"/>
              </w:rPr>
            </w:pPr>
            <w:r w:rsidRPr="001569FB">
              <w:rPr>
                <w:szCs w:val="24"/>
              </w:rPr>
              <w:t>4.5+ Stars</w:t>
            </w:r>
          </w:p>
        </w:tc>
        <w:tc>
          <w:tcPr>
            <w:tcW w:w="1993" w:type="pct"/>
            <w:shd w:val="clear" w:color="auto" w:fill="auto"/>
            <w:noWrap/>
            <w:vAlign w:val="bottom"/>
            <w:hideMark/>
          </w:tcPr>
          <w:p w14:paraId="54F02A41" w14:textId="77777777" w:rsidR="008325FD" w:rsidRPr="001569FB" w:rsidRDefault="00BC5177" w:rsidP="00577751">
            <w:pPr>
              <w:keepNext/>
              <w:tabs>
                <w:tab w:val="decimal" w:pos="310"/>
              </w:tabs>
              <w:spacing w:before="40" w:after="40"/>
              <w:jc w:val="center"/>
              <w:rPr>
                <w:szCs w:val="24"/>
              </w:rPr>
            </w:pPr>
            <w:r w:rsidRPr="001569FB">
              <w:rPr>
                <w:szCs w:val="24"/>
              </w:rPr>
              <w:t>70%</w:t>
            </w:r>
          </w:p>
        </w:tc>
      </w:tr>
      <w:tr w:rsidR="008325FD" w:rsidRPr="001569FB" w14:paraId="44F7D690" w14:textId="77777777" w:rsidTr="00203CF7">
        <w:trPr>
          <w:cantSplit/>
          <w:jc w:val="center"/>
        </w:trPr>
        <w:tc>
          <w:tcPr>
            <w:tcW w:w="3007" w:type="pct"/>
            <w:shd w:val="clear" w:color="auto" w:fill="auto"/>
            <w:noWrap/>
            <w:vAlign w:val="bottom"/>
            <w:hideMark/>
          </w:tcPr>
          <w:p w14:paraId="25D0F778" w14:textId="77777777" w:rsidR="008325FD" w:rsidRPr="001569FB" w:rsidRDefault="008325FD" w:rsidP="00577751">
            <w:pPr>
              <w:keepNext/>
              <w:spacing w:before="40" w:after="40"/>
              <w:rPr>
                <w:szCs w:val="24"/>
              </w:rPr>
            </w:pPr>
            <w:r w:rsidRPr="001569FB">
              <w:rPr>
                <w:szCs w:val="24"/>
              </w:rPr>
              <w:t>3.5 to &lt; 4.5 stars</w:t>
            </w:r>
          </w:p>
        </w:tc>
        <w:tc>
          <w:tcPr>
            <w:tcW w:w="1993" w:type="pct"/>
            <w:shd w:val="clear" w:color="auto" w:fill="auto"/>
            <w:noWrap/>
            <w:vAlign w:val="bottom"/>
            <w:hideMark/>
          </w:tcPr>
          <w:p w14:paraId="5CB27322" w14:textId="77777777" w:rsidR="008325FD" w:rsidRPr="001569FB" w:rsidRDefault="00BC5177" w:rsidP="00577751">
            <w:pPr>
              <w:keepNext/>
              <w:tabs>
                <w:tab w:val="decimal" w:pos="310"/>
              </w:tabs>
              <w:spacing w:before="40" w:after="40"/>
              <w:jc w:val="center"/>
              <w:rPr>
                <w:szCs w:val="24"/>
              </w:rPr>
            </w:pPr>
            <w:r w:rsidRPr="001569FB">
              <w:rPr>
                <w:szCs w:val="24"/>
              </w:rPr>
              <w:t>65%</w:t>
            </w:r>
          </w:p>
        </w:tc>
      </w:tr>
      <w:tr w:rsidR="008325FD" w:rsidRPr="001569FB" w14:paraId="33EFF11E" w14:textId="77777777" w:rsidTr="00203CF7">
        <w:trPr>
          <w:cantSplit/>
          <w:jc w:val="center"/>
        </w:trPr>
        <w:tc>
          <w:tcPr>
            <w:tcW w:w="3007" w:type="pct"/>
            <w:shd w:val="clear" w:color="auto" w:fill="auto"/>
            <w:noWrap/>
            <w:vAlign w:val="bottom"/>
            <w:hideMark/>
          </w:tcPr>
          <w:p w14:paraId="72EF2BC6" w14:textId="77777777" w:rsidR="008325FD" w:rsidRPr="001569FB" w:rsidRDefault="008325FD" w:rsidP="00577751">
            <w:pPr>
              <w:spacing w:before="40" w:after="40"/>
              <w:rPr>
                <w:szCs w:val="24"/>
              </w:rPr>
            </w:pPr>
            <w:r w:rsidRPr="001569FB">
              <w:rPr>
                <w:szCs w:val="24"/>
              </w:rPr>
              <w:t>&lt; 3.5 stars</w:t>
            </w:r>
          </w:p>
        </w:tc>
        <w:tc>
          <w:tcPr>
            <w:tcW w:w="1993" w:type="pct"/>
            <w:shd w:val="clear" w:color="auto" w:fill="auto"/>
            <w:noWrap/>
            <w:vAlign w:val="bottom"/>
            <w:hideMark/>
          </w:tcPr>
          <w:p w14:paraId="5C6F467C" w14:textId="77777777" w:rsidR="008325FD" w:rsidRPr="001569FB" w:rsidRDefault="00BC5177" w:rsidP="00577751">
            <w:pPr>
              <w:tabs>
                <w:tab w:val="decimal" w:pos="310"/>
              </w:tabs>
              <w:spacing w:before="40" w:after="40"/>
              <w:jc w:val="center"/>
              <w:rPr>
                <w:szCs w:val="24"/>
              </w:rPr>
            </w:pPr>
            <w:r w:rsidRPr="001569FB">
              <w:rPr>
                <w:szCs w:val="24"/>
              </w:rPr>
              <w:t>50%</w:t>
            </w:r>
          </w:p>
        </w:tc>
      </w:tr>
    </w:tbl>
    <w:p w14:paraId="1701DF39" w14:textId="77777777" w:rsidR="00B14E1C" w:rsidRPr="001569FB" w:rsidRDefault="008325FD" w:rsidP="009F12EC">
      <w:pPr>
        <w:spacing w:before="400" w:after="200"/>
        <w:rPr>
          <w:szCs w:val="24"/>
        </w:rPr>
      </w:pPr>
      <w:r w:rsidRPr="001569FB">
        <w:rPr>
          <w:szCs w:val="24"/>
        </w:rPr>
        <w:t xml:space="preserve">Section 1854(b)(1)(C)(vi)(II) </w:t>
      </w:r>
      <w:r w:rsidR="00B8473B" w:rsidRPr="001569FB">
        <w:rPr>
          <w:szCs w:val="24"/>
        </w:rPr>
        <w:t xml:space="preserve">of the Act </w:t>
      </w:r>
      <w:r w:rsidRPr="001569FB">
        <w:rPr>
          <w:szCs w:val="24"/>
        </w:rPr>
        <w:t>requires that</w:t>
      </w:r>
      <w:r w:rsidR="00C57595" w:rsidRPr="001569FB">
        <w:rPr>
          <w:szCs w:val="24"/>
        </w:rPr>
        <w:t>, for purposes of determining the rebate percentage,</w:t>
      </w:r>
      <w:r w:rsidRPr="001569FB">
        <w:rPr>
          <w:szCs w:val="24"/>
        </w:rPr>
        <w:t xml:space="preserve"> a new MA contract under a new parent organization will be treated as having a </w:t>
      </w:r>
      <w:r w:rsidR="007B0843" w:rsidRPr="001569FB">
        <w:rPr>
          <w:szCs w:val="24"/>
        </w:rPr>
        <w:t>Star Rating</w:t>
      </w:r>
      <w:r w:rsidRPr="001569FB">
        <w:rPr>
          <w:szCs w:val="24"/>
        </w:rPr>
        <w:t xml:space="preserve"> of 3.5 stars</w:t>
      </w:r>
      <w:r w:rsidR="005A0ED0" w:rsidRPr="001569FB">
        <w:rPr>
          <w:szCs w:val="24"/>
        </w:rPr>
        <w:t xml:space="preserve"> for 2012 and subsequent years</w:t>
      </w:r>
      <w:r w:rsidR="00C57595" w:rsidRPr="001569FB">
        <w:rPr>
          <w:szCs w:val="24"/>
        </w:rPr>
        <w:t>.</w:t>
      </w:r>
      <w:r w:rsidR="00BF60A0" w:rsidRPr="001569FB">
        <w:rPr>
          <w:szCs w:val="24"/>
        </w:rPr>
        <w:t xml:space="preserve">  </w:t>
      </w:r>
      <w:r w:rsidR="006232A9" w:rsidRPr="001569FB">
        <w:rPr>
          <w:szCs w:val="24"/>
        </w:rPr>
        <w:t>The statute is silent on the rebate percentage to assign to low enrollment plans in years after 2012</w:t>
      </w:r>
      <w:r w:rsidR="00751AB8" w:rsidRPr="001569FB">
        <w:rPr>
          <w:szCs w:val="24"/>
        </w:rPr>
        <w:t xml:space="preserve">.  We view this as a gap in the statute, particularly in light of the direction in section 1853(o)(3)(A)(ii) to treat low enrollment plans as qualifying plans for purposes of the quality bonus payment percentage.  </w:t>
      </w:r>
      <w:r w:rsidR="000C458A" w:rsidRPr="001569FB">
        <w:rPr>
          <w:szCs w:val="24"/>
        </w:rPr>
        <w:t xml:space="preserve">As we </w:t>
      </w:r>
      <w:r w:rsidR="00C402C9" w:rsidRPr="001569FB">
        <w:rPr>
          <w:szCs w:val="24"/>
        </w:rPr>
        <w:t xml:space="preserve">have </w:t>
      </w:r>
      <w:r w:rsidR="00DE313E" w:rsidRPr="001569FB">
        <w:rPr>
          <w:szCs w:val="24"/>
        </w:rPr>
        <w:t>in prior years</w:t>
      </w:r>
      <w:r w:rsidR="000C458A" w:rsidRPr="001569FB">
        <w:rPr>
          <w:szCs w:val="24"/>
        </w:rPr>
        <w:t xml:space="preserve">, </w:t>
      </w:r>
      <w:r w:rsidR="006232A9" w:rsidRPr="001569FB">
        <w:rPr>
          <w:szCs w:val="24"/>
        </w:rPr>
        <w:t xml:space="preserve">CMS </w:t>
      </w:r>
      <w:r w:rsidR="004D318C" w:rsidRPr="001569FB">
        <w:rPr>
          <w:szCs w:val="24"/>
        </w:rPr>
        <w:t>intends</w:t>
      </w:r>
      <w:r w:rsidR="006232A9" w:rsidRPr="001569FB">
        <w:rPr>
          <w:szCs w:val="24"/>
        </w:rPr>
        <w:t xml:space="preserve"> </w:t>
      </w:r>
      <w:r w:rsidR="00C14999" w:rsidRPr="001569FB">
        <w:rPr>
          <w:szCs w:val="24"/>
        </w:rPr>
        <w:t xml:space="preserve">to </w:t>
      </w:r>
      <w:r w:rsidR="006232A9" w:rsidRPr="001569FB">
        <w:rPr>
          <w:szCs w:val="24"/>
        </w:rPr>
        <w:t xml:space="preserve">treat low enrollment plans as </w:t>
      </w:r>
      <w:r w:rsidRPr="001569FB">
        <w:rPr>
          <w:szCs w:val="24"/>
        </w:rPr>
        <w:t xml:space="preserve">having a </w:t>
      </w:r>
      <w:r w:rsidR="007B0843" w:rsidRPr="001569FB">
        <w:rPr>
          <w:szCs w:val="24"/>
        </w:rPr>
        <w:t>Star Rating</w:t>
      </w:r>
      <w:r w:rsidRPr="001569FB">
        <w:rPr>
          <w:szCs w:val="24"/>
        </w:rPr>
        <w:t xml:space="preserve"> of 3.5 stars for purposes of determining the rebate </w:t>
      </w:r>
      <w:r w:rsidR="005A0ED0" w:rsidRPr="001569FB">
        <w:rPr>
          <w:szCs w:val="24"/>
        </w:rPr>
        <w:t>percentage</w:t>
      </w:r>
      <w:r w:rsidR="00416039" w:rsidRPr="001569FB">
        <w:rPr>
          <w:szCs w:val="24"/>
        </w:rPr>
        <w:t xml:space="preserve"> for </w:t>
      </w:r>
      <w:r w:rsidR="00C402C9" w:rsidRPr="001569FB">
        <w:rPr>
          <w:szCs w:val="24"/>
        </w:rPr>
        <w:t>2019</w:t>
      </w:r>
      <w:r w:rsidRPr="001569FB">
        <w:rPr>
          <w:szCs w:val="24"/>
        </w:rPr>
        <w:t>.</w:t>
      </w:r>
    </w:p>
    <w:p w14:paraId="3DDD4095" w14:textId="37D0C49C" w:rsidR="00EF1741" w:rsidRPr="001569FB" w:rsidRDefault="00B14E1C" w:rsidP="00B14E1C">
      <w:pPr>
        <w:autoSpaceDE w:val="0"/>
        <w:autoSpaceDN w:val="0"/>
        <w:adjustRightInd w:val="0"/>
        <w:spacing w:after="200"/>
        <w:rPr>
          <w:szCs w:val="24"/>
        </w:rPr>
      </w:pPr>
      <w:r w:rsidRPr="001569FB">
        <w:rPr>
          <w:szCs w:val="24"/>
        </w:rPr>
        <w:t xml:space="preserve">As mentioned above, MACRA amended </w:t>
      </w:r>
      <w:r w:rsidR="00631EF2" w:rsidRPr="001569FB">
        <w:rPr>
          <w:szCs w:val="24"/>
        </w:rPr>
        <w:t>s</w:t>
      </w:r>
      <w:r w:rsidRPr="001569FB">
        <w:rPr>
          <w:szCs w:val="24"/>
        </w:rPr>
        <w:t xml:space="preserve">ection 1853(o)(4) of the Act such that, for the first three years </w:t>
      </w:r>
      <w:r w:rsidR="00C128E4" w:rsidRPr="001569FB">
        <w:rPr>
          <w:szCs w:val="24"/>
        </w:rPr>
        <w:t xml:space="preserve">that a former reasonable cost reimbursement contract is </w:t>
      </w:r>
      <w:r w:rsidRPr="001569FB">
        <w:rPr>
          <w:szCs w:val="24"/>
        </w:rPr>
        <w:t xml:space="preserve">a </w:t>
      </w:r>
      <w:r w:rsidR="00880B69" w:rsidRPr="001569FB">
        <w:rPr>
          <w:szCs w:val="24"/>
        </w:rPr>
        <w:t xml:space="preserve">converted </w:t>
      </w:r>
      <w:r w:rsidRPr="001569FB">
        <w:rPr>
          <w:szCs w:val="24"/>
        </w:rPr>
        <w:t xml:space="preserve">MA plan </w:t>
      </w:r>
      <w:r w:rsidR="00880B69" w:rsidRPr="001569FB">
        <w:rPr>
          <w:szCs w:val="24"/>
        </w:rPr>
        <w:t xml:space="preserve">receiving </w:t>
      </w:r>
      <w:r w:rsidRPr="001569FB">
        <w:rPr>
          <w:szCs w:val="24"/>
        </w:rPr>
        <w:t xml:space="preserve">deemed enrollment, the </w:t>
      </w:r>
      <w:r w:rsidR="00497A1F" w:rsidRPr="001569FB">
        <w:rPr>
          <w:szCs w:val="24"/>
        </w:rPr>
        <w:t xml:space="preserve">converted </w:t>
      </w:r>
      <w:r w:rsidRPr="001569FB">
        <w:rPr>
          <w:szCs w:val="24"/>
        </w:rPr>
        <w:t>plan shall not be treated as a new MA plan.</w:t>
      </w:r>
      <w:r w:rsidR="00EF1741" w:rsidRPr="001569FB">
        <w:rPr>
          <w:szCs w:val="24"/>
        </w:rPr>
        <w:t xml:space="preserve"> </w:t>
      </w:r>
    </w:p>
    <w:p w14:paraId="6C037AC7" w14:textId="77777777" w:rsidR="001E0021" w:rsidRPr="001569FB" w:rsidRDefault="0062772D" w:rsidP="00B14E1C">
      <w:pPr>
        <w:pStyle w:val="Heading2"/>
        <w:spacing w:before="0"/>
      </w:pPr>
      <w:bookmarkStart w:id="43" w:name="_Toc505253774"/>
      <w:bookmarkStart w:id="44" w:name="_Toc282710014"/>
      <w:bookmarkStart w:id="45" w:name="_Toc348432247"/>
      <w:bookmarkStart w:id="46" w:name="_Toc348432883"/>
      <w:r w:rsidRPr="001569FB">
        <w:lastRenderedPageBreak/>
        <w:t>Section B</w:t>
      </w:r>
      <w:r w:rsidR="00BF60A0" w:rsidRPr="001569FB">
        <w:t xml:space="preserve">.  </w:t>
      </w:r>
      <w:r w:rsidR="00353E20" w:rsidRPr="001569FB">
        <w:t xml:space="preserve">Calculation of Fee for Service </w:t>
      </w:r>
      <w:r w:rsidR="00751AB8" w:rsidRPr="001569FB">
        <w:t>Cost</w:t>
      </w:r>
      <w:bookmarkEnd w:id="43"/>
    </w:p>
    <w:p w14:paraId="5C8A1EA6" w14:textId="77777777" w:rsidR="001625C5" w:rsidRPr="001569FB" w:rsidRDefault="00353E20" w:rsidP="006B5A18">
      <w:pPr>
        <w:spacing w:before="200" w:after="200"/>
        <w:rPr>
          <w:szCs w:val="24"/>
        </w:rPr>
      </w:pPr>
      <w:r w:rsidRPr="001569FB">
        <w:rPr>
          <w:szCs w:val="24"/>
        </w:rPr>
        <w:t xml:space="preserve">The FFS </w:t>
      </w:r>
      <w:r w:rsidR="00751AB8" w:rsidRPr="001569FB">
        <w:rPr>
          <w:szCs w:val="24"/>
        </w:rPr>
        <w:t>cost</w:t>
      </w:r>
      <w:r w:rsidRPr="001569FB">
        <w:rPr>
          <w:szCs w:val="24"/>
        </w:rPr>
        <w:t xml:space="preserve"> for each county is a product of </w:t>
      </w:r>
      <w:r w:rsidR="002C5C57" w:rsidRPr="001569FB">
        <w:rPr>
          <w:szCs w:val="24"/>
        </w:rPr>
        <w:t>(</w:t>
      </w:r>
      <w:r w:rsidRPr="001569FB">
        <w:rPr>
          <w:szCs w:val="24"/>
        </w:rPr>
        <w:t xml:space="preserve">1) the national FFS </w:t>
      </w:r>
      <w:r w:rsidR="0050762A" w:rsidRPr="001569FB">
        <w:rPr>
          <w:szCs w:val="24"/>
        </w:rPr>
        <w:t>cost</w:t>
      </w:r>
      <w:r w:rsidRPr="001569FB">
        <w:rPr>
          <w:szCs w:val="24"/>
        </w:rPr>
        <w:t xml:space="preserve">, or United States per-capita cost (USPCC), and </w:t>
      </w:r>
      <w:r w:rsidR="002C5C57" w:rsidRPr="001569FB">
        <w:rPr>
          <w:szCs w:val="24"/>
        </w:rPr>
        <w:t>(</w:t>
      </w:r>
      <w:r w:rsidRPr="001569FB">
        <w:rPr>
          <w:szCs w:val="24"/>
        </w:rPr>
        <w:t>2) a county-level geographic index called the average geographic adjustment (AGA).</w:t>
      </w:r>
    </w:p>
    <w:p w14:paraId="39C6B7F9" w14:textId="03CF9267" w:rsidR="00CE35E8" w:rsidRPr="001569FB" w:rsidRDefault="001625C5" w:rsidP="006B5A18">
      <w:pPr>
        <w:spacing w:before="200" w:after="200"/>
        <w:rPr>
          <w:szCs w:val="24"/>
        </w:rPr>
      </w:pPr>
      <w:r w:rsidRPr="001569FB">
        <w:rPr>
          <w:szCs w:val="24"/>
        </w:rPr>
        <w:t xml:space="preserve">For 2019, we are proposing to continue to incorporate refinements developed in prior years to update the claims data used to calculate the AGAs and to continue the repricing of historical data in the AGA calculation.  Specifically, we will </w:t>
      </w:r>
      <w:r w:rsidR="00B374A4" w:rsidRPr="001569FB">
        <w:rPr>
          <w:color w:val="000000"/>
          <w:szCs w:val="24"/>
        </w:rPr>
        <w:t xml:space="preserve">incorporate </w:t>
      </w:r>
      <w:r w:rsidR="003F494E" w:rsidRPr="001569FB">
        <w:rPr>
          <w:color w:val="000000"/>
          <w:szCs w:val="24"/>
        </w:rPr>
        <w:t xml:space="preserve">updates and </w:t>
      </w:r>
      <w:r w:rsidR="003A626F" w:rsidRPr="001569FB">
        <w:rPr>
          <w:color w:val="000000"/>
          <w:szCs w:val="24"/>
        </w:rPr>
        <w:t>refinements to the AGA calculation methodology</w:t>
      </w:r>
      <w:r w:rsidRPr="001569FB">
        <w:rPr>
          <w:color w:val="000000"/>
          <w:szCs w:val="24"/>
        </w:rPr>
        <w:t xml:space="preserve"> </w:t>
      </w:r>
      <w:r w:rsidR="003A626F" w:rsidRPr="001569FB">
        <w:rPr>
          <w:color w:val="000000"/>
          <w:szCs w:val="24"/>
        </w:rPr>
        <w:t xml:space="preserve">to reflect changes in FFS payment rules. </w:t>
      </w:r>
      <w:r w:rsidR="002C5C57" w:rsidRPr="001569FB">
        <w:rPr>
          <w:color w:val="000000"/>
          <w:szCs w:val="24"/>
        </w:rPr>
        <w:t xml:space="preserve"> </w:t>
      </w:r>
      <w:r w:rsidR="003A626F" w:rsidRPr="001569FB">
        <w:rPr>
          <w:color w:val="000000"/>
          <w:szCs w:val="24"/>
        </w:rPr>
        <w:t>H</w:t>
      </w:r>
      <w:r w:rsidR="003A626F" w:rsidRPr="001569FB">
        <w:rPr>
          <w:szCs w:val="24"/>
        </w:rPr>
        <w:t xml:space="preserve">istorical claims data </w:t>
      </w:r>
      <w:r w:rsidRPr="001569FB">
        <w:rPr>
          <w:szCs w:val="24"/>
        </w:rPr>
        <w:t xml:space="preserve">will be </w:t>
      </w:r>
      <w:r w:rsidR="003A626F" w:rsidRPr="001569FB">
        <w:rPr>
          <w:szCs w:val="24"/>
        </w:rPr>
        <w:t xml:space="preserve">repriced to reflect the most current wage and cost indices. </w:t>
      </w:r>
      <w:r w:rsidR="007A6384" w:rsidRPr="001569FB">
        <w:rPr>
          <w:szCs w:val="24"/>
        </w:rPr>
        <w:t xml:space="preserve"> </w:t>
      </w:r>
      <w:r w:rsidR="003A626F" w:rsidRPr="001569FB">
        <w:rPr>
          <w:color w:val="000000"/>
          <w:szCs w:val="24"/>
        </w:rPr>
        <w:t xml:space="preserve">CMS </w:t>
      </w:r>
      <w:r w:rsidRPr="001569FB">
        <w:rPr>
          <w:color w:val="000000"/>
          <w:szCs w:val="24"/>
        </w:rPr>
        <w:t xml:space="preserve">will </w:t>
      </w:r>
      <w:r w:rsidR="003A626F" w:rsidRPr="001569FB">
        <w:rPr>
          <w:color w:val="000000"/>
          <w:szCs w:val="24"/>
        </w:rPr>
        <w:t>re-pric</w:t>
      </w:r>
      <w:r w:rsidRPr="001569FB">
        <w:rPr>
          <w:color w:val="000000"/>
          <w:szCs w:val="24"/>
        </w:rPr>
        <w:t>e</w:t>
      </w:r>
      <w:r w:rsidR="003A626F" w:rsidRPr="001569FB">
        <w:rPr>
          <w:color w:val="000000"/>
          <w:szCs w:val="24"/>
        </w:rPr>
        <w:t xml:space="preserve"> </w:t>
      </w:r>
      <w:r w:rsidR="000C458A" w:rsidRPr="001569FB">
        <w:rPr>
          <w:color w:val="000000"/>
          <w:szCs w:val="24"/>
        </w:rPr>
        <w:t xml:space="preserve">hospital </w:t>
      </w:r>
      <w:r w:rsidR="003A626F" w:rsidRPr="001569FB">
        <w:rPr>
          <w:color w:val="000000"/>
          <w:szCs w:val="24"/>
        </w:rPr>
        <w:t xml:space="preserve">inpatient, hospital outpatient, skilled nursing facility, and home health claims to reflect the most current wage indices, and re-tabulate physician claims with the most current Geographic Practice Cost Index. </w:t>
      </w:r>
      <w:r w:rsidR="007A6384" w:rsidRPr="001569FB">
        <w:rPr>
          <w:color w:val="000000"/>
          <w:szCs w:val="24"/>
        </w:rPr>
        <w:t xml:space="preserve"> </w:t>
      </w:r>
      <w:r w:rsidRPr="001569FB">
        <w:rPr>
          <w:szCs w:val="24"/>
        </w:rPr>
        <w:t>We will also</w:t>
      </w:r>
      <w:r w:rsidR="003A626F" w:rsidRPr="001569FB">
        <w:rPr>
          <w:szCs w:val="24"/>
        </w:rPr>
        <w:t xml:space="preserve"> reprice historical claims to account for </w:t>
      </w:r>
      <w:r w:rsidRPr="001569FB">
        <w:rPr>
          <w:szCs w:val="24"/>
        </w:rPr>
        <w:t xml:space="preserve">legislative </w:t>
      </w:r>
      <w:r w:rsidR="00054B7C" w:rsidRPr="001569FB">
        <w:rPr>
          <w:szCs w:val="24"/>
        </w:rPr>
        <w:t xml:space="preserve">and regulatory </w:t>
      </w:r>
      <w:r w:rsidR="003A626F" w:rsidRPr="001569FB">
        <w:rPr>
          <w:szCs w:val="24"/>
        </w:rPr>
        <w:t>changes made to payments to disproportionate share hospitals</w:t>
      </w:r>
      <w:r w:rsidRPr="001569FB">
        <w:rPr>
          <w:szCs w:val="24"/>
        </w:rPr>
        <w:t xml:space="preserve"> and </w:t>
      </w:r>
      <w:r w:rsidR="003A626F" w:rsidRPr="001569FB">
        <w:rPr>
          <w:szCs w:val="24"/>
        </w:rPr>
        <w:t>reprice durable medical equipment claims to account for the change in prices associated with the competitive bid</w:t>
      </w:r>
      <w:r w:rsidR="006F0616" w:rsidRPr="001569FB">
        <w:rPr>
          <w:szCs w:val="24"/>
        </w:rPr>
        <w:t>ding</w:t>
      </w:r>
      <w:r w:rsidR="003A626F" w:rsidRPr="001569FB">
        <w:rPr>
          <w:szCs w:val="24"/>
        </w:rPr>
        <w:t xml:space="preserve"> program.</w:t>
      </w:r>
      <w:r w:rsidRPr="001569FB">
        <w:rPr>
          <w:szCs w:val="24"/>
        </w:rPr>
        <w:t xml:space="preserve"> </w:t>
      </w:r>
      <w:r w:rsidR="007A6384" w:rsidRPr="001569FB">
        <w:rPr>
          <w:szCs w:val="24"/>
        </w:rPr>
        <w:t xml:space="preserve"> </w:t>
      </w:r>
      <w:r w:rsidR="003A626F" w:rsidRPr="001569FB">
        <w:rPr>
          <w:szCs w:val="24"/>
        </w:rPr>
        <w:t xml:space="preserve">Repricing historical claims, in conjunction with rebasing rates for </w:t>
      </w:r>
      <w:r w:rsidRPr="001569FB">
        <w:rPr>
          <w:szCs w:val="24"/>
        </w:rPr>
        <w:t>2019</w:t>
      </w:r>
      <w:r w:rsidR="003A626F" w:rsidRPr="001569FB">
        <w:rPr>
          <w:szCs w:val="24"/>
        </w:rPr>
        <w:t>, ensure</w:t>
      </w:r>
      <w:r w:rsidR="006F0616" w:rsidRPr="001569FB">
        <w:rPr>
          <w:szCs w:val="24"/>
        </w:rPr>
        <w:t>s</w:t>
      </w:r>
      <w:r w:rsidR="003A626F" w:rsidRPr="001569FB">
        <w:rPr>
          <w:szCs w:val="24"/>
        </w:rPr>
        <w:t xml:space="preserve"> that the </w:t>
      </w:r>
      <w:r w:rsidRPr="001569FB">
        <w:rPr>
          <w:szCs w:val="24"/>
        </w:rPr>
        <w:t xml:space="preserve">2019 </w:t>
      </w:r>
      <w:r w:rsidR="003A626F" w:rsidRPr="001569FB">
        <w:rPr>
          <w:szCs w:val="24"/>
        </w:rPr>
        <w:t xml:space="preserve">FFS </w:t>
      </w:r>
      <w:r w:rsidR="00CB01DC" w:rsidRPr="001569FB">
        <w:rPr>
          <w:szCs w:val="24"/>
        </w:rPr>
        <w:t>rates</w:t>
      </w:r>
      <w:r w:rsidR="006A6249" w:rsidRPr="001569FB">
        <w:rPr>
          <w:szCs w:val="24"/>
        </w:rPr>
        <w:t xml:space="preserve"> for each county</w:t>
      </w:r>
      <w:r w:rsidR="003A626F" w:rsidRPr="001569FB">
        <w:rPr>
          <w:szCs w:val="24"/>
        </w:rPr>
        <w:t xml:space="preserve"> reflect the most current FFS fee schedules and payment rules.</w:t>
      </w:r>
      <w:r w:rsidR="00CE35E8" w:rsidRPr="001569FB">
        <w:rPr>
          <w:szCs w:val="24"/>
        </w:rPr>
        <w:t xml:space="preserve"> </w:t>
      </w:r>
    </w:p>
    <w:p w14:paraId="178C93FE" w14:textId="512C64E2" w:rsidR="00B374A4" w:rsidRPr="001569FB" w:rsidRDefault="00B374A4" w:rsidP="00B374A4">
      <w:pPr>
        <w:spacing w:before="200" w:after="200"/>
        <w:rPr>
          <w:szCs w:val="24"/>
        </w:rPr>
      </w:pPr>
      <w:r w:rsidRPr="001569FB">
        <w:rPr>
          <w:szCs w:val="24"/>
        </w:rPr>
        <w:t xml:space="preserve">With this Advance Notice, we are releasing the 2016 FFS cost data by county used in the development of the 2019 ratebook.  </w:t>
      </w:r>
      <w:r w:rsidR="00F16829" w:rsidRPr="001569FB">
        <w:rPr>
          <w:szCs w:val="24"/>
        </w:rPr>
        <w:t xml:space="preserve">This data </w:t>
      </w:r>
      <w:r w:rsidR="00B2162A" w:rsidRPr="001569FB">
        <w:rPr>
          <w:szCs w:val="24"/>
        </w:rPr>
        <w:t xml:space="preserve">is available </w:t>
      </w:r>
      <w:r w:rsidR="00F16829" w:rsidRPr="001569FB">
        <w:rPr>
          <w:szCs w:val="24"/>
        </w:rPr>
        <w:t xml:space="preserve">on the CMS website at </w:t>
      </w:r>
      <w:hyperlink r:id="rId16" w:tooltip="Hyperlink to Access Medicare FFS cost data on the CMS website" w:history="1">
        <w:r w:rsidR="00F16829" w:rsidRPr="001569FB">
          <w:rPr>
            <w:rStyle w:val="Hyperlink"/>
            <w:szCs w:val="24"/>
          </w:rPr>
          <w:t>https://www.cms.gov/Medicare/Health-Plans/MedicareAdvtgSpecRateStats/FFS-Data.html</w:t>
        </w:r>
      </w:hyperlink>
      <w:hyperlink r:id="rId17" w:history="1">
        <w:r w:rsidR="00C669E3" w:rsidRPr="001569FB">
          <w:rPr>
            <w:rStyle w:val="Hyperlink"/>
          </w:rPr>
          <w:t>https://www.cms.gov/Medicare/Health-Plans/MedicareAdvtgSpecRateStats/Ratebooks-and-Supporting-Data.html</w:t>
        </w:r>
      </w:hyperlink>
      <w:r w:rsidR="00F16829" w:rsidRPr="001569FB">
        <w:rPr>
          <w:rStyle w:val="Hyperlink"/>
          <w:szCs w:val="24"/>
        </w:rPr>
        <w:t xml:space="preserve">. </w:t>
      </w:r>
      <w:r w:rsidRPr="001569FB">
        <w:rPr>
          <w:szCs w:val="24"/>
        </w:rPr>
        <w:t>This</w:t>
      </w:r>
      <w:r w:rsidR="008E38C8" w:rsidRPr="001569FB">
        <w:rPr>
          <w:szCs w:val="24"/>
        </w:rPr>
        <w:t> </w:t>
      </w:r>
      <w:r w:rsidRPr="001569FB">
        <w:rPr>
          <w:szCs w:val="24"/>
        </w:rPr>
        <w:t xml:space="preserve">data will not reflect adjustments for </w:t>
      </w:r>
      <w:r w:rsidR="00866AA9" w:rsidRPr="001569FB">
        <w:rPr>
          <w:szCs w:val="24"/>
        </w:rPr>
        <w:t xml:space="preserve">ACO </w:t>
      </w:r>
      <w:r w:rsidRPr="001569FB">
        <w:rPr>
          <w:szCs w:val="24"/>
        </w:rPr>
        <w:t xml:space="preserve">shared savings and </w:t>
      </w:r>
      <w:r w:rsidR="00691A88" w:rsidRPr="001569FB">
        <w:rPr>
          <w:szCs w:val="24"/>
        </w:rPr>
        <w:t>losses</w:t>
      </w:r>
      <w:r w:rsidRPr="001569FB">
        <w:rPr>
          <w:szCs w:val="24"/>
        </w:rPr>
        <w:t xml:space="preserve"> and will not reflect adjustments for claim repricing for the most recent </w:t>
      </w:r>
      <w:r w:rsidR="00866AA9" w:rsidRPr="001569FB">
        <w:rPr>
          <w:szCs w:val="24"/>
        </w:rPr>
        <w:t xml:space="preserve">Medicare FFS </w:t>
      </w:r>
      <w:r w:rsidRPr="001569FB">
        <w:rPr>
          <w:szCs w:val="24"/>
        </w:rPr>
        <w:t xml:space="preserve">payment rules and parameters. </w:t>
      </w:r>
    </w:p>
    <w:p w14:paraId="07162429" w14:textId="77777777" w:rsidR="00353E20" w:rsidRPr="001569FB" w:rsidRDefault="002A710F" w:rsidP="00203CF7">
      <w:pPr>
        <w:pStyle w:val="Heading3"/>
      </w:pPr>
      <w:r w:rsidRPr="001569FB">
        <w:t>B1</w:t>
      </w:r>
      <w:r w:rsidR="00BF60A0" w:rsidRPr="001569FB">
        <w:t xml:space="preserve">.  </w:t>
      </w:r>
      <w:r w:rsidR="00353E20" w:rsidRPr="001569FB">
        <w:t>AGA Methodology for 201</w:t>
      </w:r>
      <w:r w:rsidR="00912039" w:rsidRPr="001569FB">
        <w:t>9</w:t>
      </w:r>
    </w:p>
    <w:p w14:paraId="7775E4CD" w14:textId="047E2C0E" w:rsidR="007C2840" w:rsidRPr="001569FB" w:rsidRDefault="007C2840" w:rsidP="006B5A18">
      <w:pPr>
        <w:spacing w:before="200" w:after="200"/>
        <w:rPr>
          <w:color w:val="000000"/>
          <w:szCs w:val="24"/>
        </w:rPr>
      </w:pPr>
      <w:r w:rsidRPr="001569FB">
        <w:rPr>
          <w:szCs w:val="24"/>
        </w:rPr>
        <w:t xml:space="preserve">In the first step, CMS is proposing to add the </w:t>
      </w:r>
      <w:r w:rsidR="00D3722F" w:rsidRPr="001569FB">
        <w:rPr>
          <w:szCs w:val="24"/>
        </w:rPr>
        <w:t xml:space="preserve">2016 </w:t>
      </w:r>
      <w:r w:rsidRPr="001569FB">
        <w:rPr>
          <w:szCs w:val="24"/>
        </w:rPr>
        <w:t>cost and enrollment data</w:t>
      </w:r>
      <w:r w:rsidR="00E058C0" w:rsidRPr="001569FB">
        <w:rPr>
          <w:szCs w:val="24"/>
        </w:rPr>
        <w:t xml:space="preserve"> to</w:t>
      </w:r>
      <w:r w:rsidRPr="001569FB">
        <w:rPr>
          <w:szCs w:val="24"/>
        </w:rPr>
        <w:t xml:space="preserve">, and drop the </w:t>
      </w:r>
      <w:r w:rsidR="00D3722F" w:rsidRPr="001569FB">
        <w:rPr>
          <w:szCs w:val="24"/>
        </w:rPr>
        <w:t xml:space="preserve">2011 </w:t>
      </w:r>
      <w:r w:rsidRPr="001569FB">
        <w:rPr>
          <w:szCs w:val="24"/>
        </w:rPr>
        <w:t>cost and enrollment data</w:t>
      </w:r>
      <w:r w:rsidR="00E058C0" w:rsidRPr="001569FB">
        <w:rPr>
          <w:szCs w:val="24"/>
        </w:rPr>
        <w:t xml:space="preserve"> from</w:t>
      </w:r>
      <w:r w:rsidRPr="001569FB">
        <w:rPr>
          <w:szCs w:val="24"/>
        </w:rPr>
        <w:t xml:space="preserve">, the historical claims experience used to develop new geographic cost </w:t>
      </w:r>
      <w:r w:rsidRPr="001569FB">
        <w:rPr>
          <w:color w:val="000000"/>
          <w:szCs w:val="24"/>
        </w:rPr>
        <w:t xml:space="preserve">indices for each county. </w:t>
      </w:r>
      <w:r w:rsidR="007A6384" w:rsidRPr="001569FB">
        <w:rPr>
          <w:color w:val="000000"/>
          <w:szCs w:val="24"/>
        </w:rPr>
        <w:t xml:space="preserve"> </w:t>
      </w:r>
      <w:r w:rsidRPr="001569FB">
        <w:rPr>
          <w:color w:val="000000"/>
          <w:szCs w:val="24"/>
        </w:rPr>
        <w:t>As a result, the five</w:t>
      </w:r>
      <w:r w:rsidR="00855FF4" w:rsidRPr="001569FB">
        <w:rPr>
          <w:color w:val="000000"/>
          <w:szCs w:val="24"/>
        </w:rPr>
        <w:t>-</w:t>
      </w:r>
      <w:r w:rsidRPr="001569FB">
        <w:rPr>
          <w:color w:val="000000"/>
          <w:szCs w:val="24"/>
        </w:rPr>
        <w:t xml:space="preserve">year rolling average will be based on </w:t>
      </w:r>
      <w:r w:rsidR="00A94064" w:rsidRPr="001569FB">
        <w:rPr>
          <w:color w:val="000000"/>
          <w:szCs w:val="24"/>
        </w:rPr>
        <w:t xml:space="preserve">original Medicare </w:t>
      </w:r>
      <w:r w:rsidRPr="001569FB">
        <w:rPr>
          <w:color w:val="000000"/>
          <w:szCs w:val="24"/>
        </w:rPr>
        <w:t xml:space="preserve">claims data from </w:t>
      </w:r>
      <w:r w:rsidR="00D3722F" w:rsidRPr="001569FB">
        <w:rPr>
          <w:color w:val="000000"/>
          <w:szCs w:val="24"/>
        </w:rPr>
        <w:t>2012</w:t>
      </w:r>
      <w:r w:rsidR="00D437B6" w:rsidRPr="001569FB">
        <w:rPr>
          <w:color w:val="000000"/>
          <w:szCs w:val="24"/>
        </w:rPr>
        <w:t>–</w:t>
      </w:r>
      <w:r w:rsidR="00D3722F" w:rsidRPr="001569FB">
        <w:rPr>
          <w:color w:val="000000"/>
          <w:szCs w:val="24"/>
        </w:rPr>
        <w:t>2016</w:t>
      </w:r>
      <w:r w:rsidRPr="001569FB">
        <w:rPr>
          <w:color w:val="000000"/>
          <w:szCs w:val="24"/>
        </w:rPr>
        <w:t xml:space="preserve">. </w:t>
      </w:r>
      <w:r w:rsidR="00795175" w:rsidRPr="001569FB">
        <w:rPr>
          <w:color w:val="000000"/>
          <w:szCs w:val="24"/>
        </w:rPr>
        <w:t xml:space="preserve"> CMS </w:t>
      </w:r>
      <w:r w:rsidR="002201A1" w:rsidRPr="001569FB">
        <w:rPr>
          <w:color w:val="000000"/>
          <w:szCs w:val="24"/>
        </w:rPr>
        <w:t xml:space="preserve">will </w:t>
      </w:r>
      <w:r w:rsidR="00795175" w:rsidRPr="001569FB">
        <w:rPr>
          <w:color w:val="000000"/>
          <w:szCs w:val="24"/>
        </w:rPr>
        <w:t>then perform a series of adjustments to the original Medicare data to estimate FFS rates per county, explained below as successive steps.</w:t>
      </w:r>
    </w:p>
    <w:p w14:paraId="00D77740" w14:textId="493D5575" w:rsidR="007C2840" w:rsidRPr="001569FB" w:rsidRDefault="007C2840" w:rsidP="006B5A18">
      <w:pPr>
        <w:autoSpaceDE w:val="0"/>
        <w:autoSpaceDN w:val="0"/>
        <w:adjustRightInd w:val="0"/>
        <w:spacing w:before="200" w:after="200"/>
        <w:rPr>
          <w:color w:val="000000"/>
          <w:szCs w:val="24"/>
        </w:rPr>
      </w:pPr>
      <w:r w:rsidRPr="001569FB">
        <w:rPr>
          <w:color w:val="000000"/>
          <w:szCs w:val="24"/>
        </w:rPr>
        <w:t xml:space="preserve">In the second step, CMS will </w:t>
      </w:r>
      <w:r w:rsidR="00B63977" w:rsidRPr="001569FB">
        <w:rPr>
          <w:color w:val="000000"/>
          <w:szCs w:val="24"/>
        </w:rPr>
        <w:t xml:space="preserve">exclude hospice expenditures and FFS claims paid on behalf of cost plan enrollees from </w:t>
      </w:r>
      <w:r w:rsidR="00840096" w:rsidRPr="001569FB">
        <w:rPr>
          <w:color w:val="000000"/>
          <w:szCs w:val="24"/>
        </w:rPr>
        <w:t xml:space="preserve">the </w:t>
      </w:r>
      <w:r w:rsidR="00D3722F" w:rsidRPr="001569FB">
        <w:rPr>
          <w:color w:val="000000"/>
          <w:szCs w:val="24"/>
        </w:rPr>
        <w:t xml:space="preserve">2016 </w:t>
      </w:r>
      <w:r w:rsidR="00B63977" w:rsidRPr="001569FB">
        <w:rPr>
          <w:color w:val="000000"/>
          <w:szCs w:val="24"/>
        </w:rPr>
        <w:t xml:space="preserve">claims. </w:t>
      </w:r>
      <w:r w:rsidR="007A6384" w:rsidRPr="001569FB">
        <w:rPr>
          <w:color w:val="000000"/>
          <w:szCs w:val="24"/>
        </w:rPr>
        <w:t xml:space="preserve"> </w:t>
      </w:r>
      <w:r w:rsidR="00B63977" w:rsidRPr="001569FB">
        <w:rPr>
          <w:color w:val="000000"/>
          <w:szCs w:val="24"/>
        </w:rPr>
        <w:t xml:space="preserve">Comparable adjustments were previously made to </w:t>
      </w:r>
      <w:r w:rsidR="00D3722F" w:rsidRPr="001569FB">
        <w:rPr>
          <w:color w:val="000000"/>
          <w:szCs w:val="24"/>
        </w:rPr>
        <w:t>2012</w:t>
      </w:r>
      <w:r w:rsidR="00417D69" w:rsidRPr="001569FB">
        <w:rPr>
          <w:color w:val="000000"/>
          <w:szCs w:val="24"/>
        </w:rPr>
        <w:t>–</w:t>
      </w:r>
      <w:r w:rsidR="00D3722F" w:rsidRPr="001569FB">
        <w:rPr>
          <w:color w:val="000000"/>
          <w:szCs w:val="24"/>
        </w:rPr>
        <w:t xml:space="preserve">2015 </w:t>
      </w:r>
      <w:r w:rsidR="00B63977" w:rsidRPr="001569FB">
        <w:rPr>
          <w:color w:val="000000"/>
          <w:szCs w:val="24"/>
        </w:rPr>
        <w:t>claims data</w:t>
      </w:r>
      <w:r w:rsidR="00A94064" w:rsidRPr="001569FB">
        <w:rPr>
          <w:color w:val="000000"/>
          <w:szCs w:val="24"/>
        </w:rPr>
        <w:t xml:space="preserve"> in the development of the FFS rates for prior years</w:t>
      </w:r>
      <w:r w:rsidR="00B63977" w:rsidRPr="001569FB">
        <w:rPr>
          <w:color w:val="000000"/>
          <w:szCs w:val="24"/>
        </w:rPr>
        <w:t xml:space="preserve">. </w:t>
      </w:r>
    </w:p>
    <w:p w14:paraId="65067F94" w14:textId="77777777" w:rsidR="00D27D5A" w:rsidRPr="001569FB" w:rsidRDefault="007C2840" w:rsidP="00A77D00">
      <w:pPr>
        <w:autoSpaceDE w:val="0"/>
        <w:autoSpaceDN w:val="0"/>
        <w:adjustRightInd w:val="0"/>
        <w:spacing w:before="200" w:after="200"/>
        <w:rPr>
          <w:color w:val="000000"/>
          <w:szCs w:val="24"/>
        </w:rPr>
      </w:pPr>
      <w:r w:rsidRPr="001569FB">
        <w:rPr>
          <w:color w:val="000000"/>
          <w:szCs w:val="24"/>
        </w:rPr>
        <w:t xml:space="preserve">For Puerto Rico, CMS will </w:t>
      </w:r>
      <w:r w:rsidR="0067595F" w:rsidRPr="001569FB">
        <w:rPr>
          <w:color w:val="000000"/>
          <w:szCs w:val="24"/>
        </w:rPr>
        <w:t xml:space="preserve">continue to </w:t>
      </w:r>
      <w:r w:rsidRPr="001569FB">
        <w:rPr>
          <w:color w:val="000000"/>
          <w:szCs w:val="24"/>
        </w:rPr>
        <w:t>only include claims and enrollment for beneficiaries with Part A eligibility and Part B enrollment for all five years (</w:t>
      </w:r>
      <w:r w:rsidR="00D3722F" w:rsidRPr="001569FB">
        <w:rPr>
          <w:color w:val="000000"/>
          <w:szCs w:val="24"/>
        </w:rPr>
        <w:t>2012</w:t>
      </w:r>
      <w:r w:rsidR="00C5719A" w:rsidRPr="001569FB">
        <w:rPr>
          <w:color w:val="000000"/>
          <w:szCs w:val="24"/>
        </w:rPr>
        <w:t>–</w:t>
      </w:r>
      <w:r w:rsidR="00D3722F" w:rsidRPr="001569FB">
        <w:rPr>
          <w:color w:val="000000"/>
          <w:szCs w:val="24"/>
        </w:rPr>
        <w:t>2016</w:t>
      </w:r>
      <w:r w:rsidRPr="001569FB">
        <w:rPr>
          <w:color w:val="000000"/>
          <w:szCs w:val="24"/>
        </w:rPr>
        <w:t>).</w:t>
      </w:r>
      <w:r w:rsidR="009B7300" w:rsidRPr="001569FB">
        <w:rPr>
          <w:color w:val="000000"/>
          <w:szCs w:val="24"/>
        </w:rPr>
        <w:t xml:space="preserve">  </w:t>
      </w:r>
      <w:r w:rsidR="00D27D5A" w:rsidRPr="001569FB">
        <w:rPr>
          <w:color w:val="000000"/>
          <w:szCs w:val="24"/>
        </w:rPr>
        <w:t xml:space="preserve">While most Medicare beneficiaries are automatically enrolled in Part B and must opt out to decline it, beneficiaries in </w:t>
      </w:r>
      <w:r w:rsidR="00D27D5A" w:rsidRPr="001569FB">
        <w:rPr>
          <w:color w:val="000000"/>
          <w:szCs w:val="24"/>
        </w:rPr>
        <w:lastRenderedPageBreak/>
        <w:t xml:space="preserve">Puerto Rico must take affirmative action to opt-in to Part B coverage.  CMS </w:t>
      </w:r>
      <w:r w:rsidR="0055298A" w:rsidRPr="001569FB">
        <w:rPr>
          <w:color w:val="000000"/>
          <w:szCs w:val="24"/>
        </w:rPr>
        <w:t xml:space="preserve">continues to </w:t>
      </w:r>
      <w:r w:rsidR="00D27D5A" w:rsidRPr="001569FB">
        <w:rPr>
          <w:color w:val="000000"/>
          <w:szCs w:val="24"/>
        </w:rPr>
        <w:t>believe it is appropriate to adjust the FFS rate calculation in Puerto Rico used to determine MA rates so that it is based on beneficiaries who are enrolled in both Part A and Part B in order to produce a more accurate projection of FFS costs per capita in Puerto Rico.</w:t>
      </w:r>
    </w:p>
    <w:p w14:paraId="45594CD9" w14:textId="1FBF335C" w:rsidR="00EF1741" w:rsidRPr="001569FB" w:rsidRDefault="00F027F7" w:rsidP="00A77D00">
      <w:pPr>
        <w:autoSpaceDE w:val="0"/>
        <w:autoSpaceDN w:val="0"/>
        <w:adjustRightInd w:val="0"/>
        <w:spacing w:before="200" w:after="200"/>
        <w:rPr>
          <w:color w:val="000000"/>
          <w:szCs w:val="24"/>
        </w:rPr>
      </w:pPr>
      <w:r w:rsidRPr="001569FB">
        <w:rPr>
          <w:color w:val="000000"/>
          <w:szCs w:val="24"/>
        </w:rPr>
        <w:t>I</w:t>
      </w:r>
      <w:r w:rsidR="009B7300" w:rsidRPr="001569FB">
        <w:rPr>
          <w:color w:val="000000"/>
          <w:szCs w:val="24"/>
        </w:rPr>
        <w:t>n 2017</w:t>
      </w:r>
      <w:r w:rsidR="00D3722F" w:rsidRPr="001569FB">
        <w:rPr>
          <w:color w:val="000000"/>
          <w:szCs w:val="24"/>
        </w:rPr>
        <w:t xml:space="preserve"> and 2018</w:t>
      </w:r>
      <w:r w:rsidR="009B7300" w:rsidRPr="001569FB">
        <w:rPr>
          <w:color w:val="000000"/>
          <w:szCs w:val="24"/>
        </w:rPr>
        <w:t>, the Secretary ha</w:t>
      </w:r>
      <w:r w:rsidRPr="001569FB">
        <w:rPr>
          <w:color w:val="000000"/>
          <w:szCs w:val="24"/>
        </w:rPr>
        <w:t>d</w:t>
      </w:r>
      <w:r w:rsidR="009B7300" w:rsidRPr="001569FB">
        <w:rPr>
          <w:color w:val="000000"/>
          <w:szCs w:val="24"/>
        </w:rPr>
        <w:t xml:space="preserve"> directed the Office of the Actuary to adjust the fee-for-service experience for beneficiaries enrolled in Puerto Rico to reflect the </w:t>
      </w:r>
      <w:r w:rsidR="00D27D5A" w:rsidRPr="001569FB">
        <w:rPr>
          <w:color w:val="000000"/>
          <w:szCs w:val="24"/>
        </w:rPr>
        <w:t xml:space="preserve">nationwide </w:t>
      </w:r>
      <w:r w:rsidR="009B7300" w:rsidRPr="001569FB">
        <w:rPr>
          <w:color w:val="000000"/>
          <w:szCs w:val="24"/>
        </w:rPr>
        <w:t xml:space="preserve">propensity of </w:t>
      </w:r>
      <w:r w:rsidR="00D27D5A" w:rsidRPr="001569FB">
        <w:rPr>
          <w:color w:val="000000"/>
          <w:szCs w:val="24"/>
        </w:rPr>
        <w:t xml:space="preserve">beneficiaries with </w:t>
      </w:r>
      <w:r w:rsidR="009B7300" w:rsidRPr="001569FB">
        <w:rPr>
          <w:color w:val="000000"/>
          <w:szCs w:val="24"/>
        </w:rPr>
        <w:t xml:space="preserve">zero </w:t>
      </w:r>
      <w:r w:rsidR="00D27D5A" w:rsidRPr="001569FB">
        <w:rPr>
          <w:color w:val="000000"/>
          <w:szCs w:val="24"/>
        </w:rPr>
        <w:t>claims.</w:t>
      </w:r>
      <w:r w:rsidR="00E058C0" w:rsidRPr="001569FB">
        <w:rPr>
          <w:color w:val="000000"/>
          <w:szCs w:val="24"/>
        </w:rPr>
        <w:t xml:space="preserve">  </w:t>
      </w:r>
      <w:r w:rsidR="00D27D5A" w:rsidRPr="001569FB">
        <w:rPr>
          <w:color w:val="000000"/>
          <w:szCs w:val="24"/>
        </w:rPr>
        <w:t xml:space="preserve">For </w:t>
      </w:r>
      <w:r w:rsidR="00D27D5A" w:rsidRPr="001569FB">
        <w:rPr>
          <w:szCs w:val="24"/>
        </w:rPr>
        <w:t xml:space="preserve">the 2017 </w:t>
      </w:r>
      <w:r w:rsidR="00D3722F" w:rsidRPr="001569FB">
        <w:rPr>
          <w:szCs w:val="24"/>
        </w:rPr>
        <w:t xml:space="preserve">and 2018 </w:t>
      </w:r>
      <w:r w:rsidR="00D27D5A" w:rsidRPr="001569FB">
        <w:rPr>
          <w:szCs w:val="24"/>
        </w:rPr>
        <w:t>Rate Announcement</w:t>
      </w:r>
      <w:r w:rsidR="00D3722F" w:rsidRPr="001569FB">
        <w:rPr>
          <w:szCs w:val="24"/>
        </w:rPr>
        <w:t>s</w:t>
      </w:r>
      <w:r w:rsidR="00D27D5A" w:rsidRPr="001569FB">
        <w:rPr>
          <w:szCs w:val="24"/>
        </w:rPr>
        <w:t>, the Office of the Actuary evaluated experience exclusively for beneficiaries</w:t>
      </w:r>
      <w:r w:rsidR="00617924" w:rsidRPr="001569FB">
        <w:rPr>
          <w:szCs w:val="24"/>
        </w:rPr>
        <w:t xml:space="preserve"> </w:t>
      </w:r>
      <w:r w:rsidR="00691A88" w:rsidRPr="001569FB">
        <w:rPr>
          <w:szCs w:val="24"/>
        </w:rPr>
        <w:t xml:space="preserve">who </w:t>
      </w:r>
      <w:r w:rsidRPr="001569FB">
        <w:rPr>
          <w:szCs w:val="24"/>
        </w:rPr>
        <w:t xml:space="preserve">were </w:t>
      </w:r>
      <w:r w:rsidR="00D27D5A" w:rsidRPr="001569FB">
        <w:rPr>
          <w:szCs w:val="24"/>
        </w:rPr>
        <w:t xml:space="preserve">enrolled in both Parts A and B and </w:t>
      </w:r>
      <w:r w:rsidRPr="001569FB">
        <w:rPr>
          <w:szCs w:val="24"/>
        </w:rPr>
        <w:t xml:space="preserve">were </w:t>
      </w:r>
      <w:r w:rsidR="00D27D5A" w:rsidRPr="001569FB">
        <w:rPr>
          <w:szCs w:val="24"/>
        </w:rPr>
        <w:t xml:space="preserve">not dually eligible for </w:t>
      </w:r>
      <w:r w:rsidR="0082572F" w:rsidRPr="001569FB">
        <w:rPr>
          <w:szCs w:val="24"/>
        </w:rPr>
        <w:t>Veterans Affairs (</w:t>
      </w:r>
      <w:r w:rsidR="00D27D5A" w:rsidRPr="001569FB">
        <w:rPr>
          <w:szCs w:val="24"/>
        </w:rPr>
        <w:t>VA</w:t>
      </w:r>
      <w:r w:rsidR="0082572F" w:rsidRPr="001569FB">
        <w:rPr>
          <w:szCs w:val="24"/>
        </w:rPr>
        <w:t>)</w:t>
      </w:r>
      <w:r w:rsidR="00D27D5A" w:rsidRPr="001569FB">
        <w:rPr>
          <w:szCs w:val="24"/>
        </w:rPr>
        <w:t xml:space="preserve"> coverage. </w:t>
      </w:r>
      <w:r w:rsidR="00F971BF" w:rsidRPr="001569FB">
        <w:rPr>
          <w:szCs w:val="24"/>
        </w:rPr>
        <w:t xml:space="preserve"> </w:t>
      </w:r>
      <w:r w:rsidR="00B15B19" w:rsidRPr="001569FB">
        <w:rPr>
          <w:szCs w:val="24"/>
        </w:rPr>
        <w:t xml:space="preserve">The 2018 study analyzed experience for calendar years 2011 through 2015 and only considered FFS </w:t>
      </w:r>
      <w:r w:rsidR="00EA6AC2" w:rsidRPr="001569FB">
        <w:rPr>
          <w:szCs w:val="24"/>
        </w:rPr>
        <w:t>beneficiaries</w:t>
      </w:r>
      <w:r w:rsidR="00B15B19" w:rsidRPr="001569FB">
        <w:rPr>
          <w:szCs w:val="24"/>
        </w:rPr>
        <w:t xml:space="preserve"> enrolled mid-year. </w:t>
      </w:r>
      <w:r w:rsidR="00F971BF" w:rsidRPr="001569FB">
        <w:rPr>
          <w:szCs w:val="24"/>
        </w:rPr>
        <w:t xml:space="preserve"> </w:t>
      </w:r>
      <w:r w:rsidR="00B15B19" w:rsidRPr="001569FB">
        <w:rPr>
          <w:szCs w:val="24"/>
        </w:rPr>
        <w:t>On average, 14.4 percent of A</w:t>
      </w:r>
      <w:r w:rsidR="00691A88" w:rsidRPr="001569FB">
        <w:rPr>
          <w:szCs w:val="24"/>
        </w:rPr>
        <w:t xml:space="preserve"> </w:t>
      </w:r>
      <w:r w:rsidR="00473F70" w:rsidRPr="001569FB">
        <w:rPr>
          <w:szCs w:val="24"/>
        </w:rPr>
        <w:t>and B</w:t>
      </w:r>
      <w:r w:rsidR="00B15B19" w:rsidRPr="001569FB">
        <w:rPr>
          <w:szCs w:val="24"/>
        </w:rPr>
        <w:t xml:space="preserve"> Puerto Rico FFS beneficiaries were found to have no Medicare claim reimbursements per year. </w:t>
      </w:r>
      <w:r w:rsidR="006D2162" w:rsidRPr="001569FB">
        <w:rPr>
          <w:szCs w:val="24"/>
        </w:rPr>
        <w:t xml:space="preserve"> </w:t>
      </w:r>
      <w:r w:rsidR="00B15B19" w:rsidRPr="001569FB">
        <w:rPr>
          <w:szCs w:val="24"/>
        </w:rPr>
        <w:t xml:space="preserve">This compares to a nationwide, non-territory, proportion of 6.0 percent of FFS beneficiaries without Medicare spending. </w:t>
      </w:r>
      <w:r w:rsidR="007A6384" w:rsidRPr="001569FB">
        <w:rPr>
          <w:szCs w:val="24"/>
        </w:rPr>
        <w:t xml:space="preserve"> </w:t>
      </w:r>
      <w:r w:rsidR="00B15B19" w:rsidRPr="001569FB">
        <w:rPr>
          <w:szCs w:val="24"/>
        </w:rPr>
        <w:t xml:space="preserve">These results were applied to the Puerto Rico FFS experience by adjusting the weighting of the enrollment and risk scores for the zero-claim cohort to reflect the nationwide proportion of zero-claim beneficiaries. </w:t>
      </w:r>
      <w:r w:rsidR="00D74917" w:rsidRPr="001569FB">
        <w:rPr>
          <w:szCs w:val="24"/>
        </w:rPr>
        <w:t xml:space="preserve"> </w:t>
      </w:r>
      <w:r w:rsidR="00B15B19" w:rsidRPr="001569FB">
        <w:rPr>
          <w:szCs w:val="24"/>
        </w:rPr>
        <w:t xml:space="preserve">The resulting impact was </w:t>
      </w:r>
      <w:r w:rsidR="00855FF4" w:rsidRPr="001569FB">
        <w:rPr>
          <w:szCs w:val="24"/>
        </w:rPr>
        <w:t xml:space="preserve">measured as </w:t>
      </w:r>
      <w:r w:rsidR="00B15B19" w:rsidRPr="001569FB">
        <w:rPr>
          <w:szCs w:val="24"/>
        </w:rPr>
        <w:t xml:space="preserve">an average increase in the standardized FFS costs in Puerto Rico of 4.4 percent for 2011 through 2015. </w:t>
      </w:r>
      <w:r w:rsidR="00F971BF" w:rsidRPr="001569FB">
        <w:rPr>
          <w:szCs w:val="24"/>
        </w:rPr>
        <w:t xml:space="preserve"> </w:t>
      </w:r>
      <w:r w:rsidR="00B15B19" w:rsidRPr="001569FB">
        <w:rPr>
          <w:szCs w:val="24"/>
        </w:rPr>
        <w:t xml:space="preserve">Accordingly, a 4.4 percent adjustment was </w:t>
      </w:r>
      <w:r w:rsidR="00855FF4" w:rsidRPr="001569FB">
        <w:rPr>
          <w:szCs w:val="24"/>
        </w:rPr>
        <w:t xml:space="preserve">then </w:t>
      </w:r>
      <w:r w:rsidR="00B15B19" w:rsidRPr="001569FB">
        <w:rPr>
          <w:szCs w:val="24"/>
        </w:rPr>
        <w:t>applied to the pre-standardized Puerto Rico FFS rates supporting the CY 2018 ratebook development.</w:t>
      </w:r>
    </w:p>
    <w:p w14:paraId="0DE5FE59" w14:textId="776CC423" w:rsidR="00CE35E8" w:rsidRPr="001569FB" w:rsidRDefault="00F027F7" w:rsidP="00A77D00">
      <w:pPr>
        <w:autoSpaceDE w:val="0"/>
        <w:autoSpaceDN w:val="0"/>
        <w:adjustRightInd w:val="0"/>
        <w:spacing w:before="200" w:after="200"/>
        <w:rPr>
          <w:szCs w:val="24"/>
        </w:rPr>
      </w:pPr>
      <w:r w:rsidRPr="001569FB">
        <w:rPr>
          <w:szCs w:val="24"/>
        </w:rPr>
        <w:t>We are considering whether a similar adjustment should be applied f</w:t>
      </w:r>
      <w:r w:rsidR="00835C00" w:rsidRPr="001569FB">
        <w:rPr>
          <w:szCs w:val="24"/>
        </w:rPr>
        <w:t xml:space="preserve">or </w:t>
      </w:r>
      <w:r w:rsidR="00B15B19" w:rsidRPr="001569FB">
        <w:rPr>
          <w:szCs w:val="24"/>
        </w:rPr>
        <w:t>2019</w:t>
      </w:r>
      <w:r w:rsidRPr="001569FB">
        <w:rPr>
          <w:szCs w:val="24"/>
        </w:rPr>
        <w:t xml:space="preserve">. </w:t>
      </w:r>
      <w:r w:rsidR="006D2162" w:rsidRPr="001569FB">
        <w:rPr>
          <w:szCs w:val="24"/>
        </w:rPr>
        <w:t xml:space="preserve"> </w:t>
      </w:r>
      <w:r w:rsidRPr="001569FB">
        <w:rPr>
          <w:szCs w:val="24"/>
        </w:rPr>
        <w:t>T</w:t>
      </w:r>
      <w:r w:rsidR="00835C00" w:rsidRPr="001569FB">
        <w:rPr>
          <w:szCs w:val="24"/>
        </w:rPr>
        <w:t>he Office of the Actuary will perform a</w:t>
      </w:r>
      <w:r w:rsidR="00691A88" w:rsidRPr="001569FB">
        <w:rPr>
          <w:szCs w:val="24"/>
        </w:rPr>
        <w:t>n</w:t>
      </w:r>
      <w:r w:rsidR="00835C00" w:rsidRPr="001569FB">
        <w:rPr>
          <w:szCs w:val="24"/>
        </w:rPr>
        <w:t xml:space="preserve"> analysis </w:t>
      </w:r>
      <w:r w:rsidR="00691A88" w:rsidRPr="001569FB">
        <w:rPr>
          <w:szCs w:val="24"/>
        </w:rPr>
        <w:t xml:space="preserve">that is similar </w:t>
      </w:r>
      <w:r w:rsidR="00835C00" w:rsidRPr="001569FB">
        <w:rPr>
          <w:szCs w:val="24"/>
        </w:rPr>
        <w:t xml:space="preserve">to the </w:t>
      </w:r>
      <w:r w:rsidR="00855FF4" w:rsidRPr="001569FB">
        <w:rPr>
          <w:szCs w:val="24"/>
        </w:rPr>
        <w:t xml:space="preserve">analysis </w:t>
      </w:r>
      <w:r w:rsidR="00835C00" w:rsidRPr="001569FB">
        <w:rPr>
          <w:szCs w:val="24"/>
        </w:rPr>
        <w:t xml:space="preserve">performed in </w:t>
      </w:r>
      <w:r w:rsidR="00555A9E" w:rsidRPr="001569FB">
        <w:rPr>
          <w:szCs w:val="24"/>
        </w:rPr>
        <w:t xml:space="preserve">2017 and </w:t>
      </w:r>
      <w:r w:rsidR="00B15B19" w:rsidRPr="001569FB">
        <w:rPr>
          <w:szCs w:val="24"/>
        </w:rPr>
        <w:t>2018</w:t>
      </w:r>
      <w:r w:rsidR="0082572F" w:rsidRPr="001569FB">
        <w:rPr>
          <w:szCs w:val="24"/>
        </w:rPr>
        <w:t xml:space="preserve">, but with </w:t>
      </w:r>
      <w:r w:rsidR="00B15B19" w:rsidRPr="001569FB">
        <w:rPr>
          <w:szCs w:val="24"/>
        </w:rPr>
        <w:t xml:space="preserve">an updated </w:t>
      </w:r>
      <w:r w:rsidR="0082572F" w:rsidRPr="001569FB">
        <w:rPr>
          <w:szCs w:val="24"/>
        </w:rPr>
        <w:t xml:space="preserve">five years of data: </w:t>
      </w:r>
      <w:r w:rsidR="00B15B19" w:rsidRPr="001569FB">
        <w:rPr>
          <w:szCs w:val="24"/>
        </w:rPr>
        <w:t>2012</w:t>
      </w:r>
      <w:r w:rsidR="005406E4" w:rsidRPr="001569FB">
        <w:rPr>
          <w:color w:val="000000"/>
          <w:szCs w:val="24"/>
        </w:rPr>
        <w:t>–</w:t>
      </w:r>
      <w:r w:rsidR="00B15B19" w:rsidRPr="001569FB">
        <w:rPr>
          <w:szCs w:val="24"/>
        </w:rPr>
        <w:t>2016</w:t>
      </w:r>
      <w:r w:rsidR="0082572F" w:rsidRPr="001569FB">
        <w:rPr>
          <w:szCs w:val="24"/>
        </w:rPr>
        <w:t>.</w:t>
      </w:r>
      <w:r w:rsidR="00F52334" w:rsidRPr="001569FB">
        <w:rPr>
          <w:szCs w:val="24"/>
        </w:rPr>
        <w:t xml:space="preserve">  We welcome comments regarding a similar update to Puerto Rico’s experience in the development of the </w:t>
      </w:r>
      <w:r w:rsidR="00B15B19" w:rsidRPr="001569FB">
        <w:rPr>
          <w:szCs w:val="24"/>
        </w:rPr>
        <w:t xml:space="preserve">2019 </w:t>
      </w:r>
      <w:r w:rsidR="00F52334" w:rsidRPr="001569FB">
        <w:rPr>
          <w:szCs w:val="24"/>
        </w:rPr>
        <w:t>FFS rate.</w:t>
      </w:r>
      <w:r w:rsidR="0082572F" w:rsidRPr="001569FB">
        <w:rPr>
          <w:szCs w:val="24"/>
        </w:rPr>
        <w:t xml:space="preserve">  </w:t>
      </w:r>
      <w:r w:rsidRPr="001569FB">
        <w:rPr>
          <w:szCs w:val="24"/>
        </w:rPr>
        <w:t>We will review</w:t>
      </w:r>
      <w:r w:rsidR="0082572F" w:rsidRPr="001569FB">
        <w:rPr>
          <w:szCs w:val="24"/>
        </w:rPr>
        <w:t xml:space="preserve"> the results of this study</w:t>
      </w:r>
      <w:r w:rsidRPr="001569FB">
        <w:rPr>
          <w:szCs w:val="24"/>
        </w:rPr>
        <w:t xml:space="preserve"> and </w:t>
      </w:r>
      <w:r w:rsidR="00691A88" w:rsidRPr="001569FB">
        <w:rPr>
          <w:szCs w:val="24"/>
        </w:rPr>
        <w:t xml:space="preserve">any </w:t>
      </w:r>
      <w:r w:rsidRPr="001569FB">
        <w:rPr>
          <w:szCs w:val="24"/>
        </w:rPr>
        <w:t>comments</w:t>
      </w:r>
      <w:r w:rsidR="00691A88" w:rsidRPr="001569FB">
        <w:rPr>
          <w:szCs w:val="24"/>
        </w:rPr>
        <w:t xml:space="preserve"> that we receive</w:t>
      </w:r>
      <w:r w:rsidR="00F52334" w:rsidRPr="001569FB">
        <w:rPr>
          <w:szCs w:val="24"/>
        </w:rPr>
        <w:t xml:space="preserve">, </w:t>
      </w:r>
      <w:r w:rsidRPr="001569FB">
        <w:rPr>
          <w:szCs w:val="24"/>
        </w:rPr>
        <w:t xml:space="preserve">and </w:t>
      </w:r>
      <w:r w:rsidR="00691A88" w:rsidRPr="001569FB">
        <w:rPr>
          <w:szCs w:val="24"/>
        </w:rPr>
        <w:t xml:space="preserve">we will specify </w:t>
      </w:r>
      <w:r w:rsidRPr="001569FB">
        <w:rPr>
          <w:szCs w:val="24"/>
        </w:rPr>
        <w:t>in the final Rate Announcement any adjustment that</w:t>
      </w:r>
      <w:r w:rsidR="00691A88" w:rsidRPr="001569FB">
        <w:rPr>
          <w:szCs w:val="24"/>
        </w:rPr>
        <w:t xml:space="preserve"> we determine</w:t>
      </w:r>
      <w:r w:rsidRPr="001569FB">
        <w:rPr>
          <w:szCs w:val="24"/>
        </w:rPr>
        <w:t xml:space="preserve"> may be necessary</w:t>
      </w:r>
      <w:r w:rsidR="00BF33B0" w:rsidRPr="001569FB">
        <w:rPr>
          <w:szCs w:val="24"/>
        </w:rPr>
        <w:t xml:space="preserve"> based on those results and comments</w:t>
      </w:r>
      <w:r w:rsidRPr="001569FB">
        <w:rPr>
          <w:szCs w:val="24"/>
        </w:rPr>
        <w:t>.</w:t>
      </w:r>
      <w:r w:rsidR="00CE35E8" w:rsidRPr="001569FB">
        <w:rPr>
          <w:szCs w:val="24"/>
        </w:rPr>
        <w:t xml:space="preserve"> </w:t>
      </w:r>
    </w:p>
    <w:p w14:paraId="4B5B43D2" w14:textId="77777777" w:rsidR="00531CFF" w:rsidRPr="001569FB" w:rsidRDefault="00531CFF" w:rsidP="009E09C2">
      <w:pPr>
        <w:tabs>
          <w:tab w:val="left" w:pos="1663"/>
        </w:tabs>
        <w:spacing w:after="200"/>
        <w:rPr>
          <w:szCs w:val="24"/>
        </w:rPr>
      </w:pPr>
      <w:r w:rsidRPr="001569FB">
        <w:rPr>
          <w:szCs w:val="24"/>
        </w:rPr>
        <w:t xml:space="preserve">We appreciate the concerns previously raised by stakeholders regarding FFS data and MA benchmarks in Puerto Rico, and continue to welcome public input and suggestions </w:t>
      </w:r>
      <w:r w:rsidR="00DD1A91" w:rsidRPr="001569FB">
        <w:rPr>
          <w:szCs w:val="24"/>
        </w:rPr>
        <w:t xml:space="preserve">regarding </w:t>
      </w:r>
      <w:r w:rsidRPr="001569FB">
        <w:rPr>
          <w:szCs w:val="24"/>
        </w:rPr>
        <w:t xml:space="preserve">methodological changes that </w:t>
      </w:r>
      <w:r w:rsidR="00DD1A91" w:rsidRPr="001569FB">
        <w:rPr>
          <w:szCs w:val="24"/>
        </w:rPr>
        <w:t xml:space="preserve">may be </w:t>
      </w:r>
      <w:r w:rsidRPr="001569FB">
        <w:rPr>
          <w:szCs w:val="24"/>
        </w:rPr>
        <w:t xml:space="preserve">appropriate. </w:t>
      </w:r>
    </w:p>
    <w:p w14:paraId="07459E91" w14:textId="77777777" w:rsidR="00157B93" w:rsidRPr="001569FB" w:rsidRDefault="007C2840" w:rsidP="002707EC">
      <w:pPr>
        <w:spacing w:before="200" w:after="200"/>
        <w:rPr>
          <w:szCs w:val="24"/>
        </w:rPr>
      </w:pPr>
      <w:r w:rsidRPr="001569FB">
        <w:rPr>
          <w:color w:val="000000"/>
          <w:szCs w:val="24"/>
        </w:rPr>
        <w:t xml:space="preserve">In the third step, CMS will re-price the historical inpatient, hospital outpatient, skilled nursing facility, and home health claims from </w:t>
      </w:r>
      <w:r w:rsidR="00E240C3" w:rsidRPr="001569FB">
        <w:rPr>
          <w:color w:val="000000"/>
          <w:szCs w:val="24"/>
        </w:rPr>
        <w:t>2012</w:t>
      </w:r>
      <w:r w:rsidRPr="001569FB">
        <w:rPr>
          <w:color w:val="000000"/>
          <w:szCs w:val="24"/>
        </w:rPr>
        <w:t>–</w:t>
      </w:r>
      <w:r w:rsidR="00E240C3" w:rsidRPr="001569FB">
        <w:rPr>
          <w:color w:val="000000"/>
          <w:szCs w:val="24"/>
        </w:rPr>
        <w:t xml:space="preserve">2016 </w:t>
      </w:r>
      <w:r w:rsidRPr="001569FB">
        <w:rPr>
          <w:color w:val="000000"/>
          <w:szCs w:val="24"/>
        </w:rPr>
        <w:t xml:space="preserve">to reflect the most current (i.e., FY </w:t>
      </w:r>
      <w:r w:rsidR="00E240C3" w:rsidRPr="001569FB">
        <w:rPr>
          <w:color w:val="000000"/>
          <w:szCs w:val="24"/>
        </w:rPr>
        <w:t>2018</w:t>
      </w:r>
      <w:r w:rsidRPr="001569FB">
        <w:rPr>
          <w:color w:val="000000"/>
          <w:szCs w:val="24"/>
        </w:rPr>
        <w:t xml:space="preserve">) </w:t>
      </w:r>
      <w:r w:rsidRPr="001569FB">
        <w:rPr>
          <w:szCs w:val="24"/>
        </w:rPr>
        <w:t xml:space="preserve">wage indices, and re-tabulate physician claims with the most current (i.e., CY </w:t>
      </w:r>
      <w:r w:rsidR="00E240C3" w:rsidRPr="001569FB">
        <w:rPr>
          <w:szCs w:val="24"/>
        </w:rPr>
        <w:t>2018</w:t>
      </w:r>
      <w:r w:rsidRPr="001569FB">
        <w:rPr>
          <w:szCs w:val="24"/>
        </w:rPr>
        <w:t>) Geographic Practice Cost Ind</w:t>
      </w:r>
      <w:r w:rsidR="00691A88" w:rsidRPr="001569FB">
        <w:rPr>
          <w:szCs w:val="24"/>
        </w:rPr>
        <w:t>ices</w:t>
      </w:r>
      <w:r w:rsidRPr="001569FB">
        <w:rPr>
          <w:szCs w:val="24"/>
        </w:rPr>
        <w:t xml:space="preserve">.  </w:t>
      </w:r>
      <w:r w:rsidR="00743949" w:rsidRPr="001569FB">
        <w:rPr>
          <w:color w:val="000000"/>
          <w:szCs w:val="24"/>
        </w:rPr>
        <w:t xml:space="preserve">For </w:t>
      </w:r>
      <w:r w:rsidR="00E240C3" w:rsidRPr="001569FB">
        <w:rPr>
          <w:color w:val="000000"/>
          <w:szCs w:val="24"/>
        </w:rPr>
        <w:t>2019</w:t>
      </w:r>
      <w:r w:rsidR="00743949" w:rsidRPr="001569FB">
        <w:rPr>
          <w:color w:val="000000"/>
          <w:szCs w:val="24"/>
        </w:rPr>
        <w:t xml:space="preserve">, </w:t>
      </w:r>
      <w:r w:rsidRPr="001569FB">
        <w:rPr>
          <w:szCs w:val="24"/>
        </w:rPr>
        <w:t xml:space="preserve">CMS will </w:t>
      </w:r>
      <w:r w:rsidR="00B63977" w:rsidRPr="001569FB">
        <w:rPr>
          <w:szCs w:val="24"/>
        </w:rPr>
        <w:t xml:space="preserve">also </w:t>
      </w:r>
      <w:r w:rsidRPr="001569FB">
        <w:rPr>
          <w:szCs w:val="24"/>
        </w:rPr>
        <w:t xml:space="preserve">continue to adjust </w:t>
      </w:r>
      <w:r w:rsidR="00743949" w:rsidRPr="001569FB">
        <w:rPr>
          <w:szCs w:val="24"/>
        </w:rPr>
        <w:t>historical FFS claims to account for</w:t>
      </w:r>
      <w:r w:rsidR="009E77D8" w:rsidRPr="001569FB">
        <w:rPr>
          <w:szCs w:val="24"/>
        </w:rPr>
        <w:t xml:space="preserve"> legislative changes </w:t>
      </w:r>
      <w:r w:rsidR="002916AB" w:rsidRPr="001569FB">
        <w:rPr>
          <w:szCs w:val="24"/>
        </w:rPr>
        <w:t xml:space="preserve">to </w:t>
      </w:r>
      <w:r w:rsidR="002916AB" w:rsidRPr="001569FB">
        <w:rPr>
          <w:szCs w:val="24"/>
          <w:shd w:val="clear" w:color="auto" w:fill="FFFFFF"/>
        </w:rPr>
        <w:t xml:space="preserve">section 1886(d)(5)(F) of the Act, and the enactment of 1886(r).  </w:t>
      </w:r>
      <w:r w:rsidR="002916AB" w:rsidRPr="001569FB">
        <w:rPr>
          <w:szCs w:val="24"/>
        </w:rPr>
        <w:t xml:space="preserve">These changes reduced Medicare Disproportionate Share Hospital (DSH) Payments to inpatient hospitals by 75 percent, and created new uncompensated care payments (UCP), effective October 1, 2013. </w:t>
      </w:r>
      <w:r w:rsidR="00743949" w:rsidRPr="001569FB">
        <w:rPr>
          <w:szCs w:val="24"/>
        </w:rPr>
        <w:t xml:space="preserve"> Consistent with the methodology implemented </w:t>
      </w:r>
      <w:r w:rsidR="005D29E5" w:rsidRPr="001569FB">
        <w:rPr>
          <w:szCs w:val="24"/>
        </w:rPr>
        <w:t>beginning in 2016</w:t>
      </w:r>
      <w:r w:rsidR="00743949" w:rsidRPr="001569FB">
        <w:rPr>
          <w:szCs w:val="24"/>
        </w:rPr>
        <w:t xml:space="preserve">, CMS </w:t>
      </w:r>
      <w:r w:rsidR="009E77D8" w:rsidRPr="001569FB">
        <w:rPr>
          <w:szCs w:val="24"/>
        </w:rPr>
        <w:t xml:space="preserve">will </w:t>
      </w:r>
      <w:r w:rsidR="00743949" w:rsidRPr="001569FB">
        <w:rPr>
          <w:szCs w:val="24"/>
        </w:rPr>
        <w:t xml:space="preserve">adjust </w:t>
      </w:r>
      <w:r w:rsidR="00570E89" w:rsidRPr="001569FB">
        <w:rPr>
          <w:szCs w:val="24"/>
        </w:rPr>
        <w:t xml:space="preserve">claims for fiscal year (FY) </w:t>
      </w:r>
      <w:r w:rsidR="00743949" w:rsidRPr="001569FB">
        <w:rPr>
          <w:szCs w:val="24"/>
        </w:rPr>
        <w:t>20</w:t>
      </w:r>
      <w:r w:rsidR="00745330" w:rsidRPr="001569FB">
        <w:rPr>
          <w:szCs w:val="24"/>
        </w:rPr>
        <w:t>1</w:t>
      </w:r>
      <w:r w:rsidR="005D29E5" w:rsidRPr="001569FB">
        <w:rPr>
          <w:szCs w:val="24"/>
        </w:rPr>
        <w:t>2</w:t>
      </w:r>
      <w:r w:rsidR="00CB7F67" w:rsidRPr="001569FB">
        <w:rPr>
          <w:szCs w:val="24"/>
        </w:rPr>
        <w:t xml:space="preserve"> </w:t>
      </w:r>
      <w:r w:rsidR="00CB6D10" w:rsidRPr="001569FB">
        <w:rPr>
          <w:szCs w:val="24"/>
        </w:rPr>
        <w:t xml:space="preserve">and </w:t>
      </w:r>
      <w:r w:rsidR="00570E89" w:rsidRPr="001569FB">
        <w:rPr>
          <w:szCs w:val="24"/>
        </w:rPr>
        <w:t xml:space="preserve">FY </w:t>
      </w:r>
      <w:r w:rsidR="00743949" w:rsidRPr="001569FB">
        <w:rPr>
          <w:szCs w:val="24"/>
        </w:rPr>
        <w:t>201</w:t>
      </w:r>
      <w:r w:rsidR="00CB6D10" w:rsidRPr="001569FB">
        <w:rPr>
          <w:szCs w:val="24"/>
        </w:rPr>
        <w:t>3</w:t>
      </w:r>
      <w:r w:rsidR="00743949" w:rsidRPr="001569FB">
        <w:rPr>
          <w:szCs w:val="24"/>
        </w:rPr>
        <w:t xml:space="preserve"> for each DSH hospital to reflect the </w:t>
      </w:r>
      <w:r w:rsidR="00743949" w:rsidRPr="001569FB">
        <w:rPr>
          <w:szCs w:val="24"/>
        </w:rPr>
        <w:lastRenderedPageBreak/>
        <w:t>reduction in DSH payments and the allocation of the UCP by incorporating the corresponding requirements of the final FY 201</w:t>
      </w:r>
      <w:r w:rsidR="005D29E5" w:rsidRPr="001569FB">
        <w:rPr>
          <w:szCs w:val="24"/>
        </w:rPr>
        <w:t xml:space="preserve">8 </w:t>
      </w:r>
      <w:r w:rsidR="0089230A" w:rsidRPr="001569FB">
        <w:rPr>
          <w:szCs w:val="24"/>
        </w:rPr>
        <w:t>Inpatient Prospective Payment System (</w:t>
      </w:r>
      <w:r w:rsidR="00743949" w:rsidRPr="001569FB">
        <w:rPr>
          <w:szCs w:val="24"/>
        </w:rPr>
        <w:t>IPPS</w:t>
      </w:r>
      <w:r w:rsidR="0089230A" w:rsidRPr="001569FB">
        <w:rPr>
          <w:szCs w:val="24"/>
        </w:rPr>
        <w:t>)</w:t>
      </w:r>
      <w:r w:rsidR="00743949" w:rsidRPr="001569FB">
        <w:rPr>
          <w:szCs w:val="24"/>
        </w:rPr>
        <w:t xml:space="preserve"> rule. </w:t>
      </w:r>
      <w:r w:rsidR="00157B93" w:rsidRPr="001569FB">
        <w:rPr>
          <w:szCs w:val="24"/>
        </w:rPr>
        <w:t xml:space="preserve"> </w:t>
      </w:r>
      <w:r w:rsidR="007A5E25" w:rsidRPr="001569FB">
        <w:rPr>
          <w:szCs w:val="24"/>
        </w:rPr>
        <w:t>Similarly</w:t>
      </w:r>
      <w:r w:rsidR="00157B93" w:rsidRPr="001569FB">
        <w:rPr>
          <w:szCs w:val="24"/>
        </w:rPr>
        <w:t>, we are proposing to adjust the UCP represented in the FY 201</w:t>
      </w:r>
      <w:r w:rsidR="00CB6D10" w:rsidRPr="001569FB">
        <w:rPr>
          <w:szCs w:val="24"/>
        </w:rPr>
        <w:t>4</w:t>
      </w:r>
      <w:r w:rsidR="00157B93" w:rsidRPr="001569FB">
        <w:rPr>
          <w:szCs w:val="24"/>
        </w:rPr>
        <w:t xml:space="preserve"> </w:t>
      </w:r>
      <w:r w:rsidR="00CB6D10" w:rsidRPr="001569FB">
        <w:rPr>
          <w:szCs w:val="24"/>
        </w:rPr>
        <w:t xml:space="preserve">through </w:t>
      </w:r>
      <w:r w:rsidR="00157B93" w:rsidRPr="001569FB">
        <w:rPr>
          <w:szCs w:val="24"/>
        </w:rPr>
        <w:t>1</w:t>
      </w:r>
      <w:r w:rsidR="00157B93" w:rsidRPr="001569FB">
        <w:rPr>
          <w:szCs w:val="24"/>
          <w:vertAlign w:val="superscript"/>
        </w:rPr>
        <w:t>st</w:t>
      </w:r>
      <w:r w:rsidR="00157B93" w:rsidRPr="001569FB">
        <w:rPr>
          <w:szCs w:val="24"/>
        </w:rPr>
        <w:t xml:space="preserve"> quarter FY </w:t>
      </w:r>
      <w:r w:rsidR="00EB358B" w:rsidRPr="001569FB">
        <w:rPr>
          <w:szCs w:val="24"/>
        </w:rPr>
        <w:t xml:space="preserve">2017 </w:t>
      </w:r>
      <w:r w:rsidR="00157B93" w:rsidRPr="001569FB">
        <w:rPr>
          <w:szCs w:val="24"/>
        </w:rPr>
        <w:t>claims to reflect the requirements of the final FY 201</w:t>
      </w:r>
      <w:r w:rsidR="005D29E5" w:rsidRPr="001569FB">
        <w:rPr>
          <w:szCs w:val="24"/>
        </w:rPr>
        <w:t>8</w:t>
      </w:r>
      <w:r w:rsidR="00157B93" w:rsidRPr="001569FB">
        <w:rPr>
          <w:szCs w:val="24"/>
        </w:rPr>
        <w:t xml:space="preserve"> IPPS rule.</w:t>
      </w:r>
      <w:r w:rsidR="009F0335" w:rsidRPr="001569FB">
        <w:rPr>
          <w:szCs w:val="24"/>
        </w:rPr>
        <w:t xml:space="preserve"> </w:t>
      </w:r>
      <w:r w:rsidR="008C49D8" w:rsidRPr="001569FB">
        <w:rPr>
          <w:szCs w:val="24"/>
        </w:rPr>
        <w:t xml:space="preserve"> For 201</w:t>
      </w:r>
      <w:r w:rsidR="00912039" w:rsidRPr="001569FB">
        <w:rPr>
          <w:szCs w:val="24"/>
        </w:rPr>
        <w:t>9</w:t>
      </w:r>
      <w:r w:rsidR="008C49D8" w:rsidRPr="001569FB">
        <w:rPr>
          <w:szCs w:val="24"/>
        </w:rPr>
        <w:t>, repricing</w:t>
      </w:r>
      <w:r w:rsidR="00835C00" w:rsidRPr="001569FB">
        <w:rPr>
          <w:szCs w:val="24"/>
        </w:rPr>
        <w:t xml:space="preserve"> for Puerto Rico inpatient claims will continue to</w:t>
      </w:r>
      <w:r w:rsidR="008C49D8" w:rsidRPr="001569FB">
        <w:rPr>
          <w:szCs w:val="24"/>
        </w:rPr>
        <w:t xml:space="preserve"> reflect the Consolidated Appropriations Act</w:t>
      </w:r>
      <w:r w:rsidR="00603538" w:rsidRPr="001569FB">
        <w:rPr>
          <w:szCs w:val="24"/>
        </w:rPr>
        <w:t>,</w:t>
      </w:r>
      <w:r w:rsidR="008C49D8" w:rsidRPr="001569FB">
        <w:rPr>
          <w:szCs w:val="24"/>
        </w:rPr>
        <w:t xml:space="preserve"> 2016 (</w:t>
      </w:r>
      <w:r w:rsidR="00BB5CCC" w:rsidRPr="001569FB">
        <w:rPr>
          <w:szCs w:val="24"/>
        </w:rPr>
        <w:t>P</w:t>
      </w:r>
      <w:r w:rsidR="00F43E22" w:rsidRPr="001569FB">
        <w:rPr>
          <w:szCs w:val="24"/>
        </w:rPr>
        <w:t>ub</w:t>
      </w:r>
      <w:r w:rsidR="00BB5CCC" w:rsidRPr="001569FB">
        <w:rPr>
          <w:szCs w:val="24"/>
        </w:rPr>
        <w:t>.</w:t>
      </w:r>
      <w:r w:rsidR="00F43E22" w:rsidRPr="001569FB">
        <w:rPr>
          <w:szCs w:val="24"/>
        </w:rPr>
        <w:t xml:space="preserve"> </w:t>
      </w:r>
      <w:r w:rsidR="00BB5CCC" w:rsidRPr="001569FB">
        <w:rPr>
          <w:szCs w:val="24"/>
        </w:rPr>
        <w:t xml:space="preserve">L. 114-113, </w:t>
      </w:r>
      <w:r w:rsidR="00B10FBF" w:rsidRPr="001569FB">
        <w:rPr>
          <w:szCs w:val="24"/>
        </w:rPr>
        <w:t xml:space="preserve">Division O, </w:t>
      </w:r>
      <w:r w:rsidR="00BB5CCC" w:rsidRPr="001569FB">
        <w:rPr>
          <w:szCs w:val="24"/>
        </w:rPr>
        <w:t>section 601</w:t>
      </w:r>
      <w:r w:rsidR="008C49D8" w:rsidRPr="001569FB">
        <w:rPr>
          <w:szCs w:val="24"/>
        </w:rPr>
        <w:t xml:space="preserve">), which amended </w:t>
      </w:r>
      <w:r w:rsidR="00631EF2" w:rsidRPr="001569FB">
        <w:rPr>
          <w:szCs w:val="24"/>
        </w:rPr>
        <w:t>s</w:t>
      </w:r>
      <w:r w:rsidR="008C49D8" w:rsidRPr="001569FB">
        <w:rPr>
          <w:szCs w:val="24"/>
        </w:rPr>
        <w:t>ection 1886(d)(9)(E) of the Act</w:t>
      </w:r>
      <w:r w:rsidR="00F43E22" w:rsidRPr="001569FB">
        <w:rPr>
          <w:szCs w:val="24"/>
        </w:rPr>
        <w:t>.</w:t>
      </w:r>
    </w:p>
    <w:p w14:paraId="113A6234" w14:textId="7385EE76" w:rsidR="007C2840" w:rsidRPr="001569FB" w:rsidRDefault="006B32D6" w:rsidP="002707EC">
      <w:pPr>
        <w:spacing w:before="200" w:after="200"/>
        <w:rPr>
          <w:sz w:val="22"/>
        </w:rPr>
      </w:pPr>
      <w:r w:rsidRPr="001569FB">
        <w:rPr>
          <w:szCs w:val="24"/>
        </w:rPr>
        <w:t>W</w:t>
      </w:r>
      <w:r w:rsidR="00743949" w:rsidRPr="001569FB">
        <w:rPr>
          <w:szCs w:val="24"/>
        </w:rPr>
        <w:t xml:space="preserve">e </w:t>
      </w:r>
      <w:r w:rsidR="003E32E3" w:rsidRPr="001569FB">
        <w:rPr>
          <w:szCs w:val="24"/>
        </w:rPr>
        <w:t xml:space="preserve">will </w:t>
      </w:r>
      <w:r w:rsidR="00743949" w:rsidRPr="001569FB">
        <w:rPr>
          <w:szCs w:val="24"/>
        </w:rPr>
        <w:t xml:space="preserve">continue re-pricing Durable Medical </w:t>
      </w:r>
      <w:r w:rsidR="00152618" w:rsidRPr="001569FB">
        <w:rPr>
          <w:szCs w:val="24"/>
          <w:lang w:val="en"/>
        </w:rPr>
        <w:t>Equipment</w:t>
      </w:r>
      <w:r w:rsidR="00ED6E6E" w:rsidRPr="001569FB">
        <w:rPr>
          <w:szCs w:val="24"/>
          <w:lang w:val="en"/>
        </w:rPr>
        <w:t xml:space="preserve">, Prosthetics, Orthotics, and Supplies </w:t>
      </w:r>
      <w:r w:rsidR="00152618" w:rsidRPr="001569FB">
        <w:rPr>
          <w:szCs w:val="24"/>
          <w:lang w:val="en"/>
        </w:rPr>
        <w:t>(DME</w:t>
      </w:r>
      <w:r w:rsidR="00ED6E6E" w:rsidRPr="001569FB">
        <w:rPr>
          <w:szCs w:val="24"/>
          <w:lang w:val="en"/>
        </w:rPr>
        <w:t>POS</w:t>
      </w:r>
      <w:r w:rsidR="00152618" w:rsidRPr="001569FB">
        <w:rPr>
          <w:szCs w:val="24"/>
          <w:lang w:val="en"/>
        </w:rPr>
        <w:t>) claims</w:t>
      </w:r>
      <w:r w:rsidR="008078A5" w:rsidRPr="001569FB">
        <w:rPr>
          <w:szCs w:val="24"/>
          <w:lang w:val="en"/>
        </w:rPr>
        <w:t xml:space="preserve"> </w:t>
      </w:r>
      <w:r w:rsidR="008078A5" w:rsidRPr="001569FB">
        <w:rPr>
          <w:szCs w:val="24"/>
        </w:rPr>
        <w:t xml:space="preserve">from </w:t>
      </w:r>
      <w:r w:rsidR="00E240C3" w:rsidRPr="001569FB">
        <w:rPr>
          <w:szCs w:val="24"/>
        </w:rPr>
        <w:t>2012</w:t>
      </w:r>
      <w:r w:rsidR="008078A5" w:rsidRPr="001569FB">
        <w:rPr>
          <w:szCs w:val="24"/>
        </w:rPr>
        <w:t>–</w:t>
      </w:r>
      <w:r w:rsidR="00E240C3" w:rsidRPr="001569FB">
        <w:rPr>
          <w:szCs w:val="24"/>
        </w:rPr>
        <w:t xml:space="preserve">2016 </w:t>
      </w:r>
      <w:r w:rsidR="008078A5" w:rsidRPr="001569FB">
        <w:rPr>
          <w:szCs w:val="24"/>
        </w:rPr>
        <w:t xml:space="preserve">to reflect the most current </w:t>
      </w:r>
      <w:r w:rsidR="00152618" w:rsidRPr="001569FB">
        <w:rPr>
          <w:szCs w:val="24"/>
        </w:rPr>
        <w:t>DME</w:t>
      </w:r>
      <w:r w:rsidR="00ED6E6E" w:rsidRPr="001569FB">
        <w:rPr>
          <w:szCs w:val="24"/>
        </w:rPr>
        <w:t>POS</w:t>
      </w:r>
      <w:r w:rsidR="00152618" w:rsidRPr="001569FB">
        <w:rPr>
          <w:szCs w:val="24"/>
        </w:rPr>
        <w:t xml:space="preserve"> prices associated with</w:t>
      </w:r>
      <w:r w:rsidR="008078A5" w:rsidRPr="001569FB">
        <w:rPr>
          <w:szCs w:val="24"/>
        </w:rPr>
        <w:t xml:space="preserve"> the </w:t>
      </w:r>
      <w:r w:rsidR="008078A5" w:rsidRPr="001569FB">
        <w:rPr>
          <w:szCs w:val="24"/>
          <w:lang w:val="en"/>
        </w:rPr>
        <w:t>Competitive Bidding Program </w:t>
      </w:r>
      <w:r w:rsidR="003B643F" w:rsidRPr="001569FB">
        <w:rPr>
          <w:szCs w:val="24"/>
          <w:lang w:val="en"/>
        </w:rPr>
        <w:t xml:space="preserve">(CBP), and will continue using the </w:t>
      </w:r>
      <w:r w:rsidRPr="001569FB">
        <w:rPr>
          <w:szCs w:val="24"/>
          <w:lang w:val="en"/>
        </w:rPr>
        <w:t xml:space="preserve">latest </w:t>
      </w:r>
      <w:r w:rsidR="003B643F" w:rsidRPr="001569FB">
        <w:rPr>
          <w:szCs w:val="24"/>
          <w:lang w:val="en"/>
        </w:rPr>
        <w:t xml:space="preserve">Round 1 and Round 2 prices in making these adjustments. </w:t>
      </w:r>
      <w:r w:rsidR="008078A5" w:rsidRPr="001569FB">
        <w:rPr>
          <w:szCs w:val="24"/>
          <w:lang w:val="en"/>
        </w:rPr>
        <w:t xml:space="preserve"> </w:t>
      </w:r>
      <w:r w:rsidR="00560ED8" w:rsidRPr="001569FB">
        <w:rPr>
          <w:szCs w:val="24"/>
        </w:rPr>
        <w:t>Section 1847(b)(5) of the Act</w:t>
      </w:r>
      <w:r w:rsidR="008078A5" w:rsidRPr="001569FB">
        <w:rPr>
          <w:szCs w:val="24"/>
          <w:lang w:val="en"/>
        </w:rPr>
        <w:t xml:space="preserve"> requires that “single payment amounts” replace the </w:t>
      </w:r>
      <w:r w:rsidR="003B643F" w:rsidRPr="001569FB">
        <w:rPr>
          <w:szCs w:val="24"/>
          <w:lang w:val="en"/>
        </w:rPr>
        <w:t xml:space="preserve">current </w:t>
      </w:r>
      <w:r w:rsidR="008078A5" w:rsidRPr="001569FB">
        <w:rPr>
          <w:szCs w:val="24"/>
          <w:lang w:val="en"/>
        </w:rPr>
        <w:t>Medicare DMEPOS fee schedule amounts for selected DMEPOS items in specific competitive bidding areas (CBAs).</w:t>
      </w:r>
      <w:r w:rsidR="008078A5" w:rsidRPr="001569FB">
        <w:rPr>
          <w:szCs w:val="24"/>
        </w:rPr>
        <w:t xml:space="preserve">  </w:t>
      </w:r>
      <w:r w:rsidR="00397995" w:rsidRPr="001569FB">
        <w:rPr>
          <w:szCs w:val="24"/>
        </w:rPr>
        <w:t xml:space="preserve">Eight </w:t>
      </w:r>
      <w:r w:rsidR="003B643F" w:rsidRPr="001569FB">
        <w:rPr>
          <w:szCs w:val="24"/>
        </w:rPr>
        <w:t>HCPC</w:t>
      </w:r>
      <w:r w:rsidR="00691A88" w:rsidRPr="001569FB">
        <w:rPr>
          <w:szCs w:val="24"/>
        </w:rPr>
        <w:t>S</w:t>
      </w:r>
      <w:r w:rsidR="003B643F" w:rsidRPr="001569FB">
        <w:rPr>
          <w:szCs w:val="24"/>
        </w:rPr>
        <w:t xml:space="preserve"> codes for diabetic supplies were </w:t>
      </w:r>
      <w:r w:rsidR="00BF33B0" w:rsidRPr="001569FB">
        <w:rPr>
          <w:szCs w:val="24"/>
        </w:rPr>
        <w:t xml:space="preserve">included in the </w:t>
      </w:r>
      <w:r w:rsidR="003B643F" w:rsidRPr="001569FB">
        <w:rPr>
          <w:szCs w:val="24"/>
        </w:rPr>
        <w:t xml:space="preserve">National Mail Order (NMO) program.  </w:t>
      </w:r>
      <w:r w:rsidR="00147CBA" w:rsidRPr="001569FB">
        <w:rPr>
          <w:szCs w:val="24"/>
        </w:rPr>
        <w:t xml:space="preserve">We will continue to include the </w:t>
      </w:r>
      <w:r w:rsidRPr="001569FB">
        <w:rPr>
          <w:szCs w:val="24"/>
          <w:lang w:val="en"/>
        </w:rPr>
        <w:t xml:space="preserve">latest </w:t>
      </w:r>
      <w:r w:rsidR="00147CBA" w:rsidRPr="001569FB">
        <w:rPr>
          <w:szCs w:val="24"/>
        </w:rPr>
        <w:t xml:space="preserve">single payment amounts for NMO DMEPOS items to reprice the historical payments for DMEPOS claims.  Section 1834(a)(1)(F) of the Act </w:t>
      </w:r>
      <w:r w:rsidR="00BF33B0" w:rsidRPr="001569FB">
        <w:rPr>
          <w:szCs w:val="24"/>
        </w:rPr>
        <w:t xml:space="preserve">requires CMS to adjust the fee schedule amounts for DMEPOS furnished on or after January 1, 2016 in non-CBAs based on information from the </w:t>
      </w:r>
      <w:r w:rsidR="00147CBA" w:rsidRPr="001569FB">
        <w:rPr>
          <w:szCs w:val="24"/>
        </w:rPr>
        <w:t>Compe</w:t>
      </w:r>
      <w:r w:rsidR="00985E86" w:rsidRPr="001569FB">
        <w:rPr>
          <w:szCs w:val="24"/>
        </w:rPr>
        <w:t>ti</w:t>
      </w:r>
      <w:r w:rsidR="00147CBA" w:rsidRPr="001569FB">
        <w:rPr>
          <w:szCs w:val="24"/>
        </w:rPr>
        <w:t xml:space="preserve">tive Bidding Program (CBP). </w:t>
      </w:r>
      <w:r w:rsidRPr="001569FB">
        <w:rPr>
          <w:szCs w:val="24"/>
        </w:rPr>
        <w:t xml:space="preserve"> We propose using the 2018 fully adjusted fees to reprice the non-CBA FFS claims for 2012</w:t>
      </w:r>
      <w:r w:rsidR="00D74917" w:rsidRPr="001569FB">
        <w:rPr>
          <w:szCs w:val="24"/>
        </w:rPr>
        <w:t>–</w:t>
      </w:r>
      <w:r w:rsidRPr="001569FB">
        <w:rPr>
          <w:szCs w:val="24"/>
        </w:rPr>
        <w:t>2016.</w:t>
      </w:r>
    </w:p>
    <w:p w14:paraId="07D624A9" w14:textId="77777777" w:rsidR="0082572F" w:rsidRPr="001569FB" w:rsidRDefault="00835C00" w:rsidP="009F12EC">
      <w:pPr>
        <w:spacing w:before="200" w:after="200"/>
        <w:rPr>
          <w:szCs w:val="24"/>
        </w:rPr>
      </w:pPr>
      <w:r w:rsidRPr="001569FB">
        <w:rPr>
          <w:szCs w:val="24"/>
        </w:rPr>
        <w:t xml:space="preserve">As </w:t>
      </w:r>
      <w:r w:rsidR="002916AB" w:rsidRPr="001569FB">
        <w:rPr>
          <w:szCs w:val="24"/>
        </w:rPr>
        <w:t xml:space="preserve">done for </w:t>
      </w:r>
      <w:r w:rsidR="00E240C3" w:rsidRPr="001569FB">
        <w:rPr>
          <w:szCs w:val="24"/>
        </w:rPr>
        <w:t>2018</w:t>
      </w:r>
      <w:r w:rsidRPr="001569FB">
        <w:rPr>
          <w:szCs w:val="24"/>
        </w:rPr>
        <w:t>, we</w:t>
      </w:r>
      <w:r w:rsidR="008078A5" w:rsidRPr="001569FB">
        <w:rPr>
          <w:szCs w:val="24"/>
        </w:rPr>
        <w:t xml:space="preserve"> are proposing to make an additional adjustment to the</w:t>
      </w:r>
      <w:r w:rsidRPr="001569FB">
        <w:rPr>
          <w:szCs w:val="24"/>
        </w:rPr>
        <w:t xml:space="preserve"> 2012,</w:t>
      </w:r>
      <w:r w:rsidR="008078A5" w:rsidRPr="001569FB">
        <w:rPr>
          <w:szCs w:val="24"/>
        </w:rPr>
        <w:t xml:space="preserve"> 201</w:t>
      </w:r>
      <w:r w:rsidR="004569E7" w:rsidRPr="001569FB">
        <w:rPr>
          <w:szCs w:val="24"/>
        </w:rPr>
        <w:t>3</w:t>
      </w:r>
      <w:r w:rsidR="008078A5" w:rsidRPr="001569FB">
        <w:rPr>
          <w:szCs w:val="24"/>
        </w:rPr>
        <w:t xml:space="preserve">, </w:t>
      </w:r>
      <w:r w:rsidR="006E6317" w:rsidRPr="001569FB">
        <w:rPr>
          <w:szCs w:val="24"/>
        </w:rPr>
        <w:t>2014</w:t>
      </w:r>
      <w:r w:rsidR="00850B2C" w:rsidRPr="001569FB">
        <w:rPr>
          <w:szCs w:val="24"/>
        </w:rPr>
        <w:t>,</w:t>
      </w:r>
      <w:r w:rsidR="006E6317" w:rsidRPr="001569FB">
        <w:rPr>
          <w:szCs w:val="24"/>
        </w:rPr>
        <w:t xml:space="preserve"> </w:t>
      </w:r>
      <w:r w:rsidR="00ED6E6E" w:rsidRPr="001569FB">
        <w:rPr>
          <w:szCs w:val="24"/>
        </w:rPr>
        <w:t xml:space="preserve">and </w:t>
      </w:r>
      <w:r w:rsidR="006E6317" w:rsidRPr="001569FB">
        <w:rPr>
          <w:szCs w:val="24"/>
        </w:rPr>
        <w:t xml:space="preserve">2015 </w:t>
      </w:r>
      <w:r w:rsidR="008078A5" w:rsidRPr="001569FB">
        <w:rPr>
          <w:szCs w:val="24"/>
        </w:rPr>
        <w:t xml:space="preserve">claims to account for shared savings payments and shared losses made to </w:t>
      </w:r>
      <w:r w:rsidR="00F3749D" w:rsidRPr="001569FB">
        <w:rPr>
          <w:szCs w:val="24"/>
        </w:rPr>
        <w:t xml:space="preserve">Medicare </w:t>
      </w:r>
      <w:r w:rsidR="008078A5" w:rsidRPr="001569FB">
        <w:rPr>
          <w:szCs w:val="24"/>
        </w:rPr>
        <w:t>Shared Savings Program (SSP) ACOs and Pioneer ACOs</w:t>
      </w:r>
      <w:r w:rsidR="0084642B" w:rsidRPr="001569FB">
        <w:rPr>
          <w:szCs w:val="24"/>
        </w:rPr>
        <w:t xml:space="preserve"> </w:t>
      </w:r>
      <w:r w:rsidR="00147CBA" w:rsidRPr="001569FB">
        <w:rPr>
          <w:szCs w:val="24"/>
        </w:rPr>
        <w:t>for experience in the respective year</w:t>
      </w:r>
      <w:r w:rsidR="008078A5" w:rsidRPr="001569FB">
        <w:rPr>
          <w:szCs w:val="24"/>
        </w:rPr>
        <w:t xml:space="preserve">.  </w:t>
      </w:r>
      <w:r w:rsidR="00ED6E6E" w:rsidRPr="001569FB">
        <w:rPr>
          <w:szCs w:val="24"/>
        </w:rPr>
        <w:t xml:space="preserve">For </w:t>
      </w:r>
      <w:r w:rsidR="00E240C3" w:rsidRPr="001569FB">
        <w:rPr>
          <w:szCs w:val="24"/>
        </w:rPr>
        <w:t>2019</w:t>
      </w:r>
      <w:r w:rsidR="00ED6E6E" w:rsidRPr="001569FB">
        <w:rPr>
          <w:szCs w:val="24"/>
        </w:rPr>
        <w:t xml:space="preserve">, the adjustments will </w:t>
      </w:r>
      <w:r w:rsidR="00E240C3" w:rsidRPr="001569FB">
        <w:rPr>
          <w:szCs w:val="24"/>
        </w:rPr>
        <w:t xml:space="preserve">also </w:t>
      </w:r>
      <w:r w:rsidR="00ED6E6E" w:rsidRPr="001569FB">
        <w:rPr>
          <w:szCs w:val="24"/>
        </w:rPr>
        <w:t xml:space="preserve">include </w:t>
      </w:r>
      <w:r w:rsidR="00E240C3" w:rsidRPr="001569FB">
        <w:rPr>
          <w:szCs w:val="24"/>
        </w:rPr>
        <w:t xml:space="preserve">2016 </w:t>
      </w:r>
      <w:r w:rsidR="00ED6E6E" w:rsidRPr="001569FB">
        <w:rPr>
          <w:szCs w:val="24"/>
        </w:rPr>
        <w:t>shared savings</w:t>
      </w:r>
      <w:r w:rsidR="008059D9" w:rsidRPr="001569FB">
        <w:rPr>
          <w:szCs w:val="24"/>
        </w:rPr>
        <w:t xml:space="preserve">, shared </w:t>
      </w:r>
      <w:r w:rsidR="00ED6E6E" w:rsidRPr="001569FB">
        <w:rPr>
          <w:szCs w:val="24"/>
        </w:rPr>
        <w:t>losses</w:t>
      </w:r>
      <w:r w:rsidR="008059D9" w:rsidRPr="001569FB">
        <w:rPr>
          <w:szCs w:val="24"/>
        </w:rPr>
        <w:t>, and performance based payments</w:t>
      </w:r>
      <w:r w:rsidR="00ED6E6E" w:rsidRPr="001569FB">
        <w:rPr>
          <w:szCs w:val="24"/>
        </w:rPr>
        <w:t xml:space="preserve"> under </w:t>
      </w:r>
      <w:r w:rsidR="006E6317" w:rsidRPr="001569FB">
        <w:rPr>
          <w:szCs w:val="24"/>
        </w:rPr>
        <w:t>the following programs</w:t>
      </w:r>
      <w:r w:rsidR="008059D9" w:rsidRPr="001569FB">
        <w:rPr>
          <w:szCs w:val="24"/>
        </w:rPr>
        <w:t xml:space="preserve"> and models</w:t>
      </w:r>
      <w:r w:rsidR="006E6317" w:rsidRPr="001569FB">
        <w:rPr>
          <w:szCs w:val="24"/>
        </w:rPr>
        <w:t xml:space="preserve">: </w:t>
      </w:r>
      <w:r w:rsidR="001D63D7" w:rsidRPr="001569FB">
        <w:rPr>
          <w:szCs w:val="24"/>
        </w:rPr>
        <w:t>SSP</w:t>
      </w:r>
      <w:r w:rsidR="006E6317" w:rsidRPr="001569FB">
        <w:rPr>
          <w:szCs w:val="24"/>
        </w:rPr>
        <w:t xml:space="preserve">, </w:t>
      </w:r>
      <w:r w:rsidR="00ED6E6E" w:rsidRPr="001569FB">
        <w:rPr>
          <w:szCs w:val="24"/>
        </w:rPr>
        <w:t xml:space="preserve">Pioneer ACO </w:t>
      </w:r>
      <w:r w:rsidR="001D63D7" w:rsidRPr="001569FB">
        <w:rPr>
          <w:szCs w:val="24"/>
        </w:rPr>
        <w:t>model</w:t>
      </w:r>
      <w:r w:rsidR="006E6317" w:rsidRPr="001569FB">
        <w:rPr>
          <w:szCs w:val="24"/>
        </w:rPr>
        <w:t xml:space="preserve">, Comprehensive Care for Joint Replacement (CJR) Model, Next Generation ACO </w:t>
      </w:r>
      <w:r w:rsidR="00397995" w:rsidRPr="001569FB">
        <w:rPr>
          <w:szCs w:val="24"/>
        </w:rPr>
        <w:t xml:space="preserve">(NGACO) </w:t>
      </w:r>
      <w:r w:rsidR="006E6317" w:rsidRPr="001569FB">
        <w:rPr>
          <w:szCs w:val="24"/>
        </w:rPr>
        <w:t xml:space="preserve">and Oncology Care Model (OCM). </w:t>
      </w:r>
      <w:r w:rsidR="00850B2C" w:rsidRPr="001569FB">
        <w:rPr>
          <w:szCs w:val="24"/>
        </w:rPr>
        <w:t xml:space="preserve"> </w:t>
      </w:r>
      <w:r w:rsidR="006E6317" w:rsidRPr="001569FB">
        <w:rPr>
          <w:szCs w:val="24"/>
        </w:rPr>
        <w:t>T</w:t>
      </w:r>
      <w:r w:rsidR="00ED6E6E" w:rsidRPr="001569FB">
        <w:rPr>
          <w:szCs w:val="24"/>
        </w:rPr>
        <w:t xml:space="preserve">he shared savings payments made under the Comprehensive Primary Care </w:t>
      </w:r>
      <w:r w:rsidR="002B6725" w:rsidRPr="001569FB">
        <w:rPr>
          <w:szCs w:val="24"/>
        </w:rPr>
        <w:t xml:space="preserve">(CPC) </w:t>
      </w:r>
      <w:r w:rsidR="00ED6E6E" w:rsidRPr="001569FB">
        <w:rPr>
          <w:szCs w:val="24"/>
        </w:rPr>
        <w:t xml:space="preserve">Initiative </w:t>
      </w:r>
      <w:r w:rsidR="00755DC9" w:rsidRPr="001569FB">
        <w:rPr>
          <w:szCs w:val="24"/>
        </w:rPr>
        <w:t xml:space="preserve">will be reflected </w:t>
      </w:r>
      <w:r w:rsidR="006E6317" w:rsidRPr="001569FB">
        <w:rPr>
          <w:szCs w:val="24"/>
        </w:rPr>
        <w:t xml:space="preserve">in </w:t>
      </w:r>
      <w:r w:rsidR="00407FA6" w:rsidRPr="001569FB">
        <w:rPr>
          <w:szCs w:val="24"/>
        </w:rPr>
        <w:t xml:space="preserve">the repricing of </w:t>
      </w:r>
      <w:r w:rsidR="00ED6E6E" w:rsidRPr="001569FB">
        <w:rPr>
          <w:szCs w:val="24"/>
        </w:rPr>
        <w:t>2014</w:t>
      </w:r>
      <w:r w:rsidR="00E240C3" w:rsidRPr="001569FB">
        <w:rPr>
          <w:szCs w:val="24"/>
        </w:rPr>
        <w:t>,</w:t>
      </w:r>
      <w:r w:rsidR="002B6725" w:rsidRPr="001569FB">
        <w:rPr>
          <w:szCs w:val="24"/>
        </w:rPr>
        <w:t xml:space="preserve"> 2015</w:t>
      </w:r>
      <w:r w:rsidR="00E240C3" w:rsidRPr="001569FB">
        <w:rPr>
          <w:szCs w:val="24"/>
        </w:rPr>
        <w:t>, and 2016</w:t>
      </w:r>
      <w:r w:rsidR="00407FA6" w:rsidRPr="001569FB">
        <w:rPr>
          <w:szCs w:val="24"/>
        </w:rPr>
        <w:t xml:space="preserve"> claims</w:t>
      </w:r>
      <w:r w:rsidR="00ED6E6E" w:rsidRPr="001569FB">
        <w:rPr>
          <w:szCs w:val="24"/>
        </w:rPr>
        <w:t xml:space="preserve">. </w:t>
      </w:r>
    </w:p>
    <w:p w14:paraId="3D490A9C" w14:textId="77777777" w:rsidR="0082572F" w:rsidRPr="001569FB" w:rsidRDefault="0082572F" w:rsidP="009F12EC">
      <w:pPr>
        <w:spacing w:before="200" w:after="200"/>
        <w:rPr>
          <w:szCs w:val="24"/>
        </w:rPr>
      </w:pPr>
      <w:r w:rsidRPr="001569FB">
        <w:rPr>
          <w:szCs w:val="24"/>
        </w:rPr>
        <w:t xml:space="preserve">The adjustment reflects an allocation of the shared payments and losses based on the distribution of the ACO’s enrollment by county.  </w:t>
      </w:r>
      <w:r w:rsidR="006E6317" w:rsidRPr="001569FB">
        <w:rPr>
          <w:szCs w:val="24"/>
        </w:rPr>
        <w:t xml:space="preserve">The adjustment includes </w:t>
      </w:r>
      <w:r w:rsidR="006C5BDC" w:rsidRPr="001569FB">
        <w:rPr>
          <w:szCs w:val="24"/>
        </w:rPr>
        <w:t>the application of the two percent sequestration reduction on these ACO adjustments for claims incurred on or after April 1, 2013</w:t>
      </w:r>
      <w:r w:rsidRPr="001569FB">
        <w:rPr>
          <w:szCs w:val="24"/>
        </w:rPr>
        <w:t xml:space="preserve">. </w:t>
      </w:r>
    </w:p>
    <w:p w14:paraId="3628EAC0" w14:textId="309FE038" w:rsidR="00C81C53" w:rsidRPr="001569FB" w:rsidRDefault="00C81C53" w:rsidP="00C81C53">
      <w:pPr>
        <w:spacing w:before="200" w:after="200"/>
        <w:rPr>
          <w:szCs w:val="24"/>
        </w:rPr>
      </w:pPr>
      <w:r w:rsidRPr="001569FB">
        <w:rPr>
          <w:szCs w:val="24"/>
        </w:rPr>
        <w:t xml:space="preserve">ACO experience for 2016 may be found at </w:t>
      </w:r>
      <w:hyperlink r:id="rId18" w:tooltip="Hyperlink to the Pioneer ACO Model informational webpage on the CMS website" w:history="1">
        <w:r w:rsidRPr="001569FB">
          <w:rPr>
            <w:rStyle w:val="Hyperlink"/>
            <w:szCs w:val="24"/>
          </w:rPr>
          <w:t>https://innovation.cms.gov/initiatives/Pioneer-ACO-Model</w:t>
        </w:r>
      </w:hyperlink>
      <w:r w:rsidRPr="001569FB">
        <w:rPr>
          <w:szCs w:val="24"/>
        </w:rPr>
        <w:t xml:space="preserve"> for the Pioneer model</w:t>
      </w:r>
      <w:r w:rsidR="002916AB" w:rsidRPr="001569FB">
        <w:rPr>
          <w:szCs w:val="24"/>
        </w:rPr>
        <w:t>;</w:t>
      </w:r>
      <w:r w:rsidRPr="001569FB">
        <w:rPr>
          <w:szCs w:val="24"/>
        </w:rPr>
        <w:t xml:space="preserve"> at </w:t>
      </w:r>
      <w:hyperlink r:id="rId19" w:tooltip="Hyperlink to the Next Generation ACO Model informational webpage on the CMS website" w:history="1">
        <w:r w:rsidRPr="001569FB">
          <w:rPr>
            <w:rStyle w:val="Hyperlink"/>
            <w:szCs w:val="24"/>
          </w:rPr>
          <w:t>https://innovation.cms.gov/initiatives/Next-Generation-ACO-Model</w:t>
        </w:r>
      </w:hyperlink>
      <w:r w:rsidRPr="001569FB">
        <w:rPr>
          <w:szCs w:val="24"/>
        </w:rPr>
        <w:t xml:space="preserve"> for the NGACO model</w:t>
      </w:r>
      <w:r w:rsidR="002916AB" w:rsidRPr="001569FB">
        <w:rPr>
          <w:szCs w:val="24"/>
        </w:rPr>
        <w:t>;</w:t>
      </w:r>
      <w:r w:rsidRPr="001569FB">
        <w:rPr>
          <w:szCs w:val="24"/>
        </w:rPr>
        <w:t xml:space="preserve"> and at </w:t>
      </w:r>
      <w:hyperlink r:id="rId20" w:tooltip="Hyperlink to the Shared Savings Program webpage on the CMS website" w:history="1">
        <w:r w:rsidRPr="001569FB">
          <w:rPr>
            <w:rStyle w:val="Hyperlink"/>
            <w:szCs w:val="24"/>
          </w:rPr>
          <w:t>https://www.cms.gov/Medicare/Medicare-Fee-for-Service-Payment/sharedsavingsprogram</w:t>
        </w:r>
      </w:hyperlink>
      <w:r w:rsidRPr="001569FB">
        <w:rPr>
          <w:szCs w:val="24"/>
        </w:rPr>
        <w:t xml:space="preserve"> for </w:t>
      </w:r>
      <w:r w:rsidR="00D74917" w:rsidRPr="001569FB">
        <w:rPr>
          <w:szCs w:val="24"/>
        </w:rPr>
        <w:t xml:space="preserve">the </w:t>
      </w:r>
      <w:r w:rsidRPr="001569FB">
        <w:rPr>
          <w:szCs w:val="24"/>
        </w:rPr>
        <w:t>SSP.</w:t>
      </w:r>
    </w:p>
    <w:p w14:paraId="5AC286B0" w14:textId="77777777" w:rsidR="008078A5" w:rsidRPr="001569FB" w:rsidRDefault="008078A5" w:rsidP="008078A5">
      <w:pPr>
        <w:rPr>
          <w:szCs w:val="24"/>
        </w:rPr>
      </w:pPr>
      <w:r w:rsidRPr="001569FB">
        <w:rPr>
          <w:szCs w:val="24"/>
        </w:rPr>
        <w:t>The key aspects of these adjustments are:</w:t>
      </w:r>
    </w:p>
    <w:p w14:paraId="73B5FDF4" w14:textId="77777777" w:rsidR="008078A5" w:rsidRPr="001569FB" w:rsidRDefault="008078A5" w:rsidP="00AC78D9">
      <w:pPr>
        <w:pStyle w:val="ListParagraph"/>
        <w:numPr>
          <w:ilvl w:val="0"/>
          <w:numId w:val="9"/>
        </w:numPr>
        <w:rPr>
          <w:szCs w:val="24"/>
        </w:rPr>
      </w:pPr>
      <w:r w:rsidRPr="001569FB">
        <w:rPr>
          <w:szCs w:val="24"/>
        </w:rPr>
        <w:t>Allocate ACO shared savings or shared loss amounts geographically</w:t>
      </w:r>
      <w:r w:rsidR="00994598" w:rsidRPr="001569FB">
        <w:rPr>
          <w:szCs w:val="24"/>
        </w:rPr>
        <w:t xml:space="preserve">, as applicable based on each ACO’s unique </w:t>
      </w:r>
      <w:r w:rsidR="00C81C53" w:rsidRPr="001569FB">
        <w:rPr>
          <w:szCs w:val="24"/>
        </w:rPr>
        <w:t>population and performance</w:t>
      </w:r>
      <w:r w:rsidR="00994598" w:rsidRPr="001569FB">
        <w:rPr>
          <w:szCs w:val="24"/>
        </w:rPr>
        <w:t>,</w:t>
      </w:r>
      <w:r w:rsidRPr="001569FB">
        <w:rPr>
          <w:szCs w:val="24"/>
        </w:rPr>
        <w:t xml:space="preserve"> according to the distribution of counties in which </w:t>
      </w:r>
      <w:r w:rsidR="00994598" w:rsidRPr="001569FB">
        <w:rPr>
          <w:szCs w:val="24"/>
        </w:rPr>
        <w:t xml:space="preserve">each </w:t>
      </w:r>
      <w:r w:rsidRPr="001569FB">
        <w:rPr>
          <w:szCs w:val="24"/>
        </w:rPr>
        <w:t>ACO</w:t>
      </w:r>
      <w:r w:rsidR="00994598" w:rsidRPr="001569FB">
        <w:rPr>
          <w:szCs w:val="24"/>
        </w:rPr>
        <w:t>’s</w:t>
      </w:r>
      <w:r w:rsidRPr="001569FB">
        <w:rPr>
          <w:szCs w:val="24"/>
        </w:rPr>
        <w:t xml:space="preserve"> assigned beneficiaries reside.</w:t>
      </w:r>
    </w:p>
    <w:p w14:paraId="27DC68B0" w14:textId="77777777" w:rsidR="008078A5" w:rsidRPr="001569FB" w:rsidRDefault="008078A5" w:rsidP="00AC78D9">
      <w:pPr>
        <w:pStyle w:val="ListParagraph"/>
        <w:numPr>
          <w:ilvl w:val="0"/>
          <w:numId w:val="9"/>
        </w:numPr>
        <w:rPr>
          <w:szCs w:val="24"/>
        </w:rPr>
      </w:pPr>
      <w:r w:rsidRPr="001569FB">
        <w:rPr>
          <w:szCs w:val="24"/>
        </w:rPr>
        <w:lastRenderedPageBreak/>
        <w:t xml:space="preserve">Represent such allocated shared savings payments and shared losses </w:t>
      </w:r>
      <w:r w:rsidR="00C81C53" w:rsidRPr="001569FB">
        <w:rPr>
          <w:szCs w:val="24"/>
        </w:rPr>
        <w:t xml:space="preserve">recoupment </w:t>
      </w:r>
      <w:r w:rsidRPr="001569FB">
        <w:rPr>
          <w:szCs w:val="24"/>
        </w:rPr>
        <w:t xml:space="preserve">on </w:t>
      </w:r>
      <w:r w:rsidR="00A66353" w:rsidRPr="001569FB">
        <w:rPr>
          <w:szCs w:val="24"/>
        </w:rPr>
        <w:t xml:space="preserve">a </w:t>
      </w:r>
      <w:r w:rsidRPr="001569FB">
        <w:rPr>
          <w:szCs w:val="24"/>
        </w:rPr>
        <w:t>per-capita basis based on total FFS enrollment as of July 1 of the experience year.</w:t>
      </w:r>
    </w:p>
    <w:p w14:paraId="4DA8E2E8" w14:textId="77777777" w:rsidR="008078A5" w:rsidRPr="001569FB" w:rsidRDefault="008078A5" w:rsidP="00AC78D9">
      <w:pPr>
        <w:pStyle w:val="ListParagraph"/>
        <w:numPr>
          <w:ilvl w:val="0"/>
          <w:numId w:val="9"/>
        </w:numPr>
        <w:rPr>
          <w:szCs w:val="24"/>
        </w:rPr>
      </w:pPr>
      <w:r w:rsidRPr="001569FB">
        <w:rPr>
          <w:szCs w:val="24"/>
        </w:rPr>
        <w:t>Exclude per-capita shared savings and losses attributed to beneficiaries in ESRD status as of July 1 of the experience year.</w:t>
      </w:r>
    </w:p>
    <w:p w14:paraId="6315B63F" w14:textId="77777777" w:rsidR="00EF1741" w:rsidRPr="001569FB" w:rsidRDefault="002B6725" w:rsidP="00AC78D9">
      <w:pPr>
        <w:pStyle w:val="ListParagraph"/>
        <w:numPr>
          <w:ilvl w:val="0"/>
          <w:numId w:val="9"/>
        </w:numPr>
        <w:rPr>
          <w:szCs w:val="24"/>
        </w:rPr>
      </w:pPr>
      <w:r w:rsidRPr="001569FB">
        <w:rPr>
          <w:szCs w:val="24"/>
        </w:rPr>
        <w:t>Similar to last year, s</w:t>
      </w:r>
      <w:r w:rsidR="008078A5" w:rsidRPr="001569FB">
        <w:rPr>
          <w:szCs w:val="24"/>
        </w:rPr>
        <w:t xml:space="preserve">hared savings payments made to </w:t>
      </w:r>
      <w:r w:rsidR="0070623B" w:rsidRPr="001569FB">
        <w:rPr>
          <w:szCs w:val="24"/>
        </w:rPr>
        <w:t>ACOs</w:t>
      </w:r>
      <w:r w:rsidR="008078A5" w:rsidRPr="001569FB">
        <w:rPr>
          <w:szCs w:val="24"/>
        </w:rPr>
        <w:t xml:space="preserve"> in SSP</w:t>
      </w:r>
      <w:r w:rsidR="002A369B" w:rsidRPr="001569FB">
        <w:rPr>
          <w:szCs w:val="24"/>
        </w:rPr>
        <w:t>,</w:t>
      </w:r>
      <w:r w:rsidR="008078A5" w:rsidRPr="001569FB">
        <w:rPr>
          <w:szCs w:val="24"/>
        </w:rPr>
        <w:t xml:space="preserve"> Pioneer </w:t>
      </w:r>
      <w:r w:rsidR="001D63D7" w:rsidRPr="001569FB">
        <w:rPr>
          <w:szCs w:val="24"/>
        </w:rPr>
        <w:t>ACO</w:t>
      </w:r>
      <w:r w:rsidR="00C81C53" w:rsidRPr="001569FB">
        <w:rPr>
          <w:szCs w:val="24"/>
        </w:rPr>
        <w:t>s</w:t>
      </w:r>
      <w:r w:rsidR="002A369B" w:rsidRPr="001569FB">
        <w:rPr>
          <w:szCs w:val="24"/>
        </w:rPr>
        <w:t xml:space="preserve">, </w:t>
      </w:r>
      <w:r w:rsidR="00C81C53" w:rsidRPr="001569FB">
        <w:rPr>
          <w:szCs w:val="24"/>
        </w:rPr>
        <w:t>NGACOs, and CPC practices, and reconciliation payments made under the Bundled Payment for Care Improvement (BPCI) model will be reflected as additional expenditures in the experience year (i.e., the year when the savings were generated rather than when they were paid).  Shared losses will be included as negative expenditures in the experience year.  The amounts will be represented in the county level Part A and Part B expenditures proportional to the Part A and Part B share of the FFS USPCC for the experience year.</w:t>
      </w:r>
    </w:p>
    <w:p w14:paraId="52FD722A" w14:textId="781957F5" w:rsidR="000D4861" w:rsidRPr="001569FB" w:rsidRDefault="000D4861" w:rsidP="00AC78D9">
      <w:pPr>
        <w:pStyle w:val="ListParagraph"/>
        <w:numPr>
          <w:ilvl w:val="0"/>
          <w:numId w:val="9"/>
        </w:numPr>
        <w:rPr>
          <w:szCs w:val="24"/>
        </w:rPr>
      </w:pPr>
      <w:r w:rsidRPr="001569FB">
        <w:rPr>
          <w:szCs w:val="24"/>
        </w:rPr>
        <w:t xml:space="preserve">We are also proposing an adjustment for </w:t>
      </w:r>
      <w:r w:rsidR="006963C8" w:rsidRPr="001569FB">
        <w:rPr>
          <w:szCs w:val="24"/>
        </w:rPr>
        <w:t xml:space="preserve">population-based payment models for </w:t>
      </w:r>
      <w:r w:rsidRPr="001569FB">
        <w:rPr>
          <w:szCs w:val="24"/>
        </w:rPr>
        <w:t xml:space="preserve">a limited number of </w:t>
      </w:r>
      <w:r w:rsidR="006963C8" w:rsidRPr="001569FB">
        <w:rPr>
          <w:szCs w:val="24"/>
        </w:rPr>
        <w:t xml:space="preserve">Pioneer ACO </w:t>
      </w:r>
      <w:r w:rsidRPr="001569FB">
        <w:rPr>
          <w:szCs w:val="24"/>
        </w:rPr>
        <w:t>claims from 2014</w:t>
      </w:r>
      <w:r w:rsidR="00645BE8" w:rsidRPr="001569FB">
        <w:rPr>
          <w:szCs w:val="24"/>
        </w:rPr>
        <w:t>,</w:t>
      </w:r>
      <w:r w:rsidRPr="001569FB">
        <w:rPr>
          <w:szCs w:val="24"/>
        </w:rPr>
        <w:t xml:space="preserve"> 2015</w:t>
      </w:r>
      <w:r w:rsidR="00C81C53" w:rsidRPr="001569FB">
        <w:rPr>
          <w:szCs w:val="24"/>
        </w:rPr>
        <w:t>,</w:t>
      </w:r>
      <w:r w:rsidR="00645BE8" w:rsidRPr="001569FB">
        <w:rPr>
          <w:szCs w:val="24"/>
        </w:rPr>
        <w:t xml:space="preserve"> and 2016</w:t>
      </w:r>
      <w:r w:rsidR="00122C34" w:rsidRPr="001569FB">
        <w:rPr>
          <w:szCs w:val="24"/>
        </w:rPr>
        <w:t xml:space="preserve"> </w:t>
      </w:r>
      <w:r w:rsidR="006963C8" w:rsidRPr="001569FB">
        <w:rPr>
          <w:szCs w:val="24"/>
        </w:rPr>
        <w:t>and NGACO claims for 2016</w:t>
      </w:r>
      <w:r w:rsidRPr="001569FB">
        <w:rPr>
          <w:szCs w:val="24"/>
        </w:rPr>
        <w:t xml:space="preserve">. </w:t>
      </w:r>
      <w:r w:rsidR="007A6384" w:rsidRPr="001569FB">
        <w:rPr>
          <w:szCs w:val="24"/>
        </w:rPr>
        <w:t xml:space="preserve"> </w:t>
      </w:r>
      <w:r w:rsidRPr="001569FB">
        <w:rPr>
          <w:szCs w:val="24"/>
        </w:rPr>
        <w:t xml:space="preserve">Under this optional feature of the model, certain participants receive a monthly fee that ultimately offsets a percentage reduction in marginal FFS payments over the same year. </w:t>
      </w:r>
      <w:r w:rsidR="007A6384" w:rsidRPr="001569FB">
        <w:rPr>
          <w:szCs w:val="24"/>
        </w:rPr>
        <w:t xml:space="preserve"> </w:t>
      </w:r>
      <w:r w:rsidRPr="001569FB">
        <w:rPr>
          <w:szCs w:val="24"/>
        </w:rPr>
        <w:t>For each affected claim, the reduction amount represents the portion of the fee associated with that particular claim and is therefore added back to the reduced FFS amount so that the total reimbursement amount is represented.</w:t>
      </w:r>
    </w:p>
    <w:p w14:paraId="208B3724" w14:textId="006983F6" w:rsidR="006C5BDC" w:rsidRPr="001569FB" w:rsidRDefault="000D4861" w:rsidP="002707EC">
      <w:pPr>
        <w:tabs>
          <w:tab w:val="left" w:pos="0"/>
        </w:tabs>
        <w:spacing w:before="200" w:after="200"/>
      </w:pPr>
      <w:r w:rsidRPr="001569FB">
        <w:rPr>
          <w:szCs w:val="24"/>
        </w:rPr>
        <w:t xml:space="preserve">A further adjustment is being proposed for </w:t>
      </w:r>
      <w:r w:rsidR="00C81C53" w:rsidRPr="001569FB">
        <w:rPr>
          <w:szCs w:val="24"/>
        </w:rPr>
        <w:t xml:space="preserve">Medicare </w:t>
      </w:r>
      <w:r w:rsidRPr="001569FB">
        <w:rPr>
          <w:szCs w:val="24"/>
        </w:rPr>
        <w:t xml:space="preserve">shared savings payments made under the </w:t>
      </w:r>
      <w:r w:rsidR="0065511B" w:rsidRPr="001569FB">
        <w:rPr>
          <w:szCs w:val="24"/>
        </w:rPr>
        <w:t>Medicare-Medicaid m</w:t>
      </w:r>
      <w:r w:rsidRPr="001569FB">
        <w:rPr>
          <w:szCs w:val="24"/>
        </w:rPr>
        <w:t xml:space="preserve">anaged </w:t>
      </w:r>
      <w:r w:rsidR="0065511B" w:rsidRPr="001569FB">
        <w:rPr>
          <w:szCs w:val="24"/>
        </w:rPr>
        <w:t>f</w:t>
      </w:r>
      <w:r w:rsidRPr="001569FB">
        <w:rPr>
          <w:szCs w:val="24"/>
        </w:rPr>
        <w:t>ee-</w:t>
      </w:r>
      <w:r w:rsidR="0065511B" w:rsidRPr="001569FB">
        <w:rPr>
          <w:szCs w:val="24"/>
        </w:rPr>
        <w:t>f</w:t>
      </w:r>
      <w:r w:rsidRPr="001569FB">
        <w:rPr>
          <w:szCs w:val="24"/>
        </w:rPr>
        <w:t>or-</w:t>
      </w:r>
      <w:r w:rsidR="0065511B" w:rsidRPr="001569FB">
        <w:rPr>
          <w:szCs w:val="24"/>
        </w:rPr>
        <w:t>s</w:t>
      </w:r>
      <w:r w:rsidRPr="001569FB">
        <w:rPr>
          <w:szCs w:val="24"/>
        </w:rPr>
        <w:t xml:space="preserve">ervice </w:t>
      </w:r>
      <w:r w:rsidR="0065511B" w:rsidRPr="001569FB">
        <w:rPr>
          <w:szCs w:val="24"/>
        </w:rPr>
        <w:t>f</w:t>
      </w:r>
      <w:r w:rsidRPr="001569FB">
        <w:rPr>
          <w:szCs w:val="24"/>
        </w:rPr>
        <w:t xml:space="preserve">inancial </w:t>
      </w:r>
      <w:r w:rsidR="0065511B" w:rsidRPr="001569FB">
        <w:rPr>
          <w:szCs w:val="24"/>
        </w:rPr>
        <w:t>a</w:t>
      </w:r>
      <w:r w:rsidRPr="001569FB">
        <w:rPr>
          <w:szCs w:val="24"/>
        </w:rPr>
        <w:t xml:space="preserve">lignment </w:t>
      </w:r>
      <w:r w:rsidR="0065511B" w:rsidRPr="001569FB">
        <w:rPr>
          <w:szCs w:val="24"/>
        </w:rPr>
        <w:t>model</w:t>
      </w:r>
      <w:r w:rsidRPr="001569FB">
        <w:rPr>
          <w:szCs w:val="24"/>
        </w:rPr>
        <w:t xml:space="preserve"> for 2013-</w:t>
      </w:r>
      <w:r w:rsidR="00123139" w:rsidRPr="001569FB">
        <w:rPr>
          <w:szCs w:val="24"/>
        </w:rPr>
        <w:t>2015</w:t>
      </w:r>
      <w:r w:rsidRPr="001569FB">
        <w:rPr>
          <w:szCs w:val="24"/>
        </w:rPr>
        <w:t xml:space="preserve"> experience.  The payment will be allocated by county based on the distribution of the program enrollment.</w:t>
      </w:r>
    </w:p>
    <w:p w14:paraId="17CF10C9" w14:textId="77777777" w:rsidR="00ED6E6E" w:rsidRPr="001569FB" w:rsidRDefault="00ED6E6E" w:rsidP="002707EC">
      <w:pPr>
        <w:tabs>
          <w:tab w:val="left" w:pos="0"/>
        </w:tabs>
        <w:spacing w:before="200"/>
        <w:rPr>
          <w:bCs/>
          <w:iCs/>
          <w:color w:val="000000"/>
          <w:szCs w:val="24"/>
        </w:rPr>
      </w:pPr>
      <w:r w:rsidRPr="001569FB">
        <w:rPr>
          <w:bCs/>
          <w:iCs/>
          <w:color w:val="000000"/>
          <w:szCs w:val="24"/>
        </w:rPr>
        <w:t>Consideration has been given to adjusting the FFS claims experience for care management fees</w:t>
      </w:r>
      <w:r w:rsidR="006E2EC5" w:rsidRPr="001569FB">
        <w:rPr>
          <w:bCs/>
          <w:iCs/>
          <w:color w:val="000000"/>
          <w:szCs w:val="24"/>
        </w:rPr>
        <w:t>, per-benefic</w:t>
      </w:r>
      <w:r w:rsidR="00F76563" w:rsidRPr="001569FB">
        <w:rPr>
          <w:bCs/>
          <w:iCs/>
          <w:color w:val="000000"/>
          <w:szCs w:val="24"/>
        </w:rPr>
        <w:t>i</w:t>
      </w:r>
      <w:r w:rsidR="006E2EC5" w:rsidRPr="001569FB">
        <w:rPr>
          <w:bCs/>
          <w:iCs/>
          <w:color w:val="000000"/>
          <w:szCs w:val="24"/>
        </w:rPr>
        <w:t>ary-per-month fees,</w:t>
      </w:r>
      <w:r w:rsidR="001F3ED0" w:rsidRPr="001569FB">
        <w:rPr>
          <w:bCs/>
          <w:iCs/>
          <w:color w:val="000000"/>
          <w:szCs w:val="24"/>
        </w:rPr>
        <w:t xml:space="preserve"> and/or advance payment of shared savings</w:t>
      </w:r>
      <w:r w:rsidRPr="001569FB">
        <w:rPr>
          <w:bCs/>
          <w:iCs/>
          <w:color w:val="000000"/>
          <w:szCs w:val="24"/>
        </w:rPr>
        <w:t xml:space="preserve"> paid to providers for</w:t>
      </w:r>
      <w:r w:rsidR="006E2EC5" w:rsidRPr="001569FB">
        <w:rPr>
          <w:bCs/>
          <w:iCs/>
          <w:color w:val="000000"/>
          <w:szCs w:val="24"/>
        </w:rPr>
        <w:t xml:space="preserve"> other</w:t>
      </w:r>
      <w:r w:rsidRPr="001569FB">
        <w:rPr>
          <w:bCs/>
          <w:iCs/>
          <w:color w:val="000000"/>
          <w:szCs w:val="24"/>
        </w:rPr>
        <w:t xml:space="preserve"> innovation models</w:t>
      </w:r>
      <w:r w:rsidR="00364618" w:rsidRPr="001569FB">
        <w:rPr>
          <w:bCs/>
          <w:iCs/>
          <w:color w:val="000000"/>
          <w:szCs w:val="24"/>
        </w:rPr>
        <w:t xml:space="preserve"> conducted in </w:t>
      </w:r>
      <w:r w:rsidR="007A4F97" w:rsidRPr="001569FB">
        <w:rPr>
          <w:bCs/>
          <w:iCs/>
          <w:color w:val="000000"/>
          <w:szCs w:val="24"/>
        </w:rPr>
        <w:t>2012</w:t>
      </w:r>
      <w:r w:rsidR="00364618" w:rsidRPr="001569FB">
        <w:rPr>
          <w:bCs/>
          <w:iCs/>
          <w:color w:val="000000"/>
          <w:szCs w:val="24"/>
        </w:rPr>
        <w:t>-</w:t>
      </w:r>
      <w:r w:rsidR="007A4F97" w:rsidRPr="001569FB">
        <w:rPr>
          <w:bCs/>
          <w:iCs/>
          <w:color w:val="000000"/>
          <w:szCs w:val="24"/>
        </w:rPr>
        <w:t xml:space="preserve">2016 </w:t>
      </w:r>
      <w:r w:rsidR="00364618" w:rsidRPr="001569FB">
        <w:rPr>
          <w:bCs/>
          <w:iCs/>
          <w:color w:val="000000"/>
          <w:szCs w:val="24"/>
        </w:rPr>
        <w:t>period</w:t>
      </w:r>
      <w:r w:rsidRPr="001569FB">
        <w:rPr>
          <w:bCs/>
          <w:iCs/>
          <w:color w:val="000000"/>
          <w:szCs w:val="24"/>
        </w:rPr>
        <w:t>.</w:t>
      </w:r>
      <w:r w:rsidR="00DB74A8" w:rsidRPr="001569FB">
        <w:rPr>
          <w:rStyle w:val="FootnoteReference"/>
          <w:bCs/>
          <w:iCs/>
          <w:color w:val="000000"/>
          <w:szCs w:val="24"/>
        </w:rPr>
        <w:footnoteReference w:id="2"/>
      </w:r>
      <w:r w:rsidRPr="001569FB">
        <w:rPr>
          <w:bCs/>
          <w:iCs/>
          <w:color w:val="000000"/>
          <w:szCs w:val="24"/>
        </w:rPr>
        <w:t xml:space="preserve"> </w:t>
      </w:r>
      <w:r w:rsidR="00CB01DC" w:rsidRPr="001569FB">
        <w:rPr>
          <w:bCs/>
          <w:iCs/>
          <w:color w:val="000000"/>
          <w:szCs w:val="24"/>
        </w:rPr>
        <w:t xml:space="preserve"> </w:t>
      </w:r>
      <w:r w:rsidRPr="001569FB">
        <w:rPr>
          <w:bCs/>
          <w:iCs/>
          <w:color w:val="000000"/>
          <w:szCs w:val="24"/>
        </w:rPr>
        <w:t xml:space="preserve">We </w:t>
      </w:r>
      <w:r w:rsidR="00F5649B" w:rsidRPr="001569FB">
        <w:rPr>
          <w:bCs/>
          <w:iCs/>
          <w:color w:val="000000"/>
          <w:szCs w:val="24"/>
        </w:rPr>
        <w:t xml:space="preserve">have </w:t>
      </w:r>
      <w:r w:rsidRPr="001569FB">
        <w:rPr>
          <w:bCs/>
          <w:iCs/>
          <w:color w:val="000000"/>
          <w:szCs w:val="24"/>
        </w:rPr>
        <w:t xml:space="preserve">determined that the fees paid under the Multi-Payer Advanced Primary Care Practice </w:t>
      </w:r>
      <w:r w:rsidR="00CB01DC" w:rsidRPr="001569FB">
        <w:rPr>
          <w:bCs/>
          <w:iCs/>
          <w:color w:val="000000"/>
          <w:szCs w:val="24"/>
        </w:rPr>
        <w:t xml:space="preserve">Demonstration </w:t>
      </w:r>
      <w:r w:rsidRPr="001569FB">
        <w:rPr>
          <w:bCs/>
          <w:iCs/>
          <w:color w:val="000000"/>
          <w:szCs w:val="24"/>
        </w:rPr>
        <w:t xml:space="preserve">are already reflected in historical FFS claims, and therefore, no adjustment is warranted.  </w:t>
      </w:r>
    </w:p>
    <w:p w14:paraId="7DC3A50A" w14:textId="77BFC2A6" w:rsidR="00CE35E8" w:rsidRPr="001569FB" w:rsidRDefault="008078A5" w:rsidP="006B5A18">
      <w:pPr>
        <w:spacing w:before="200" w:after="200"/>
        <w:rPr>
          <w:bCs/>
          <w:iCs/>
          <w:color w:val="000000"/>
          <w:szCs w:val="24"/>
        </w:rPr>
      </w:pPr>
      <w:r w:rsidRPr="001569FB">
        <w:rPr>
          <w:bCs/>
          <w:iCs/>
          <w:color w:val="000000"/>
          <w:szCs w:val="24"/>
        </w:rPr>
        <w:t xml:space="preserve">We </w:t>
      </w:r>
      <w:r w:rsidR="0077055A" w:rsidRPr="001569FB">
        <w:rPr>
          <w:bCs/>
          <w:iCs/>
          <w:color w:val="000000"/>
          <w:szCs w:val="24"/>
        </w:rPr>
        <w:t xml:space="preserve">also intend </w:t>
      </w:r>
      <w:r w:rsidR="001A0032" w:rsidRPr="001569FB">
        <w:rPr>
          <w:bCs/>
          <w:iCs/>
          <w:color w:val="000000"/>
          <w:szCs w:val="24"/>
        </w:rPr>
        <w:t>to use</w:t>
      </w:r>
      <w:r w:rsidR="0077055A" w:rsidRPr="001569FB">
        <w:rPr>
          <w:bCs/>
          <w:iCs/>
          <w:color w:val="000000"/>
          <w:szCs w:val="24"/>
        </w:rPr>
        <w:t xml:space="preserve"> for 2019</w:t>
      </w:r>
      <w:r w:rsidR="00835C00" w:rsidRPr="001569FB">
        <w:rPr>
          <w:bCs/>
          <w:iCs/>
          <w:color w:val="000000"/>
          <w:szCs w:val="24"/>
        </w:rPr>
        <w:t>, as</w:t>
      </w:r>
      <w:r w:rsidRPr="001569FB">
        <w:rPr>
          <w:bCs/>
          <w:iCs/>
          <w:color w:val="000000"/>
          <w:szCs w:val="24"/>
        </w:rPr>
        <w:t xml:space="preserve"> the source of the county designation of beneficiaries used in the summarization of the risk scores</w:t>
      </w:r>
      <w:r w:rsidR="00BA1606" w:rsidRPr="001569FB">
        <w:rPr>
          <w:bCs/>
          <w:iCs/>
          <w:color w:val="000000"/>
          <w:szCs w:val="24"/>
        </w:rPr>
        <w:t>, the county assignment used for the ratebook FFS claims and enrollment</w:t>
      </w:r>
      <w:r w:rsidRPr="001569FB">
        <w:rPr>
          <w:bCs/>
          <w:iCs/>
          <w:color w:val="000000"/>
          <w:szCs w:val="24"/>
        </w:rPr>
        <w:t xml:space="preserve">. </w:t>
      </w:r>
      <w:r w:rsidR="007A6384" w:rsidRPr="001569FB">
        <w:rPr>
          <w:bCs/>
          <w:iCs/>
          <w:color w:val="000000"/>
          <w:szCs w:val="24"/>
        </w:rPr>
        <w:t xml:space="preserve"> </w:t>
      </w:r>
      <w:r w:rsidRPr="001569FB">
        <w:rPr>
          <w:bCs/>
          <w:iCs/>
          <w:color w:val="000000"/>
          <w:szCs w:val="24"/>
        </w:rPr>
        <w:t xml:space="preserve">For contract years 2016 and earlier, the county assignment for each FFS beneficiary was based on the </w:t>
      </w:r>
      <w:r w:rsidR="00A66353" w:rsidRPr="001569FB">
        <w:rPr>
          <w:bCs/>
          <w:iCs/>
          <w:color w:val="000000"/>
          <w:szCs w:val="24"/>
        </w:rPr>
        <w:t xml:space="preserve">ZIP </w:t>
      </w:r>
      <w:r w:rsidRPr="001569FB">
        <w:rPr>
          <w:bCs/>
          <w:iCs/>
          <w:color w:val="000000"/>
          <w:szCs w:val="24"/>
        </w:rPr>
        <w:t xml:space="preserve">code associated with the beneficiary’s mailing address.  Beginning with the 2017 ratebook, we </w:t>
      </w:r>
      <w:r w:rsidR="004569E7" w:rsidRPr="001569FB">
        <w:rPr>
          <w:bCs/>
          <w:iCs/>
          <w:color w:val="000000"/>
          <w:szCs w:val="24"/>
        </w:rPr>
        <w:t>used</w:t>
      </w:r>
      <w:r w:rsidRPr="001569FB">
        <w:rPr>
          <w:bCs/>
          <w:iCs/>
          <w:color w:val="000000"/>
          <w:szCs w:val="24"/>
        </w:rPr>
        <w:t xml:space="preserve"> the county provided by the Social Security Administration, which is the same county assignment as the ratebook FFS claims and enrollment.</w:t>
      </w:r>
      <w:r w:rsidR="00CE35E8" w:rsidRPr="001569FB">
        <w:rPr>
          <w:bCs/>
          <w:iCs/>
          <w:color w:val="000000"/>
          <w:szCs w:val="24"/>
        </w:rPr>
        <w:t xml:space="preserve"> </w:t>
      </w:r>
    </w:p>
    <w:p w14:paraId="559F6F69" w14:textId="77777777" w:rsidR="00A476B9" w:rsidRPr="001569FB" w:rsidRDefault="00A476B9" w:rsidP="006B5A18">
      <w:pPr>
        <w:spacing w:before="200" w:after="200"/>
        <w:rPr>
          <w:szCs w:val="24"/>
        </w:rPr>
      </w:pPr>
      <w:r w:rsidRPr="001569FB">
        <w:rPr>
          <w:szCs w:val="24"/>
        </w:rPr>
        <w:lastRenderedPageBreak/>
        <w:t xml:space="preserve">The statutory component of the Regional MA benchmarks will also be based on this proposed county designation of beneficiaries.  </w:t>
      </w:r>
      <w:r w:rsidR="00757948" w:rsidRPr="001569FB">
        <w:rPr>
          <w:szCs w:val="24"/>
        </w:rPr>
        <w:t xml:space="preserve">Under our implementation of </w:t>
      </w:r>
      <w:r w:rsidRPr="001569FB">
        <w:rPr>
          <w:szCs w:val="24"/>
        </w:rPr>
        <w:t>section 1858(f)(2)</w:t>
      </w:r>
      <w:r w:rsidR="00F43E22" w:rsidRPr="001569FB">
        <w:rPr>
          <w:szCs w:val="24"/>
        </w:rPr>
        <w:t xml:space="preserve"> of the Act</w:t>
      </w:r>
      <w:r w:rsidRPr="001569FB">
        <w:rPr>
          <w:szCs w:val="24"/>
        </w:rPr>
        <w:t xml:space="preserve">, the standardized PPO benchmark for each MA region includes a statutory component consisting of the weighted average of the county capitation rates across the region for each appropriate level of star rating.  </w:t>
      </w:r>
      <w:r w:rsidR="00835C00" w:rsidRPr="001569FB">
        <w:rPr>
          <w:szCs w:val="24"/>
        </w:rPr>
        <w:t>T</w:t>
      </w:r>
      <w:r w:rsidRPr="001569FB">
        <w:rPr>
          <w:szCs w:val="24"/>
        </w:rPr>
        <w:t xml:space="preserve">he enrollment weights for the statutory component will reflect the </w:t>
      </w:r>
      <w:r w:rsidR="00835C00" w:rsidRPr="001569FB">
        <w:rPr>
          <w:szCs w:val="24"/>
        </w:rPr>
        <w:t>proposed</w:t>
      </w:r>
      <w:r w:rsidRPr="001569FB">
        <w:rPr>
          <w:szCs w:val="24"/>
        </w:rPr>
        <w:t xml:space="preserve"> county designation of beneficiaries.</w:t>
      </w:r>
    </w:p>
    <w:p w14:paraId="6081F5DF" w14:textId="77777777" w:rsidR="00BA1606" w:rsidRPr="001569FB" w:rsidRDefault="00BA1606" w:rsidP="006B5A18">
      <w:pPr>
        <w:spacing w:before="200" w:after="200"/>
        <w:rPr>
          <w:szCs w:val="24"/>
        </w:rPr>
      </w:pPr>
      <w:r w:rsidRPr="001569FB">
        <w:rPr>
          <w:szCs w:val="24"/>
        </w:rPr>
        <w:t xml:space="preserve">As in prior years, </w:t>
      </w:r>
      <w:r w:rsidR="00B10FBF" w:rsidRPr="001569FB">
        <w:rPr>
          <w:szCs w:val="24"/>
        </w:rPr>
        <w:t xml:space="preserve">(1) </w:t>
      </w:r>
      <w:r w:rsidRPr="001569FB">
        <w:rPr>
          <w:szCs w:val="24"/>
        </w:rPr>
        <w:t xml:space="preserve">CMS will make additional adjustments to the FFS </w:t>
      </w:r>
      <w:r w:rsidR="00596A90" w:rsidRPr="001569FB">
        <w:rPr>
          <w:szCs w:val="24"/>
        </w:rPr>
        <w:t>costs</w:t>
      </w:r>
      <w:r w:rsidRPr="001569FB">
        <w:rPr>
          <w:szCs w:val="24"/>
        </w:rPr>
        <w:t xml:space="preserve"> for the items detailed below, and (2) the average of the five year geographic indices, based on the adjusted claims data, will be divided by the county’s average five-year risk score from the </w:t>
      </w:r>
      <w:r w:rsidR="00D069EC" w:rsidRPr="001569FB">
        <w:rPr>
          <w:szCs w:val="24"/>
        </w:rPr>
        <w:t xml:space="preserve">2019 </w:t>
      </w:r>
      <w:r w:rsidRPr="001569FB">
        <w:rPr>
          <w:szCs w:val="24"/>
        </w:rPr>
        <w:t>risk model in order to develop the AGA for that county.</w:t>
      </w:r>
    </w:p>
    <w:p w14:paraId="74C246F9" w14:textId="77777777" w:rsidR="0084033D" w:rsidRPr="001569FB" w:rsidRDefault="00427D6A" w:rsidP="004B18FE">
      <w:pPr>
        <w:pStyle w:val="Heading4"/>
      </w:pPr>
      <w:r w:rsidRPr="001569FB">
        <w:t>Additional Adjustments</w:t>
      </w:r>
    </w:p>
    <w:p w14:paraId="5C29ABED" w14:textId="77777777" w:rsidR="00EF1741" w:rsidRPr="001569FB" w:rsidRDefault="00F76563" w:rsidP="000110FA">
      <w:pPr>
        <w:rPr>
          <w:szCs w:val="24"/>
        </w:rPr>
      </w:pPr>
      <w:r w:rsidRPr="001569FB">
        <w:rPr>
          <w:color w:val="000000"/>
          <w:szCs w:val="24"/>
          <w:shd w:val="clear" w:color="auto" w:fill="FFFFFF"/>
        </w:rPr>
        <w:t xml:space="preserve">Note that incentive payments </w:t>
      </w:r>
      <w:r w:rsidR="001C3F07" w:rsidRPr="001569FB">
        <w:rPr>
          <w:color w:val="000000"/>
          <w:szCs w:val="24"/>
          <w:shd w:val="clear" w:color="auto" w:fill="FFFFFF"/>
        </w:rPr>
        <w:t>for</w:t>
      </w:r>
      <w:r w:rsidRPr="001569FB">
        <w:rPr>
          <w:color w:val="000000"/>
          <w:szCs w:val="24"/>
          <w:shd w:val="clear" w:color="auto" w:fill="FFFFFF"/>
        </w:rPr>
        <w:t xml:space="preserve"> adoption and meaningful use of electronic health record (EHR) technology are not included in the </w:t>
      </w:r>
      <w:r w:rsidR="001C3F07" w:rsidRPr="001569FB">
        <w:rPr>
          <w:color w:val="000000"/>
          <w:szCs w:val="24"/>
          <w:shd w:val="clear" w:color="auto" w:fill="FFFFFF"/>
        </w:rPr>
        <w:t xml:space="preserve">claims used to </w:t>
      </w:r>
      <w:r w:rsidRPr="001569FB">
        <w:rPr>
          <w:color w:val="000000"/>
          <w:szCs w:val="24"/>
          <w:shd w:val="clear" w:color="auto" w:fill="FFFFFF"/>
        </w:rPr>
        <w:t xml:space="preserve">develop </w:t>
      </w:r>
      <w:r w:rsidR="001C3F07" w:rsidRPr="001569FB">
        <w:rPr>
          <w:color w:val="000000"/>
          <w:szCs w:val="24"/>
          <w:shd w:val="clear" w:color="auto" w:fill="FFFFFF"/>
        </w:rPr>
        <w:t xml:space="preserve">the </w:t>
      </w:r>
      <w:r w:rsidRPr="001569FB">
        <w:rPr>
          <w:color w:val="000000"/>
          <w:szCs w:val="24"/>
          <w:shd w:val="clear" w:color="auto" w:fill="FFFFFF"/>
        </w:rPr>
        <w:t>FFS costs</w:t>
      </w:r>
      <w:r w:rsidR="001C3F07" w:rsidRPr="001569FB">
        <w:rPr>
          <w:color w:val="000000"/>
          <w:szCs w:val="24"/>
          <w:shd w:val="clear" w:color="auto" w:fill="FFFFFF"/>
        </w:rPr>
        <w:t xml:space="preserve"> and therefore no explicit adjustment is needed to exclude these payments from the FFS costs</w:t>
      </w:r>
      <w:r w:rsidR="00BF33B0" w:rsidRPr="001569FB">
        <w:rPr>
          <w:color w:val="000000"/>
          <w:szCs w:val="24"/>
          <w:shd w:val="clear" w:color="auto" w:fill="FFFFFF"/>
        </w:rPr>
        <w:t xml:space="preserve"> to comply with section 1853(c)(1)(D)</w:t>
      </w:r>
      <w:r w:rsidRPr="001569FB">
        <w:rPr>
          <w:color w:val="000000"/>
          <w:szCs w:val="24"/>
          <w:shd w:val="clear" w:color="auto" w:fill="FFFFFF"/>
        </w:rPr>
        <w:t>.</w:t>
      </w:r>
    </w:p>
    <w:p w14:paraId="45B58B79" w14:textId="3876EF2A" w:rsidR="000110FA" w:rsidRPr="001569FB" w:rsidRDefault="007414C7" w:rsidP="006B5A18">
      <w:pPr>
        <w:spacing w:before="200" w:after="200"/>
        <w:rPr>
          <w:szCs w:val="24"/>
        </w:rPr>
      </w:pPr>
      <w:r w:rsidRPr="001569FB">
        <w:rPr>
          <w:szCs w:val="24"/>
        </w:rPr>
        <w:t xml:space="preserve"> </w:t>
      </w:r>
      <w:r w:rsidR="00853480" w:rsidRPr="001569FB">
        <w:rPr>
          <w:szCs w:val="24"/>
        </w:rPr>
        <w:t xml:space="preserve">These </w:t>
      </w:r>
      <w:r w:rsidRPr="001569FB">
        <w:rPr>
          <w:szCs w:val="24"/>
        </w:rPr>
        <w:t>adjustments are made after the AGA is calculated:</w:t>
      </w:r>
    </w:p>
    <w:p w14:paraId="60B47BC5" w14:textId="77777777" w:rsidR="00F73651" w:rsidRPr="001569FB" w:rsidRDefault="00F73651" w:rsidP="004B18FE">
      <w:pPr>
        <w:pStyle w:val="ListBullet"/>
        <w:rPr>
          <w:szCs w:val="24"/>
        </w:rPr>
      </w:pPr>
      <w:r w:rsidRPr="001569FB">
        <w:rPr>
          <w:szCs w:val="24"/>
        </w:rPr>
        <w:t xml:space="preserve">Direct Graduate Medical Education: removed from FFS county </w:t>
      </w:r>
      <w:r w:rsidR="00596A90" w:rsidRPr="001569FB">
        <w:rPr>
          <w:szCs w:val="24"/>
        </w:rPr>
        <w:t>costs</w:t>
      </w:r>
      <w:r w:rsidRPr="001569FB">
        <w:rPr>
          <w:szCs w:val="24"/>
        </w:rPr>
        <w:t xml:space="preserve"> (section 1853(c)(1)(D)(i) of the Act)</w:t>
      </w:r>
    </w:p>
    <w:p w14:paraId="06FD141B" w14:textId="77777777" w:rsidR="00F73651" w:rsidRPr="001569FB" w:rsidRDefault="00F73651" w:rsidP="00F73651">
      <w:pPr>
        <w:pStyle w:val="ListBullet"/>
        <w:rPr>
          <w:szCs w:val="24"/>
        </w:rPr>
      </w:pPr>
      <w:r w:rsidRPr="001569FB">
        <w:rPr>
          <w:szCs w:val="24"/>
        </w:rPr>
        <w:t xml:space="preserve">Indirect Medical Education: removed from FFS county </w:t>
      </w:r>
      <w:r w:rsidR="00596A90" w:rsidRPr="001569FB">
        <w:rPr>
          <w:szCs w:val="24"/>
        </w:rPr>
        <w:t>costs</w:t>
      </w:r>
      <w:r w:rsidRPr="001569FB">
        <w:rPr>
          <w:szCs w:val="24"/>
        </w:rPr>
        <w:t xml:space="preserve"> </w:t>
      </w:r>
      <w:r w:rsidR="00A66353" w:rsidRPr="001569FB">
        <w:rPr>
          <w:szCs w:val="24"/>
        </w:rPr>
        <w:t>(</w:t>
      </w:r>
      <w:r w:rsidRPr="001569FB">
        <w:rPr>
          <w:szCs w:val="24"/>
        </w:rPr>
        <w:t>section</w:t>
      </w:r>
      <w:r w:rsidR="00596A90" w:rsidRPr="001569FB">
        <w:rPr>
          <w:szCs w:val="24"/>
        </w:rPr>
        <w:t>s</w:t>
      </w:r>
      <w:r w:rsidRPr="001569FB">
        <w:rPr>
          <w:szCs w:val="24"/>
        </w:rPr>
        <w:t xml:space="preserve"> 1853(</w:t>
      </w:r>
      <w:r w:rsidR="00596A90" w:rsidRPr="001569FB">
        <w:rPr>
          <w:szCs w:val="24"/>
        </w:rPr>
        <w:t>n</w:t>
      </w:r>
      <w:r w:rsidRPr="001569FB">
        <w:rPr>
          <w:szCs w:val="24"/>
        </w:rPr>
        <w:t>)(</w:t>
      </w:r>
      <w:r w:rsidR="00596A90" w:rsidRPr="001569FB">
        <w:rPr>
          <w:szCs w:val="24"/>
        </w:rPr>
        <w:t>2</w:t>
      </w:r>
      <w:r w:rsidRPr="001569FB">
        <w:rPr>
          <w:szCs w:val="24"/>
        </w:rPr>
        <w:t>)</w:t>
      </w:r>
      <w:r w:rsidR="00596A90" w:rsidRPr="001569FB">
        <w:rPr>
          <w:szCs w:val="24"/>
        </w:rPr>
        <w:t>(E)</w:t>
      </w:r>
      <w:r w:rsidRPr="001569FB">
        <w:rPr>
          <w:szCs w:val="24"/>
        </w:rPr>
        <w:t xml:space="preserve"> </w:t>
      </w:r>
      <w:r w:rsidR="00596A90" w:rsidRPr="001569FB">
        <w:rPr>
          <w:szCs w:val="24"/>
        </w:rPr>
        <w:t xml:space="preserve">and (F) </w:t>
      </w:r>
      <w:r w:rsidRPr="001569FB">
        <w:rPr>
          <w:szCs w:val="24"/>
        </w:rPr>
        <w:t>of the Act)</w:t>
      </w:r>
    </w:p>
    <w:p w14:paraId="35F8F3A0" w14:textId="77777777" w:rsidR="00F73651" w:rsidRPr="001569FB" w:rsidRDefault="00F73651" w:rsidP="00F73651">
      <w:pPr>
        <w:pStyle w:val="ListBullet"/>
        <w:rPr>
          <w:szCs w:val="24"/>
        </w:rPr>
      </w:pPr>
      <w:r w:rsidRPr="001569FB">
        <w:rPr>
          <w:szCs w:val="24"/>
        </w:rPr>
        <w:t>Credibility: for counties with less than 1,000 members, blend county experience with that of others in the market area</w:t>
      </w:r>
    </w:p>
    <w:p w14:paraId="2AA71439" w14:textId="77777777" w:rsidR="00C95BA4" w:rsidRPr="001569FB" w:rsidRDefault="00631EF2" w:rsidP="00C95BA4">
      <w:pPr>
        <w:pStyle w:val="ListBullet"/>
        <w:rPr>
          <w:szCs w:val="24"/>
        </w:rPr>
      </w:pPr>
      <w:r w:rsidRPr="001569FB">
        <w:rPr>
          <w:szCs w:val="24"/>
        </w:rPr>
        <w:t>Department of Defense (</w:t>
      </w:r>
      <w:r w:rsidR="00C95BA4" w:rsidRPr="001569FB">
        <w:rPr>
          <w:szCs w:val="24"/>
        </w:rPr>
        <w:t>D</w:t>
      </w:r>
      <w:r w:rsidRPr="001569FB">
        <w:rPr>
          <w:szCs w:val="24"/>
        </w:rPr>
        <w:t>o</w:t>
      </w:r>
      <w:r w:rsidR="00C95BA4" w:rsidRPr="001569FB">
        <w:rPr>
          <w:szCs w:val="24"/>
        </w:rPr>
        <w:t>D</w:t>
      </w:r>
      <w:r w:rsidRPr="001569FB">
        <w:rPr>
          <w:szCs w:val="24"/>
        </w:rPr>
        <w:t>)</w:t>
      </w:r>
      <w:r w:rsidR="00C95BA4" w:rsidRPr="001569FB">
        <w:rPr>
          <w:szCs w:val="24"/>
        </w:rPr>
        <w:t xml:space="preserve">: apply a cost ratio (an increase to claim costs) to counties with significant Tricare enrollment in the Uniformed Services Family Health Plan </w:t>
      </w:r>
      <w:r w:rsidR="00236320" w:rsidRPr="001569FB">
        <w:rPr>
          <w:szCs w:val="24"/>
        </w:rPr>
        <w:t xml:space="preserve">(USFHP) </w:t>
      </w:r>
      <w:r w:rsidR="00C95BA4" w:rsidRPr="001569FB">
        <w:rPr>
          <w:szCs w:val="24"/>
        </w:rPr>
        <w:t xml:space="preserve">(section 1853(c)(1)(D)(iii) of the Act). </w:t>
      </w:r>
    </w:p>
    <w:p w14:paraId="66BF930A" w14:textId="77777777" w:rsidR="00652B60" w:rsidRPr="001569FB" w:rsidRDefault="0019158F" w:rsidP="00B670A1">
      <w:pPr>
        <w:pStyle w:val="ListBullet"/>
        <w:rPr>
          <w:szCs w:val="24"/>
        </w:rPr>
      </w:pPr>
      <w:r w:rsidRPr="001569FB">
        <w:rPr>
          <w:szCs w:val="24"/>
        </w:rPr>
        <w:t>Veterans Affairs (</w:t>
      </w:r>
      <w:r w:rsidR="00B670A1" w:rsidRPr="001569FB">
        <w:rPr>
          <w:szCs w:val="24"/>
        </w:rPr>
        <w:t>VA</w:t>
      </w:r>
      <w:r w:rsidRPr="001569FB">
        <w:rPr>
          <w:szCs w:val="24"/>
        </w:rPr>
        <w:t>)</w:t>
      </w:r>
      <w:r w:rsidR="00B670A1" w:rsidRPr="001569FB">
        <w:rPr>
          <w:szCs w:val="24"/>
        </w:rPr>
        <w:t>: apply an adjustment for experience of Medicare beneficiaries who are also eligible to receive care through the Veterans Health Administration (VHA).</w:t>
      </w:r>
    </w:p>
    <w:p w14:paraId="5E78D9A5" w14:textId="77777777" w:rsidR="007F76AD" w:rsidRPr="001569FB" w:rsidRDefault="007F76AD" w:rsidP="002707EC">
      <w:pPr>
        <w:spacing w:before="200" w:after="200"/>
      </w:pPr>
      <w:r w:rsidRPr="001569FB">
        <w:t>Some of these adjustments are described in more detail below.</w:t>
      </w:r>
    </w:p>
    <w:p w14:paraId="5D42882D" w14:textId="77777777" w:rsidR="00BB6AE6" w:rsidRPr="001569FB" w:rsidRDefault="00AC3BF9" w:rsidP="00203CF7">
      <w:pPr>
        <w:pStyle w:val="Heading3"/>
      </w:pPr>
      <w:r w:rsidRPr="001569FB">
        <w:t>B2</w:t>
      </w:r>
      <w:r w:rsidR="00BB6AE6" w:rsidRPr="001569FB">
        <w:t xml:space="preserve">.  </w:t>
      </w:r>
      <w:r w:rsidR="00473104" w:rsidRPr="001569FB">
        <w:t>Adjustment to FFS per Capita Costs for</w:t>
      </w:r>
      <w:r w:rsidR="00BB1F09" w:rsidRPr="001569FB">
        <w:t xml:space="preserve"> </w:t>
      </w:r>
      <w:r w:rsidR="007012B0" w:rsidRPr="001569FB">
        <w:t xml:space="preserve">VA and </w:t>
      </w:r>
      <w:r w:rsidR="00473104" w:rsidRPr="001569FB">
        <w:t>DoD Costs</w:t>
      </w:r>
    </w:p>
    <w:p w14:paraId="5C6EFC24" w14:textId="2FDE271D" w:rsidR="00A114E7" w:rsidRPr="001569FB" w:rsidRDefault="006B32D6" w:rsidP="00A114E7">
      <w:pPr>
        <w:pStyle w:val="ListBullet"/>
        <w:numPr>
          <w:ilvl w:val="0"/>
          <w:numId w:val="0"/>
        </w:numPr>
        <w:spacing w:before="200" w:after="200"/>
        <w:rPr>
          <w:szCs w:val="24"/>
        </w:rPr>
      </w:pPr>
      <w:r w:rsidRPr="001569FB">
        <w:rPr>
          <w:szCs w:val="24"/>
        </w:rPr>
        <w:t>Last year f</w:t>
      </w:r>
      <w:r w:rsidR="00964DE3" w:rsidRPr="001569FB">
        <w:rPr>
          <w:szCs w:val="24"/>
        </w:rPr>
        <w:t xml:space="preserve">or CY2018 FFS per capita cost projections, we did </w:t>
      </w:r>
      <w:r w:rsidR="00621475" w:rsidRPr="001569FB">
        <w:rPr>
          <w:szCs w:val="24"/>
        </w:rPr>
        <w:t>not</w:t>
      </w:r>
      <w:r w:rsidR="00964DE3" w:rsidRPr="001569FB">
        <w:rPr>
          <w:szCs w:val="24"/>
        </w:rPr>
        <w:t xml:space="preserve"> apply the VA and DoD adjustments concurrently because we were unable to obtain the necessary data in time; the CY2018</w:t>
      </w:r>
      <w:r w:rsidR="00D74917" w:rsidRPr="001569FB">
        <w:rPr>
          <w:szCs w:val="24"/>
        </w:rPr>
        <w:t xml:space="preserve"> </w:t>
      </w:r>
      <w:r w:rsidR="00964DE3" w:rsidRPr="001569FB">
        <w:rPr>
          <w:szCs w:val="24"/>
        </w:rPr>
        <w:t xml:space="preserve">VA and DoD adjustments were the same as those used in the CY2017 ratebook development.  </w:t>
      </w:r>
      <w:r w:rsidR="00A114E7" w:rsidRPr="001569FB">
        <w:rPr>
          <w:szCs w:val="24"/>
        </w:rPr>
        <w:t xml:space="preserve">For CY 2019, we </w:t>
      </w:r>
      <w:r w:rsidR="006C1EC0" w:rsidRPr="001569FB">
        <w:rPr>
          <w:szCs w:val="24"/>
        </w:rPr>
        <w:t xml:space="preserve">propose </w:t>
      </w:r>
      <w:r w:rsidR="00990EA4" w:rsidRPr="001569FB">
        <w:rPr>
          <w:szCs w:val="24"/>
        </w:rPr>
        <w:t xml:space="preserve">two related changes to the adjustment to fee for service (FFS) per capita costs for beneficiaries dually enrolled in Veterans Affairs (VA) and/or the Department of Defense (DoD) health programs.  First, we </w:t>
      </w:r>
      <w:r w:rsidR="00621475" w:rsidRPr="001569FB">
        <w:rPr>
          <w:szCs w:val="24"/>
        </w:rPr>
        <w:t>propose to</w:t>
      </w:r>
      <w:r w:rsidR="00A114E7" w:rsidRPr="001569FB">
        <w:rPr>
          <w:szCs w:val="24"/>
        </w:rPr>
        <w:t xml:space="preserve"> adjust the FFS rates by the </w:t>
      </w:r>
      <w:r w:rsidR="00A114E7" w:rsidRPr="001569FB">
        <w:rPr>
          <w:szCs w:val="24"/>
        </w:rPr>
        <w:lastRenderedPageBreak/>
        <w:t>VA ratios and the</w:t>
      </w:r>
      <w:r w:rsidRPr="001569FB">
        <w:rPr>
          <w:szCs w:val="24"/>
        </w:rPr>
        <w:t xml:space="preserve"> </w:t>
      </w:r>
      <w:r w:rsidR="00A114E7" w:rsidRPr="001569FB">
        <w:rPr>
          <w:szCs w:val="24"/>
        </w:rPr>
        <w:t xml:space="preserve">DoD ratios, using </w:t>
      </w:r>
      <w:r w:rsidR="004613D2" w:rsidRPr="001569FB">
        <w:rPr>
          <w:szCs w:val="24"/>
        </w:rPr>
        <w:t xml:space="preserve">results </w:t>
      </w:r>
      <w:r w:rsidR="00A114E7" w:rsidRPr="001569FB">
        <w:rPr>
          <w:szCs w:val="24"/>
        </w:rPr>
        <w:t xml:space="preserve">from a study based on FFS data from calendar years 2011-2015.  </w:t>
      </w:r>
      <w:r w:rsidR="00B841E5" w:rsidRPr="001569FB">
        <w:rPr>
          <w:szCs w:val="24"/>
        </w:rPr>
        <w:t>Second</w:t>
      </w:r>
      <w:r w:rsidR="00685E00" w:rsidRPr="001569FB">
        <w:rPr>
          <w:szCs w:val="24"/>
        </w:rPr>
        <w:t>, to address potential “double counting” of the effect, we are proposing to replace the separate VA and DoD adjustments with a consolidated adjustment.</w:t>
      </w:r>
    </w:p>
    <w:p w14:paraId="28CBCA18" w14:textId="77777777" w:rsidR="00A114E7" w:rsidRPr="001569FB" w:rsidRDefault="00A114E7" w:rsidP="00A114E7">
      <w:pPr>
        <w:pStyle w:val="ListBullet"/>
        <w:numPr>
          <w:ilvl w:val="0"/>
          <w:numId w:val="0"/>
        </w:numPr>
        <w:spacing w:before="200" w:after="200"/>
        <w:rPr>
          <w:szCs w:val="24"/>
        </w:rPr>
      </w:pPr>
      <w:r w:rsidRPr="001569FB">
        <w:rPr>
          <w:szCs w:val="24"/>
        </w:rPr>
        <w:t>To approximate an adjustment to the county FFS payment rates for VA, we first analyzed the cost impact of removing Veterans Affairs (VA) dual-benefit eligibles from the Medicare claims and enrollment.  Specifically, we calculated the ratio of standardized per capita costs of all Medicare beneficiaries excluding VA dual-benefit eligibles (</w:t>
      </w:r>
      <w:r w:rsidR="0077055A" w:rsidRPr="001569FB">
        <w:rPr>
          <w:szCs w:val="24"/>
        </w:rPr>
        <w:t>that is,</w:t>
      </w:r>
      <w:r w:rsidRPr="001569FB">
        <w:rPr>
          <w:szCs w:val="24"/>
        </w:rPr>
        <w:t xml:space="preserve"> all non-veteran beneficiaries) to all Medicare beneficiaries (</w:t>
      </w:r>
      <w:r w:rsidR="0077055A" w:rsidRPr="001569FB">
        <w:rPr>
          <w:szCs w:val="24"/>
        </w:rPr>
        <w:t>that is,</w:t>
      </w:r>
      <w:r w:rsidRPr="001569FB">
        <w:rPr>
          <w:szCs w:val="24"/>
        </w:rPr>
        <w:t xml:space="preserve"> all beneficiaries) for each county.  </w:t>
      </w:r>
    </w:p>
    <w:p w14:paraId="2D14CC78" w14:textId="2B6626EF" w:rsidR="00A114E7" w:rsidRPr="001569FB" w:rsidRDefault="00A114E7" w:rsidP="00A114E7">
      <w:pPr>
        <w:pStyle w:val="ListBullet"/>
        <w:numPr>
          <w:ilvl w:val="0"/>
          <w:numId w:val="0"/>
        </w:numPr>
        <w:spacing w:before="200" w:after="200"/>
        <w:rPr>
          <w:szCs w:val="24"/>
        </w:rPr>
      </w:pPr>
      <w:r w:rsidRPr="001569FB">
        <w:rPr>
          <w:szCs w:val="24"/>
        </w:rPr>
        <w:t xml:space="preserve">We then multiplied 2018 FFS rates by the ratios calculated and analyzed the resulting change in rates for each county.  We looked at the rate changes between the 2018 FFS rates calculated for all beneficiaries </w:t>
      </w:r>
      <w:r w:rsidR="006B32D6" w:rsidRPr="001569FB">
        <w:rPr>
          <w:szCs w:val="24"/>
        </w:rPr>
        <w:t>based on the new ratio and the old ratio</w:t>
      </w:r>
      <w:r w:rsidRPr="001569FB">
        <w:rPr>
          <w:szCs w:val="24"/>
        </w:rPr>
        <w:t xml:space="preserve">.  The rate changes do not reflect the impact of any payment rate minimums.  OACT found that the impact for adjusting total FFS costs </w:t>
      </w:r>
      <w:r w:rsidR="006B32D6" w:rsidRPr="001569FB">
        <w:rPr>
          <w:szCs w:val="24"/>
        </w:rPr>
        <w:t>using the new ratio</w:t>
      </w:r>
      <w:r w:rsidRPr="001569FB">
        <w:rPr>
          <w:szCs w:val="24"/>
        </w:rPr>
        <w:t xml:space="preserve"> </w:t>
      </w:r>
      <w:r w:rsidR="00F96177" w:rsidRPr="001569FB">
        <w:rPr>
          <w:szCs w:val="24"/>
        </w:rPr>
        <w:t xml:space="preserve">is </w:t>
      </w:r>
      <w:r w:rsidRPr="001569FB">
        <w:rPr>
          <w:szCs w:val="24"/>
        </w:rPr>
        <w:t xml:space="preserve">that approximately </w:t>
      </w:r>
      <w:r w:rsidR="006B32D6" w:rsidRPr="001569FB">
        <w:rPr>
          <w:szCs w:val="24"/>
        </w:rPr>
        <w:t>74</w:t>
      </w:r>
      <w:r w:rsidRPr="001569FB">
        <w:rPr>
          <w:szCs w:val="24"/>
        </w:rPr>
        <w:t xml:space="preserve">% of the counties would receive an increase, and </w:t>
      </w:r>
      <w:r w:rsidR="006B32D6" w:rsidRPr="001569FB">
        <w:rPr>
          <w:szCs w:val="24"/>
        </w:rPr>
        <w:t>26</w:t>
      </w:r>
      <w:r w:rsidRPr="001569FB">
        <w:rPr>
          <w:szCs w:val="24"/>
        </w:rPr>
        <w:t xml:space="preserve">% of the counties would receive a decrease. </w:t>
      </w:r>
      <w:r w:rsidR="006D2162" w:rsidRPr="001569FB">
        <w:rPr>
          <w:szCs w:val="24"/>
        </w:rPr>
        <w:t xml:space="preserve"> </w:t>
      </w:r>
      <w:r w:rsidRPr="001569FB">
        <w:rPr>
          <w:szCs w:val="24"/>
        </w:rPr>
        <w:t>The average of the impact on 2018 FFS rate is $</w:t>
      </w:r>
      <w:r w:rsidR="006B32D6" w:rsidRPr="001569FB">
        <w:rPr>
          <w:szCs w:val="24"/>
        </w:rPr>
        <w:t>3.78</w:t>
      </w:r>
      <w:r w:rsidRPr="001569FB">
        <w:rPr>
          <w:szCs w:val="24"/>
        </w:rPr>
        <w:t>.</w:t>
      </w:r>
      <w:r w:rsidR="006D2162" w:rsidRPr="001569FB">
        <w:rPr>
          <w:szCs w:val="24"/>
        </w:rPr>
        <w:t xml:space="preserve"> </w:t>
      </w:r>
      <w:r w:rsidRPr="001569FB">
        <w:rPr>
          <w:szCs w:val="24"/>
        </w:rPr>
        <w:t xml:space="preserve"> </w:t>
      </w:r>
      <w:r w:rsidR="006B32D6" w:rsidRPr="001569FB">
        <w:rPr>
          <w:szCs w:val="24"/>
        </w:rPr>
        <w:t xml:space="preserve">Additionally, we have tabulated </w:t>
      </w:r>
      <w:r w:rsidR="00621475" w:rsidRPr="001569FB">
        <w:rPr>
          <w:szCs w:val="24"/>
        </w:rPr>
        <w:t>the impact</w:t>
      </w:r>
      <w:r w:rsidR="00685E00" w:rsidRPr="001569FB">
        <w:rPr>
          <w:szCs w:val="24"/>
        </w:rPr>
        <w:t xml:space="preserve"> of the VA adjustment on the CY 2018 QBP payment rates</w:t>
      </w:r>
      <w:r w:rsidR="006B32D6" w:rsidRPr="001569FB">
        <w:rPr>
          <w:szCs w:val="24"/>
        </w:rPr>
        <w:t>, which</w:t>
      </w:r>
      <w:r w:rsidR="00685E00" w:rsidRPr="001569FB">
        <w:rPr>
          <w:szCs w:val="24"/>
        </w:rPr>
        <w:t xml:space="preserve"> are </w:t>
      </w:r>
      <w:r w:rsidR="006B32D6" w:rsidRPr="001569FB">
        <w:rPr>
          <w:szCs w:val="24"/>
        </w:rPr>
        <w:t xml:space="preserve">presented </w:t>
      </w:r>
      <w:r w:rsidR="00685E00" w:rsidRPr="001569FB">
        <w:rPr>
          <w:szCs w:val="24"/>
        </w:rPr>
        <w:t>in the below Table B2-1.</w:t>
      </w:r>
    </w:p>
    <w:p w14:paraId="11F4D197" w14:textId="77777777" w:rsidR="00A114E7" w:rsidRPr="001569FB" w:rsidRDefault="00A114E7" w:rsidP="00A114E7">
      <w:pPr>
        <w:pStyle w:val="ListBullet"/>
        <w:numPr>
          <w:ilvl w:val="0"/>
          <w:numId w:val="0"/>
        </w:numPr>
        <w:spacing w:before="200" w:after="200"/>
        <w:rPr>
          <w:szCs w:val="24"/>
        </w:rPr>
      </w:pPr>
      <w:r w:rsidRPr="001569FB">
        <w:rPr>
          <w:szCs w:val="24"/>
        </w:rPr>
        <w:t xml:space="preserve">Similar analysis was done on Department of Defense (DoD) ratios.  This analysis was performed separately for all DoD and </w:t>
      </w:r>
      <w:r w:rsidR="00F96177" w:rsidRPr="001569FB">
        <w:rPr>
          <w:szCs w:val="24"/>
        </w:rPr>
        <w:t>Uniformed Services Family Health Plan (</w:t>
      </w:r>
      <w:r w:rsidRPr="001569FB">
        <w:rPr>
          <w:szCs w:val="24"/>
        </w:rPr>
        <w:t>USFHP</w:t>
      </w:r>
      <w:r w:rsidR="00F96177" w:rsidRPr="001569FB">
        <w:rPr>
          <w:szCs w:val="24"/>
        </w:rPr>
        <w:t>)</w:t>
      </w:r>
      <w:r w:rsidRPr="001569FB">
        <w:rPr>
          <w:szCs w:val="24"/>
        </w:rPr>
        <w:t xml:space="preserve">-only enrollees to compare the average FFS costs to determine if there were significant differences between the DoD groups and the total Medicare population.  To approximate an adjustment to the county FFS payment rates, we analyzed the cost impact of removing the dual-benefit eligibles from the Medicare claims and enrollment.  For this analysis, dual-benefit eligibles were defined as those Medicare beneficiaries who are also eligible to receive care through the Department of Defense.  We calculated the ratio of standardized per capita costs of all Medicare beneficiaries excluding dual-benefit eligibles (DoD) to all Medicare beneficiaries (or all beneficiaries) for each county.  </w:t>
      </w:r>
    </w:p>
    <w:p w14:paraId="781957F5" w14:textId="77777777" w:rsidR="00A114E7" w:rsidRPr="001569FB" w:rsidRDefault="00A114E7" w:rsidP="00A114E7">
      <w:pPr>
        <w:pStyle w:val="ListBullet"/>
        <w:numPr>
          <w:ilvl w:val="0"/>
          <w:numId w:val="0"/>
        </w:numPr>
        <w:spacing w:before="200" w:after="200"/>
        <w:rPr>
          <w:szCs w:val="24"/>
        </w:rPr>
      </w:pPr>
      <w:r w:rsidRPr="001569FB">
        <w:rPr>
          <w:szCs w:val="24"/>
        </w:rPr>
        <w:t xml:space="preserve">We analyzed the ratios in counties with at least 10 members in the respective groups and found that there was no statistical significance of the DoD ratios, but did find that the USFHP-only ratios were significant.  Accordingly, adjustments were made to counties with at least 10 USFHP members and CMS then adjusted the FFS rates by the ratios calculated.  </w:t>
      </w:r>
    </w:p>
    <w:p w14:paraId="7F50447E" w14:textId="08AE8D56" w:rsidR="00A114E7" w:rsidRPr="001569FB" w:rsidRDefault="00A114E7" w:rsidP="00A114E7">
      <w:pPr>
        <w:pStyle w:val="ListBullet"/>
        <w:numPr>
          <w:ilvl w:val="0"/>
          <w:numId w:val="0"/>
        </w:numPr>
        <w:spacing w:before="200" w:after="200"/>
        <w:rPr>
          <w:szCs w:val="24"/>
        </w:rPr>
      </w:pPr>
      <w:r w:rsidRPr="001569FB">
        <w:rPr>
          <w:szCs w:val="24"/>
        </w:rPr>
        <w:t xml:space="preserve">Based on the analysis of Medicare claims for DoD dual enrollees for calendar years 2011-2015, we found that the impact for adjusting total FFS costs </w:t>
      </w:r>
      <w:r w:rsidR="006B32D6" w:rsidRPr="001569FB">
        <w:rPr>
          <w:szCs w:val="24"/>
        </w:rPr>
        <w:t xml:space="preserve">based on the new ratio and the old </w:t>
      </w:r>
      <w:r w:rsidR="00621475" w:rsidRPr="001569FB">
        <w:rPr>
          <w:szCs w:val="24"/>
        </w:rPr>
        <w:t>ratio is</w:t>
      </w:r>
      <w:r w:rsidR="00F96177" w:rsidRPr="001569FB">
        <w:rPr>
          <w:szCs w:val="24"/>
        </w:rPr>
        <w:t xml:space="preserve"> </w:t>
      </w:r>
      <w:r w:rsidRPr="001569FB">
        <w:rPr>
          <w:szCs w:val="24"/>
        </w:rPr>
        <w:t xml:space="preserve">that approximately </w:t>
      </w:r>
      <w:r w:rsidR="006B32D6" w:rsidRPr="001569FB">
        <w:rPr>
          <w:szCs w:val="24"/>
        </w:rPr>
        <w:t>5.3</w:t>
      </w:r>
      <w:r w:rsidRPr="001569FB">
        <w:rPr>
          <w:szCs w:val="24"/>
        </w:rPr>
        <w:t xml:space="preserve">% of the counties would receive an increase, and </w:t>
      </w:r>
      <w:r w:rsidR="006B32D6" w:rsidRPr="001569FB">
        <w:rPr>
          <w:szCs w:val="24"/>
        </w:rPr>
        <w:t>0.2</w:t>
      </w:r>
      <w:r w:rsidRPr="001569FB">
        <w:rPr>
          <w:szCs w:val="24"/>
        </w:rPr>
        <w:t>% of the counties would receive a decrease.  The average of the impact on 2018 FFS rate for DoD alone is $</w:t>
      </w:r>
      <w:r w:rsidR="006B32D6" w:rsidRPr="001569FB">
        <w:rPr>
          <w:szCs w:val="24"/>
        </w:rPr>
        <w:t>3.21</w:t>
      </w:r>
      <w:r w:rsidRPr="001569FB">
        <w:rPr>
          <w:szCs w:val="24"/>
        </w:rPr>
        <w:t xml:space="preserve">. </w:t>
      </w:r>
      <w:r w:rsidR="007A6384" w:rsidRPr="001569FB">
        <w:rPr>
          <w:szCs w:val="24"/>
        </w:rPr>
        <w:t xml:space="preserve"> </w:t>
      </w:r>
      <w:r w:rsidR="006B32D6" w:rsidRPr="001569FB">
        <w:rPr>
          <w:szCs w:val="24"/>
        </w:rPr>
        <w:t xml:space="preserve">Additionally, we have tabulated the </w:t>
      </w:r>
      <w:r w:rsidR="0095788D" w:rsidRPr="001569FB">
        <w:rPr>
          <w:szCs w:val="24"/>
        </w:rPr>
        <w:t>impact of the DoD adjustment on the CY 2018 QBP payment rates</w:t>
      </w:r>
      <w:r w:rsidR="006B32D6" w:rsidRPr="001569FB">
        <w:rPr>
          <w:szCs w:val="24"/>
        </w:rPr>
        <w:t xml:space="preserve">, which </w:t>
      </w:r>
      <w:r w:rsidR="0095788D" w:rsidRPr="001569FB">
        <w:rPr>
          <w:szCs w:val="24"/>
        </w:rPr>
        <w:t xml:space="preserve">are </w:t>
      </w:r>
      <w:r w:rsidR="006B32D6" w:rsidRPr="001569FB">
        <w:rPr>
          <w:szCs w:val="24"/>
        </w:rPr>
        <w:t xml:space="preserve">presented </w:t>
      </w:r>
      <w:r w:rsidR="0095788D" w:rsidRPr="001569FB">
        <w:rPr>
          <w:szCs w:val="24"/>
        </w:rPr>
        <w:t>in the below Table B2-2.</w:t>
      </w:r>
    </w:p>
    <w:p w14:paraId="45608498" w14:textId="2B48E624" w:rsidR="00A114E7" w:rsidRPr="001569FB" w:rsidRDefault="00A114E7" w:rsidP="002707EC">
      <w:pPr>
        <w:spacing w:before="200" w:after="200"/>
        <w:rPr>
          <w:szCs w:val="24"/>
        </w:rPr>
      </w:pPr>
      <w:r w:rsidRPr="001569FB">
        <w:rPr>
          <w:szCs w:val="24"/>
        </w:rPr>
        <w:t xml:space="preserve">In the 2018 FFS rates, the majority of counties had an adjustment for VA, whereas less than </w:t>
      </w:r>
      <w:r w:rsidR="006B32D6" w:rsidRPr="001569FB">
        <w:rPr>
          <w:szCs w:val="24"/>
        </w:rPr>
        <w:t>6</w:t>
      </w:r>
      <w:r w:rsidR="00956EAA" w:rsidRPr="001569FB">
        <w:rPr>
          <w:szCs w:val="24"/>
        </w:rPr>
        <w:t> </w:t>
      </w:r>
      <w:r w:rsidRPr="001569FB">
        <w:rPr>
          <w:szCs w:val="24"/>
        </w:rPr>
        <w:t>percent, or</w:t>
      </w:r>
      <w:r w:rsidR="006B32D6" w:rsidRPr="001569FB">
        <w:rPr>
          <w:szCs w:val="24"/>
        </w:rPr>
        <w:t xml:space="preserve"> 179 </w:t>
      </w:r>
      <w:r w:rsidRPr="001569FB">
        <w:rPr>
          <w:szCs w:val="24"/>
        </w:rPr>
        <w:t xml:space="preserve">of 3,247, of the county FFS rates reflected an </w:t>
      </w:r>
      <w:r w:rsidR="00F96177" w:rsidRPr="001569FB">
        <w:rPr>
          <w:szCs w:val="24"/>
        </w:rPr>
        <w:t xml:space="preserve">additional </w:t>
      </w:r>
      <w:r w:rsidRPr="001569FB">
        <w:rPr>
          <w:szCs w:val="24"/>
        </w:rPr>
        <w:t xml:space="preserve">adjustment for DoD </w:t>
      </w:r>
      <w:r w:rsidRPr="001569FB">
        <w:rPr>
          <w:szCs w:val="24"/>
        </w:rPr>
        <w:lastRenderedPageBreak/>
        <w:t xml:space="preserve">dual-benefit eligibles.  Further, the average absolute value of the adjustment for the counties with a DoD adjustment averaged only </w:t>
      </w:r>
      <w:r w:rsidR="006B32D6" w:rsidRPr="001569FB">
        <w:rPr>
          <w:szCs w:val="24"/>
        </w:rPr>
        <w:t xml:space="preserve">0.4 </w:t>
      </w:r>
      <w:r w:rsidRPr="001569FB">
        <w:rPr>
          <w:szCs w:val="24"/>
        </w:rPr>
        <w:t xml:space="preserve">percent in 2018.  Despite the relatively small impact of the DoD adjustment, there could be interaction between the VA and DoD adjustment that was not accounted for in the methodology used in the CY 2018 rate development. </w:t>
      </w:r>
    </w:p>
    <w:p w14:paraId="22CB8793" w14:textId="2B70C7C7" w:rsidR="00A114E7" w:rsidRPr="001569FB" w:rsidRDefault="00A114E7" w:rsidP="00A114E7">
      <w:pPr>
        <w:spacing w:before="200" w:after="200"/>
        <w:rPr>
          <w:szCs w:val="24"/>
        </w:rPr>
      </w:pPr>
      <w:r w:rsidRPr="001569FB">
        <w:rPr>
          <w:szCs w:val="24"/>
        </w:rPr>
        <w:t xml:space="preserve">Therefore, we are proposing to apply the DoD and VA adjustments concurrently for CY 2019 instead of the independent application of the adjustments for CY 2018.  We believe that concurrent calculation of the adjustment will have minimal impact versus independent application of the adjustments, and will eliminate the double-counting impact of DoD and VA dual-benefit eligibles.  </w:t>
      </w:r>
      <w:r w:rsidR="00B32537" w:rsidRPr="001569FB">
        <w:rPr>
          <w:szCs w:val="24"/>
        </w:rPr>
        <w:t xml:space="preserve">The corresponding impact of the proposed consolidated VA-DoD adjustment on the CY 2018 QBP payment rates are </w:t>
      </w:r>
      <w:r w:rsidR="006B32D6" w:rsidRPr="001569FB">
        <w:rPr>
          <w:szCs w:val="24"/>
        </w:rPr>
        <w:t xml:space="preserve">presented </w:t>
      </w:r>
      <w:r w:rsidR="00B32537" w:rsidRPr="001569FB">
        <w:rPr>
          <w:szCs w:val="24"/>
        </w:rPr>
        <w:t xml:space="preserve">in the below Table B2-3.  Additionally, </w:t>
      </w:r>
      <w:r w:rsidR="00F2398A" w:rsidRPr="001569FB">
        <w:rPr>
          <w:szCs w:val="24"/>
        </w:rPr>
        <w:t>t</w:t>
      </w:r>
      <w:r w:rsidRPr="001569FB">
        <w:rPr>
          <w:szCs w:val="24"/>
        </w:rPr>
        <w:t xml:space="preserve">he impact by county of the new methodology can be found on the CMS website at </w:t>
      </w:r>
      <w:hyperlink r:id="rId21" w:history="1">
        <w:r w:rsidR="00853480" w:rsidRPr="001569FB">
          <w:rPr>
            <w:rStyle w:val="Hyperlink"/>
          </w:rPr>
          <w:t>https://www.cms.gov/Medicare/Health-Plans/MedicareAdvtgSpecRateStats/Announcements-and-Documents.html</w:t>
        </w:r>
      </w:hyperlink>
      <w:r w:rsidR="00853480" w:rsidRPr="001569FB">
        <w:rPr>
          <w:rStyle w:val="Hyperlink"/>
        </w:rPr>
        <w:t xml:space="preserve"> </w:t>
      </w:r>
      <w:r w:rsidRPr="001569FB">
        <w:rPr>
          <w:szCs w:val="24"/>
        </w:rPr>
        <w:t xml:space="preserve">. </w:t>
      </w:r>
    </w:p>
    <w:p w14:paraId="751CC966" w14:textId="77777777" w:rsidR="00B32537" w:rsidRPr="001569FB" w:rsidRDefault="00B32537" w:rsidP="00A841B3">
      <w:pPr>
        <w:pStyle w:val="TableTitle0"/>
        <w:ind w:left="1680" w:right="1560"/>
        <w:rPr>
          <w:szCs w:val="24"/>
        </w:rPr>
      </w:pPr>
      <w:r w:rsidRPr="001569FB">
        <w:rPr>
          <w:szCs w:val="24"/>
        </w:rPr>
        <w:t>Table B2-1 Impact of VA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46976500"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73454"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E4F7878"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9CD7A78"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AE0367E"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1FB6F122"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90A9A0D"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tcPr>
          <w:p w14:paraId="66C4B186" w14:textId="77777777" w:rsidR="006B32D6" w:rsidRPr="001569FB" w:rsidRDefault="006B32D6" w:rsidP="00A841B3">
            <w:pPr>
              <w:keepNext/>
              <w:keepLines/>
              <w:spacing w:line="240" w:lineRule="auto"/>
              <w:jc w:val="center"/>
              <w:rPr>
                <w:color w:val="000000"/>
                <w:sz w:val="22"/>
              </w:rPr>
            </w:pPr>
            <w:r w:rsidRPr="001569FB">
              <w:t>62.3%</w:t>
            </w:r>
          </w:p>
        </w:tc>
        <w:tc>
          <w:tcPr>
            <w:tcW w:w="960" w:type="dxa"/>
            <w:tcBorders>
              <w:top w:val="nil"/>
              <w:left w:val="nil"/>
              <w:bottom w:val="nil"/>
              <w:right w:val="nil"/>
            </w:tcBorders>
            <w:shd w:val="clear" w:color="auto" w:fill="auto"/>
            <w:noWrap/>
          </w:tcPr>
          <w:p w14:paraId="22DB427D" w14:textId="77777777" w:rsidR="006B32D6" w:rsidRPr="001569FB" w:rsidRDefault="006B32D6" w:rsidP="00A841B3">
            <w:pPr>
              <w:keepNext/>
              <w:keepLines/>
              <w:spacing w:line="240" w:lineRule="auto"/>
              <w:jc w:val="center"/>
              <w:rPr>
                <w:color w:val="000000"/>
                <w:sz w:val="22"/>
              </w:rPr>
            </w:pPr>
            <w:r w:rsidRPr="001569FB">
              <w:t>56.9%</w:t>
            </w:r>
          </w:p>
        </w:tc>
        <w:tc>
          <w:tcPr>
            <w:tcW w:w="960" w:type="dxa"/>
            <w:tcBorders>
              <w:top w:val="nil"/>
              <w:left w:val="nil"/>
              <w:bottom w:val="nil"/>
              <w:right w:val="single" w:sz="4" w:space="0" w:color="auto"/>
            </w:tcBorders>
            <w:shd w:val="clear" w:color="auto" w:fill="auto"/>
            <w:noWrap/>
          </w:tcPr>
          <w:p w14:paraId="509282F6" w14:textId="77777777" w:rsidR="006B32D6" w:rsidRPr="001569FB" w:rsidRDefault="006B32D6" w:rsidP="00A841B3">
            <w:pPr>
              <w:keepNext/>
              <w:keepLines/>
              <w:spacing w:line="240" w:lineRule="auto"/>
              <w:jc w:val="center"/>
              <w:rPr>
                <w:color w:val="000000"/>
                <w:sz w:val="22"/>
              </w:rPr>
            </w:pPr>
            <w:r w:rsidRPr="001569FB">
              <w:t>53.4%</w:t>
            </w:r>
          </w:p>
        </w:tc>
      </w:tr>
      <w:tr w:rsidR="006B32D6" w:rsidRPr="001569FB" w14:paraId="317BEC2A"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84D700E"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tcPr>
          <w:p w14:paraId="5DD0A698" w14:textId="77777777" w:rsidR="006B32D6" w:rsidRPr="001569FB" w:rsidRDefault="006B32D6" w:rsidP="00A841B3">
            <w:pPr>
              <w:keepNext/>
              <w:keepLines/>
              <w:spacing w:line="240" w:lineRule="auto"/>
              <w:jc w:val="center"/>
              <w:rPr>
                <w:color w:val="000000"/>
                <w:sz w:val="22"/>
              </w:rPr>
            </w:pPr>
            <w:r w:rsidRPr="001569FB">
              <w:t>37.7%</w:t>
            </w:r>
          </w:p>
        </w:tc>
        <w:tc>
          <w:tcPr>
            <w:tcW w:w="960" w:type="dxa"/>
            <w:tcBorders>
              <w:top w:val="nil"/>
              <w:left w:val="nil"/>
              <w:bottom w:val="nil"/>
              <w:right w:val="nil"/>
            </w:tcBorders>
            <w:shd w:val="clear" w:color="auto" w:fill="auto"/>
            <w:noWrap/>
          </w:tcPr>
          <w:p w14:paraId="2894096F" w14:textId="77777777" w:rsidR="006B32D6" w:rsidRPr="001569FB" w:rsidRDefault="006B32D6" w:rsidP="00A841B3">
            <w:pPr>
              <w:keepNext/>
              <w:keepLines/>
              <w:spacing w:line="240" w:lineRule="auto"/>
              <w:jc w:val="center"/>
              <w:rPr>
                <w:color w:val="000000"/>
                <w:sz w:val="22"/>
              </w:rPr>
            </w:pPr>
            <w:r w:rsidRPr="001569FB">
              <w:t>43.1%</w:t>
            </w:r>
          </w:p>
        </w:tc>
        <w:tc>
          <w:tcPr>
            <w:tcW w:w="960" w:type="dxa"/>
            <w:tcBorders>
              <w:top w:val="nil"/>
              <w:left w:val="nil"/>
              <w:bottom w:val="nil"/>
              <w:right w:val="single" w:sz="4" w:space="0" w:color="auto"/>
            </w:tcBorders>
            <w:shd w:val="clear" w:color="auto" w:fill="auto"/>
            <w:noWrap/>
          </w:tcPr>
          <w:p w14:paraId="523AB699" w14:textId="77777777" w:rsidR="006B32D6" w:rsidRPr="001569FB" w:rsidRDefault="006B32D6" w:rsidP="00A841B3">
            <w:pPr>
              <w:keepNext/>
              <w:keepLines/>
              <w:spacing w:line="240" w:lineRule="auto"/>
              <w:jc w:val="center"/>
              <w:rPr>
                <w:color w:val="000000"/>
                <w:sz w:val="22"/>
              </w:rPr>
            </w:pPr>
            <w:r w:rsidRPr="001569FB">
              <w:t>46.6%</w:t>
            </w:r>
          </w:p>
        </w:tc>
      </w:tr>
      <w:tr w:rsidR="006B32D6" w:rsidRPr="001569FB" w14:paraId="672C9975"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7A1FE643"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tcPr>
          <w:p w14:paraId="34D1A4D5" w14:textId="77777777" w:rsidR="006B32D6" w:rsidRPr="001569FB" w:rsidRDefault="006B32D6" w:rsidP="006B32D6">
            <w:pPr>
              <w:spacing w:line="240" w:lineRule="auto"/>
              <w:jc w:val="center"/>
              <w:rPr>
                <w:color w:val="000000"/>
                <w:sz w:val="22"/>
              </w:rPr>
            </w:pPr>
            <w:r w:rsidRPr="001569FB">
              <w:t>$2.87</w:t>
            </w:r>
          </w:p>
        </w:tc>
        <w:tc>
          <w:tcPr>
            <w:tcW w:w="960" w:type="dxa"/>
            <w:tcBorders>
              <w:top w:val="nil"/>
              <w:left w:val="nil"/>
              <w:bottom w:val="single" w:sz="4" w:space="0" w:color="auto"/>
              <w:right w:val="nil"/>
            </w:tcBorders>
            <w:shd w:val="clear" w:color="auto" w:fill="auto"/>
            <w:noWrap/>
          </w:tcPr>
          <w:p w14:paraId="69AD4908" w14:textId="77777777" w:rsidR="006B32D6" w:rsidRPr="001569FB" w:rsidRDefault="006B32D6" w:rsidP="006B32D6">
            <w:pPr>
              <w:spacing w:line="240" w:lineRule="auto"/>
              <w:jc w:val="center"/>
              <w:rPr>
                <w:color w:val="000000"/>
                <w:sz w:val="22"/>
              </w:rPr>
            </w:pPr>
            <w:r w:rsidRPr="001569FB">
              <w:t>$2.48</w:t>
            </w:r>
          </w:p>
        </w:tc>
        <w:tc>
          <w:tcPr>
            <w:tcW w:w="960" w:type="dxa"/>
            <w:tcBorders>
              <w:top w:val="nil"/>
              <w:left w:val="nil"/>
              <w:bottom w:val="single" w:sz="4" w:space="0" w:color="auto"/>
              <w:right w:val="single" w:sz="4" w:space="0" w:color="auto"/>
            </w:tcBorders>
            <w:shd w:val="clear" w:color="auto" w:fill="auto"/>
            <w:noWrap/>
          </w:tcPr>
          <w:p w14:paraId="37D7A6F3" w14:textId="77777777" w:rsidR="006B32D6" w:rsidRPr="001569FB" w:rsidRDefault="006B32D6" w:rsidP="006B32D6">
            <w:pPr>
              <w:spacing w:line="240" w:lineRule="auto"/>
              <w:jc w:val="center"/>
              <w:rPr>
                <w:color w:val="000000"/>
                <w:sz w:val="22"/>
              </w:rPr>
            </w:pPr>
            <w:r w:rsidRPr="001569FB">
              <w:t>$2.23</w:t>
            </w:r>
          </w:p>
        </w:tc>
      </w:tr>
    </w:tbl>
    <w:p w14:paraId="35080DE6" w14:textId="77777777" w:rsidR="00B32537" w:rsidRPr="001569FB" w:rsidRDefault="00B32537" w:rsidP="00A841B3">
      <w:pPr>
        <w:pStyle w:val="TableTitle0"/>
        <w:ind w:left="1680" w:right="1560"/>
        <w:rPr>
          <w:szCs w:val="24"/>
        </w:rPr>
      </w:pPr>
      <w:r w:rsidRPr="001569FB">
        <w:rPr>
          <w:szCs w:val="24"/>
        </w:rPr>
        <w:t>Table B2-2 Impact of 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656D3C4F"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9F5B7"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6243A0F"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6D41D59"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276DF9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084FECC8"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2AAF9E55"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2E59F17B" w14:textId="77777777" w:rsidR="006B32D6" w:rsidRPr="001569FB" w:rsidRDefault="006B32D6" w:rsidP="00A841B3">
            <w:pPr>
              <w:keepNext/>
              <w:keepLines/>
              <w:spacing w:line="240" w:lineRule="auto"/>
              <w:jc w:val="center"/>
              <w:rPr>
                <w:color w:val="000000"/>
                <w:sz w:val="22"/>
              </w:rPr>
            </w:pPr>
            <w:r w:rsidRPr="001569FB">
              <w:rPr>
                <w:color w:val="000000"/>
                <w:sz w:val="22"/>
              </w:rPr>
              <w:t>4.7%</w:t>
            </w:r>
          </w:p>
        </w:tc>
        <w:tc>
          <w:tcPr>
            <w:tcW w:w="960" w:type="dxa"/>
            <w:tcBorders>
              <w:top w:val="nil"/>
              <w:left w:val="nil"/>
              <w:bottom w:val="nil"/>
              <w:right w:val="nil"/>
            </w:tcBorders>
            <w:shd w:val="clear" w:color="auto" w:fill="auto"/>
            <w:noWrap/>
            <w:vAlign w:val="bottom"/>
            <w:hideMark/>
          </w:tcPr>
          <w:p w14:paraId="4B91C3EA" w14:textId="77777777" w:rsidR="006B32D6" w:rsidRPr="001569FB" w:rsidRDefault="006B32D6" w:rsidP="00A841B3">
            <w:pPr>
              <w:keepNext/>
              <w:keepLines/>
              <w:spacing w:line="240" w:lineRule="auto"/>
              <w:jc w:val="center"/>
              <w:rPr>
                <w:color w:val="000000"/>
                <w:sz w:val="22"/>
              </w:rPr>
            </w:pPr>
            <w:r w:rsidRPr="001569FB">
              <w:rPr>
                <w:color w:val="000000"/>
                <w:sz w:val="22"/>
              </w:rPr>
              <w:t>4.4%</w:t>
            </w:r>
          </w:p>
        </w:tc>
        <w:tc>
          <w:tcPr>
            <w:tcW w:w="960" w:type="dxa"/>
            <w:tcBorders>
              <w:top w:val="nil"/>
              <w:left w:val="nil"/>
              <w:bottom w:val="nil"/>
              <w:right w:val="single" w:sz="4" w:space="0" w:color="auto"/>
            </w:tcBorders>
            <w:shd w:val="clear" w:color="auto" w:fill="auto"/>
            <w:noWrap/>
            <w:vAlign w:val="bottom"/>
            <w:hideMark/>
          </w:tcPr>
          <w:p w14:paraId="3215C5BF" w14:textId="77777777" w:rsidR="006B32D6" w:rsidRPr="001569FB" w:rsidRDefault="006B32D6" w:rsidP="00A841B3">
            <w:pPr>
              <w:keepNext/>
              <w:keepLines/>
              <w:spacing w:line="240" w:lineRule="auto"/>
              <w:jc w:val="center"/>
              <w:rPr>
                <w:color w:val="000000"/>
                <w:sz w:val="22"/>
              </w:rPr>
            </w:pPr>
            <w:r w:rsidRPr="001569FB">
              <w:rPr>
                <w:color w:val="000000"/>
                <w:sz w:val="22"/>
              </w:rPr>
              <w:t>4.0%</w:t>
            </w:r>
          </w:p>
        </w:tc>
      </w:tr>
      <w:tr w:rsidR="006B32D6" w:rsidRPr="001569FB" w14:paraId="5F6A2E56"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7D3B7790"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6D66D761" w14:textId="77777777" w:rsidR="006B32D6" w:rsidRPr="001569FB" w:rsidRDefault="006B32D6" w:rsidP="00A841B3">
            <w:pPr>
              <w:keepNext/>
              <w:keepLines/>
              <w:spacing w:line="240" w:lineRule="auto"/>
              <w:jc w:val="center"/>
              <w:rPr>
                <w:color w:val="000000"/>
                <w:sz w:val="22"/>
              </w:rPr>
            </w:pPr>
            <w:r w:rsidRPr="001569FB">
              <w:rPr>
                <w:color w:val="000000"/>
                <w:sz w:val="22"/>
              </w:rPr>
              <w:t>0.8%</w:t>
            </w:r>
          </w:p>
        </w:tc>
        <w:tc>
          <w:tcPr>
            <w:tcW w:w="960" w:type="dxa"/>
            <w:tcBorders>
              <w:top w:val="nil"/>
              <w:left w:val="nil"/>
              <w:bottom w:val="nil"/>
              <w:right w:val="nil"/>
            </w:tcBorders>
            <w:shd w:val="clear" w:color="auto" w:fill="auto"/>
            <w:noWrap/>
            <w:vAlign w:val="bottom"/>
            <w:hideMark/>
          </w:tcPr>
          <w:p w14:paraId="1D619F0C" w14:textId="77777777" w:rsidR="006B32D6" w:rsidRPr="001569FB" w:rsidRDefault="006B32D6" w:rsidP="00A841B3">
            <w:pPr>
              <w:keepNext/>
              <w:keepLines/>
              <w:spacing w:line="240" w:lineRule="auto"/>
              <w:jc w:val="center"/>
              <w:rPr>
                <w:color w:val="000000"/>
                <w:sz w:val="22"/>
              </w:rPr>
            </w:pPr>
            <w:r w:rsidRPr="001569FB">
              <w:rPr>
                <w:color w:val="000000"/>
                <w:sz w:val="22"/>
              </w:rPr>
              <w:t>1.1%</w:t>
            </w:r>
          </w:p>
        </w:tc>
        <w:tc>
          <w:tcPr>
            <w:tcW w:w="960" w:type="dxa"/>
            <w:tcBorders>
              <w:top w:val="nil"/>
              <w:left w:val="nil"/>
              <w:bottom w:val="nil"/>
              <w:right w:val="single" w:sz="4" w:space="0" w:color="auto"/>
            </w:tcBorders>
            <w:shd w:val="clear" w:color="auto" w:fill="auto"/>
            <w:noWrap/>
            <w:vAlign w:val="bottom"/>
            <w:hideMark/>
          </w:tcPr>
          <w:p w14:paraId="451F5E1C" w14:textId="77777777" w:rsidR="006B32D6" w:rsidRPr="001569FB" w:rsidRDefault="006B32D6" w:rsidP="00A841B3">
            <w:pPr>
              <w:keepNext/>
              <w:keepLines/>
              <w:spacing w:line="240" w:lineRule="auto"/>
              <w:jc w:val="center"/>
              <w:rPr>
                <w:color w:val="000000"/>
                <w:sz w:val="22"/>
              </w:rPr>
            </w:pPr>
            <w:r w:rsidRPr="001569FB">
              <w:rPr>
                <w:color w:val="000000"/>
                <w:sz w:val="22"/>
              </w:rPr>
              <w:t>1.5%</w:t>
            </w:r>
          </w:p>
        </w:tc>
      </w:tr>
      <w:tr w:rsidR="006B32D6" w:rsidRPr="001569FB" w14:paraId="14E0873D"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0780951A" w14:textId="0DBBCAE4" w:rsidR="006B32D6" w:rsidRPr="001569FB" w:rsidRDefault="006B32D6" w:rsidP="006B32D6">
            <w:pPr>
              <w:spacing w:line="240" w:lineRule="auto"/>
              <w:rPr>
                <w:color w:val="000000"/>
                <w:sz w:val="22"/>
              </w:rPr>
            </w:pPr>
            <w:r w:rsidRPr="001569FB">
              <w:rPr>
                <w:color w:val="000000"/>
                <w:sz w:val="22"/>
              </w:rPr>
              <w:t>Average impact</w:t>
            </w:r>
            <w:r w:rsidR="00F42E79" w:rsidRPr="001569FB">
              <w:rPr>
                <w:color w:val="000000"/>
                <w:sz w:val="22"/>
              </w:rPr>
              <w:t xml:space="preserve"> on counties with change</w:t>
            </w:r>
          </w:p>
        </w:tc>
        <w:tc>
          <w:tcPr>
            <w:tcW w:w="960" w:type="dxa"/>
            <w:tcBorders>
              <w:top w:val="nil"/>
              <w:left w:val="single" w:sz="4" w:space="0" w:color="auto"/>
              <w:bottom w:val="single" w:sz="4" w:space="0" w:color="auto"/>
              <w:right w:val="nil"/>
            </w:tcBorders>
            <w:shd w:val="clear" w:color="auto" w:fill="auto"/>
            <w:noWrap/>
            <w:vAlign w:val="bottom"/>
            <w:hideMark/>
          </w:tcPr>
          <w:p w14:paraId="6AE4C396" w14:textId="77777777" w:rsidR="006B32D6" w:rsidRPr="001569FB" w:rsidRDefault="006B32D6" w:rsidP="006B32D6">
            <w:pPr>
              <w:spacing w:line="240" w:lineRule="auto"/>
              <w:jc w:val="center"/>
              <w:rPr>
                <w:color w:val="000000"/>
                <w:sz w:val="22"/>
              </w:rPr>
            </w:pPr>
            <w:r w:rsidRPr="001569FB">
              <w:rPr>
                <w:color w:val="000000"/>
                <w:sz w:val="22"/>
              </w:rPr>
              <w:t>$2.60</w:t>
            </w:r>
          </w:p>
        </w:tc>
        <w:tc>
          <w:tcPr>
            <w:tcW w:w="960" w:type="dxa"/>
            <w:tcBorders>
              <w:top w:val="nil"/>
              <w:left w:val="nil"/>
              <w:bottom w:val="single" w:sz="4" w:space="0" w:color="auto"/>
              <w:right w:val="nil"/>
            </w:tcBorders>
            <w:shd w:val="clear" w:color="auto" w:fill="auto"/>
            <w:noWrap/>
            <w:vAlign w:val="bottom"/>
            <w:hideMark/>
          </w:tcPr>
          <w:p w14:paraId="653033B9" w14:textId="77777777" w:rsidR="006B32D6" w:rsidRPr="001569FB" w:rsidRDefault="006B32D6" w:rsidP="006B32D6">
            <w:pPr>
              <w:spacing w:line="240" w:lineRule="auto"/>
              <w:jc w:val="center"/>
              <w:rPr>
                <w:color w:val="000000"/>
                <w:sz w:val="22"/>
              </w:rPr>
            </w:pPr>
            <w:r w:rsidRPr="001569FB">
              <w:rPr>
                <w:color w:val="000000"/>
                <w:sz w:val="22"/>
              </w:rPr>
              <w:t>$2.35</w:t>
            </w:r>
          </w:p>
        </w:tc>
        <w:tc>
          <w:tcPr>
            <w:tcW w:w="960" w:type="dxa"/>
            <w:tcBorders>
              <w:top w:val="nil"/>
              <w:left w:val="nil"/>
              <w:bottom w:val="single" w:sz="4" w:space="0" w:color="auto"/>
              <w:right w:val="single" w:sz="4" w:space="0" w:color="auto"/>
            </w:tcBorders>
            <w:shd w:val="clear" w:color="auto" w:fill="auto"/>
            <w:noWrap/>
            <w:vAlign w:val="bottom"/>
            <w:hideMark/>
          </w:tcPr>
          <w:p w14:paraId="053D1F25" w14:textId="77777777" w:rsidR="006B32D6" w:rsidRPr="001569FB" w:rsidRDefault="006B32D6" w:rsidP="006B32D6">
            <w:pPr>
              <w:spacing w:line="240" w:lineRule="auto"/>
              <w:jc w:val="center"/>
              <w:rPr>
                <w:color w:val="000000"/>
                <w:sz w:val="22"/>
              </w:rPr>
            </w:pPr>
            <w:r w:rsidRPr="001569FB">
              <w:rPr>
                <w:color w:val="000000"/>
                <w:sz w:val="22"/>
              </w:rPr>
              <w:t>$2.01</w:t>
            </w:r>
          </w:p>
        </w:tc>
      </w:tr>
    </w:tbl>
    <w:p w14:paraId="04B0FCDD" w14:textId="77777777" w:rsidR="00B32537" w:rsidRPr="001569FB" w:rsidRDefault="00B32537" w:rsidP="00A841B3">
      <w:pPr>
        <w:pStyle w:val="TableTitle0"/>
        <w:ind w:left="1680" w:right="1680"/>
        <w:rPr>
          <w:szCs w:val="24"/>
        </w:rPr>
      </w:pPr>
      <w:r w:rsidRPr="001569FB">
        <w:rPr>
          <w:szCs w:val="24"/>
        </w:rPr>
        <w:t>Table B2-3 Impact of Proposed Combined VA-DoD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0526F32A"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16BA0"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6EA9B97"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15FA7C1"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DB35DE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5E4CA8D7"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24B5039"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5E517CDD" w14:textId="77777777" w:rsidR="006B32D6" w:rsidRPr="001569FB" w:rsidRDefault="006B32D6" w:rsidP="00A841B3">
            <w:pPr>
              <w:keepNext/>
              <w:keepLines/>
              <w:spacing w:line="240" w:lineRule="auto"/>
              <w:jc w:val="center"/>
              <w:rPr>
                <w:color w:val="000000"/>
                <w:sz w:val="22"/>
              </w:rPr>
            </w:pPr>
            <w:r w:rsidRPr="001569FB">
              <w:rPr>
                <w:color w:val="000000"/>
                <w:sz w:val="22"/>
              </w:rPr>
              <w:t>62.5%</w:t>
            </w:r>
          </w:p>
        </w:tc>
        <w:tc>
          <w:tcPr>
            <w:tcW w:w="960" w:type="dxa"/>
            <w:tcBorders>
              <w:top w:val="nil"/>
              <w:left w:val="nil"/>
              <w:bottom w:val="nil"/>
              <w:right w:val="nil"/>
            </w:tcBorders>
            <w:shd w:val="clear" w:color="auto" w:fill="auto"/>
            <w:noWrap/>
            <w:vAlign w:val="bottom"/>
            <w:hideMark/>
          </w:tcPr>
          <w:p w14:paraId="7730022C" w14:textId="77777777" w:rsidR="006B32D6" w:rsidRPr="001569FB" w:rsidRDefault="006B32D6" w:rsidP="00A841B3">
            <w:pPr>
              <w:keepNext/>
              <w:keepLines/>
              <w:spacing w:line="240" w:lineRule="auto"/>
              <w:jc w:val="center"/>
              <w:rPr>
                <w:color w:val="000000"/>
                <w:sz w:val="22"/>
              </w:rPr>
            </w:pPr>
            <w:r w:rsidRPr="001569FB">
              <w:rPr>
                <w:color w:val="000000"/>
                <w:sz w:val="22"/>
              </w:rPr>
              <w:t>57.1%</w:t>
            </w:r>
          </w:p>
        </w:tc>
        <w:tc>
          <w:tcPr>
            <w:tcW w:w="960" w:type="dxa"/>
            <w:tcBorders>
              <w:top w:val="nil"/>
              <w:left w:val="nil"/>
              <w:bottom w:val="nil"/>
              <w:right w:val="single" w:sz="4" w:space="0" w:color="auto"/>
            </w:tcBorders>
            <w:shd w:val="clear" w:color="auto" w:fill="auto"/>
            <w:noWrap/>
            <w:vAlign w:val="bottom"/>
            <w:hideMark/>
          </w:tcPr>
          <w:p w14:paraId="07D054AA" w14:textId="77777777" w:rsidR="006B32D6" w:rsidRPr="001569FB" w:rsidRDefault="006B32D6" w:rsidP="00A841B3">
            <w:pPr>
              <w:keepNext/>
              <w:keepLines/>
              <w:spacing w:line="240" w:lineRule="auto"/>
              <w:jc w:val="center"/>
              <w:rPr>
                <w:color w:val="000000"/>
                <w:sz w:val="22"/>
              </w:rPr>
            </w:pPr>
            <w:r w:rsidRPr="001569FB">
              <w:rPr>
                <w:color w:val="000000"/>
                <w:sz w:val="22"/>
              </w:rPr>
              <w:t>53.5%</w:t>
            </w:r>
          </w:p>
        </w:tc>
      </w:tr>
      <w:tr w:rsidR="006B32D6" w:rsidRPr="001569FB" w14:paraId="028ED409"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DF62AF4"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27DAAD3B" w14:textId="77777777" w:rsidR="006B32D6" w:rsidRPr="001569FB" w:rsidRDefault="006B32D6" w:rsidP="00A841B3">
            <w:pPr>
              <w:keepNext/>
              <w:keepLines/>
              <w:spacing w:line="240" w:lineRule="auto"/>
              <w:jc w:val="center"/>
              <w:rPr>
                <w:color w:val="000000"/>
                <w:sz w:val="22"/>
              </w:rPr>
            </w:pPr>
            <w:r w:rsidRPr="001569FB">
              <w:rPr>
                <w:color w:val="000000"/>
                <w:sz w:val="22"/>
              </w:rPr>
              <w:t>37.5%</w:t>
            </w:r>
          </w:p>
        </w:tc>
        <w:tc>
          <w:tcPr>
            <w:tcW w:w="960" w:type="dxa"/>
            <w:tcBorders>
              <w:top w:val="nil"/>
              <w:left w:val="nil"/>
              <w:bottom w:val="nil"/>
              <w:right w:val="nil"/>
            </w:tcBorders>
            <w:shd w:val="clear" w:color="auto" w:fill="auto"/>
            <w:noWrap/>
            <w:vAlign w:val="bottom"/>
            <w:hideMark/>
          </w:tcPr>
          <w:p w14:paraId="0B347B11" w14:textId="77777777" w:rsidR="006B32D6" w:rsidRPr="001569FB" w:rsidRDefault="006B32D6" w:rsidP="00A841B3">
            <w:pPr>
              <w:keepNext/>
              <w:keepLines/>
              <w:spacing w:line="240" w:lineRule="auto"/>
              <w:jc w:val="center"/>
              <w:rPr>
                <w:color w:val="000000"/>
                <w:sz w:val="22"/>
              </w:rPr>
            </w:pPr>
            <w:r w:rsidRPr="001569FB">
              <w:rPr>
                <w:color w:val="000000"/>
                <w:sz w:val="22"/>
              </w:rPr>
              <w:t>42.9%</w:t>
            </w:r>
          </w:p>
        </w:tc>
        <w:tc>
          <w:tcPr>
            <w:tcW w:w="960" w:type="dxa"/>
            <w:tcBorders>
              <w:top w:val="nil"/>
              <w:left w:val="nil"/>
              <w:bottom w:val="nil"/>
              <w:right w:val="single" w:sz="4" w:space="0" w:color="auto"/>
            </w:tcBorders>
            <w:shd w:val="clear" w:color="auto" w:fill="auto"/>
            <w:noWrap/>
            <w:vAlign w:val="bottom"/>
            <w:hideMark/>
          </w:tcPr>
          <w:p w14:paraId="7761EB5A" w14:textId="77777777" w:rsidR="006B32D6" w:rsidRPr="001569FB" w:rsidRDefault="006B32D6" w:rsidP="00A841B3">
            <w:pPr>
              <w:keepNext/>
              <w:keepLines/>
              <w:spacing w:line="240" w:lineRule="auto"/>
              <w:jc w:val="center"/>
              <w:rPr>
                <w:color w:val="000000"/>
                <w:sz w:val="22"/>
              </w:rPr>
            </w:pPr>
            <w:r w:rsidRPr="001569FB">
              <w:rPr>
                <w:color w:val="000000"/>
                <w:sz w:val="22"/>
              </w:rPr>
              <w:t>46.5%</w:t>
            </w:r>
          </w:p>
        </w:tc>
      </w:tr>
      <w:tr w:rsidR="006B32D6" w:rsidRPr="001569FB" w14:paraId="1B2FAAEF"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3C6905F5"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vAlign w:val="bottom"/>
            <w:hideMark/>
          </w:tcPr>
          <w:p w14:paraId="241653B0" w14:textId="77777777" w:rsidR="006B32D6" w:rsidRPr="001569FB" w:rsidRDefault="006B32D6" w:rsidP="006B32D6">
            <w:pPr>
              <w:spacing w:line="240" w:lineRule="auto"/>
              <w:jc w:val="center"/>
              <w:rPr>
                <w:color w:val="000000"/>
                <w:sz w:val="22"/>
              </w:rPr>
            </w:pPr>
            <w:r w:rsidRPr="001569FB">
              <w:rPr>
                <w:color w:val="000000"/>
                <w:sz w:val="22"/>
              </w:rPr>
              <w:t>$2.97</w:t>
            </w:r>
          </w:p>
        </w:tc>
        <w:tc>
          <w:tcPr>
            <w:tcW w:w="960" w:type="dxa"/>
            <w:tcBorders>
              <w:top w:val="nil"/>
              <w:left w:val="nil"/>
              <w:bottom w:val="single" w:sz="4" w:space="0" w:color="auto"/>
              <w:right w:val="nil"/>
            </w:tcBorders>
            <w:shd w:val="clear" w:color="auto" w:fill="auto"/>
            <w:noWrap/>
            <w:vAlign w:val="bottom"/>
            <w:hideMark/>
          </w:tcPr>
          <w:p w14:paraId="07953C97" w14:textId="77777777" w:rsidR="006B32D6" w:rsidRPr="001569FB" w:rsidRDefault="006B32D6" w:rsidP="006B32D6">
            <w:pPr>
              <w:spacing w:line="240" w:lineRule="auto"/>
              <w:jc w:val="center"/>
              <w:rPr>
                <w:color w:val="000000"/>
                <w:sz w:val="22"/>
              </w:rPr>
            </w:pPr>
            <w:r w:rsidRPr="001569FB">
              <w:rPr>
                <w:color w:val="000000"/>
                <w:sz w:val="22"/>
              </w:rPr>
              <w:t>$2.57</w:t>
            </w:r>
          </w:p>
        </w:tc>
        <w:tc>
          <w:tcPr>
            <w:tcW w:w="960" w:type="dxa"/>
            <w:tcBorders>
              <w:top w:val="nil"/>
              <w:left w:val="nil"/>
              <w:bottom w:val="single" w:sz="4" w:space="0" w:color="auto"/>
              <w:right w:val="single" w:sz="4" w:space="0" w:color="auto"/>
            </w:tcBorders>
            <w:shd w:val="clear" w:color="auto" w:fill="auto"/>
            <w:noWrap/>
            <w:vAlign w:val="bottom"/>
            <w:hideMark/>
          </w:tcPr>
          <w:p w14:paraId="0342226F" w14:textId="77777777" w:rsidR="006B32D6" w:rsidRPr="001569FB" w:rsidRDefault="006B32D6" w:rsidP="006B32D6">
            <w:pPr>
              <w:spacing w:line="240" w:lineRule="auto"/>
              <w:jc w:val="center"/>
              <w:rPr>
                <w:color w:val="000000"/>
                <w:sz w:val="22"/>
              </w:rPr>
            </w:pPr>
            <w:r w:rsidRPr="001569FB">
              <w:rPr>
                <w:color w:val="000000"/>
                <w:sz w:val="22"/>
              </w:rPr>
              <w:t>$2.31</w:t>
            </w:r>
          </w:p>
        </w:tc>
      </w:tr>
    </w:tbl>
    <w:p w14:paraId="0EBD458E" w14:textId="77777777" w:rsidR="00B94A0F" w:rsidRPr="001569FB" w:rsidRDefault="0062772D" w:rsidP="002707EC">
      <w:pPr>
        <w:pStyle w:val="Heading2"/>
        <w:spacing w:before="360"/>
      </w:pPr>
      <w:bookmarkStart w:id="47" w:name="_Toc505253775"/>
      <w:r w:rsidRPr="001569FB">
        <w:lastRenderedPageBreak/>
        <w:t>Section C</w:t>
      </w:r>
      <w:r w:rsidR="00BF60A0" w:rsidRPr="001569FB">
        <w:t xml:space="preserve">.  </w:t>
      </w:r>
      <w:r w:rsidR="00657917" w:rsidRPr="001569FB">
        <w:t>I</w:t>
      </w:r>
      <w:r w:rsidR="00333F92" w:rsidRPr="001569FB">
        <w:t>ME Phase Out</w:t>
      </w:r>
      <w:bookmarkEnd w:id="41"/>
      <w:bookmarkEnd w:id="44"/>
      <w:bookmarkEnd w:id="45"/>
      <w:bookmarkEnd w:id="46"/>
      <w:bookmarkEnd w:id="47"/>
      <w:r w:rsidR="00333F92" w:rsidRPr="001569FB">
        <w:t xml:space="preserve"> </w:t>
      </w:r>
    </w:p>
    <w:p w14:paraId="0E2221F2" w14:textId="77777777" w:rsidR="00B86346" w:rsidRPr="001569FB" w:rsidRDefault="00B86346" w:rsidP="00203CF7">
      <w:pPr>
        <w:pStyle w:val="ListBullet"/>
        <w:numPr>
          <w:ilvl w:val="0"/>
          <w:numId w:val="0"/>
        </w:numPr>
        <w:spacing w:before="200" w:after="200"/>
        <w:rPr>
          <w:szCs w:val="24"/>
        </w:rPr>
      </w:pPr>
      <w:r w:rsidRPr="001569FB">
        <w:rPr>
          <w:szCs w:val="24"/>
        </w:rPr>
        <w:t xml:space="preserve">Section 161 of the Medicare Improvements for Patients and Providers Act of 2008 </w:t>
      </w:r>
      <w:r w:rsidR="00954ED7" w:rsidRPr="001569FB">
        <w:rPr>
          <w:szCs w:val="24"/>
        </w:rPr>
        <w:t xml:space="preserve">(MIPPA) </w:t>
      </w:r>
      <w:r w:rsidR="00F43E22" w:rsidRPr="001569FB">
        <w:rPr>
          <w:szCs w:val="24"/>
        </w:rPr>
        <w:t xml:space="preserve">(Pub. L. 110-275) </w:t>
      </w:r>
      <w:r w:rsidR="00580F73" w:rsidRPr="001569FB">
        <w:rPr>
          <w:szCs w:val="24"/>
        </w:rPr>
        <w:t>amended section 1853(k)</w:t>
      </w:r>
      <w:r w:rsidR="008F52EB" w:rsidRPr="001569FB">
        <w:rPr>
          <w:szCs w:val="24"/>
        </w:rPr>
        <w:t>(4)</w:t>
      </w:r>
      <w:r w:rsidR="00580F73" w:rsidRPr="001569FB">
        <w:rPr>
          <w:szCs w:val="24"/>
        </w:rPr>
        <w:t xml:space="preserve"> of the Act to </w:t>
      </w:r>
      <w:r w:rsidRPr="001569FB">
        <w:rPr>
          <w:szCs w:val="24"/>
        </w:rPr>
        <w:t>require CMS to phase out indirect medical education (IME) amounts from MA capitation rates.</w:t>
      </w:r>
      <w:r w:rsidR="0046624A" w:rsidRPr="001569FB">
        <w:rPr>
          <w:szCs w:val="24"/>
        </w:rPr>
        <w:t xml:space="preserve">  Section</w:t>
      </w:r>
      <w:r w:rsidR="00F43E22" w:rsidRPr="001569FB">
        <w:rPr>
          <w:szCs w:val="24"/>
        </w:rPr>
        <w:t>s</w:t>
      </w:r>
      <w:r w:rsidR="0046624A" w:rsidRPr="001569FB">
        <w:rPr>
          <w:szCs w:val="24"/>
        </w:rPr>
        <w:t xml:space="preserve"> 185</w:t>
      </w:r>
      <w:r w:rsidR="00FB5A9A" w:rsidRPr="001569FB">
        <w:rPr>
          <w:szCs w:val="24"/>
        </w:rPr>
        <w:t>3</w:t>
      </w:r>
      <w:r w:rsidR="0046624A" w:rsidRPr="001569FB">
        <w:rPr>
          <w:szCs w:val="24"/>
        </w:rPr>
        <w:t xml:space="preserve">(n)(2)(E) and (F) apply the same phase-out to FFS costs in the calculation of the specified amount in setting MA rates. </w:t>
      </w:r>
      <w:r w:rsidRPr="001569FB">
        <w:rPr>
          <w:szCs w:val="24"/>
        </w:rPr>
        <w:t xml:space="preserve"> </w:t>
      </w:r>
      <w:r w:rsidR="00580F73" w:rsidRPr="001569FB">
        <w:rPr>
          <w:szCs w:val="24"/>
        </w:rPr>
        <w:t>Pursuant to section 1894(d)</w:t>
      </w:r>
      <w:r w:rsidR="00DC72EB" w:rsidRPr="001569FB">
        <w:rPr>
          <w:szCs w:val="24"/>
        </w:rPr>
        <w:t>(3)</w:t>
      </w:r>
      <w:r w:rsidR="00580F73" w:rsidRPr="001569FB">
        <w:rPr>
          <w:szCs w:val="24"/>
        </w:rPr>
        <w:t xml:space="preserve"> of the Act, </w:t>
      </w:r>
      <w:r w:rsidRPr="001569FB">
        <w:rPr>
          <w:szCs w:val="24"/>
        </w:rPr>
        <w:t xml:space="preserve">PACE programs are excluded from the IME payment phase-out.  Payment to teaching facilities for indirect medical education expenses for MA plan enrollees will continue to be made under fee-for-service Medicare. </w:t>
      </w:r>
    </w:p>
    <w:p w14:paraId="4E7CEDB8" w14:textId="77777777" w:rsidR="0002540E" w:rsidRPr="001569FB" w:rsidRDefault="0002540E" w:rsidP="00203CF7">
      <w:pPr>
        <w:pStyle w:val="ListBullet"/>
        <w:numPr>
          <w:ilvl w:val="0"/>
          <w:numId w:val="0"/>
        </w:numPr>
        <w:spacing w:before="200" w:after="200"/>
        <w:rPr>
          <w:szCs w:val="24"/>
        </w:rPr>
      </w:pPr>
      <w:r w:rsidRPr="001569FB">
        <w:rPr>
          <w:szCs w:val="24"/>
        </w:rPr>
        <w:t xml:space="preserve">For purposes of making this adjustment for </w:t>
      </w:r>
      <w:r w:rsidR="00465DDE" w:rsidRPr="001569FB">
        <w:rPr>
          <w:szCs w:val="24"/>
        </w:rPr>
        <w:t>2019</w:t>
      </w:r>
      <w:r w:rsidRPr="001569FB">
        <w:rPr>
          <w:szCs w:val="24"/>
        </w:rPr>
        <w:t xml:space="preserve">, we will first calculate the </w:t>
      </w:r>
      <w:r w:rsidR="00465DDE" w:rsidRPr="001569FB">
        <w:rPr>
          <w:szCs w:val="24"/>
        </w:rPr>
        <w:t xml:space="preserve">2019 </w:t>
      </w:r>
      <w:r w:rsidRPr="001569FB">
        <w:rPr>
          <w:szCs w:val="24"/>
        </w:rPr>
        <w:t xml:space="preserve">FFS rates including the IME amount. </w:t>
      </w:r>
      <w:r w:rsidR="00B9793D" w:rsidRPr="001569FB">
        <w:rPr>
          <w:szCs w:val="24"/>
        </w:rPr>
        <w:t xml:space="preserve"> </w:t>
      </w:r>
      <w:r w:rsidRPr="001569FB">
        <w:rPr>
          <w:szCs w:val="24"/>
        </w:rPr>
        <w:t xml:space="preserve">This initial amount will serve as the basis for calculating the IME reduction that we will carve out of the </w:t>
      </w:r>
      <w:r w:rsidR="00465DDE" w:rsidRPr="001569FB">
        <w:rPr>
          <w:szCs w:val="24"/>
        </w:rPr>
        <w:t xml:space="preserve">2019 </w:t>
      </w:r>
      <w:r w:rsidRPr="001569FB">
        <w:rPr>
          <w:szCs w:val="24"/>
        </w:rPr>
        <w:t xml:space="preserve">rates. </w:t>
      </w:r>
      <w:r w:rsidR="00B9793D" w:rsidRPr="001569FB">
        <w:rPr>
          <w:szCs w:val="24"/>
        </w:rPr>
        <w:t xml:space="preserve"> </w:t>
      </w:r>
      <w:r w:rsidRPr="001569FB">
        <w:rPr>
          <w:szCs w:val="24"/>
        </w:rPr>
        <w:t xml:space="preserve">The absolute effect of the IME phase-out on each county will be determined by the amount of IME included in the initial FFS rate. </w:t>
      </w:r>
      <w:r w:rsidR="006D23A8" w:rsidRPr="001569FB">
        <w:rPr>
          <w:szCs w:val="24"/>
        </w:rPr>
        <w:t xml:space="preserve"> </w:t>
      </w:r>
      <w:r w:rsidR="0038332A" w:rsidRPr="001569FB">
        <w:rPr>
          <w:szCs w:val="24"/>
        </w:rPr>
        <w:t>Under section 1853(k)(4)(B)(ii)</w:t>
      </w:r>
      <w:r w:rsidR="001D3A24" w:rsidRPr="001569FB">
        <w:rPr>
          <w:szCs w:val="24"/>
        </w:rPr>
        <w:t xml:space="preserve"> of the Act</w:t>
      </w:r>
      <w:r w:rsidRPr="001569FB">
        <w:rPr>
          <w:szCs w:val="24"/>
        </w:rPr>
        <w:t xml:space="preserve">, the maximum reduction for any specific county in </w:t>
      </w:r>
      <w:r w:rsidR="00465DDE" w:rsidRPr="001569FB">
        <w:rPr>
          <w:szCs w:val="24"/>
        </w:rPr>
        <w:t xml:space="preserve">2019 </w:t>
      </w:r>
      <w:r w:rsidRPr="001569FB">
        <w:rPr>
          <w:szCs w:val="24"/>
        </w:rPr>
        <w:t xml:space="preserve">is </w:t>
      </w:r>
      <w:r w:rsidR="00F9127A" w:rsidRPr="001569FB">
        <w:rPr>
          <w:szCs w:val="24"/>
        </w:rPr>
        <w:t xml:space="preserve">6.0 </w:t>
      </w:r>
      <w:r w:rsidRPr="001569FB">
        <w:rPr>
          <w:szCs w:val="24"/>
        </w:rPr>
        <w:t xml:space="preserve">percent of the FFS rate. </w:t>
      </w:r>
      <w:r w:rsidR="006D23A8" w:rsidRPr="001569FB">
        <w:rPr>
          <w:szCs w:val="24"/>
        </w:rPr>
        <w:t xml:space="preserve"> </w:t>
      </w:r>
      <w:r w:rsidRPr="001569FB">
        <w:rPr>
          <w:szCs w:val="24"/>
        </w:rPr>
        <w:t xml:space="preserve">To help plans identify the impact, CMS will separately identify the amount of IME for each county rate in the </w:t>
      </w:r>
      <w:r w:rsidR="00465DDE" w:rsidRPr="001569FB">
        <w:rPr>
          <w:szCs w:val="24"/>
        </w:rPr>
        <w:t xml:space="preserve">2019 </w:t>
      </w:r>
      <w:r w:rsidRPr="001569FB">
        <w:rPr>
          <w:szCs w:val="24"/>
        </w:rPr>
        <w:t xml:space="preserve">ratebook. </w:t>
      </w:r>
      <w:r w:rsidR="006D23A8" w:rsidRPr="001569FB">
        <w:rPr>
          <w:szCs w:val="24"/>
        </w:rPr>
        <w:t xml:space="preserve"> </w:t>
      </w:r>
      <w:r w:rsidRPr="001569FB">
        <w:rPr>
          <w:szCs w:val="24"/>
        </w:rPr>
        <w:t>We will also publish the rates with and without the IME reduction for the year.</w:t>
      </w:r>
    </w:p>
    <w:p w14:paraId="29B89D83" w14:textId="77777777" w:rsidR="000F599B" w:rsidRPr="001569FB" w:rsidRDefault="0062772D" w:rsidP="00203CF7">
      <w:pPr>
        <w:pStyle w:val="Heading2"/>
      </w:pPr>
      <w:bookmarkStart w:id="48" w:name="_Toc348432248"/>
      <w:bookmarkStart w:id="49" w:name="_Toc348432884"/>
      <w:bookmarkStart w:id="50" w:name="_Toc505253776"/>
      <w:bookmarkStart w:id="51" w:name="_Toc280340517"/>
      <w:bookmarkStart w:id="52" w:name="_Toc282710016"/>
      <w:r w:rsidRPr="001569FB">
        <w:t>Section D</w:t>
      </w:r>
      <w:r w:rsidR="00BF60A0" w:rsidRPr="001569FB">
        <w:t xml:space="preserve">.  </w:t>
      </w:r>
      <w:r w:rsidR="000F599B" w:rsidRPr="001569FB">
        <w:t>ESRD Rates</w:t>
      </w:r>
      <w:bookmarkEnd w:id="48"/>
      <w:bookmarkEnd w:id="49"/>
      <w:bookmarkEnd w:id="50"/>
    </w:p>
    <w:p w14:paraId="2A7F731F" w14:textId="77777777" w:rsidR="00B97707" w:rsidRPr="001569FB" w:rsidRDefault="00B86346" w:rsidP="00203CF7">
      <w:pPr>
        <w:pStyle w:val="ListBullet"/>
        <w:numPr>
          <w:ilvl w:val="0"/>
          <w:numId w:val="0"/>
        </w:numPr>
        <w:spacing w:before="200" w:after="200"/>
        <w:rPr>
          <w:szCs w:val="24"/>
        </w:rPr>
      </w:pPr>
      <w:r w:rsidRPr="001569FB">
        <w:rPr>
          <w:szCs w:val="24"/>
        </w:rPr>
        <w:t xml:space="preserve">In developing the </w:t>
      </w:r>
      <w:r w:rsidR="000E5E3B" w:rsidRPr="001569FB">
        <w:rPr>
          <w:szCs w:val="24"/>
        </w:rPr>
        <w:t xml:space="preserve">2019 </w:t>
      </w:r>
      <w:r w:rsidRPr="001569FB">
        <w:rPr>
          <w:szCs w:val="24"/>
        </w:rPr>
        <w:t xml:space="preserve">ESRD Medicare Advantage </w:t>
      </w:r>
      <w:r w:rsidR="00142E95" w:rsidRPr="001569FB">
        <w:rPr>
          <w:szCs w:val="24"/>
        </w:rPr>
        <w:t>benchmarks</w:t>
      </w:r>
      <w:r w:rsidR="0087398F" w:rsidRPr="001569FB">
        <w:rPr>
          <w:szCs w:val="24"/>
        </w:rPr>
        <w:t>,</w:t>
      </w:r>
      <w:r w:rsidRPr="001569FB">
        <w:rPr>
          <w:szCs w:val="24"/>
        </w:rPr>
        <w:t xml:space="preserve"> we obtain the FFS dialysis reimbursement and enrollment data </w:t>
      </w:r>
      <w:r w:rsidR="006D23A8" w:rsidRPr="001569FB">
        <w:rPr>
          <w:szCs w:val="24"/>
        </w:rPr>
        <w:t>for</w:t>
      </w:r>
      <w:r w:rsidRPr="001569FB">
        <w:rPr>
          <w:szCs w:val="24"/>
        </w:rPr>
        <w:t xml:space="preserve"> each state for the years </w:t>
      </w:r>
      <w:r w:rsidR="000E5E3B" w:rsidRPr="001569FB">
        <w:rPr>
          <w:szCs w:val="24"/>
        </w:rPr>
        <w:t>2012</w:t>
      </w:r>
      <w:r w:rsidRPr="001569FB">
        <w:rPr>
          <w:szCs w:val="24"/>
        </w:rPr>
        <w:t>–</w:t>
      </w:r>
      <w:r w:rsidR="000E5E3B" w:rsidRPr="001569FB">
        <w:rPr>
          <w:szCs w:val="24"/>
        </w:rPr>
        <w:t>2016</w:t>
      </w:r>
      <w:r w:rsidRPr="001569FB">
        <w:rPr>
          <w:szCs w:val="24"/>
        </w:rPr>
        <w:t xml:space="preserve">.  For each year, we compute the per capita costs by state.  The geographic indices for each </w:t>
      </w:r>
      <w:r w:rsidR="00ED686A" w:rsidRPr="001569FB">
        <w:rPr>
          <w:szCs w:val="24"/>
        </w:rPr>
        <w:t xml:space="preserve">year </w:t>
      </w:r>
      <w:r w:rsidRPr="001569FB">
        <w:rPr>
          <w:szCs w:val="24"/>
        </w:rPr>
        <w:t>are calculated by dividing the state per capita cost by the total per capita cost of the nation.  The average geographic adjustment (AGA) by state is</w:t>
      </w:r>
      <w:r w:rsidR="00213621" w:rsidRPr="001569FB">
        <w:rPr>
          <w:szCs w:val="24"/>
        </w:rPr>
        <w:t xml:space="preserve"> </w:t>
      </w:r>
      <w:r w:rsidR="0080502E" w:rsidRPr="001569FB">
        <w:rPr>
          <w:szCs w:val="24"/>
        </w:rPr>
        <w:t>then</w:t>
      </w:r>
      <w:r w:rsidRPr="001569FB">
        <w:rPr>
          <w:szCs w:val="24"/>
        </w:rPr>
        <w:t xml:space="preserve"> determined</w:t>
      </w:r>
      <w:r w:rsidR="00ED686A" w:rsidRPr="001569FB">
        <w:rPr>
          <w:szCs w:val="24"/>
        </w:rPr>
        <w:t xml:space="preserve"> by calculating a </w:t>
      </w:r>
      <w:r w:rsidRPr="001569FB">
        <w:rPr>
          <w:szCs w:val="24"/>
        </w:rPr>
        <w:t xml:space="preserve">5-year weighted average of the geographic indices, which is standardized by dividing by the 5-year average risk scores.  We calculated the </w:t>
      </w:r>
      <w:r w:rsidR="000E5E3B" w:rsidRPr="001569FB">
        <w:rPr>
          <w:szCs w:val="24"/>
        </w:rPr>
        <w:t xml:space="preserve">2016 </w:t>
      </w:r>
      <w:r w:rsidRPr="001569FB">
        <w:rPr>
          <w:szCs w:val="24"/>
        </w:rPr>
        <w:t xml:space="preserve">FFS ESRD dialysis United States per capita cost (USPCC) based on the </w:t>
      </w:r>
      <w:r w:rsidR="000E5E3B" w:rsidRPr="001569FB">
        <w:rPr>
          <w:szCs w:val="24"/>
        </w:rPr>
        <w:t xml:space="preserve">2016 </w:t>
      </w:r>
      <w:r w:rsidRPr="001569FB">
        <w:rPr>
          <w:szCs w:val="24"/>
        </w:rPr>
        <w:t xml:space="preserve">data above, and using trend factors, develop the prospective </w:t>
      </w:r>
      <w:r w:rsidR="000E5E3B" w:rsidRPr="001569FB">
        <w:rPr>
          <w:szCs w:val="24"/>
        </w:rPr>
        <w:t xml:space="preserve">2019 </w:t>
      </w:r>
      <w:r w:rsidRPr="001569FB">
        <w:rPr>
          <w:szCs w:val="24"/>
        </w:rPr>
        <w:t>FFS ESRD dialysis USPCC</w:t>
      </w:r>
      <w:r w:rsidR="00872E01" w:rsidRPr="001569FB">
        <w:rPr>
          <w:szCs w:val="24"/>
        </w:rPr>
        <w:t xml:space="preserve">.  </w:t>
      </w:r>
    </w:p>
    <w:p w14:paraId="76703F81" w14:textId="20ACE53A" w:rsidR="00B97707" w:rsidRPr="001569FB" w:rsidRDefault="00872E01" w:rsidP="00203CF7">
      <w:pPr>
        <w:pStyle w:val="ListBullet"/>
        <w:numPr>
          <w:ilvl w:val="0"/>
          <w:numId w:val="0"/>
        </w:numPr>
        <w:spacing w:before="200" w:after="200"/>
        <w:rPr>
          <w:szCs w:val="24"/>
        </w:rPr>
      </w:pPr>
      <w:r w:rsidRPr="001569FB">
        <w:rPr>
          <w:szCs w:val="24"/>
        </w:rPr>
        <w:t xml:space="preserve">We have recently incorporated enhancements to the ESRD data system and projection methodology, and will now be able to apply repricing adjustments to the CY2019 ESRD rates.  Similar to the non-ESRD rate methodology, we are proposing to </w:t>
      </w:r>
      <w:r w:rsidRPr="001569FB">
        <w:rPr>
          <w:color w:val="000000"/>
          <w:szCs w:val="24"/>
        </w:rPr>
        <w:t>reprice the ESRD historical</w:t>
      </w:r>
      <w:r w:rsidR="00F830D2" w:rsidRPr="001569FB">
        <w:rPr>
          <w:color w:val="000000"/>
          <w:szCs w:val="24"/>
        </w:rPr>
        <w:t xml:space="preserve"> </w:t>
      </w:r>
      <w:r w:rsidRPr="001569FB">
        <w:rPr>
          <w:color w:val="000000"/>
          <w:szCs w:val="24"/>
        </w:rPr>
        <w:t xml:space="preserve">inpatient, hospital outpatient, and skilled nursing facility claims from 2012-2016 to reflect the most current (i.e., FY 2018) </w:t>
      </w:r>
      <w:r w:rsidRPr="001569FB">
        <w:rPr>
          <w:szCs w:val="24"/>
        </w:rPr>
        <w:t xml:space="preserve">wage indices, and re-tabulate physician claims with the most current (i.e., CY 2018) Geographic Practice Cost Indices.  </w:t>
      </w:r>
      <w:r w:rsidR="00281DB1" w:rsidRPr="001569FB">
        <w:rPr>
          <w:szCs w:val="24"/>
        </w:rPr>
        <w:t>We are proposing to reprice the ESRD PPS dialysis claims for the years 2014-2016, given that 2014 was the first year that the dialysis PPS system was fully phased in.</w:t>
      </w:r>
      <w:r w:rsidR="00F971BF" w:rsidRPr="001569FB">
        <w:rPr>
          <w:szCs w:val="24"/>
        </w:rPr>
        <w:t xml:space="preserve"> </w:t>
      </w:r>
      <w:r w:rsidR="00281DB1" w:rsidRPr="001569FB">
        <w:rPr>
          <w:szCs w:val="24"/>
        </w:rPr>
        <w:t xml:space="preserve"> </w:t>
      </w:r>
      <w:r w:rsidRPr="001569FB">
        <w:rPr>
          <w:szCs w:val="24"/>
        </w:rPr>
        <w:t>We are also proposing to adjust historical FFS claims</w:t>
      </w:r>
      <w:r w:rsidR="00A37219" w:rsidRPr="001569FB">
        <w:rPr>
          <w:szCs w:val="24"/>
        </w:rPr>
        <w:t xml:space="preserve"> for ESRD beneficiaries</w:t>
      </w:r>
      <w:r w:rsidRPr="001569FB">
        <w:rPr>
          <w:szCs w:val="24"/>
        </w:rPr>
        <w:t xml:space="preserve"> to account for legislative </w:t>
      </w:r>
      <w:r w:rsidR="00A37219" w:rsidRPr="001569FB">
        <w:rPr>
          <w:szCs w:val="24"/>
        </w:rPr>
        <w:t xml:space="preserve">and regulatory </w:t>
      </w:r>
      <w:r w:rsidRPr="001569FB">
        <w:rPr>
          <w:szCs w:val="24"/>
        </w:rPr>
        <w:t xml:space="preserve">changes to the </w:t>
      </w:r>
      <w:r w:rsidRPr="001569FB">
        <w:rPr>
          <w:color w:val="000000"/>
          <w:szCs w:val="24"/>
          <w:shd w:val="clear" w:color="auto" w:fill="FFFFFF"/>
        </w:rPr>
        <w:t xml:space="preserve">provisions under section 1886(d)(5)(F) of the Act, and the establishment of 1886(r).  </w:t>
      </w:r>
      <w:r w:rsidRPr="001569FB">
        <w:rPr>
          <w:szCs w:val="24"/>
        </w:rPr>
        <w:t xml:space="preserve">These changes replaced 75 percent of hospital Medicare Disproportionate Share Hospital (DSH) payments with uncompensated care </w:t>
      </w:r>
      <w:r w:rsidRPr="001569FB">
        <w:rPr>
          <w:szCs w:val="24"/>
        </w:rPr>
        <w:lastRenderedPageBreak/>
        <w:t>payments (UCP) beginning on October 1, 2013.  CMS would adjust claims for fiscal year (FY) 2012 and FY 2013 for each DSH hospital to reflect the reduction in DSH payments and the allocation of the UCP by incorporating the corresponding requirements of the final FY 2018 Inpatient Prospective Payment System (IPPS) rule.  Similarly, we are proposing to adjust the UCP represented in the FY 2014 through 1</w:t>
      </w:r>
      <w:r w:rsidRPr="001569FB">
        <w:rPr>
          <w:szCs w:val="24"/>
          <w:vertAlign w:val="superscript"/>
        </w:rPr>
        <w:t>st</w:t>
      </w:r>
      <w:r w:rsidRPr="001569FB">
        <w:rPr>
          <w:szCs w:val="24"/>
        </w:rPr>
        <w:t xml:space="preserve"> quarter FY 2017 claims to reflect the requirements of the final FY 2018 IPPS rule</w:t>
      </w:r>
      <w:r w:rsidR="00B12E23" w:rsidRPr="001569FB">
        <w:rPr>
          <w:szCs w:val="24"/>
        </w:rPr>
        <w:t>.</w:t>
      </w:r>
      <w:r w:rsidR="00B86346" w:rsidRPr="001569FB">
        <w:rPr>
          <w:szCs w:val="24"/>
        </w:rPr>
        <w:t xml:space="preserve"> </w:t>
      </w:r>
      <w:r w:rsidR="006963C8" w:rsidRPr="001569FB">
        <w:rPr>
          <w:szCs w:val="24"/>
        </w:rPr>
        <w:t xml:space="preserve"> For 2019, the adjustments will also include 2016 shared savings, and shared losses performance based payments made under the Comprehensive ESRD Care model.  </w:t>
      </w:r>
    </w:p>
    <w:p w14:paraId="4B41307F" w14:textId="77777777" w:rsidR="00B86346" w:rsidRPr="001569FB" w:rsidRDefault="00B86346" w:rsidP="00203CF7">
      <w:pPr>
        <w:pStyle w:val="ListBullet"/>
        <w:numPr>
          <w:ilvl w:val="0"/>
          <w:numId w:val="0"/>
        </w:numPr>
        <w:spacing w:before="200" w:after="200"/>
        <w:rPr>
          <w:szCs w:val="24"/>
        </w:rPr>
      </w:pPr>
      <w:r w:rsidRPr="001569FB">
        <w:rPr>
          <w:szCs w:val="24"/>
        </w:rPr>
        <w:t xml:space="preserve">The </w:t>
      </w:r>
      <w:r w:rsidR="000E5E3B" w:rsidRPr="001569FB">
        <w:rPr>
          <w:szCs w:val="24"/>
        </w:rPr>
        <w:t xml:space="preserve">2019 </w:t>
      </w:r>
      <w:r w:rsidRPr="001569FB">
        <w:rPr>
          <w:szCs w:val="24"/>
        </w:rPr>
        <w:t xml:space="preserve">ESRD dialysis rates by state are determined by multiplying the </w:t>
      </w:r>
      <w:r w:rsidR="000E5E3B" w:rsidRPr="001569FB">
        <w:rPr>
          <w:szCs w:val="24"/>
        </w:rPr>
        <w:t xml:space="preserve">2019 </w:t>
      </w:r>
      <w:r w:rsidRPr="001569FB">
        <w:rPr>
          <w:szCs w:val="24"/>
        </w:rPr>
        <w:t xml:space="preserve">FFS ESRD dialysis USPCC by the state AGA.  The </w:t>
      </w:r>
      <w:r w:rsidR="000E5E3B" w:rsidRPr="001569FB">
        <w:rPr>
          <w:szCs w:val="24"/>
        </w:rPr>
        <w:t xml:space="preserve">2019 </w:t>
      </w:r>
      <w:r w:rsidRPr="001569FB">
        <w:rPr>
          <w:szCs w:val="24"/>
        </w:rPr>
        <w:t xml:space="preserve">ESRD dialysis rate is adjusted by removing the direct graduate medical </w:t>
      </w:r>
      <w:r w:rsidR="00031283" w:rsidRPr="001569FB">
        <w:rPr>
          <w:szCs w:val="24"/>
        </w:rPr>
        <w:t xml:space="preserve">education </w:t>
      </w:r>
      <w:r w:rsidR="002B66A9" w:rsidRPr="001569FB">
        <w:rPr>
          <w:szCs w:val="24"/>
        </w:rPr>
        <w:t xml:space="preserve">(GME) </w:t>
      </w:r>
      <w:r w:rsidRPr="001569FB">
        <w:rPr>
          <w:szCs w:val="24"/>
        </w:rPr>
        <w:t xml:space="preserve">expenses and </w:t>
      </w:r>
      <w:r w:rsidR="00DA3F64" w:rsidRPr="001569FB">
        <w:rPr>
          <w:szCs w:val="24"/>
        </w:rPr>
        <w:t xml:space="preserve">the </w:t>
      </w:r>
      <w:r w:rsidRPr="001569FB">
        <w:rPr>
          <w:szCs w:val="24"/>
        </w:rPr>
        <w:t xml:space="preserve">gradual </w:t>
      </w:r>
      <w:r w:rsidR="00DA3F64" w:rsidRPr="001569FB">
        <w:rPr>
          <w:szCs w:val="24"/>
        </w:rPr>
        <w:t>phase-out</w:t>
      </w:r>
      <w:r w:rsidRPr="001569FB">
        <w:rPr>
          <w:szCs w:val="24"/>
        </w:rPr>
        <w:t xml:space="preserve"> </w:t>
      </w:r>
      <w:r w:rsidR="00DA3F64" w:rsidRPr="001569FB">
        <w:rPr>
          <w:szCs w:val="24"/>
        </w:rPr>
        <w:t>of</w:t>
      </w:r>
      <w:r w:rsidRPr="001569FB">
        <w:rPr>
          <w:szCs w:val="24"/>
        </w:rPr>
        <w:t xml:space="preserve"> indirect medical </w:t>
      </w:r>
      <w:r w:rsidR="00031283" w:rsidRPr="001569FB">
        <w:rPr>
          <w:szCs w:val="24"/>
        </w:rPr>
        <w:t xml:space="preserve">education </w:t>
      </w:r>
      <w:r w:rsidR="002B66A9" w:rsidRPr="001569FB">
        <w:rPr>
          <w:szCs w:val="24"/>
        </w:rPr>
        <w:t>(IME) expenses</w:t>
      </w:r>
      <w:r w:rsidRPr="001569FB">
        <w:rPr>
          <w:szCs w:val="24"/>
        </w:rPr>
        <w:t xml:space="preserve">. </w:t>
      </w:r>
    </w:p>
    <w:p w14:paraId="1EEE6310" w14:textId="77777777" w:rsidR="00FD3AE2" w:rsidRPr="001569FB" w:rsidRDefault="0062772D" w:rsidP="00203CF7">
      <w:pPr>
        <w:pStyle w:val="Heading2"/>
      </w:pPr>
      <w:bookmarkStart w:id="53" w:name="_Toc348432249"/>
      <w:bookmarkStart w:id="54" w:name="_Toc348432885"/>
      <w:bookmarkStart w:id="55" w:name="_Toc505253777"/>
      <w:r w:rsidRPr="001569FB">
        <w:t>Section E</w:t>
      </w:r>
      <w:r w:rsidR="00BF60A0" w:rsidRPr="001569FB">
        <w:t xml:space="preserve">.  </w:t>
      </w:r>
      <w:r w:rsidR="00333F92" w:rsidRPr="001569FB">
        <w:t>Clinical Trials</w:t>
      </w:r>
      <w:bookmarkEnd w:id="51"/>
      <w:bookmarkEnd w:id="52"/>
      <w:bookmarkEnd w:id="53"/>
      <w:bookmarkEnd w:id="54"/>
      <w:bookmarkEnd w:id="55"/>
    </w:p>
    <w:p w14:paraId="3A5B1802" w14:textId="77777777" w:rsidR="00FD3AE2" w:rsidRPr="001569FB" w:rsidRDefault="00FD3AE2" w:rsidP="00203CF7">
      <w:pPr>
        <w:pStyle w:val="ListBullet"/>
        <w:numPr>
          <w:ilvl w:val="0"/>
          <w:numId w:val="0"/>
        </w:numPr>
        <w:spacing w:before="200" w:after="200"/>
        <w:rPr>
          <w:szCs w:val="24"/>
        </w:rPr>
      </w:pPr>
      <w:bookmarkStart w:id="56" w:name="_Toc374351041"/>
      <w:bookmarkStart w:id="57" w:name="_Toc374356520"/>
      <w:r w:rsidRPr="001569FB">
        <w:rPr>
          <w:szCs w:val="24"/>
        </w:rPr>
        <w:t xml:space="preserve">In </w:t>
      </w:r>
      <w:r w:rsidR="00A91A3A" w:rsidRPr="001569FB">
        <w:rPr>
          <w:szCs w:val="24"/>
        </w:rPr>
        <w:t>2019</w:t>
      </w:r>
      <w:r w:rsidRPr="001569FB">
        <w:rPr>
          <w:szCs w:val="24"/>
        </w:rPr>
        <w:t xml:space="preserve">, </w:t>
      </w:r>
      <w:r w:rsidR="00513A7E" w:rsidRPr="001569FB">
        <w:rPr>
          <w:szCs w:val="24"/>
        </w:rPr>
        <w:t xml:space="preserve">CMS </w:t>
      </w:r>
      <w:r w:rsidR="00A30A9F" w:rsidRPr="001569FB">
        <w:rPr>
          <w:szCs w:val="24"/>
        </w:rPr>
        <w:t>intends to</w:t>
      </w:r>
      <w:r w:rsidRPr="001569FB">
        <w:rPr>
          <w:szCs w:val="24"/>
        </w:rPr>
        <w:t xml:space="preserve"> continue </w:t>
      </w:r>
      <w:r w:rsidR="00513A7E" w:rsidRPr="001569FB">
        <w:rPr>
          <w:szCs w:val="24"/>
        </w:rPr>
        <w:t xml:space="preserve">to pay </w:t>
      </w:r>
      <w:r w:rsidRPr="001569FB">
        <w:rPr>
          <w:szCs w:val="24"/>
        </w:rPr>
        <w:t xml:space="preserve">on a fee-for-service basis for qualified clinical trial items and services provided to MA </w:t>
      </w:r>
      <w:r w:rsidR="00441B1F" w:rsidRPr="001569FB">
        <w:rPr>
          <w:szCs w:val="24"/>
        </w:rPr>
        <w:t>enrollees</w:t>
      </w:r>
      <w:r w:rsidRPr="001569FB">
        <w:rPr>
          <w:szCs w:val="24"/>
        </w:rPr>
        <w:t xml:space="preserve"> </w:t>
      </w:r>
      <w:r w:rsidR="00513A7E" w:rsidRPr="001569FB">
        <w:rPr>
          <w:szCs w:val="24"/>
        </w:rPr>
        <w:t xml:space="preserve">in clinical trials that are covered under the National Coverage Determination </w:t>
      </w:r>
      <w:r w:rsidR="00906CA2" w:rsidRPr="001569FB">
        <w:rPr>
          <w:szCs w:val="24"/>
        </w:rPr>
        <w:t xml:space="preserve">(NCD) for Routine Costs in Clinical Trials </w:t>
      </w:r>
      <w:r w:rsidR="00513A7E" w:rsidRPr="001569FB">
        <w:rPr>
          <w:szCs w:val="24"/>
        </w:rPr>
        <w:t>(Medicare NCD Manual, Pub. 100-3, Part 4, Section 310.1)</w:t>
      </w:r>
      <w:r w:rsidRPr="001569FB">
        <w:rPr>
          <w:szCs w:val="24"/>
        </w:rPr>
        <w:t>.</w:t>
      </w:r>
      <w:bookmarkEnd w:id="56"/>
      <w:bookmarkEnd w:id="57"/>
      <w:r w:rsidRPr="001569FB">
        <w:rPr>
          <w:szCs w:val="24"/>
        </w:rPr>
        <w:t xml:space="preserve"> </w:t>
      </w:r>
      <w:r w:rsidR="00E327A5" w:rsidRPr="001569FB">
        <w:rPr>
          <w:szCs w:val="24"/>
        </w:rPr>
        <w:t xml:space="preserve"> </w:t>
      </w:r>
      <w:r w:rsidR="00FA69BF" w:rsidRPr="001569FB">
        <w:rPr>
          <w:szCs w:val="24"/>
        </w:rPr>
        <w:t>The payment and coverage standards applicable to NCDs under 42 CFR 422.109 apply to NCD 310.1</w:t>
      </w:r>
      <w:r w:rsidR="00A66353" w:rsidRPr="001569FB">
        <w:rPr>
          <w:szCs w:val="24"/>
        </w:rPr>
        <w:t xml:space="preserve">, which </w:t>
      </w:r>
      <w:r w:rsidR="00FA69BF" w:rsidRPr="001569FB">
        <w:rPr>
          <w:szCs w:val="24"/>
        </w:rPr>
        <w:t>provide</w:t>
      </w:r>
      <w:r w:rsidR="00A66353" w:rsidRPr="001569FB">
        <w:rPr>
          <w:szCs w:val="24"/>
        </w:rPr>
        <w:t>s</w:t>
      </w:r>
      <w:r w:rsidR="00FA69BF" w:rsidRPr="001569FB">
        <w:rPr>
          <w:szCs w:val="24"/>
        </w:rPr>
        <w:t xml:space="preserve"> coverage under original Medicare for clinical trials that meet its criteria and are not addressed by a separate NCD. </w:t>
      </w:r>
      <w:r w:rsidR="00F018A9" w:rsidRPr="001569FB">
        <w:rPr>
          <w:szCs w:val="24"/>
        </w:rPr>
        <w:t xml:space="preserve"> </w:t>
      </w:r>
      <w:r w:rsidR="00FA69BF" w:rsidRPr="001569FB">
        <w:rPr>
          <w:szCs w:val="24"/>
        </w:rPr>
        <w:t>CMS has previously made the determination that all clinical trials covered under NCD 310.1 trigger the significant cost threshold such that coverage and payment are controlled by § 422.109(c).</w:t>
      </w:r>
    </w:p>
    <w:p w14:paraId="53B4CB3C" w14:textId="77777777" w:rsidR="00EB0285" w:rsidRPr="001569FB" w:rsidRDefault="00EB0285" w:rsidP="002707EC">
      <w:pPr>
        <w:pStyle w:val="Default"/>
        <w:spacing w:before="200"/>
        <w:rPr>
          <w:rFonts w:ascii="Times New Roman" w:hAnsi="Times New Roman"/>
        </w:rPr>
      </w:pPr>
      <w:r w:rsidRPr="001569FB">
        <w:rPr>
          <w:rFonts w:ascii="Times New Roman" w:hAnsi="Times New Roman"/>
        </w:rPr>
        <w:t>As detailed in the 201</w:t>
      </w:r>
      <w:r w:rsidR="004569E7" w:rsidRPr="001569FB">
        <w:rPr>
          <w:rFonts w:ascii="Times New Roman" w:hAnsi="Times New Roman"/>
        </w:rPr>
        <w:t>7</w:t>
      </w:r>
      <w:r w:rsidRPr="001569FB">
        <w:rPr>
          <w:rFonts w:ascii="Times New Roman" w:hAnsi="Times New Roman"/>
        </w:rPr>
        <w:t xml:space="preserve"> Rate Announcement, MA </w:t>
      </w:r>
      <w:r w:rsidR="00441B1F" w:rsidRPr="001569FB">
        <w:rPr>
          <w:rFonts w:ascii="Times New Roman" w:hAnsi="Times New Roman"/>
        </w:rPr>
        <w:t>enrollees</w:t>
      </w:r>
      <w:r w:rsidRPr="001569FB">
        <w:rPr>
          <w:rFonts w:ascii="Times New Roman" w:hAnsi="Times New Roman"/>
        </w:rPr>
        <w:t xml:space="preserve"> are able to participate in any qualifying clinical trial that </w:t>
      </w:r>
      <w:r w:rsidR="00513A7E" w:rsidRPr="001569FB">
        <w:rPr>
          <w:rFonts w:ascii="Times New Roman" w:hAnsi="Times New Roman"/>
        </w:rPr>
        <w:t>is open to beneficiaries in original Medicare.</w:t>
      </w:r>
      <w:r w:rsidRPr="001569FB">
        <w:rPr>
          <w:rFonts w:ascii="Times New Roman" w:hAnsi="Times New Roman"/>
        </w:rPr>
        <w:t xml:space="preserve"> </w:t>
      </w:r>
      <w:r w:rsidR="000F7501" w:rsidRPr="001569FB">
        <w:rPr>
          <w:rFonts w:ascii="Times New Roman" w:hAnsi="Times New Roman"/>
        </w:rPr>
        <w:t xml:space="preserve"> </w:t>
      </w:r>
      <w:r w:rsidRPr="001569FB">
        <w:rPr>
          <w:rFonts w:ascii="Times New Roman" w:hAnsi="Times New Roman"/>
        </w:rPr>
        <w:t xml:space="preserve">CMS does not require MA </w:t>
      </w:r>
      <w:r w:rsidR="00441B1F" w:rsidRPr="001569FB">
        <w:rPr>
          <w:rFonts w:ascii="Times New Roman" w:hAnsi="Times New Roman"/>
        </w:rPr>
        <w:t>enrollees</w:t>
      </w:r>
      <w:r w:rsidRPr="001569FB">
        <w:rPr>
          <w:rFonts w:ascii="Times New Roman" w:hAnsi="Times New Roman"/>
        </w:rPr>
        <w:t xml:space="preserve"> to relinquish their MA coverage if they wish to participate in a clinical trial. </w:t>
      </w:r>
    </w:p>
    <w:p w14:paraId="59E593B6" w14:textId="77777777" w:rsidR="00CE35E8" w:rsidRPr="001569FB" w:rsidRDefault="00EB0285" w:rsidP="002707EC">
      <w:pPr>
        <w:pStyle w:val="ListBullet"/>
        <w:numPr>
          <w:ilvl w:val="0"/>
          <w:numId w:val="0"/>
        </w:numPr>
        <w:spacing w:before="200" w:after="200"/>
        <w:rPr>
          <w:color w:val="000000"/>
          <w:szCs w:val="24"/>
        </w:rPr>
      </w:pPr>
      <w:r w:rsidRPr="001569FB">
        <w:rPr>
          <w:color w:val="000000"/>
          <w:szCs w:val="24"/>
        </w:rPr>
        <w:t>CMS requires MA</w:t>
      </w:r>
      <w:r w:rsidR="00441B1F" w:rsidRPr="001569FB">
        <w:rPr>
          <w:color w:val="000000"/>
          <w:szCs w:val="24"/>
        </w:rPr>
        <w:t>Os</w:t>
      </w:r>
      <w:r w:rsidRPr="001569FB">
        <w:rPr>
          <w:color w:val="000000"/>
          <w:szCs w:val="24"/>
        </w:rPr>
        <w:t>, in accordance with §</w:t>
      </w:r>
      <w:r w:rsidR="00441B1F" w:rsidRPr="001569FB">
        <w:rPr>
          <w:color w:val="000000"/>
          <w:szCs w:val="24"/>
        </w:rPr>
        <w:t xml:space="preserve"> </w:t>
      </w:r>
      <w:r w:rsidRPr="001569FB">
        <w:rPr>
          <w:color w:val="000000"/>
          <w:szCs w:val="24"/>
        </w:rPr>
        <w:t xml:space="preserve">422.109(c)(2), to provide coverage for: </w:t>
      </w:r>
      <w:r w:rsidR="002F0B67" w:rsidRPr="001569FB">
        <w:rPr>
          <w:color w:val="000000"/>
          <w:szCs w:val="24"/>
        </w:rPr>
        <w:t>(</w:t>
      </w:r>
      <w:r w:rsidRPr="001569FB">
        <w:rPr>
          <w:color w:val="000000"/>
          <w:szCs w:val="24"/>
        </w:rPr>
        <w:t xml:space="preserve">1) services to diagnose conditions covered by clinical trial services, </w:t>
      </w:r>
      <w:r w:rsidR="002F0B67" w:rsidRPr="001569FB">
        <w:rPr>
          <w:color w:val="000000"/>
          <w:szCs w:val="24"/>
        </w:rPr>
        <w:t>(</w:t>
      </w:r>
      <w:r w:rsidRPr="001569FB">
        <w:rPr>
          <w:color w:val="000000"/>
          <w:szCs w:val="24"/>
        </w:rPr>
        <w:t xml:space="preserve">2) most services furnished as follow-up care to clinical trial services, and </w:t>
      </w:r>
      <w:r w:rsidR="002F0B67" w:rsidRPr="001569FB">
        <w:rPr>
          <w:color w:val="000000"/>
          <w:szCs w:val="24"/>
        </w:rPr>
        <w:t>(</w:t>
      </w:r>
      <w:r w:rsidRPr="001569FB">
        <w:rPr>
          <w:color w:val="000000"/>
          <w:szCs w:val="24"/>
        </w:rPr>
        <w:t>3) services already covered by the MA</w:t>
      </w:r>
      <w:r w:rsidR="00441B1F" w:rsidRPr="001569FB">
        <w:rPr>
          <w:color w:val="000000"/>
          <w:szCs w:val="24"/>
        </w:rPr>
        <w:t>O</w:t>
      </w:r>
      <w:r w:rsidRPr="001569FB">
        <w:rPr>
          <w:color w:val="000000"/>
          <w:szCs w:val="24"/>
        </w:rPr>
        <w:t xml:space="preserve">. </w:t>
      </w:r>
      <w:r w:rsidR="00F018A9" w:rsidRPr="001569FB">
        <w:rPr>
          <w:color w:val="000000"/>
          <w:szCs w:val="24"/>
        </w:rPr>
        <w:t xml:space="preserve"> </w:t>
      </w:r>
      <w:r w:rsidRPr="001569FB">
        <w:rPr>
          <w:color w:val="000000"/>
          <w:szCs w:val="24"/>
        </w:rPr>
        <w:t xml:space="preserve">Should an MA </w:t>
      </w:r>
      <w:r w:rsidR="000758A0" w:rsidRPr="001569FB">
        <w:rPr>
          <w:color w:val="000000"/>
          <w:szCs w:val="24"/>
        </w:rPr>
        <w:t>enrollee</w:t>
      </w:r>
      <w:r w:rsidRPr="001569FB">
        <w:rPr>
          <w:color w:val="000000"/>
          <w:szCs w:val="24"/>
        </w:rPr>
        <w:t xml:space="preserve"> choose to participate in a clinical trial, he or she may remain in his or her MA plan while paying FFS costs for a qualifying clinical trial. </w:t>
      </w:r>
      <w:r w:rsidR="00F018A9" w:rsidRPr="001569FB">
        <w:rPr>
          <w:color w:val="000000"/>
          <w:szCs w:val="24"/>
        </w:rPr>
        <w:t xml:space="preserve"> </w:t>
      </w:r>
      <w:r w:rsidRPr="001569FB">
        <w:rPr>
          <w:color w:val="000000"/>
          <w:szCs w:val="24"/>
        </w:rPr>
        <w:t xml:space="preserve">As finalized in the CY 2011 Rate Announcement, effective for CY 2011 and subsequent years, MAOs must reimburse </w:t>
      </w:r>
      <w:r w:rsidR="000758A0" w:rsidRPr="001569FB">
        <w:rPr>
          <w:color w:val="000000"/>
          <w:szCs w:val="24"/>
        </w:rPr>
        <w:t>enrollees</w:t>
      </w:r>
      <w:r w:rsidRPr="001569FB">
        <w:rPr>
          <w:color w:val="000000"/>
          <w:szCs w:val="24"/>
        </w:rPr>
        <w:t xml:space="preserve"> for cost</w:t>
      </w:r>
      <w:r w:rsidR="0015508F" w:rsidRPr="001569FB">
        <w:rPr>
          <w:color w:val="000000"/>
          <w:szCs w:val="24"/>
        </w:rPr>
        <w:t xml:space="preserve"> </w:t>
      </w:r>
      <w:r w:rsidRPr="001569FB">
        <w:rPr>
          <w:color w:val="000000"/>
          <w:szCs w:val="24"/>
        </w:rPr>
        <w:t xml:space="preserve">sharing incurred for clinical trial services that exceed the MA plans’ in-network cost sharing for the same category of service. </w:t>
      </w:r>
      <w:r w:rsidR="00F018A9" w:rsidRPr="001569FB">
        <w:rPr>
          <w:color w:val="000000"/>
          <w:szCs w:val="24"/>
        </w:rPr>
        <w:t xml:space="preserve"> </w:t>
      </w:r>
      <w:r w:rsidRPr="001569FB">
        <w:rPr>
          <w:color w:val="000000"/>
          <w:szCs w:val="24"/>
        </w:rPr>
        <w:t xml:space="preserve">The MAO owes this difference even if the </w:t>
      </w:r>
      <w:r w:rsidR="000758A0" w:rsidRPr="001569FB">
        <w:rPr>
          <w:color w:val="000000"/>
          <w:szCs w:val="24"/>
        </w:rPr>
        <w:t>enrollee</w:t>
      </w:r>
      <w:r w:rsidRPr="001569FB">
        <w:rPr>
          <w:color w:val="000000"/>
          <w:szCs w:val="24"/>
        </w:rPr>
        <w:t xml:space="preserve"> has not yet paid the clinical trial provider. </w:t>
      </w:r>
      <w:r w:rsidR="00F018A9" w:rsidRPr="001569FB">
        <w:rPr>
          <w:color w:val="000000"/>
          <w:szCs w:val="24"/>
        </w:rPr>
        <w:t xml:space="preserve"> </w:t>
      </w:r>
      <w:r w:rsidRPr="001569FB">
        <w:rPr>
          <w:color w:val="000000"/>
          <w:szCs w:val="24"/>
        </w:rPr>
        <w:t xml:space="preserve">The </w:t>
      </w:r>
      <w:r w:rsidR="000758A0" w:rsidRPr="001569FB">
        <w:rPr>
          <w:color w:val="000000"/>
          <w:szCs w:val="24"/>
        </w:rPr>
        <w:t>enrollee’s</w:t>
      </w:r>
      <w:r w:rsidRPr="001569FB">
        <w:rPr>
          <w:color w:val="000000"/>
          <w:szCs w:val="24"/>
        </w:rPr>
        <w:t xml:space="preserve"> clinical trial cost sharing must also count towards the in-network out-o</w:t>
      </w:r>
      <w:r w:rsidR="003E07D8" w:rsidRPr="001569FB">
        <w:rPr>
          <w:color w:val="000000"/>
          <w:szCs w:val="24"/>
        </w:rPr>
        <w:t>f</w:t>
      </w:r>
      <w:r w:rsidRPr="001569FB">
        <w:rPr>
          <w:color w:val="000000"/>
          <w:szCs w:val="24"/>
        </w:rPr>
        <w:t xml:space="preserve">-pocket maximum. </w:t>
      </w:r>
      <w:r w:rsidR="00F018A9" w:rsidRPr="001569FB">
        <w:rPr>
          <w:color w:val="000000"/>
          <w:szCs w:val="24"/>
        </w:rPr>
        <w:t xml:space="preserve"> </w:t>
      </w:r>
      <w:r w:rsidRPr="001569FB">
        <w:rPr>
          <w:color w:val="000000"/>
          <w:szCs w:val="24"/>
        </w:rPr>
        <w:t>This cost</w:t>
      </w:r>
      <w:r w:rsidR="00A006E9" w:rsidRPr="001569FB">
        <w:rPr>
          <w:color w:val="000000"/>
          <w:szCs w:val="24"/>
        </w:rPr>
        <w:t>-</w:t>
      </w:r>
      <w:r w:rsidRPr="001569FB">
        <w:rPr>
          <w:color w:val="000000"/>
          <w:szCs w:val="24"/>
        </w:rPr>
        <w:t xml:space="preserve">sharing requirement applies to all qualifying clinical trials; MAOs cannot choose </w:t>
      </w:r>
      <w:r w:rsidR="00DB2A51" w:rsidRPr="001569FB">
        <w:rPr>
          <w:color w:val="000000"/>
          <w:szCs w:val="24"/>
        </w:rPr>
        <w:t>the</w:t>
      </w:r>
      <w:r w:rsidRPr="001569FB">
        <w:rPr>
          <w:color w:val="000000"/>
          <w:szCs w:val="24"/>
        </w:rPr>
        <w:t xml:space="preserve"> clinical trials or clinical trial items and services for which this policy </w:t>
      </w:r>
      <w:r w:rsidR="00147469" w:rsidRPr="001569FB">
        <w:rPr>
          <w:color w:val="000000"/>
          <w:szCs w:val="24"/>
        </w:rPr>
        <w:t xml:space="preserve">applies. </w:t>
      </w:r>
      <w:r w:rsidR="00341771" w:rsidRPr="001569FB">
        <w:rPr>
          <w:color w:val="000000"/>
          <w:szCs w:val="24"/>
        </w:rPr>
        <w:t xml:space="preserve"> </w:t>
      </w:r>
      <w:r w:rsidR="00147469" w:rsidRPr="001569FB">
        <w:rPr>
          <w:color w:val="000000"/>
          <w:szCs w:val="24"/>
        </w:rPr>
        <w:t>The</w:t>
      </w:r>
      <w:r w:rsidR="00652B60" w:rsidRPr="001569FB">
        <w:rPr>
          <w:color w:val="000000"/>
          <w:szCs w:val="24"/>
        </w:rPr>
        <w:t xml:space="preserve"> policy of requiring MAOs to pay the difference </w:t>
      </w:r>
      <w:r w:rsidR="00652B60" w:rsidRPr="001569FB">
        <w:rPr>
          <w:color w:val="000000"/>
          <w:szCs w:val="24"/>
        </w:rPr>
        <w:lastRenderedPageBreak/>
        <w:t>between original Medicare cost sharing and in-network cost sharing for clinical trial services is unchanged from 2011.</w:t>
      </w:r>
      <w:r w:rsidR="00CE35E8" w:rsidRPr="001569FB">
        <w:rPr>
          <w:color w:val="000000"/>
          <w:szCs w:val="24"/>
        </w:rPr>
        <w:t xml:space="preserve"> </w:t>
      </w:r>
    </w:p>
    <w:p w14:paraId="5760A1EE"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By requiring MAOs to provide in-network cost sharing for clinical trial services, CMS is requiring MAOs to provide MA </w:t>
      </w:r>
      <w:r w:rsidR="00441B1F" w:rsidRPr="001569FB">
        <w:rPr>
          <w:color w:val="000000"/>
          <w:szCs w:val="24"/>
        </w:rPr>
        <w:t>enrollees</w:t>
      </w:r>
      <w:r w:rsidRPr="001569FB">
        <w:rPr>
          <w:color w:val="000000"/>
          <w:szCs w:val="24"/>
        </w:rPr>
        <w:t xml:space="preserve"> with coverage for clinical trial services consistent with the coverage they have for all other </w:t>
      </w:r>
      <w:r w:rsidR="00652B60" w:rsidRPr="001569FB">
        <w:rPr>
          <w:color w:val="000000"/>
          <w:szCs w:val="24"/>
        </w:rPr>
        <w:t xml:space="preserve">similar </w:t>
      </w:r>
      <w:r w:rsidRPr="001569FB">
        <w:rPr>
          <w:color w:val="000000"/>
          <w:szCs w:val="24"/>
        </w:rPr>
        <w:t xml:space="preserve">services. </w:t>
      </w:r>
      <w:r w:rsidR="00F018A9" w:rsidRPr="001569FB">
        <w:rPr>
          <w:color w:val="000000"/>
          <w:szCs w:val="24"/>
        </w:rPr>
        <w:t xml:space="preserve"> </w:t>
      </w:r>
      <w:r w:rsidRPr="001569FB">
        <w:rPr>
          <w:color w:val="000000"/>
          <w:szCs w:val="24"/>
        </w:rPr>
        <w:t xml:space="preserve">These policies ensure that MA enrollees do not have unexpected cost sharing </w:t>
      </w:r>
      <w:r w:rsidR="00A66353" w:rsidRPr="001569FB">
        <w:rPr>
          <w:color w:val="000000"/>
          <w:szCs w:val="24"/>
        </w:rPr>
        <w:t xml:space="preserve">liability </w:t>
      </w:r>
      <w:r w:rsidRPr="001569FB">
        <w:rPr>
          <w:color w:val="000000"/>
          <w:szCs w:val="24"/>
        </w:rPr>
        <w:t xml:space="preserve">for clinical trials, as those cost sharing amounts will not be different from the cost sharing amounts applicable to in-network services of a similar kind. </w:t>
      </w:r>
    </w:p>
    <w:p w14:paraId="3131081F"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If an MAO conducts its own clinical trial, the MAO </w:t>
      </w:r>
      <w:r w:rsidR="00A66353" w:rsidRPr="001569FB">
        <w:rPr>
          <w:color w:val="000000"/>
          <w:szCs w:val="24"/>
        </w:rPr>
        <w:t xml:space="preserve">may </w:t>
      </w:r>
      <w:r w:rsidRPr="001569FB">
        <w:rPr>
          <w:color w:val="000000"/>
          <w:szCs w:val="24"/>
        </w:rPr>
        <w:t xml:space="preserve">explain to its enrollees the benefits of participating in its clinical trial; however, the MAO may not require prior authorization for participation in a Medicare-qualified clinical trial not sponsored by the </w:t>
      </w:r>
      <w:r w:rsidR="00441B1F" w:rsidRPr="001569FB">
        <w:rPr>
          <w:color w:val="000000"/>
          <w:szCs w:val="24"/>
        </w:rPr>
        <w:t>MAO</w:t>
      </w:r>
      <w:r w:rsidRPr="001569FB">
        <w:rPr>
          <w:color w:val="000000"/>
          <w:szCs w:val="24"/>
        </w:rPr>
        <w:t>, nor may it create impediments to an enrollee’s participation in a non-</w:t>
      </w:r>
      <w:r w:rsidR="00441B1F" w:rsidRPr="001569FB">
        <w:rPr>
          <w:color w:val="000000"/>
          <w:szCs w:val="24"/>
        </w:rPr>
        <w:t>MAO</w:t>
      </w:r>
      <w:r w:rsidRPr="001569FB">
        <w:rPr>
          <w:color w:val="000000"/>
          <w:szCs w:val="24"/>
        </w:rPr>
        <w:t xml:space="preserve">-sponsored clinical trial, even if the MAO believes it is sponsoring a clinical trial of a similar nature. </w:t>
      </w:r>
      <w:r w:rsidR="00F018A9" w:rsidRPr="001569FB">
        <w:rPr>
          <w:color w:val="000000"/>
          <w:szCs w:val="24"/>
        </w:rPr>
        <w:t xml:space="preserve"> </w:t>
      </w:r>
      <w:r w:rsidRPr="001569FB">
        <w:rPr>
          <w:color w:val="000000"/>
          <w:szCs w:val="24"/>
        </w:rPr>
        <w:t xml:space="preserve">However, an MAO may request, but not require, </w:t>
      </w:r>
      <w:r w:rsidR="00441B1F" w:rsidRPr="001569FB">
        <w:rPr>
          <w:color w:val="000000"/>
          <w:szCs w:val="24"/>
        </w:rPr>
        <w:t xml:space="preserve">that </w:t>
      </w:r>
      <w:r w:rsidRPr="001569FB">
        <w:rPr>
          <w:color w:val="000000"/>
          <w:szCs w:val="24"/>
        </w:rPr>
        <w:t xml:space="preserve">enrollees notify the </w:t>
      </w:r>
      <w:r w:rsidR="00441B1F" w:rsidRPr="001569FB">
        <w:rPr>
          <w:color w:val="000000"/>
          <w:szCs w:val="24"/>
        </w:rPr>
        <w:t>MAO</w:t>
      </w:r>
      <w:r w:rsidRPr="001569FB">
        <w:rPr>
          <w:color w:val="000000"/>
          <w:szCs w:val="24"/>
        </w:rPr>
        <w:t xml:space="preserve"> when they choose to participate in Medicare-qualified clinical trials. </w:t>
      </w:r>
    </w:p>
    <w:p w14:paraId="41114CE0"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In addition, clinical trial sponsors/providers are permitted to submit original Medicare “paid” clinical trial claims to MAOs on behalf of MA </w:t>
      </w:r>
      <w:r w:rsidR="000758A0" w:rsidRPr="001569FB">
        <w:rPr>
          <w:color w:val="000000"/>
          <w:szCs w:val="24"/>
        </w:rPr>
        <w:t>enrollees</w:t>
      </w:r>
      <w:r w:rsidRPr="001569FB">
        <w:rPr>
          <w:color w:val="000000"/>
          <w:szCs w:val="24"/>
        </w:rPr>
        <w:t xml:space="preserve"> in order to obtain reimbursement for the difference between original Medicare cost sharing liabilities and in-network MA cost sharing liabilities. </w:t>
      </w:r>
      <w:r w:rsidR="00F018A9" w:rsidRPr="001569FB">
        <w:rPr>
          <w:color w:val="000000"/>
          <w:szCs w:val="24"/>
        </w:rPr>
        <w:t xml:space="preserve"> </w:t>
      </w:r>
      <w:r w:rsidRPr="001569FB">
        <w:rPr>
          <w:color w:val="000000"/>
          <w:szCs w:val="24"/>
        </w:rPr>
        <w:t xml:space="preserve">A </w:t>
      </w:r>
      <w:r w:rsidR="00E327A5" w:rsidRPr="001569FB">
        <w:rPr>
          <w:color w:val="000000"/>
          <w:szCs w:val="24"/>
        </w:rPr>
        <w:t xml:space="preserve">trial </w:t>
      </w:r>
      <w:r w:rsidRPr="001569FB">
        <w:rPr>
          <w:color w:val="000000"/>
          <w:szCs w:val="24"/>
        </w:rPr>
        <w:t xml:space="preserve">sponsor/provider need only collect cost sharing from such an enrollee once both Medicare and the MAO have paid. </w:t>
      </w:r>
    </w:p>
    <w:p w14:paraId="4FBF0F61" w14:textId="0135B564" w:rsidR="001148B5" w:rsidRPr="001569FB" w:rsidRDefault="001148B5" w:rsidP="002707EC">
      <w:pPr>
        <w:pStyle w:val="ListBullet"/>
        <w:numPr>
          <w:ilvl w:val="0"/>
          <w:numId w:val="0"/>
        </w:numPr>
        <w:spacing w:before="200" w:after="200"/>
        <w:rPr>
          <w:color w:val="000000"/>
          <w:szCs w:val="24"/>
        </w:rPr>
      </w:pPr>
      <w:r w:rsidRPr="001569FB">
        <w:rPr>
          <w:color w:val="000000"/>
          <w:szCs w:val="24"/>
        </w:rPr>
        <w:t xml:space="preserve">MAOs are responsible for coverage and payment of items and services furnished in certain clinical studies that are </w:t>
      </w:r>
      <w:r w:rsidRPr="001569FB">
        <w:rPr>
          <w:i/>
          <w:color w:val="000000"/>
          <w:szCs w:val="24"/>
        </w:rPr>
        <w:t xml:space="preserve">not </w:t>
      </w:r>
      <w:r w:rsidRPr="001569FB">
        <w:rPr>
          <w:color w:val="000000"/>
          <w:szCs w:val="24"/>
        </w:rPr>
        <w:t>covered under NCD 310.1.  These include investigational device exemption (IDE) trials and studies conducted under NCDs</w:t>
      </w:r>
      <w:r w:rsidR="007F76AD" w:rsidRPr="001569FB">
        <w:rPr>
          <w:color w:val="000000"/>
          <w:szCs w:val="24"/>
        </w:rPr>
        <w:t xml:space="preserve"> (separate from NCD 310.1)</w:t>
      </w:r>
      <w:r w:rsidRPr="001569FB">
        <w:rPr>
          <w:color w:val="000000"/>
          <w:szCs w:val="24"/>
        </w:rPr>
        <w:t xml:space="preserve"> that require coverage with evidence development (CED).  </w:t>
      </w:r>
      <w:r w:rsidRPr="001569FB">
        <w:rPr>
          <w:szCs w:val="24"/>
        </w:rPr>
        <w:t xml:space="preserve">MAOs are responsible for payment of items and services in CMS-approved CED studies unless CMS determines that the significant cost threshold is exceeded for that item or service as per § 422.109.  Approved CED studies are posted on the CMS Coverage with Evidence Development webpage </w:t>
      </w:r>
      <w:r w:rsidR="00AD383C" w:rsidRPr="001569FB">
        <w:rPr>
          <w:szCs w:val="24"/>
        </w:rPr>
        <w:t xml:space="preserve">at </w:t>
      </w:r>
      <w:hyperlink r:id="rId22" w:tooltip="Hyperlink to the Coverage with Evidence Developmentn webpage on the CMS website" w:history="1">
        <w:r w:rsidR="009F12EC" w:rsidRPr="001569FB">
          <w:rPr>
            <w:rStyle w:val="Hyperlink"/>
            <w:szCs w:val="24"/>
          </w:rPr>
          <w:t>https://www.cms.gov/</w:t>
        </w:r>
        <w:r w:rsidR="00A841B3" w:rsidRPr="001569FB">
          <w:rPr>
            <w:rStyle w:val="Hyperlink"/>
            <w:szCs w:val="24"/>
          </w:rPr>
          <w:t>‌</w:t>
        </w:r>
        <w:r w:rsidR="009F12EC" w:rsidRPr="001569FB">
          <w:rPr>
            <w:rStyle w:val="Hyperlink"/>
            <w:szCs w:val="24"/>
          </w:rPr>
          <w:t>Medicare/Coverage/Coverage-with-Evidence-Development/index.html</w:t>
        </w:r>
      </w:hyperlink>
      <w:r w:rsidRPr="001569FB">
        <w:rPr>
          <w:szCs w:val="24"/>
        </w:rPr>
        <w:t>.  Billing instructions are issued for each NCD.</w:t>
      </w:r>
    </w:p>
    <w:p w14:paraId="6FBDEC8E" w14:textId="77777777" w:rsidR="00EB0285" w:rsidRPr="001569FB" w:rsidRDefault="00EB0285" w:rsidP="00203CF7">
      <w:pPr>
        <w:pStyle w:val="ListBullet"/>
        <w:numPr>
          <w:ilvl w:val="0"/>
          <w:numId w:val="0"/>
        </w:numPr>
        <w:spacing w:before="200" w:after="200"/>
        <w:rPr>
          <w:szCs w:val="24"/>
        </w:rPr>
      </w:pPr>
      <w:r w:rsidRPr="001569FB">
        <w:rPr>
          <w:color w:val="000000"/>
          <w:szCs w:val="24"/>
        </w:rPr>
        <w:t xml:space="preserve">For more information on these policies, please refer to the Medicare Managed Care Manual, </w:t>
      </w:r>
      <w:r w:rsidR="00513A7E" w:rsidRPr="001569FB">
        <w:rPr>
          <w:color w:val="000000"/>
          <w:szCs w:val="24"/>
        </w:rPr>
        <w:t xml:space="preserve">Pub. 100-16, </w:t>
      </w:r>
      <w:r w:rsidRPr="001569FB">
        <w:rPr>
          <w:color w:val="000000"/>
          <w:szCs w:val="24"/>
        </w:rPr>
        <w:t>Chapter 4 (Benefits and Beneficiary Protections), section 10.7 (Clinical Trials).</w:t>
      </w:r>
    </w:p>
    <w:p w14:paraId="6428E823" w14:textId="77777777" w:rsidR="00C62A4E" w:rsidRPr="001569FB" w:rsidRDefault="0062772D" w:rsidP="00203CF7">
      <w:pPr>
        <w:pStyle w:val="Heading2"/>
      </w:pPr>
      <w:bookmarkStart w:id="58" w:name="_Toc348432250"/>
      <w:bookmarkStart w:id="59" w:name="_Toc348432886"/>
      <w:bookmarkStart w:id="60" w:name="_Toc505253778"/>
      <w:r w:rsidRPr="001569FB">
        <w:t>Section F</w:t>
      </w:r>
      <w:r w:rsidR="00BF60A0" w:rsidRPr="001569FB">
        <w:t xml:space="preserve">.  </w:t>
      </w:r>
      <w:r w:rsidR="00D03021" w:rsidRPr="001569FB">
        <w:t xml:space="preserve">Location of Network Areas for PFFS Plans in Plan Year </w:t>
      </w:r>
      <w:bookmarkEnd w:id="58"/>
      <w:bookmarkEnd w:id="59"/>
      <w:r w:rsidR="00A91A3A" w:rsidRPr="001569FB">
        <w:t>2020</w:t>
      </w:r>
      <w:bookmarkEnd w:id="60"/>
    </w:p>
    <w:p w14:paraId="105E7DEE" w14:textId="77777777" w:rsidR="0062772D" w:rsidRPr="001569FB" w:rsidRDefault="00770D76" w:rsidP="002707EC">
      <w:pPr>
        <w:spacing w:before="200" w:after="200"/>
        <w:rPr>
          <w:rStyle w:val="StyleBlack"/>
          <w:rFonts w:ascii="Times New Roman" w:hAnsi="Times New Roman"/>
          <w:b w:val="0"/>
          <w:szCs w:val="24"/>
        </w:rPr>
      </w:pPr>
      <w:r w:rsidRPr="001569FB">
        <w:rPr>
          <w:rStyle w:val="StyleBlack"/>
          <w:rFonts w:ascii="Times New Roman" w:hAnsi="Times New Roman"/>
          <w:b w:val="0"/>
          <w:szCs w:val="24"/>
        </w:rPr>
        <w:t>Section 1852(d)</w:t>
      </w:r>
      <w:r w:rsidR="00A30A9F" w:rsidRPr="001569FB">
        <w:rPr>
          <w:rStyle w:val="StyleBlack"/>
          <w:rFonts w:ascii="Times New Roman" w:hAnsi="Times New Roman"/>
          <w:b w:val="0"/>
          <w:szCs w:val="24"/>
        </w:rPr>
        <w:t>(4)</w:t>
      </w:r>
      <w:r w:rsidRPr="001569FB">
        <w:rPr>
          <w:rStyle w:val="StyleBlack"/>
          <w:rFonts w:ascii="Times New Roman" w:hAnsi="Times New Roman"/>
          <w:b w:val="0"/>
          <w:szCs w:val="24"/>
        </w:rPr>
        <w:t xml:space="preserve"> of the Act requires MA</w:t>
      </w:r>
      <w:r w:rsidR="001148B5" w:rsidRPr="001569FB">
        <w:rPr>
          <w:rStyle w:val="StyleBlack"/>
          <w:rFonts w:ascii="Times New Roman" w:hAnsi="Times New Roman"/>
          <w:b w:val="0"/>
          <w:szCs w:val="24"/>
        </w:rPr>
        <w:t>Os</w:t>
      </w:r>
      <w:r w:rsidRPr="001569FB">
        <w:rPr>
          <w:rStyle w:val="StyleBlack"/>
          <w:rFonts w:ascii="Times New Roman" w:hAnsi="Times New Roman"/>
          <w:b w:val="0"/>
          <w:szCs w:val="24"/>
        </w:rPr>
        <w:t xml:space="preserve"> offering certain non-employer MA PFFS plans in network areas to enter into signed contracts with a sufficient number of providers to meet the access standards applicable to coordinated care plans.  Specifically, non-employer MA PFFS plans that are offered in a network area (as defined in section 1852(d)(5)(B) of the Act) must </w:t>
      </w:r>
      <w:r w:rsidRPr="001569FB">
        <w:rPr>
          <w:rStyle w:val="StyleBlack"/>
          <w:rFonts w:ascii="Times New Roman" w:hAnsi="Times New Roman"/>
          <w:b w:val="0"/>
          <w:szCs w:val="24"/>
        </w:rPr>
        <w:lastRenderedPageBreak/>
        <w:t xml:space="preserve">meet the access standards described in section 1852(d)(4)(B) through </w:t>
      </w:r>
      <w:r w:rsidR="00F43E22" w:rsidRPr="001569FB">
        <w:rPr>
          <w:rStyle w:val="StyleBlack"/>
          <w:rFonts w:ascii="Times New Roman" w:hAnsi="Times New Roman"/>
          <w:b w:val="0"/>
          <w:szCs w:val="24"/>
        </w:rPr>
        <w:t>written</w:t>
      </w:r>
      <w:r w:rsidRPr="001569FB">
        <w:rPr>
          <w:rStyle w:val="StyleBlack"/>
          <w:rFonts w:ascii="Times New Roman" w:hAnsi="Times New Roman"/>
          <w:b w:val="0"/>
          <w:szCs w:val="24"/>
        </w:rPr>
        <w:t xml:space="preserve"> contracts with providers.  These PFFS plans may not meet access standards by establishing payment rates that are </w:t>
      </w:r>
      <w:r w:rsidR="00A30A9F" w:rsidRPr="001569FB">
        <w:rPr>
          <w:rStyle w:val="StyleBlack"/>
          <w:rFonts w:ascii="Times New Roman" w:hAnsi="Times New Roman"/>
          <w:b w:val="0"/>
          <w:szCs w:val="24"/>
        </w:rPr>
        <w:t xml:space="preserve">at least </w:t>
      </w:r>
      <w:r w:rsidRPr="001569FB">
        <w:rPr>
          <w:rStyle w:val="StyleBlack"/>
          <w:rFonts w:ascii="Times New Roman" w:hAnsi="Times New Roman"/>
          <w:b w:val="0"/>
          <w:szCs w:val="24"/>
        </w:rPr>
        <w:t xml:space="preserve">the rates that apply under </w:t>
      </w:r>
      <w:r w:rsidR="001148B5" w:rsidRPr="001569FB">
        <w:rPr>
          <w:rStyle w:val="StyleBlack"/>
          <w:rFonts w:ascii="Times New Roman" w:hAnsi="Times New Roman"/>
          <w:b w:val="0"/>
          <w:szCs w:val="24"/>
        </w:rPr>
        <w:t>o</w:t>
      </w:r>
      <w:r w:rsidRPr="001569FB">
        <w:rPr>
          <w:rStyle w:val="StyleBlack"/>
          <w:rFonts w:ascii="Times New Roman" w:hAnsi="Times New Roman"/>
          <w:b w:val="0"/>
          <w:szCs w:val="24"/>
        </w:rPr>
        <w:t xml:space="preserve">riginal Medicare and having </w:t>
      </w:r>
      <w:r w:rsidRPr="001569FB">
        <w:rPr>
          <w:szCs w:val="24"/>
        </w:rPr>
        <w:t>providers</w:t>
      </w:r>
      <w:r w:rsidRPr="001569FB">
        <w:rPr>
          <w:rStyle w:val="StyleBlack"/>
          <w:rFonts w:ascii="Times New Roman" w:hAnsi="Times New Roman"/>
          <w:b w:val="0"/>
          <w:szCs w:val="24"/>
        </w:rPr>
        <w:t xml:space="preserve"> deemed to be contracted as described in </w:t>
      </w:r>
      <w:r w:rsidR="001148B5" w:rsidRPr="001569FB">
        <w:rPr>
          <w:rStyle w:val="StyleBlack"/>
          <w:rFonts w:ascii="Times New Roman" w:hAnsi="Times New Roman"/>
          <w:b w:val="0"/>
          <w:szCs w:val="24"/>
        </w:rPr>
        <w:t>§</w:t>
      </w:r>
      <w:r w:rsidR="00441B1F" w:rsidRPr="001569FB">
        <w:rPr>
          <w:rStyle w:val="StyleBlack"/>
          <w:rFonts w:ascii="Times New Roman" w:hAnsi="Times New Roman"/>
          <w:b w:val="0"/>
          <w:szCs w:val="24"/>
        </w:rPr>
        <w:t xml:space="preserve"> </w:t>
      </w:r>
      <w:r w:rsidRPr="001569FB">
        <w:rPr>
          <w:rStyle w:val="StyleBlack"/>
          <w:rFonts w:ascii="Times New Roman" w:hAnsi="Times New Roman"/>
          <w:b w:val="0"/>
          <w:szCs w:val="24"/>
        </w:rPr>
        <w:t>422.216(f).</w:t>
      </w:r>
    </w:p>
    <w:p w14:paraId="1411C691" w14:textId="4F4677C7" w:rsidR="009A6EBC" w:rsidRPr="001569FB" w:rsidRDefault="00770D76" w:rsidP="002707EC">
      <w:pPr>
        <w:spacing w:before="200" w:after="200"/>
        <w:rPr>
          <w:szCs w:val="24"/>
        </w:rPr>
      </w:pPr>
      <w:r w:rsidRPr="001569FB">
        <w:rPr>
          <w:szCs w:val="24"/>
        </w:rPr>
        <w:t xml:space="preserve">Network area is defined in section 1852(d)(5)(B) of the Act, for a given plan year, as an area that the Secretary identifies (in the announcement of the </w:t>
      </w:r>
      <w:r w:rsidR="001148B5" w:rsidRPr="001569FB">
        <w:rPr>
          <w:szCs w:val="24"/>
        </w:rPr>
        <w:t>proposed payment rates</w:t>
      </w:r>
      <w:r w:rsidRPr="001569FB">
        <w:rPr>
          <w:szCs w:val="24"/>
        </w:rPr>
        <w:t xml:space="preserve"> for the previous plan year</w:t>
      </w:r>
      <w:r w:rsidR="001148B5" w:rsidRPr="001569FB">
        <w:rPr>
          <w:szCs w:val="24"/>
        </w:rPr>
        <w:t xml:space="preserve"> under section 1853(b)(1)(B)</w:t>
      </w:r>
      <w:r w:rsidRPr="001569FB">
        <w:rPr>
          <w:szCs w:val="24"/>
        </w:rPr>
        <w:t xml:space="preserve">) as having at least 2 network-based plans (as defined in section 1852(d)(5)(C)) with enrollment as of the first day of the year in which the </w:t>
      </w:r>
      <w:r w:rsidR="00A30A9F" w:rsidRPr="001569FB">
        <w:rPr>
          <w:szCs w:val="24"/>
        </w:rPr>
        <w:t>A</w:t>
      </w:r>
      <w:r w:rsidRPr="001569FB">
        <w:rPr>
          <w:szCs w:val="24"/>
        </w:rPr>
        <w:t xml:space="preserve">nnouncement is made.  We will include a list of network areas for plan year </w:t>
      </w:r>
      <w:r w:rsidR="00B075DD" w:rsidRPr="001569FB">
        <w:rPr>
          <w:szCs w:val="24"/>
        </w:rPr>
        <w:t xml:space="preserve">2020 </w:t>
      </w:r>
      <w:r w:rsidRPr="001569FB">
        <w:rPr>
          <w:szCs w:val="24"/>
        </w:rPr>
        <w:t xml:space="preserve">in the final </w:t>
      </w:r>
      <w:r w:rsidRPr="001569FB">
        <w:rPr>
          <w:iCs/>
          <w:szCs w:val="24"/>
        </w:rPr>
        <w:t xml:space="preserve">Announcement of Calendar Year (CY) </w:t>
      </w:r>
      <w:r w:rsidR="00B075DD" w:rsidRPr="001569FB">
        <w:rPr>
          <w:iCs/>
          <w:szCs w:val="24"/>
        </w:rPr>
        <w:t xml:space="preserve">2019 </w:t>
      </w:r>
      <w:r w:rsidRPr="001569FB">
        <w:rPr>
          <w:iCs/>
          <w:szCs w:val="24"/>
        </w:rPr>
        <w:t xml:space="preserve">Medicare Advantage </w:t>
      </w:r>
      <w:r w:rsidRPr="001569FB">
        <w:rPr>
          <w:szCs w:val="24"/>
        </w:rPr>
        <w:t xml:space="preserve">Capitation Rates and Medicare Advantage and Part D Payment Policies.  We will also </w:t>
      </w:r>
      <w:r w:rsidR="00AD383C" w:rsidRPr="001569FB">
        <w:rPr>
          <w:szCs w:val="24"/>
        </w:rPr>
        <w:t xml:space="preserve">make </w:t>
      </w:r>
      <w:r w:rsidRPr="001569FB">
        <w:rPr>
          <w:szCs w:val="24"/>
        </w:rPr>
        <w:t xml:space="preserve">the list </w:t>
      </w:r>
      <w:r w:rsidR="00AD383C" w:rsidRPr="001569FB">
        <w:rPr>
          <w:szCs w:val="24"/>
        </w:rPr>
        <w:t xml:space="preserve">available </w:t>
      </w:r>
      <w:r w:rsidRPr="001569FB">
        <w:rPr>
          <w:szCs w:val="24"/>
        </w:rPr>
        <w:t xml:space="preserve">on the CMS website at </w:t>
      </w:r>
      <w:hyperlink r:id="rId23" w:tooltip="Hyperlink to the PFFS Plan Network Requirements webpage on the CMS website" w:history="1">
        <w:r w:rsidR="00D96489" w:rsidRPr="001569FB">
          <w:rPr>
            <w:rStyle w:val="Hyperlink"/>
            <w:szCs w:val="24"/>
          </w:rPr>
          <w:t>https://www.cms.gov/Medicare/Health-Plans/​PrivateFeeforServicePlans/​NetworkRequirements.html</w:t>
        </w:r>
      </w:hyperlink>
      <w:r w:rsidRPr="001569FB">
        <w:rPr>
          <w:szCs w:val="24"/>
        </w:rPr>
        <w:t xml:space="preserve">.  We will use </w:t>
      </w:r>
      <w:r w:rsidR="006A2D01" w:rsidRPr="001569FB">
        <w:rPr>
          <w:szCs w:val="24"/>
        </w:rPr>
        <w:t xml:space="preserve">January 1, </w:t>
      </w:r>
      <w:r w:rsidR="00B075DD" w:rsidRPr="001569FB">
        <w:rPr>
          <w:szCs w:val="24"/>
        </w:rPr>
        <w:t xml:space="preserve">2018 </w:t>
      </w:r>
      <w:r w:rsidRPr="001569FB">
        <w:rPr>
          <w:szCs w:val="24"/>
        </w:rPr>
        <w:t xml:space="preserve">enrollment data to identify the location of network areas for plan year </w:t>
      </w:r>
      <w:r w:rsidR="00B075DD" w:rsidRPr="001569FB">
        <w:rPr>
          <w:szCs w:val="24"/>
        </w:rPr>
        <w:t>2020</w:t>
      </w:r>
      <w:r w:rsidRPr="001569FB">
        <w:rPr>
          <w:szCs w:val="24"/>
        </w:rPr>
        <w:t>.</w:t>
      </w:r>
    </w:p>
    <w:p w14:paraId="08FB5782" w14:textId="77777777" w:rsidR="000E5AFF" w:rsidRPr="001569FB" w:rsidRDefault="00810145" w:rsidP="000E5AFF">
      <w:pPr>
        <w:pStyle w:val="Heading2"/>
      </w:pPr>
      <w:bookmarkStart w:id="61" w:name="_Toc347998383"/>
      <w:bookmarkStart w:id="62" w:name="_Toc348354702"/>
      <w:bookmarkStart w:id="63" w:name="_Toc348363882"/>
      <w:bookmarkStart w:id="64" w:name="_Toc348364251"/>
      <w:bookmarkStart w:id="65" w:name="_Toc348364300"/>
      <w:bookmarkStart w:id="66" w:name="_Toc348421979"/>
      <w:bookmarkStart w:id="67" w:name="_Toc348422095"/>
      <w:bookmarkStart w:id="68" w:name="_Toc348422166"/>
      <w:bookmarkStart w:id="69" w:name="_Toc348423628"/>
      <w:bookmarkStart w:id="70" w:name="_Toc348432095"/>
      <w:bookmarkStart w:id="71" w:name="_Toc348432252"/>
      <w:bookmarkStart w:id="72" w:name="_Toc348432327"/>
      <w:bookmarkStart w:id="73" w:name="_Toc348432807"/>
      <w:bookmarkStart w:id="74" w:name="_Toc348432888"/>
      <w:bookmarkStart w:id="75" w:name="_Toc348433339"/>
      <w:bookmarkStart w:id="76" w:name="_Toc347998384"/>
      <w:bookmarkStart w:id="77" w:name="_Toc348354703"/>
      <w:bookmarkStart w:id="78" w:name="_Toc348363883"/>
      <w:bookmarkStart w:id="79" w:name="_Toc348364252"/>
      <w:bookmarkStart w:id="80" w:name="_Toc348364301"/>
      <w:bookmarkStart w:id="81" w:name="_Toc348421980"/>
      <w:bookmarkStart w:id="82" w:name="_Toc348422096"/>
      <w:bookmarkStart w:id="83" w:name="_Toc348422167"/>
      <w:bookmarkStart w:id="84" w:name="_Toc348423629"/>
      <w:bookmarkStart w:id="85" w:name="_Toc348432096"/>
      <w:bookmarkStart w:id="86" w:name="_Toc348432253"/>
      <w:bookmarkStart w:id="87" w:name="_Toc348432328"/>
      <w:bookmarkStart w:id="88" w:name="_Toc348432808"/>
      <w:bookmarkStart w:id="89" w:name="_Toc348432889"/>
      <w:bookmarkStart w:id="90" w:name="_Toc348433340"/>
      <w:bookmarkStart w:id="91" w:name="_Toc347998385"/>
      <w:bookmarkStart w:id="92" w:name="_Toc348354704"/>
      <w:bookmarkStart w:id="93" w:name="_Toc348363884"/>
      <w:bookmarkStart w:id="94" w:name="_Toc348364253"/>
      <w:bookmarkStart w:id="95" w:name="_Toc348364302"/>
      <w:bookmarkStart w:id="96" w:name="_Toc348421981"/>
      <w:bookmarkStart w:id="97" w:name="_Toc348422097"/>
      <w:bookmarkStart w:id="98" w:name="_Toc348422168"/>
      <w:bookmarkStart w:id="99" w:name="_Toc348423630"/>
      <w:bookmarkStart w:id="100" w:name="_Toc348432097"/>
      <w:bookmarkStart w:id="101" w:name="_Toc348432254"/>
      <w:bookmarkStart w:id="102" w:name="_Toc348432329"/>
      <w:bookmarkStart w:id="103" w:name="_Toc348432809"/>
      <w:bookmarkStart w:id="104" w:name="_Toc348432890"/>
      <w:bookmarkStart w:id="105" w:name="_Toc348433341"/>
      <w:bookmarkStart w:id="106" w:name="_Toc347998386"/>
      <w:bookmarkStart w:id="107" w:name="_Toc348354705"/>
      <w:bookmarkStart w:id="108" w:name="_Toc348363885"/>
      <w:bookmarkStart w:id="109" w:name="_Toc348364254"/>
      <w:bookmarkStart w:id="110" w:name="_Toc348364303"/>
      <w:bookmarkStart w:id="111" w:name="_Toc348421982"/>
      <w:bookmarkStart w:id="112" w:name="_Toc348422098"/>
      <w:bookmarkStart w:id="113" w:name="_Toc348422169"/>
      <w:bookmarkStart w:id="114" w:name="_Toc348423631"/>
      <w:bookmarkStart w:id="115" w:name="_Toc348432098"/>
      <w:bookmarkStart w:id="116" w:name="_Toc348432255"/>
      <w:bookmarkStart w:id="117" w:name="_Toc348432330"/>
      <w:bookmarkStart w:id="118" w:name="_Toc348432810"/>
      <w:bookmarkStart w:id="119" w:name="_Toc348432891"/>
      <w:bookmarkStart w:id="120" w:name="_Toc348433342"/>
      <w:bookmarkStart w:id="121" w:name="_Toc347998387"/>
      <w:bookmarkStart w:id="122" w:name="_Toc348354706"/>
      <w:bookmarkStart w:id="123" w:name="_Toc348363886"/>
      <w:bookmarkStart w:id="124" w:name="_Toc348364255"/>
      <w:bookmarkStart w:id="125" w:name="_Toc348364304"/>
      <w:bookmarkStart w:id="126" w:name="_Toc348421983"/>
      <w:bookmarkStart w:id="127" w:name="_Toc348422099"/>
      <w:bookmarkStart w:id="128" w:name="_Toc348422170"/>
      <w:bookmarkStart w:id="129" w:name="_Toc348423632"/>
      <w:bookmarkStart w:id="130" w:name="_Toc348432099"/>
      <w:bookmarkStart w:id="131" w:name="_Toc348432256"/>
      <w:bookmarkStart w:id="132" w:name="_Toc348432331"/>
      <w:bookmarkStart w:id="133" w:name="_Toc348432811"/>
      <w:bookmarkStart w:id="134" w:name="_Toc348432892"/>
      <w:bookmarkStart w:id="135" w:name="_Toc348433343"/>
      <w:bookmarkStart w:id="136" w:name="_Toc347998388"/>
      <w:bookmarkStart w:id="137" w:name="_Toc348354707"/>
      <w:bookmarkStart w:id="138" w:name="_Toc348363887"/>
      <w:bookmarkStart w:id="139" w:name="_Toc348364256"/>
      <w:bookmarkStart w:id="140" w:name="_Toc348364305"/>
      <w:bookmarkStart w:id="141" w:name="_Toc348421984"/>
      <w:bookmarkStart w:id="142" w:name="_Toc348422100"/>
      <w:bookmarkStart w:id="143" w:name="_Toc348422171"/>
      <w:bookmarkStart w:id="144" w:name="_Toc348423633"/>
      <w:bookmarkStart w:id="145" w:name="_Toc348432100"/>
      <w:bookmarkStart w:id="146" w:name="_Toc348432257"/>
      <w:bookmarkStart w:id="147" w:name="_Toc348432332"/>
      <w:bookmarkStart w:id="148" w:name="_Toc348432812"/>
      <w:bookmarkStart w:id="149" w:name="_Toc348432893"/>
      <w:bookmarkStart w:id="150" w:name="_Toc348433344"/>
      <w:bookmarkStart w:id="151" w:name="_Toc347998389"/>
      <w:bookmarkStart w:id="152" w:name="_Toc348354708"/>
      <w:bookmarkStart w:id="153" w:name="_Toc348363888"/>
      <w:bookmarkStart w:id="154" w:name="_Toc348364257"/>
      <w:bookmarkStart w:id="155" w:name="_Toc348364306"/>
      <w:bookmarkStart w:id="156" w:name="_Toc348421985"/>
      <w:bookmarkStart w:id="157" w:name="_Toc348422101"/>
      <w:bookmarkStart w:id="158" w:name="_Toc348422172"/>
      <w:bookmarkStart w:id="159" w:name="_Toc348423634"/>
      <w:bookmarkStart w:id="160" w:name="_Toc348432101"/>
      <w:bookmarkStart w:id="161" w:name="_Toc348432258"/>
      <w:bookmarkStart w:id="162" w:name="_Toc348432333"/>
      <w:bookmarkStart w:id="163" w:name="_Toc348432813"/>
      <w:bookmarkStart w:id="164" w:name="_Toc348432894"/>
      <w:bookmarkStart w:id="165" w:name="_Toc348433345"/>
      <w:bookmarkStart w:id="166" w:name="_Toc347998390"/>
      <w:bookmarkStart w:id="167" w:name="_Toc348354709"/>
      <w:bookmarkStart w:id="168" w:name="_Toc348363889"/>
      <w:bookmarkStart w:id="169" w:name="_Toc348364258"/>
      <w:bookmarkStart w:id="170" w:name="_Toc348364307"/>
      <w:bookmarkStart w:id="171" w:name="_Toc348421986"/>
      <w:bookmarkStart w:id="172" w:name="_Toc348422102"/>
      <w:bookmarkStart w:id="173" w:name="_Toc348422173"/>
      <w:bookmarkStart w:id="174" w:name="_Toc348423635"/>
      <w:bookmarkStart w:id="175" w:name="_Toc348432102"/>
      <w:bookmarkStart w:id="176" w:name="_Toc348432259"/>
      <w:bookmarkStart w:id="177" w:name="_Toc348432334"/>
      <w:bookmarkStart w:id="178" w:name="_Toc348432814"/>
      <w:bookmarkStart w:id="179" w:name="_Toc348432895"/>
      <w:bookmarkStart w:id="180" w:name="_Toc348433346"/>
      <w:bookmarkStart w:id="181" w:name="_Toc347998391"/>
      <w:bookmarkStart w:id="182" w:name="_Toc348354710"/>
      <w:bookmarkStart w:id="183" w:name="_Toc348363890"/>
      <w:bookmarkStart w:id="184" w:name="_Toc348364259"/>
      <w:bookmarkStart w:id="185" w:name="_Toc348364308"/>
      <w:bookmarkStart w:id="186" w:name="_Toc348421987"/>
      <w:bookmarkStart w:id="187" w:name="_Toc348422103"/>
      <w:bookmarkStart w:id="188" w:name="_Toc348422174"/>
      <w:bookmarkStart w:id="189" w:name="_Toc348423636"/>
      <w:bookmarkStart w:id="190" w:name="_Toc348432103"/>
      <w:bookmarkStart w:id="191" w:name="_Toc348432260"/>
      <w:bookmarkStart w:id="192" w:name="_Toc348432335"/>
      <w:bookmarkStart w:id="193" w:name="_Toc348432815"/>
      <w:bookmarkStart w:id="194" w:name="_Toc348432896"/>
      <w:bookmarkStart w:id="195" w:name="_Toc348433347"/>
      <w:bookmarkStart w:id="196" w:name="_Toc347998392"/>
      <w:bookmarkStart w:id="197" w:name="_Toc348354711"/>
      <w:bookmarkStart w:id="198" w:name="_Toc348363891"/>
      <w:bookmarkStart w:id="199" w:name="_Toc348364260"/>
      <w:bookmarkStart w:id="200" w:name="_Toc348364309"/>
      <w:bookmarkStart w:id="201" w:name="_Toc348421988"/>
      <w:bookmarkStart w:id="202" w:name="_Toc348422104"/>
      <w:bookmarkStart w:id="203" w:name="_Toc348422175"/>
      <w:bookmarkStart w:id="204" w:name="_Toc348423637"/>
      <w:bookmarkStart w:id="205" w:name="_Toc348432104"/>
      <w:bookmarkStart w:id="206" w:name="_Toc348432261"/>
      <w:bookmarkStart w:id="207" w:name="_Toc348432336"/>
      <w:bookmarkStart w:id="208" w:name="_Toc348432816"/>
      <w:bookmarkStart w:id="209" w:name="_Toc348432897"/>
      <w:bookmarkStart w:id="210" w:name="_Toc348433348"/>
      <w:bookmarkStart w:id="211" w:name="_Toc505253779"/>
      <w:bookmarkStart w:id="212" w:name="_Toc348432262"/>
      <w:bookmarkStart w:id="213" w:name="_Toc348432898"/>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Pr="001569FB">
        <w:t>Section G.  MA Employer Group Waiver Plans</w:t>
      </w:r>
      <w:bookmarkEnd w:id="211"/>
    </w:p>
    <w:p w14:paraId="2D58DDDC" w14:textId="5F8D4F63" w:rsidR="00300D0F" w:rsidRPr="001569FB" w:rsidRDefault="00F55A5C" w:rsidP="002707EC">
      <w:pPr>
        <w:pStyle w:val="Paragraph12ptBeforeAfter"/>
        <w:spacing w:before="200" w:after="200"/>
      </w:pPr>
      <w:r w:rsidRPr="001569FB">
        <w:t xml:space="preserve">We </w:t>
      </w:r>
      <w:r w:rsidR="00A30A9F" w:rsidRPr="001569FB">
        <w:t>intend</w:t>
      </w:r>
      <w:r w:rsidRPr="001569FB">
        <w:t xml:space="preserve"> to continue to waive the Bid Pricing Tool bidding requirements for all MA employer/union-only group waiver plans (EGWPs) for 201</w:t>
      </w:r>
      <w:r w:rsidR="003F0922" w:rsidRPr="001569FB">
        <w:t>9</w:t>
      </w:r>
      <w:r w:rsidRPr="001569FB">
        <w:t xml:space="preserve">.  CMS </w:t>
      </w:r>
      <w:r w:rsidR="006C1EC0" w:rsidRPr="001569FB">
        <w:t>proposes</w:t>
      </w:r>
      <w:r w:rsidRPr="001569FB">
        <w:t>, as a condition of the waiver of the bidding requirements and the waivers otherwise provided to EGWPs, to establish payment amounts as described herein.</w:t>
      </w:r>
      <w:r w:rsidR="00D74917" w:rsidRPr="001569FB">
        <w:t xml:space="preserve"> </w:t>
      </w:r>
      <w:r w:rsidRPr="001569FB">
        <w:t xml:space="preserve"> As in 2017 and 2018</w:t>
      </w:r>
      <w:r w:rsidR="003F0922" w:rsidRPr="001569FB">
        <w:t>,</w:t>
      </w:r>
      <w:r w:rsidRPr="001569FB">
        <w:t xml:space="preserve"> for 2019</w:t>
      </w:r>
      <w:r w:rsidR="00E23151" w:rsidRPr="001569FB">
        <w:t>,</w:t>
      </w:r>
      <w:r w:rsidRPr="001569FB">
        <w:t xml:space="preserve"> Part C entities offering employer/union-only group waiver plans would not be required to submit Part C bid pricing information in the Part C bid pricing tool. </w:t>
      </w:r>
      <w:r w:rsidR="00D74917" w:rsidRPr="001569FB">
        <w:t xml:space="preserve"> </w:t>
      </w:r>
      <w:r w:rsidRPr="001569FB">
        <w:t xml:space="preserve">CMS has authority under section 1857(i) of the Act to waive or modify requirements that hinder the design of, the offering of, or the enrollment in employment-based Medicare plans offered by employers and unions to their members. </w:t>
      </w:r>
      <w:r w:rsidR="00F971BF" w:rsidRPr="001569FB">
        <w:t xml:space="preserve"> </w:t>
      </w:r>
      <w:r w:rsidRPr="001569FB">
        <w:t xml:space="preserve">CMS believes that waiving the requirement to submit 2019 Part C bid pricing information will facilitate the offering of Part C plans for employers and unions seeking to establish high quality coverage for their Medicare eligible retirees by avoiding the cost and administrative burden of submitting the complex bids required from non-EGWPs.  We refer the reader to the detailed discussion of our rationale and responses to commenters’ questions in the CY 2017 Rate Announcement, Attachment III, Section F (pages 27-44) for additional information, and to responses to questions received by the Office of the Actuary, </w:t>
      </w:r>
      <w:hyperlink r:id="rId24" w:tooltip="Hyperlink to access Actuarial Bid Questions on the CMS website" w:history="1">
        <w:r w:rsidRPr="001569FB">
          <w:rPr>
            <w:rStyle w:val="Hyperlink"/>
          </w:rPr>
          <w:t>https://www.cms.gov/Medicare/Health-Plans/​MedicareAdvtgSpecRateStats/​ActuarialBidQuestions.html</w:t>
        </w:r>
      </w:hyperlink>
      <w:r w:rsidRPr="001569FB">
        <w:t xml:space="preserve">.  </w:t>
      </w:r>
    </w:p>
    <w:p w14:paraId="45440D46" w14:textId="717596A3" w:rsidR="00F55A5C" w:rsidRPr="001569FB" w:rsidRDefault="00F55A5C" w:rsidP="002707EC">
      <w:pPr>
        <w:pStyle w:val="Paragraph12ptBeforeAfter"/>
        <w:spacing w:before="200" w:after="200"/>
        <w:rPr>
          <w:b/>
        </w:rPr>
      </w:pPr>
      <w:r w:rsidRPr="001569FB">
        <w:t xml:space="preserve">In connection with </w:t>
      </w:r>
      <w:r w:rsidR="00187286" w:rsidRPr="001569FB">
        <w:t xml:space="preserve">the continuation of this </w:t>
      </w:r>
      <w:r w:rsidRPr="001569FB">
        <w:t xml:space="preserve">waiver, for 2019 CMS is proposing </w:t>
      </w:r>
      <w:r w:rsidR="00711A8A" w:rsidRPr="001569FB">
        <w:t xml:space="preserve">to fully transition in 2019 to using only individual market plan bids to calculate the bid-to-benchmark </w:t>
      </w:r>
      <w:r w:rsidR="004B6B5F" w:rsidRPr="001569FB">
        <w:t xml:space="preserve">(B2B) </w:t>
      </w:r>
      <w:r w:rsidR="00711A8A" w:rsidRPr="001569FB">
        <w:t>ratios to set EGWP payments, as initially discussed in the 2017 Advance Notice and Rate Announcement</w:t>
      </w:r>
      <w:r w:rsidR="00BF30D4" w:rsidRPr="001569FB">
        <w:t>.</w:t>
      </w:r>
      <w:r w:rsidR="00E32079" w:rsidRPr="001569FB">
        <w:t xml:space="preserve">  The completion of this transition was initially contemplated for implementation in 2018, but was delayed for the reasons articulated in the 2018 Rate Announcement.  We are </w:t>
      </w:r>
      <w:r w:rsidR="00801A0C" w:rsidRPr="001569FB">
        <w:t xml:space="preserve">now </w:t>
      </w:r>
      <w:r w:rsidR="00E32079" w:rsidRPr="001569FB">
        <w:t>proposing to complete this transition</w:t>
      </w:r>
      <w:r w:rsidR="00703F94" w:rsidRPr="001569FB">
        <w:t xml:space="preserve"> </w:t>
      </w:r>
      <w:r w:rsidR="001C3537" w:rsidRPr="001569FB">
        <w:t>for 2019</w:t>
      </w:r>
      <w:r w:rsidR="00711A8A" w:rsidRPr="001569FB">
        <w:t>.</w:t>
      </w:r>
      <w:r w:rsidR="00F971BF" w:rsidRPr="001569FB">
        <w:t xml:space="preserve"> </w:t>
      </w:r>
      <w:r w:rsidR="00711A8A" w:rsidRPr="001569FB">
        <w:t xml:space="preserve"> T</w:t>
      </w:r>
      <w:r w:rsidRPr="001569FB">
        <w:t xml:space="preserve">he payment policy </w:t>
      </w:r>
      <w:r w:rsidR="00711A8A" w:rsidRPr="001569FB">
        <w:t xml:space="preserve">described in more detail </w:t>
      </w:r>
      <w:r w:rsidR="00711A8A" w:rsidRPr="001569FB">
        <w:lastRenderedPageBreak/>
        <w:t xml:space="preserve">below </w:t>
      </w:r>
      <w:r w:rsidRPr="001569FB">
        <w:t xml:space="preserve">for EGWPs </w:t>
      </w:r>
      <w:r w:rsidR="00711A8A" w:rsidRPr="001569FB">
        <w:t xml:space="preserve">is being </w:t>
      </w:r>
      <w:r w:rsidR="00E32079" w:rsidRPr="001569FB">
        <w:t xml:space="preserve">proposed for implementation </w:t>
      </w:r>
      <w:r w:rsidR="00E25B60" w:rsidRPr="001569FB">
        <w:t xml:space="preserve">for 2019 </w:t>
      </w:r>
      <w:r w:rsidR="00A30A9F" w:rsidRPr="001569FB">
        <w:t>in connection with t</w:t>
      </w:r>
      <w:r w:rsidRPr="001569FB">
        <w:t>he waiver of submission of bid pricing information.</w:t>
      </w:r>
    </w:p>
    <w:p w14:paraId="5EBE13CA" w14:textId="4720E8DF" w:rsidR="00F55A5C" w:rsidRPr="001569FB" w:rsidRDefault="00F55A5C" w:rsidP="002707EC">
      <w:pPr>
        <w:spacing w:before="200" w:after="200"/>
        <w:rPr>
          <w:szCs w:val="24"/>
        </w:rPr>
      </w:pPr>
      <w:r w:rsidRPr="001569FB">
        <w:rPr>
          <w:szCs w:val="24"/>
        </w:rPr>
        <w:t xml:space="preserve">First, </w:t>
      </w:r>
      <w:r w:rsidR="004B6B5F" w:rsidRPr="001569FB">
        <w:rPr>
          <w:szCs w:val="24"/>
        </w:rPr>
        <w:t xml:space="preserve">for 2019, </w:t>
      </w:r>
      <w:r w:rsidRPr="001569FB">
        <w:rPr>
          <w:szCs w:val="24"/>
        </w:rPr>
        <w:t xml:space="preserve">we will use the average </w:t>
      </w:r>
      <w:r w:rsidR="004B6B5F" w:rsidRPr="001569FB">
        <w:rPr>
          <w:szCs w:val="24"/>
        </w:rPr>
        <w:t>B2B</w:t>
      </w:r>
      <w:r w:rsidRPr="001569FB">
        <w:rPr>
          <w:szCs w:val="24"/>
        </w:rPr>
        <w:t xml:space="preserve"> ratio for individual market plan bids, including RPPOs, from the prior payment year (2018) to calculate the 2019 Part C base payment amounts for EGWPs</w:t>
      </w:r>
      <w:r w:rsidR="004B6B5F" w:rsidRPr="001569FB">
        <w:rPr>
          <w:szCs w:val="24"/>
        </w:rPr>
        <w:t xml:space="preserve"> by quartile</w:t>
      </w:r>
      <w:r w:rsidR="004B6B5F" w:rsidRPr="001569FB">
        <w:rPr>
          <w:rStyle w:val="FootnoteReference"/>
          <w:szCs w:val="24"/>
        </w:rPr>
        <w:footnoteReference w:id="3"/>
      </w:r>
      <w:r w:rsidRPr="001569FB">
        <w:rPr>
          <w:szCs w:val="24"/>
        </w:rPr>
        <w:t xml:space="preserve">. </w:t>
      </w:r>
    </w:p>
    <w:p w14:paraId="6C7B2E7A" w14:textId="3E798F41" w:rsidR="002B0BCB" w:rsidRPr="001569FB" w:rsidRDefault="00F55A5C" w:rsidP="002707EC">
      <w:pPr>
        <w:spacing w:before="200" w:after="200"/>
        <w:rPr>
          <w:szCs w:val="24"/>
        </w:rPr>
      </w:pPr>
      <w:r w:rsidRPr="001569FB">
        <w:rPr>
          <w:szCs w:val="24"/>
        </w:rPr>
        <w:t xml:space="preserve"> </w:t>
      </w:r>
      <w:r w:rsidR="00A30A9F" w:rsidRPr="001569FB">
        <w:rPr>
          <w:szCs w:val="24"/>
        </w:rPr>
        <w:t xml:space="preserve"> </w:t>
      </w:r>
      <w:r w:rsidR="002B0BCB" w:rsidRPr="001569FB">
        <w:rPr>
          <w:szCs w:val="24"/>
        </w:rPr>
        <w:t xml:space="preserve">The calculations for the ratios will therefore be as follows: </w:t>
      </w:r>
    </w:p>
    <w:p w14:paraId="05EFF9A4" w14:textId="587980C9" w:rsidR="002B0BCB" w:rsidRPr="001569FB" w:rsidRDefault="00CC3759" w:rsidP="00E5152E">
      <w:pPr>
        <w:autoSpaceDE w:val="0"/>
        <w:autoSpaceDN w:val="0"/>
        <w:adjustRightInd w:val="0"/>
        <w:spacing w:line="240" w:lineRule="auto"/>
        <w:ind w:left="720"/>
        <w:rPr>
          <w:color w:val="000000"/>
          <w:szCs w:val="24"/>
        </w:rPr>
      </w:pPr>
      <w:r w:rsidRPr="001569FB">
        <w:rPr>
          <w:color w:val="000000"/>
          <w:szCs w:val="24"/>
        </w:rPr>
        <w:t xml:space="preserve">First: </w:t>
      </w:r>
      <w:r w:rsidR="002B0BCB" w:rsidRPr="001569FB">
        <w:rPr>
          <w:color w:val="000000"/>
          <w:szCs w:val="24"/>
        </w:rPr>
        <w:t>[(weighted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w:t>
      </w:r>
      <w:r w:rsidR="00533A89" w:rsidRPr="001569FB">
        <w:rPr>
          <w:color w:val="000000"/>
          <w:szCs w:val="24"/>
        </w:rPr>
        <w:t xml:space="preserve"> (percentage by quartile)</w:t>
      </w:r>
      <w:r w:rsidR="00F971BF" w:rsidRPr="001569FB">
        <w:rPr>
          <w:color w:val="000000"/>
          <w:szCs w:val="24"/>
        </w:rPr>
        <w:t>.</w:t>
      </w:r>
    </w:p>
    <w:p w14:paraId="1A7A613C" w14:textId="01D6B90C" w:rsidR="00F55A5C" w:rsidRPr="001569FB" w:rsidRDefault="00F55A5C" w:rsidP="002707EC">
      <w:pPr>
        <w:pStyle w:val="Paragraph12ptBeforeAfter"/>
        <w:spacing w:before="200" w:after="200"/>
        <w:ind w:left="720"/>
      </w:pPr>
      <w:r w:rsidRPr="001569FB">
        <w:t>The bid-to-benchmark ratios used for 2019 payment will be announced in the 2019 Rate Announcement, calculated using February 201</w:t>
      </w:r>
      <w:r w:rsidR="002B0BCB" w:rsidRPr="001569FB">
        <w:t>8</w:t>
      </w:r>
      <w:r w:rsidRPr="001569FB">
        <w:t xml:space="preserve"> enrollment. </w:t>
      </w:r>
    </w:p>
    <w:p w14:paraId="63F108B8" w14:textId="003E6BCF" w:rsidR="0017673A" w:rsidRPr="001569FB" w:rsidRDefault="00533A89" w:rsidP="002707EC">
      <w:pPr>
        <w:pStyle w:val="Paragraph12ptBeforeAfter"/>
        <w:spacing w:before="200" w:after="200"/>
      </w:pPr>
      <w:r w:rsidRPr="001569FB">
        <w:t>Second</w:t>
      </w:r>
      <w:r w:rsidR="0017673A" w:rsidRPr="001569FB">
        <w:t xml:space="preserve">, as in 2017 and 2018: </w:t>
      </w:r>
    </w:p>
    <w:p w14:paraId="30E87773"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B2B ratios are applied to each of the published 5%, 3.5%, and 0% bonus county ratebook rates for the payment year to establish Part C base payment amounts for EGWPs based on their star rating for each county. </w:t>
      </w:r>
    </w:p>
    <w:p w14:paraId="613B533D"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In order to calculate a county rebate payment, each county level EGWP Part C base payment amount is compared to the corresponding published 5%, 3.5% and 0% bonus county benchmarks for the payment year (2019), which include adjustments for qualifying counties, to determine the amount of savings. </w:t>
      </w:r>
      <w:r w:rsidR="00D93DCF" w:rsidRPr="001569FB">
        <w:rPr>
          <w:rFonts w:ascii="Times New Roman" w:hAnsi="Times New Roman"/>
        </w:rPr>
        <w:t xml:space="preserve"> </w:t>
      </w:r>
      <w:r w:rsidRPr="001569FB">
        <w:rPr>
          <w:rFonts w:ascii="Times New Roman" w:hAnsi="Times New Roman"/>
        </w:rPr>
        <w:t xml:space="preserve">The savings amount is multiplied by the corresponding rebate percentage to determine the Part C EGWP county level rebate amount. </w:t>
      </w:r>
    </w:p>
    <w:p w14:paraId="3BF52A8B"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EGWP Part C base payment amount is added to the Part C EGWP rebate amount to establish the county level local EGWP total payment amount. </w:t>
      </w:r>
    </w:p>
    <w:p w14:paraId="476DF91A" w14:textId="77777777" w:rsidR="0017673A" w:rsidRPr="001569FB" w:rsidRDefault="00D662F0" w:rsidP="00AC78D9">
      <w:pPr>
        <w:pStyle w:val="Default"/>
        <w:numPr>
          <w:ilvl w:val="0"/>
          <w:numId w:val="20"/>
        </w:numPr>
        <w:spacing w:before="120"/>
        <w:ind w:left="720"/>
        <w:rPr>
          <w:rFonts w:ascii="Times New Roman" w:hAnsi="Times New Roman"/>
        </w:rPr>
      </w:pPr>
      <w:r w:rsidRPr="001569FB">
        <w:rPr>
          <w:rFonts w:ascii="Times New Roman" w:hAnsi="Times New Roman"/>
        </w:rPr>
        <w:t xml:space="preserve">The total payment amount will be risk adjusted in payment using beneficiary-specific risk scores. </w:t>
      </w:r>
      <w:r w:rsidR="00D93DCF" w:rsidRPr="001569FB">
        <w:rPr>
          <w:rFonts w:ascii="Times New Roman" w:hAnsi="Times New Roman"/>
        </w:rPr>
        <w:t xml:space="preserve"> </w:t>
      </w:r>
      <w:r w:rsidRPr="001569FB">
        <w:rPr>
          <w:rFonts w:ascii="Times New Roman" w:hAnsi="Times New Roman"/>
        </w:rPr>
        <w:t xml:space="preserve">Therefore, the formula applied for local EGWP payment </w:t>
      </w:r>
      <w:r w:rsidR="00231FEE" w:rsidRPr="001569FB">
        <w:rPr>
          <w:rFonts w:ascii="Times New Roman" w:hAnsi="Times New Roman"/>
        </w:rPr>
        <w:t xml:space="preserve">on a per beneficiary basis </w:t>
      </w:r>
      <w:r w:rsidRPr="001569FB">
        <w:rPr>
          <w:rFonts w:ascii="Times New Roman" w:hAnsi="Times New Roman"/>
        </w:rPr>
        <w:t>will be: (base county payment rate + county rebate) × beneficiary level risk score.</w:t>
      </w:r>
    </w:p>
    <w:p w14:paraId="60FA35C8" w14:textId="75BA993F"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 xml:space="preserve">For RPPO EGWPs, the weighted average </w:t>
      </w:r>
      <w:r w:rsidR="00533A89" w:rsidRPr="001569FB">
        <w:rPr>
          <w:rFonts w:ascii="Times New Roman" w:hAnsi="Times New Roman"/>
        </w:rPr>
        <w:t>B2B</w:t>
      </w:r>
      <w:r w:rsidRPr="001569FB">
        <w:rPr>
          <w:rFonts w:ascii="Times New Roman" w:hAnsi="Times New Roman"/>
        </w:rPr>
        <w:t xml:space="preserve"> ratios will be calculated as described above. </w:t>
      </w:r>
      <w:r w:rsidR="00D93DCF" w:rsidRPr="001569FB">
        <w:rPr>
          <w:rFonts w:ascii="Times New Roman" w:hAnsi="Times New Roman"/>
        </w:rPr>
        <w:t xml:space="preserve"> </w:t>
      </w:r>
      <w:r w:rsidRPr="001569FB">
        <w:rPr>
          <w:rFonts w:ascii="Times New Roman" w:hAnsi="Times New Roman"/>
        </w:rPr>
        <w:t>To establish the Part C base RPPO EGWP payment amount, we will then also apply the same methodology as described above.</w:t>
      </w:r>
    </w:p>
    <w:p w14:paraId="79EE239A"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In order to calculate the RPPO EGWP rebate amounts, these percentages will be applied for each county within a region to the published payment year regional benchmarks to establish the savings amount and rebate amounts by star rating and quartile. </w:t>
      </w:r>
    </w:p>
    <w:p w14:paraId="3FD8C501" w14:textId="22CC5225"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The RPPO EGWP Payment Formula is (Base County Payment Rate + Regional Rebate) </w:t>
      </w:r>
      <w:r w:rsidR="00A841B3" w:rsidRPr="001569FB">
        <w:rPr>
          <w:rFonts w:ascii="Times New Roman" w:hAnsi="Times New Roman"/>
        </w:rPr>
        <w:t>×</w:t>
      </w:r>
      <w:r w:rsidRPr="001569FB">
        <w:rPr>
          <w:rFonts w:ascii="Times New Roman" w:hAnsi="Times New Roman"/>
        </w:rPr>
        <w:t xml:space="preserve"> beneficiary level risk score where each is calculated as follows: </w:t>
      </w:r>
    </w:p>
    <w:p w14:paraId="7A0A8D27" w14:textId="77777777"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Base County Payment Rate = Bid to Benchmark Ratio × 2019 MA Monthly Capitation Rate </w:t>
      </w:r>
    </w:p>
    <w:p w14:paraId="01D6108D" w14:textId="408FA4E8"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Regional Rebate = (1 </w:t>
      </w:r>
      <w:r w:rsidR="00A841B3" w:rsidRPr="001569FB">
        <w:rPr>
          <w:rFonts w:ascii="Times New Roman" w:hAnsi="Times New Roman"/>
        </w:rPr>
        <w:t>−</w:t>
      </w:r>
      <w:r w:rsidRPr="001569FB">
        <w:rPr>
          <w:rFonts w:ascii="Times New Roman" w:hAnsi="Times New Roman"/>
        </w:rPr>
        <w:t xml:space="preserve"> Bid to Benchmark Ratio) × 2019 Regional Rate × Rebate percentage </w:t>
      </w:r>
    </w:p>
    <w:p w14:paraId="0C459C9C" w14:textId="77777777" w:rsidR="00D662F0" w:rsidRPr="001569FB" w:rsidRDefault="00D662F0" w:rsidP="00AC78D9">
      <w:pPr>
        <w:pStyle w:val="Default"/>
        <w:numPr>
          <w:ilvl w:val="0"/>
          <w:numId w:val="18"/>
        </w:numPr>
        <w:spacing w:before="120"/>
        <w:rPr>
          <w:rFonts w:ascii="Times New Roman" w:hAnsi="Times New Roman"/>
        </w:rPr>
      </w:pPr>
      <w:r w:rsidRPr="001569FB">
        <w:rPr>
          <w:rFonts w:ascii="Times New Roman" w:hAnsi="Times New Roman"/>
        </w:rPr>
        <w:t>The 2019 Regional rate is based on a blend of the statutory and bid component.  As with non-EGWPs, if there is no bid component of the 2019 Regional rate (i.e., no individual bids in a region), then the EGWP rate will be based solely on the statutory component.</w:t>
      </w:r>
    </w:p>
    <w:p w14:paraId="6595C6AB" w14:textId="77777777" w:rsidR="00D662F0" w:rsidRPr="001569FB" w:rsidRDefault="00D662F0" w:rsidP="00D662F0">
      <w:pPr>
        <w:pStyle w:val="Default"/>
        <w:rPr>
          <w:rFonts w:ascii="Times New Roman" w:hAnsi="Times New Roman"/>
        </w:rPr>
      </w:pPr>
      <w:r w:rsidRPr="001569FB">
        <w:rPr>
          <w:rFonts w:ascii="Times New Roman" w:hAnsi="Times New Roman"/>
        </w:rPr>
        <w:t xml:space="preserve">As was the case in 2017 and 2018, for 2019 there will be no Part C Regional PPO EGWP bids to include in the calculation of the MA regional benchmarks. </w:t>
      </w:r>
      <w:r w:rsidR="00D93DCF" w:rsidRPr="001569FB">
        <w:rPr>
          <w:rFonts w:ascii="Times New Roman" w:hAnsi="Times New Roman"/>
        </w:rPr>
        <w:t xml:space="preserve"> </w:t>
      </w:r>
      <w:r w:rsidRPr="001569FB">
        <w:rPr>
          <w:rFonts w:ascii="Times New Roman" w:hAnsi="Times New Roman"/>
        </w:rPr>
        <w:t>The statutory components of the regional standardized A/B benchmarks will continue to be published each year as part of the Announcement of Medicare Advantage Payment Rates.</w:t>
      </w:r>
      <w:r w:rsidR="00D93DCF" w:rsidRPr="001569FB">
        <w:rPr>
          <w:rFonts w:ascii="Times New Roman" w:hAnsi="Times New Roman"/>
        </w:rPr>
        <w:t xml:space="preserve"> </w:t>
      </w:r>
      <w:r w:rsidRPr="001569FB">
        <w:rPr>
          <w:rFonts w:ascii="Times New Roman" w:hAnsi="Times New Roman"/>
        </w:rPr>
        <w:t xml:space="preserve"> CMS will also continue to publish the final MA regional standardized A/B benchmarks in late summer, which will reflect the average bid component of the regional benchmark based on non-EGWP bid submissions.</w:t>
      </w:r>
    </w:p>
    <w:p w14:paraId="3DF36F38" w14:textId="1295F6CF"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As a result of this proposal, each 3-star </w:t>
      </w:r>
      <w:r w:rsidR="00533A89" w:rsidRPr="001569FB">
        <w:rPr>
          <w:rFonts w:ascii="Times New Roman" w:hAnsi="Times New Roman"/>
        </w:rPr>
        <w:t xml:space="preserve">local </w:t>
      </w:r>
      <w:r w:rsidRPr="001569FB">
        <w:rPr>
          <w:rFonts w:ascii="Times New Roman" w:hAnsi="Times New Roman"/>
        </w:rPr>
        <w:t>EGWP in a given county would receive the same payment amount that includes the same rebate amount, multiplied by their beneficiaries’ risk scores.</w:t>
      </w:r>
      <w:r w:rsidR="00D93DCF" w:rsidRPr="001569FB">
        <w:rPr>
          <w:rFonts w:ascii="Times New Roman" w:hAnsi="Times New Roman"/>
        </w:rPr>
        <w:t xml:space="preserve"> </w:t>
      </w:r>
      <w:r w:rsidRPr="001569FB">
        <w:rPr>
          <w:rFonts w:ascii="Times New Roman" w:hAnsi="Times New Roman"/>
        </w:rPr>
        <w:t xml:space="preserve"> MA EGWPs would not be able to distinguish between the amount they are paid for basic benefits and the amount they are paid for </w:t>
      </w:r>
      <w:r w:rsidR="00DF1DBF" w:rsidRPr="001569FB">
        <w:rPr>
          <w:rFonts w:ascii="Times New Roman" w:hAnsi="Times New Roman"/>
        </w:rPr>
        <w:t>supplemental</w:t>
      </w:r>
      <w:r w:rsidR="00533A89" w:rsidRPr="001569FB">
        <w:rPr>
          <w:rFonts w:ascii="Times New Roman" w:hAnsi="Times New Roman"/>
        </w:rPr>
        <w:t xml:space="preserve"> benefits</w:t>
      </w:r>
      <w:r w:rsidRPr="001569FB">
        <w:rPr>
          <w:rFonts w:ascii="Times New Roman" w:hAnsi="Times New Roman"/>
        </w:rPr>
        <w:t xml:space="preserve">. </w:t>
      </w:r>
      <w:r w:rsidR="00D93DCF" w:rsidRPr="001569FB">
        <w:rPr>
          <w:rFonts w:ascii="Times New Roman" w:hAnsi="Times New Roman"/>
        </w:rPr>
        <w:t xml:space="preserve"> </w:t>
      </w:r>
      <w:r w:rsidRPr="001569FB">
        <w:rPr>
          <w:rFonts w:ascii="Times New Roman" w:hAnsi="Times New Roman"/>
        </w:rPr>
        <w:t>In light of this, CMS proposes to continue to waive the requirement for MA EGWPs to allocate rebate dollars to any specific purpose for 2019; further, MA EGWPs would also not be permitted to buy down Part B premiums for their enrollees from the Part C payment</w:t>
      </w:r>
      <w:r w:rsidR="005E0067" w:rsidRPr="001569FB">
        <w:rPr>
          <w:rFonts w:ascii="Times New Roman" w:hAnsi="Times New Roman"/>
        </w:rPr>
        <w:t xml:space="preserve"> as part of these waivers</w:t>
      </w:r>
      <w:r w:rsidRPr="001569FB">
        <w:rPr>
          <w:rFonts w:ascii="Times New Roman" w:hAnsi="Times New Roman"/>
        </w:rPr>
        <w:t xml:space="preserve">. </w:t>
      </w:r>
    </w:p>
    <w:p w14:paraId="3EFE917C" w14:textId="0B2064EB" w:rsidR="00D662F0" w:rsidRPr="001569FB" w:rsidRDefault="00D662F0" w:rsidP="002707EC">
      <w:pPr>
        <w:pStyle w:val="Default"/>
        <w:spacing w:before="200"/>
        <w:rPr>
          <w:rFonts w:ascii="Times New Roman" w:hAnsi="Times New Roman"/>
        </w:rPr>
      </w:pPr>
      <w:r w:rsidRPr="001569FB">
        <w:rPr>
          <w:rFonts w:ascii="Times New Roman" w:hAnsi="Times New Roman"/>
        </w:rPr>
        <w:t>Under current rules, when a non-EGWP MAO uses rebates to buy-down a portion of the Part B premiums for their beneficiaries, CMS retains the rebate amount identified by the MAO and coordinates directly with the Social Security Administration to ensure that each beneficiary’s Part B premiums is appropriately calculated and withheld from the beneficiary’s Social Security check or billed to the beneficiary.</w:t>
      </w:r>
      <w:r w:rsidR="00D93DCF" w:rsidRPr="001569FB">
        <w:rPr>
          <w:rFonts w:ascii="Times New Roman" w:hAnsi="Times New Roman"/>
        </w:rPr>
        <w:t xml:space="preserve"> </w:t>
      </w:r>
      <w:r w:rsidRPr="001569FB">
        <w:rPr>
          <w:rFonts w:ascii="Times New Roman" w:hAnsi="Times New Roman"/>
        </w:rPr>
        <w:t xml:space="preserve"> However, under this payment methodology for MA EGWPs, </w:t>
      </w:r>
      <w:r w:rsidR="00533A89" w:rsidRPr="001569FB">
        <w:rPr>
          <w:rFonts w:ascii="Times New Roman" w:hAnsi="Times New Roman"/>
        </w:rPr>
        <w:t xml:space="preserve">plan </w:t>
      </w:r>
      <w:r w:rsidRPr="001569FB">
        <w:rPr>
          <w:rFonts w:ascii="Times New Roman" w:hAnsi="Times New Roman"/>
        </w:rPr>
        <w:t xml:space="preserve">specific rebate amounts would not be identifiable; therefore, this process would continue to be unavailable to MA EGWPs in 2019. </w:t>
      </w:r>
      <w:r w:rsidR="00D93DCF" w:rsidRPr="001569FB">
        <w:rPr>
          <w:rFonts w:ascii="Times New Roman" w:hAnsi="Times New Roman"/>
        </w:rPr>
        <w:t xml:space="preserve"> </w:t>
      </w:r>
      <w:r w:rsidRPr="001569FB">
        <w:rPr>
          <w:rFonts w:ascii="Times New Roman" w:hAnsi="Times New Roman"/>
        </w:rPr>
        <w:t>MA EGWPs would also continue to be prohibited from separately refunding Part B premiums for their enrollees.</w:t>
      </w:r>
    </w:p>
    <w:p w14:paraId="4720093B"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Moreover, in 2019, the following rules will continue to apply as they did in 2017 and 2018 under this proposed payment methodology:</w:t>
      </w:r>
    </w:p>
    <w:p w14:paraId="330EE557" w14:textId="5D31A9DF" w:rsidR="00D662F0" w:rsidRPr="001569FB" w:rsidRDefault="00D662F0" w:rsidP="00AC78D9">
      <w:pPr>
        <w:pStyle w:val="Default"/>
        <w:keepNext/>
        <w:keepLines/>
        <w:numPr>
          <w:ilvl w:val="0"/>
          <w:numId w:val="19"/>
        </w:numPr>
        <w:spacing w:after="120"/>
        <w:rPr>
          <w:rFonts w:ascii="Times New Roman" w:hAnsi="Times New Roman"/>
        </w:rPr>
      </w:pPr>
      <w:r w:rsidRPr="001569FB">
        <w:rPr>
          <w:rFonts w:ascii="Times New Roman" w:hAnsi="Times New Roman"/>
        </w:rPr>
        <w:t xml:space="preserve">MA EGWPs </w:t>
      </w:r>
      <w:r w:rsidR="00CE5132" w:rsidRPr="001569FB">
        <w:rPr>
          <w:rFonts w:ascii="Times New Roman" w:hAnsi="Times New Roman"/>
        </w:rPr>
        <w:t>will not</w:t>
      </w:r>
      <w:r w:rsidR="00E41F25" w:rsidRPr="001569FB">
        <w:rPr>
          <w:rFonts w:ascii="Times New Roman" w:hAnsi="Times New Roman"/>
        </w:rPr>
        <w:t xml:space="preserve"> </w:t>
      </w:r>
      <w:r w:rsidRPr="001569FB">
        <w:rPr>
          <w:rFonts w:ascii="Times New Roman" w:hAnsi="Times New Roman"/>
        </w:rPr>
        <w:t>receive</w:t>
      </w:r>
      <w:r w:rsidR="00BD1F0C" w:rsidRPr="001569FB">
        <w:rPr>
          <w:rFonts w:ascii="Times New Roman" w:hAnsi="Times New Roman"/>
        </w:rPr>
        <w:t xml:space="preserve"> </w:t>
      </w:r>
      <w:r w:rsidRPr="001569FB">
        <w:rPr>
          <w:rFonts w:ascii="Times New Roman" w:hAnsi="Times New Roman"/>
        </w:rPr>
        <w:t xml:space="preserve">payment for members that elect Hospice given that </w:t>
      </w:r>
      <w:r w:rsidR="00533A89" w:rsidRPr="001569FB">
        <w:rPr>
          <w:rFonts w:ascii="Times New Roman" w:hAnsi="Times New Roman"/>
        </w:rPr>
        <w:t xml:space="preserve">plan specific </w:t>
      </w:r>
      <w:r w:rsidRPr="001569FB">
        <w:rPr>
          <w:rFonts w:ascii="Times New Roman" w:hAnsi="Times New Roman"/>
        </w:rPr>
        <w:t xml:space="preserve">rebate amounts are not identifiable under the proposed payment methodology. </w:t>
      </w:r>
    </w:p>
    <w:p w14:paraId="5D810A54"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MA-EGWPs will continue to be paid using the ESRD ratebook for their ESRD beneficiaries in Transplant and Dialysis status and the MA ratebook for those beneficiaries in Functioning Graft status</w:t>
      </w:r>
      <w:r w:rsidR="00231FEE" w:rsidRPr="001569FB">
        <w:rPr>
          <w:rFonts w:ascii="Times New Roman" w:hAnsi="Times New Roman"/>
        </w:rPr>
        <w:t>,</w:t>
      </w:r>
      <w:r w:rsidRPr="001569FB">
        <w:rPr>
          <w:rFonts w:ascii="Times New Roman" w:hAnsi="Times New Roman"/>
        </w:rPr>
        <w:t xml:space="preserve"> in keeping with the current payment policy for non-EGWP MAOs. </w:t>
      </w:r>
    </w:p>
    <w:p w14:paraId="3A761C8C"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Consistent with how CMS pays capitation for Part B-only enrollees in the non-EGWP context, Part B-only MA EGWPs will continue to receive only the Part B portion of the EGWP payment amount</w:t>
      </w:r>
      <w:r w:rsidR="00231FEE" w:rsidRPr="001569FB">
        <w:rPr>
          <w:rFonts w:ascii="Times New Roman" w:hAnsi="Times New Roman"/>
        </w:rPr>
        <w:t>, which is</w:t>
      </w:r>
      <w:r w:rsidRPr="001569FB">
        <w:rPr>
          <w:rFonts w:ascii="Times New Roman" w:hAnsi="Times New Roman"/>
        </w:rPr>
        <w:t xml:space="preserve"> determined by multiplying it by the Part B percentage of the rate. </w:t>
      </w:r>
    </w:p>
    <w:p w14:paraId="6031ED24" w14:textId="77777777" w:rsidR="00D662F0" w:rsidRPr="001569FB" w:rsidRDefault="00D662F0" w:rsidP="00AC78D9">
      <w:pPr>
        <w:pStyle w:val="Default"/>
        <w:numPr>
          <w:ilvl w:val="0"/>
          <w:numId w:val="19"/>
        </w:numPr>
        <w:rPr>
          <w:rFonts w:ascii="Times New Roman" w:hAnsi="Times New Roman"/>
        </w:rPr>
      </w:pPr>
      <w:r w:rsidRPr="001569FB">
        <w:rPr>
          <w:rFonts w:ascii="Times New Roman" w:hAnsi="Times New Roman"/>
        </w:rPr>
        <w:t xml:space="preserve">MA EGWP MSA plans will not submit Bid Pricing Tools for 2019, but the 2019 local EGWP payment rates will not be applied to EGWP MSA plans.  The monthly prospective payments for EGWP MSAs will be based on the following formula: 2019 MA Monthly Capitation County Rate x beneficiary risk score – 1/12 of the Annual MSA Deposit Amount.  The 2019 Annual MSA Deposit Amount must be submitted in the appropriate Plan Benefit Package field. </w:t>
      </w:r>
    </w:p>
    <w:p w14:paraId="76636673"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Notwithstanding the proposed payment policies as described above, entities offering MA EGWPs must continue to meet all of the CMS requirements that are not otherwise specifically waived or modified, including, but not limited to, submitting information related to plan service areas, plan benefit packages and formularies in accordance with the rules for 2019. </w:t>
      </w:r>
    </w:p>
    <w:p w14:paraId="5E5E4AF4"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Organizations must make a good faith effort in projecting CY 2019 member months for each plan and place the amount in the appropriate section of the 2019 Plan Benefit Package (PBP) submissions to CMS.</w:t>
      </w:r>
    </w:p>
    <w:p w14:paraId="2E672CE3" w14:textId="77777777" w:rsidR="00533A89" w:rsidRPr="001569FB" w:rsidRDefault="00533A89" w:rsidP="00533A89">
      <w:pPr>
        <w:pStyle w:val="Default"/>
        <w:spacing w:before="200"/>
        <w:rPr>
          <w:rFonts w:ascii="Times New Roman" w:hAnsi="Times New Roman"/>
        </w:rPr>
      </w:pPr>
      <w:r w:rsidRPr="001569FB">
        <w:rPr>
          <w:rFonts w:ascii="Times New Roman" w:hAnsi="Times New Roman"/>
        </w:rPr>
        <w:t xml:space="preserve">Notwithstanding the foregoing, we are also considering the inclusion of an additional step in calculating the B2B ratios as described above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4731CE3E" w14:textId="08C0016C" w:rsidR="00533A89" w:rsidRPr="001569FB" w:rsidRDefault="00DF1DBF" w:rsidP="00533A89">
      <w:pPr>
        <w:pStyle w:val="Default"/>
        <w:spacing w:before="200"/>
        <w:rPr>
          <w:rFonts w:ascii="Times New Roman" w:hAnsi="Times New Roman"/>
        </w:rPr>
      </w:pPr>
      <w:r w:rsidRPr="001569FB">
        <w:rPr>
          <w:rFonts w:ascii="Times New Roman" w:hAnsi="Times New Roman"/>
        </w:rPr>
        <w:t>Under this alternative</w:t>
      </w:r>
      <w:r w:rsidR="00533A89" w:rsidRPr="001569FB">
        <w:rPr>
          <w:rFonts w:ascii="Times New Roman" w:hAnsi="Times New Roman"/>
        </w:rPr>
        <w:t xml:space="preserve">, for 2019, the 2018 individual market </w:t>
      </w:r>
      <w:r w:rsidRPr="001569FB">
        <w:rPr>
          <w:rFonts w:ascii="Times New Roman" w:hAnsi="Times New Roman"/>
        </w:rPr>
        <w:t>B2B ratios</w:t>
      </w:r>
      <w:r w:rsidR="00533A89" w:rsidRPr="001569FB">
        <w:rPr>
          <w:rFonts w:ascii="Times New Roman" w:hAnsi="Times New Roman"/>
        </w:rPr>
        <w:t xml:space="preserve"> would be adjusted to account for the difference in the proportion of beneficiaries enrolled in HMO vs PPO between EGWPs and individual market plans.  Specifically, to determine the weighted individual market B2B ratios, the individual market ratios would be calculated separately by plan type.  HMO and HMOPOS plans would be combined into an “HMO plan type” and LPPO and RPPO plans </w:t>
      </w:r>
      <w:r w:rsidR="00533A89" w:rsidRPr="001569FB">
        <w:rPr>
          <w:rFonts w:ascii="Times New Roman" w:hAnsi="Times New Roman"/>
        </w:rPr>
        <w:lastRenderedPageBreak/>
        <w:t>would be combined into a “PPO plan type.”</w:t>
      </w:r>
      <w:r w:rsidR="00533A89" w:rsidRPr="001569FB">
        <w:rPr>
          <w:rStyle w:val="FootnoteReference"/>
          <w:rFonts w:ascii="Times New Roman" w:hAnsi="Times New Roman"/>
        </w:rPr>
        <w:footnoteReference w:id="4"/>
      </w:r>
      <w:r w:rsidR="00533A89" w:rsidRPr="001569FB">
        <w:rPr>
          <w:rFonts w:ascii="Times New Roman" w:hAnsi="Times New Roman"/>
        </w:rPr>
        <w:t xml:space="preserve">    Then the plan type individual market B2B ratios by quartile would each be weighted by the total proportion of 2018 EGWP enrollment in the plan type across all quartiles.  The calculations for the ratios would therefore be as follows: </w:t>
      </w:r>
    </w:p>
    <w:p w14:paraId="5CC1E8D4" w14:textId="2F2718AE" w:rsidR="00533A89" w:rsidRPr="001569FB" w:rsidRDefault="00533A89" w:rsidP="00533A89">
      <w:pPr>
        <w:pStyle w:val="Default"/>
        <w:spacing w:before="200"/>
        <w:rPr>
          <w:rFonts w:ascii="Times New Roman" w:hAnsi="Times New Roman"/>
        </w:rPr>
      </w:pPr>
      <w:r w:rsidRPr="001569FB">
        <w:rPr>
          <w:rFonts w:ascii="Times New Roman" w:hAnsi="Times New Roman"/>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by quartile.</w:t>
      </w:r>
      <w:r w:rsidRPr="001569FB">
        <w:rPr>
          <w:rStyle w:val="FootnoteReference"/>
          <w:rFonts w:ascii="Times New Roman" w:hAnsi="Times New Roman"/>
        </w:rPr>
        <w:footnoteReference w:id="5"/>
      </w:r>
      <w:r w:rsidRPr="001569FB">
        <w:rPr>
          <w:rFonts w:ascii="Times New Roman" w:hAnsi="Times New Roman"/>
        </w:rPr>
        <w:t xml:space="preserve"> </w:t>
      </w:r>
    </w:p>
    <w:p w14:paraId="554EB70A" w14:textId="2FFEFE7B" w:rsidR="00533A89" w:rsidRPr="001569FB" w:rsidRDefault="00533A89" w:rsidP="00533A89">
      <w:pPr>
        <w:pStyle w:val="Default"/>
        <w:spacing w:before="200"/>
        <w:rPr>
          <w:rFonts w:ascii="Times New Roman" w:hAnsi="Times New Roman"/>
        </w:rPr>
      </w:pPr>
      <w:r w:rsidRPr="001569FB">
        <w:rPr>
          <w:rFonts w:ascii="Times New Roman" w:hAnsi="Times New Roman"/>
        </w:rPr>
        <w:t>Second: The 2018 individual market B2B ratios would be calculated separately for HMO plan types and PPO plan types by quartiles. The PPO B2Bs by quartile would be weighted by the total proportion of EGWP PPO plan type enrollment, and the HMO B2Bs by quartile would be weighted by the total proportion of EGWP HMO plan type enrollment to result in the final B2B ratios for 2019 by quartile.</w:t>
      </w:r>
    </w:p>
    <w:p w14:paraId="06AEF077"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Alternatively, we are also seeking comment as to whether we should maintain the payment methodology that was applied in calculating the 2017 and 2018 MA EGWP payment rates for 2019. The bid-to-benchmark ratios used in 2017 and 2018 payment were calculated using a blend of all individual market plan bids and all EGWP bids from 2016, each weighted by 50 percent to determine the B2B ratios by quartile.</w:t>
      </w:r>
    </w:p>
    <w:p w14:paraId="7507FD44"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In addition, if we maintain the payment methodology that was applied in calculating the 2017 and 2018 MA EGWP payment rates, we are seeking comment on whether to include an additional step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6F29C0A7" w14:textId="6E8D983A" w:rsidR="00B401A5" w:rsidRPr="001569FB" w:rsidRDefault="00B401A5" w:rsidP="00B401A5">
      <w:pPr>
        <w:pStyle w:val="Default"/>
        <w:spacing w:before="200"/>
        <w:rPr>
          <w:rFonts w:ascii="Times New Roman" w:hAnsi="Times New Roman"/>
        </w:rPr>
      </w:pPr>
      <w:r w:rsidRPr="001569FB">
        <w:rPr>
          <w:rFonts w:ascii="Times New Roman" w:hAnsi="Times New Roman"/>
        </w:rPr>
        <w:t>Under this approach, the 2016 individual plan bid-to-benchmark ratios would be re-weighted, using February 2016 enrollment, based on the proportion of EGWP enrollment in PPOs vs. HMOs to determine the individual market portion of the blended bid-to-benchmark ratios.</w:t>
      </w:r>
      <w:r w:rsidR="00C778A9" w:rsidRPr="001569FB">
        <w:rPr>
          <w:rStyle w:val="FootnoteReference"/>
          <w:rFonts w:ascii="Times New Roman" w:hAnsi="Times New Roman"/>
        </w:rPr>
        <w:footnoteReference w:id="6"/>
      </w:r>
      <w:r w:rsidRPr="001569FB">
        <w:rPr>
          <w:rFonts w:ascii="Times New Roman" w:hAnsi="Times New Roman"/>
        </w:rPr>
        <w:t xml:space="preserve">   </w:t>
      </w:r>
    </w:p>
    <w:p w14:paraId="2FD0C932"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lastRenderedPageBreak/>
        <w:t xml:space="preserve">Then, as in 2017 and 2018, the individual market plan bids would be weighted by 50 percent and EGWP bids would be weighted by 50 percent to determine the B2B ratios by quartile.  </w:t>
      </w:r>
    </w:p>
    <w:p w14:paraId="1980E751"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The calculation under this alternative would therefore be:</w:t>
      </w:r>
    </w:p>
    <w:p w14:paraId="7D8F1A87" w14:textId="06BAE283"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[(weighted average of the intra-service area rate adjustment (ISAR) adjusted county bid amounts for 2016 individual market final bids by February 2016 actual enrollment by HMO/PPO plan type)/(weighted average of the county standardized benchmarks for individual market plan 2016 final bids by February 2016 actual enrollment by HMO/PPO plan type) weighted by percentage of EGWP HMO plan type enrollment and percentage EGWP PPO plan type enrollment] </w:t>
      </w:r>
      <w:r w:rsidR="008E38C8" w:rsidRPr="001569FB">
        <w:rPr>
          <w:rFonts w:ascii="Times New Roman" w:hAnsi="Times New Roman"/>
        </w:rPr>
        <w:t>×</w:t>
      </w:r>
      <w:r w:rsidRPr="001569FB">
        <w:rPr>
          <w:rFonts w:ascii="Times New Roman" w:hAnsi="Times New Roman"/>
        </w:rPr>
        <w:t xml:space="preserve"> 50%</w:t>
      </w:r>
      <w:r w:rsidR="008E38C8" w:rsidRPr="001569FB">
        <w:rPr>
          <w:rFonts w:ascii="Times New Roman" w:hAnsi="Times New Roman"/>
        </w:rPr>
        <w:t xml:space="preserve">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plus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[(weighted average of the 2016 intra-service area rate adjustment (ISAR) adjusted county bid amounts for 2016 EGWP final bids by February 2016 actual enrollment)/(weighted average of the county standardized benchmarks for EGWP 2016 final bids by February 2016 actual enrollment)] </w:t>
      </w:r>
      <w:r w:rsidR="008E38C8" w:rsidRPr="001569FB">
        <w:rPr>
          <w:rFonts w:ascii="Times New Roman" w:hAnsi="Times New Roman"/>
        </w:rPr>
        <w:t>×</w:t>
      </w:r>
      <w:r w:rsidRPr="001569FB">
        <w:rPr>
          <w:rFonts w:ascii="Times New Roman" w:hAnsi="Times New Roman"/>
        </w:rPr>
        <w:t xml:space="preserve"> 50% = percentage by quartile.</w:t>
      </w:r>
    </w:p>
    <w:p w14:paraId="584F227A" w14:textId="0610A04B" w:rsidR="00533A89" w:rsidRPr="001569FB" w:rsidRDefault="00B401A5" w:rsidP="00B401A5">
      <w:pPr>
        <w:pStyle w:val="Default"/>
        <w:spacing w:before="200"/>
        <w:rPr>
          <w:rFonts w:ascii="Times New Roman" w:hAnsi="Times New Roman"/>
        </w:rPr>
      </w:pPr>
      <w:r w:rsidRPr="001569FB">
        <w:rPr>
          <w:rFonts w:ascii="Times New Roman" w:hAnsi="Times New Roman"/>
        </w:rPr>
        <w:t>We welcome comments on these and other approaches, and seek comment on whether an adjustment for HMO/PPO plan type as described above would be appropriate to implement and why.</w:t>
      </w:r>
    </w:p>
    <w:p w14:paraId="626E522C" w14:textId="2882B772" w:rsidR="000F6ACC" w:rsidRPr="001569FB" w:rsidRDefault="000F6ACC">
      <w:pPr>
        <w:pStyle w:val="Heading2"/>
      </w:pPr>
      <w:bookmarkStart w:id="214" w:name="_Toc348617077"/>
      <w:bookmarkStart w:id="215" w:name="_Toc348423639"/>
      <w:bookmarkStart w:id="216" w:name="_Toc348432106"/>
      <w:bookmarkStart w:id="217" w:name="_Toc348432263"/>
      <w:bookmarkStart w:id="218" w:name="_Toc348432338"/>
      <w:bookmarkStart w:id="219" w:name="_Toc348432818"/>
      <w:bookmarkStart w:id="220" w:name="_Toc348432899"/>
      <w:bookmarkStart w:id="221" w:name="_Toc348433350"/>
      <w:bookmarkStart w:id="222" w:name="_Toc505253780"/>
      <w:bookmarkStart w:id="223" w:name="_Toc348432265"/>
      <w:bookmarkStart w:id="224" w:name="_Toc348432901"/>
      <w:bookmarkStart w:id="225" w:name="_Toc280340530"/>
      <w:bookmarkStart w:id="226" w:name="_Toc188260642"/>
      <w:bookmarkStart w:id="227" w:name="_Toc244598072"/>
      <w:bookmarkStart w:id="228" w:name="_Toc251077211"/>
      <w:bookmarkStart w:id="229" w:name="_Toc252786168"/>
      <w:bookmarkStart w:id="230" w:name="_Toc253762192"/>
      <w:bookmarkStart w:id="231" w:name="_Toc254094847"/>
      <w:bookmarkEnd w:id="212"/>
      <w:bookmarkEnd w:id="213"/>
      <w:bookmarkEnd w:id="214"/>
      <w:bookmarkEnd w:id="215"/>
      <w:bookmarkEnd w:id="216"/>
      <w:bookmarkEnd w:id="217"/>
      <w:bookmarkEnd w:id="218"/>
      <w:bookmarkEnd w:id="219"/>
      <w:bookmarkEnd w:id="220"/>
      <w:bookmarkEnd w:id="221"/>
      <w:r w:rsidRPr="001569FB">
        <w:t xml:space="preserve">Section H. </w:t>
      </w:r>
      <w:r w:rsidR="007A6384" w:rsidRPr="001569FB">
        <w:t xml:space="preserve"> </w:t>
      </w:r>
      <w:r w:rsidRPr="001569FB">
        <w:t>CMS-HCC Risk Adjustment Model for CY 201</w:t>
      </w:r>
      <w:r w:rsidR="00A47736" w:rsidRPr="001569FB">
        <w:t>9</w:t>
      </w:r>
      <w:bookmarkEnd w:id="222"/>
    </w:p>
    <w:p w14:paraId="3D535287" w14:textId="53FF6055" w:rsidR="000F6ACC" w:rsidRPr="001569FB" w:rsidRDefault="000B055D" w:rsidP="002707EC">
      <w:pPr>
        <w:spacing w:before="200" w:after="200"/>
        <w:rPr>
          <w:szCs w:val="24"/>
        </w:rPr>
      </w:pPr>
      <w:r w:rsidRPr="001569FB">
        <w:rPr>
          <w:szCs w:val="24"/>
        </w:rPr>
        <w:t xml:space="preserve">On December </w:t>
      </w:r>
      <w:r w:rsidR="005E024E" w:rsidRPr="001569FB">
        <w:rPr>
          <w:szCs w:val="24"/>
        </w:rPr>
        <w:t>27</w:t>
      </w:r>
      <w:r w:rsidRPr="001569FB">
        <w:rPr>
          <w:szCs w:val="24"/>
        </w:rPr>
        <w:t>, 2017, CMS published for public comment the proposed Part C risk adjustment model</w:t>
      </w:r>
      <w:r w:rsidR="00D805D7" w:rsidRPr="001569FB">
        <w:rPr>
          <w:szCs w:val="24"/>
        </w:rPr>
        <w:t>.</w:t>
      </w:r>
      <w:r w:rsidRPr="001569FB">
        <w:rPr>
          <w:szCs w:val="24"/>
        </w:rPr>
        <w:t xml:space="preserve">  As noted in that notice, all comments must be submitted to </w:t>
      </w:r>
      <w:hyperlink r:id="rId25" w:history="1">
        <w:r w:rsidR="00956EAA" w:rsidRPr="001569FB">
          <w:rPr>
            <w:rStyle w:val="Hyperlink"/>
          </w:rPr>
          <w:t>https://www.regulations.gov/</w:t>
        </w:r>
      </w:hyperlink>
      <w:r w:rsidR="00CC6541" w:rsidRPr="001569FB">
        <w:rPr>
          <w:szCs w:val="24"/>
        </w:rPr>
        <w:t>, enter the docket number “CMS-2017-0163” in the “Search” field, and follow the instructions for “submitting a comment</w:t>
      </w:r>
      <w:r w:rsidR="00621475" w:rsidRPr="001569FB">
        <w:rPr>
          <w:szCs w:val="24"/>
        </w:rPr>
        <w:t>” no</w:t>
      </w:r>
      <w:r w:rsidR="00CE5132" w:rsidRPr="001569FB">
        <w:rPr>
          <w:szCs w:val="24"/>
        </w:rPr>
        <w:t xml:space="preserve"> later than 6pm EST on </w:t>
      </w:r>
      <w:r w:rsidR="00376494" w:rsidRPr="001569FB">
        <w:rPr>
          <w:szCs w:val="24"/>
        </w:rPr>
        <w:t>Monday, March 5, 2018</w:t>
      </w:r>
      <w:r w:rsidR="00CE5132" w:rsidRPr="001569FB">
        <w:rPr>
          <w:szCs w:val="24"/>
        </w:rPr>
        <w:t xml:space="preserve">, </w:t>
      </w:r>
      <w:r w:rsidRPr="001569FB">
        <w:rPr>
          <w:szCs w:val="24"/>
        </w:rPr>
        <w:t xml:space="preserve">so that they may be addressed in the 2019 Rate Announcement that will be released </w:t>
      </w:r>
      <w:r w:rsidR="009C7022" w:rsidRPr="001569FB">
        <w:rPr>
          <w:szCs w:val="24"/>
        </w:rPr>
        <w:t>no later than</w:t>
      </w:r>
      <w:r w:rsidRPr="001569FB">
        <w:rPr>
          <w:szCs w:val="24"/>
        </w:rPr>
        <w:t xml:space="preserve"> April 2, 2018.</w:t>
      </w:r>
    </w:p>
    <w:p w14:paraId="4091D824" w14:textId="0879EF95" w:rsidR="00A47736" w:rsidRPr="001569FB" w:rsidRDefault="00A47736">
      <w:pPr>
        <w:pStyle w:val="Heading2"/>
      </w:pPr>
      <w:bookmarkStart w:id="232" w:name="_Toc505253781"/>
      <w:r w:rsidRPr="001569FB">
        <w:t xml:space="preserve">Section I. </w:t>
      </w:r>
      <w:r w:rsidR="007A6384" w:rsidRPr="001569FB">
        <w:t xml:space="preserve"> </w:t>
      </w:r>
      <w:r w:rsidRPr="001569FB">
        <w:t>ESRD Risk Adjustment Model for CY 2019</w:t>
      </w:r>
      <w:bookmarkEnd w:id="232"/>
    </w:p>
    <w:p w14:paraId="361DA16A" w14:textId="07A07228" w:rsidR="000875EC" w:rsidRPr="001569FB" w:rsidRDefault="008F2B17" w:rsidP="002707EC">
      <w:pPr>
        <w:shd w:val="clear" w:color="auto" w:fill="FFFFFF"/>
        <w:spacing w:before="200" w:after="200"/>
        <w:rPr>
          <w:szCs w:val="24"/>
        </w:rPr>
      </w:pPr>
      <w:r w:rsidRPr="001569FB">
        <w:rPr>
          <w:szCs w:val="24"/>
        </w:rPr>
        <w:t xml:space="preserve">CMS uses a separate model to pay for the Part A and Part B benefits provided to beneficiaries in ESRD status when enrolled in </w:t>
      </w:r>
      <w:r w:rsidR="00A215AB" w:rsidRPr="001569FB">
        <w:rPr>
          <w:szCs w:val="24"/>
        </w:rPr>
        <w:t>Medicare Advantage (</w:t>
      </w:r>
      <w:r w:rsidRPr="001569FB">
        <w:rPr>
          <w:szCs w:val="24"/>
        </w:rPr>
        <w:t>MA</w:t>
      </w:r>
      <w:r w:rsidR="00A215AB" w:rsidRPr="001569FB">
        <w:rPr>
          <w:szCs w:val="24"/>
        </w:rPr>
        <w:t>)</w:t>
      </w:r>
      <w:r w:rsidRPr="001569FB">
        <w:rPr>
          <w:szCs w:val="24"/>
        </w:rPr>
        <w:t xml:space="preserve"> plans, PACE organizations, and certain demonstrations.  </w:t>
      </w:r>
      <w:r w:rsidR="000875EC" w:rsidRPr="001569FB">
        <w:rPr>
          <w:szCs w:val="24"/>
        </w:rPr>
        <w:t xml:space="preserve">For 2019, CMS proposes implementing an updated version of </w:t>
      </w:r>
      <w:r w:rsidRPr="001569FB">
        <w:rPr>
          <w:szCs w:val="24"/>
        </w:rPr>
        <w:t>this</w:t>
      </w:r>
      <w:r w:rsidR="000875EC" w:rsidRPr="001569FB">
        <w:rPr>
          <w:szCs w:val="24"/>
        </w:rPr>
        <w:t xml:space="preserve"> ESRD risk adjustment model.</w:t>
      </w:r>
      <w:r w:rsidR="00D74917" w:rsidRPr="001569FB">
        <w:rPr>
          <w:szCs w:val="24"/>
        </w:rPr>
        <w:t xml:space="preserve"> </w:t>
      </w:r>
      <w:r w:rsidR="000875EC" w:rsidRPr="001569FB">
        <w:rPr>
          <w:szCs w:val="24"/>
        </w:rPr>
        <w:t xml:space="preserve"> The ESRD model currently used in payment was implemented in 2012 and has not been recalibrated since then. </w:t>
      </w:r>
      <w:r w:rsidR="00075676" w:rsidRPr="001569FB">
        <w:rPr>
          <w:szCs w:val="24"/>
        </w:rPr>
        <w:t xml:space="preserve"> </w:t>
      </w:r>
      <w:r w:rsidR="000875EC" w:rsidRPr="001569FB">
        <w:rPr>
          <w:szCs w:val="24"/>
        </w:rPr>
        <w:t xml:space="preserve">Therefore, for 2019, we propose to update the ESRD model. </w:t>
      </w:r>
      <w:r w:rsidR="00D74917" w:rsidRPr="001569FB">
        <w:rPr>
          <w:szCs w:val="24"/>
        </w:rPr>
        <w:t xml:space="preserve"> </w:t>
      </w:r>
      <w:r w:rsidR="000875EC" w:rsidRPr="001569FB">
        <w:rPr>
          <w:szCs w:val="24"/>
        </w:rPr>
        <w:t>Furthermore, the 21</w:t>
      </w:r>
      <w:r w:rsidR="000875EC" w:rsidRPr="001569FB">
        <w:rPr>
          <w:szCs w:val="24"/>
          <w:vertAlign w:val="superscript"/>
        </w:rPr>
        <w:t>st</w:t>
      </w:r>
      <w:r w:rsidR="000875EC" w:rsidRPr="001569FB">
        <w:rPr>
          <w:szCs w:val="24"/>
        </w:rPr>
        <w:t xml:space="preserve"> Century Cures Act </w:t>
      </w:r>
      <w:r w:rsidR="007A6384" w:rsidRPr="001569FB">
        <w:rPr>
          <w:szCs w:val="24"/>
        </w:rPr>
        <w:t xml:space="preserve"> </w:t>
      </w:r>
      <w:r w:rsidR="000875EC" w:rsidRPr="001569FB">
        <w:rPr>
          <w:szCs w:val="24"/>
        </w:rPr>
        <w:t xml:space="preserve">allows all </w:t>
      </w:r>
      <w:r w:rsidR="00337799" w:rsidRPr="001569FB">
        <w:rPr>
          <w:szCs w:val="24"/>
        </w:rPr>
        <w:t xml:space="preserve">Medicare beneficiaries </w:t>
      </w:r>
      <w:r w:rsidR="000875EC" w:rsidRPr="001569FB">
        <w:rPr>
          <w:szCs w:val="24"/>
        </w:rPr>
        <w:t xml:space="preserve">with ESRD to enroll in MA plans </w:t>
      </w:r>
      <w:r w:rsidR="00337799" w:rsidRPr="001569FB">
        <w:rPr>
          <w:szCs w:val="24"/>
        </w:rPr>
        <w:t xml:space="preserve">beginning </w:t>
      </w:r>
      <w:r w:rsidR="000875EC" w:rsidRPr="001569FB">
        <w:rPr>
          <w:szCs w:val="24"/>
        </w:rPr>
        <w:t xml:space="preserve">in 2021, in addition to those already enrolled in </w:t>
      </w:r>
      <w:r w:rsidR="00A215AB" w:rsidRPr="001569FB">
        <w:rPr>
          <w:szCs w:val="24"/>
        </w:rPr>
        <w:t>Medicare Advantage (</w:t>
      </w:r>
      <w:r w:rsidR="00337799" w:rsidRPr="001569FB">
        <w:rPr>
          <w:szCs w:val="24"/>
        </w:rPr>
        <w:t>MA</w:t>
      </w:r>
      <w:r w:rsidR="00A215AB" w:rsidRPr="001569FB">
        <w:rPr>
          <w:szCs w:val="24"/>
        </w:rPr>
        <w:t>)</w:t>
      </w:r>
      <w:r w:rsidR="000875EC" w:rsidRPr="001569FB">
        <w:rPr>
          <w:szCs w:val="24"/>
        </w:rPr>
        <w:t xml:space="preserve"> plans when they enter ESRD status</w:t>
      </w:r>
      <w:r w:rsidR="00337799" w:rsidRPr="001569FB">
        <w:rPr>
          <w:szCs w:val="24"/>
        </w:rPr>
        <w:t xml:space="preserve"> or able to enroll in MA plans under 42 CFR §</w:t>
      </w:r>
      <w:r w:rsidR="00075676" w:rsidRPr="001569FB">
        <w:rPr>
          <w:szCs w:val="24"/>
        </w:rPr>
        <w:t xml:space="preserve"> </w:t>
      </w:r>
      <w:r w:rsidR="00337799" w:rsidRPr="001569FB">
        <w:rPr>
          <w:szCs w:val="24"/>
        </w:rPr>
        <w:t>422.50</w:t>
      </w:r>
      <w:r w:rsidR="000875EC" w:rsidRPr="001569FB">
        <w:rPr>
          <w:szCs w:val="24"/>
        </w:rPr>
        <w:t>.  Since plan sponsors may experience an increase in the</w:t>
      </w:r>
      <w:r w:rsidR="00075676" w:rsidRPr="001569FB">
        <w:rPr>
          <w:szCs w:val="24"/>
        </w:rPr>
        <w:t xml:space="preserve"> </w:t>
      </w:r>
      <w:r w:rsidR="000875EC" w:rsidRPr="001569FB">
        <w:rPr>
          <w:szCs w:val="24"/>
        </w:rPr>
        <w:t>MA ESRD population in future years, we believe that it would be preferable to update the ESRD model prior to that time and are proposing the implementation of an ESRD model calibrated on data that are more recent.</w:t>
      </w:r>
      <w:r w:rsidR="00150757" w:rsidRPr="001569FB">
        <w:rPr>
          <w:szCs w:val="24"/>
        </w:rPr>
        <w:t xml:space="preserve"> </w:t>
      </w:r>
      <w:r w:rsidR="00075676" w:rsidRPr="001569FB">
        <w:rPr>
          <w:szCs w:val="24"/>
        </w:rPr>
        <w:t xml:space="preserve"> </w:t>
      </w:r>
      <w:r w:rsidR="00150757" w:rsidRPr="001569FB">
        <w:rPr>
          <w:szCs w:val="24"/>
        </w:rPr>
        <w:t xml:space="preserve">The </w:t>
      </w:r>
      <w:r w:rsidR="00150757" w:rsidRPr="001569FB">
        <w:rPr>
          <w:szCs w:val="24"/>
        </w:rPr>
        <w:lastRenderedPageBreak/>
        <w:t>updated version of the model will result in payment that is more accurate and provides MAOs time to adjust to payments based on this new model prior to experiencing potential increases in enrollment.</w:t>
      </w:r>
    </w:p>
    <w:p w14:paraId="29C62C29" w14:textId="77777777" w:rsidR="000875EC" w:rsidRPr="001569FB" w:rsidRDefault="000875EC" w:rsidP="002707EC">
      <w:pPr>
        <w:shd w:val="clear" w:color="auto" w:fill="FFFFFF"/>
        <w:spacing w:before="200" w:after="200"/>
        <w:rPr>
          <w:szCs w:val="24"/>
        </w:rPr>
      </w:pPr>
      <w:r w:rsidRPr="001569FB">
        <w:rPr>
          <w:szCs w:val="24"/>
        </w:rPr>
        <w:t>While the HCCs used in the ESRD model are similar to those used in other Part C risk adjustment models, we calibrate the ESRD model using the FFS ESRD population and, therefore, the resulting coefficients reflect cost and disease patterns for this subgroup of beneficiaries.</w:t>
      </w:r>
    </w:p>
    <w:p w14:paraId="3298F3C4" w14:textId="77777777" w:rsidR="000875EC" w:rsidRPr="001569FB" w:rsidRDefault="000875EC" w:rsidP="002707EC">
      <w:pPr>
        <w:shd w:val="clear" w:color="auto" w:fill="FFFFFF"/>
        <w:spacing w:before="200" w:after="200"/>
        <w:rPr>
          <w:szCs w:val="24"/>
        </w:rPr>
      </w:pPr>
      <w:r w:rsidRPr="001569FB">
        <w:rPr>
          <w:b/>
          <w:szCs w:val="24"/>
          <w:u w:val="single"/>
        </w:rPr>
        <w:t>Updates for 2019</w:t>
      </w:r>
      <w:r w:rsidRPr="001569FB">
        <w:rPr>
          <w:szCs w:val="24"/>
        </w:rPr>
        <w:t>:</w:t>
      </w:r>
    </w:p>
    <w:p w14:paraId="30CC7BFF" w14:textId="77777777" w:rsidR="000875EC" w:rsidRPr="001569FB" w:rsidRDefault="000875EC" w:rsidP="002707EC">
      <w:pPr>
        <w:shd w:val="clear" w:color="auto" w:fill="FFFFFF"/>
        <w:spacing w:after="200"/>
        <w:rPr>
          <w:szCs w:val="24"/>
        </w:rPr>
      </w:pPr>
      <w:r w:rsidRPr="001569FB">
        <w:rPr>
          <w:szCs w:val="24"/>
        </w:rPr>
        <w:t xml:space="preserve">While the basic structure of the model and the HCCs </w:t>
      </w:r>
      <w:r w:rsidR="00D375E8" w:rsidRPr="001569FB">
        <w:rPr>
          <w:szCs w:val="24"/>
        </w:rPr>
        <w:t xml:space="preserve">will </w:t>
      </w:r>
      <w:r w:rsidRPr="001569FB">
        <w:rPr>
          <w:szCs w:val="24"/>
        </w:rPr>
        <w:t xml:space="preserve">remain the same, CMS </w:t>
      </w:r>
      <w:r w:rsidR="00D375E8" w:rsidRPr="001569FB">
        <w:rPr>
          <w:szCs w:val="24"/>
        </w:rPr>
        <w:t>proposes</w:t>
      </w:r>
      <w:r w:rsidRPr="001569FB">
        <w:rPr>
          <w:szCs w:val="24"/>
        </w:rPr>
        <w:t xml:space="preserve"> </w:t>
      </w:r>
      <w:r w:rsidR="00D375E8" w:rsidRPr="001569FB">
        <w:rPr>
          <w:szCs w:val="24"/>
        </w:rPr>
        <w:t xml:space="preserve">the following </w:t>
      </w:r>
      <w:r w:rsidRPr="001569FB">
        <w:rPr>
          <w:szCs w:val="24"/>
        </w:rPr>
        <w:t>two updates to the ESRD model for 2019:</w:t>
      </w:r>
    </w:p>
    <w:p w14:paraId="2FBDBEA7" w14:textId="77777777" w:rsidR="000875EC" w:rsidRPr="001569FB" w:rsidRDefault="000875EC" w:rsidP="00AC78D9">
      <w:pPr>
        <w:pStyle w:val="ListParagraph"/>
        <w:numPr>
          <w:ilvl w:val="0"/>
          <w:numId w:val="24"/>
        </w:numPr>
        <w:shd w:val="clear" w:color="auto" w:fill="FFFFFF"/>
        <w:rPr>
          <w:szCs w:val="24"/>
        </w:rPr>
      </w:pPr>
      <w:r w:rsidRPr="001569FB">
        <w:rPr>
          <w:szCs w:val="24"/>
        </w:rPr>
        <w:t>Update the data years underlying the model, and;</w:t>
      </w:r>
    </w:p>
    <w:p w14:paraId="1D47DE6B" w14:textId="77777777" w:rsidR="000875EC" w:rsidRPr="001569FB" w:rsidRDefault="000875EC" w:rsidP="00AC78D9">
      <w:pPr>
        <w:pStyle w:val="ListParagraph"/>
        <w:numPr>
          <w:ilvl w:val="0"/>
          <w:numId w:val="24"/>
        </w:numPr>
        <w:shd w:val="clear" w:color="auto" w:fill="FFFFFF"/>
        <w:spacing w:after="200"/>
        <w:rPr>
          <w:szCs w:val="24"/>
        </w:rPr>
      </w:pPr>
      <w:r w:rsidRPr="001569FB">
        <w:rPr>
          <w:szCs w:val="24"/>
        </w:rPr>
        <w:t>Update the Medicaid factors to be concurrent with the payment year.</w:t>
      </w:r>
    </w:p>
    <w:p w14:paraId="692C68DD" w14:textId="77777777" w:rsidR="000875EC" w:rsidRPr="001569FB" w:rsidRDefault="000875EC" w:rsidP="0025712A">
      <w:pPr>
        <w:shd w:val="clear" w:color="auto" w:fill="FFFFFF"/>
        <w:spacing w:after="240"/>
        <w:rPr>
          <w:b/>
          <w:szCs w:val="24"/>
          <w:u w:val="single"/>
        </w:rPr>
      </w:pPr>
      <w:r w:rsidRPr="001569FB">
        <w:rPr>
          <w:b/>
          <w:szCs w:val="24"/>
          <w:u w:val="single"/>
        </w:rPr>
        <w:t>Model Recalibration</w:t>
      </w:r>
    </w:p>
    <w:p w14:paraId="67BFD6C0" w14:textId="77777777" w:rsidR="000875EC" w:rsidRPr="001569FB" w:rsidRDefault="000875EC" w:rsidP="002707EC">
      <w:pPr>
        <w:shd w:val="clear" w:color="auto" w:fill="FFFFFF"/>
        <w:spacing w:before="200" w:after="200"/>
        <w:rPr>
          <w:szCs w:val="24"/>
        </w:rPr>
      </w:pPr>
      <w:r w:rsidRPr="001569FB">
        <w:rPr>
          <w:szCs w:val="24"/>
        </w:rPr>
        <w:t xml:space="preserve">CMS recalibrated all of the components of the ESRD risk adjustment model for 2019 using data from FFS claims: </w:t>
      </w:r>
      <w:r w:rsidR="006E1462" w:rsidRPr="001569FB">
        <w:rPr>
          <w:szCs w:val="24"/>
        </w:rPr>
        <w:t xml:space="preserve"> </w:t>
      </w:r>
      <w:r w:rsidRPr="001569FB">
        <w:rPr>
          <w:szCs w:val="24"/>
        </w:rPr>
        <w:t xml:space="preserve">we used 2014 diagnoses to predict 2015 expenditures. </w:t>
      </w:r>
      <w:r w:rsidR="00D93DCF" w:rsidRPr="001569FB">
        <w:rPr>
          <w:szCs w:val="24"/>
        </w:rPr>
        <w:t xml:space="preserve"> </w:t>
      </w:r>
      <w:r w:rsidRPr="001569FB">
        <w:rPr>
          <w:szCs w:val="24"/>
        </w:rPr>
        <w:t xml:space="preserve">We estimated the coefficients for the condition categories by regressing the total expenditure for A/B benefits for each FFS ESRD beneficiary onto their demographic factors and condition categories, as indicated by their diagnoses. </w:t>
      </w:r>
      <w:r w:rsidR="00D93DCF" w:rsidRPr="001569FB">
        <w:rPr>
          <w:szCs w:val="24"/>
        </w:rPr>
        <w:t xml:space="preserve"> </w:t>
      </w:r>
      <w:r w:rsidRPr="001569FB">
        <w:rPr>
          <w:szCs w:val="24"/>
        </w:rPr>
        <w:t>Resulting dollar coefficients represent the marginal (additional) cost of the condition or demographic factor (e.g., age/sex group, Medicaid status, disability status).</w:t>
      </w:r>
    </w:p>
    <w:p w14:paraId="459E763E" w14:textId="77777777" w:rsidR="000875EC" w:rsidRPr="001569FB" w:rsidRDefault="000875EC" w:rsidP="002707EC">
      <w:pPr>
        <w:shd w:val="clear" w:color="auto" w:fill="FFFFFF"/>
        <w:spacing w:before="200" w:after="200"/>
        <w:rPr>
          <w:szCs w:val="24"/>
        </w:rPr>
      </w:pPr>
      <w:r w:rsidRPr="001569FB">
        <w:rPr>
          <w:szCs w:val="24"/>
        </w:rPr>
        <w:t>For all applicable model components, Medicaid designation in the recalibrated 2019 model is based on payment year status.</w:t>
      </w:r>
      <w:r w:rsidR="006E1462" w:rsidRPr="001569FB">
        <w:rPr>
          <w:szCs w:val="24"/>
        </w:rPr>
        <w:t xml:space="preserve"> </w:t>
      </w:r>
      <w:r w:rsidRPr="001569FB">
        <w:rPr>
          <w:szCs w:val="24"/>
        </w:rPr>
        <w:t xml:space="preserve"> Specifically, CMS will use the following data to indicate Medicaid status during any month in the payment year:</w:t>
      </w:r>
    </w:p>
    <w:p w14:paraId="6B2AF0FA" w14:textId="77777777" w:rsidR="000875EC" w:rsidRPr="001569FB" w:rsidRDefault="000875EC" w:rsidP="00AC78D9">
      <w:pPr>
        <w:pStyle w:val="ListParagraph"/>
        <w:numPr>
          <w:ilvl w:val="0"/>
          <w:numId w:val="25"/>
        </w:numPr>
        <w:shd w:val="clear" w:color="auto" w:fill="FFFFFF"/>
        <w:spacing w:after="240"/>
        <w:ind w:left="720"/>
        <w:rPr>
          <w:b/>
          <w:szCs w:val="24"/>
          <w:u w:val="single"/>
        </w:rPr>
      </w:pPr>
      <w:r w:rsidRPr="001569FB">
        <w:rPr>
          <w:szCs w:val="24"/>
        </w:rPr>
        <w:t xml:space="preserve">One of the following dual status codes for beneficiaries who are entitled to Medicare: </w:t>
      </w:r>
    </w:p>
    <w:p w14:paraId="696B9975"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01 (</w:t>
      </w:r>
      <w:r w:rsidR="00C64627" w:rsidRPr="001569FB">
        <w:rPr>
          <w:szCs w:val="24"/>
        </w:rPr>
        <w:t>Qualified Medicare Benefic</w:t>
      </w:r>
      <w:r w:rsidR="00794645" w:rsidRPr="001569FB">
        <w:rPr>
          <w:szCs w:val="24"/>
        </w:rPr>
        <w:t>i</w:t>
      </w:r>
      <w:r w:rsidR="00C64627" w:rsidRPr="001569FB">
        <w:rPr>
          <w:szCs w:val="24"/>
        </w:rPr>
        <w:t>ary (</w:t>
      </w:r>
      <w:r w:rsidRPr="001569FB">
        <w:rPr>
          <w:szCs w:val="24"/>
        </w:rPr>
        <w:t>QMB</w:t>
      </w:r>
      <w:r w:rsidR="00C64627" w:rsidRPr="001569FB">
        <w:rPr>
          <w:szCs w:val="24"/>
        </w:rPr>
        <w:t>)</w:t>
      </w:r>
      <w:r w:rsidRPr="001569FB">
        <w:rPr>
          <w:szCs w:val="24"/>
        </w:rPr>
        <w:t xml:space="preserve"> only)</w:t>
      </w:r>
    </w:p>
    <w:p w14:paraId="5FEB1A68"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02 (QMB AND Medicaid coverage)</w:t>
      </w:r>
    </w:p>
    <w:p w14:paraId="5961001D"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03 (</w:t>
      </w:r>
      <w:r w:rsidR="00C64627" w:rsidRPr="001569FB">
        <w:rPr>
          <w:szCs w:val="24"/>
        </w:rPr>
        <w:t xml:space="preserve">Specified Low-Income Medicare Beneficiary (SLMB) </w:t>
      </w:r>
      <w:r w:rsidRPr="001569FB">
        <w:rPr>
          <w:szCs w:val="24"/>
        </w:rPr>
        <w:t xml:space="preserve"> only)</w:t>
      </w:r>
    </w:p>
    <w:p w14:paraId="794E4DC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04 (SLMB AND Medicaid coverage)</w:t>
      </w:r>
    </w:p>
    <w:p w14:paraId="4C0B6F37"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 xml:space="preserve">05 </w:t>
      </w:r>
      <w:r w:rsidR="00153945" w:rsidRPr="001569FB">
        <w:rPr>
          <w:szCs w:val="24"/>
        </w:rPr>
        <w:t>(Qualified Disabled and Working individuals (QDWI))</w:t>
      </w:r>
    </w:p>
    <w:p w14:paraId="6DB65E3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06 (Qualifying individuals)</w:t>
      </w:r>
    </w:p>
    <w:p w14:paraId="0849E1B1"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08 (Other Dual Eligibles (Non QMB, SLMB, QDWI or QI) with Medicaid coverage)</w:t>
      </w:r>
    </w:p>
    <w:p w14:paraId="37387F61" w14:textId="1AAA8A92" w:rsidR="000875EC" w:rsidRPr="001569FB" w:rsidRDefault="000875EC" w:rsidP="00AC78D9">
      <w:pPr>
        <w:pStyle w:val="ListParagraph"/>
        <w:numPr>
          <w:ilvl w:val="1"/>
          <w:numId w:val="25"/>
        </w:numPr>
        <w:shd w:val="clear" w:color="auto" w:fill="FFFFFF"/>
        <w:spacing w:after="120" w:line="240" w:lineRule="auto"/>
        <w:contextualSpacing w:val="0"/>
        <w:rPr>
          <w:szCs w:val="24"/>
        </w:rPr>
      </w:pPr>
      <w:r w:rsidRPr="001569FB">
        <w:rPr>
          <w:szCs w:val="24"/>
        </w:rPr>
        <w:t>10 (Other Full Dual)</w:t>
      </w:r>
      <w:r w:rsidR="00C64627" w:rsidRPr="001569FB">
        <w:rPr>
          <w:szCs w:val="24"/>
        </w:rPr>
        <w:t xml:space="preserve"> (This category comprises dual eligible beneficiaries in the Territories, including those reported on the monthly report from the Commonwealth of Puerto Rico.)</w:t>
      </w:r>
    </w:p>
    <w:p w14:paraId="0D7B7FF0" w14:textId="77777777" w:rsidR="000875EC" w:rsidRPr="001569FB" w:rsidRDefault="000875EC" w:rsidP="00AC78D9">
      <w:pPr>
        <w:pStyle w:val="ListParagraph"/>
        <w:numPr>
          <w:ilvl w:val="0"/>
          <w:numId w:val="25"/>
        </w:numPr>
        <w:shd w:val="clear" w:color="auto" w:fill="FFFFFF"/>
        <w:spacing w:before="120" w:after="120"/>
        <w:ind w:left="720"/>
        <w:rPr>
          <w:b/>
          <w:szCs w:val="24"/>
          <w:u w:val="single"/>
        </w:rPr>
      </w:pPr>
      <w:r w:rsidRPr="001569FB">
        <w:rPr>
          <w:szCs w:val="24"/>
        </w:rPr>
        <w:lastRenderedPageBreak/>
        <w:t>To operationally align with the Part C model, we will only use the following sources of Medicaid data:</w:t>
      </w:r>
    </w:p>
    <w:p w14:paraId="55E7C9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State-reported Medicaid data (MMA State files)</w:t>
      </w:r>
    </w:p>
    <w:p w14:paraId="382BAB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Puerto Rico monthly Medicaid file</w:t>
      </w:r>
    </w:p>
    <w:p w14:paraId="7E60C95C" w14:textId="77777777" w:rsidR="000875EC" w:rsidRPr="001569FB" w:rsidRDefault="000875EC" w:rsidP="00AC78D9">
      <w:pPr>
        <w:pStyle w:val="ListParagraph"/>
        <w:numPr>
          <w:ilvl w:val="1"/>
          <w:numId w:val="25"/>
        </w:numPr>
        <w:shd w:val="clear" w:color="auto" w:fill="FFFFFF"/>
        <w:spacing w:after="200"/>
        <w:rPr>
          <w:szCs w:val="24"/>
        </w:rPr>
      </w:pPr>
      <w:r w:rsidRPr="001569FB">
        <w:rPr>
          <w:szCs w:val="24"/>
        </w:rPr>
        <w:t>Point of Sale data</w:t>
      </w:r>
    </w:p>
    <w:p w14:paraId="6219D4C4" w14:textId="77777777" w:rsidR="000875EC" w:rsidRPr="001569FB" w:rsidRDefault="00D72131" w:rsidP="0025712A">
      <w:pPr>
        <w:shd w:val="clear" w:color="auto" w:fill="FFFFFF"/>
        <w:spacing w:after="240"/>
        <w:rPr>
          <w:szCs w:val="24"/>
        </w:rPr>
      </w:pPr>
      <w:r w:rsidRPr="001569FB">
        <w:rPr>
          <w:b/>
          <w:szCs w:val="24"/>
          <w:u w:val="single"/>
        </w:rPr>
        <w:t xml:space="preserve">Structure of </w:t>
      </w:r>
      <w:r w:rsidR="000875EC" w:rsidRPr="001569FB">
        <w:rPr>
          <w:b/>
          <w:szCs w:val="24"/>
          <w:u w:val="single"/>
        </w:rPr>
        <w:t>ESRD Model</w:t>
      </w:r>
    </w:p>
    <w:p w14:paraId="14045745" w14:textId="77777777" w:rsidR="000875EC" w:rsidRPr="001569FB" w:rsidRDefault="000875EC" w:rsidP="0025712A">
      <w:pPr>
        <w:shd w:val="clear" w:color="auto" w:fill="FFFFFF"/>
        <w:spacing w:after="240"/>
        <w:rPr>
          <w:szCs w:val="24"/>
        </w:rPr>
      </w:pPr>
      <w:r w:rsidRPr="001569FB">
        <w:rPr>
          <w:szCs w:val="24"/>
        </w:rPr>
        <w:t xml:space="preserve">The ESRD risk adjustment model that we are proposing for 2019 is structurally the same ESRD model that we have used since 2005 in that it retains </w:t>
      </w:r>
      <w:r w:rsidR="00D10A64" w:rsidRPr="001569FB">
        <w:rPr>
          <w:szCs w:val="24"/>
        </w:rPr>
        <w:t>separate</w:t>
      </w:r>
      <w:r w:rsidRPr="001569FB">
        <w:rPr>
          <w:szCs w:val="24"/>
        </w:rPr>
        <w:t xml:space="preserve"> coefficients for dialysis, transplant, and post-graft beneficiaries.  Further, it is the same clinical version of the ESRD model that is currently being used in payment (i.e., we have not made any changes to the HCCs </w:t>
      </w:r>
      <w:r w:rsidR="00102B26" w:rsidRPr="001569FB">
        <w:rPr>
          <w:szCs w:val="24"/>
        </w:rPr>
        <w:t xml:space="preserve">from the 2012 model, which are being </w:t>
      </w:r>
      <w:r w:rsidRPr="001569FB">
        <w:rPr>
          <w:szCs w:val="24"/>
        </w:rPr>
        <w:t xml:space="preserve">used to calibrate the </w:t>
      </w:r>
      <w:r w:rsidR="00102B26" w:rsidRPr="001569FB">
        <w:rPr>
          <w:szCs w:val="24"/>
        </w:rPr>
        <w:t xml:space="preserve">new </w:t>
      </w:r>
      <w:r w:rsidRPr="001569FB">
        <w:rPr>
          <w:szCs w:val="24"/>
        </w:rPr>
        <w:t>ESRD model).</w:t>
      </w:r>
    </w:p>
    <w:p w14:paraId="0594B368"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w:t>
      </w:r>
      <w:r w:rsidRPr="001569FB">
        <w:rPr>
          <w:szCs w:val="24"/>
        </w:rPr>
        <w:t>ESRD model are used to pay for populations with different ESRD statuses:</w:t>
      </w:r>
    </w:p>
    <w:p w14:paraId="34B35F3E"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Dialysis:</w:t>
      </w:r>
      <w:r w:rsidR="006E1462" w:rsidRPr="001569FB">
        <w:rPr>
          <w:szCs w:val="24"/>
        </w:rPr>
        <w:t xml:space="preserve"> </w:t>
      </w:r>
      <w:r w:rsidRPr="001569FB">
        <w:rPr>
          <w:szCs w:val="24"/>
        </w:rPr>
        <w:t xml:space="preserve"> </w:t>
      </w:r>
      <w:r w:rsidR="00D17A64" w:rsidRPr="001569FB">
        <w:rPr>
          <w:szCs w:val="24"/>
        </w:rPr>
        <w:t>The ESRD dialysis component of the ESRD model is u</w:t>
      </w:r>
      <w:r w:rsidRPr="001569FB">
        <w:rPr>
          <w:szCs w:val="24"/>
        </w:rPr>
        <w:t xml:space="preserve">sed </w:t>
      </w:r>
      <w:r w:rsidR="00D17A64" w:rsidRPr="001569FB">
        <w:rPr>
          <w:szCs w:val="24"/>
        </w:rPr>
        <w:t xml:space="preserve">to pay </w:t>
      </w:r>
      <w:r w:rsidRPr="001569FB">
        <w:rPr>
          <w:szCs w:val="24"/>
        </w:rPr>
        <w:t>for beneficiaries who are in dialysis status.</w:t>
      </w:r>
    </w:p>
    <w:p w14:paraId="6059ABC8" w14:textId="77777777" w:rsidR="000875EC" w:rsidRPr="001569FB" w:rsidRDefault="000875EC" w:rsidP="00AC78D9">
      <w:pPr>
        <w:pStyle w:val="ListParagraph"/>
        <w:numPr>
          <w:ilvl w:val="0"/>
          <w:numId w:val="23"/>
        </w:numPr>
        <w:shd w:val="clear" w:color="auto" w:fill="FFFFFF"/>
        <w:spacing w:after="360"/>
        <w:rPr>
          <w:szCs w:val="24"/>
        </w:rPr>
      </w:pPr>
      <w:r w:rsidRPr="001569FB">
        <w:rPr>
          <w:szCs w:val="24"/>
        </w:rPr>
        <w:t xml:space="preserve">Transplant: </w:t>
      </w:r>
      <w:r w:rsidR="006E1462" w:rsidRPr="001569FB">
        <w:rPr>
          <w:szCs w:val="24"/>
        </w:rPr>
        <w:t xml:space="preserve"> </w:t>
      </w:r>
      <w:r w:rsidR="00D17A64" w:rsidRPr="001569FB">
        <w:rPr>
          <w:szCs w:val="24"/>
        </w:rPr>
        <w:t>Transplant factors are u</w:t>
      </w:r>
      <w:r w:rsidRPr="001569FB">
        <w:rPr>
          <w:szCs w:val="24"/>
        </w:rPr>
        <w:t xml:space="preserve">sed </w:t>
      </w:r>
      <w:r w:rsidR="00D17A64" w:rsidRPr="001569FB">
        <w:rPr>
          <w:szCs w:val="24"/>
        </w:rPr>
        <w:t xml:space="preserve">to pay </w:t>
      </w:r>
      <w:r w:rsidRPr="001569FB">
        <w:rPr>
          <w:szCs w:val="24"/>
        </w:rPr>
        <w:t xml:space="preserve">for beneficiaries who have a kidney transplant. </w:t>
      </w:r>
      <w:r w:rsidR="006E1462" w:rsidRPr="001569FB">
        <w:rPr>
          <w:szCs w:val="24"/>
        </w:rPr>
        <w:t xml:space="preserve"> </w:t>
      </w:r>
      <w:r w:rsidRPr="001569FB">
        <w:rPr>
          <w:szCs w:val="24"/>
        </w:rPr>
        <w:t>Factors are used in conjunction with the ESRD dialysis state ratebook to pay for the month in which a transplant occurred and the following two months.</w:t>
      </w:r>
    </w:p>
    <w:p w14:paraId="6B2004D3"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 xml:space="preserve">Post-graft: </w:t>
      </w:r>
      <w:r w:rsidR="006E1462" w:rsidRPr="001569FB">
        <w:rPr>
          <w:szCs w:val="24"/>
        </w:rPr>
        <w:t xml:space="preserve"> </w:t>
      </w:r>
      <w:r w:rsidR="00D17A64" w:rsidRPr="001569FB">
        <w:rPr>
          <w:szCs w:val="24"/>
        </w:rPr>
        <w:t>The post-graft component of the ESRD model is u</w:t>
      </w:r>
      <w:r w:rsidRPr="001569FB">
        <w:rPr>
          <w:szCs w:val="24"/>
        </w:rPr>
        <w:t xml:space="preserve">sed </w:t>
      </w:r>
      <w:r w:rsidR="00D17A64" w:rsidRPr="001569FB">
        <w:rPr>
          <w:szCs w:val="24"/>
        </w:rPr>
        <w:t xml:space="preserve">to pay </w:t>
      </w:r>
      <w:r w:rsidRPr="001569FB">
        <w:rPr>
          <w:szCs w:val="24"/>
        </w:rPr>
        <w:t>for beneficiaries</w:t>
      </w:r>
      <w:r w:rsidR="00D17A64" w:rsidRPr="001569FB">
        <w:rPr>
          <w:szCs w:val="24"/>
        </w:rPr>
        <w:t xml:space="preserve"> starting </w:t>
      </w:r>
      <w:r w:rsidR="00337799" w:rsidRPr="001569FB">
        <w:rPr>
          <w:szCs w:val="24"/>
        </w:rPr>
        <w:t>with</w:t>
      </w:r>
      <w:r w:rsidR="00D17A64" w:rsidRPr="001569FB">
        <w:rPr>
          <w:szCs w:val="24"/>
        </w:rPr>
        <w:t xml:space="preserve"> the fourth month after a kidney transplant, for as long as they have a functioning graft</w:t>
      </w:r>
      <w:r w:rsidRPr="001569FB">
        <w:rPr>
          <w:szCs w:val="24"/>
        </w:rPr>
        <w:t xml:space="preserve"> (i.e., do not return to dialysis status).</w:t>
      </w:r>
    </w:p>
    <w:p w14:paraId="46660571"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ESRD </w:t>
      </w:r>
      <w:r w:rsidRPr="001569FB">
        <w:rPr>
          <w:szCs w:val="24"/>
        </w:rPr>
        <w:t>model are described in more detail below.</w:t>
      </w:r>
    </w:p>
    <w:p w14:paraId="52EBA461" w14:textId="77777777" w:rsidR="000875EC" w:rsidRPr="001569FB" w:rsidRDefault="000875EC" w:rsidP="002707EC">
      <w:pPr>
        <w:shd w:val="clear" w:color="auto" w:fill="FFFFFF"/>
        <w:spacing w:before="200" w:after="200"/>
        <w:rPr>
          <w:szCs w:val="24"/>
        </w:rPr>
      </w:pPr>
      <w:r w:rsidRPr="001569FB">
        <w:rPr>
          <w:i/>
          <w:szCs w:val="24"/>
          <w:u w:val="single"/>
        </w:rPr>
        <w:t xml:space="preserve">Dialysis </w:t>
      </w:r>
      <w:r w:rsidR="00D17A64" w:rsidRPr="001569FB">
        <w:rPr>
          <w:i/>
          <w:szCs w:val="24"/>
          <w:u w:val="single"/>
        </w:rPr>
        <w:t>component</w:t>
      </w:r>
    </w:p>
    <w:p w14:paraId="350DFF65" w14:textId="77777777" w:rsidR="000875EC" w:rsidRPr="001569FB" w:rsidRDefault="000875EC" w:rsidP="002707EC">
      <w:pPr>
        <w:shd w:val="clear" w:color="auto" w:fill="FFFFFF"/>
        <w:spacing w:after="200"/>
        <w:rPr>
          <w:szCs w:val="24"/>
        </w:rPr>
      </w:pPr>
      <w:r w:rsidRPr="001569FB">
        <w:rPr>
          <w:szCs w:val="24"/>
        </w:rPr>
        <w:t xml:space="preserve">The dialysis </w:t>
      </w:r>
      <w:r w:rsidR="00D17A64" w:rsidRPr="001569FB">
        <w:rPr>
          <w:szCs w:val="24"/>
        </w:rPr>
        <w:t xml:space="preserve">component of the ESRD </w:t>
      </w:r>
      <w:r w:rsidRPr="001569FB">
        <w:rPr>
          <w:szCs w:val="24"/>
        </w:rPr>
        <w:t>risk adjustment model comprises the following characteristics:</w:t>
      </w:r>
    </w:p>
    <w:p w14:paraId="59A93970" w14:textId="1B92D098" w:rsidR="002D7EDD" w:rsidRPr="001569FB" w:rsidRDefault="000875EC" w:rsidP="00AC78D9">
      <w:pPr>
        <w:pStyle w:val="ListParagraph"/>
        <w:keepNext/>
        <w:keepLines/>
        <w:numPr>
          <w:ilvl w:val="0"/>
          <w:numId w:val="29"/>
        </w:numPr>
        <w:shd w:val="clear" w:color="auto" w:fill="FFFFFF"/>
        <w:spacing w:after="120"/>
        <w:ind w:left="720"/>
        <w:contextualSpacing w:val="0"/>
        <w:rPr>
          <w:szCs w:val="24"/>
        </w:rPr>
      </w:pPr>
      <w:r w:rsidRPr="001569FB">
        <w:rPr>
          <w:szCs w:val="24"/>
        </w:rPr>
        <w:t xml:space="preserve">A single set of coefficients for both community and institutional enrollees in dialysis status. </w:t>
      </w:r>
      <w:r w:rsidR="006E1462" w:rsidRPr="001569FB">
        <w:rPr>
          <w:szCs w:val="24"/>
        </w:rPr>
        <w:t xml:space="preserve"> </w:t>
      </w:r>
      <w:r w:rsidRPr="001569FB">
        <w:rPr>
          <w:szCs w:val="24"/>
        </w:rPr>
        <w:t xml:space="preserve">The dialysis </w:t>
      </w:r>
      <w:r w:rsidR="00D17A64" w:rsidRPr="001569FB">
        <w:rPr>
          <w:szCs w:val="24"/>
        </w:rPr>
        <w:t xml:space="preserve">component of the ESRD </w:t>
      </w:r>
      <w:r w:rsidRPr="001569FB">
        <w:rPr>
          <w:szCs w:val="24"/>
        </w:rPr>
        <w:t xml:space="preserve">model is calibrated using diagnoses and expenditure data for all beneficiaries in FFS who are in dialysis status. </w:t>
      </w:r>
      <w:r w:rsidR="007A6384" w:rsidRPr="001569FB">
        <w:rPr>
          <w:szCs w:val="24"/>
        </w:rPr>
        <w:t xml:space="preserve"> </w:t>
      </w:r>
      <w:r w:rsidRPr="001569FB">
        <w:rPr>
          <w:szCs w:val="24"/>
        </w:rPr>
        <w:t xml:space="preserve">We constrain to zero the relative factors for kidney-related HCCs and interaction terms, </w:t>
      </w:r>
      <w:r w:rsidR="00337799" w:rsidRPr="001569FB">
        <w:rPr>
          <w:szCs w:val="24"/>
        </w:rPr>
        <w:t>because</w:t>
      </w:r>
      <w:r w:rsidRPr="001569FB">
        <w:rPr>
          <w:szCs w:val="24"/>
        </w:rPr>
        <w:t xml:space="preserve"> </w:t>
      </w:r>
      <w:r w:rsidR="00D375E8" w:rsidRPr="001569FB">
        <w:rPr>
          <w:szCs w:val="24"/>
        </w:rPr>
        <w:t xml:space="preserve">all of </w:t>
      </w:r>
      <w:r w:rsidRPr="001569FB">
        <w:rPr>
          <w:szCs w:val="24"/>
        </w:rPr>
        <w:t>the beneficiaries in this model are in dialysis status.</w:t>
      </w:r>
    </w:p>
    <w:p w14:paraId="4C0D757F" w14:textId="77777777" w:rsidR="000875EC" w:rsidRPr="001569FB" w:rsidRDefault="000875EC" w:rsidP="00AC78D9">
      <w:pPr>
        <w:pStyle w:val="ListParagraph"/>
        <w:numPr>
          <w:ilvl w:val="0"/>
          <w:numId w:val="29"/>
        </w:numPr>
        <w:shd w:val="clear" w:color="auto" w:fill="FFFFFF"/>
        <w:spacing w:after="120"/>
        <w:ind w:left="720"/>
        <w:contextualSpacing w:val="0"/>
        <w:rPr>
          <w:szCs w:val="24"/>
        </w:rPr>
      </w:pPr>
      <w:r w:rsidRPr="001569FB">
        <w:rPr>
          <w:szCs w:val="24"/>
        </w:rPr>
        <w:t xml:space="preserve">For </w:t>
      </w:r>
      <w:r w:rsidR="00D10A64" w:rsidRPr="001569FB">
        <w:rPr>
          <w:szCs w:val="24"/>
        </w:rPr>
        <w:t>new enrollees</w:t>
      </w:r>
      <w:r w:rsidRPr="001569FB">
        <w:rPr>
          <w:szCs w:val="24"/>
        </w:rPr>
        <w:t xml:space="preserve"> in dialysis status, the average projected spending is based on demographic factors. </w:t>
      </w:r>
      <w:r w:rsidR="006E1462" w:rsidRPr="001569FB">
        <w:rPr>
          <w:szCs w:val="24"/>
        </w:rPr>
        <w:t xml:space="preserve"> </w:t>
      </w:r>
      <w:r w:rsidRPr="001569FB">
        <w:rPr>
          <w:szCs w:val="24"/>
        </w:rPr>
        <w:t xml:space="preserve">The demographic-only new enrollee factors are applied to beneficiaries in dialysis status </w:t>
      </w:r>
      <w:r w:rsidR="00806C28" w:rsidRPr="001569FB">
        <w:rPr>
          <w:szCs w:val="24"/>
        </w:rPr>
        <w:t>who</w:t>
      </w:r>
      <w:r w:rsidRPr="001569FB">
        <w:rPr>
          <w:szCs w:val="24"/>
        </w:rPr>
        <w:t xml:space="preserve"> do not have 12 months of Part B in the data collection year. </w:t>
      </w:r>
      <w:r w:rsidR="006E1462" w:rsidRPr="001569FB">
        <w:rPr>
          <w:szCs w:val="24"/>
        </w:rPr>
        <w:t xml:space="preserve"> </w:t>
      </w:r>
      <w:r w:rsidRPr="001569FB">
        <w:rPr>
          <w:szCs w:val="24"/>
        </w:rPr>
        <w:t>The dialysis new enrollee factors are estimated using data from:</w:t>
      </w:r>
    </w:p>
    <w:p w14:paraId="3B6173FC" w14:textId="77777777" w:rsidR="000875EC" w:rsidRPr="001569FB" w:rsidRDefault="000875EC" w:rsidP="00AC78D9">
      <w:pPr>
        <w:pStyle w:val="ListParagraph"/>
        <w:numPr>
          <w:ilvl w:val="1"/>
          <w:numId w:val="21"/>
        </w:numPr>
        <w:shd w:val="clear" w:color="auto" w:fill="FFFFFF"/>
        <w:ind w:left="1440"/>
        <w:contextualSpacing w:val="0"/>
        <w:rPr>
          <w:szCs w:val="24"/>
        </w:rPr>
      </w:pPr>
      <w:r w:rsidRPr="001569FB">
        <w:rPr>
          <w:szCs w:val="24"/>
        </w:rPr>
        <w:lastRenderedPageBreak/>
        <w:t>New enrollees with dialysis months in the payment year;</w:t>
      </w:r>
    </w:p>
    <w:p w14:paraId="24AB6523" w14:textId="77777777" w:rsidR="000875EC" w:rsidRPr="001569FB" w:rsidRDefault="000875EC" w:rsidP="00AC78D9">
      <w:pPr>
        <w:pStyle w:val="ListParagraph"/>
        <w:numPr>
          <w:ilvl w:val="1"/>
          <w:numId w:val="21"/>
        </w:numPr>
        <w:shd w:val="clear" w:color="auto" w:fill="FFFFFF"/>
        <w:spacing w:after="120"/>
        <w:ind w:left="1440"/>
        <w:contextualSpacing w:val="0"/>
        <w:rPr>
          <w:szCs w:val="24"/>
        </w:rPr>
      </w:pPr>
      <w:r w:rsidRPr="001569FB">
        <w:rPr>
          <w:szCs w:val="24"/>
        </w:rPr>
        <w:t xml:space="preserve">Continuing enrollees with dialysis months in the payment year with up to three years of dialysis. </w:t>
      </w:r>
    </w:p>
    <w:p w14:paraId="5E53BA58" w14:textId="38DD7BBD" w:rsidR="000875EC" w:rsidRPr="001569FB" w:rsidRDefault="000875EC" w:rsidP="00AC78D9">
      <w:pPr>
        <w:pStyle w:val="ListParagraph"/>
        <w:numPr>
          <w:ilvl w:val="0"/>
          <w:numId w:val="30"/>
        </w:numPr>
        <w:shd w:val="clear" w:color="auto" w:fill="FFFFFF"/>
        <w:spacing w:after="120"/>
        <w:ind w:left="720"/>
        <w:contextualSpacing w:val="0"/>
        <w:rPr>
          <w:szCs w:val="24"/>
        </w:rPr>
      </w:pPr>
      <w:r w:rsidRPr="001569FB">
        <w:rPr>
          <w:szCs w:val="24"/>
        </w:rPr>
        <w:t xml:space="preserve">Disease and Disabled-Disease Interactions: </w:t>
      </w:r>
      <w:r w:rsidR="006E1462" w:rsidRPr="001569FB">
        <w:rPr>
          <w:szCs w:val="24"/>
        </w:rPr>
        <w:t xml:space="preserve"> </w:t>
      </w:r>
      <w:r w:rsidRPr="001569FB">
        <w:rPr>
          <w:szCs w:val="24"/>
        </w:rPr>
        <w:t xml:space="preserve">There are </w:t>
      </w:r>
      <w:r w:rsidR="003616C2" w:rsidRPr="001569FB">
        <w:rPr>
          <w:szCs w:val="24"/>
        </w:rPr>
        <w:t xml:space="preserve">five </w:t>
      </w:r>
      <w:r w:rsidRPr="001569FB">
        <w:rPr>
          <w:szCs w:val="24"/>
        </w:rPr>
        <w:t xml:space="preserve">Disease Interactions and seven Disabled-Disease Interactions in the dialysis </w:t>
      </w:r>
      <w:r w:rsidR="00806C28" w:rsidRPr="001569FB">
        <w:rPr>
          <w:szCs w:val="24"/>
        </w:rPr>
        <w:t xml:space="preserve">component of the ESRD </w:t>
      </w:r>
      <w:r w:rsidRPr="001569FB">
        <w:rPr>
          <w:szCs w:val="24"/>
        </w:rPr>
        <w:t>model.</w:t>
      </w:r>
    </w:p>
    <w:p w14:paraId="4D209883"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Disease Interactions:</w:t>
      </w:r>
    </w:p>
    <w:p w14:paraId="7687AB8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SEPSIS_CARD_RESP_FAIL</w:t>
      </w:r>
    </w:p>
    <w:p w14:paraId="4DCD8236"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CANCER_IMMUNE</w:t>
      </w:r>
    </w:p>
    <w:p w14:paraId="600935CB"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color w:val="000000"/>
        </w:rPr>
        <w:t>DIABETES_CHF</w:t>
      </w:r>
    </w:p>
    <w:p w14:paraId="5C61A754"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CHF_COPD</w:t>
      </w:r>
    </w:p>
    <w:p w14:paraId="295D21A6" w14:textId="77777777" w:rsidR="00DD27D5" w:rsidRPr="001569FB" w:rsidRDefault="00DD27D5" w:rsidP="00AC78D9">
      <w:pPr>
        <w:pStyle w:val="ListParagraph"/>
        <w:numPr>
          <w:ilvl w:val="2"/>
          <w:numId w:val="21"/>
        </w:numPr>
        <w:shd w:val="clear" w:color="auto" w:fill="FFFFFF"/>
        <w:spacing w:after="120"/>
        <w:contextualSpacing w:val="0"/>
        <w:rPr>
          <w:szCs w:val="24"/>
        </w:rPr>
      </w:pPr>
      <w:r w:rsidRPr="001569FB">
        <w:rPr>
          <w:szCs w:val="24"/>
        </w:rPr>
        <w:t>COPD_CARD_RESP_FAIL</w:t>
      </w:r>
    </w:p>
    <w:p w14:paraId="74E0B8DD"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Disabled-Disease Interactions:</w:t>
      </w:r>
    </w:p>
    <w:p w14:paraId="6C20F52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NONAGED_HCC6</w:t>
      </w:r>
    </w:p>
    <w:p w14:paraId="47692D7C"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NONAGED_HCC34</w:t>
      </w:r>
    </w:p>
    <w:p w14:paraId="2902CBE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NONAGED_HCC46</w:t>
      </w:r>
    </w:p>
    <w:p w14:paraId="6B565A27"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NONAGED_HCC54</w:t>
      </w:r>
    </w:p>
    <w:p w14:paraId="6ACD6B3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NONAGED_HCC55</w:t>
      </w:r>
    </w:p>
    <w:p w14:paraId="6596660E"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NONAGED_HCC110</w:t>
      </w:r>
    </w:p>
    <w:p w14:paraId="55D621E4" w14:textId="77777777" w:rsidR="00DD27D5" w:rsidRPr="001569FB" w:rsidRDefault="00DD27D5" w:rsidP="00AC78D9">
      <w:pPr>
        <w:pStyle w:val="ListParagraph"/>
        <w:numPr>
          <w:ilvl w:val="2"/>
          <w:numId w:val="21"/>
        </w:numPr>
        <w:shd w:val="clear" w:color="auto" w:fill="FFFFFF"/>
        <w:spacing w:after="200" w:line="240" w:lineRule="auto"/>
        <w:contextualSpacing w:val="0"/>
        <w:rPr>
          <w:szCs w:val="24"/>
        </w:rPr>
      </w:pPr>
      <w:r w:rsidRPr="001569FB">
        <w:rPr>
          <w:szCs w:val="24"/>
        </w:rPr>
        <w:t>NONAGED_HCC176</w:t>
      </w:r>
    </w:p>
    <w:p w14:paraId="12DF1CDF" w14:textId="77777777" w:rsidR="000875EC" w:rsidRPr="001569FB" w:rsidRDefault="000875EC" w:rsidP="002707EC">
      <w:pPr>
        <w:shd w:val="clear" w:color="auto" w:fill="FFFFFF"/>
        <w:spacing w:before="200" w:after="200"/>
        <w:rPr>
          <w:szCs w:val="24"/>
        </w:rPr>
      </w:pPr>
      <w:r w:rsidRPr="001569FB">
        <w:rPr>
          <w:i/>
          <w:szCs w:val="24"/>
          <w:u w:val="single"/>
        </w:rPr>
        <w:t>Transplant factors</w:t>
      </w:r>
      <w:r w:rsidRPr="001569FB">
        <w:rPr>
          <w:szCs w:val="24"/>
        </w:rPr>
        <w:t xml:space="preserve">: </w:t>
      </w:r>
    </w:p>
    <w:p w14:paraId="3E954172" w14:textId="6A590A9E" w:rsidR="000875EC" w:rsidRPr="001569FB" w:rsidRDefault="000875EC" w:rsidP="002707EC">
      <w:pPr>
        <w:shd w:val="clear" w:color="auto" w:fill="FFFFFF"/>
        <w:spacing w:before="200" w:after="200"/>
        <w:rPr>
          <w:szCs w:val="24"/>
        </w:rPr>
      </w:pPr>
      <w:r w:rsidRPr="001569FB">
        <w:rPr>
          <w:szCs w:val="24"/>
        </w:rPr>
        <w:t xml:space="preserve">Transplant factors are estimated for the first three months following a transplant. </w:t>
      </w:r>
      <w:r w:rsidR="002D7EDD" w:rsidRPr="001569FB">
        <w:rPr>
          <w:szCs w:val="24"/>
        </w:rPr>
        <w:t xml:space="preserve"> </w:t>
      </w:r>
      <w:r w:rsidRPr="001569FB">
        <w:rPr>
          <w:szCs w:val="24"/>
        </w:rPr>
        <w:t xml:space="preserve">To accommodate the high one-time cost of a transplant, CMS makes payments over three months to cover the transplant and immediate subsequent services. </w:t>
      </w:r>
      <w:r w:rsidR="002D7EDD" w:rsidRPr="001569FB">
        <w:rPr>
          <w:szCs w:val="24"/>
        </w:rPr>
        <w:t xml:space="preserve"> </w:t>
      </w:r>
      <w:r w:rsidRPr="001569FB">
        <w:rPr>
          <w:szCs w:val="24"/>
        </w:rPr>
        <w:t xml:space="preserve">The first month’s factor is the largest, as that is the month within which the transplant takes place, while the factors for months 2 and 3 are smaller for post-transplant recovery.  CMS calibrated the payments by using fee-for-service hospital stay payments for the transplant, and physician and other services rendered for the hospital stay and the two months after discharge. </w:t>
      </w:r>
      <w:r w:rsidR="002D7EDD" w:rsidRPr="001569FB">
        <w:rPr>
          <w:szCs w:val="24"/>
        </w:rPr>
        <w:t xml:space="preserve"> </w:t>
      </w:r>
      <w:r w:rsidRPr="001569FB">
        <w:rPr>
          <w:szCs w:val="24"/>
        </w:rPr>
        <w:t xml:space="preserve">The national average was converted to a relative factor by dividing by the </w:t>
      </w:r>
      <w:r w:rsidR="00EC2804" w:rsidRPr="001569FB">
        <w:rPr>
          <w:szCs w:val="24"/>
        </w:rPr>
        <w:t xml:space="preserve">predicted </w:t>
      </w:r>
      <w:r w:rsidRPr="001569FB">
        <w:rPr>
          <w:szCs w:val="24"/>
        </w:rPr>
        <w:t xml:space="preserve">national average </w:t>
      </w:r>
      <w:r w:rsidR="00EC2804" w:rsidRPr="001569FB">
        <w:rPr>
          <w:szCs w:val="24"/>
        </w:rPr>
        <w:t>expenditures</w:t>
      </w:r>
      <w:r w:rsidRPr="001569FB">
        <w:rPr>
          <w:szCs w:val="24"/>
        </w:rPr>
        <w:t xml:space="preserve"> for dialysis patients.  This allows CMS to use the State ESRD dialysis rates to make payments for beneficiaries who have a kidney transplant.</w:t>
      </w:r>
    </w:p>
    <w:p w14:paraId="7EFC958A" w14:textId="77777777" w:rsidR="000875EC" w:rsidRPr="001569FB" w:rsidRDefault="000875EC" w:rsidP="002707EC">
      <w:pPr>
        <w:shd w:val="clear" w:color="auto" w:fill="FFFFFF"/>
        <w:spacing w:before="200" w:after="200"/>
        <w:rPr>
          <w:szCs w:val="24"/>
        </w:rPr>
      </w:pPr>
      <w:r w:rsidRPr="001569FB">
        <w:rPr>
          <w:szCs w:val="24"/>
        </w:rPr>
        <w:t xml:space="preserve">Most of the costs of a transplant accrue in the month of the transplant and the ESRD transplant factors account for this fact.  By paying the majority of the cost </w:t>
      </w:r>
      <w:r w:rsidR="00A1166B" w:rsidRPr="001569FB">
        <w:rPr>
          <w:szCs w:val="24"/>
        </w:rPr>
        <w:t>in</w:t>
      </w:r>
      <w:r w:rsidRPr="001569FB">
        <w:rPr>
          <w:szCs w:val="24"/>
        </w:rPr>
        <w:t xml:space="preserve"> the month of transplant, CMS is ensuring that plans are not disadvantaged if the enrollee dies in the month of transplant.</w:t>
      </w:r>
    </w:p>
    <w:p w14:paraId="3B01DB40" w14:textId="77777777" w:rsidR="000875EC" w:rsidRPr="001569FB" w:rsidRDefault="00806C28" w:rsidP="002707EC">
      <w:pPr>
        <w:shd w:val="clear" w:color="auto" w:fill="FFFFFF"/>
        <w:spacing w:before="200" w:after="200"/>
        <w:rPr>
          <w:szCs w:val="24"/>
        </w:rPr>
      </w:pPr>
      <w:r w:rsidRPr="001569FB">
        <w:rPr>
          <w:i/>
          <w:szCs w:val="24"/>
          <w:u w:val="single"/>
        </w:rPr>
        <w:t>Post-</w:t>
      </w:r>
      <w:r w:rsidR="000875EC" w:rsidRPr="001569FB">
        <w:rPr>
          <w:i/>
          <w:szCs w:val="24"/>
          <w:u w:val="single"/>
        </w:rPr>
        <w:t xml:space="preserve">graft </w:t>
      </w:r>
      <w:r w:rsidR="0046565B" w:rsidRPr="001569FB">
        <w:rPr>
          <w:i/>
          <w:szCs w:val="24"/>
          <w:u w:val="single"/>
        </w:rPr>
        <w:t>component</w:t>
      </w:r>
      <w:r w:rsidR="000875EC" w:rsidRPr="001569FB">
        <w:rPr>
          <w:szCs w:val="24"/>
        </w:rPr>
        <w:t xml:space="preserve">: </w:t>
      </w:r>
    </w:p>
    <w:p w14:paraId="5144F380" w14:textId="77777777" w:rsidR="000875EC" w:rsidRPr="001569FB" w:rsidRDefault="000875EC" w:rsidP="002707EC">
      <w:pPr>
        <w:shd w:val="clear" w:color="auto" w:fill="FFFFFF"/>
        <w:spacing w:before="200" w:after="200"/>
        <w:rPr>
          <w:szCs w:val="24"/>
        </w:rPr>
      </w:pPr>
      <w:r w:rsidRPr="001569FB">
        <w:rPr>
          <w:szCs w:val="24"/>
        </w:rPr>
        <w:lastRenderedPageBreak/>
        <w:t xml:space="preserve">To estimate the coefficients for the </w:t>
      </w:r>
      <w:r w:rsidR="00806C28" w:rsidRPr="001569FB">
        <w:rPr>
          <w:szCs w:val="24"/>
        </w:rPr>
        <w:t>post-</w:t>
      </w:r>
      <w:r w:rsidRPr="001569FB">
        <w:rPr>
          <w:szCs w:val="24"/>
        </w:rPr>
        <w:t xml:space="preserve">graft </w:t>
      </w:r>
      <w:r w:rsidR="00806C28" w:rsidRPr="001569FB">
        <w:rPr>
          <w:szCs w:val="24"/>
        </w:rPr>
        <w:t xml:space="preserve">component of the ESRD </w:t>
      </w:r>
      <w:r w:rsidRPr="001569FB">
        <w:rPr>
          <w:szCs w:val="24"/>
        </w:rPr>
        <w:t xml:space="preserve">model, CMS starts by calibrating </w:t>
      </w:r>
      <w:r w:rsidR="00806C28" w:rsidRPr="001569FB">
        <w:rPr>
          <w:szCs w:val="24"/>
        </w:rPr>
        <w:t xml:space="preserve">both </w:t>
      </w:r>
      <w:r w:rsidR="00FE0854" w:rsidRPr="001569FB">
        <w:rPr>
          <w:szCs w:val="24"/>
        </w:rPr>
        <w:t xml:space="preserve">a </w:t>
      </w:r>
      <w:r w:rsidR="00806C28" w:rsidRPr="001569FB">
        <w:rPr>
          <w:szCs w:val="24"/>
        </w:rPr>
        <w:t>single</w:t>
      </w:r>
      <w:r w:rsidRPr="001569FB">
        <w:rPr>
          <w:szCs w:val="24"/>
        </w:rPr>
        <w:t xml:space="preserve"> community and </w:t>
      </w:r>
      <w:r w:rsidR="00806C28" w:rsidRPr="001569FB">
        <w:rPr>
          <w:szCs w:val="24"/>
        </w:rPr>
        <w:t xml:space="preserve">a single </w:t>
      </w:r>
      <w:r w:rsidRPr="001569FB">
        <w:rPr>
          <w:szCs w:val="24"/>
        </w:rPr>
        <w:t xml:space="preserve">institutional model segment for the general </w:t>
      </w:r>
      <w:r w:rsidR="00806C28" w:rsidRPr="001569FB">
        <w:rPr>
          <w:szCs w:val="24"/>
        </w:rPr>
        <w:t>FFS</w:t>
      </w:r>
      <w:r w:rsidRPr="001569FB">
        <w:rPr>
          <w:szCs w:val="24"/>
        </w:rPr>
        <w:t xml:space="preserve"> population, using the </w:t>
      </w:r>
      <w:r w:rsidR="00806C28" w:rsidRPr="001569FB">
        <w:rPr>
          <w:szCs w:val="24"/>
        </w:rPr>
        <w:t>FFS aged/disabled</w:t>
      </w:r>
      <w:r w:rsidRPr="001569FB">
        <w:rPr>
          <w:szCs w:val="24"/>
        </w:rPr>
        <w:t xml:space="preserve">, non-ESRD, model sample.  </w:t>
      </w:r>
      <w:r w:rsidR="00806C28" w:rsidRPr="001569FB">
        <w:rPr>
          <w:szCs w:val="24"/>
        </w:rPr>
        <w:t xml:space="preserve">Taking the resulting coefficients and holding them constant, we then use </w:t>
      </w:r>
      <w:r w:rsidRPr="001569FB">
        <w:rPr>
          <w:szCs w:val="24"/>
        </w:rPr>
        <w:t>the post</w:t>
      </w:r>
      <w:r w:rsidR="00806C28" w:rsidRPr="001569FB">
        <w:rPr>
          <w:szCs w:val="24"/>
        </w:rPr>
        <w:t>-</w:t>
      </w:r>
      <w:r w:rsidRPr="001569FB">
        <w:rPr>
          <w:szCs w:val="24"/>
        </w:rPr>
        <w:t>graft population</w:t>
      </w:r>
      <w:r w:rsidR="00806C28" w:rsidRPr="001569FB">
        <w:rPr>
          <w:szCs w:val="24"/>
        </w:rPr>
        <w:t xml:space="preserve"> (the population of beneficiaries who are in the fourth or later month after kidney transplant) to</w:t>
      </w:r>
      <w:r w:rsidRPr="001569FB">
        <w:rPr>
          <w:szCs w:val="24"/>
        </w:rPr>
        <w:t xml:space="preserve"> calibrate </w:t>
      </w:r>
      <w:r w:rsidR="00806C28" w:rsidRPr="001569FB">
        <w:rPr>
          <w:szCs w:val="24"/>
        </w:rPr>
        <w:t>coefficients for additional variables, as described below</w:t>
      </w:r>
      <w:r w:rsidR="00AD03CE" w:rsidRPr="001569FB">
        <w:rPr>
          <w:szCs w:val="24"/>
        </w:rPr>
        <w:t>.</w:t>
      </w:r>
      <w:r w:rsidR="00806C28" w:rsidRPr="001569FB">
        <w:rPr>
          <w:szCs w:val="24"/>
        </w:rPr>
        <w:t xml:space="preserve">  In this second calibration step, the following adjustments are made:</w:t>
      </w:r>
      <w:r w:rsidRPr="001569FB">
        <w:rPr>
          <w:szCs w:val="24"/>
        </w:rPr>
        <w:t xml:space="preserve"> </w:t>
      </w:r>
    </w:p>
    <w:p w14:paraId="5D3E59C1" w14:textId="77777777" w:rsidR="000875EC" w:rsidRPr="001569FB" w:rsidRDefault="000875EC" w:rsidP="00AC78D9">
      <w:pPr>
        <w:pStyle w:val="ListParagraph"/>
        <w:numPr>
          <w:ilvl w:val="0"/>
          <w:numId w:val="22"/>
        </w:numPr>
        <w:shd w:val="clear" w:color="auto" w:fill="FFFFFF"/>
        <w:spacing w:before="200" w:after="120"/>
        <w:contextualSpacing w:val="0"/>
        <w:rPr>
          <w:szCs w:val="24"/>
        </w:rPr>
      </w:pPr>
      <w:r w:rsidRPr="001569FB">
        <w:rPr>
          <w:szCs w:val="24"/>
        </w:rPr>
        <w:t xml:space="preserve">Kidney-related conditions are constrained to zero. </w:t>
      </w:r>
      <w:r w:rsidR="002D7EDD" w:rsidRPr="001569FB">
        <w:rPr>
          <w:szCs w:val="24"/>
        </w:rPr>
        <w:t xml:space="preserve"> </w:t>
      </w:r>
      <w:r w:rsidRPr="001569FB">
        <w:rPr>
          <w:szCs w:val="24"/>
        </w:rPr>
        <w:t xml:space="preserve">The HCC for </w:t>
      </w:r>
      <w:r w:rsidR="00C15D9E" w:rsidRPr="001569FB">
        <w:rPr>
          <w:szCs w:val="24"/>
        </w:rPr>
        <w:t>d</w:t>
      </w:r>
      <w:r w:rsidRPr="001569FB">
        <w:rPr>
          <w:szCs w:val="24"/>
        </w:rPr>
        <w:t xml:space="preserve">ialysis </w:t>
      </w:r>
      <w:r w:rsidR="00C15D9E" w:rsidRPr="001569FB">
        <w:rPr>
          <w:szCs w:val="24"/>
        </w:rPr>
        <w:t>s</w:t>
      </w:r>
      <w:r w:rsidRPr="001569FB">
        <w:rPr>
          <w:szCs w:val="24"/>
        </w:rPr>
        <w:t xml:space="preserve">tatus (HCC134) is constrained to zero, </w:t>
      </w:r>
      <w:r w:rsidR="004126E8" w:rsidRPr="001569FB">
        <w:rPr>
          <w:szCs w:val="24"/>
        </w:rPr>
        <w:t xml:space="preserve">because </w:t>
      </w:r>
      <w:r w:rsidRPr="001569FB">
        <w:rPr>
          <w:szCs w:val="24"/>
        </w:rPr>
        <w:t xml:space="preserve">this is a population defined by having a functioning kidney and not in dialysis status. </w:t>
      </w:r>
      <w:r w:rsidR="002D7EDD" w:rsidRPr="001569FB">
        <w:rPr>
          <w:szCs w:val="24"/>
        </w:rPr>
        <w:t xml:space="preserve"> </w:t>
      </w:r>
      <w:r w:rsidRPr="001569FB">
        <w:rPr>
          <w:szCs w:val="24"/>
        </w:rPr>
        <w:t xml:space="preserve">We have also constrained nephritis (HCC141) and acute and chronic kidney conditions (HCC134 through HCC 140) to be zero, </w:t>
      </w:r>
      <w:r w:rsidR="004126E8" w:rsidRPr="001569FB">
        <w:rPr>
          <w:szCs w:val="24"/>
        </w:rPr>
        <w:t>because</w:t>
      </w:r>
      <w:r w:rsidRPr="001569FB">
        <w:rPr>
          <w:szCs w:val="24"/>
        </w:rPr>
        <w:t xml:space="preserve"> the </w:t>
      </w:r>
      <w:r w:rsidR="00C15D9E" w:rsidRPr="001569FB">
        <w:rPr>
          <w:szCs w:val="24"/>
        </w:rPr>
        <w:t>post-</w:t>
      </w:r>
      <w:r w:rsidRPr="001569FB">
        <w:rPr>
          <w:szCs w:val="24"/>
        </w:rPr>
        <w:t xml:space="preserve">graft population is expected to have functioning kidneys and reports of kidney disease may be reflections of inconsistent coding, rather than changes in health status. </w:t>
      </w:r>
    </w:p>
    <w:p w14:paraId="3C061C4D" w14:textId="77777777" w:rsidR="000875EC" w:rsidRPr="001569FB" w:rsidRDefault="000875EC" w:rsidP="00AC78D9">
      <w:pPr>
        <w:pStyle w:val="ListParagraph"/>
        <w:numPr>
          <w:ilvl w:val="0"/>
          <w:numId w:val="22"/>
        </w:numPr>
        <w:shd w:val="clear" w:color="auto" w:fill="FFFFFF"/>
        <w:spacing w:after="120"/>
        <w:contextualSpacing w:val="0"/>
        <w:rPr>
          <w:szCs w:val="24"/>
        </w:rPr>
      </w:pPr>
      <w:r w:rsidRPr="001569FB">
        <w:rPr>
          <w:szCs w:val="24"/>
        </w:rPr>
        <w:t xml:space="preserve">The following HCCs were not estimated </w:t>
      </w:r>
      <w:r w:rsidR="00C15D9E" w:rsidRPr="001569FB">
        <w:rPr>
          <w:szCs w:val="24"/>
        </w:rPr>
        <w:t>using</w:t>
      </w:r>
      <w:r w:rsidRPr="001569FB">
        <w:rPr>
          <w:szCs w:val="24"/>
        </w:rPr>
        <w:t xml:space="preserve"> the aged/disabled </w:t>
      </w:r>
      <w:r w:rsidR="00C15D9E" w:rsidRPr="001569FB">
        <w:rPr>
          <w:szCs w:val="24"/>
        </w:rPr>
        <w:t>population</w:t>
      </w:r>
      <w:r w:rsidRPr="001569FB">
        <w:rPr>
          <w:szCs w:val="24"/>
        </w:rPr>
        <w:t xml:space="preserve">, but were instead estimated specifically </w:t>
      </w:r>
      <w:r w:rsidR="00C15D9E" w:rsidRPr="001569FB">
        <w:rPr>
          <w:szCs w:val="24"/>
        </w:rPr>
        <w:t>using</w:t>
      </w:r>
      <w:r w:rsidRPr="001569FB">
        <w:rPr>
          <w:szCs w:val="24"/>
        </w:rPr>
        <w:t xml:space="preserve"> the post-graft </w:t>
      </w:r>
      <w:r w:rsidR="00C15D9E" w:rsidRPr="001569FB">
        <w:rPr>
          <w:szCs w:val="24"/>
        </w:rPr>
        <w:t>population</w:t>
      </w:r>
      <w:r w:rsidRPr="001569FB">
        <w:rPr>
          <w:szCs w:val="24"/>
        </w:rPr>
        <w:t xml:space="preserve"> because the predicted expenditures for these HCCs are systematically different for the </w:t>
      </w:r>
      <w:r w:rsidR="00C15D9E" w:rsidRPr="001569FB">
        <w:rPr>
          <w:szCs w:val="24"/>
        </w:rPr>
        <w:t>post-</w:t>
      </w:r>
      <w:r w:rsidRPr="001569FB">
        <w:rPr>
          <w:szCs w:val="24"/>
        </w:rPr>
        <w:t>graft population:</w:t>
      </w:r>
    </w:p>
    <w:p w14:paraId="517891FC" w14:textId="77777777" w:rsidR="000875EC" w:rsidRPr="001569FB" w:rsidRDefault="000875EC" w:rsidP="00AC78D9">
      <w:pPr>
        <w:pStyle w:val="ListParagraph"/>
        <w:numPr>
          <w:ilvl w:val="1"/>
          <w:numId w:val="22"/>
        </w:numPr>
        <w:shd w:val="clear" w:color="auto" w:fill="FFFFFF"/>
        <w:spacing w:after="200"/>
        <w:rPr>
          <w:szCs w:val="24"/>
        </w:rPr>
      </w:pPr>
      <w:r w:rsidRPr="001569FB">
        <w:rPr>
          <w:szCs w:val="24"/>
        </w:rPr>
        <w:t>HCC176: Complications of Specified Implanted Device or Graft</w:t>
      </w:r>
    </w:p>
    <w:p w14:paraId="19854C7D" w14:textId="77777777" w:rsidR="000875EC" w:rsidRPr="001569FB" w:rsidRDefault="000875EC" w:rsidP="00AC78D9">
      <w:pPr>
        <w:pStyle w:val="ListParagraph"/>
        <w:numPr>
          <w:ilvl w:val="1"/>
          <w:numId w:val="22"/>
        </w:numPr>
        <w:shd w:val="clear" w:color="auto" w:fill="FFFFFF"/>
        <w:spacing w:after="120"/>
        <w:contextualSpacing w:val="0"/>
        <w:rPr>
          <w:szCs w:val="24"/>
        </w:rPr>
      </w:pPr>
      <w:r w:rsidRPr="001569FB">
        <w:rPr>
          <w:szCs w:val="24"/>
        </w:rPr>
        <w:t xml:space="preserve">HCC186: Major Organ Transplant or Replacement Status </w:t>
      </w:r>
    </w:p>
    <w:p w14:paraId="29D40604" w14:textId="3148200E" w:rsidR="000875EC" w:rsidRPr="001569FB" w:rsidRDefault="000875EC" w:rsidP="00AC78D9">
      <w:pPr>
        <w:pStyle w:val="ListParagraph"/>
        <w:numPr>
          <w:ilvl w:val="0"/>
          <w:numId w:val="22"/>
        </w:numPr>
        <w:shd w:val="clear" w:color="auto" w:fill="FFFFFF"/>
        <w:spacing w:before="120" w:after="200"/>
        <w:rPr>
          <w:szCs w:val="24"/>
        </w:rPr>
      </w:pPr>
      <w:r w:rsidRPr="001569FB">
        <w:rPr>
          <w:szCs w:val="24"/>
        </w:rPr>
        <w:t xml:space="preserve">There is a set of </w:t>
      </w:r>
      <w:r w:rsidR="00346D95" w:rsidRPr="001569FB">
        <w:rPr>
          <w:szCs w:val="24"/>
        </w:rPr>
        <w:t>post-</w:t>
      </w:r>
      <w:r w:rsidRPr="001569FB">
        <w:rPr>
          <w:szCs w:val="24"/>
        </w:rPr>
        <w:t xml:space="preserve">graft “add on” </w:t>
      </w:r>
      <w:r w:rsidR="00621475" w:rsidRPr="001569FB">
        <w:rPr>
          <w:szCs w:val="24"/>
        </w:rPr>
        <w:t>factors, which</w:t>
      </w:r>
      <w:r w:rsidRPr="001569FB">
        <w:rPr>
          <w:szCs w:val="24"/>
        </w:rPr>
        <w:t xml:space="preserve"> vary depending on the amount of time that has elapsed since kidney transplant.</w:t>
      </w:r>
      <w:r w:rsidR="002D7EDD" w:rsidRPr="001569FB">
        <w:rPr>
          <w:szCs w:val="24"/>
        </w:rPr>
        <w:t xml:space="preserve"> </w:t>
      </w:r>
      <w:r w:rsidRPr="001569FB">
        <w:rPr>
          <w:szCs w:val="24"/>
        </w:rPr>
        <w:t xml:space="preserve"> These “add on” factors take into account the additional cost of immunosuppressant drugs, as well as health status differences between the post-graft population and the non-ESRD population.  There are separate factors for beneficiaries during the 4-9 months after a transplant and 10+ months after a transplant.  Note that payment for the post-graft population is dependent on when a kidney transplant occurred, and not on </w:t>
      </w:r>
      <w:r w:rsidR="00346D95" w:rsidRPr="001569FB">
        <w:rPr>
          <w:szCs w:val="24"/>
        </w:rPr>
        <w:t xml:space="preserve">Medicare entitlement due to </w:t>
      </w:r>
      <w:r w:rsidRPr="001569FB">
        <w:rPr>
          <w:szCs w:val="24"/>
        </w:rPr>
        <w:t xml:space="preserve">ESRD status.  Therefore, </w:t>
      </w:r>
      <w:r w:rsidR="00B5000E" w:rsidRPr="001569FB">
        <w:rPr>
          <w:szCs w:val="24"/>
        </w:rPr>
        <w:t>risk adjust</w:t>
      </w:r>
      <w:r w:rsidR="008A66A0" w:rsidRPr="001569FB">
        <w:rPr>
          <w:szCs w:val="24"/>
        </w:rPr>
        <w:t>ed</w:t>
      </w:r>
      <w:r w:rsidR="00B5000E" w:rsidRPr="001569FB">
        <w:rPr>
          <w:szCs w:val="24"/>
        </w:rPr>
        <w:t xml:space="preserve"> </w:t>
      </w:r>
      <w:r w:rsidR="00C0289D" w:rsidRPr="001569FB">
        <w:rPr>
          <w:szCs w:val="24"/>
        </w:rPr>
        <w:t>payments</w:t>
      </w:r>
      <w:r w:rsidR="00B5000E" w:rsidRPr="001569FB">
        <w:rPr>
          <w:szCs w:val="24"/>
        </w:rPr>
        <w:t xml:space="preserve"> for </w:t>
      </w:r>
      <w:r w:rsidRPr="001569FB">
        <w:rPr>
          <w:szCs w:val="24"/>
        </w:rPr>
        <w:t xml:space="preserve">a beneficiary who has had a kidney transplant and remains in </w:t>
      </w:r>
      <w:r w:rsidR="00AD03CE" w:rsidRPr="001569FB">
        <w:rPr>
          <w:szCs w:val="24"/>
        </w:rPr>
        <w:t>post-</w:t>
      </w:r>
      <w:r w:rsidRPr="001569FB">
        <w:rPr>
          <w:szCs w:val="24"/>
        </w:rPr>
        <w:t xml:space="preserve">graft status will be </w:t>
      </w:r>
      <w:r w:rsidR="00C0289D" w:rsidRPr="001569FB">
        <w:rPr>
          <w:szCs w:val="24"/>
        </w:rPr>
        <w:t xml:space="preserve">calculated </w:t>
      </w:r>
      <w:r w:rsidR="00E54A9E" w:rsidRPr="001569FB">
        <w:rPr>
          <w:szCs w:val="24"/>
        </w:rPr>
        <w:t>based on</w:t>
      </w:r>
      <w:r w:rsidRPr="001569FB">
        <w:rPr>
          <w:szCs w:val="24"/>
        </w:rPr>
        <w:t xml:space="preserve"> the post-graft model.</w:t>
      </w:r>
    </w:p>
    <w:p w14:paraId="45F7A08B" w14:textId="77777777" w:rsidR="000875EC" w:rsidRPr="001569FB" w:rsidRDefault="000875EC" w:rsidP="002707EC">
      <w:pPr>
        <w:shd w:val="clear" w:color="auto" w:fill="FFFFFF"/>
        <w:spacing w:after="200"/>
        <w:rPr>
          <w:color w:val="000000"/>
          <w:szCs w:val="24"/>
        </w:rPr>
      </w:pPr>
      <w:r w:rsidRPr="001569FB">
        <w:rPr>
          <w:szCs w:val="24"/>
        </w:rPr>
        <w:t xml:space="preserve">Updating the handling of Medicaid and recalibrating a model with more recent data can change the marginal cost attributed to specific HCCs. </w:t>
      </w:r>
      <w:r w:rsidR="002D7EDD" w:rsidRPr="001569FB">
        <w:rPr>
          <w:szCs w:val="24"/>
        </w:rPr>
        <w:t xml:space="preserve"> </w:t>
      </w:r>
      <w:r w:rsidRPr="001569FB">
        <w:rPr>
          <w:szCs w:val="24"/>
        </w:rPr>
        <w:t>Because of changes in the coefficient estimates and relative factors, risk scores for individuals and plan risk scores may change, depending on each individual’s contribution of diagnoses.</w:t>
      </w:r>
    </w:p>
    <w:p w14:paraId="47D6CD36" w14:textId="65601BFF" w:rsidR="00A47736" w:rsidRPr="001569FB" w:rsidRDefault="00FE26A8" w:rsidP="0064353A">
      <w:pPr>
        <w:pStyle w:val="Heading2"/>
      </w:pPr>
      <w:bookmarkStart w:id="233" w:name="_Toc505253782"/>
      <w:r w:rsidRPr="001569FB">
        <w:t xml:space="preserve">Section </w:t>
      </w:r>
      <w:r w:rsidR="00881B21" w:rsidRPr="001569FB">
        <w:t>J</w:t>
      </w:r>
      <w:r w:rsidRPr="001569FB">
        <w:t xml:space="preserve">. </w:t>
      </w:r>
      <w:r w:rsidR="007A6384" w:rsidRPr="001569FB">
        <w:t xml:space="preserve"> </w:t>
      </w:r>
      <w:r w:rsidR="008A5FBF" w:rsidRPr="001569FB">
        <w:t>Frailty Adjustment for PACE organizations and FIDE SNPs</w:t>
      </w:r>
      <w:bookmarkEnd w:id="233"/>
    </w:p>
    <w:p w14:paraId="425A8C6C" w14:textId="76785A89" w:rsidR="004C051C" w:rsidRPr="001569FB" w:rsidRDefault="004604AF">
      <w:pPr>
        <w:rPr>
          <w:szCs w:val="24"/>
        </w:rPr>
      </w:pPr>
      <w:r w:rsidRPr="001569FB">
        <w:rPr>
          <w:szCs w:val="24"/>
        </w:rPr>
        <w:t>Section 1894(d)(2) of the Act requires CMS to take into account the frailty of the PACE population when making payments to PACE organizations</w:t>
      </w:r>
      <w:r w:rsidR="00321B56" w:rsidRPr="001569FB">
        <w:rPr>
          <w:szCs w:val="24"/>
        </w:rPr>
        <w:t xml:space="preserve">. </w:t>
      </w:r>
      <w:r w:rsidRPr="001569FB">
        <w:rPr>
          <w:szCs w:val="24"/>
        </w:rPr>
        <w:t xml:space="preserve">Section 1853(a)(1)(B)(iv) allows CMS to make an additional payment adjustment </w:t>
      </w:r>
      <w:r w:rsidR="00321B56" w:rsidRPr="001569FB">
        <w:rPr>
          <w:szCs w:val="24"/>
        </w:rPr>
        <w:t xml:space="preserve">that </w:t>
      </w:r>
      <w:r w:rsidRPr="001569FB">
        <w:rPr>
          <w:szCs w:val="24"/>
        </w:rPr>
        <w:t>take</w:t>
      </w:r>
      <w:r w:rsidR="00321B56" w:rsidRPr="001569FB">
        <w:rPr>
          <w:szCs w:val="24"/>
        </w:rPr>
        <w:t>s</w:t>
      </w:r>
      <w:r w:rsidRPr="001569FB">
        <w:rPr>
          <w:szCs w:val="24"/>
        </w:rPr>
        <w:t xml:space="preserve"> into account the frailty of Fully </w:t>
      </w:r>
      <w:r w:rsidRPr="001569FB">
        <w:rPr>
          <w:szCs w:val="24"/>
        </w:rPr>
        <w:lastRenderedPageBreak/>
        <w:t xml:space="preserve">Integrated Dual Eligible (FIDE) Special Needs Plans (SNPs), if the FIDE SNP has similar average levels of frailty to the PACE program. </w:t>
      </w:r>
      <w:r w:rsidR="002D7EDD" w:rsidRPr="001569FB">
        <w:rPr>
          <w:szCs w:val="24"/>
        </w:rPr>
        <w:t xml:space="preserve"> </w:t>
      </w:r>
    </w:p>
    <w:p w14:paraId="0248BF9C" w14:textId="77777777" w:rsidR="004C051C" w:rsidRPr="001569FB" w:rsidRDefault="004C051C" w:rsidP="008E38C8">
      <w:pPr>
        <w:spacing w:before="200" w:after="200"/>
        <w:rPr>
          <w:szCs w:val="24"/>
        </w:rPr>
      </w:pPr>
      <w:r w:rsidRPr="001569FB">
        <w:rPr>
          <w:szCs w:val="24"/>
        </w:rPr>
        <w:t>CMS estimates frailty factors to explain additional cost not explained by diagnoses in the CMS-HCC model. The factors are updated whenever the CMS-HCC model is updated. Since CMS is proposing to implement the “Payment Condition Count” model in 2019, we are also proposing updated frailty factors based on this model. These frailty factors are included in the calculation that determines frailty scores for FIDE SNPs. There is no change proposed to the frailty factors included in the frailty score calculation for PACE organizations in PY 2019.</w:t>
      </w:r>
    </w:p>
    <w:p w14:paraId="1A9E358D" w14:textId="556EA5A6" w:rsidR="004C051C" w:rsidRPr="001569FB" w:rsidRDefault="004C051C" w:rsidP="004C051C">
      <w:pPr>
        <w:rPr>
          <w:szCs w:val="24"/>
        </w:rPr>
      </w:pPr>
      <w:r w:rsidRPr="001569FB">
        <w:rPr>
          <w:szCs w:val="24"/>
        </w:rPr>
        <w:t>Consistent with CMS’ proposal to blend risk scores, for FIDE SNP’s a blended frailty score will be compared with PACE frailty in the same manner as for PY 2018 to determine whether that FIDE SNP has a similar average level of frailty as PACE.  The frailty factors for the CMS-HCC model used in payment years 2017 and 2018 can be found in the Announcement of Calendar Year (CY) 2017 Medicare Advantage Capitation Rates and Medicare Advantage and Part D Payment Policies and Final Call Letter.</w:t>
      </w:r>
    </w:p>
    <w:p w14:paraId="75FBC03C" w14:textId="32997727" w:rsidR="008A5FBF" w:rsidRPr="001569FB" w:rsidRDefault="004604AF" w:rsidP="002707EC">
      <w:pPr>
        <w:spacing w:before="200" w:after="200"/>
        <w:rPr>
          <w:szCs w:val="24"/>
        </w:rPr>
      </w:pPr>
      <w:r w:rsidRPr="001569FB">
        <w:rPr>
          <w:szCs w:val="24"/>
        </w:rPr>
        <w:t>MAOs that are planning to sponsor a FIDE SNP, and that wish to receive frailty payments in 2019, must contract with a certified vendor to field the 2018 Health Outcomes Survey (HOS), or the 2018 Modified Health Outcomes Survey (HOS-M) at the PBP level.</w:t>
      </w:r>
      <w:r w:rsidR="00F21D20" w:rsidRPr="001569FB">
        <w:rPr>
          <w:szCs w:val="24"/>
        </w:rPr>
        <w:t xml:space="preserve"> </w:t>
      </w:r>
      <w:r w:rsidRPr="001569FB">
        <w:rPr>
          <w:szCs w:val="24"/>
        </w:rPr>
        <w:t xml:space="preserve"> CMS uses activities of daily living (ADLs) obtained from the HOS survey or HOS-M survey, to calculate frailty scores. </w:t>
      </w:r>
      <w:r w:rsidR="00F21D20" w:rsidRPr="001569FB">
        <w:rPr>
          <w:szCs w:val="24"/>
        </w:rPr>
        <w:t xml:space="preserve"> </w:t>
      </w:r>
      <w:r w:rsidRPr="001569FB">
        <w:rPr>
          <w:szCs w:val="24"/>
        </w:rPr>
        <w:t xml:space="preserve"> </w:t>
      </w:r>
      <w:r w:rsidR="002D7EDD" w:rsidRPr="001569FB">
        <w:rPr>
          <w:szCs w:val="24"/>
        </w:rPr>
        <w:t xml:space="preserve"> </w:t>
      </w:r>
      <w:r w:rsidRPr="001569FB">
        <w:rPr>
          <w:szCs w:val="24"/>
        </w:rPr>
        <w:t>Table II-</w:t>
      </w:r>
      <w:r w:rsidR="00A215AB" w:rsidRPr="001569FB">
        <w:rPr>
          <w:szCs w:val="24"/>
        </w:rPr>
        <w:t xml:space="preserve">4 </w:t>
      </w:r>
      <w:r w:rsidRPr="001569FB">
        <w:rPr>
          <w:szCs w:val="24"/>
        </w:rPr>
        <w:t>presents the preliminary recalibrated frailty factors for CY 2019</w:t>
      </w:r>
      <w:r w:rsidR="00384D54" w:rsidRPr="001569FB">
        <w:rPr>
          <w:szCs w:val="24"/>
        </w:rPr>
        <w:t xml:space="preserve"> using the “Payment Condition Count” model proposed in Part I of the Advance Notice, published December 27</w:t>
      </w:r>
      <w:r w:rsidR="00767E57" w:rsidRPr="001569FB">
        <w:rPr>
          <w:szCs w:val="24"/>
        </w:rPr>
        <w:t>,</w:t>
      </w:r>
      <w:r w:rsidR="00384D54" w:rsidRPr="001569FB">
        <w:rPr>
          <w:szCs w:val="24"/>
        </w:rPr>
        <w:t xml:space="preserve"> 2017</w:t>
      </w:r>
      <w:r w:rsidRPr="001569FB">
        <w:rPr>
          <w:szCs w:val="24"/>
        </w:rPr>
        <w:t>.</w:t>
      </w:r>
    </w:p>
    <w:p w14:paraId="560ABE73" w14:textId="447CE18B" w:rsidR="008A5FBF" w:rsidRPr="001569FB" w:rsidRDefault="008A5FBF" w:rsidP="00A841B3">
      <w:pPr>
        <w:pStyle w:val="TableTitle0"/>
        <w:rPr>
          <w:szCs w:val="24"/>
        </w:rPr>
      </w:pPr>
      <w:bookmarkStart w:id="234" w:name="Section_M.__Encounter_Data_as_a_Diagnosi"/>
      <w:bookmarkStart w:id="235" w:name="bookmark1"/>
      <w:bookmarkEnd w:id="234"/>
      <w:bookmarkEnd w:id="235"/>
      <w:r w:rsidRPr="001569FB">
        <w:rPr>
          <w:szCs w:val="24"/>
        </w:rPr>
        <w:t>Table II-</w:t>
      </w:r>
      <w:r w:rsidR="00A215AB" w:rsidRPr="001569FB">
        <w:rPr>
          <w:szCs w:val="24"/>
        </w:rPr>
        <w:t>4</w:t>
      </w:r>
      <w:r w:rsidRPr="001569FB">
        <w:rPr>
          <w:szCs w:val="24"/>
        </w:rPr>
        <w:t>. FIDE SNP Frailty Factors for CY 201</w:t>
      </w:r>
      <w:r w:rsidR="004D6FFB" w:rsidRPr="001569FB">
        <w:rPr>
          <w:szCs w:val="24"/>
        </w:rPr>
        <w:t>9</w:t>
      </w:r>
    </w:p>
    <w:tbl>
      <w:tblPr>
        <w:tblW w:w="0" w:type="auto"/>
        <w:tblInd w:w="1587" w:type="dxa"/>
        <w:tblLayout w:type="fixed"/>
        <w:tblCellMar>
          <w:left w:w="0" w:type="dxa"/>
          <w:right w:w="0" w:type="dxa"/>
        </w:tblCellMar>
        <w:tblLook w:val="0000" w:firstRow="0" w:lastRow="0" w:firstColumn="0" w:lastColumn="0" w:noHBand="0" w:noVBand="0"/>
      </w:tblPr>
      <w:tblGrid>
        <w:gridCol w:w="1468"/>
        <w:gridCol w:w="1802"/>
        <w:gridCol w:w="2180"/>
      </w:tblGrid>
      <w:tr w:rsidR="008A5FBF" w:rsidRPr="001569FB" w14:paraId="1C9CC91E" w14:textId="77777777" w:rsidTr="00BA36E3">
        <w:trPr>
          <w:cantSplit/>
          <w:trHeight w:hRule="exact" w:val="288"/>
          <w:tblHeader/>
        </w:trPr>
        <w:tc>
          <w:tcPr>
            <w:tcW w:w="1468" w:type="dxa"/>
            <w:tcBorders>
              <w:top w:val="single" w:sz="4" w:space="0" w:color="auto"/>
              <w:left w:val="single" w:sz="4" w:space="0" w:color="auto"/>
              <w:bottom w:val="single" w:sz="4" w:space="0" w:color="auto"/>
              <w:right w:val="single" w:sz="4" w:space="0" w:color="auto"/>
            </w:tcBorders>
            <w:shd w:val="clear" w:color="auto" w:fill="DDD9C3"/>
          </w:tcPr>
          <w:p w14:paraId="753916F8"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ADL</w:t>
            </w:r>
          </w:p>
        </w:tc>
        <w:tc>
          <w:tcPr>
            <w:tcW w:w="1802" w:type="dxa"/>
            <w:tcBorders>
              <w:top w:val="single" w:sz="4" w:space="0" w:color="000000"/>
              <w:left w:val="single" w:sz="4" w:space="0" w:color="auto"/>
              <w:bottom w:val="single" w:sz="4" w:space="0" w:color="000000"/>
              <w:right w:val="single" w:sz="4" w:space="0" w:color="000000"/>
            </w:tcBorders>
            <w:shd w:val="clear" w:color="auto" w:fill="DDD9C3"/>
          </w:tcPr>
          <w:p w14:paraId="2A331617"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Non-Medicaid</w:t>
            </w:r>
          </w:p>
        </w:tc>
        <w:tc>
          <w:tcPr>
            <w:tcW w:w="2180" w:type="dxa"/>
            <w:tcBorders>
              <w:top w:val="single" w:sz="4" w:space="0" w:color="000000"/>
              <w:left w:val="single" w:sz="4" w:space="0" w:color="000000"/>
              <w:bottom w:val="single" w:sz="4" w:space="0" w:color="000000"/>
              <w:right w:val="single" w:sz="4" w:space="0" w:color="000000"/>
            </w:tcBorders>
            <w:shd w:val="clear" w:color="auto" w:fill="DDD9C3"/>
          </w:tcPr>
          <w:p w14:paraId="04E33CB6" w14:textId="77777777" w:rsidR="008A5FBF" w:rsidRPr="001569FB" w:rsidRDefault="008A5FBF" w:rsidP="00A841B3">
            <w:pPr>
              <w:pStyle w:val="TableParagraph"/>
              <w:keepNext/>
              <w:keepLines/>
              <w:widowControl/>
              <w:kinsoku w:val="0"/>
              <w:overflowPunct w:val="0"/>
              <w:ind w:left="508"/>
              <w:rPr>
                <w:rFonts w:ascii="Times New Roman" w:hAnsi="Times New Roman" w:cs="Times New Roman"/>
                <w:b/>
                <w:sz w:val="24"/>
                <w:szCs w:val="24"/>
              </w:rPr>
            </w:pPr>
            <w:r w:rsidRPr="001569FB">
              <w:rPr>
                <w:rFonts w:ascii="Times New Roman" w:hAnsi="Times New Roman" w:cs="Times New Roman"/>
                <w:b/>
                <w:sz w:val="24"/>
                <w:szCs w:val="24"/>
              </w:rPr>
              <w:t>Medicaid</w:t>
            </w:r>
          </w:p>
        </w:tc>
      </w:tr>
      <w:tr w:rsidR="008A5FBF" w:rsidRPr="001569FB" w14:paraId="06595223"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5DC43D0" w14:textId="7720C8FB"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0</w:t>
            </w:r>
          </w:p>
        </w:tc>
        <w:tc>
          <w:tcPr>
            <w:tcW w:w="1802" w:type="dxa"/>
            <w:tcBorders>
              <w:top w:val="single" w:sz="4" w:space="0" w:color="000000"/>
              <w:left w:val="single" w:sz="4" w:space="0" w:color="auto"/>
              <w:bottom w:val="single" w:sz="4" w:space="0" w:color="000000"/>
              <w:right w:val="single" w:sz="4" w:space="0" w:color="000000"/>
            </w:tcBorders>
          </w:tcPr>
          <w:p w14:paraId="2E225A15" w14:textId="090D1D03" w:rsidR="008A5FBF" w:rsidRPr="001569FB" w:rsidRDefault="008E38C8" w:rsidP="008E38C8">
            <w:pPr>
              <w:pStyle w:val="TableParagraph"/>
              <w:keepNext/>
              <w:keepLines/>
              <w:widowControl/>
              <w:tabs>
                <w:tab w:val="decimal" w:pos="720"/>
              </w:tabs>
              <w:kinsoku w:val="0"/>
              <w:overflowPunct w:val="0"/>
              <w:ind w:left="461"/>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0.078</w:t>
            </w:r>
          </w:p>
        </w:tc>
        <w:tc>
          <w:tcPr>
            <w:tcW w:w="2180" w:type="dxa"/>
            <w:tcBorders>
              <w:top w:val="single" w:sz="4" w:space="0" w:color="000000"/>
              <w:left w:val="single" w:sz="4" w:space="0" w:color="000000"/>
              <w:bottom w:val="single" w:sz="4" w:space="0" w:color="000000"/>
              <w:right w:val="single" w:sz="4" w:space="0" w:color="000000"/>
            </w:tcBorders>
          </w:tcPr>
          <w:p w14:paraId="76E69119" w14:textId="0C7C598B" w:rsidR="008A5FBF" w:rsidRPr="001569FB" w:rsidRDefault="008E38C8" w:rsidP="008E38C8">
            <w:pPr>
              <w:pStyle w:val="TableParagraph"/>
              <w:keepNext/>
              <w:keepLines/>
              <w:widowControl/>
              <w:tabs>
                <w:tab w:val="decimal" w:pos="808"/>
              </w:tabs>
              <w:kinsoku w:val="0"/>
              <w:overflowPunct w:val="0"/>
              <w:ind w:left="-2"/>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0.141</w:t>
            </w:r>
          </w:p>
        </w:tc>
      </w:tr>
      <w:tr w:rsidR="008A5FBF" w:rsidRPr="001569FB" w14:paraId="4CDA19EC"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2BB0CB7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1-2</w:t>
            </w:r>
          </w:p>
        </w:tc>
        <w:tc>
          <w:tcPr>
            <w:tcW w:w="1802" w:type="dxa"/>
            <w:tcBorders>
              <w:top w:val="single" w:sz="4" w:space="0" w:color="000000"/>
              <w:left w:val="single" w:sz="4" w:space="0" w:color="auto"/>
              <w:bottom w:val="single" w:sz="4" w:space="0" w:color="000000"/>
              <w:right w:val="single" w:sz="4" w:space="0" w:color="000000"/>
            </w:tcBorders>
          </w:tcPr>
          <w:p w14:paraId="387ADB17"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0.161</w:t>
            </w:r>
          </w:p>
        </w:tc>
        <w:tc>
          <w:tcPr>
            <w:tcW w:w="2180" w:type="dxa"/>
            <w:tcBorders>
              <w:top w:val="single" w:sz="4" w:space="0" w:color="000000"/>
              <w:left w:val="single" w:sz="4" w:space="0" w:color="000000"/>
              <w:bottom w:val="single" w:sz="4" w:space="0" w:color="000000"/>
              <w:right w:val="single" w:sz="4" w:space="0" w:color="000000"/>
            </w:tcBorders>
          </w:tcPr>
          <w:p w14:paraId="5C33DE0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0.021</w:t>
            </w:r>
          </w:p>
        </w:tc>
      </w:tr>
      <w:tr w:rsidR="008A5FBF" w:rsidRPr="001569FB" w14:paraId="3B8088BD"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662148F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3-4</w:t>
            </w:r>
          </w:p>
        </w:tc>
        <w:tc>
          <w:tcPr>
            <w:tcW w:w="1802" w:type="dxa"/>
            <w:tcBorders>
              <w:top w:val="single" w:sz="4" w:space="0" w:color="000000"/>
              <w:left w:val="single" w:sz="4" w:space="0" w:color="auto"/>
              <w:bottom w:val="single" w:sz="4" w:space="0" w:color="000000"/>
              <w:right w:val="single" w:sz="4" w:space="0" w:color="000000"/>
            </w:tcBorders>
            <w:shd w:val="clear" w:color="auto" w:fill="auto"/>
          </w:tcPr>
          <w:p w14:paraId="25F97B49"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6EFB588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0.151</w:t>
            </w:r>
          </w:p>
        </w:tc>
      </w:tr>
      <w:tr w:rsidR="008A5FBF" w:rsidRPr="001569FB" w14:paraId="42DC6628"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D0A95FF" w14:textId="77777777" w:rsidR="008A5FBF" w:rsidRPr="001569FB" w:rsidRDefault="008A5FBF" w:rsidP="002707EC">
            <w:pPr>
              <w:pStyle w:val="TableParagraph"/>
              <w:kinsoku w:val="0"/>
              <w:overflowPunct w:val="0"/>
              <w:spacing w:line="268" w:lineRule="exact"/>
              <w:jc w:val="center"/>
              <w:rPr>
                <w:rFonts w:ascii="Times New Roman" w:hAnsi="Times New Roman" w:cs="Times New Roman"/>
                <w:sz w:val="24"/>
                <w:szCs w:val="24"/>
              </w:rPr>
            </w:pPr>
            <w:bookmarkStart w:id="236" w:name="Section_L.__Medical_Loss_Ratio_Credibili"/>
            <w:bookmarkStart w:id="237" w:name="bookmark0"/>
            <w:bookmarkEnd w:id="236"/>
            <w:bookmarkEnd w:id="237"/>
            <w:r w:rsidRPr="001569FB">
              <w:rPr>
                <w:rFonts w:ascii="Times New Roman" w:hAnsi="Times New Roman" w:cs="Times New Roman"/>
                <w:sz w:val="24"/>
                <w:szCs w:val="24"/>
              </w:rPr>
              <w:t>5-6</w:t>
            </w:r>
          </w:p>
        </w:tc>
        <w:tc>
          <w:tcPr>
            <w:tcW w:w="1802" w:type="dxa"/>
            <w:tcBorders>
              <w:top w:val="single" w:sz="4" w:space="0" w:color="000000"/>
              <w:left w:val="single" w:sz="4" w:space="0" w:color="auto"/>
              <w:bottom w:val="single" w:sz="4" w:space="0" w:color="000000"/>
              <w:right w:val="single" w:sz="4" w:space="0" w:color="000000"/>
            </w:tcBorders>
          </w:tcPr>
          <w:p w14:paraId="2A294196" w14:textId="77777777" w:rsidR="008A5FBF" w:rsidRPr="001569FB" w:rsidRDefault="00384D54" w:rsidP="008E38C8">
            <w:pPr>
              <w:pStyle w:val="TableParagraph"/>
              <w:tabs>
                <w:tab w:val="decimal" w:pos="720"/>
              </w:tabs>
              <w:kinsoku w:val="0"/>
              <w:overflowPunct w:val="0"/>
              <w:spacing w:line="268" w:lineRule="exact"/>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0BC5EB31" w14:textId="77777777" w:rsidR="008A5FBF" w:rsidRPr="001569FB" w:rsidRDefault="00384D54" w:rsidP="008E38C8">
            <w:pPr>
              <w:pStyle w:val="TableParagraph"/>
              <w:tabs>
                <w:tab w:val="decimal" w:pos="808"/>
              </w:tabs>
              <w:kinsoku w:val="0"/>
              <w:overflowPunct w:val="0"/>
              <w:spacing w:line="268" w:lineRule="exact"/>
              <w:ind w:left="-2" w:right="869"/>
              <w:rPr>
                <w:rFonts w:ascii="Times New Roman" w:hAnsi="Times New Roman" w:cs="Times New Roman"/>
                <w:sz w:val="24"/>
                <w:szCs w:val="24"/>
              </w:rPr>
            </w:pPr>
            <w:r w:rsidRPr="001569FB">
              <w:rPr>
                <w:rFonts w:ascii="Times New Roman" w:hAnsi="Times New Roman" w:cs="Times New Roman"/>
                <w:sz w:val="24"/>
                <w:szCs w:val="24"/>
              </w:rPr>
              <w:t>0.371</w:t>
            </w:r>
          </w:p>
        </w:tc>
      </w:tr>
    </w:tbl>
    <w:p w14:paraId="0C32A9A3" w14:textId="77777777" w:rsidR="00C62A4E" w:rsidRPr="001569FB" w:rsidRDefault="00647FDB" w:rsidP="002707EC">
      <w:pPr>
        <w:pStyle w:val="Heading2"/>
        <w:spacing w:before="360"/>
      </w:pPr>
      <w:bookmarkStart w:id="238" w:name="_Toc505253783"/>
      <w:r w:rsidRPr="001569FB">
        <w:t xml:space="preserve">Section </w:t>
      </w:r>
      <w:r w:rsidR="00881B21" w:rsidRPr="001569FB">
        <w:t>K</w:t>
      </w:r>
      <w:r w:rsidR="0009570A" w:rsidRPr="001569FB">
        <w:t>.</w:t>
      </w:r>
      <w:r w:rsidR="00BF60A0" w:rsidRPr="001569FB">
        <w:t xml:space="preserve">  </w:t>
      </w:r>
      <w:r w:rsidR="006F473A" w:rsidRPr="001569FB">
        <w:t>Medicare Advantage Coding Pattern Adjustment</w:t>
      </w:r>
      <w:bookmarkEnd w:id="223"/>
      <w:bookmarkEnd w:id="224"/>
      <w:bookmarkEnd w:id="238"/>
    </w:p>
    <w:p w14:paraId="0EA28BD7" w14:textId="77777777" w:rsidR="00033D34" w:rsidRPr="001569FB" w:rsidRDefault="00777923" w:rsidP="002707EC">
      <w:pPr>
        <w:spacing w:before="200" w:after="200"/>
        <w:rPr>
          <w:szCs w:val="24"/>
        </w:rPr>
      </w:pPr>
      <w:bookmarkStart w:id="239" w:name="_Toc374356526"/>
      <w:r w:rsidRPr="001569FB">
        <w:rPr>
          <w:szCs w:val="24"/>
        </w:rPr>
        <w:t>For 201</w:t>
      </w:r>
      <w:r w:rsidR="000F6ACC" w:rsidRPr="001569FB">
        <w:rPr>
          <w:szCs w:val="24"/>
        </w:rPr>
        <w:t>9</w:t>
      </w:r>
      <w:r w:rsidRPr="001569FB">
        <w:rPr>
          <w:szCs w:val="24"/>
        </w:rPr>
        <w:t xml:space="preserve">, CMS proposes to </w:t>
      </w:r>
      <w:r w:rsidR="00371BBD" w:rsidRPr="001569FB">
        <w:rPr>
          <w:szCs w:val="24"/>
        </w:rPr>
        <w:t xml:space="preserve">apply </w:t>
      </w:r>
      <w:r w:rsidR="00850951" w:rsidRPr="001569FB">
        <w:rPr>
          <w:szCs w:val="24"/>
        </w:rPr>
        <w:t>the statu</w:t>
      </w:r>
      <w:r w:rsidR="002F7168" w:rsidRPr="001569FB">
        <w:rPr>
          <w:szCs w:val="24"/>
        </w:rPr>
        <w:t>t</w:t>
      </w:r>
      <w:r w:rsidR="00850951" w:rsidRPr="001569FB">
        <w:rPr>
          <w:szCs w:val="24"/>
        </w:rPr>
        <w:t>ory minimum</w:t>
      </w:r>
      <w:r w:rsidR="00850951" w:rsidRPr="001569FB" w:rsidDel="00850951">
        <w:rPr>
          <w:szCs w:val="24"/>
        </w:rPr>
        <w:t xml:space="preserve"> </w:t>
      </w:r>
      <w:r w:rsidRPr="001569FB">
        <w:rPr>
          <w:szCs w:val="24"/>
        </w:rPr>
        <w:t xml:space="preserve">MA coding </w:t>
      </w:r>
      <w:r w:rsidR="00371BBD" w:rsidRPr="001569FB">
        <w:rPr>
          <w:szCs w:val="24"/>
        </w:rPr>
        <w:t xml:space="preserve">pattern </w:t>
      </w:r>
      <w:r w:rsidRPr="001569FB">
        <w:rPr>
          <w:szCs w:val="24"/>
        </w:rPr>
        <w:t xml:space="preserve">adjustment </w:t>
      </w:r>
      <w:r w:rsidR="00371BBD" w:rsidRPr="001569FB">
        <w:rPr>
          <w:szCs w:val="24"/>
        </w:rPr>
        <w:t>of</w:t>
      </w:r>
      <w:r w:rsidRPr="001569FB">
        <w:rPr>
          <w:szCs w:val="24"/>
        </w:rPr>
        <w:t xml:space="preserve"> </w:t>
      </w:r>
      <w:r w:rsidR="00850951" w:rsidRPr="001569FB">
        <w:rPr>
          <w:szCs w:val="24"/>
        </w:rPr>
        <w:t xml:space="preserve">5.90 </w:t>
      </w:r>
      <w:r w:rsidRPr="001569FB">
        <w:rPr>
          <w:szCs w:val="24"/>
        </w:rPr>
        <w:t>percent.</w:t>
      </w:r>
    </w:p>
    <w:p w14:paraId="434BBB81" w14:textId="77777777" w:rsidR="00A645FD" w:rsidRPr="001569FB" w:rsidRDefault="00A645FD" w:rsidP="00A645FD">
      <w:pPr>
        <w:spacing w:before="200" w:after="200"/>
        <w:rPr>
          <w:szCs w:val="24"/>
        </w:rPr>
      </w:pPr>
      <w:r w:rsidRPr="001569FB">
        <w:rPr>
          <w:szCs w:val="24"/>
        </w:rPr>
        <w:t>We are considering multiple methodologies to inform our final decision regarding the factor for PY 2019.  Three methodologies that have been publicly discussed include:</w:t>
      </w:r>
    </w:p>
    <w:p w14:paraId="018D4FEE" w14:textId="3DD17D9E" w:rsidR="00A645FD" w:rsidRPr="001569FB" w:rsidRDefault="00A645FD" w:rsidP="00AC78D9">
      <w:pPr>
        <w:pStyle w:val="ListParagraph"/>
        <w:numPr>
          <w:ilvl w:val="0"/>
          <w:numId w:val="31"/>
        </w:numPr>
        <w:spacing w:before="200" w:after="200"/>
        <w:contextualSpacing w:val="0"/>
        <w:rPr>
          <w:szCs w:val="24"/>
        </w:rPr>
      </w:pPr>
      <w:r w:rsidRPr="001569FB">
        <w:rPr>
          <w:szCs w:val="24"/>
        </w:rPr>
        <w:lastRenderedPageBreak/>
        <w:t xml:space="preserve">The methodology discussed in the Payment Year 2010 Advance Notice and Rate Announcement, found here: </w:t>
      </w:r>
      <w:hyperlink r:id="rId26" w:history="1">
        <w:r w:rsidRPr="001569FB">
          <w:rPr>
            <w:rStyle w:val="Hyperlink"/>
            <w:szCs w:val="24"/>
          </w:rPr>
          <w:t>https://www.cms.gov/Medicare/Health-Plans/</w:t>
        </w:r>
        <w:r w:rsidR="00F760AF" w:rsidRPr="001569FB">
          <w:rPr>
            <w:rStyle w:val="Hyperlink"/>
            <w:szCs w:val="24"/>
          </w:rPr>
          <w:t>‌</w:t>
        </w:r>
        <w:r w:rsidRPr="001569FB">
          <w:rPr>
            <w:rStyle w:val="Hyperlink"/>
            <w:szCs w:val="24"/>
          </w:rPr>
          <w:t>MedicareAdvtgSpecRateStats/Announcements-and-Documents.html</w:t>
        </w:r>
      </w:hyperlink>
    </w:p>
    <w:p w14:paraId="6A5A429C" w14:textId="44477461" w:rsidR="00A645FD" w:rsidRPr="001569FB" w:rsidRDefault="00A645FD" w:rsidP="00AC78D9">
      <w:pPr>
        <w:pStyle w:val="ListParagraph"/>
        <w:numPr>
          <w:ilvl w:val="0"/>
          <w:numId w:val="31"/>
        </w:numPr>
        <w:spacing w:before="200" w:after="200"/>
        <w:contextualSpacing w:val="0"/>
        <w:rPr>
          <w:szCs w:val="24"/>
        </w:rPr>
      </w:pPr>
      <w:r w:rsidRPr="001569FB">
        <w:rPr>
          <w:szCs w:val="24"/>
        </w:rPr>
        <w:t>The methodology discussed in the Payment Year 2016 Advance Notice and Rate Announcement, also found at the same Web page.</w:t>
      </w:r>
    </w:p>
    <w:p w14:paraId="1129B1FC" w14:textId="073AF5D0" w:rsidR="00A645FD" w:rsidRPr="001569FB" w:rsidRDefault="00A645FD" w:rsidP="00AC78D9">
      <w:pPr>
        <w:pStyle w:val="ListParagraph"/>
        <w:numPr>
          <w:ilvl w:val="0"/>
          <w:numId w:val="31"/>
        </w:numPr>
        <w:spacing w:before="200" w:after="200"/>
        <w:rPr>
          <w:szCs w:val="24"/>
        </w:rPr>
      </w:pPr>
      <w:r w:rsidRPr="001569FB">
        <w:rPr>
          <w:szCs w:val="24"/>
        </w:rPr>
        <w:t xml:space="preserve">The methodology discussed in MedPAC’s March 2017 Report to Congress: Medicare Payment Policy.  The report can be found here: </w:t>
      </w:r>
      <w:hyperlink r:id="rId27" w:history="1">
        <w:r w:rsidRPr="001569FB">
          <w:rPr>
            <w:rStyle w:val="Hyperlink"/>
            <w:szCs w:val="24"/>
          </w:rPr>
          <w:t>http://medpac.gov/docs/default-source/</w:t>
        </w:r>
        <w:r w:rsidR="00F760AF" w:rsidRPr="001569FB">
          <w:rPr>
            <w:rStyle w:val="Hyperlink"/>
            <w:szCs w:val="24"/>
          </w:rPr>
          <w:t>‌</w:t>
        </w:r>
        <w:r w:rsidRPr="001569FB">
          <w:rPr>
            <w:rStyle w:val="Hyperlink"/>
            <w:szCs w:val="24"/>
          </w:rPr>
          <w:t>reports/mar17_medpac_ch13.pdf?sfvrsn=0</w:t>
        </w:r>
      </w:hyperlink>
    </w:p>
    <w:p w14:paraId="471672DC" w14:textId="0BA49ACF" w:rsidR="00A645FD" w:rsidRPr="001569FB" w:rsidRDefault="00A645FD" w:rsidP="00A645FD">
      <w:pPr>
        <w:spacing w:before="200" w:after="200"/>
        <w:rPr>
          <w:szCs w:val="24"/>
        </w:rPr>
      </w:pPr>
      <w:r w:rsidRPr="001569FB">
        <w:rPr>
          <w:szCs w:val="24"/>
        </w:rPr>
        <w:t>We are considering these methodologies and seeking comments on them and alternative methodologies for finalizing the MA coding adjustment factor in the 2019 Rate Announcement.</w:t>
      </w:r>
    </w:p>
    <w:p w14:paraId="0CDB5E5F" w14:textId="77777777" w:rsidR="00B94A0F" w:rsidRPr="001569FB" w:rsidRDefault="00647FDB" w:rsidP="00203CF7">
      <w:pPr>
        <w:pStyle w:val="Heading2"/>
      </w:pPr>
      <w:bookmarkStart w:id="240" w:name="_Toc348423642"/>
      <w:bookmarkStart w:id="241" w:name="_Toc348432109"/>
      <w:bookmarkStart w:id="242" w:name="_Toc348432266"/>
      <w:bookmarkStart w:id="243" w:name="_Toc348432341"/>
      <w:bookmarkStart w:id="244" w:name="_Toc348432821"/>
      <w:bookmarkStart w:id="245" w:name="_Toc348432902"/>
      <w:bookmarkStart w:id="246" w:name="_Toc348433353"/>
      <w:bookmarkStart w:id="247" w:name="_Toc348423643"/>
      <w:bookmarkStart w:id="248" w:name="_Toc348432110"/>
      <w:bookmarkStart w:id="249" w:name="_Toc348432267"/>
      <w:bookmarkStart w:id="250" w:name="_Toc348432342"/>
      <w:bookmarkStart w:id="251" w:name="_Toc348432822"/>
      <w:bookmarkStart w:id="252" w:name="_Toc348432903"/>
      <w:bookmarkStart w:id="253" w:name="_Toc348433354"/>
      <w:bookmarkStart w:id="254" w:name="_Toc348423644"/>
      <w:bookmarkStart w:id="255" w:name="_Toc348432111"/>
      <w:bookmarkStart w:id="256" w:name="_Toc348432268"/>
      <w:bookmarkStart w:id="257" w:name="_Toc348432343"/>
      <w:bookmarkStart w:id="258" w:name="_Toc348432823"/>
      <w:bookmarkStart w:id="259" w:name="_Toc348432904"/>
      <w:bookmarkStart w:id="260" w:name="_Toc348433355"/>
      <w:bookmarkStart w:id="261" w:name="_Toc348423645"/>
      <w:bookmarkStart w:id="262" w:name="_Toc348432112"/>
      <w:bookmarkStart w:id="263" w:name="_Toc348432269"/>
      <w:bookmarkStart w:id="264" w:name="_Toc348432344"/>
      <w:bookmarkStart w:id="265" w:name="_Toc348432824"/>
      <w:bookmarkStart w:id="266" w:name="_Toc348432905"/>
      <w:bookmarkStart w:id="267" w:name="_Toc348433356"/>
      <w:bookmarkStart w:id="268" w:name="_Toc348423646"/>
      <w:bookmarkStart w:id="269" w:name="_Toc348432113"/>
      <w:bookmarkStart w:id="270" w:name="_Toc348432270"/>
      <w:bookmarkStart w:id="271" w:name="_Toc348432345"/>
      <w:bookmarkStart w:id="272" w:name="_Toc348432825"/>
      <w:bookmarkStart w:id="273" w:name="_Toc348432906"/>
      <w:bookmarkStart w:id="274" w:name="_Toc348433357"/>
      <w:bookmarkStart w:id="275" w:name="_Toc348423647"/>
      <w:bookmarkStart w:id="276" w:name="_Toc348432114"/>
      <w:bookmarkStart w:id="277" w:name="_Toc348432271"/>
      <w:bookmarkStart w:id="278" w:name="_Toc348432346"/>
      <w:bookmarkStart w:id="279" w:name="_Toc348432826"/>
      <w:bookmarkStart w:id="280" w:name="_Toc348432907"/>
      <w:bookmarkStart w:id="281" w:name="_Toc348433358"/>
      <w:bookmarkStart w:id="282" w:name="_Toc348423648"/>
      <w:bookmarkStart w:id="283" w:name="_Toc348432115"/>
      <w:bookmarkStart w:id="284" w:name="_Toc348432272"/>
      <w:bookmarkStart w:id="285" w:name="_Toc348432347"/>
      <w:bookmarkStart w:id="286" w:name="_Toc348432827"/>
      <w:bookmarkStart w:id="287" w:name="_Toc348432908"/>
      <w:bookmarkStart w:id="288" w:name="_Toc348433359"/>
      <w:bookmarkStart w:id="289" w:name="_Toc348423649"/>
      <w:bookmarkStart w:id="290" w:name="_Toc348432116"/>
      <w:bookmarkStart w:id="291" w:name="_Toc348432273"/>
      <w:bookmarkStart w:id="292" w:name="_Toc348432348"/>
      <w:bookmarkStart w:id="293" w:name="_Toc348432828"/>
      <w:bookmarkStart w:id="294" w:name="_Toc348432909"/>
      <w:bookmarkStart w:id="295" w:name="_Toc348433360"/>
      <w:bookmarkStart w:id="296" w:name="_Toc348423650"/>
      <w:bookmarkStart w:id="297" w:name="_Toc348432117"/>
      <w:bookmarkStart w:id="298" w:name="_Toc348432274"/>
      <w:bookmarkStart w:id="299" w:name="_Toc348432349"/>
      <w:bookmarkStart w:id="300" w:name="_Toc348432829"/>
      <w:bookmarkStart w:id="301" w:name="_Toc348432910"/>
      <w:bookmarkStart w:id="302" w:name="_Toc348433361"/>
      <w:bookmarkStart w:id="303" w:name="_Toc348423651"/>
      <w:bookmarkStart w:id="304" w:name="_Toc348432118"/>
      <w:bookmarkStart w:id="305" w:name="_Toc348432275"/>
      <w:bookmarkStart w:id="306" w:name="_Toc348432350"/>
      <w:bookmarkStart w:id="307" w:name="_Toc348432830"/>
      <w:bookmarkStart w:id="308" w:name="_Toc348432911"/>
      <w:bookmarkStart w:id="309" w:name="_Toc348433362"/>
      <w:bookmarkStart w:id="310" w:name="_Toc348423652"/>
      <w:bookmarkStart w:id="311" w:name="_Toc348432119"/>
      <w:bookmarkStart w:id="312" w:name="_Toc348432276"/>
      <w:bookmarkStart w:id="313" w:name="_Toc348432351"/>
      <w:bookmarkStart w:id="314" w:name="_Toc348432831"/>
      <w:bookmarkStart w:id="315" w:name="_Toc348432912"/>
      <w:bookmarkStart w:id="316" w:name="_Toc348433363"/>
      <w:bookmarkStart w:id="317" w:name="_Toc348423653"/>
      <w:bookmarkStart w:id="318" w:name="_Toc348432120"/>
      <w:bookmarkStart w:id="319" w:name="_Toc348432277"/>
      <w:bookmarkStart w:id="320" w:name="_Toc348432352"/>
      <w:bookmarkStart w:id="321" w:name="_Toc348432832"/>
      <w:bookmarkStart w:id="322" w:name="_Toc348432913"/>
      <w:bookmarkStart w:id="323" w:name="_Toc348433364"/>
      <w:bookmarkStart w:id="324" w:name="_Toc348423654"/>
      <w:bookmarkStart w:id="325" w:name="_Toc348432121"/>
      <w:bookmarkStart w:id="326" w:name="_Toc348432278"/>
      <w:bookmarkStart w:id="327" w:name="_Toc348432353"/>
      <w:bookmarkStart w:id="328" w:name="_Toc348432833"/>
      <w:bookmarkStart w:id="329" w:name="_Toc348432914"/>
      <w:bookmarkStart w:id="330" w:name="_Toc348433365"/>
      <w:bookmarkStart w:id="331" w:name="_Toc348423655"/>
      <w:bookmarkStart w:id="332" w:name="_Toc348432122"/>
      <w:bookmarkStart w:id="333" w:name="_Toc348432279"/>
      <w:bookmarkStart w:id="334" w:name="_Toc348432354"/>
      <w:bookmarkStart w:id="335" w:name="_Toc348432834"/>
      <w:bookmarkStart w:id="336" w:name="_Toc348432915"/>
      <w:bookmarkStart w:id="337" w:name="_Toc348433366"/>
      <w:bookmarkStart w:id="338" w:name="_Toc348423656"/>
      <w:bookmarkStart w:id="339" w:name="_Toc348432123"/>
      <w:bookmarkStart w:id="340" w:name="_Toc348432280"/>
      <w:bookmarkStart w:id="341" w:name="_Toc348432355"/>
      <w:bookmarkStart w:id="342" w:name="_Toc348432835"/>
      <w:bookmarkStart w:id="343" w:name="_Toc348432916"/>
      <w:bookmarkStart w:id="344" w:name="_Toc348433367"/>
      <w:bookmarkStart w:id="345" w:name="_Toc348423657"/>
      <w:bookmarkStart w:id="346" w:name="_Toc348432124"/>
      <w:bookmarkStart w:id="347" w:name="_Toc348432281"/>
      <w:bookmarkStart w:id="348" w:name="_Toc348432356"/>
      <w:bookmarkStart w:id="349" w:name="_Toc348432836"/>
      <w:bookmarkStart w:id="350" w:name="_Toc348432917"/>
      <w:bookmarkStart w:id="351" w:name="_Toc348433368"/>
      <w:bookmarkStart w:id="352" w:name="_Toc348423658"/>
      <w:bookmarkStart w:id="353" w:name="_Toc348432125"/>
      <w:bookmarkStart w:id="354" w:name="_Toc348432282"/>
      <w:bookmarkStart w:id="355" w:name="_Toc348432357"/>
      <w:bookmarkStart w:id="356" w:name="_Toc348432837"/>
      <w:bookmarkStart w:id="357" w:name="_Toc348432918"/>
      <w:bookmarkStart w:id="358" w:name="_Toc348433369"/>
      <w:bookmarkStart w:id="359" w:name="_Toc348423659"/>
      <w:bookmarkStart w:id="360" w:name="_Toc348432126"/>
      <w:bookmarkStart w:id="361" w:name="_Toc348432283"/>
      <w:bookmarkStart w:id="362" w:name="_Toc348432358"/>
      <w:bookmarkStart w:id="363" w:name="_Toc348432838"/>
      <w:bookmarkStart w:id="364" w:name="_Toc348432919"/>
      <w:bookmarkStart w:id="365" w:name="_Toc348433370"/>
      <w:bookmarkStart w:id="366" w:name="_Toc348423660"/>
      <w:bookmarkStart w:id="367" w:name="_Toc348432127"/>
      <w:bookmarkStart w:id="368" w:name="_Toc348432284"/>
      <w:bookmarkStart w:id="369" w:name="_Toc348432359"/>
      <w:bookmarkStart w:id="370" w:name="_Toc348432839"/>
      <w:bookmarkStart w:id="371" w:name="_Toc348432920"/>
      <w:bookmarkStart w:id="372" w:name="_Toc348433371"/>
      <w:bookmarkStart w:id="373" w:name="_Toc348423661"/>
      <w:bookmarkStart w:id="374" w:name="_Toc348432128"/>
      <w:bookmarkStart w:id="375" w:name="_Toc348432285"/>
      <w:bookmarkStart w:id="376" w:name="_Toc348432360"/>
      <w:bookmarkStart w:id="377" w:name="_Toc348432840"/>
      <w:bookmarkStart w:id="378" w:name="_Toc348432921"/>
      <w:bookmarkStart w:id="379" w:name="_Toc348433372"/>
      <w:bookmarkStart w:id="380" w:name="_Toc280340533"/>
      <w:bookmarkStart w:id="381" w:name="_Toc282710031"/>
      <w:bookmarkStart w:id="382" w:name="_Toc348432286"/>
      <w:bookmarkStart w:id="383" w:name="_Toc348432922"/>
      <w:bookmarkStart w:id="384" w:name="_Toc505253784"/>
      <w:bookmarkEnd w:id="225"/>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r w:rsidRPr="001569FB">
        <w:t xml:space="preserve">Section </w:t>
      </w:r>
      <w:r w:rsidR="00881B21" w:rsidRPr="001569FB">
        <w:t>L</w:t>
      </w:r>
      <w:r w:rsidR="00BF60A0" w:rsidRPr="001569FB">
        <w:t xml:space="preserve">.  </w:t>
      </w:r>
      <w:r w:rsidR="00EB4867" w:rsidRPr="001569FB">
        <w:t>Normalization Factors</w:t>
      </w:r>
      <w:bookmarkEnd w:id="226"/>
      <w:bookmarkEnd w:id="227"/>
      <w:bookmarkEnd w:id="228"/>
      <w:bookmarkEnd w:id="229"/>
      <w:bookmarkEnd w:id="230"/>
      <w:bookmarkEnd w:id="231"/>
      <w:bookmarkEnd w:id="380"/>
      <w:bookmarkEnd w:id="381"/>
      <w:bookmarkEnd w:id="382"/>
      <w:bookmarkEnd w:id="383"/>
      <w:bookmarkEnd w:id="384"/>
    </w:p>
    <w:p w14:paraId="56C01CE1" w14:textId="77777777" w:rsidR="00B90016" w:rsidRPr="001569FB" w:rsidRDefault="00B90016" w:rsidP="006E5268">
      <w:pPr>
        <w:spacing w:before="200" w:after="200"/>
        <w:rPr>
          <w:szCs w:val="24"/>
        </w:rPr>
      </w:pPr>
      <w:r w:rsidRPr="001569FB">
        <w:rPr>
          <w:szCs w:val="24"/>
        </w:rPr>
        <w:t>The</w:t>
      </w:r>
      <w:r w:rsidR="006E5268" w:rsidRPr="001569FB">
        <w:rPr>
          <w:szCs w:val="24"/>
        </w:rPr>
        <w:t xml:space="preserve"> Part C risk adjustment model</w:t>
      </w:r>
      <w:r w:rsidRPr="001569FB">
        <w:rPr>
          <w:szCs w:val="24"/>
        </w:rPr>
        <w:t xml:space="preserve"> is calibrated with </w:t>
      </w:r>
      <w:r w:rsidR="006E5268" w:rsidRPr="001569FB">
        <w:rPr>
          <w:szCs w:val="24"/>
        </w:rPr>
        <w:t>diagnosis and cost information for beneficiaries</w:t>
      </w:r>
      <w:r w:rsidR="00384D54" w:rsidRPr="001569FB">
        <w:rPr>
          <w:szCs w:val="24"/>
        </w:rPr>
        <w:t xml:space="preserve"> enrolled in Original Medicare</w:t>
      </w:r>
      <w:r w:rsidR="00AB164F" w:rsidRPr="001569FB">
        <w:rPr>
          <w:szCs w:val="24"/>
        </w:rPr>
        <w:t xml:space="preserve"> </w:t>
      </w:r>
      <w:r w:rsidR="00384D54" w:rsidRPr="001569FB">
        <w:rPr>
          <w:szCs w:val="24"/>
        </w:rPr>
        <w:t>(who are entitled to Part A</w:t>
      </w:r>
      <w:r w:rsidRPr="001569FB">
        <w:rPr>
          <w:szCs w:val="24"/>
        </w:rPr>
        <w:t>,</w:t>
      </w:r>
      <w:r w:rsidR="00384D54" w:rsidRPr="001569FB">
        <w:rPr>
          <w:szCs w:val="24"/>
        </w:rPr>
        <w:t xml:space="preserve"> enrolled in Part B</w:t>
      </w:r>
      <w:r w:rsidRPr="001569FB">
        <w:rPr>
          <w:szCs w:val="24"/>
        </w:rPr>
        <w:t>, and not in End Stage Renal Disease (ESRD) or hospice status</w:t>
      </w:r>
      <w:r w:rsidR="00384D54" w:rsidRPr="001569FB">
        <w:rPr>
          <w:szCs w:val="24"/>
        </w:rPr>
        <w:t>)</w:t>
      </w:r>
      <w:r w:rsidRPr="001569FB">
        <w:rPr>
          <w:szCs w:val="24"/>
        </w:rPr>
        <w:t xml:space="preserve">.  For </w:t>
      </w:r>
      <w:r w:rsidR="006E5268" w:rsidRPr="001569FB">
        <w:rPr>
          <w:szCs w:val="24"/>
        </w:rPr>
        <w:t>a historical period (“calibration year”)</w:t>
      </w:r>
      <w:r w:rsidRPr="001569FB">
        <w:rPr>
          <w:szCs w:val="24"/>
        </w:rPr>
        <w:t>,</w:t>
      </w:r>
      <w:r w:rsidR="006E5268" w:rsidRPr="001569FB">
        <w:rPr>
          <w:szCs w:val="24"/>
        </w:rPr>
        <w:t xml:space="preserve"> </w:t>
      </w:r>
      <w:r w:rsidRPr="001569FB">
        <w:rPr>
          <w:szCs w:val="24"/>
        </w:rPr>
        <w:t xml:space="preserve">the model </w:t>
      </w:r>
      <w:r w:rsidR="006E5268" w:rsidRPr="001569FB">
        <w:rPr>
          <w:szCs w:val="24"/>
        </w:rPr>
        <w:t>estimate</w:t>
      </w:r>
      <w:r w:rsidRPr="001569FB">
        <w:rPr>
          <w:szCs w:val="24"/>
        </w:rPr>
        <w:t>s</w:t>
      </w:r>
      <w:r w:rsidR="006E5268" w:rsidRPr="001569FB">
        <w:rPr>
          <w:szCs w:val="24"/>
        </w:rPr>
        <w:t xml:space="preserve"> incremental cost for a variety of beneficiary characteristics (e.g., age and gender) and health conditions.  Each incremental cost, known as a dollar coefficient, is divided by the predicted average per capita</w:t>
      </w:r>
      <w:r w:rsidR="00AB164F" w:rsidRPr="001569FB">
        <w:rPr>
          <w:szCs w:val="24"/>
        </w:rPr>
        <w:t xml:space="preserve"> expenditure </w:t>
      </w:r>
      <w:r w:rsidRPr="001569FB">
        <w:rPr>
          <w:szCs w:val="24"/>
        </w:rPr>
        <w:t xml:space="preserve">for beneficiaries in Original Medicare in a given year to create relative factors. </w:t>
      </w:r>
      <w:r w:rsidR="002D7EDD" w:rsidRPr="001569FB">
        <w:rPr>
          <w:szCs w:val="24"/>
        </w:rPr>
        <w:t xml:space="preserve"> </w:t>
      </w:r>
      <w:r w:rsidRPr="001569FB">
        <w:rPr>
          <w:szCs w:val="24"/>
        </w:rPr>
        <w:t>Risk scores are the sum of relative factors assigned to each beneficiary based on their demographic characteristics and health status.</w:t>
      </w:r>
      <w:r w:rsidR="006E1462" w:rsidRPr="001569FB">
        <w:rPr>
          <w:szCs w:val="24"/>
        </w:rPr>
        <w:t xml:space="preserve"> </w:t>
      </w:r>
      <w:r w:rsidRPr="001569FB">
        <w:rPr>
          <w:szCs w:val="24"/>
        </w:rPr>
        <w:t xml:space="preserve"> For beneficiaries in Original Medicare, the average risk score is</w:t>
      </w:r>
      <w:r w:rsidR="002D7EDD" w:rsidRPr="001569FB">
        <w:rPr>
          <w:szCs w:val="24"/>
        </w:rPr>
        <w:t xml:space="preserve"> </w:t>
      </w:r>
      <w:r w:rsidRPr="001569FB">
        <w:rPr>
          <w:szCs w:val="24"/>
        </w:rPr>
        <w:t>1.0 in the denominator year.</w:t>
      </w:r>
    </w:p>
    <w:p w14:paraId="2320D0B0" w14:textId="192AF2BE" w:rsidR="006E5268" w:rsidRPr="001569FB" w:rsidRDefault="00B90016" w:rsidP="006E5268">
      <w:pPr>
        <w:spacing w:before="200" w:after="200"/>
        <w:rPr>
          <w:szCs w:val="24"/>
        </w:rPr>
      </w:pPr>
      <w:r w:rsidRPr="001569FB">
        <w:rPr>
          <w:szCs w:val="24"/>
        </w:rPr>
        <w:t xml:space="preserve">When a risk adjustment model </w:t>
      </w:r>
      <w:r w:rsidR="006E5268" w:rsidRPr="001569FB">
        <w:rPr>
          <w:szCs w:val="24"/>
        </w:rPr>
        <w:t>predict</w:t>
      </w:r>
      <w:r w:rsidRPr="001569FB">
        <w:rPr>
          <w:szCs w:val="24"/>
        </w:rPr>
        <w:t>s</w:t>
      </w:r>
      <w:r w:rsidR="006E5268" w:rsidRPr="001569FB">
        <w:rPr>
          <w:szCs w:val="24"/>
        </w:rPr>
        <w:t xml:space="preserve"> expenditures in future years, the average risk score </w:t>
      </w:r>
      <w:r w:rsidR="007934B4" w:rsidRPr="001569FB">
        <w:rPr>
          <w:szCs w:val="24"/>
        </w:rPr>
        <w:t xml:space="preserve">for </w:t>
      </w:r>
      <w:r w:rsidR="00CF32D9" w:rsidRPr="001569FB">
        <w:rPr>
          <w:szCs w:val="24"/>
        </w:rPr>
        <w:t>O</w:t>
      </w:r>
      <w:r w:rsidR="007934B4" w:rsidRPr="001569FB">
        <w:rPr>
          <w:szCs w:val="24"/>
        </w:rPr>
        <w:t>riginal Medicare</w:t>
      </w:r>
      <w:r w:rsidR="00AB164F" w:rsidRPr="001569FB">
        <w:rPr>
          <w:szCs w:val="24"/>
        </w:rPr>
        <w:t xml:space="preserve"> </w:t>
      </w:r>
      <w:r w:rsidRPr="001569FB">
        <w:rPr>
          <w:szCs w:val="24"/>
        </w:rPr>
        <w:t>beneficiaries</w:t>
      </w:r>
      <w:r w:rsidRPr="001569FB" w:rsidDel="00B90016">
        <w:rPr>
          <w:rStyle w:val="CommentReference"/>
        </w:rPr>
        <w:t xml:space="preserve"> </w:t>
      </w:r>
      <w:r w:rsidR="006E5268" w:rsidRPr="001569FB">
        <w:rPr>
          <w:szCs w:val="24"/>
        </w:rPr>
        <w:t>may no longer be 1.0 due to changes in coding and</w:t>
      </w:r>
      <w:r w:rsidR="00AB164F" w:rsidRPr="001569FB">
        <w:rPr>
          <w:szCs w:val="24"/>
        </w:rPr>
        <w:t xml:space="preserve"> </w:t>
      </w:r>
      <w:r w:rsidR="006E5268" w:rsidRPr="001569FB">
        <w:rPr>
          <w:szCs w:val="24"/>
        </w:rPr>
        <w:t>population</w:t>
      </w:r>
      <w:r w:rsidRPr="001569FB">
        <w:rPr>
          <w:szCs w:val="24"/>
        </w:rPr>
        <w:t xml:space="preserve"> characteristics</w:t>
      </w:r>
      <w:r w:rsidR="006E5268" w:rsidRPr="001569FB">
        <w:rPr>
          <w:szCs w:val="24"/>
        </w:rPr>
        <w:t xml:space="preserve">.  CMS applies a normalization factor to each year’s risk scores to account for </w:t>
      </w:r>
      <w:r w:rsidRPr="001569FB">
        <w:rPr>
          <w:szCs w:val="24"/>
        </w:rPr>
        <w:t xml:space="preserve">the trend in risk scores – encompassing these coding and population changes </w:t>
      </w:r>
      <w:r w:rsidR="006E1462" w:rsidRPr="001569FB">
        <w:rPr>
          <w:szCs w:val="24"/>
        </w:rPr>
        <w:t>–</w:t>
      </w:r>
      <w:r w:rsidRPr="001569FB">
        <w:rPr>
          <w:szCs w:val="24"/>
        </w:rPr>
        <w:t xml:space="preserve"> that CMS projects to occur between the denominator year and the payment year.</w:t>
      </w:r>
      <w:r w:rsidR="006E5268" w:rsidRPr="001569FB">
        <w:rPr>
          <w:rStyle w:val="FootnoteReference"/>
          <w:szCs w:val="24"/>
        </w:rPr>
        <w:footnoteReference w:id="7"/>
      </w:r>
      <w:r w:rsidR="006E5268" w:rsidRPr="001569FB">
        <w:rPr>
          <w:szCs w:val="24"/>
        </w:rPr>
        <w:t xml:space="preserve"> </w:t>
      </w:r>
      <w:r w:rsidR="002D7EDD" w:rsidRPr="001569FB">
        <w:rPr>
          <w:szCs w:val="24"/>
        </w:rPr>
        <w:t xml:space="preserve"> </w:t>
      </w:r>
      <w:r w:rsidR="006E5268" w:rsidRPr="001569FB">
        <w:rPr>
          <w:szCs w:val="24"/>
        </w:rPr>
        <w:t>Effectively, the normalization factor keeps the average risk score at 1.0 in the payment year</w:t>
      </w:r>
      <w:r w:rsidR="00384D54" w:rsidRPr="001569FB">
        <w:rPr>
          <w:szCs w:val="24"/>
        </w:rPr>
        <w:t xml:space="preserve"> for beneficiaries in Original Medicare</w:t>
      </w:r>
      <w:r w:rsidR="006E5268" w:rsidRPr="001569FB">
        <w:rPr>
          <w:szCs w:val="24"/>
        </w:rPr>
        <w:t>.</w:t>
      </w:r>
    </w:p>
    <w:p w14:paraId="3CF2A776" w14:textId="77777777" w:rsidR="00B90016" w:rsidRPr="001569FB" w:rsidRDefault="00B90016" w:rsidP="006E5268">
      <w:pPr>
        <w:spacing w:before="200" w:after="200"/>
        <w:rPr>
          <w:szCs w:val="24"/>
        </w:rPr>
      </w:pPr>
      <w:r w:rsidRPr="001569FB">
        <w:rPr>
          <w:szCs w:val="24"/>
        </w:rPr>
        <w:t xml:space="preserve">Part C normalization factors are the predicted average risk scores of beneficiaries in Original Medicare for a model in the payment year. </w:t>
      </w:r>
      <w:r w:rsidR="002D7EDD" w:rsidRPr="001569FB">
        <w:rPr>
          <w:szCs w:val="24"/>
        </w:rPr>
        <w:t xml:space="preserve"> </w:t>
      </w:r>
      <w:r w:rsidRPr="001569FB">
        <w:rPr>
          <w:szCs w:val="24"/>
        </w:rPr>
        <w:t>RxHCC normalization factors are the predicted average risk scores of beneficiaries enrolled in Part D plans, including MA-PD plans and PDP plans.  CMS calculates each normalization factor annually with historical risk score data and the payment year risk adjustment model.  This annual update serves two purposes.</w:t>
      </w:r>
      <w:r w:rsidR="006E5268" w:rsidRPr="001569FB">
        <w:rPr>
          <w:szCs w:val="24"/>
        </w:rPr>
        <w:t xml:space="preserve"> </w:t>
      </w:r>
    </w:p>
    <w:p w14:paraId="440F2432" w14:textId="77777777" w:rsidR="00714102" w:rsidRPr="001569FB" w:rsidRDefault="006E5268" w:rsidP="006E5268">
      <w:pPr>
        <w:spacing w:before="200" w:after="200"/>
        <w:rPr>
          <w:szCs w:val="24"/>
        </w:rPr>
      </w:pPr>
      <w:r w:rsidRPr="001569FB">
        <w:rPr>
          <w:szCs w:val="24"/>
        </w:rPr>
        <w:lastRenderedPageBreak/>
        <w:t xml:space="preserve">First, it is important to keep the average risk score at 1.0 </w:t>
      </w:r>
      <w:r w:rsidR="00BC19FD" w:rsidRPr="001569FB">
        <w:rPr>
          <w:szCs w:val="24"/>
        </w:rPr>
        <w:t xml:space="preserve">for </w:t>
      </w:r>
      <w:r w:rsidR="00714102" w:rsidRPr="001569FB">
        <w:rPr>
          <w:szCs w:val="24"/>
        </w:rPr>
        <w:t xml:space="preserve">beneficiaries in </w:t>
      </w:r>
      <w:r w:rsidR="00BC19FD" w:rsidRPr="001569FB">
        <w:rPr>
          <w:szCs w:val="24"/>
        </w:rPr>
        <w:t xml:space="preserve">Original Medicare </w:t>
      </w:r>
      <w:r w:rsidRPr="001569FB">
        <w:rPr>
          <w:szCs w:val="24"/>
        </w:rPr>
        <w:t xml:space="preserve">so that risk scores </w:t>
      </w:r>
      <w:r w:rsidR="00714102" w:rsidRPr="001569FB">
        <w:rPr>
          <w:szCs w:val="24"/>
        </w:rPr>
        <w:t xml:space="preserve">in the payment year </w:t>
      </w:r>
      <w:r w:rsidRPr="001569FB">
        <w:rPr>
          <w:szCs w:val="24"/>
        </w:rPr>
        <w:t xml:space="preserve">align with the rates. </w:t>
      </w:r>
      <w:r w:rsidR="002D7EDD" w:rsidRPr="001569FB">
        <w:rPr>
          <w:szCs w:val="24"/>
        </w:rPr>
        <w:t xml:space="preserve"> </w:t>
      </w:r>
      <w:r w:rsidRPr="001569FB">
        <w:rPr>
          <w:szCs w:val="24"/>
        </w:rPr>
        <w:t>A risk score account</w:t>
      </w:r>
      <w:r w:rsidR="00714102" w:rsidRPr="001569FB">
        <w:rPr>
          <w:szCs w:val="24"/>
        </w:rPr>
        <w:t>s</w:t>
      </w:r>
      <w:r w:rsidRPr="001569FB">
        <w:rPr>
          <w:szCs w:val="24"/>
        </w:rPr>
        <w:t xml:space="preserve"> for the degree to which a beneficiary’s health status results in expected cost that are more or less than the expected cost of the average beneficiary</w:t>
      </w:r>
      <w:r w:rsidR="007934B4" w:rsidRPr="001569FB">
        <w:rPr>
          <w:szCs w:val="24"/>
        </w:rPr>
        <w:t xml:space="preserve"> in Original Medicare</w:t>
      </w:r>
      <w:r w:rsidRPr="001569FB">
        <w:rPr>
          <w:szCs w:val="24"/>
        </w:rPr>
        <w:t xml:space="preserve">. </w:t>
      </w:r>
      <w:r w:rsidR="002D7EDD" w:rsidRPr="001569FB">
        <w:rPr>
          <w:szCs w:val="24"/>
        </w:rPr>
        <w:t xml:space="preserve"> </w:t>
      </w:r>
      <w:r w:rsidRPr="001569FB">
        <w:rPr>
          <w:szCs w:val="24"/>
        </w:rPr>
        <w:t>The rates, which are the benchmarks for</w:t>
      </w:r>
      <w:r w:rsidR="00714102" w:rsidRPr="001569FB">
        <w:rPr>
          <w:szCs w:val="24"/>
        </w:rPr>
        <w:t xml:space="preserve"> Part C</w:t>
      </w:r>
      <w:r w:rsidRPr="001569FB">
        <w:rPr>
          <w:szCs w:val="24"/>
        </w:rPr>
        <w:t xml:space="preserve"> bidding</w:t>
      </w:r>
      <w:r w:rsidR="00AB164F" w:rsidRPr="001569FB">
        <w:rPr>
          <w:szCs w:val="24"/>
        </w:rPr>
        <w:t>,</w:t>
      </w:r>
      <w:r w:rsidRPr="001569FB">
        <w:rPr>
          <w:szCs w:val="24"/>
        </w:rPr>
        <w:t xml:space="preserve"> are standardized to represent the cost of an average beneficiary</w:t>
      </w:r>
      <w:r w:rsidR="007934B4" w:rsidRPr="001569FB">
        <w:rPr>
          <w:szCs w:val="24"/>
        </w:rPr>
        <w:t xml:space="preserve"> in Original Medicare</w:t>
      </w:r>
      <w:r w:rsidR="00714102" w:rsidRPr="001569FB">
        <w:rPr>
          <w:szCs w:val="24"/>
        </w:rPr>
        <w:t xml:space="preserve"> in the payment year</w:t>
      </w:r>
      <w:r w:rsidRPr="001569FB">
        <w:rPr>
          <w:szCs w:val="24"/>
        </w:rPr>
        <w:t xml:space="preserve">. </w:t>
      </w:r>
      <w:r w:rsidR="002D7EDD" w:rsidRPr="001569FB">
        <w:rPr>
          <w:szCs w:val="24"/>
        </w:rPr>
        <w:t xml:space="preserve"> </w:t>
      </w:r>
      <w:r w:rsidRPr="001569FB">
        <w:rPr>
          <w:szCs w:val="24"/>
        </w:rPr>
        <w:t xml:space="preserve">Normalization helps to ensure that risk adjustment results in payments for individual beneficiaries that are adjusted for relative differences in expected costs but, on average, would not change the expected per capita cost if Medicare Advantage enrolls beneficiaries with the same risk profile as </w:t>
      </w:r>
      <w:r w:rsidR="00BC19FD" w:rsidRPr="001569FB">
        <w:rPr>
          <w:szCs w:val="24"/>
        </w:rPr>
        <w:t>Original Medicare</w:t>
      </w:r>
      <w:r w:rsidRPr="001569FB">
        <w:rPr>
          <w:szCs w:val="24"/>
        </w:rPr>
        <w:t xml:space="preserve">. </w:t>
      </w:r>
    </w:p>
    <w:p w14:paraId="13EC7333" w14:textId="77777777" w:rsidR="006E5268" w:rsidRPr="001569FB" w:rsidRDefault="00714102" w:rsidP="006E5268">
      <w:pPr>
        <w:spacing w:before="200" w:after="200"/>
        <w:rPr>
          <w:szCs w:val="24"/>
        </w:rPr>
      </w:pPr>
      <w:r w:rsidRPr="001569FB">
        <w:rPr>
          <w:szCs w:val="24"/>
        </w:rPr>
        <w:t>S</w:t>
      </w:r>
      <w:r w:rsidR="006E5268" w:rsidRPr="001569FB">
        <w:rPr>
          <w:szCs w:val="24"/>
        </w:rPr>
        <w:t>econd</w:t>
      </w:r>
      <w:r w:rsidRPr="001569FB">
        <w:rPr>
          <w:szCs w:val="24"/>
        </w:rPr>
        <w:t>,</w:t>
      </w:r>
      <w:r w:rsidR="006E5268" w:rsidRPr="001569FB">
        <w:rPr>
          <w:szCs w:val="24"/>
        </w:rPr>
        <w:t xml:space="preserve"> updating the normalization factor annually stabilize</w:t>
      </w:r>
      <w:r w:rsidRPr="001569FB">
        <w:rPr>
          <w:szCs w:val="24"/>
        </w:rPr>
        <w:t>s</w:t>
      </w:r>
      <w:r w:rsidR="006E5268" w:rsidRPr="001569FB">
        <w:rPr>
          <w:szCs w:val="24"/>
        </w:rPr>
        <w:t xml:space="preserve"> payments between model calibrations. </w:t>
      </w:r>
      <w:r w:rsidR="002D7EDD" w:rsidRPr="001569FB">
        <w:rPr>
          <w:szCs w:val="24"/>
        </w:rPr>
        <w:t xml:space="preserve"> </w:t>
      </w:r>
      <w:r w:rsidR="006E5268" w:rsidRPr="001569FB">
        <w:rPr>
          <w:szCs w:val="24"/>
        </w:rPr>
        <w:t xml:space="preserve">Periodically, CMS updates the risk adjustment model with more current data, which resets the year </w:t>
      </w:r>
      <w:r w:rsidRPr="001569FB">
        <w:rPr>
          <w:szCs w:val="24"/>
        </w:rPr>
        <w:t>that</w:t>
      </w:r>
      <w:r w:rsidR="006E5268" w:rsidRPr="001569FB">
        <w:rPr>
          <w:szCs w:val="24"/>
        </w:rPr>
        <w:t xml:space="preserve"> the average risk score is 1.0 (i.e., the denominator year). </w:t>
      </w:r>
      <w:r w:rsidR="002D7EDD" w:rsidRPr="001569FB">
        <w:rPr>
          <w:szCs w:val="24"/>
        </w:rPr>
        <w:t xml:space="preserve"> </w:t>
      </w:r>
      <w:r w:rsidR="006E5268" w:rsidRPr="001569FB">
        <w:rPr>
          <w:szCs w:val="24"/>
        </w:rPr>
        <w:t xml:space="preserve">Applying a normalization factor to risk scores to account for trend between the denominator year and the payment year provides year-over-year stability and avoids the volatility that would otherwise occur in risk scores in years when the model is updated.  </w:t>
      </w:r>
    </w:p>
    <w:p w14:paraId="7A58CC29" w14:textId="22DB3779" w:rsidR="00C668DD" w:rsidRPr="001569FB" w:rsidRDefault="00C668DD" w:rsidP="008E38C8">
      <w:pPr>
        <w:spacing w:before="200" w:after="200"/>
        <w:rPr>
          <w:szCs w:val="24"/>
        </w:rPr>
      </w:pPr>
      <w:r w:rsidRPr="001569FB">
        <w:rPr>
          <w:szCs w:val="24"/>
        </w:rPr>
        <w:t xml:space="preserve">In payment year 2018, CMS returned to using a linear slope method of projecting normalization factors that we used prior to payment year 2015, after using a quadratic functional form for several years. </w:t>
      </w:r>
      <w:r w:rsidR="002D7EDD" w:rsidRPr="001569FB">
        <w:rPr>
          <w:szCs w:val="24"/>
        </w:rPr>
        <w:t xml:space="preserve"> </w:t>
      </w:r>
      <w:r w:rsidRPr="001569FB">
        <w:rPr>
          <w:szCs w:val="24"/>
        </w:rPr>
        <w:t xml:space="preserve">Using this method, we projected the slope of the observed trend over five years of historical risk scores, from the denominator year to the payment year. </w:t>
      </w:r>
      <w:r w:rsidR="002D7EDD" w:rsidRPr="001569FB">
        <w:rPr>
          <w:szCs w:val="24"/>
        </w:rPr>
        <w:t xml:space="preserve"> </w:t>
      </w:r>
      <w:r w:rsidR="001E71C6" w:rsidRPr="001569FB">
        <w:rPr>
          <w:szCs w:val="24"/>
        </w:rPr>
        <w:t xml:space="preserve">We propose to maintain this methodology for </w:t>
      </w:r>
      <w:r w:rsidR="00476A3D" w:rsidRPr="001569FB">
        <w:rPr>
          <w:szCs w:val="24"/>
        </w:rPr>
        <w:t xml:space="preserve">all models in </w:t>
      </w:r>
      <w:r w:rsidR="001E71C6" w:rsidRPr="001569FB">
        <w:rPr>
          <w:szCs w:val="24"/>
        </w:rPr>
        <w:t xml:space="preserve">payment year 2019. </w:t>
      </w:r>
    </w:p>
    <w:p w14:paraId="3B9D3329" w14:textId="77777777" w:rsidR="00D1070A" w:rsidRPr="001569FB" w:rsidRDefault="007934B4" w:rsidP="006E5268">
      <w:pPr>
        <w:spacing w:before="200" w:after="200"/>
        <w:rPr>
          <w:szCs w:val="24"/>
        </w:rPr>
      </w:pPr>
      <w:r w:rsidRPr="001569FB">
        <w:rPr>
          <w:szCs w:val="24"/>
        </w:rPr>
        <w:t>In Part I of the Advance Notice</w:t>
      </w:r>
      <w:r w:rsidR="00E96630" w:rsidRPr="001569FB">
        <w:rPr>
          <w:szCs w:val="24"/>
        </w:rPr>
        <w:t xml:space="preserve"> published December 27, </w:t>
      </w:r>
      <w:r w:rsidR="005B1286" w:rsidRPr="001569FB">
        <w:rPr>
          <w:szCs w:val="24"/>
        </w:rPr>
        <w:t>2017,</w:t>
      </w:r>
      <w:r w:rsidRPr="001569FB">
        <w:rPr>
          <w:szCs w:val="24"/>
        </w:rPr>
        <w:t xml:space="preserve"> CMS proposed to blend 75 percent of the risk score calculated with the CMS-HCC model used for payment in 2017 and 2018 with 25 percent of the risk score calculated with the </w:t>
      </w:r>
      <w:r w:rsidR="005B1286" w:rsidRPr="001569FB">
        <w:rPr>
          <w:szCs w:val="24"/>
        </w:rPr>
        <w:t xml:space="preserve">proposed </w:t>
      </w:r>
      <w:r w:rsidRPr="001569FB">
        <w:rPr>
          <w:szCs w:val="24"/>
        </w:rPr>
        <w:t xml:space="preserve">“Payment Condition Count” model. </w:t>
      </w:r>
      <w:r w:rsidR="002D7EDD" w:rsidRPr="001569FB">
        <w:rPr>
          <w:szCs w:val="24"/>
        </w:rPr>
        <w:t xml:space="preserve"> </w:t>
      </w:r>
      <w:r w:rsidR="00D1070A" w:rsidRPr="001569FB">
        <w:rPr>
          <w:szCs w:val="24"/>
        </w:rPr>
        <w:t>Consistent with that proposal, f</w:t>
      </w:r>
      <w:r w:rsidR="005B1286" w:rsidRPr="001569FB">
        <w:rPr>
          <w:szCs w:val="24"/>
        </w:rPr>
        <w:t>or payment year 2019, CMS proposes to calculate</w:t>
      </w:r>
      <w:r w:rsidR="00D1070A" w:rsidRPr="001569FB">
        <w:rPr>
          <w:szCs w:val="24"/>
        </w:rPr>
        <w:t xml:space="preserve"> two normalization factors for Part C, one for the CMS-HCC model used in payment year 2017 and 2018, and one for the proposed “Payment Condition Count” model, that would be blended with their respective risk scores in payment.</w:t>
      </w:r>
    </w:p>
    <w:p w14:paraId="18C085E3" w14:textId="777E9FCF" w:rsidR="006E5268" w:rsidRPr="001569FB" w:rsidRDefault="002E1BD9" w:rsidP="006E5268">
      <w:pPr>
        <w:spacing w:before="200" w:after="200"/>
        <w:rPr>
          <w:szCs w:val="24"/>
        </w:rPr>
      </w:pPr>
      <w:r w:rsidRPr="001569FB">
        <w:rPr>
          <w:szCs w:val="24"/>
        </w:rPr>
        <w:t>The proposed</w:t>
      </w:r>
      <w:r w:rsidR="007934B4" w:rsidRPr="001569FB">
        <w:rPr>
          <w:szCs w:val="24"/>
        </w:rPr>
        <w:t xml:space="preserve"> </w:t>
      </w:r>
      <w:r w:rsidR="006E5268" w:rsidRPr="001569FB">
        <w:rPr>
          <w:szCs w:val="24"/>
        </w:rPr>
        <w:t xml:space="preserve">Part C normalization factor </w:t>
      </w:r>
      <w:r w:rsidRPr="001569FB">
        <w:rPr>
          <w:szCs w:val="24"/>
        </w:rPr>
        <w:t>for the CMS-HCC model used in payment year</w:t>
      </w:r>
      <w:r w:rsidR="00D1070A" w:rsidRPr="001569FB">
        <w:rPr>
          <w:szCs w:val="24"/>
        </w:rPr>
        <w:t>s 2017 and</w:t>
      </w:r>
      <w:r w:rsidRPr="001569FB">
        <w:rPr>
          <w:szCs w:val="24"/>
        </w:rPr>
        <w:t xml:space="preserve"> 2018 is </w:t>
      </w:r>
      <w:r w:rsidR="001E71C6" w:rsidRPr="001569FB">
        <w:rPr>
          <w:szCs w:val="24"/>
        </w:rPr>
        <w:t>1.041</w:t>
      </w:r>
      <w:r w:rsidRPr="001569FB">
        <w:rPr>
          <w:szCs w:val="24"/>
        </w:rPr>
        <w:t xml:space="preserve"> and the </w:t>
      </w:r>
      <w:r w:rsidR="001E71C6" w:rsidRPr="001569FB">
        <w:rPr>
          <w:szCs w:val="24"/>
        </w:rPr>
        <w:t xml:space="preserve">proposed </w:t>
      </w:r>
      <w:r w:rsidRPr="001569FB">
        <w:rPr>
          <w:szCs w:val="24"/>
        </w:rPr>
        <w:t xml:space="preserve">Part C normalization factor for the “Payment Condition Count” model is </w:t>
      </w:r>
      <w:r w:rsidR="001E71C6" w:rsidRPr="001569FB">
        <w:rPr>
          <w:szCs w:val="24"/>
        </w:rPr>
        <w:t>1.038</w:t>
      </w:r>
      <w:r w:rsidRPr="001569FB">
        <w:rPr>
          <w:szCs w:val="24"/>
        </w:rPr>
        <w:t>.</w:t>
      </w:r>
      <w:r w:rsidR="006E5268" w:rsidRPr="001569FB">
        <w:rPr>
          <w:szCs w:val="24"/>
        </w:rPr>
        <w:t xml:space="preserve"> </w:t>
      </w:r>
      <w:r w:rsidR="00D1070A" w:rsidRPr="001569FB">
        <w:rPr>
          <w:szCs w:val="24"/>
        </w:rPr>
        <w:t xml:space="preserve"> The </w:t>
      </w:r>
      <w:r w:rsidR="001E71C6" w:rsidRPr="001569FB">
        <w:rPr>
          <w:szCs w:val="24"/>
        </w:rPr>
        <w:t xml:space="preserve">trend includes 2013 through 2017 risk scores to calculate the </w:t>
      </w:r>
      <w:r w:rsidR="00D1070A" w:rsidRPr="001569FB">
        <w:rPr>
          <w:szCs w:val="24"/>
        </w:rPr>
        <w:t>normalization factor for the CMS-HCC model, PACE model, ESRD Dialysis model, and ESRD Post-</w:t>
      </w:r>
      <w:r w:rsidR="008A63FC" w:rsidRPr="001569FB">
        <w:rPr>
          <w:szCs w:val="24"/>
        </w:rPr>
        <w:t>G</w:t>
      </w:r>
      <w:r w:rsidR="00D1070A" w:rsidRPr="001569FB">
        <w:rPr>
          <w:szCs w:val="24"/>
        </w:rPr>
        <w:t>raft model</w:t>
      </w:r>
      <w:r w:rsidR="008A63FC" w:rsidRPr="001569FB">
        <w:rPr>
          <w:szCs w:val="24"/>
        </w:rPr>
        <w:t>.</w:t>
      </w:r>
      <w:r w:rsidR="00D1070A" w:rsidRPr="001569FB">
        <w:rPr>
          <w:szCs w:val="24"/>
        </w:rPr>
        <w:t xml:space="preserve"> </w:t>
      </w:r>
      <w:r w:rsidR="006E5268" w:rsidRPr="001569FB">
        <w:rPr>
          <w:szCs w:val="24"/>
        </w:rPr>
        <w:t>The preliminary normalization factors</w:t>
      </w:r>
      <w:r w:rsidR="008A63FC" w:rsidRPr="001569FB">
        <w:rPr>
          <w:szCs w:val="24"/>
        </w:rPr>
        <w:t xml:space="preserve"> and annual trends</w:t>
      </w:r>
      <w:r w:rsidR="006E5268" w:rsidRPr="001569FB">
        <w:rPr>
          <w:szCs w:val="24"/>
        </w:rPr>
        <w:t xml:space="preserve"> for each of these models are in </w:t>
      </w:r>
      <w:r w:rsidRPr="001569FB">
        <w:rPr>
          <w:szCs w:val="24"/>
        </w:rPr>
        <w:t xml:space="preserve">L1 </w:t>
      </w:r>
      <w:r w:rsidR="006E5268" w:rsidRPr="001569FB">
        <w:rPr>
          <w:szCs w:val="24"/>
        </w:rPr>
        <w:t xml:space="preserve">through </w:t>
      </w:r>
      <w:r w:rsidRPr="001569FB">
        <w:rPr>
          <w:szCs w:val="24"/>
        </w:rPr>
        <w:t>L</w:t>
      </w:r>
      <w:r w:rsidR="006E5268" w:rsidRPr="001569FB">
        <w:rPr>
          <w:szCs w:val="24"/>
        </w:rPr>
        <w:t>4.</w:t>
      </w:r>
    </w:p>
    <w:p w14:paraId="2CDD0EB6" w14:textId="32457E52" w:rsidR="00D1070A" w:rsidRPr="001569FB" w:rsidRDefault="00D1070A" w:rsidP="00D1070A">
      <w:pPr>
        <w:spacing w:before="200" w:after="200"/>
        <w:rPr>
          <w:szCs w:val="24"/>
        </w:rPr>
      </w:pPr>
      <w:r w:rsidRPr="001569FB">
        <w:rPr>
          <w:szCs w:val="24"/>
        </w:rPr>
        <w:t xml:space="preserve">We propose to use </w:t>
      </w:r>
      <w:r w:rsidR="008A63FC" w:rsidRPr="001569FB">
        <w:rPr>
          <w:szCs w:val="24"/>
        </w:rPr>
        <w:t xml:space="preserve">2012 </w:t>
      </w:r>
      <w:r w:rsidRPr="001569FB">
        <w:rPr>
          <w:szCs w:val="24"/>
        </w:rPr>
        <w:t xml:space="preserve">through 2016 risk scores to calculate the normalization factor for the RxHCC model; </w:t>
      </w:r>
      <w:r w:rsidR="002E0E57" w:rsidRPr="001569FB">
        <w:rPr>
          <w:szCs w:val="24"/>
        </w:rPr>
        <w:t>these factors and annual trends</w:t>
      </w:r>
      <w:r w:rsidRPr="001569FB">
        <w:rPr>
          <w:szCs w:val="24"/>
        </w:rPr>
        <w:t xml:space="preserve"> are shown in L5. </w:t>
      </w:r>
      <w:r w:rsidR="002D7EDD" w:rsidRPr="001569FB">
        <w:rPr>
          <w:szCs w:val="24"/>
        </w:rPr>
        <w:t xml:space="preserve"> </w:t>
      </w:r>
      <w:r w:rsidRPr="001569FB">
        <w:rPr>
          <w:szCs w:val="24"/>
        </w:rPr>
        <w:t xml:space="preserve">The normalization factors for payment year 2019 will be finalized in the 2019 Announcement, to be released no later than April 2, 2018. </w:t>
      </w:r>
    </w:p>
    <w:p w14:paraId="4AF758AD" w14:textId="77777777" w:rsidR="006E5268" w:rsidRPr="001569FB" w:rsidRDefault="00881B21" w:rsidP="002707EC">
      <w:pPr>
        <w:pStyle w:val="Heading3"/>
        <w:spacing w:before="360"/>
        <w:rPr>
          <w:i w:val="0"/>
          <w:color w:val="auto"/>
        </w:rPr>
      </w:pPr>
      <w:r w:rsidRPr="001569FB">
        <w:rPr>
          <w:color w:val="auto"/>
        </w:rPr>
        <w:lastRenderedPageBreak/>
        <w:t>L1</w:t>
      </w:r>
      <w:r w:rsidR="006E5268" w:rsidRPr="001569FB">
        <w:rPr>
          <w:color w:val="auto"/>
        </w:rPr>
        <w:t>.  Normalization for the CMS-HCC Model</w:t>
      </w:r>
    </w:p>
    <w:p w14:paraId="0E11CFEC" w14:textId="5C1EB6AD" w:rsidR="00F92383" w:rsidRPr="001569FB" w:rsidRDefault="00F92383" w:rsidP="00F92383">
      <w:pPr>
        <w:spacing w:before="200" w:after="200"/>
        <w:rPr>
          <w:color w:val="000000"/>
          <w:szCs w:val="24"/>
        </w:rPr>
      </w:pPr>
      <w:r w:rsidRPr="001569FB">
        <w:rPr>
          <w:szCs w:val="24"/>
        </w:rPr>
        <w:t>The proposed 2019 normalization factor for Part C is</w:t>
      </w:r>
      <w:r w:rsidRPr="001569FB">
        <w:rPr>
          <w:color w:val="000000"/>
          <w:szCs w:val="24"/>
        </w:rPr>
        <w:t xml:space="preserve"> </w:t>
      </w:r>
      <w:r w:rsidR="006403B5" w:rsidRPr="001569FB">
        <w:rPr>
          <w:bCs/>
          <w:szCs w:val="24"/>
        </w:rPr>
        <w:t xml:space="preserve">1.041 </w:t>
      </w:r>
      <w:r w:rsidRPr="001569FB">
        <w:rPr>
          <w:bCs/>
          <w:szCs w:val="24"/>
        </w:rPr>
        <w:t xml:space="preserve">for the CMS-HCC model used for payment in 2017 and 2018, and </w:t>
      </w:r>
      <w:r w:rsidR="006403B5" w:rsidRPr="001569FB">
        <w:rPr>
          <w:bCs/>
          <w:szCs w:val="24"/>
        </w:rPr>
        <w:t>1.038</w:t>
      </w:r>
      <w:r w:rsidRPr="001569FB">
        <w:rPr>
          <w:bCs/>
          <w:szCs w:val="24"/>
        </w:rPr>
        <w:t xml:space="preserve"> for the proposed “Payment Condition Count” model.</w:t>
      </w:r>
    </w:p>
    <w:p w14:paraId="5C6259DD" w14:textId="2021CA79" w:rsidR="006E5268" w:rsidRPr="001569FB" w:rsidRDefault="00F92383" w:rsidP="006E5268">
      <w:pPr>
        <w:spacing w:before="200" w:after="200"/>
        <w:rPr>
          <w:szCs w:val="24"/>
        </w:rPr>
      </w:pPr>
      <w:r w:rsidRPr="001569FB">
        <w:rPr>
          <w:szCs w:val="24"/>
        </w:rPr>
        <w:t xml:space="preserve">Both the proposed “Payment Condition Count” model and the CMS-HCC model used for payment in 2017 and 2018 have a 2015 denominator. </w:t>
      </w:r>
      <w:r w:rsidR="00D93DCF" w:rsidRPr="001569FB">
        <w:rPr>
          <w:szCs w:val="24"/>
        </w:rPr>
        <w:t xml:space="preserve"> </w:t>
      </w:r>
      <w:r w:rsidRPr="001569FB">
        <w:rPr>
          <w:szCs w:val="24"/>
        </w:rPr>
        <w:t xml:space="preserve">Between </w:t>
      </w:r>
      <w:r w:rsidR="006403B5" w:rsidRPr="001569FB">
        <w:rPr>
          <w:szCs w:val="24"/>
        </w:rPr>
        <w:t xml:space="preserve">2013 </w:t>
      </w:r>
      <w:r w:rsidRPr="001569FB">
        <w:rPr>
          <w:szCs w:val="24"/>
        </w:rPr>
        <w:t>and 2017, t</w:t>
      </w:r>
      <w:r w:rsidRPr="001569FB">
        <w:rPr>
          <w:color w:val="000000"/>
          <w:szCs w:val="24"/>
        </w:rPr>
        <w:t xml:space="preserve">he </w:t>
      </w:r>
      <w:r w:rsidR="006403B5" w:rsidRPr="001569FB">
        <w:rPr>
          <w:color w:val="000000"/>
          <w:szCs w:val="24"/>
        </w:rPr>
        <w:t>average annual trend</w:t>
      </w:r>
      <w:r w:rsidRPr="001569FB">
        <w:rPr>
          <w:color w:val="000000"/>
          <w:szCs w:val="24"/>
        </w:rPr>
        <w:t xml:space="preserve"> estimated from the </w:t>
      </w:r>
      <w:r w:rsidR="006403B5" w:rsidRPr="001569FB">
        <w:rPr>
          <w:color w:val="000000"/>
          <w:szCs w:val="24"/>
        </w:rPr>
        <w:t>population</w:t>
      </w:r>
      <w:r w:rsidRPr="001569FB">
        <w:rPr>
          <w:color w:val="000000"/>
          <w:szCs w:val="24"/>
        </w:rPr>
        <w:t xml:space="preserve"> of </w:t>
      </w:r>
      <w:r w:rsidR="006403B5" w:rsidRPr="001569FB">
        <w:rPr>
          <w:color w:val="000000"/>
          <w:szCs w:val="24"/>
        </w:rPr>
        <w:t xml:space="preserve">FFS </w:t>
      </w:r>
      <w:r w:rsidRPr="001569FB">
        <w:rPr>
          <w:color w:val="000000"/>
          <w:szCs w:val="24"/>
        </w:rPr>
        <w:t xml:space="preserve">beneficiaries, excluding ESRD </w:t>
      </w:r>
      <w:r w:rsidR="006403B5" w:rsidRPr="001569FB">
        <w:rPr>
          <w:color w:val="000000"/>
          <w:szCs w:val="24"/>
        </w:rPr>
        <w:t xml:space="preserve">and </w:t>
      </w:r>
      <w:r w:rsidRPr="001569FB">
        <w:rPr>
          <w:color w:val="000000"/>
          <w:szCs w:val="24"/>
        </w:rPr>
        <w:t>hospice, is</w:t>
      </w:r>
      <w:r w:rsidR="006403B5" w:rsidRPr="001569FB">
        <w:rPr>
          <w:color w:val="000000"/>
          <w:szCs w:val="24"/>
        </w:rPr>
        <w:t xml:space="preserve"> 0.0100</w:t>
      </w:r>
      <w:r w:rsidRPr="001569FB">
        <w:rPr>
          <w:color w:val="000000"/>
          <w:szCs w:val="24"/>
        </w:rPr>
        <w:t xml:space="preserve"> for the CMS-HCC model used in payment year 2017 and 2018 and </w:t>
      </w:r>
      <w:r w:rsidR="006403B5" w:rsidRPr="001569FB">
        <w:rPr>
          <w:color w:val="000000"/>
          <w:szCs w:val="24"/>
        </w:rPr>
        <w:t>0.0093</w:t>
      </w:r>
      <w:r w:rsidRPr="001569FB">
        <w:rPr>
          <w:color w:val="000000"/>
          <w:szCs w:val="24"/>
        </w:rPr>
        <w:t xml:space="preserve"> for the proposed “Payment Condition Count” model.</w:t>
      </w:r>
      <w:r w:rsidR="006403B5" w:rsidRPr="001569FB">
        <w:rPr>
          <w:color w:val="000000"/>
          <w:szCs w:val="24"/>
        </w:rPr>
        <w:t xml:space="preserve"> There are four years of trend between the denominator year and the payment year for both models.</w:t>
      </w:r>
    </w:p>
    <w:p w14:paraId="441E57EA" w14:textId="3993ED0E" w:rsidR="006E5268" w:rsidRPr="001569FB" w:rsidRDefault="006E5268" w:rsidP="006E5268">
      <w:pPr>
        <w:spacing w:before="200" w:after="200"/>
        <w:rPr>
          <w:color w:val="000000"/>
          <w:szCs w:val="24"/>
        </w:rPr>
      </w:pPr>
      <w:r w:rsidRPr="001569FB">
        <w:rPr>
          <w:color w:val="000000"/>
          <w:szCs w:val="24"/>
        </w:rPr>
        <w:t>The Part C normalization factor for the CMS-HCC risk adjustment models is applied to the</w:t>
      </w:r>
      <w:r w:rsidR="002F2452" w:rsidRPr="001569FB">
        <w:rPr>
          <w:color w:val="000000"/>
          <w:szCs w:val="24"/>
        </w:rPr>
        <w:t xml:space="preserve"> </w:t>
      </w:r>
      <w:r w:rsidRPr="001569FB">
        <w:rPr>
          <w:color w:val="000000"/>
          <w:szCs w:val="24"/>
        </w:rPr>
        <w:t xml:space="preserve"> </w:t>
      </w:r>
      <w:r w:rsidRPr="001569FB">
        <w:rPr>
          <w:szCs w:val="24"/>
        </w:rPr>
        <w:t>community non-dual aged, community non-dual disabled, community full benefit dual aged, community full benefit dual disabled,</w:t>
      </w:r>
      <w:r w:rsidRPr="001569FB">
        <w:rPr>
          <w:spacing w:val="-12"/>
          <w:szCs w:val="24"/>
        </w:rPr>
        <w:t xml:space="preserve"> c</w:t>
      </w:r>
      <w:r w:rsidRPr="001569FB">
        <w:rPr>
          <w:szCs w:val="24"/>
        </w:rPr>
        <w:t>ommunity partial benefit dual aged, community partial benefit dual disabled, institutional</w:t>
      </w:r>
      <w:r w:rsidR="002F2452" w:rsidRPr="001569FB">
        <w:rPr>
          <w:szCs w:val="24"/>
        </w:rPr>
        <w:t>,</w:t>
      </w:r>
      <w:r w:rsidRPr="001569FB">
        <w:rPr>
          <w:spacing w:val="-18"/>
          <w:szCs w:val="24"/>
        </w:rPr>
        <w:t xml:space="preserve"> </w:t>
      </w:r>
      <w:r w:rsidRPr="001569FB">
        <w:rPr>
          <w:szCs w:val="24"/>
        </w:rPr>
        <w:t>new enrollee, and C-SNP new enrollee</w:t>
      </w:r>
      <w:r w:rsidR="0079441F" w:rsidRPr="001569FB">
        <w:rPr>
          <w:szCs w:val="24"/>
        </w:rPr>
        <w:t xml:space="preserve"> risk scores</w:t>
      </w:r>
      <w:r w:rsidRPr="001569FB">
        <w:rPr>
          <w:szCs w:val="24"/>
        </w:rPr>
        <w:t>.</w:t>
      </w:r>
      <w:r w:rsidRPr="001569FB">
        <w:rPr>
          <w:color w:val="000000"/>
          <w:szCs w:val="24"/>
        </w:rPr>
        <w:t xml:space="preserve"> </w:t>
      </w:r>
      <w:r w:rsidRPr="001569FB">
        <w:rPr>
          <w:color w:val="000000"/>
          <w:szCs w:val="24"/>
        </w:rPr>
        <w:br/>
      </w:r>
      <w:r w:rsidRPr="001569FB">
        <w:rPr>
          <w:color w:val="000000"/>
          <w:szCs w:val="24"/>
        </w:rPr>
        <w:br/>
        <w:t xml:space="preserve">The risk scores used to </w:t>
      </w:r>
      <w:r w:rsidRPr="001569FB">
        <w:rPr>
          <w:szCs w:val="24"/>
        </w:rPr>
        <w:t>calculate</w:t>
      </w:r>
      <w:r w:rsidRPr="001569FB">
        <w:rPr>
          <w:color w:val="000000"/>
          <w:szCs w:val="24"/>
        </w:rPr>
        <w:t xml:space="preserve"> the proposed </w:t>
      </w:r>
      <w:r w:rsidR="002F2452" w:rsidRPr="001569FB">
        <w:rPr>
          <w:color w:val="000000"/>
          <w:szCs w:val="24"/>
        </w:rPr>
        <w:t xml:space="preserve">2019 </w:t>
      </w:r>
      <w:r w:rsidRPr="001569FB">
        <w:rPr>
          <w:color w:val="000000"/>
          <w:szCs w:val="24"/>
        </w:rPr>
        <w:t>normalization factor for</w:t>
      </w:r>
      <w:r w:rsidR="00E12BC6" w:rsidRPr="001569FB">
        <w:rPr>
          <w:color w:val="000000"/>
          <w:szCs w:val="24"/>
        </w:rPr>
        <w:t xml:space="preserve"> the CMS-HCC model used in 2017 and 2018 and the proposed “Payment Condition Count” model</w:t>
      </w:r>
      <w:r w:rsidR="00345859" w:rsidRPr="001569FB">
        <w:rPr>
          <w:color w:val="000000"/>
          <w:szCs w:val="24"/>
        </w:rPr>
        <w:t xml:space="preserve"> </w:t>
      </w:r>
      <w:r w:rsidRPr="001569FB">
        <w:rPr>
          <w:color w:val="000000"/>
          <w:szCs w:val="24"/>
        </w:rPr>
        <w:t xml:space="preserve">are included </w:t>
      </w:r>
      <w:r w:rsidR="00345859" w:rsidRPr="001569FB">
        <w:rPr>
          <w:color w:val="000000"/>
          <w:szCs w:val="24"/>
        </w:rPr>
        <w:t>in</w:t>
      </w:r>
      <w:r w:rsidR="00E12BC6" w:rsidRPr="001569FB">
        <w:t xml:space="preserve"> </w:t>
      </w:r>
      <w:r w:rsidR="00E12BC6" w:rsidRPr="001569FB">
        <w:rPr>
          <w:color w:val="000000"/>
          <w:szCs w:val="24"/>
        </w:rPr>
        <w:t>Table II-5. Part C Normalization Factor Trend.</w:t>
      </w:r>
    </w:p>
    <w:p w14:paraId="3F0B3D2E" w14:textId="16C62D2A" w:rsidR="00E12BC6" w:rsidRPr="001569FB" w:rsidRDefault="00E12BC6" w:rsidP="008E38C8">
      <w:pPr>
        <w:spacing w:before="200" w:after="200"/>
        <w:jc w:val="center"/>
        <w:rPr>
          <w:b/>
          <w:color w:val="000000"/>
          <w:szCs w:val="24"/>
        </w:rPr>
      </w:pPr>
      <w:r w:rsidRPr="001569FB">
        <w:rPr>
          <w:b/>
          <w:color w:val="000000"/>
          <w:szCs w:val="24"/>
        </w:rPr>
        <w:t>Table II-5. Part C Normalization Factor Trend</w:t>
      </w:r>
    </w:p>
    <w:tbl>
      <w:tblPr>
        <w:tblStyle w:val="TableGrid"/>
        <w:tblW w:w="7347" w:type="dxa"/>
        <w:jc w:val="center"/>
        <w:tblLook w:val="04A0" w:firstRow="1" w:lastRow="0" w:firstColumn="1" w:lastColumn="0" w:noHBand="0" w:noVBand="1"/>
      </w:tblPr>
      <w:tblGrid>
        <w:gridCol w:w="723"/>
        <w:gridCol w:w="3312"/>
        <w:gridCol w:w="3312"/>
      </w:tblGrid>
      <w:tr w:rsidR="002707EC" w:rsidRPr="001569FB" w14:paraId="5C924AF5" w14:textId="77777777" w:rsidTr="00BA36E3">
        <w:trPr>
          <w:cantSplit/>
          <w:trHeight w:val="180"/>
          <w:tblHeader/>
          <w:jc w:val="center"/>
        </w:trPr>
        <w:tc>
          <w:tcPr>
            <w:tcW w:w="0" w:type="auto"/>
            <w:shd w:val="clear" w:color="auto" w:fill="DDD9C3"/>
            <w:vAlign w:val="center"/>
          </w:tcPr>
          <w:p w14:paraId="5B1F83AC" w14:textId="77777777" w:rsidR="002E1BD9" w:rsidRPr="001569FB" w:rsidRDefault="002E1BD9" w:rsidP="00772B25">
            <w:pPr>
              <w:keepNext/>
              <w:keepLines/>
              <w:rPr>
                <w:b/>
                <w:color w:val="000000"/>
                <w:szCs w:val="24"/>
              </w:rPr>
            </w:pPr>
            <w:r w:rsidRPr="001569FB">
              <w:rPr>
                <w:b/>
                <w:color w:val="000000"/>
                <w:szCs w:val="24"/>
              </w:rPr>
              <w:t>Year</w:t>
            </w:r>
          </w:p>
        </w:tc>
        <w:tc>
          <w:tcPr>
            <w:tcW w:w="3312" w:type="dxa"/>
            <w:shd w:val="clear" w:color="auto" w:fill="DDD9C3"/>
          </w:tcPr>
          <w:p w14:paraId="630B4B41" w14:textId="77777777" w:rsidR="002E1BD9" w:rsidRPr="001569FB" w:rsidRDefault="002E1BD9" w:rsidP="00772B25">
            <w:pPr>
              <w:keepNext/>
              <w:keepLines/>
              <w:jc w:val="center"/>
              <w:rPr>
                <w:b/>
                <w:color w:val="000000"/>
                <w:szCs w:val="24"/>
              </w:rPr>
            </w:pPr>
            <w:r w:rsidRPr="001569FB">
              <w:rPr>
                <w:b/>
                <w:color w:val="000000"/>
                <w:szCs w:val="24"/>
              </w:rPr>
              <w:t xml:space="preserve">CMS-HCC Model used in Payment Year </w:t>
            </w:r>
            <w:r w:rsidR="00F92383" w:rsidRPr="001569FB">
              <w:rPr>
                <w:b/>
                <w:color w:val="000000"/>
                <w:szCs w:val="24"/>
              </w:rPr>
              <w:t xml:space="preserve">2017 and </w:t>
            </w:r>
            <w:r w:rsidRPr="001569FB">
              <w:rPr>
                <w:b/>
                <w:color w:val="000000"/>
                <w:szCs w:val="24"/>
              </w:rPr>
              <w:t>2018</w:t>
            </w:r>
          </w:p>
        </w:tc>
        <w:tc>
          <w:tcPr>
            <w:tcW w:w="3312" w:type="dxa"/>
            <w:shd w:val="clear" w:color="auto" w:fill="DDD9C3"/>
          </w:tcPr>
          <w:p w14:paraId="4352DA6C" w14:textId="77777777" w:rsidR="002E1BD9" w:rsidRPr="001569FB" w:rsidRDefault="002E1BD9" w:rsidP="00772B25">
            <w:pPr>
              <w:keepNext/>
              <w:keepLines/>
              <w:jc w:val="center"/>
              <w:rPr>
                <w:b/>
                <w:color w:val="000000"/>
                <w:szCs w:val="24"/>
              </w:rPr>
            </w:pPr>
            <w:r w:rsidRPr="001569FB">
              <w:rPr>
                <w:b/>
                <w:color w:val="000000"/>
                <w:szCs w:val="24"/>
              </w:rPr>
              <w:t>Proposed “Payment Condition Count” model</w:t>
            </w:r>
          </w:p>
        </w:tc>
      </w:tr>
      <w:tr w:rsidR="002707EC" w:rsidRPr="001569FB" w14:paraId="3A90684F" w14:textId="77777777" w:rsidTr="002707EC">
        <w:trPr>
          <w:trHeight w:val="180"/>
          <w:jc w:val="center"/>
        </w:trPr>
        <w:tc>
          <w:tcPr>
            <w:tcW w:w="0" w:type="auto"/>
          </w:tcPr>
          <w:p w14:paraId="73527E27" w14:textId="77777777" w:rsidR="00F92383" w:rsidRPr="001569FB" w:rsidRDefault="00F92383" w:rsidP="00772B25">
            <w:pPr>
              <w:keepNext/>
              <w:keepLines/>
              <w:rPr>
                <w:color w:val="000000"/>
                <w:szCs w:val="24"/>
              </w:rPr>
            </w:pPr>
            <w:r w:rsidRPr="001569FB">
              <w:t>2011</w:t>
            </w:r>
          </w:p>
        </w:tc>
        <w:tc>
          <w:tcPr>
            <w:tcW w:w="3312" w:type="dxa"/>
          </w:tcPr>
          <w:p w14:paraId="3EBEA69D" w14:textId="77777777" w:rsidR="00F92383" w:rsidRPr="001569FB" w:rsidRDefault="00F92383" w:rsidP="00772B25">
            <w:pPr>
              <w:keepNext/>
              <w:keepLines/>
              <w:jc w:val="center"/>
              <w:rPr>
                <w:color w:val="000000"/>
                <w:szCs w:val="24"/>
              </w:rPr>
            </w:pPr>
            <w:r w:rsidRPr="001569FB">
              <w:t>0.988</w:t>
            </w:r>
          </w:p>
        </w:tc>
        <w:tc>
          <w:tcPr>
            <w:tcW w:w="3312" w:type="dxa"/>
          </w:tcPr>
          <w:p w14:paraId="330AA609" w14:textId="77777777" w:rsidR="00F92383" w:rsidRPr="001569FB" w:rsidRDefault="00F92383" w:rsidP="00772B25">
            <w:pPr>
              <w:keepNext/>
              <w:keepLines/>
              <w:jc w:val="center"/>
              <w:rPr>
                <w:color w:val="000000"/>
                <w:szCs w:val="24"/>
              </w:rPr>
            </w:pPr>
            <w:r w:rsidRPr="001569FB">
              <w:t>0.987</w:t>
            </w:r>
          </w:p>
        </w:tc>
      </w:tr>
      <w:tr w:rsidR="002707EC" w:rsidRPr="001569FB" w14:paraId="53C9836B" w14:textId="77777777" w:rsidTr="002707EC">
        <w:trPr>
          <w:trHeight w:val="46"/>
          <w:jc w:val="center"/>
        </w:trPr>
        <w:tc>
          <w:tcPr>
            <w:tcW w:w="0" w:type="auto"/>
          </w:tcPr>
          <w:p w14:paraId="50FE6BA6" w14:textId="77777777" w:rsidR="002E1BD9" w:rsidRPr="001569FB" w:rsidRDefault="002E1BD9" w:rsidP="00772B25">
            <w:pPr>
              <w:keepNext/>
              <w:keepLines/>
              <w:rPr>
                <w:color w:val="000000"/>
                <w:szCs w:val="24"/>
              </w:rPr>
            </w:pPr>
            <w:r w:rsidRPr="001569FB">
              <w:rPr>
                <w:color w:val="000000"/>
                <w:szCs w:val="24"/>
              </w:rPr>
              <w:t>2012</w:t>
            </w:r>
          </w:p>
        </w:tc>
        <w:tc>
          <w:tcPr>
            <w:tcW w:w="3312" w:type="dxa"/>
          </w:tcPr>
          <w:p w14:paraId="4B74AE0C" w14:textId="77777777" w:rsidR="002E1BD9" w:rsidRPr="001569FB" w:rsidRDefault="002E1BD9" w:rsidP="00772B25">
            <w:pPr>
              <w:keepNext/>
              <w:keepLines/>
              <w:jc w:val="center"/>
              <w:rPr>
                <w:color w:val="000000"/>
                <w:szCs w:val="24"/>
              </w:rPr>
            </w:pPr>
            <w:r w:rsidRPr="001569FB">
              <w:t>0.996</w:t>
            </w:r>
          </w:p>
        </w:tc>
        <w:tc>
          <w:tcPr>
            <w:tcW w:w="3312" w:type="dxa"/>
          </w:tcPr>
          <w:p w14:paraId="5645EE08" w14:textId="77777777" w:rsidR="002E1BD9" w:rsidRPr="001569FB" w:rsidRDefault="002E1BD9" w:rsidP="00772B25">
            <w:pPr>
              <w:keepNext/>
              <w:keepLines/>
              <w:jc w:val="center"/>
              <w:rPr>
                <w:color w:val="000000"/>
                <w:szCs w:val="24"/>
              </w:rPr>
            </w:pPr>
            <w:r w:rsidRPr="001569FB">
              <w:t>0.996</w:t>
            </w:r>
          </w:p>
        </w:tc>
      </w:tr>
      <w:tr w:rsidR="002707EC" w:rsidRPr="001569FB" w14:paraId="768037B1" w14:textId="77777777" w:rsidTr="002707EC">
        <w:trPr>
          <w:trHeight w:val="16"/>
          <w:jc w:val="center"/>
        </w:trPr>
        <w:tc>
          <w:tcPr>
            <w:tcW w:w="0" w:type="auto"/>
          </w:tcPr>
          <w:p w14:paraId="74C389E4" w14:textId="77777777" w:rsidR="002E1BD9" w:rsidRPr="001569FB" w:rsidRDefault="002E1BD9" w:rsidP="00772B25">
            <w:pPr>
              <w:keepNext/>
              <w:keepLines/>
              <w:rPr>
                <w:color w:val="000000"/>
                <w:szCs w:val="24"/>
              </w:rPr>
            </w:pPr>
            <w:r w:rsidRPr="001569FB">
              <w:rPr>
                <w:color w:val="000000"/>
                <w:szCs w:val="24"/>
              </w:rPr>
              <w:t>2013</w:t>
            </w:r>
          </w:p>
        </w:tc>
        <w:tc>
          <w:tcPr>
            <w:tcW w:w="3312" w:type="dxa"/>
          </w:tcPr>
          <w:p w14:paraId="0C8DF0DC" w14:textId="77777777" w:rsidR="002E1BD9" w:rsidRPr="001569FB" w:rsidRDefault="002E1BD9" w:rsidP="00772B25">
            <w:pPr>
              <w:keepNext/>
              <w:keepLines/>
              <w:jc w:val="center"/>
              <w:rPr>
                <w:color w:val="000000"/>
                <w:szCs w:val="24"/>
              </w:rPr>
            </w:pPr>
            <w:r w:rsidRPr="001569FB">
              <w:t>0.995</w:t>
            </w:r>
          </w:p>
        </w:tc>
        <w:tc>
          <w:tcPr>
            <w:tcW w:w="3312" w:type="dxa"/>
          </w:tcPr>
          <w:p w14:paraId="3C5DD34E" w14:textId="77777777" w:rsidR="002E1BD9" w:rsidRPr="001569FB" w:rsidRDefault="002E1BD9" w:rsidP="00772B25">
            <w:pPr>
              <w:keepNext/>
              <w:keepLines/>
              <w:jc w:val="center"/>
              <w:rPr>
                <w:color w:val="000000"/>
                <w:szCs w:val="24"/>
              </w:rPr>
            </w:pPr>
            <w:r w:rsidRPr="001569FB">
              <w:t>0.994</w:t>
            </w:r>
          </w:p>
        </w:tc>
      </w:tr>
      <w:tr w:rsidR="002707EC" w:rsidRPr="001569FB" w14:paraId="15D52A6F" w14:textId="77777777" w:rsidTr="002707EC">
        <w:trPr>
          <w:trHeight w:val="16"/>
          <w:jc w:val="center"/>
        </w:trPr>
        <w:tc>
          <w:tcPr>
            <w:tcW w:w="0" w:type="auto"/>
          </w:tcPr>
          <w:p w14:paraId="2FE571C5" w14:textId="77777777" w:rsidR="002E1BD9" w:rsidRPr="001569FB" w:rsidRDefault="002E1BD9" w:rsidP="00772B25">
            <w:pPr>
              <w:keepNext/>
              <w:keepLines/>
              <w:rPr>
                <w:color w:val="000000"/>
                <w:szCs w:val="24"/>
              </w:rPr>
            </w:pPr>
            <w:r w:rsidRPr="001569FB">
              <w:rPr>
                <w:color w:val="000000"/>
                <w:szCs w:val="24"/>
              </w:rPr>
              <w:t>2014</w:t>
            </w:r>
          </w:p>
        </w:tc>
        <w:tc>
          <w:tcPr>
            <w:tcW w:w="3312" w:type="dxa"/>
          </w:tcPr>
          <w:p w14:paraId="104A5EC6" w14:textId="77777777" w:rsidR="002E1BD9" w:rsidRPr="001569FB" w:rsidRDefault="002E1BD9" w:rsidP="00772B25">
            <w:pPr>
              <w:keepNext/>
              <w:keepLines/>
              <w:jc w:val="center"/>
              <w:rPr>
                <w:color w:val="000000"/>
                <w:szCs w:val="24"/>
              </w:rPr>
            </w:pPr>
            <w:r w:rsidRPr="001569FB">
              <w:t>0.998</w:t>
            </w:r>
          </w:p>
        </w:tc>
        <w:tc>
          <w:tcPr>
            <w:tcW w:w="3312" w:type="dxa"/>
          </w:tcPr>
          <w:p w14:paraId="10227AFE" w14:textId="77777777" w:rsidR="002E1BD9" w:rsidRPr="001569FB" w:rsidRDefault="002E1BD9" w:rsidP="00772B25">
            <w:pPr>
              <w:keepNext/>
              <w:keepLines/>
              <w:jc w:val="center"/>
              <w:rPr>
                <w:color w:val="000000"/>
                <w:szCs w:val="24"/>
              </w:rPr>
            </w:pPr>
            <w:r w:rsidRPr="001569FB">
              <w:t>0.998</w:t>
            </w:r>
          </w:p>
        </w:tc>
      </w:tr>
      <w:tr w:rsidR="002707EC" w:rsidRPr="001569FB" w14:paraId="6C73824A" w14:textId="77777777" w:rsidTr="002707EC">
        <w:trPr>
          <w:trHeight w:val="16"/>
          <w:jc w:val="center"/>
        </w:trPr>
        <w:tc>
          <w:tcPr>
            <w:tcW w:w="0" w:type="auto"/>
          </w:tcPr>
          <w:p w14:paraId="2DC994BB" w14:textId="77777777" w:rsidR="002E1BD9" w:rsidRPr="001569FB" w:rsidRDefault="002E1BD9" w:rsidP="00772B25">
            <w:pPr>
              <w:keepNext/>
              <w:keepLines/>
              <w:rPr>
                <w:color w:val="000000"/>
                <w:szCs w:val="24"/>
              </w:rPr>
            </w:pPr>
            <w:r w:rsidRPr="001569FB">
              <w:rPr>
                <w:color w:val="000000"/>
                <w:szCs w:val="24"/>
              </w:rPr>
              <w:t>2015</w:t>
            </w:r>
          </w:p>
        </w:tc>
        <w:tc>
          <w:tcPr>
            <w:tcW w:w="3312" w:type="dxa"/>
          </w:tcPr>
          <w:p w14:paraId="295B8A73" w14:textId="77777777" w:rsidR="002E1BD9" w:rsidRPr="001569FB" w:rsidRDefault="002E1BD9" w:rsidP="00772B25">
            <w:pPr>
              <w:keepNext/>
              <w:keepLines/>
              <w:jc w:val="center"/>
              <w:rPr>
                <w:color w:val="000000"/>
                <w:szCs w:val="24"/>
              </w:rPr>
            </w:pPr>
            <w:r w:rsidRPr="001569FB">
              <w:t>1.000</w:t>
            </w:r>
          </w:p>
        </w:tc>
        <w:tc>
          <w:tcPr>
            <w:tcW w:w="3312" w:type="dxa"/>
          </w:tcPr>
          <w:p w14:paraId="37DB2051" w14:textId="77777777" w:rsidR="002E1BD9" w:rsidRPr="001569FB" w:rsidRDefault="002E1BD9" w:rsidP="00772B25">
            <w:pPr>
              <w:keepNext/>
              <w:keepLines/>
              <w:jc w:val="center"/>
              <w:rPr>
                <w:color w:val="000000"/>
                <w:szCs w:val="24"/>
              </w:rPr>
            </w:pPr>
            <w:r w:rsidRPr="001569FB">
              <w:t>1.000</w:t>
            </w:r>
          </w:p>
        </w:tc>
      </w:tr>
      <w:tr w:rsidR="002707EC" w:rsidRPr="001569FB" w14:paraId="63DC064E" w14:textId="77777777" w:rsidTr="002707EC">
        <w:trPr>
          <w:trHeight w:val="16"/>
          <w:jc w:val="center"/>
        </w:trPr>
        <w:tc>
          <w:tcPr>
            <w:tcW w:w="0" w:type="auto"/>
          </w:tcPr>
          <w:p w14:paraId="265A39EF" w14:textId="77777777" w:rsidR="002E1BD9" w:rsidRPr="001569FB" w:rsidRDefault="002E1BD9" w:rsidP="00772B25">
            <w:pPr>
              <w:keepNext/>
              <w:keepLines/>
              <w:rPr>
                <w:color w:val="000000"/>
                <w:szCs w:val="24"/>
              </w:rPr>
            </w:pPr>
            <w:r w:rsidRPr="001569FB">
              <w:rPr>
                <w:color w:val="000000"/>
                <w:szCs w:val="24"/>
              </w:rPr>
              <w:t>2016</w:t>
            </w:r>
          </w:p>
        </w:tc>
        <w:tc>
          <w:tcPr>
            <w:tcW w:w="3312" w:type="dxa"/>
          </w:tcPr>
          <w:p w14:paraId="6E6D52C6" w14:textId="77777777" w:rsidR="002E1BD9" w:rsidRPr="001569FB" w:rsidRDefault="002E1BD9" w:rsidP="00772B25">
            <w:pPr>
              <w:keepNext/>
              <w:keepLines/>
              <w:jc w:val="center"/>
              <w:rPr>
                <w:color w:val="000000"/>
                <w:szCs w:val="24"/>
              </w:rPr>
            </w:pPr>
            <w:r w:rsidRPr="001569FB">
              <w:t>1.020</w:t>
            </w:r>
          </w:p>
        </w:tc>
        <w:tc>
          <w:tcPr>
            <w:tcW w:w="3312" w:type="dxa"/>
          </w:tcPr>
          <w:p w14:paraId="730D64AC" w14:textId="77777777" w:rsidR="002E1BD9" w:rsidRPr="001569FB" w:rsidRDefault="002E1BD9" w:rsidP="00772B25">
            <w:pPr>
              <w:keepNext/>
              <w:keepLines/>
              <w:jc w:val="center"/>
              <w:rPr>
                <w:color w:val="000000"/>
                <w:szCs w:val="24"/>
              </w:rPr>
            </w:pPr>
            <w:r w:rsidRPr="001569FB">
              <w:t>1.019</w:t>
            </w:r>
          </w:p>
        </w:tc>
      </w:tr>
      <w:tr w:rsidR="002707EC" w:rsidRPr="001569FB" w14:paraId="5C2A644B" w14:textId="77777777" w:rsidTr="002707EC">
        <w:trPr>
          <w:trHeight w:val="16"/>
          <w:jc w:val="center"/>
        </w:trPr>
        <w:tc>
          <w:tcPr>
            <w:tcW w:w="0" w:type="auto"/>
          </w:tcPr>
          <w:p w14:paraId="0AEAC6DD" w14:textId="77777777" w:rsidR="002E1BD9" w:rsidRPr="001569FB" w:rsidRDefault="002E1BD9" w:rsidP="002707EC">
            <w:pPr>
              <w:rPr>
                <w:color w:val="000000"/>
                <w:szCs w:val="24"/>
              </w:rPr>
            </w:pPr>
            <w:r w:rsidRPr="001569FB">
              <w:rPr>
                <w:color w:val="000000"/>
                <w:szCs w:val="24"/>
              </w:rPr>
              <w:t>2017</w:t>
            </w:r>
          </w:p>
        </w:tc>
        <w:tc>
          <w:tcPr>
            <w:tcW w:w="3312" w:type="dxa"/>
          </w:tcPr>
          <w:p w14:paraId="6BDBCEAB" w14:textId="77777777" w:rsidR="002E1BD9" w:rsidRPr="001569FB" w:rsidRDefault="002E1BD9" w:rsidP="002707EC">
            <w:pPr>
              <w:jc w:val="center"/>
              <w:rPr>
                <w:color w:val="000000"/>
                <w:szCs w:val="24"/>
              </w:rPr>
            </w:pPr>
            <w:r w:rsidRPr="001569FB">
              <w:t>1.034</w:t>
            </w:r>
          </w:p>
        </w:tc>
        <w:tc>
          <w:tcPr>
            <w:tcW w:w="3312" w:type="dxa"/>
          </w:tcPr>
          <w:p w14:paraId="6A9473C6" w14:textId="77777777" w:rsidR="002E1BD9" w:rsidRPr="001569FB" w:rsidRDefault="002E1BD9" w:rsidP="002707EC">
            <w:pPr>
              <w:jc w:val="center"/>
              <w:rPr>
                <w:color w:val="000000"/>
                <w:szCs w:val="24"/>
              </w:rPr>
            </w:pPr>
            <w:r w:rsidRPr="001569FB">
              <w:t>1.030</w:t>
            </w:r>
          </w:p>
        </w:tc>
      </w:tr>
    </w:tbl>
    <w:p w14:paraId="61568AA1" w14:textId="77777777" w:rsidR="006E5268" w:rsidRPr="001569FB" w:rsidRDefault="00881B21" w:rsidP="002707EC">
      <w:pPr>
        <w:pStyle w:val="Heading3"/>
        <w:spacing w:before="360"/>
        <w:rPr>
          <w:i w:val="0"/>
          <w:color w:val="auto"/>
        </w:rPr>
      </w:pPr>
      <w:r w:rsidRPr="001569FB">
        <w:rPr>
          <w:color w:val="auto"/>
        </w:rPr>
        <w:t>L2</w:t>
      </w:r>
      <w:r w:rsidR="006E5268" w:rsidRPr="001569FB">
        <w:rPr>
          <w:color w:val="auto"/>
        </w:rPr>
        <w:t>.  Normalization Factor for the PACE Model</w:t>
      </w:r>
    </w:p>
    <w:p w14:paraId="50112638" w14:textId="627519A0" w:rsidR="006E5268" w:rsidRPr="001569FB" w:rsidRDefault="006E5268" w:rsidP="006E5268">
      <w:pPr>
        <w:spacing w:before="200" w:after="200"/>
        <w:rPr>
          <w:szCs w:val="24"/>
        </w:rPr>
      </w:pPr>
      <w:r w:rsidRPr="001569FB">
        <w:rPr>
          <w:szCs w:val="24"/>
        </w:rPr>
        <w:t>The proposed 2019 normalization factor for the CMS-HCC risk adjustment model used for the PACE program is</w:t>
      </w:r>
      <w:r w:rsidR="00344A1C" w:rsidRPr="001569FB">
        <w:rPr>
          <w:szCs w:val="24"/>
        </w:rPr>
        <w:t xml:space="preserve"> </w:t>
      </w:r>
      <w:r w:rsidR="000978A8" w:rsidRPr="001569FB">
        <w:rPr>
          <w:szCs w:val="24"/>
        </w:rPr>
        <w:t>1.159</w:t>
      </w:r>
      <w:r w:rsidRPr="001569FB">
        <w:rPr>
          <w:szCs w:val="24"/>
        </w:rPr>
        <w:t>.</w:t>
      </w:r>
    </w:p>
    <w:p w14:paraId="3CF4031E" w14:textId="308BE8D5" w:rsidR="006E5268" w:rsidRPr="001569FB" w:rsidRDefault="006E5268" w:rsidP="006E5268">
      <w:pPr>
        <w:spacing w:before="200" w:after="200"/>
        <w:rPr>
          <w:color w:val="000000"/>
          <w:szCs w:val="24"/>
        </w:rPr>
      </w:pPr>
      <w:r w:rsidRPr="001569FB">
        <w:rPr>
          <w:szCs w:val="24"/>
        </w:rPr>
        <w:t xml:space="preserve">The CMS-HCC model for PACE beneficiaries has a </w:t>
      </w:r>
      <w:r w:rsidR="00347552" w:rsidRPr="001569FB">
        <w:rPr>
          <w:szCs w:val="24"/>
        </w:rPr>
        <w:t xml:space="preserve">2009 </w:t>
      </w:r>
      <w:r w:rsidRPr="001569FB">
        <w:rPr>
          <w:szCs w:val="24"/>
        </w:rPr>
        <w:t xml:space="preserve">denominator. </w:t>
      </w:r>
      <w:r w:rsidR="007B6641" w:rsidRPr="001569FB">
        <w:rPr>
          <w:szCs w:val="24"/>
        </w:rPr>
        <w:t xml:space="preserve"> </w:t>
      </w:r>
      <w:r w:rsidRPr="001569FB">
        <w:rPr>
          <w:szCs w:val="24"/>
        </w:rPr>
        <w:t xml:space="preserve">Between </w:t>
      </w:r>
      <w:r w:rsidR="000978A8" w:rsidRPr="001569FB">
        <w:rPr>
          <w:szCs w:val="24"/>
        </w:rPr>
        <w:t xml:space="preserve">2013 </w:t>
      </w:r>
      <w:r w:rsidRPr="001569FB">
        <w:rPr>
          <w:szCs w:val="24"/>
        </w:rPr>
        <w:t xml:space="preserve">and </w:t>
      </w:r>
      <w:r w:rsidR="00347552" w:rsidRPr="001569FB">
        <w:rPr>
          <w:szCs w:val="24"/>
        </w:rPr>
        <w:t>2017</w:t>
      </w:r>
      <w:r w:rsidRPr="001569FB">
        <w:rPr>
          <w:szCs w:val="24"/>
        </w:rPr>
        <w:t>, t</w:t>
      </w:r>
      <w:r w:rsidRPr="001569FB">
        <w:rPr>
          <w:color w:val="000000"/>
          <w:szCs w:val="24"/>
        </w:rPr>
        <w:t xml:space="preserve">he </w:t>
      </w:r>
      <w:r w:rsidR="000978A8" w:rsidRPr="001569FB">
        <w:rPr>
          <w:color w:val="000000"/>
          <w:szCs w:val="24"/>
        </w:rPr>
        <w:t>trend</w:t>
      </w:r>
      <w:r w:rsidR="00347552" w:rsidRPr="001569FB" w:rsidDel="00347552">
        <w:rPr>
          <w:color w:val="000000"/>
          <w:szCs w:val="24"/>
        </w:rPr>
        <w:t xml:space="preserve"> </w:t>
      </w:r>
      <w:r w:rsidRPr="001569FB">
        <w:rPr>
          <w:color w:val="000000"/>
          <w:szCs w:val="24"/>
        </w:rPr>
        <w:t>estimated from the</w:t>
      </w:r>
      <w:r w:rsidR="00347552" w:rsidRPr="001569FB">
        <w:rPr>
          <w:color w:val="000000"/>
          <w:szCs w:val="24"/>
        </w:rPr>
        <w:t xml:space="preserve"> </w:t>
      </w:r>
      <w:r w:rsidR="000978A8" w:rsidRPr="001569FB">
        <w:rPr>
          <w:color w:val="000000"/>
          <w:szCs w:val="24"/>
        </w:rPr>
        <w:t>population</w:t>
      </w:r>
      <w:r w:rsidR="00347552" w:rsidRPr="001569FB">
        <w:rPr>
          <w:color w:val="000000"/>
          <w:szCs w:val="24"/>
        </w:rPr>
        <w:t xml:space="preserve"> of</w:t>
      </w:r>
      <w:r w:rsidRPr="001569FB">
        <w:rPr>
          <w:color w:val="000000"/>
          <w:szCs w:val="24"/>
        </w:rPr>
        <w:t xml:space="preserve"> </w:t>
      </w:r>
      <w:r w:rsidR="000978A8" w:rsidRPr="001569FB">
        <w:rPr>
          <w:color w:val="000000"/>
          <w:szCs w:val="24"/>
        </w:rPr>
        <w:t xml:space="preserve">FFS </w:t>
      </w:r>
      <w:r w:rsidRPr="001569FB">
        <w:rPr>
          <w:color w:val="000000"/>
          <w:szCs w:val="24"/>
        </w:rPr>
        <w:t>beneficiaries</w:t>
      </w:r>
      <w:r w:rsidR="00347552" w:rsidRPr="001569FB">
        <w:rPr>
          <w:color w:val="000000"/>
          <w:szCs w:val="24"/>
        </w:rPr>
        <w:t xml:space="preserve">, </w:t>
      </w:r>
      <w:r w:rsidRPr="001569FB">
        <w:rPr>
          <w:color w:val="000000"/>
          <w:szCs w:val="24"/>
        </w:rPr>
        <w:t>excluding</w:t>
      </w:r>
      <w:r w:rsidR="00347552" w:rsidRPr="001569FB">
        <w:rPr>
          <w:color w:val="000000"/>
          <w:szCs w:val="24"/>
        </w:rPr>
        <w:t xml:space="preserve"> those </w:t>
      </w:r>
      <w:r w:rsidR="000978A8" w:rsidRPr="001569FB">
        <w:rPr>
          <w:color w:val="000000"/>
          <w:szCs w:val="24"/>
        </w:rPr>
        <w:t>with</w:t>
      </w:r>
      <w:r w:rsidRPr="001569FB">
        <w:rPr>
          <w:color w:val="000000"/>
          <w:szCs w:val="24"/>
        </w:rPr>
        <w:t xml:space="preserve"> ESRD </w:t>
      </w:r>
      <w:r w:rsidR="000978A8" w:rsidRPr="001569FB">
        <w:rPr>
          <w:color w:val="000000"/>
          <w:szCs w:val="24"/>
        </w:rPr>
        <w:t xml:space="preserve">and </w:t>
      </w:r>
      <w:r w:rsidR="00347552" w:rsidRPr="001569FB">
        <w:rPr>
          <w:color w:val="000000"/>
          <w:szCs w:val="24"/>
        </w:rPr>
        <w:t>h</w:t>
      </w:r>
      <w:r w:rsidRPr="001569FB">
        <w:rPr>
          <w:color w:val="000000"/>
          <w:szCs w:val="24"/>
        </w:rPr>
        <w:t xml:space="preserve">ospice is </w:t>
      </w:r>
      <w:r w:rsidR="000978A8" w:rsidRPr="001569FB">
        <w:rPr>
          <w:szCs w:val="24"/>
        </w:rPr>
        <w:t>0.0149</w:t>
      </w:r>
      <w:r w:rsidRPr="001569FB">
        <w:rPr>
          <w:color w:val="000000"/>
          <w:szCs w:val="24"/>
        </w:rPr>
        <w:t>.</w:t>
      </w:r>
      <w:r w:rsidR="000978A8" w:rsidRPr="001569FB">
        <w:rPr>
          <w:color w:val="000000"/>
          <w:szCs w:val="24"/>
        </w:rPr>
        <w:t xml:space="preserve"> </w:t>
      </w:r>
      <w:r w:rsidR="000978A8" w:rsidRPr="001569FB">
        <w:rPr>
          <w:szCs w:val="24"/>
        </w:rPr>
        <w:t>There are ten years of trend between the denominator year</w:t>
      </w:r>
      <w:r w:rsidR="000978A8" w:rsidRPr="001569FB">
        <w:t xml:space="preserve"> and </w:t>
      </w:r>
      <w:r w:rsidR="000978A8" w:rsidRPr="001569FB">
        <w:rPr>
          <w:szCs w:val="24"/>
        </w:rPr>
        <w:t>the payment year.</w:t>
      </w:r>
      <w:r w:rsidRPr="001569FB">
        <w:rPr>
          <w:color w:val="000000"/>
          <w:szCs w:val="24"/>
        </w:rPr>
        <w:t xml:space="preserve"> </w:t>
      </w:r>
    </w:p>
    <w:p w14:paraId="5E59D5F1" w14:textId="03E2DF3F" w:rsidR="000978A8" w:rsidRPr="001569FB" w:rsidRDefault="000978A8" w:rsidP="006E5268">
      <w:pPr>
        <w:spacing w:before="200" w:after="200"/>
        <w:rPr>
          <w:color w:val="000000"/>
          <w:szCs w:val="24"/>
        </w:rPr>
      </w:pPr>
      <w:r w:rsidRPr="001569FB">
        <w:rPr>
          <w:szCs w:val="24"/>
        </w:rPr>
        <w:lastRenderedPageBreak/>
        <w:t>We are soliciting input on whether to apply a different approach to determing the normalization factor for the model used for the PACE program. We welcome thoughts on criteria to use to determine any different approach.</w:t>
      </w:r>
    </w:p>
    <w:p w14:paraId="78286864" w14:textId="1F90B84B" w:rsidR="006E5268" w:rsidRPr="001569FB" w:rsidRDefault="006E5268" w:rsidP="006E5268">
      <w:pPr>
        <w:spacing w:before="200" w:after="200"/>
        <w:rPr>
          <w:szCs w:val="24"/>
        </w:rPr>
      </w:pPr>
      <w:r w:rsidRPr="001569FB">
        <w:rPr>
          <w:szCs w:val="24"/>
        </w:rPr>
        <w:t>The normalization factor for the CMS-HCC model used for PACE is applied to the</w:t>
      </w:r>
      <w:r w:rsidR="00620722" w:rsidRPr="001569FB">
        <w:rPr>
          <w:szCs w:val="24"/>
        </w:rPr>
        <w:t xml:space="preserve"> </w:t>
      </w:r>
      <w:r w:rsidRPr="001569FB">
        <w:rPr>
          <w:szCs w:val="24"/>
        </w:rPr>
        <w:t>community, institutional, and new enrollee</w:t>
      </w:r>
      <w:r w:rsidR="0079441F" w:rsidRPr="001569FB">
        <w:rPr>
          <w:szCs w:val="24"/>
        </w:rPr>
        <w:t xml:space="preserve"> risk scores</w:t>
      </w:r>
      <w:r w:rsidRPr="001569FB">
        <w:rPr>
          <w:szCs w:val="24"/>
        </w:rPr>
        <w:t>.</w:t>
      </w:r>
    </w:p>
    <w:p w14:paraId="4139C402" w14:textId="77417F43" w:rsidR="00AF5794" w:rsidRPr="001569FB" w:rsidRDefault="006E5268" w:rsidP="00AF5794">
      <w:pPr>
        <w:spacing w:before="200" w:after="200"/>
        <w:rPr>
          <w:szCs w:val="24"/>
        </w:rPr>
      </w:pPr>
      <w:r w:rsidRPr="001569FB">
        <w:rPr>
          <w:szCs w:val="24"/>
        </w:rPr>
        <w:t xml:space="preserve">The risk scores used to calculate the proposed 2019 </w:t>
      </w:r>
      <w:r w:rsidR="007B6A6D" w:rsidRPr="001569FB">
        <w:rPr>
          <w:szCs w:val="24"/>
        </w:rPr>
        <w:t xml:space="preserve">normalization factor for the PACE CMS-HCC risk adjustment model </w:t>
      </w:r>
      <w:r w:rsidRPr="001569FB">
        <w:rPr>
          <w:szCs w:val="24"/>
        </w:rPr>
        <w:t xml:space="preserve">are included </w:t>
      </w:r>
      <w:r w:rsidR="007B6A6D" w:rsidRPr="001569FB">
        <w:rPr>
          <w:szCs w:val="24"/>
        </w:rPr>
        <w:t>in Table II-6 PACE Normalization Factor Trend.</w:t>
      </w:r>
    </w:p>
    <w:p w14:paraId="0F50A9BF" w14:textId="1A190FAB" w:rsidR="007B6A6D" w:rsidRPr="001569FB" w:rsidRDefault="007B6A6D" w:rsidP="008E38C8">
      <w:pPr>
        <w:spacing w:before="200" w:after="200"/>
        <w:jc w:val="center"/>
        <w:rPr>
          <w:b/>
          <w:szCs w:val="24"/>
        </w:rPr>
      </w:pPr>
      <w:r w:rsidRPr="001569FB">
        <w:rPr>
          <w:b/>
          <w:szCs w:val="24"/>
        </w:rPr>
        <w:t>Table II-6. PACE Normalization Factor Trend</w:t>
      </w:r>
    </w:p>
    <w:tbl>
      <w:tblPr>
        <w:tblStyle w:val="TableGrid"/>
        <w:tblW w:w="0" w:type="auto"/>
        <w:jc w:val="center"/>
        <w:tblLook w:val="04A0" w:firstRow="1" w:lastRow="0" w:firstColumn="1" w:lastColumn="0" w:noHBand="0" w:noVBand="1"/>
      </w:tblPr>
      <w:tblGrid>
        <w:gridCol w:w="723"/>
        <w:gridCol w:w="2592"/>
      </w:tblGrid>
      <w:tr w:rsidR="000843F5" w:rsidRPr="001569FB" w14:paraId="02DA20D7" w14:textId="77777777" w:rsidTr="00BA36E3">
        <w:trPr>
          <w:cantSplit/>
          <w:tblHeader/>
          <w:jc w:val="center"/>
        </w:trPr>
        <w:tc>
          <w:tcPr>
            <w:tcW w:w="723" w:type="dxa"/>
            <w:shd w:val="clear" w:color="auto" w:fill="DDD9C3"/>
            <w:vAlign w:val="center"/>
          </w:tcPr>
          <w:p w14:paraId="602147FB" w14:textId="77777777" w:rsidR="00AF5794" w:rsidRPr="001569FB" w:rsidRDefault="00AF5794" w:rsidP="00772B25">
            <w:pPr>
              <w:keepNext/>
              <w:keepLines/>
              <w:jc w:val="center"/>
              <w:rPr>
                <w:b/>
                <w:szCs w:val="24"/>
              </w:rPr>
            </w:pPr>
            <w:r w:rsidRPr="001569FB">
              <w:rPr>
                <w:b/>
                <w:color w:val="000000"/>
                <w:szCs w:val="24"/>
              </w:rPr>
              <w:t>Year</w:t>
            </w:r>
          </w:p>
        </w:tc>
        <w:tc>
          <w:tcPr>
            <w:tcW w:w="2592" w:type="dxa"/>
            <w:shd w:val="clear" w:color="auto" w:fill="DDD9C3"/>
            <w:vAlign w:val="bottom"/>
          </w:tcPr>
          <w:p w14:paraId="77D35E6B" w14:textId="77777777" w:rsidR="00AF5794" w:rsidRPr="001569FB" w:rsidRDefault="00AF5794" w:rsidP="00772B25">
            <w:pPr>
              <w:keepNext/>
              <w:keepLines/>
              <w:jc w:val="center"/>
              <w:rPr>
                <w:b/>
                <w:szCs w:val="24"/>
              </w:rPr>
            </w:pPr>
            <w:r w:rsidRPr="001569FB">
              <w:rPr>
                <w:b/>
                <w:color w:val="000000"/>
                <w:szCs w:val="24"/>
              </w:rPr>
              <w:t>CMS-HCC Model used for PACE</w:t>
            </w:r>
          </w:p>
        </w:tc>
      </w:tr>
      <w:tr w:rsidR="002707EC" w:rsidRPr="001569FB" w14:paraId="0582F955" w14:textId="77777777" w:rsidTr="002707EC">
        <w:trPr>
          <w:jc w:val="center"/>
        </w:trPr>
        <w:tc>
          <w:tcPr>
            <w:tcW w:w="723" w:type="dxa"/>
          </w:tcPr>
          <w:p w14:paraId="052A963A" w14:textId="77777777" w:rsidR="00AF5794" w:rsidRPr="001569FB" w:rsidRDefault="00AF5794" w:rsidP="00772B25">
            <w:pPr>
              <w:keepNext/>
              <w:keepLines/>
              <w:jc w:val="center"/>
              <w:rPr>
                <w:color w:val="000000"/>
                <w:szCs w:val="24"/>
              </w:rPr>
            </w:pPr>
            <w:r w:rsidRPr="001569FB">
              <w:rPr>
                <w:color w:val="000000"/>
                <w:szCs w:val="24"/>
              </w:rPr>
              <w:t>2011</w:t>
            </w:r>
          </w:p>
        </w:tc>
        <w:tc>
          <w:tcPr>
            <w:tcW w:w="2592" w:type="dxa"/>
          </w:tcPr>
          <w:p w14:paraId="4DD1D270" w14:textId="77777777" w:rsidR="00AF5794" w:rsidRPr="001569FB" w:rsidRDefault="00AF5794" w:rsidP="00772B25">
            <w:pPr>
              <w:keepNext/>
              <w:keepLines/>
              <w:jc w:val="center"/>
            </w:pPr>
            <w:r w:rsidRPr="001569FB">
              <w:t>1.030</w:t>
            </w:r>
          </w:p>
        </w:tc>
      </w:tr>
      <w:tr w:rsidR="002707EC" w:rsidRPr="001569FB" w14:paraId="3BFFF32D" w14:textId="77777777" w:rsidTr="002707EC">
        <w:trPr>
          <w:jc w:val="center"/>
        </w:trPr>
        <w:tc>
          <w:tcPr>
            <w:tcW w:w="723" w:type="dxa"/>
          </w:tcPr>
          <w:p w14:paraId="0CA3F697" w14:textId="77777777" w:rsidR="00AF5794" w:rsidRPr="001569FB" w:rsidRDefault="00AF5794" w:rsidP="00772B25">
            <w:pPr>
              <w:keepNext/>
              <w:keepLines/>
              <w:jc w:val="center"/>
              <w:rPr>
                <w:szCs w:val="24"/>
              </w:rPr>
            </w:pPr>
            <w:r w:rsidRPr="001569FB">
              <w:rPr>
                <w:color w:val="000000"/>
                <w:szCs w:val="24"/>
              </w:rPr>
              <w:t>2012</w:t>
            </w:r>
          </w:p>
        </w:tc>
        <w:tc>
          <w:tcPr>
            <w:tcW w:w="2592" w:type="dxa"/>
          </w:tcPr>
          <w:p w14:paraId="0937C7FD" w14:textId="77777777" w:rsidR="00AF5794" w:rsidRPr="001569FB" w:rsidRDefault="00AF5794" w:rsidP="00772B25">
            <w:pPr>
              <w:keepNext/>
              <w:keepLines/>
              <w:jc w:val="center"/>
              <w:rPr>
                <w:szCs w:val="24"/>
              </w:rPr>
            </w:pPr>
            <w:r w:rsidRPr="001569FB">
              <w:t>1.042</w:t>
            </w:r>
          </w:p>
        </w:tc>
      </w:tr>
      <w:tr w:rsidR="002707EC" w:rsidRPr="001569FB" w14:paraId="78403ABB" w14:textId="77777777" w:rsidTr="002707EC">
        <w:trPr>
          <w:jc w:val="center"/>
        </w:trPr>
        <w:tc>
          <w:tcPr>
            <w:tcW w:w="723" w:type="dxa"/>
          </w:tcPr>
          <w:p w14:paraId="6520DD03" w14:textId="77777777" w:rsidR="00AF5794" w:rsidRPr="001569FB" w:rsidRDefault="00AF5794" w:rsidP="00772B25">
            <w:pPr>
              <w:keepNext/>
              <w:keepLines/>
              <w:jc w:val="center"/>
              <w:rPr>
                <w:szCs w:val="24"/>
              </w:rPr>
            </w:pPr>
            <w:r w:rsidRPr="001569FB">
              <w:rPr>
                <w:color w:val="000000"/>
                <w:szCs w:val="24"/>
              </w:rPr>
              <w:t>2013</w:t>
            </w:r>
          </w:p>
        </w:tc>
        <w:tc>
          <w:tcPr>
            <w:tcW w:w="2592" w:type="dxa"/>
          </w:tcPr>
          <w:p w14:paraId="38CBA9DC" w14:textId="77777777" w:rsidR="00AF5794" w:rsidRPr="001569FB" w:rsidRDefault="00AF5794" w:rsidP="00772B25">
            <w:pPr>
              <w:keepNext/>
              <w:keepLines/>
              <w:jc w:val="center"/>
              <w:rPr>
                <w:szCs w:val="24"/>
              </w:rPr>
            </w:pPr>
            <w:r w:rsidRPr="001569FB">
              <w:t>1.042</w:t>
            </w:r>
          </w:p>
        </w:tc>
      </w:tr>
      <w:tr w:rsidR="002707EC" w:rsidRPr="001569FB" w14:paraId="4FBF2007" w14:textId="77777777" w:rsidTr="002707EC">
        <w:trPr>
          <w:jc w:val="center"/>
        </w:trPr>
        <w:tc>
          <w:tcPr>
            <w:tcW w:w="723" w:type="dxa"/>
          </w:tcPr>
          <w:p w14:paraId="531A01A8" w14:textId="77777777" w:rsidR="00AF5794" w:rsidRPr="001569FB" w:rsidRDefault="00AF5794" w:rsidP="00772B25">
            <w:pPr>
              <w:keepNext/>
              <w:keepLines/>
              <w:jc w:val="center"/>
              <w:rPr>
                <w:szCs w:val="24"/>
              </w:rPr>
            </w:pPr>
            <w:r w:rsidRPr="001569FB">
              <w:rPr>
                <w:color w:val="000000"/>
                <w:szCs w:val="24"/>
              </w:rPr>
              <w:t>2014</w:t>
            </w:r>
          </w:p>
        </w:tc>
        <w:tc>
          <w:tcPr>
            <w:tcW w:w="2592" w:type="dxa"/>
          </w:tcPr>
          <w:p w14:paraId="27BE6F43" w14:textId="77777777" w:rsidR="00AF5794" w:rsidRPr="001569FB" w:rsidRDefault="00AF5794" w:rsidP="00772B25">
            <w:pPr>
              <w:keepNext/>
              <w:keepLines/>
              <w:jc w:val="center"/>
              <w:rPr>
                <w:szCs w:val="24"/>
              </w:rPr>
            </w:pPr>
            <w:r w:rsidRPr="001569FB">
              <w:t>1.048</w:t>
            </w:r>
          </w:p>
        </w:tc>
      </w:tr>
      <w:tr w:rsidR="002707EC" w:rsidRPr="001569FB" w14:paraId="6FD270D7" w14:textId="77777777" w:rsidTr="002707EC">
        <w:trPr>
          <w:jc w:val="center"/>
        </w:trPr>
        <w:tc>
          <w:tcPr>
            <w:tcW w:w="723" w:type="dxa"/>
          </w:tcPr>
          <w:p w14:paraId="723C7957" w14:textId="77777777" w:rsidR="00AF5794" w:rsidRPr="001569FB" w:rsidRDefault="00AF5794" w:rsidP="00772B25">
            <w:pPr>
              <w:keepNext/>
              <w:keepLines/>
              <w:jc w:val="center"/>
              <w:rPr>
                <w:szCs w:val="24"/>
              </w:rPr>
            </w:pPr>
            <w:r w:rsidRPr="001569FB">
              <w:rPr>
                <w:color w:val="000000"/>
                <w:szCs w:val="24"/>
              </w:rPr>
              <w:t>2015</w:t>
            </w:r>
          </w:p>
        </w:tc>
        <w:tc>
          <w:tcPr>
            <w:tcW w:w="2592" w:type="dxa"/>
          </w:tcPr>
          <w:p w14:paraId="150805C7" w14:textId="77777777" w:rsidR="00AF5794" w:rsidRPr="001569FB" w:rsidRDefault="00AF5794" w:rsidP="00772B25">
            <w:pPr>
              <w:keepNext/>
              <w:keepLines/>
              <w:jc w:val="center"/>
              <w:rPr>
                <w:szCs w:val="24"/>
              </w:rPr>
            </w:pPr>
            <w:r w:rsidRPr="001569FB">
              <w:t>1.052</w:t>
            </w:r>
          </w:p>
        </w:tc>
      </w:tr>
      <w:tr w:rsidR="002707EC" w:rsidRPr="001569FB" w14:paraId="15349BD4" w14:textId="77777777" w:rsidTr="002707EC">
        <w:trPr>
          <w:jc w:val="center"/>
        </w:trPr>
        <w:tc>
          <w:tcPr>
            <w:tcW w:w="723" w:type="dxa"/>
          </w:tcPr>
          <w:p w14:paraId="773FE83B" w14:textId="77777777" w:rsidR="00AF5794" w:rsidRPr="001569FB" w:rsidRDefault="00AF5794" w:rsidP="00772B25">
            <w:pPr>
              <w:keepNext/>
              <w:keepLines/>
              <w:jc w:val="center"/>
              <w:rPr>
                <w:szCs w:val="24"/>
              </w:rPr>
            </w:pPr>
            <w:r w:rsidRPr="001569FB">
              <w:rPr>
                <w:color w:val="000000"/>
                <w:szCs w:val="24"/>
              </w:rPr>
              <w:t>2016</w:t>
            </w:r>
          </w:p>
        </w:tc>
        <w:tc>
          <w:tcPr>
            <w:tcW w:w="2592" w:type="dxa"/>
          </w:tcPr>
          <w:p w14:paraId="69BD10A6" w14:textId="77777777" w:rsidR="00AF5794" w:rsidRPr="001569FB" w:rsidRDefault="00AF5794" w:rsidP="00772B25">
            <w:pPr>
              <w:keepNext/>
              <w:keepLines/>
              <w:jc w:val="center"/>
              <w:rPr>
                <w:szCs w:val="24"/>
              </w:rPr>
            </w:pPr>
            <w:r w:rsidRPr="001569FB">
              <w:t>1.079</w:t>
            </w:r>
          </w:p>
        </w:tc>
      </w:tr>
      <w:tr w:rsidR="002707EC" w:rsidRPr="001569FB" w14:paraId="6EF9C62C" w14:textId="77777777" w:rsidTr="002707EC">
        <w:trPr>
          <w:jc w:val="center"/>
        </w:trPr>
        <w:tc>
          <w:tcPr>
            <w:tcW w:w="723" w:type="dxa"/>
          </w:tcPr>
          <w:p w14:paraId="1E4AE098" w14:textId="77777777" w:rsidR="00AF5794" w:rsidRPr="001569FB" w:rsidRDefault="00AF5794" w:rsidP="002707EC">
            <w:pPr>
              <w:jc w:val="center"/>
              <w:rPr>
                <w:szCs w:val="24"/>
              </w:rPr>
            </w:pPr>
            <w:r w:rsidRPr="001569FB">
              <w:rPr>
                <w:color w:val="000000"/>
                <w:szCs w:val="24"/>
              </w:rPr>
              <w:t>2017</w:t>
            </w:r>
          </w:p>
        </w:tc>
        <w:tc>
          <w:tcPr>
            <w:tcW w:w="2592" w:type="dxa"/>
          </w:tcPr>
          <w:p w14:paraId="3996F31F" w14:textId="77777777" w:rsidR="00AF5794" w:rsidRPr="001569FB" w:rsidRDefault="00AF5794" w:rsidP="002707EC">
            <w:pPr>
              <w:jc w:val="center"/>
              <w:rPr>
                <w:szCs w:val="24"/>
              </w:rPr>
            </w:pPr>
            <w:r w:rsidRPr="001569FB">
              <w:t>1.101</w:t>
            </w:r>
          </w:p>
        </w:tc>
      </w:tr>
    </w:tbl>
    <w:p w14:paraId="1CDEB342" w14:textId="77777777" w:rsidR="006E5268" w:rsidRPr="001569FB" w:rsidRDefault="00881B21" w:rsidP="002707EC">
      <w:pPr>
        <w:pStyle w:val="Heading3"/>
        <w:spacing w:before="360"/>
        <w:rPr>
          <w:i w:val="0"/>
        </w:rPr>
      </w:pPr>
      <w:r w:rsidRPr="001569FB">
        <w:rPr>
          <w:color w:val="auto"/>
        </w:rPr>
        <w:t>L3</w:t>
      </w:r>
      <w:r w:rsidR="006E5268" w:rsidRPr="001569FB">
        <w:rPr>
          <w:color w:val="auto"/>
        </w:rPr>
        <w:t>.  Normalization Factor for the ESRD Dialysis Model</w:t>
      </w:r>
    </w:p>
    <w:p w14:paraId="268F9A42" w14:textId="26BC27ED" w:rsidR="006E5268" w:rsidRPr="001569FB" w:rsidRDefault="006E5268" w:rsidP="006E5268">
      <w:pPr>
        <w:spacing w:before="200" w:after="200"/>
        <w:rPr>
          <w:szCs w:val="24"/>
        </w:rPr>
      </w:pPr>
      <w:r w:rsidRPr="001569FB">
        <w:rPr>
          <w:szCs w:val="24"/>
        </w:rPr>
        <w:t xml:space="preserve">The proposed 2019 normalization factor for the ESRD dialysis model is </w:t>
      </w:r>
      <w:r w:rsidR="00CA6C50" w:rsidRPr="001569FB">
        <w:rPr>
          <w:szCs w:val="24"/>
        </w:rPr>
        <w:t>1.033</w:t>
      </w:r>
      <w:r w:rsidRPr="001569FB">
        <w:rPr>
          <w:szCs w:val="24"/>
        </w:rPr>
        <w:t xml:space="preserve">. </w:t>
      </w:r>
    </w:p>
    <w:p w14:paraId="1CB3397A" w14:textId="040AE705" w:rsidR="008A4EC0" w:rsidRPr="001569FB" w:rsidRDefault="00E73070" w:rsidP="006E5268">
      <w:pPr>
        <w:spacing w:before="200" w:after="200"/>
        <w:rPr>
          <w:color w:val="000000"/>
          <w:szCs w:val="24"/>
        </w:rPr>
      </w:pPr>
      <w:r w:rsidRPr="001569FB">
        <w:rPr>
          <w:szCs w:val="24"/>
        </w:rPr>
        <w:t xml:space="preserve">The ESRD Dialysis model has a 2015 denominator. </w:t>
      </w:r>
      <w:r w:rsidR="002D7EDD" w:rsidRPr="001569FB">
        <w:rPr>
          <w:szCs w:val="24"/>
        </w:rPr>
        <w:t xml:space="preserve"> </w:t>
      </w:r>
      <w:r w:rsidRPr="001569FB">
        <w:rPr>
          <w:szCs w:val="24"/>
        </w:rPr>
        <w:t xml:space="preserve">Between </w:t>
      </w:r>
      <w:r w:rsidR="008A4EC0" w:rsidRPr="001569FB">
        <w:rPr>
          <w:szCs w:val="24"/>
        </w:rPr>
        <w:t xml:space="preserve">2013 </w:t>
      </w:r>
      <w:r w:rsidRPr="001569FB">
        <w:rPr>
          <w:szCs w:val="24"/>
        </w:rPr>
        <w:t>and 2017, t</w:t>
      </w:r>
      <w:r w:rsidRPr="001569FB">
        <w:rPr>
          <w:color w:val="000000"/>
          <w:szCs w:val="24"/>
        </w:rPr>
        <w:t xml:space="preserve">he </w:t>
      </w:r>
      <w:r w:rsidR="008A4EC0" w:rsidRPr="001569FB">
        <w:rPr>
          <w:color w:val="000000"/>
          <w:szCs w:val="24"/>
        </w:rPr>
        <w:t>trend</w:t>
      </w:r>
      <w:r w:rsidRPr="001569FB">
        <w:rPr>
          <w:color w:val="000000"/>
          <w:szCs w:val="24"/>
        </w:rPr>
        <w:t xml:space="preserve"> estimated from the</w:t>
      </w:r>
      <w:r w:rsidR="008A4EC0" w:rsidRPr="001569FB">
        <w:rPr>
          <w:color w:val="000000"/>
          <w:szCs w:val="24"/>
        </w:rPr>
        <w:t xml:space="preserve"> population</w:t>
      </w:r>
      <w:r w:rsidRPr="001569FB">
        <w:rPr>
          <w:color w:val="000000"/>
          <w:szCs w:val="24"/>
        </w:rPr>
        <w:t xml:space="preserve"> of</w:t>
      </w:r>
      <w:r w:rsidR="008A4EC0" w:rsidRPr="001569FB">
        <w:rPr>
          <w:color w:val="000000"/>
          <w:szCs w:val="24"/>
        </w:rPr>
        <w:t xml:space="preserve"> FFS</w:t>
      </w:r>
      <w:r w:rsidRPr="001569FB">
        <w:rPr>
          <w:color w:val="000000"/>
          <w:szCs w:val="24"/>
        </w:rPr>
        <w:t xml:space="preserve"> beneficiaries with </w:t>
      </w:r>
      <w:r w:rsidR="008A4EC0" w:rsidRPr="001569FB">
        <w:rPr>
          <w:color w:val="000000"/>
          <w:szCs w:val="24"/>
        </w:rPr>
        <w:t>ESRD</w:t>
      </w:r>
      <w:r w:rsidRPr="001569FB">
        <w:rPr>
          <w:color w:val="000000"/>
          <w:szCs w:val="24"/>
        </w:rPr>
        <w:t xml:space="preserve"> is</w:t>
      </w:r>
      <w:r w:rsidR="00163C73" w:rsidRPr="001569FB">
        <w:rPr>
          <w:color w:val="000000"/>
          <w:szCs w:val="24"/>
        </w:rPr>
        <w:t xml:space="preserve"> </w:t>
      </w:r>
      <w:r w:rsidR="008A4EC0" w:rsidRPr="001569FB">
        <w:t>0.</w:t>
      </w:r>
      <w:r w:rsidR="008A4EC0" w:rsidRPr="001569FB">
        <w:rPr>
          <w:szCs w:val="24"/>
        </w:rPr>
        <w:t>0082</w:t>
      </w:r>
      <w:r w:rsidRPr="001569FB">
        <w:rPr>
          <w:color w:val="000000"/>
          <w:szCs w:val="24"/>
        </w:rPr>
        <w:t>.</w:t>
      </w:r>
      <w:r w:rsidR="008A4EC0" w:rsidRPr="001569FB">
        <w:rPr>
          <w:color w:val="000000"/>
          <w:szCs w:val="24"/>
        </w:rPr>
        <w:t xml:space="preserve"> </w:t>
      </w:r>
      <w:r w:rsidR="008A4EC0" w:rsidRPr="001569FB">
        <w:rPr>
          <w:szCs w:val="24"/>
        </w:rPr>
        <w:t>There are four years of trend between the denominator year and the payment year.</w:t>
      </w:r>
      <w:r w:rsidR="002D7EDD" w:rsidRPr="001569FB">
        <w:rPr>
          <w:color w:val="000000"/>
          <w:szCs w:val="24"/>
        </w:rPr>
        <w:t xml:space="preserve"> </w:t>
      </w:r>
    </w:p>
    <w:p w14:paraId="6E1DA10D" w14:textId="285DCD7F" w:rsidR="006E5268" w:rsidRPr="001569FB" w:rsidRDefault="006E5268" w:rsidP="006E5268">
      <w:pPr>
        <w:spacing w:before="200" w:after="200"/>
        <w:rPr>
          <w:szCs w:val="24"/>
        </w:rPr>
      </w:pPr>
      <w:r w:rsidRPr="001569FB">
        <w:rPr>
          <w:szCs w:val="24"/>
        </w:rPr>
        <w:t xml:space="preserve">The normalization factor for the ESRD </w:t>
      </w:r>
      <w:r w:rsidR="00E73070" w:rsidRPr="001569FB">
        <w:rPr>
          <w:szCs w:val="24"/>
        </w:rPr>
        <w:t xml:space="preserve">Dialysis </w:t>
      </w:r>
      <w:r w:rsidRPr="001569FB">
        <w:rPr>
          <w:szCs w:val="24"/>
        </w:rPr>
        <w:t>model is</w:t>
      </w:r>
      <w:r w:rsidR="00326DFD" w:rsidRPr="001569FB">
        <w:rPr>
          <w:szCs w:val="24"/>
        </w:rPr>
        <w:t xml:space="preserve"> </w:t>
      </w:r>
      <w:r w:rsidRPr="001569FB">
        <w:rPr>
          <w:szCs w:val="24"/>
        </w:rPr>
        <w:t xml:space="preserve">applied </w:t>
      </w:r>
      <w:r w:rsidR="00621475" w:rsidRPr="001569FB">
        <w:rPr>
          <w:szCs w:val="24"/>
        </w:rPr>
        <w:t>to dialysis</w:t>
      </w:r>
      <w:r w:rsidRPr="001569FB">
        <w:rPr>
          <w:szCs w:val="24"/>
        </w:rPr>
        <w:t>, dialysis new enrollee, and transplant</w:t>
      </w:r>
      <w:r w:rsidR="000C5DFE" w:rsidRPr="001569FB">
        <w:rPr>
          <w:szCs w:val="24"/>
        </w:rPr>
        <w:t xml:space="preserve"> risk scores</w:t>
      </w:r>
      <w:r w:rsidRPr="001569FB">
        <w:rPr>
          <w:szCs w:val="24"/>
        </w:rPr>
        <w:t>.</w:t>
      </w:r>
    </w:p>
    <w:p w14:paraId="01B87014" w14:textId="6B4ABED4" w:rsidR="006E5268" w:rsidRPr="001569FB" w:rsidRDefault="006E5268" w:rsidP="006E5268">
      <w:pPr>
        <w:keepNext/>
        <w:keepLines/>
        <w:spacing w:before="200" w:after="200"/>
        <w:rPr>
          <w:szCs w:val="24"/>
        </w:rPr>
      </w:pPr>
      <w:r w:rsidRPr="001569FB">
        <w:rPr>
          <w:szCs w:val="24"/>
        </w:rPr>
        <w:lastRenderedPageBreak/>
        <w:t xml:space="preserve">The risk scores used to calculate the proposed normalization factor for the </w:t>
      </w:r>
      <w:r w:rsidR="000C5DFE" w:rsidRPr="001569FB">
        <w:rPr>
          <w:szCs w:val="24"/>
        </w:rPr>
        <w:t xml:space="preserve">proposed 2019 </w:t>
      </w:r>
      <w:r w:rsidRPr="001569FB">
        <w:rPr>
          <w:szCs w:val="24"/>
        </w:rPr>
        <w:t>ESRD Dialysis model</w:t>
      </w:r>
      <w:r w:rsidR="00163C73" w:rsidRPr="001569FB">
        <w:rPr>
          <w:szCs w:val="24"/>
        </w:rPr>
        <w:t xml:space="preserve"> </w:t>
      </w:r>
      <w:r w:rsidRPr="001569FB">
        <w:rPr>
          <w:szCs w:val="24"/>
        </w:rPr>
        <w:t xml:space="preserve">are included </w:t>
      </w:r>
      <w:r w:rsidR="000C5DFE" w:rsidRPr="001569FB">
        <w:rPr>
          <w:szCs w:val="24"/>
        </w:rPr>
        <w:t xml:space="preserve">in </w:t>
      </w:r>
      <w:r w:rsidR="00106DE5" w:rsidRPr="001569FB">
        <w:rPr>
          <w:szCs w:val="24"/>
        </w:rPr>
        <w:t>Table</w:t>
      </w:r>
      <w:r w:rsidR="000C5DFE" w:rsidRPr="001569FB">
        <w:rPr>
          <w:szCs w:val="24"/>
        </w:rPr>
        <w:t xml:space="preserve"> II-7 ESRD Dialysis </w:t>
      </w:r>
      <w:r w:rsidR="00621475" w:rsidRPr="001569FB">
        <w:rPr>
          <w:szCs w:val="24"/>
        </w:rPr>
        <w:t>Normalization</w:t>
      </w:r>
      <w:r w:rsidR="000C5DFE" w:rsidRPr="001569FB">
        <w:rPr>
          <w:szCs w:val="24"/>
        </w:rPr>
        <w:t xml:space="preserve"> Factor Trend. </w:t>
      </w:r>
    </w:p>
    <w:p w14:paraId="0BB99502" w14:textId="6165E85C" w:rsidR="000C5DFE" w:rsidRPr="001569FB" w:rsidRDefault="000C5DFE" w:rsidP="008E38C8">
      <w:pPr>
        <w:keepNext/>
        <w:keepLines/>
        <w:spacing w:before="200" w:after="200"/>
        <w:jc w:val="center"/>
        <w:rPr>
          <w:b/>
          <w:szCs w:val="24"/>
        </w:rPr>
      </w:pPr>
      <w:r w:rsidRPr="001569FB">
        <w:rPr>
          <w:b/>
          <w:szCs w:val="24"/>
        </w:rPr>
        <w:t>Table II-7. ESRD Dialysis Normalization Factor Trend</w:t>
      </w:r>
    </w:p>
    <w:tbl>
      <w:tblPr>
        <w:tblStyle w:val="TableGrid"/>
        <w:tblW w:w="0" w:type="auto"/>
        <w:jc w:val="center"/>
        <w:tblLook w:val="04A0" w:firstRow="1" w:lastRow="0" w:firstColumn="1" w:lastColumn="0" w:noHBand="0" w:noVBand="1"/>
      </w:tblPr>
      <w:tblGrid>
        <w:gridCol w:w="723"/>
        <w:gridCol w:w="2736"/>
      </w:tblGrid>
      <w:tr w:rsidR="002707EC" w:rsidRPr="001569FB" w14:paraId="476EB487" w14:textId="77777777" w:rsidTr="00BA36E3">
        <w:trPr>
          <w:cantSplit/>
          <w:tblHeader/>
          <w:jc w:val="center"/>
        </w:trPr>
        <w:tc>
          <w:tcPr>
            <w:tcW w:w="723" w:type="dxa"/>
            <w:shd w:val="clear" w:color="auto" w:fill="DDD9C3"/>
          </w:tcPr>
          <w:p w14:paraId="1BB06897" w14:textId="77777777" w:rsidR="00E73070" w:rsidRPr="001569FB" w:rsidRDefault="00E73070" w:rsidP="00772B25">
            <w:pPr>
              <w:keepNext/>
              <w:keepLines/>
              <w:jc w:val="center"/>
              <w:rPr>
                <w:b/>
                <w:szCs w:val="24"/>
              </w:rPr>
            </w:pPr>
            <w:r w:rsidRPr="001569FB">
              <w:rPr>
                <w:b/>
                <w:color w:val="000000"/>
                <w:szCs w:val="24"/>
              </w:rPr>
              <w:t>Year</w:t>
            </w:r>
          </w:p>
        </w:tc>
        <w:tc>
          <w:tcPr>
            <w:tcW w:w="2736" w:type="dxa"/>
            <w:shd w:val="clear" w:color="auto" w:fill="DDD9C3"/>
          </w:tcPr>
          <w:p w14:paraId="59A91A9C" w14:textId="77777777" w:rsidR="00E73070" w:rsidRPr="001569FB" w:rsidRDefault="00E73070" w:rsidP="00772B25">
            <w:pPr>
              <w:keepNext/>
              <w:keepLines/>
              <w:jc w:val="center"/>
              <w:rPr>
                <w:b/>
                <w:szCs w:val="24"/>
              </w:rPr>
            </w:pPr>
            <w:r w:rsidRPr="001569FB">
              <w:rPr>
                <w:b/>
                <w:color w:val="000000"/>
                <w:szCs w:val="24"/>
              </w:rPr>
              <w:t>ESRD Dialysis Model</w:t>
            </w:r>
          </w:p>
        </w:tc>
      </w:tr>
      <w:tr w:rsidR="000843F5" w:rsidRPr="001569FB" w14:paraId="66FB77DA" w14:textId="77777777" w:rsidTr="002707EC">
        <w:trPr>
          <w:jc w:val="center"/>
        </w:trPr>
        <w:tc>
          <w:tcPr>
            <w:tcW w:w="723" w:type="dxa"/>
          </w:tcPr>
          <w:p w14:paraId="7D10816C" w14:textId="77777777" w:rsidR="00E73070" w:rsidRPr="001569FB" w:rsidRDefault="00E73070" w:rsidP="00772B25">
            <w:pPr>
              <w:keepNext/>
              <w:keepLines/>
              <w:jc w:val="center"/>
              <w:rPr>
                <w:color w:val="000000"/>
                <w:szCs w:val="24"/>
              </w:rPr>
            </w:pPr>
            <w:r w:rsidRPr="001569FB">
              <w:rPr>
                <w:color w:val="000000"/>
                <w:szCs w:val="24"/>
              </w:rPr>
              <w:t>2011</w:t>
            </w:r>
          </w:p>
        </w:tc>
        <w:tc>
          <w:tcPr>
            <w:tcW w:w="2736" w:type="dxa"/>
          </w:tcPr>
          <w:p w14:paraId="7D41F907" w14:textId="77777777" w:rsidR="00E73070" w:rsidRPr="001569FB" w:rsidRDefault="00E73070" w:rsidP="00772B25">
            <w:pPr>
              <w:keepNext/>
              <w:keepLines/>
              <w:jc w:val="center"/>
            </w:pPr>
            <w:r w:rsidRPr="001569FB">
              <w:t>0.984</w:t>
            </w:r>
          </w:p>
        </w:tc>
      </w:tr>
      <w:tr w:rsidR="000843F5" w:rsidRPr="001569FB" w14:paraId="75CE0B74" w14:textId="77777777" w:rsidTr="002707EC">
        <w:trPr>
          <w:jc w:val="center"/>
        </w:trPr>
        <w:tc>
          <w:tcPr>
            <w:tcW w:w="723" w:type="dxa"/>
          </w:tcPr>
          <w:p w14:paraId="5831DF34" w14:textId="77777777" w:rsidR="00E73070" w:rsidRPr="001569FB" w:rsidRDefault="00E73070" w:rsidP="00772B25">
            <w:pPr>
              <w:keepNext/>
              <w:keepLines/>
              <w:jc w:val="center"/>
              <w:rPr>
                <w:szCs w:val="24"/>
              </w:rPr>
            </w:pPr>
            <w:r w:rsidRPr="001569FB">
              <w:rPr>
                <w:color w:val="000000"/>
                <w:szCs w:val="24"/>
              </w:rPr>
              <w:t>2012</w:t>
            </w:r>
          </w:p>
        </w:tc>
        <w:tc>
          <w:tcPr>
            <w:tcW w:w="2736" w:type="dxa"/>
          </w:tcPr>
          <w:p w14:paraId="0C4CB525" w14:textId="77777777" w:rsidR="00E73070" w:rsidRPr="001569FB" w:rsidRDefault="00E73070" w:rsidP="00772B25">
            <w:pPr>
              <w:keepNext/>
              <w:keepLines/>
              <w:jc w:val="center"/>
              <w:rPr>
                <w:szCs w:val="24"/>
              </w:rPr>
            </w:pPr>
            <w:r w:rsidRPr="001569FB">
              <w:t>0.996</w:t>
            </w:r>
          </w:p>
        </w:tc>
      </w:tr>
      <w:tr w:rsidR="000843F5" w:rsidRPr="001569FB" w14:paraId="01BC127F" w14:textId="77777777" w:rsidTr="002707EC">
        <w:trPr>
          <w:jc w:val="center"/>
        </w:trPr>
        <w:tc>
          <w:tcPr>
            <w:tcW w:w="723" w:type="dxa"/>
          </w:tcPr>
          <w:p w14:paraId="7C9A5820" w14:textId="77777777" w:rsidR="00E73070" w:rsidRPr="001569FB" w:rsidRDefault="00E73070" w:rsidP="00772B25">
            <w:pPr>
              <w:keepNext/>
              <w:keepLines/>
              <w:jc w:val="center"/>
              <w:rPr>
                <w:szCs w:val="24"/>
              </w:rPr>
            </w:pPr>
            <w:r w:rsidRPr="001569FB">
              <w:rPr>
                <w:color w:val="000000"/>
                <w:szCs w:val="24"/>
              </w:rPr>
              <w:t>2013</w:t>
            </w:r>
          </w:p>
        </w:tc>
        <w:tc>
          <w:tcPr>
            <w:tcW w:w="2736" w:type="dxa"/>
          </w:tcPr>
          <w:p w14:paraId="4833AE8C" w14:textId="77777777" w:rsidR="00E73070" w:rsidRPr="001569FB" w:rsidRDefault="00E73070" w:rsidP="00772B25">
            <w:pPr>
              <w:keepNext/>
              <w:keepLines/>
              <w:jc w:val="center"/>
              <w:rPr>
                <w:szCs w:val="24"/>
              </w:rPr>
            </w:pPr>
            <w:r w:rsidRPr="001569FB">
              <w:t>0.994</w:t>
            </w:r>
          </w:p>
        </w:tc>
      </w:tr>
      <w:tr w:rsidR="000843F5" w:rsidRPr="001569FB" w14:paraId="53BEF530" w14:textId="77777777" w:rsidTr="002707EC">
        <w:trPr>
          <w:jc w:val="center"/>
        </w:trPr>
        <w:tc>
          <w:tcPr>
            <w:tcW w:w="723" w:type="dxa"/>
          </w:tcPr>
          <w:p w14:paraId="271E3940" w14:textId="77777777" w:rsidR="00E73070" w:rsidRPr="001569FB" w:rsidRDefault="00E73070" w:rsidP="00772B25">
            <w:pPr>
              <w:keepNext/>
              <w:keepLines/>
              <w:jc w:val="center"/>
              <w:rPr>
                <w:szCs w:val="24"/>
              </w:rPr>
            </w:pPr>
            <w:r w:rsidRPr="001569FB">
              <w:rPr>
                <w:color w:val="000000"/>
                <w:szCs w:val="24"/>
              </w:rPr>
              <w:t>2014</w:t>
            </w:r>
          </w:p>
        </w:tc>
        <w:tc>
          <w:tcPr>
            <w:tcW w:w="2736" w:type="dxa"/>
          </w:tcPr>
          <w:p w14:paraId="4D871F0C" w14:textId="77777777" w:rsidR="00E73070" w:rsidRPr="001569FB" w:rsidRDefault="00E73070" w:rsidP="00772B25">
            <w:pPr>
              <w:keepNext/>
              <w:keepLines/>
              <w:jc w:val="center"/>
              <w:rPr>
                <w:szCs w:val="24"/>
              </w:rPr>
            </w:pPr>
            <w:r w:rsidRPr="001569FB">
              <w:t>0.997</w:t>
            </w:r>
          </w:p>
        </w:tc>
      </w:tr>
      <w:tr w:rsidR="000843F5" w:rsidRPr="001569FB" w14:paraId="47D2C20A" w14:textId="77777777" w:rsidTr="002707EC">
        <w:trPr>
          <w:jc w:val="center"/>
        </w:trPr>
        <w:tc>
          <w:tcPr>
            <w:tcW w:w="723" w:type="dxa"/>
          </w:tcPr>
          <w:p w14:paraId="5FD10681" w14:textId="77777777" w:rsidR="00E73070" w:rsidRPr="001569FB" w:rsidRDefault="00E73070" w:rsidP="00772B25">
            <w:pPr>
              <w:keepNext/>
              <w:keepLines/>
              <w:jc w:val="center"/>
              <w:rPr>
                <w:szCs w:val="24"/>
              </w:rPr>
            </w:pPr>
            <w:r w:rsidRPr="001569FB">
              <w:rPr>
                <w:color w:val="000000"/>
                <w:szCs w:val="24"/>
              </w:rPr>
              <w:t>2015</w:t>
            </w:r>
          </w:p>
        </w:tc>
        <w:tc>
          <w:tcPr>
            <w:tcW w:w="2736" w:type="dxa"/>
          </w:tcPr>
          <w:p w14:paraId="70F37B6C" w14:textId="77777777" w:rsidR="00E73070" w:rsidRPr="001569FB" w:rsidRDefault="00E73070" w:rsidP="00772B25">
            <w:pPr>
              <w:keepNext/>
              <w:keepLines/>
              <w:jc w:val="center"/>
              <w:rPr>
                <w:szCs w:val="24"/>
              </w:rPr>
            </w:pPr>
            <w:r w:rsidRPr="001569FB">
              <w:t>1.000</w:t>
            </w:r>
          </w:p>
        </w:tc>
      </w:tr>
      <w:tr w:rsidR="000843F5" w:rsidRPr="001569FB" w14:paraId="2F685717" w14:textId="77777777" w:rsidTr="002707EC">
        <w:trPr>
          <w:jc w:val="center"/>
        </w:trPr>
        <w:tc>
          <w:tcPr>
            <w:tcW w:w="723" w:type="dxa"/>
          </w:tcPr>
          <w:p w14:paraId="7B6AD15F" w14:textId="77777777" w:rsidR="00E73070" w:rsidRPr="001569FB" w:rsidRDefault="00E73070" w:rsidP="00772B25">
            <w:pPr>
              <w:keepNext/>
              <w:keepLines/>
              <w:jc w:val="center"/>
              <w:rPr>
                <w:szCs w:val="24"/>
              </w:rPr>
            </w:pPr>
            <w:r w:rsidRPr="001569FB">
              <w:rPr>
                <w:color w:val="000000"/>
                <w:szCs w:val="24"/>
              </w:rPr>
              <w:t>2016</w:t>
            </w:r>
          </w:p>
        </w:tc>
        <w:tc>
          <w:tcPr>
            <w:tcW w:w="2736" w:type="dxa"/>
          </w:tcPr>
          <w:p w14:paraId="4BEF1E40" w14:textId="77777777" w:rsidR="00E73070" w:rsidRPr="001569FB" w:rsidRDefault="00E73070" w:rsidP="00772B25">
            <w:pPr>
              <w:keepNext/>
              <w:keepLines/>
              <w:jc w:val="center"/>
              <w:rPr>
                <w:szCs w:val="24"/>
              </w:rPr>
            </w:pPr>
            <w:r w:rsidRPr="001569FB">
              <w:t>1.015</w:t>
            </w:r>
          </w:p>
        </w:tc>
      </w:tr>
      <w:tr w:rsidR="000843F5" w:rsidRPr="001569FB" w14:paraId="2335E70D" w14:textId="77777777" w:rsidTr="002707EC">
        <w:trPr>
          <w:jc w:val="center"/>
        </w:trPr>
        <w:tc>
          <w:tcPr>
            <w:tcW w:w="723" w:type="dxa"/>
          </w:tcPr>
          <w:p w14:paraId="50E1DF07" w14:textId="77777777" w:rsidR="00E73070" w:rsidRPr="001569FB" w:rsidRDefault="00E73070" w:rsidP="002707EC">
            <w:pPr>
              <w:jc w:val="center"/>
              <w:rPr>
                <w:szCs w:val="24"/>
              </w:rPr>
            </w:pPr>
            <w:r w:rsidRPr="001569FB">
              <w:rPr>
                <w:color w:val="000000"/>
                <w:szCs w:val="24"/>
              </w:rPr>
              <w:t>2017</w:t>
            </w:r>
          </w:p>
        </w:tc>
        <w:tc>
          <w:tcPr>
            <w:tcW w:w="2736" w:type="dxa"/>
          </w:tcPr>
          <w:p w14:paraId="0435E8F0" w14:textId="77777777" w:rsidR="00E73070" w:rsidRPr="001569FB" w:rsidRDefault="00E73070" w:rsidP="002707EC">
            <w:pPr>
              <w:jc w:val="center"/>
              <w:rPr>
                <w:szCs w:val="24"/>
              </w:rPr>
            </w:pPr>
            <w:r w:rsidRPr="001569FB">
              <w:t>1.026</w:t>
            </w:r>
          </w:p>
        </w:tc>
      </w:tr>
    </w:tbl>
    <w:p w14:paraId="698B794C" w14:textId="77777777" w:rsidR="006E5268" w:rsidRPr="001569FB" w:rsidRDefault="00881B21" w:rsidP="002707EC">
      <w:pPr>
        <w:pStyle w:val="Heading3"/>
        <w:spacing w:before="360"/>
        <w:rPr>
          <w:i w:val="0"/>
          <w:color w:val="auto"/>
        </w:rPr>
      </w:pPr>
      <w:r w:rsidRPr="001569FB">
        <w:rPr>
          <w:color w:val="auto"/>
        </w:rPr>
        <w:t>L4</w:t>
      </w:r>
      <w:r w:rsidR="006E5268" w:rsidRPr="001569FB">
        <w:rPr>
          <w:color w:val="auto"/>
        </w:rPr>
        <w:t xml:space="preserve">.  Normalization Factor for </w:t>
      </w:r>
      <w:r w:rsidR="00A85DA0" w:rsidRPr="001569FB">
        <w:rPr>
          <w:color w:val="auto"/>
        </w:rPr>
        <w:t>ESRD Post-</w:t>
      </w:r>
      <w:r w:rsidR="006E5268" w:rsidRPr="001569FB">
        <w:rPr>
          <w:color w:val="auto"/>
        </w:rPr>
        <w:t>Graft Model</w:t>
      </w:r>
    </w:p>
    <w:p w14:paraId="26B9397E" w14:textId="453ABD1B" w:rsidR="006E5268" w:rsidRPr="001569FB" w:rsidRDefault="006E5268" w:rsidP="006E5268">
      <w:pPr>
        <w:spacing w:before="200" w:after="200"/>
        <w:rPr>
          <w:szCs w:val="24"/>
        </w:rPr>
      </w:pPr>
      <w:r w:rsidRPr="001569FB">
        <w:rPr>
          <w:szCs w:val="24"/>
        </w:rPr>
        <w:t>The proposed 2019 normalization factor for the Functioning Graft segment of the ESRD risk adjustment model is</w:t>
      </w:r>
      <w:r w:rsidR="00163C73" w:rsidRPr="001569FB">
        <w:rPr>
          <w:szCs w:val="24"/>
        </w:rPr>
        <w:t xml:space="preserve"> </w:t>
      </w:r>
      <w:r w:rsidR="00581C8A" w:rsidRPr="001569FB">
        <w:rPr>
          <w:szCs w:val="24"/>
        </w:rPr>
        <w:t>1.048.</w:t>
      </w:r>
    </w:p>
    <w:p w14:paraId="2ADF6B4B" w14:textId="6C957B0D" w:rsidR="00A85DA0" w:rsidRPr="001569FB" w:rsidRDefault="00581C8A" w:rsidP="00A85DA0">
      <w:pPr>
        <w:spacing w:before="200" w:after="200"/>
        <w:rPr>
          <w:szCs w:val="24"/>
        </w:rPr>
      </w:pPr>
      <w:r w:rsidRPr="001569FB">
        <w:rPr>
          <w:szCs w:val="24"/>
        </w:rPr>
        <w:t>The Post-Graft segment of the ESRD model has a 2015 denominator. Between 2013 and 2017, t</w:t>
      </w:r>
      <w:r w:rsidRPr="001569FB">
        <w:t xml:space="preserve">he </w:t>
      </w:r>
      <w:r w:rsidRPr="001569FB">
        <w:rPr>
          <w:szCs w:val="24"/>
        </w:rPr>
        <w:t>trend</w:t>
      </w:r>
      <w:r w:rsidRPr="001569FB">
        <w:t xml:space="preserve"> estimated from the </w:t>
      </w:r>
      <w:r w:rsidRPr="001569FB">
        <w:rPr>
          <w:szCs w:val="24"/>
        </w:rPr>
        <w:t>population</w:t>
      </w:r>
      <w:r w:rsidRPr="001569FB">
        <w:t xml:space="preserve"> of </w:t>
      </w:r>
      <w:r w:rsidRPr="001569FB">
        <w:rPr>
          <w:szCs w:val="24"/>
        </w:rPr>
        <w:t>FFS with</w:t>
      </w:r>
      <w:r w:rsidRPr="001569FB">
        <w:t xml:space="preserve"> ESRD is 0.</w:t>
      </w:r>
      <w:r w:rsidRPr="001569FB">
        <w:rPr>
          <w:szCs w:val="24"/>
        </w:rPr>
        <w:t>0117. There are four years of trend between the denominator year and the payment year.</w:t>
      </w:r>
      <w:r w:rsidR="00A85DA0" w:rsidRPr="001569FB">
        <w:rPr>
          <w:color w:val="000000"/>
          <w:szCs w:val="24"/>
        </w:rPr>
        <w:t xml:space="preserve"> </w:t>
      </w:r>
    </w:p>
    <w:p w14:paraId="3CEDEE87" w14:textId="07A30AD9" w:rsidR="00581C8A" w:rsidRPr="001569FB" w:rsidRDefault="006E5268" w:rsidP="00BF085B">
      <w:pPr>
        <w:spacing w:before="200" w:after="600"/>
        <w:rPr>
          <w:szCs w:val="24"/>
        </w:rPr>
      </w:pPr>
      <w:r w:rsidRPr="001569FB">
        <w:rPr>
          <w:color w:val="000000"/>
          <w:szCs w:val="24"/>
        </w:rPr>
        <w:t xml:space="preserve">The normalization </w:t>
      </w:r>
      <w:r w:rsidRPr="001569FB">
        <w:rPr>
          <w:szCs w:val="24"/>
        </w:rPr>
        <w:t>factor</w:t>
      </w:r>
      <w:r w:rsidRPr="001569FB">
        <w:rPr>
          <w:color w:val="000000"/>
          <w:szCs w:val="24"/>
        </w:rPr>
        <w:t xml:space="preserve"> for the CMS-HCC functioning graft model is applied to the functioning graft community, functioning graft institutional, and functioning graft new enrollee</w:t>
      </w:r>
      <w:r w:rsidR="00581C8A" w:rsidRPr="001569FB">
        <w:rPr>
          <w:color w:val="000000"/>
          <w:szCs w:val="24"/>
        </w:rPr>
        <w:t xml:space="preserve"> risk scores</w:t>
      </w:r>
      <w:r w:rsidRPr="001569FB">
        <w:rPr>
          <w:color w:val="000000"/>
          <w:szCs w:val="24"/>
        </w:rPr>
        <w:t xml:space="preserve">. </w:t>
      </w:r>
      <w:r w:rsidR="00581C8A" w:rsidRPr="001569FB">
        <w:rPr>
          <w:szCs w:val="24"/>
        </w:rPr>
        <w:t>The risk scores used to calculate the proposed normalization factor for the Post-Graft segment of the ESRD model are included below in Table II-8 ESRD Post-Graft Segment Normalization Factor Trend.</w:t>
      </w:r>
    </w:p>
    <w:p w14:paraId="0EE4960D" w14:textId="36E01B28" w:rsidR="00581C8A" w:rsidRPr="001569FB" w:rsidRDefault="00581C8A" w:rsidP="008E38C8">
      <w:pPr>
        <w:keepNext/>
        <w:keepLines/>
        <w:spacing w:before="200" w:after="200"/>
        <w:jc w:val="center"/>
        <w:rPr>
          <w:b/>
          <w:szCs w:val="24"/>
        </w:rPr>
      </w:pPr>
      <w:r w:rsidRPr="001569FB">
        <w:rPr>
          <w:b/>
          <w:szCs w:val="24"/>
        </w:rPr>
        <w:t>Table II-8. ESRD Post-Graft Segment Normalization Factor Trend</w:t>
      </w:r>
    </w:p>
    <w:tbl>
      <w:tblPr>
        <w:tblStyle w:val="TableGrid"/>
        <w:tblW w:w="0" w:type="auto"/>
        <w:jc w:val="center"/>
        <w:tblLook w:val="04A0" w:firstRow="1" w:lastRow="0" w:firstColumn="1" w:lastColumn="0" w:noHBand="0" w:noVBand="1"/>
      </w:tblPr>
      <w:tblGrid>
        <w:gridCol w:w="723"/>
        <w:gridCol w:w="2736"/>
      </w:tblGrid>
      <w:tr w:rsidR="000843F5" w:rsidRPr="001569FB" w14:paraId="503D965F" w14:textId="77777777" w:rsidTr="00BA36E3">
        <w:trPr>
          <w:cantSplit/>
          <w:tblHeader/>
          <w:jc w:val="center"/>
        </w:trPr>
        <w:tc>
          <w:tcPr>
            <w:tcW w:w="720" w:type="dxa"/>
            <w:shd w:val="clear" w:color="auto" w:fill="DDD9C3"/>
          </w:tcPr>
          <w:p w14:paraId="4A92AEC0" w14:textId="77777777" w:rsidR="004D54DF" w:rsidRPr="001569FB" w:rsidRDefault="004D54DF" w:rsidP="00772B25">
            <w:pPr>
              <w:keepNext/>
              <w:keepLines/>
              <w:jc w:val="center"/>
              <w:rPr>
                <w:b/>
                <w:szCs w:val="24"/>
              </w:rPr>
            </w:pPr>
            <w:r w:rsidRPr="001569FB">
              <w:rPr>
                <w:b/>
                <w:color w:val="000000"/>
                <w:szCs w:val="24"/>
              </w:rPr>
              <w:t>Year</w:t>
            </w:r>
          </w:p>
        </w:tc>
        <w:tc>
          <w:tcPr>
            <w:tcW w:w="2736" w:type="dxa"/>
            <w:shd w:val="clear" w:color="auto" w:fill="DDD9C3"/>
          </w:tcPr>
          <w:p w14:paraId="7846D3F0" w14:textId="77777777" w:rsidR="004D54DF" w:rsidRPr="001569FB" w:rsidRDefault="004D54DF" w:rsidP="00772B25">
            <w:pPr>
              <w:keepNext/>
              <w:keepLines/>
              <w:jc w:val="center"/>
              <w:rPr>
                <w:b/>
                <w:szCs w:val="24"/>
              </w:rPr>
            </w:pPr>
            <w:r w:rsidRPr="001569FB">
              <w:rPr>
                <w:b/>
                <w:color w:val="000000"/>
                <w:szCs w:val="24"/>
              </w:rPr>
              <w:t>ESRD Post-Graft Model</w:t>
            </w:r>
          </w:p>
        </w:tc>
      </w:tr>
      <w:tr w:rsidR="000843F5" w:rsidRPr="001569FB" w14:paraId="66A5EDDB" w14:textId="77777777" w:rsidTr="002707EC">
        <w:trPr>
          <w:jc w:val="center"/>
        </w:trPr>
        <w:tc>
          <w:tcPr>
            <w:tcW w:w="720" w:type="dxa"/>
          </w:tcPr>
          <w:p w14:paraId="65BEA1D6" w14:textId="77777777" w:rsidR="004D54DF" w:rsidRPr="001569FB" w:rsidRDefault="004D54DF" w:rsidP="00772B25">
            <w:pPr>
              <w:keepNext/>
              <w:keepLines/>
              <w:jc w:val="center"/>
              <w:rPr>
                <w:color w:val="000000"/>
                <w:szCs w:val="24"/>
              </w:rPr>
            </w:pPr>
            <w:r w:rsidRPr="001569FB">
              <w:rPr>
                <w:color w:val="000000"/>
                <w:szCs w:val="24"/>
              </w:rPr>
              <w:t>2011</w:t>
            </w:r>
          </w:p>
        </w:tc>
        <w:tc>
          <w:tcPr>
            <w:tcW w:w="2736" w:type="dxa"/>
          </w:tcPr>
          <w:p w14:paraId="5D537B16" w14:textId="77777777" w:rsidR="004D54DF" w:rsidRPr="001569FB" w:rsidRDefault="004D54DF" w:rsidP="00772B25">
            <w:pPr>
              <w:keepNext/>
              <w:keepLines/>
              <w:jc w:val="center"/>
            </w:pPr>
            <w:r w:rsidRPr="001569FB">
              <w:t>0.985</w:t>
            </w:r>
          </w:p>
        </w:tc>
      </w:tr>
      <w:tr w:rsidR="000843F5" w:rsidRPr="001569FB" w14:paraId="1AD06F7D" w14:textId="77777777" w:rsidTr="002707EC">
        <w:trPr>
          <w:jc w:val="center"/>
        </w:trPr>
        <w:tc>
          <w:tcPr>
            <w:tcW w:w="720" w:type="dxa"/>
          </w:tcPr>
          <w:p w14:paraId="06A2D5DC" w14:textId="77777777" w:rsidR="004D54DF" w:rsidRPr="001569FB" w:rsidRDefault="004D54DF" w:rsidP="00772B25">
            <w:pPr>
              <w:keepNext/>
              <w:keepLines/>
              <w:jc w:val="center"/>
              <w:rPr>
                <w:szCs w:val="24"/>
              </w:rPr>
            </w:pPr>
            <w:r w:rsidRPr="001569FB">
              <w:rPr>
                <w:color w:val="000000"/>
                <w:szCs w:val="24"/>
              </w:rPr>
              <w:t>2012</w:t>
            </w:r>
          </w:p>
        </w:tc>
        <w:tc>
          <w:tcPr>
            <w:tcW w:w="2736" w:type="dxa"/>
          </w:tcPr>
          <w:p w14:paraId="2FF31098" w14:textId="77777777" w:rsidR="004D54DF" w:rsidRPr="001569FB" w:rsidRDefault="004D54DF" w:rsidP="00772B25">
            <w:pPr>
              <w:keepNext/>
              <w:keepLines/>
              <w:jc w:val="center"/>
              <w:rPr>
                <w:szCs w:val="24"/>
              </w:rPr>
            </w:pPr>
            <w:r w:rsidRPr="001569FB">
              <w:t>0.995</w:t>
            </w:r>
          </w:p>
        </w:tc>
      </w:tr>
      <w:tr w:rsidR="000843F5" w:rsidRPr="001569FB" w14:paraId="52AD94A2" w14:textId="77777777" w:rsidTr="002707EC">
        <w:trPr>
          <w:jc w:val="center"/>
        </w:trPr>
        <w:tc>
          <w:tcPr>
            <w:tcW w:w="720" w:type="dxa"/>
          </w:tcPr>
          <w:p w14:paraId="4951C0D6" w14:textId="77777777" w:rsidR="004D54DF" w:rsidRPr="001569FB" w:rsidRDefault="004D54DF" w:rsidP="00772B25">
            <w:pPr>
              <w:keepNext/>
              <w:keepLines/>
              <w:jc w:val="center"/>
              <w:rPr>
                <w:szCs w:val="24"/>
              </w:rPr>
            </w:pPr>
            <w:r w:rsidRPr="001569FB">
              <w:rPr>
                <w:color w:val="000000"/>
                <w:szCs w:val="24"/>
              </w:rPr>
              <w:t>2013</w:t>
            </w:r>
          </w:p>
        </w:tc>
        <w:tc>
          <w:tcPr>
            <w:tcW w:w="2736" w:type="dxa"/>
          </w:tcPr>
          <w:p w14:paraId="605FB4F2" w14:textId="77777777" w:rsidR="004D54DF" w:rsidRPr="001569FB" w:rsidRDefault="004D54DF" w:rsidP="00772B25">
            <w:pPr>
              <w:keepNext/>
              <w:keepLines/>
              <w:jc w:val="center"/>
              <w:rPr>
                <w:szCs w:val="24"/>
              </w:rPr>
            </w:pPr>
            <w:r w:rsidRPr="001569FB">
              <w:t>0.993</w:t>
            </w:r>
          </w:p>
        </w:tc>
      </w:tr>
      <w:tr w:rsidR="000843F5" w:rsidRPr="001569FB" w14:paraId="3E217F78" w14:textId="77777777" w:rsidTr="002707EC">
        <w:trPr>
          <w:jc w:val="center"/>
        </w:trPr>
        <w:tc>
          <w:tcPr>
            <w:tcW w:w="720" w:type="dxa"/>
          </w:tcPr>
          <w:p w14:paraId="682BFA31" w14:textId="77777777" w:rsidR="004D54DF" w:rsidRPr="001569FB" w:rsidRDefault="004D54DF" w:rsidP="00772B25">
            <w:pPr>
              <w:keepNext/>
              <w:keepLines/>
              <w:jc w:val="center"/>
              <w:rPr>
                <w:szCs w:val="24"/>
              </w:rPr>
            </w:pPr>
            <w:r w:rsidRPr="001569FB">
              <w:rPr>
                <w:color w:val="000000"/>
                <w:szCs w:val="24"/>
              </w:rPr>
              <w:t>2014</w:t>
            </w:r>
          </w:p>
        </w:tc>
        <w:tc>
          <w:tcPr>
            <w:tcW w:w="2736" w:type="dxa"/>
          </w:tcPr>
          <w:p w14:paraId="7A2A26DA" w14:textId="77777777" w:rsidR="004D54DF" w:rsidRPr="001569FB" w:rsidRDefault="004D54DF" w:rsidP="00772B25">
            <w:pPr>
              <w:keepNext/>
              <w:keepLines/>
              <w:jc w:val="center"/>
              <w:rPr>
                <w:szCs w:val="24"/>
              </w:rPr>
            </w:pPr>
            <w:r w:rsidRPr="001569FB">
              <w:t>0.998</w:t>
            </w:r>
          </w:p>
        </w:tc>
      </w:tr>
      <w:tr w:rsidR="000843F5" w:rsidRPr="001569FB" w14:paraId="15E3AB05" w14:textId="77777777" w:rsidTr="002707EC">
        <w:trPr>
          <w:jc w:val="center"/>
        </w:trPr>
        <w:tc>
          <w:tcPr>
            <w:tcW w:w="720" w:type="dxa"/>
          </w:tcPr>
          <w:p w14:paraId="2623E541" w14:textId="77777777" w:rsidR="004D54DF" w:rsidRPr="001569FB" w:rsidRDefault="004D54DF" w:rsidP="00772B25">
            <w:pPr>
              <w:keepNext/>
              <w:keepLines/>
              <w:jc w:val="center"/>
              <w:rPr>
                <w:szCs w:val="24"/>
              </w:rPr>
            </w:pPr>
            <w:r w:rsidRPr="001569FB">
              <w:rPr>
                <w:color w:val="000000"/>
                <w:szCs w:val="24"/>
              </w:rPr>
              <w:t>2015</w:t>
            </w:r>
          </w:p>
        </w:tc>
        <w:tc>
          <w:tcPr>
            <w:tcW w:w="2736" w:type="dxa"/>
          </w:tcPr>
          <w:p w14:paraId="4A1EAD1A" w14:textId="77777777" w:rsidR="004D54DF" w:rsidRPr="001569FB" w:rsidRDefault="004D54DF" w:rsidP="00772B25">
            <w:pPr>
              <w:keepNext/>
              <w:keepLines/>
              <w:jc w:val="center"/>
              <w:rPr>
                <w:szCs w:val="24"/>
              </w:rPr>
            </w:pPr>
            <w:r w:rsidRPr="001569FB">
              <w:t>1.000</w:t>
            </w:r>
          </w:p>
        </w:tc>
      </w:tr>
      <w:tr w:rsidR="000843F5" w:rsidRPr="001569FB" w14:paraId="3B498FB8" w14:textId="77777777" w:rsidTr="002707EC">
        <w:trPr>
          <w:jc w:val="center"/>
        </w:trPr>
        <w:tc>
          <w:tcPr>
            <w:tcW w:w="720" w:type="dxa"/>
          </w:tcPr>
          <w:p w14:paraId="5A2499DC" w14:textId="77777777" w:rsidR="004D54DF" w:rsidRPr="001569FB" w:rsidRDefault="004D54DF" w:rsidP="00772B25">
            <w:pPr>
              <w:keepNext/>
              <w:keepLines/>
              <w:jc w:val="center"/>
              <w:rPr>
                <w:szCs w:val="24"/>
              </w:rPr>
            </w:pPr>
            <w:r w:rsidRPr="001569FB">
              <w:rPr>
                <w:color w:val="000000"/>
                <w:szCs w:val="24"/>
              </w:rPr>
              <w:t>2016</w:t>
            </w:r>
          </w:p>
        </w:tc>
        <w:tc>
          <w:tcPr>
            <w:tcW w:w="2736" w:type="dxa"/>
          </w:tcPr>
          <w:p w14:paraId="492F6BDB" w14:textId="77777777" w:rsidR="004D54DF" w:rsidRPr="001569FB" w:rsidRDefault="004D54DF" w:rsidP="00772B25">
            <w:pPr>
              <w:keepNext/>
              <w:keepLines/>
              <w:jc w:val="center"/>
              <w:rPr>
                <w:szCs w:val="24"/>
              </w:rPr>
            </w:pPr>
            <w:r w:rsidRPr="001569FB">
              <w:t>1.023</w:t>
            </w:r>
          </w:p>
        </w:tc>
      </w:tr>
      <w:tr w:rsidR="000843F5" w:rsidRPr="001569FB" w14:paraId="36F8DDFD" w14:textId="77777777" w:rsidTr="002707EC">
        <w:trPr>
          <w:jc w:val="center"/>
        </w:trPr>
        <w:tc>
          <w:tcPr>
            <w:tcW w:w="720" w:type="dxa"/>
          </w:tcPr>
          <w:p w14:paraId="101B538C" w14:textId="77777777" w:rsidR="004D54DF" w:rsidRPr="001569FB" w:rsidRDefault="004D54DF" w:rsidP="002707EC">
            <w:pPr>
              <w:jc w:val="center"/>
              <w:rPr>
                <w:szCs w:val="24"/>
              </w:rPr>
            </w:pPr>
            <w:r w:rsidRPr="001569FB">
              <w:rPr>
                <w:color w:val="000000"/>
                <w:szCs w:val="24"/>
              </w:rPr>
              <w:t>2017</w:t>
            </w:r>
          </w:p>
        </w:tc>
        <w:tc>
          <w:tcPr>
            <w:tcW w:w="2736" w:type="dxa"/>
          </w:tcPr>
          <w:p w14:paraId="0360E333" w14:textId="77777777" w:rsidR="004D54DF" w:rsidRPr="001569FB" w:rsidRDefault="004D54DF" w:rsidP="002707EC">
            <w:pPr>
              <w:jc w:val="center"/>
              <w:rPr>
                <w:szCs w:val="24"/>
              </w:rPr>
            </w:pPr>
            <w:r w:rsidRPr="001569FB">
              <w:t>1.039</w:t>
            </w:r>
          </w:p>
        </w:tc>
      </w:tr>
    </w:tbl>
    <w:p w14:paraId="4DC48BCB" w14:textId="77777777" w:rsidR="006E5268" w:rsidRPr="001569FB" w:rsidRDefault="00881B21" w:rsidP="002707EC">
      <w:pPr>
        <w:pStyle w:val="Heading3"/>
        <w:spacing w:before="360"/>
        <w:rPr>
          <w:i w:val="0"/>
          <w:color w:val="auto"/>
        </w:rPr>
      </w:pPr>
      <w:r w:rsidRPr="001569FB">
        <w:rPr>
          <w:color w:val="auto"/>
        </w:rPr>
        <w:lastRenderedPageBreak/>
        <w:t>L5</w:t>
      </w:r>
      <w:r w:rsidR="006E5268" w:rsidRPr="001569FB">
        <w:rPr>
          <w:color w:val="auto"/>
        </w:rPr>
        <w:t>.  Normalization Factor for the Rx Hierarchical Condition Category (RxHCC) Model</w:t>
      </w:r>
    </w:p>
    <w:p w14:paraId="0833B72D" w14:textId="1483DE9B" w:rsidR="006E5268" w:rsidRPr="001569FB" w:rsidRDefault="006E5268" w:rsidP="006E5268">
      <w:pPr>
        <w:spacing w:before="200" w:after="200"/>
        <w:rPr>
          <w:szCs w:val="24"/>
        </w:rPr>
      </w:pPr>
      <w:r w:rsidRPr="001569FB">
        <w:rPr>
          <w:szCs w:val="24"/>
        </w:rPr>
        <w:t>The proposed 2019 normalization factor for the RxHCC model is</w:t>
      </w:r>
      <w:r w:rsidR="003C596E" w:rsidRPr="001569FB">
        <w:rPr>
          <w:szCs w:val="24"/>
        </w:rPr>
        <w:t xml:space="preserve"> 1.020.</w:t>
      </w:r>
      <w:r w:rsidRPr="001569FB">
        <w:rPr>
          <w:szCs w:val="24"/>
        </w:rPr>
        <w:t xml:space="preserve"> </w:t>
      </w:r>
    </w:p>
    <w:p w14:paraId="4306F750" w14:textId="43B1C135" w:rsidR="006E5268" w:rsidRPr="001569FB" w:rsidRDefault="002A00AD" w:rsidP="006E5268">
      <w:pPr>
        <w:spacing w:before="200" w:after="200"/>
        <w:rPr>
          <w:szCs w:val="24"/>
        </w:rPr>
      </w:pPr>
      <w:r w:rsidRPr="001569FB">
        <w:rPr>
          <w:szCs w:val="24"/>
        </w:rPr>
        <w:t>The revised RxHCC model has a 2015 denominator.</w:t>
      </w:r>
      <w:r w:rsidR="007B6641" w:rsidRPr="001569FB">
        <w:rPr>
          <w:szCs w:val="24"/>
        </w:rPr>
        <w:t xml:space="preserve"> </w:t>
      </w:r>
      <w:r w:rsidRPr="001569FB">
        <w:rPr>
          <w:szCs w:val="24"/>
        </w:rPr>
        <w:t xml:space="preserve"> Between </w:t>
      </w:r>
      <w:r w:rsidR="003C596E" w:rsidRPr="001569FB">
        <w:rPr>
          <w:szCs w:val="24"/>
        </w:rPr>
        <w:t xml:space="preserve">2013 </w:t>
      </w:r>
      <w:r w:rsidRPr="001569FB">
        <w:rPr>
          <w:szCs w:val="24"/>
        </w:rPr>
        <w:t>and 2016, t</w:t>
      </w:r>
      <w:r w:rsidRPr="001569FB">
        <w:rPr>
          <w:color w:val="000000"/>
          <w:szCs w:val="24"/>
        </w:rPr>
        <w:t xml:space="preserve">he </w:t>
      </w:r>
      <w:r w:rsidR="003C596E" w:rsidRPr="001569FB">
        <w:rPr>
          <w:color w:val="000000"/>
          <w:szCs w:val="24"/>
        </w:rPr>
        <w:t xml:space="preserve">trend </w:t>
      </w:r>
      <w:r w:rsidRPr="001569FB">
        <w:rPr>
          <w:color w:val="000000"/>
          <w:szCs w:val="24"/>
        </w:rPr>
        <w:t xml:space="preserve">estimated from the </w:t>
      </w:r>
      <w:r w:rsidR="003C596E" w:rsidRPr="001569FB">
        <w:rPr>
          <w:color w:val="000000"/>
          <w:szCs w:val="24"/>
        </w:rPr>
        <w:t>population</w:t>
      </w:r>
      <w:r w:rsidRPr="001569FB">
        <w:rPr>
          <w:color w:val="000000"/>
          <w:szCs w:val="24"/>
        </w:rPr>
        <w:t xml:space="preserve"> of </w:t>
      </w:r>
      <w:r w:rsidR="003C596E" w:rsidRPr="001569FB">
        <w:rPr>
          <w:color w:val="000000"/>
          <w:szCs w:val="24"/>
        </w:rPr>
        <w:t>beneficiaries enrolled in a PDP or an MA-PD is 0.0049. The normalization factor for the RxHCC model is applied to all Part D risk scores for beneficiaries enrolled in an MA-PD or PDP plan. There are four years of trend between the denominator year and the payment year.</w:t>
      </w:r>
    </w:p>
    <w:p w14:paraId="7D4A9A37" w14:textId="46B7FE7C" w:rsidR="005D58E3" w:rsidRPr="001569FB" w:rsidRDefault="006E5268" w:rsidP="009914D7">
      <w:pPr>
        <w:spacing w:before="200" w:after="200"/>
        <w:rPr>
          <w:szCs w:val="24"/>
        </w:rPr>
      </w:pPr>
      <w:r w:rsidRPr="001569FB">
        <w:rPr>
          <w:szCs w:val="24"/>
        </w:rPr>
        <w:t xml:space="preserve">The risk scores used to calculate the </w:t>
      </w:r>
      <w:r w:rsidR="003C596E" w:rsidRPr="001569FB">
        <w:rPr>
          <w:szCs w:val="24"/>
        </w:rPr>
        <w:t xml:space="preserve">proposed 2019 </w:t>
      </w:r>
      <w:r w:rsidRPr="001569FB">
        <w:rPr>
          <w:szCs w:val="24"/>
        </w:rPr>
        <w:t xml:space="preserve">normalization factor for the RxHCC model are included </w:t>
      </w:r>
      <w:r w:rsidR="003C596E" w:rsidRPr="001569FB">
        <w:rPr>
          <w:szCs w:val="24"/>
        </w:rPr>
        <w:t>in Table II-9 RxH</w:t>
      </w:r>
      <w:r w:rsidR="00E90582" w:rsidRPr="001569FB">
        <w:rPr>
          <w:szCs w:val="24"/>
        </w:rPr>
        <w:t>CC</w:t>
      </w:r>
      <w:r w:rsidR="003C596E" w:rsidRPr="001569FB">
        <w:rPr>
          <w:szCs w:val="24"/>
        </w:rPr>
        <w:t xml:space="preserve"> Normalization Factor Trend.</w:t>
      </w:r>
    </w:p>
    <w:p w14:paraId="756F839A" w14:textId="6C1E8199" w:rsidR="003C596E" w:rsidRPr="001569FB" w:rsidRDefault="003C596E" w:rsidP="008E38C8">
      <w:pPr>
        <w:spacing w:before="200" w:after="200"/>
        <w:jc w:val="center"/>
        <w:rPr>
          <w:szCs w:val="24"/>
        </w:rPr>
      </w:pPr>
      <w:r w:rsidRPr="001569FB">
        <w:rPr>
          <w:b/>
          <w:szCs w:val="24"/>
        </w:rPr>
        <w:t>Table II-9. RxHCC Normalization Factor Trend</w:t>
      </w:r>
    </w:p>
    <w:tbl>
      <w:tblPr>
        <w:tblStyle w:val="TableGrid"/>
        <w:tblW w:w="0" w:type="auto"/>
        <w:jc w:val="center"/>
        <w:tblLook w:val="04A0" w:firstRow="1" w:lastRow="0" w:firstColumn="1" w:lastColumn="0" w:noHBand="0" w:noVBand="1"/>
      </w:tblPr>
      <w:tblGrid>
        <w:gridCol w:w="723"/>
        <w:gridCol w:w="1872"/>
      </w:tblGrid>
      <w:tr w:rsidR="000843F5" w:rsidRPr="001569FB" w14:paraId="0E1D337E" w14:textId="77777777" w:rsidTr="00BA36E3">
        <w:trPr>
          <w:cantSplit/>
          <w:tblHeader/>
          <w:jc w:val="center"/>
        </w:trPr>
        <w:tc>
          <w:tcPr>
            <w:tcW w:w="723" w:type="dxa"/>
            <w:shd w:val="clear" w:color="auto" w:fill="DDD9C3"/>
          </w:tcPr>
          <w:p w14:paraId="320B2E3C" w14:textId="77777777" w:rsidR="005D58E3" w:rsidRPr="001569FB" w:rsidRDefault="005D58E3" w:rsidP="00772B25">
            <w:pPr>
              <w:keepNext/>
              <w:keepLines/>
              <w:jc w:val="center"/>
              <w:rPr>
                <w:b/>
                <w:szCs w:val="24"/>
              </w:rPr>
            </w:pPr>
            <w:r w:rsidRPr="001569FB">
              <w:rPr>
                <w:b/>
                <w:color w:val="000000"/>
                <w:szCs w:val="24"/>
              </w:rPr>
              <w:t>Year</w:t>
            </w:r>
          </w:p>
        </w:tc>
        <w:tc>
          <w:tcPr>
            <w:tcW w:w="1872" w:type="dxa"/>
            <w:shd w:val="clear" w:color="auto" w:fill="DDD9C3"/>
          </w:tcPr>
          <w:p w14:paraId="71F9902E" w14:textId="77777777" w:rsidR="005D58E3" w:rsidRPr="001569FB" w:rsidRDefault="005D58E3" w:rsidP="00772B25">
            <w:pPr>
              <w:keepNext/>
              <w:keepLines/>
              <w:jc w:val="center"/>
              <w:rPr>
                <w:b/>
                <w:szCs w:val="24"/>
              </w:rPr>
            </w:pPr>
            <w:r w:rsidRPr="001569FB">
              <w:rPr>
                <w:b/>
                <w:color w:val="000000"/>
                <w:szCs w:val="24"/>
              </w:rPr>
              <w:t>RxHCC Model</w:t>
            </w:r>
          </w:p>
        </w:tc>
      </w:tr>
      <w:tr w:rsidR="000843F5" w:rsidRPr="001569FB" w14:paraId="444A2051" w14:textId="77777777" w:rsidTr="002707EC">
        <w:trPr>
          <w:jc w:val="center"/>
        </w:trPr>
        <w:tc>
          <w:tcPr>
            <w:tcW w:w="723" w:type="dxa"/>
          </w:tcPr>
          <w:p w14:paraId="114D2924" w14:textId="77777777" w:rsidR="005D58E3" w:rsidRPr="001569FB" w:rsidRDefault="005D58E3" w:rsidP="00772B25">
            <w:pPr>
              <w:keepNext/>
              <w:keepLines/>
              <w:jc w:val="center"/>
              <w:rPr>
                <w:color w:val="000000"/>
                <w:szCs w:val="24"/>
              </w:rPr>
            </w:pPr>
            <w:r w:rsidRPr="001569FB">
              <w:rPr>
                <w:color w:val="000000"/>
                <w:szCs w:val="24"/>
              </w:rPr>
              <w:t>2010</w:t>
            </w:r>
          </w:p>
        </w:tc>
        <w:tc>
          <w:tcPr>
            <w:tcW w:w="1872" w:type="dxa"/>
          </w:tcPr>
          <w:p w14:paraId="582FFEAD" w14:textId="77777777" w:rsidR="005D58E3" w:rsidRPr="001569FB" w:rsidRDefault="005D58E3" w:rsidP="00772B25">
            <w:pPr>
              <w:keepNext/>
              <w:keepLines/>
              <w:jc w:val="center"/>
            </w:pPr>
            <w:r w:rsidRPr="001569FB">
              <w:t>0.980</w:t>
            </w:r>
          </w:p>
        </w:tc>
      </w:tr>
      <w:tr w:rsidR="000843F5" w:rsidRPr="001569FB" w14:paraId="1AB3103D" w14:textId="77777777" w:rsidTr="002707EC">
        <w:trPr>
          <w:jc w:val="center"/>
        </w:trPr>
        <w:tc>
          <w:tcPr>
            <w:tcW w:w="723" w:type="dxa"/>
          </w:tcPr>
          <w:p w14:paraId="6AC6ABB9" w14:textId="77777777" w:rsidR="005D58E3" w:rsidRPr="001569FB" w:rsidRDefault="005D58E3" w:rsidP="00772B25">
            <w:pPr>
              <w:keepNext/>
              <w:keepLines/>
              <w:jc w:val="center"/>
              <w:rPr>
                <w:szCs w:val="24"/>
              </w:rPr>
            </w:pPr>
            <w:r w:rsidRPr="001569FB">
              <w:rPr>
                <w:color w:val="000000"/>
                <w:szCs w:val="24"/>
              </w:rPr>
              <w:t>2011</w:t>
            </w:r>
          </w:p>
        </w:tc>
        <w:tc>
          <w:tcPr>
            <w:tcW w:w="1872" w:type="dxa"/>
          </w:tcPr>
          <w:p w14:paraId="62B6D26A" w14:textId="77777777" w:rsidR="005D58E3" w:rsidRPr="001569FB" w:rsidRDefault="005D58E3" w:rsidP="00772B25">
            <w:pPr>
              <w:keepNext/>
              <w:keepLines/>
              <w:jc w:val="center"/>
              <w:rPr>
                <w:szCs w:val="24"/>
              </w:rPr>
            </w:pPr>
            <w:r w:rsidRPr="001569FB">
              <w:t>0.989</w:t>
            </w:r>
          </w:p>
        </w:tc>
      </w:tr>
      <w:tr w:rsidR="000843F5" w:rsidRPr="001569FB" w14:paraId="53563E1A" w14:textId="77777777" w:rsidTr="002707EC">
        <w:trPr>
          <w:jc w:val="center"/>
        </w:trPr>
        <w:tc>
          <w:tcPr>
            <w:tcW w:w="723" w:type="dxa"/>
          </w:tcPr>
          <w:p w14:paraId="6282C4EE" w14:textId="77777777" w:rsidR="005D58E3" w:rsidRPr="001569FB" w:rsidRDefault="005D58E3" w:rsidP="00772B25">
            <w:pPr>
              <w:keepNext/>
              <w:keepLines/>
              <w:jc w:val="center"/>
              <w:rPr>
                <w:szCs w:val="24"/>
              </w:rPr>
            </w:pPr>
            <w:r w:rsidRPr="001569FB">
              <w:rPr>
                <w:color w:val="000000"/>
                <w:szCs w:val="24"/>
              </w:rPr>
              <w:t>2012</w:t>
            </w:r>
          </w:p>
        </w:tc>
        <w:tc>
          <w:tcPr>
            <w:tcW w:w="1872" w:type="dxa"/>
          </w:tcPr>
          <w:p w14:paraId="4DC9D752" w14:textId="77777777" w:rsidR="005D58E3" w:rsidRPr="001569FB" w:rsidRDefault="005D58E3" w:rsidP="00772B25">
            <w:pPr>
              <w:keepNext/>
              <w:keepLines/>
              <w:jc w:val="center"/>
              <w:rPr>
                <w:szCs w:val="24"/>
              </w:rPr>
            </w:pPr>
            <w:r w:rsidRPr="001569FB">
              <w:t>0.996</w:t>
            </w:r>
          </w:p>
        </w:tc>
      </w:tr>
      <w:tr w:rsidR="000843F5" w:rsidRPr="001569FB" w14:paraId="6B670B53" w14:textId="77777777" w:rsidTr="002707EC">
        <w:trPr>
          <w:jc w:val="center"/>
        </w:trPr>
        <w:tc>
          <w:tcPr>
            <w:tcW w:w="723" w:type="dxa"/>
          </w:tcPr>
          <w:p w14:paraId="2E995911" w14:textId="77777777" w:rsidR="005D58E3" w:rsidRPr="001569FB" w:rsidRDefault="005D58E3" w:rsidP="00772B25">
            <w:pPr>
              <w:keepNext/>
              <w:keepLines/>
              <w:jc w:val="center"/>
              <w:rPr>
                <w:szCs w:val="24"/>
              </w:rPr>
            </w:pPr>
            <w:r w:rsidRPr="001569FB">
              <w:rPr>
                <w:color w:val="000000"/>
                <w:szCs w:val="24"/>
              </w:rPr>
              <w:t>2013</w:t>
            </w:r>
          </w:p>
        </w:tc>
        <w:tc>
          <w:tcPr>
            <w:tcW w:w="1872" w:type="dxa"/>
          </w:tcPr>
          <w:p w14:paraId="4BFAB10D" w14:textId="77777777" w:rsidR="005D58E3" w:rsidRPr="001569FB" w:rsidRDefault="005D58E3" w:rsidP="00772B25">
            <w:pPr>
              <w:keepNext/>
              <w:keepLines/>
              <w:jc w:val="center"/>
              <w:rPr>
                <w:szCs w:val="24"/>
              </w:rPr>
            </w:pPr>
            <w:r w:rsidRPr="001569FB">
              <w:t>0.989</w:t>
            </w:r>
          </w:p>
        </w:tc>
      </w:tr>
      <w:tr w:rsidR="000843F5" w:rsidRPr="001569FB" w14:paraId="5A35B4F6" w14:textId="77777777" w:rsidTr="002707EC">
        <w:trPr>
          <w:jc w:val="center"/>
        </w:trPr>
        <w:tc>
          <w:tcPr>
            <w:tcW w:w="723" w:type="dxa"/>
          </w:tcPr>
          <w:p w14:paraId="6B2A538E" w14:textId="77777777" w:rsidR="005D58E3" w:rsidRPr="001569FB" w:rsidRDefault="005D58E3" w:rsidP="00772B25">
            <w:pPr>
              <w:keepNext/>
              <w:keepLines/>
              <w:jc w:val="center"/>
              <w:rPr>
                <w:szCs w:val="24"/>
              </w:rPr>
            </w:pPr>
            <w:r w:rsidRPr="001569FB">
              <w:rPr>
                <w:color w:val="000000"/>
                <w:szCs w:val="24"/>
              </w:rPr>
              <w:t>2014</w:t>
            </w:r>
          </w:p>
        </w:tc>
        <w:tc>
          <w:tcPr>
            <w:tcW w:w="1872" w:type="dxa"/>
          </w:tcPr>
          <w:p w14:paraId="51D457B6" w14:textId="77777777" w:rsidR="005D58E3" w:rsidRPr="001569FB" w:rsidRDefault="005D58E3" w:rsidP="00772B25">
            <w:pPr>
              <w:keepNext/>
              <w:keepLines/>
              <w:jc w:val="center"/>
              <w:rPr>
                <w:szCs w:val="24"/>
              </w:rPr>
            </w:pPr>
            <w:r w:rsidRPr="001569FB">
              <w:t>0.995</w:t>
            </w:r>
          </w:p>
        </w:tc>
      </w:tr>
      <w:tr w:rsidR="000843F5" w:rsidRPr="001569FB" w14:paraId="1F5F3A2B" w14:textId="77777777" w:rsidTr="002707EC">
        <w:trPr>
          <w:jc w:val="center"/>
        </w:trPr>
        <w:tc>
          <w:tcPr>
            <w:tcW w:w="723" w:type="dxa"/>
          </w:tcPr>
          <w:p w14:paraId="596C2505" w14:textId="77777777" w:rsidR="005D58E3" w:rsidRPr="001569FB" w:rsidRDefault="005D58E3" w:rsidP="00772B25">
            <w:pPr>
              <w:keepNext/>
              <w:keepLines/>
              <w:jc w:val="center"/>
              <w:rPr>
                <w:szCs w:val="24"/>
              </w:rPr>
            </w:pPr>
            <w:r w:rsidRPr="001569FB">
              <w:rPr>
                <w:color w:val="000000"/>
                <w:szCs w:val="24"/>
              </w:rPr>
              <w:t>2015</w:t>
            </w:r>
          </w:p>
        </w:tc>
        <w:tc>
          <w:tcPr>
            <w:tcW w:w="1872" w:type="dxa"/>
          </w:tcPr>
          <w:p w14:paraId="24D520FC" w14:textId="77777777" w:rsidR="005D58E3" w:rsidRPr="001569FB" w:rsidRDefault="005D58E3" w:rsidP="00772B25">
            <w:pPr>
              <w:keepNext/>
              <w:keepLines/>
              <w:jc w:val="center"/>
              <w:rPr>
                <w:szCs w:val="24"/>
              </w:rPr>
            </w:pPr>
            <w:r w:rsidRPr="001569FB">
              <w:t>1.000</w:t>
            </w:r>
          </w:p>
        </w:tc>
      </w:tr>
      <w:tr w:rsidR="000843F5" w:rsidRPr="001569FB" w14:paraId="09C64DD2" w14:textId="77777777" w:rsidTr="002707EC">
        <w:trPr>
          <w:jc w:val="center"/>
        </w:trPr>
        <w:tc>
          <w:tcPr>
            <w:tcW w:w="723" w:type="dxa"/>
          </w:tcPr>
          <w:p w14:paraId="23473633" w14:textId="77777777" w:rsidR="005D58E3" w:rsidRPr="001569FB" w:rsidRDefault="005D58E3" w:rsidP="002707EC">
            <w:pPr>
              <w:jc w:val="center"/>
              <w:rPr>
                <w:szCs w:val="24"/>
              </w:rPr>
            </w:pPr>
            <w:r w:rsidRPr="001569FB">
              <w:rPr>
                <w:color w:val="000000"/>
                <w:szCs w:val="24"/>
              </w:rPr>
              <w:t>2016</w:t>
            </w:r>
          </w:p>
        </w:tc>
        <w:tc>
          <w:tcPr>
            <w:tcW w:w="1872" w:type="dxa"/>
          </w:tcPr>
          <w:p w14:paraId="7DF70D4D" w14:textId="77777777" w:rsidR="005D58E3" w:rsidRPr="001569FB" w:rsidRDefault="005D58E3" w:rsidP="002707EC">
            <w:pPr>
              <w:jc w:val="center"/>
              <w:rPr>
                <w:szCs w:val="24"/>
              </w:rPr>
            </w:pPr>
            <w:r w:rsidRPr="001569FB">
              <w:t>1.015</w:t>
            </w:r>
          </w:p>
        </w:tc>
      </w:tr>
    </w:tbl>
    <w:p w14:paraId="17A414BC" w14:textId="77777777" w:rsidR="001708FC" w:rsidRPr="001569FB" w:rsidRDefault="00647FDB" w:rsidP="002707EC">
      <w:pPr>
        <w:pStyle w:val="Heading2"/>
        <w:spacing w:before="360"/>
      </w:pPr>
      <w:bookmarkStart w:id="385" w:name="_The_preliminary_2015"/>
      <w:bookmarkStart w:id="386" w:name="_Toc348432135"/>
      <w:bookmarkStart w:id="387" w:name="_Toc348432288"/>
      <w:bookmarkStart w:id="388" w:name="_Toc348432367"/>
      <w:bookmarkStart w:id="389" w:name="_Toc348432847"/>
      <w:bookmarkStart w:id="390" w:name="_Toc348432924"/>
      <w:bookmarkStart w:id="391" w:name="_Toc348433379"/>
      <w:bookmarkStart w:id="392" w:name="_Toc348432136"/>
      <w:bookmarkStart w:id="393" w:name="_Toc348432289"/>
      <w:bookmarkStart w:id="394" w:name="_Toc348432368"/>
      <w:bookmarkStart w:id="395" w:name="_Toc348432848"/>
      <w:bookmarkStart w:id="396" w:name="_Toc348432925"/>
      <w:bookmarkStart w:id="397" w:name="_Toc348433380"/>
      <w:bookmarkStart w:id="398" w:name="_Toc505253785"/>
      <w:bookmarkStart w:id="399" w:name="_Toc188260070"/>
      <w:bookmarkStart w:id="400" w:name="_Toc188260660"/>
      <w:bookmarkEnd w:id="34"/>
      <w:bookmarkEnd w:id="35"/>
      <w:bookmarkEnd w:id="385"/>
      <w:bookmarkEnd w:id="386"/>
      <w:bookmarkEnd w:id="387"/>
      <w:bookmarkEnd w:id="388"/>
      <w:bookmarkEnd w:id="389"/>
      <w:bookmarkEnd w:id="390"/>
      <w:bookmarkEnd w:id="391"/>
      <w:bookmarkEnd w:id="392"/>
      <w:bookmarkEnd w:id="393"/>
      <w:bookmarkEnd w:id="394"/>
      <w:bookmarkEnd w:id="395"/>
      <w:bookmarkEnd w:id="396"/>
      <w:bookmarkEnd w:id="397"/>
      <w:r w:rsidRPr="001569FB">
        <w:t xml:space="preserve">Section </w:t>
      </w:r>
      <w:r w:rsidR="00881B21" w:rsidRPr="001569FB">
        <w:t>M</w:t>
      </w:r>
      <w:r w:rsidRPr="001569FB">
        <w:t>.</w:t>
      </w:r>
      <w:r w:rsidR="001708FC" w:rsidRPr="001569FB">
        <w:t xml:space="preserve">  </w:t>
      </w:r>
      <w:r w:rsidR="00B67B41" w:rsidRPr="001569FB">
        <w:rPr>
          <w:rFonts w:eastAsiaTheme="minorEastAsia"/>
        </w:rPr>
        <w:t>Medical Loss Ratio Credibility Adjustment</w:t>
      </w:r>
      <w:bookmarkEnd w:id="398"/>
      <w:r w:rsidR="00617255" w:rsidRPr="001569FB">
        <w:rPr>
          <w:rFonts w:eastAsiaTheme="minorEastAsia"/>
        </w:rPr>
        <w:t xml:space="preserve"> </w:t>
      </w:r>
    </w:p>
    <w:p w14:paraId="0CBC208E" w14:textId="77777777" w:rsidR="00005F04" w:rsidRPr="001569FB" w:rsidRDefault="007B797C" w:rsidP="00E746B1">
      <w:pPr>
        <w:spacing w:before="200" w:after="200"/>
        <w:rPr>
          <w:rFonts w:eastAsiaTheme="minorHAnsi"/>
          <w:szCs w:val="24"/>
        </w:rPr>
      </w:pPr>
      <w:r w:rsidRPr="001569FB">
        <w:rPr>
          <w:rFonts w:eastAsiaTheme="minorHAnsi"/>
          <w:szCs w:val="24"/>
        </w:rPr>
        <w:t xml:space="preserve">In the May 23, 2013 </w:t>
      </w:r>
      <w:r w:rsidR="00F43E22" w:rsidRPr="001569FB">
        <w:rPr>
          <w:rFonts w:eastAsiaTheme="minorHAnsi"/>
          <w:szCs w:val="24"/>
        </w:rPr>
        <w:t xml:space="preserve">Medicare </w:t>
      </w:r>
      <w:r w:rsidRPr="001569FB">
        <w:rPr>
          <w:rFonts w:eastAsiaTheme="minorHAnsi"/>
          <w:szCs w:val="24"/>
        </w:rPr>
        <w:t>Medical Loss Ratio (MLR) final rule (</w:t>
      </w:r>
      <w:r w:rsidRPr="001569FB">
        <w:rPr>
          <w:szCs w:val="24"/>
        </w:rPr>
        <w:t>CMS</w:t>
      </w:r>
      <w:r w:rsidR="00F43E22" w:rsidRPr="001569FB">
        <w:rPr>
          <w:szCs w:val="24"/>
        </w:rPr>
        <w:t>-</w:t>
      </w:r>
      <w:r w:rsidRPr="001569FB">
        <w:rPr>
          <w:szCs w:val="24"/>
        </w:rPr>
        <w:t>4173</w:t>
      </w:r>
      <w:r w:rsidR="00F43E22" w:rsidRPr="001569FB">
        <w:rPr>
          <w:szCs w:val="24"/>
        </w:rPr>
        <w:t>-</w:t>
      </w:r>
      <w:r w:rsidRPr="001569FB">
        <w:rPr>
          <w:szCs w:val="24"/>
        </w:rPr>
        <w:t>F)</w:t>
      </w:r>
      <w:r w:rsidR="00F43E22" w:rsidRPr="001569FB">
        <w:rPr>
          <w:szCs w:val="24"/>
        </w:rPr>
        <w:t xml:space="preserve"> (</w:t>
      </w:r>
      <w:r w:rsidR="00F43E22" w:rsidRPr="001569FB">
        <w:rPr>
          <w:color w:val="000000"/>
          <w:szCs w:val="24"/>
        </w:rPr>
        <w:t>78 FR 31284)</w:t>
      </w:r>
      <w:r w:rsidRPr="001569FB">
        <w:rPr>
          <w:szCs w:val="24"/>
        </w:rPr>
        <w:t xml:space="preserve">, CMS finalized the requirements for calculating the Medicare MLR at 42 CFR </w:t>
      </w:r>
      <w:r w:rsidR="00B92D7B" w:rsidRPr="001569FB">
        <w:rPr>
          <w:szCs w:val="24"/>
        </w:rPr>
        <w:t xml:space="preserve">§§ </w:t>
      </w:r>
      <w:r w:rsidRPr="001569FB">
        <w:rPr>
          <w:szCs w:val="24"/>
        </w:rPr>
        <w:t>422.2400 through 422.2480 and 4</w:t>
      </w:r>
      <w:r w:rsidR="00CA0936" w:rsidRPr="001569FB">
        <w:rPr>
          <w:szCs w:val="24"/>
        </w:rPr>
        <w:t>2</w:t>
      </w:r>
      <w:r w:rsidRPr="001569FB">
        <w:rPr>
          <w:szCs w:val="24"/>
        </w:rPr>
        <w:t xml:space="preserve"> CFR </w:t>
      </w:r>
      <w:r w:rsidR="00B92D7B" w:rsidRPr="001569FB">
        <w:rPr>
          <w:szCs w:val="24"/>
        </w:rPr>
        <w:t xml:space="preserve">§§ </w:t>
      </w:r>
      <w:r w:rsidRPr="001569FB">
        <w:rPr>
          <w:szCs w:val="24"/>
        </w:rPr>
        <w:t>423.2400 through 423.2480</w:t>
      </w:r>
      <w:r w:rsidR="008C599C" w:rsidRPr="001569FB">
        <w:rPr>
          <w:szCs w:val="24"/>
        </w:rPr>
        <w:t>, including</w:t>
      </w:r>
      <w:r w:rsidRPr="001569FB">
        <w:rPr>
          <w:szCs w:val="24"/>
        </w:rPr>
        <w:t xml:space="preserve"> application of credibility adjustments at §</w:t>
      </w:r>
      <w:r w:rsidR="00B92D7B" w:rsidRPr="001569FB">
        <w:rPr>
          <w:szCs w:val="24"/>
        </w:rPr>
        <w:t>§</w:t>
      </w:r>
      <w:r w:rsidRPr="001569FB">
        <w:rPr>
          <w:szCs w:val="24"/>
        </w:rPr>
        <w:t xml:space="preserve"> 422.2440 and 423.2440, which </w:t>
      </w:r>
      <w:r w:rsidR="006D2BAE" w:rsidRPr="001569FB">
        <w:rPr>
          <w:szCs w:val="24"/>
        </w:rPr>
        <w:t>provide that CMS will define and publish definitions of partial credibility, full credibility, and non-credibility and the credibility factors through the</w:t>
      </w:r>
      <w:r w:rsidR="00A66353" w:rsidRPr="001569FB">
        <w:rPr>
          <w:szCs w:val="24"/>
        </w:rPr>
        <w:t xml:space="preserve"> annual</w:t>
      </w:r>
      <w:r w:rsidR="006D2BAE" w:rsidRPr="001569FB">
        <w:rPr>
          <w:szCs w:val="24"/>
        </w:rPr>
        <w:t xml:space="preserve"> notice and comment process of publishing the Advance Notice and Final Rate Announcement.</w:t>
      </w:r>
    </w:p>
    <w:p w14:paraId="28399A2A" w14:textId="69EF0362" w:rsidR="00CE35E8" w:rsidRPr="001569FB" w:rsidRDefault="00F43E22" w:rsidP="00E746B1">
      <w:pPr>
        <w:spacing w:before="200" w:after="200"/>
        <w:rPr>
          <w:rFonts w:eastAsiaTheme="minorHAnsi"/>
          <w:szCs w:val="24"/>
        </w:rPr>
      </w:pPr>
      <w:r w:rsidRPr="001569FB">
        <w:rPr>
          <w:rFonts w:eastAsiaTheme="minorHAnsi"/>
          <w:szCs w:val="24"/>
        </w:rPr>
        <w:t>In</w:t>
      </w:r>
      <w:r w:rsidR="007B797C" w:rsidRPr="001569FB">
        <w:rPr>
          <w:rFonts w:eastAsiaTheme="minorHAnsi"/>
          <w:szCs w:val="24"/>
        </w:rPr>
        <w:t xml:space="preserve"> the </w:t>
      </w:r>
      <w:r w:rsidRPr="001569FB">
        <w:rPr>
          <w:rFonts w:eastAsiaTheme="minorHAnsi"/>
          <w:szCs w:val="24"/>
        </w:rPr>
        <w:t xml:space="preserve">Medicare MLR </w:t>
      </w:r>
      <w:r w:rsidR="007B797C" w:rsidRPr="001569FB">
        <w:rPr>
          <w:rFonts w:eastAsiaTheme="minorHAnsi"/>
          <w:szCs w:val="24"/>
        </w:rPr>
        <w:t>final rule</w:t>
      </w:r>
      <w:r w:rsidRPr="001569FB">
        <w:rPr>
          <w:rFonts w:eastAsiaTheme="minorHAnsi"/>
          <w:szCs w:val="24"/>
        </w:rPr>
        <w:t xml:space="preserve"> at 78 FR </w:t>
      </w:r>
      <w:r w:rsidR="00F25335" w:rsidRPr="001569FB">
        <w:rPr>
          <w:rFonts w:eastAsiaTheme="minorHAnsi"/>
          <w:szCs w:val="24"/>
        </w:rPr>
        <w:t>3</w:t>
      </w:r>
      <w:r w:rsidRPr="001569FB">
        <w:rPr>
          <w:rFonts w:eastAsiaTheme="minorHAnsi"/>
          <w:szCs w:val="24"/>
        </w:rPr>
        <w:t>1295</w:t>
      </w:r>
      <w:r w:rsidR="007B797C" w:rsidRPr="001569FB">
        <w:rPr>
          <w:rFonts w:eastAsiaTheme="minorHAnsi"/>
          <w:szCs w:val="24"/>
        </w:rPr>
        <w:t xml:space="preserve">, we published two </w:t>
      </w:r>
      <w:r w:rsidRPr="001569FB">
        <w:rPr>
          <w:rFonts w:eastAsiaTheme="minorHAnsi"/>
          <w:szCs w:val="24"/>
        </w:rPr>
        <w:t>sets</w:t>
      </w:r>
      <w:r w:rsidR="007B797C" w:rsidRPr="001569FB">
        <w:rPr>
          <w:rFonts w:eastAsiaTheme="minorHAnsi"/>
          <w:szCs w:val="24"/>
        </w:rPr>
        <w:t xml:space="preserve"> of credibility </w:t>
      </w:r>
      <w:r w:rsidRPr="001569FB">
        <w:rPr>
          <w:rFonts w:eastAsiaTheme="minorHAnsi"/>
          <w:szCs w:val="24"/>
        </w:rPr>
        <w:t>adjustments</w:t>
      </w:r>
      <w:r w:rsidR="007B797C" w:rsidRPr="001569FB">
        <w:rPr>
          <w:rFonts w:eastAsiaTheme="minorHAnsi"/>
          <w:szCs w:val="24"/>
        </w:rPr>
        <w:t xml:space="preserve">: </w:t>
      </w:r>
      <w:r w:rsidR="007B797C" w:rsidRPr="001569FB">
        <w:rPr>
          <w:szCs w:val="24"/>
        </w:rPr>
        <w:t xml:space="preserve"> </w:t>
      </w:r>
      <w:r w:rsidRPr="001569FB">
        <w:rPr>
          <w:szCs w:val="24"/>
        </w:rPr>
        <w:t xml:space="preserve">one for MA-PD contracts and one for Part D stand-alone contracts.  </w:t>
      </w:r>
      <w:r w:rsidR="007907D9" w:rsidRPr="001569FB">
        <w:rPr>
          <w:szCs w:val="24"/>
        </w:rPr>
        <w:t xml:space="preserve">For </w:t>
      </w:r>
      <w:r w:rsidRPr="001569FB">
        <w:rPr>
          <w:rFonts w:eastAsiaTheme="minorHAnsi"/>
          <w:szCs w:val="24"/>
        </w:rPr>
        <w:t xml:space="preserve">CY </w:t>
      </w:r>
      <w:r w:rsidR="00C91C54" w:rsidRPr="001569FB">
        <w:rPr>
          <w:rFonts w:eastAsiaTheme="minorHAnsi"/>
          <w:szCs w:val="24"/>
        </w:rPr>
        <w:t>2019</w:t>
      </w:r>
      <w:r w:rsidRPr="001569FB">
        <w:rPr>
          <w:rFonts w:eastAsiaTheme="minorHAnsi"/>
          <w:szCs w:val="24"/>
        </w:rPr>
        <w:t xml:space="preserve">, we are not </w:t>
      </w:r>
      <w:r w:rsidRPr="001569FB">
        <w:rPr>
          <w:szCs w:val="24"/>
        </w:rPr>
        <w:t>proposing</w:t>
      </w:r>
      <w:r w:rsidRPr="001569FB">
        <w:rPr>
          <w:rFonts w:eastAsiaTheme="minorHAnsi"/>
          <w:szCs w:val="24"/>
        </w:rPr>
        <w:t xml:space="preserve"> any </w:t>
      </w:r>
      <w:r w:rsidRPr="001569FB">
        <w:rPr>
          <w:szCs w:val="24"/>
        </w:rPr>
        <w:t>changes</w:t>
      </w:r>
      <w:r w:rsidRPr="001569FB">
        <w:rPr>
          <w:rFonts w:eastAsiaTheme="minorHAnsi"/>
          <w:szCs w:val="24"/>
        </w:rPr>
        <w:t xml:space="preserve"> to the credibility adjustments for MA-PD and Part D stand-alone </w:t>
      </w:r>
      <w:r w:rsidR="00A66353" w:rsidRPr="001569FB">
        <w:rPr>
          <w:rFonts w:eastAsiaTheme="minorHAnsi"/>
          <w:szCs w:val="24"/>
        </w:rPr>
        <w:t xml:space="preserve">contracts </w:t>
      </w:r>
      <w:r w:rsidRPr="001569FB">
        <w:rPr>
          <w:rFonts w:eastAsiaTheme="minorHAnsi"/>
          <w:szCs w:val="24"/>
        </w:rPr>
        <w:t xml:space="preserve">published in the final rule.  The applicable credibility adjustments </w:t>
      </w:r>
      <w:r w:rsidR="00AE3BF9" w:rsidRPr="001569FB">
        <w:rPr>
          <w:rFonts w:eastAsiaTheme="minorHAnsi"/>
          <w:szCs w:val="24"/>
        </w:rPr>
        <w:t xml:space="preserve">would remain as </w:t>
      </w:r>
      <w:r w:rsidRPr="001569FB">
        <w:rPr>
          <w:rFonts w:eastAsiaTheme="minorHAnsi"/>
          <w:szCs w:val="24"/>
        </w:rPr>
        <w:t>provided below in Table II-</w:t>
      </w:r>
      <w:r w:rsidR="00474FF7" w:rsidRPr="001569FB">
        <w:rPr>
          <w:rFonts w:eastAsiaTheme="minorHAnsi"/>
          <w:szCs w:val="24"/>
        </w:rPr>
        <w:t xml:space="preserve">10 </w:t>
      </w:r>
      <w:r w:rsidRPr="001569FB">
        <w:rPr>
          <w:rFonts w:eastAsiaTheme="minorHAnsi"/>
          <w:szCs w:val="24"/>
        </w:rPr>
        <w:t>and Table II-</w:t>
      </w:r>
      <w:r w:rsidR="00474FF7" w:rsidRPr="001569FB">
        <w:rPr>
          <w:rFonts w:eastAsiaTheme="minorHAnsi"/>
          <w:szCs w:val="24"/>
        </w:rPr>
        <w:t>11</w:t>
      </w:r>
      <w:r w:rsidRPr="001569FB">
        <w:rPr>
          <w:rFonts w:eastAsiaTheme="minorHAnsi"/>
          <w:szCs w:val="24"/>
        </w:rPr>
        <w:t>.</w:t>
      </w:r>
      <w:r w:rsidR="00CE35E8" w:rsidRPr="001569FB">
        <w:rPr>
          <w:rFonts w:eastAsiaTheme="minorHAnsi"/>
          <w:szCs w:val="24"/>
        </w:rPr>
        <w:t xml:space="preserve"> </w:t>
      </w:r>
    </w:p>
    <w:p w14:paraId="44DC0809" w14:textId="1161C6F5" w:rsidR="00F43E22" w:rsidRPr="001569FB" w:rsidRDefault="00F43E22" w:rsidP="00C54A29">
      <w:pPr>
        <w:pStyle w:val="TableTitle0"/>
        <w:ind w:left="2430" w:right="2430"/>
        <w:rPr>
          <w:szCs w:val="24"/>
        </w:rPr>
      </w:pPr>
      <w:r w:rsidRPr="001569FB">
        <w:rPr>
          <w:szCs w:val="24"/>
        </w:rPr>
        <w:lastRenderedPageBreak/>
        <w:t>Table II-</w:t>
      </w:r>
      <w:r w:rsidR="00474FF7" w:rsidRPr="001569FB">
        <w:rPr>
          <w:szCs w:val="24"/>
        </w:rPr>
        <w:t>10</w:t>
      </w:r>
      <w:r w:rsidRPr="001569FB">
        <w:rPr>
          <w:szCs w:val="24"/>
        </w:rPr>
        <w:t>.  MLR Credibility Adjustments for MA-PD Contracts</w:t>
      </w:r>
    </w:p>
    <w:tbl>
      <w:tblPr>
        <w:tblStyle w:val="TableGrid"/>
        <w:tblW w:w="4585" w:type="dxa"/>
        <w:jc w:val="center"/>
        <w:tblLayout w:type="fixed"/>
        <w:tblLook w:val="04A0" w:firstRow="1" w:lastRow="0" w:firstColumn="1" w:lastColumn="0" w:noHBand="0" w:noVBand="1"/>
      </w:tblPr>
      <w:tblGrid>
        <w:gridCol w:w="1952"/>
        <w:gridCol w:w="2633"/>
      </w:tblGrid>
      <w:tr w:rsidR="00F43E22" w:rsidRPr="001569FB" w14:paraId="3F353E55" w14:textId="77777777" w:rsidTr="00C54A29">
        <w:trPr>
          <w:cantSplit/>
          <w:trHeight w:val="314"/>
          <w:tblHeader/>
          <w:jc w:val="center"/>
        </w:trPr>
        <w:tc>
          <w:tcPr>
            <w:tcW w:w="1952" w:type="dxa"/>
            <w:shd w:val="clear" w:color="auto" w:fill="DDD9C3"/>
            <w:vAlign w:val="bottom"/>
            <w:hideMark/>
          </w:tcPr>
          <w:p w14:paraId="482D25C0"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bottom"/>
            <w:hideMark/>
          </w:tcPr>
          <w:p w14:paraId="070E007C"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0C7BAB8" w14:textId="77777777" w:rsidTr="00C54A29">
        <w:trPr>
          <w:cantSplit/>
          <w:trHeight w:val="285"/>
          <w:jc w:val="center"/>
        </w:trPr>
        <w:tc>
          <w:tcPr>
            <w:tcW w:w="1952" w:type="dxa"/>
            <w:noWrap/>
            <w:vAlign w:val="bottom"/>
            <w:hideMark/>
          </w:tcPr>
          <w:p w14:paraId="78A51FF0" w14:textId="77777777" w:rsidR="00F43E22" w:rsidRPr="001569FB" w:rsidRDefault="00F43E22" w:rsidP="00C54A29">
            <w:pPr>
              <w:keepNext/>
              <w:keepLines/>
              <w:jc w:val="center"/>
              <w:rPr>
                <w:rFonts w:eastAsiaTheme="minorHAnsi"/>
                <w:szCs w:val="24"/>
              </w:rPr>
            </w:pPr>
            <w:r w:rsidRPr="001569FB">
              <w:rPr>
                <w:rFonts w:eastAsiaTheme="minorHAnsi"/>
                <w:szCs w:val="24"/>
              </w:rPr>
              <w:t>&lt; 2,400</w:t>
            </w:r>
          </w:p>
        </w:tc>
        <w:tc>
          <w:tcPr>
            <w:tcW w:w="2633" w:type="dxa"/>
            <w:noWrap/>
            <w:vAlign w:val="bottom"/>
            <w:hideMark/>
          </w:tcPr>
          <w:p w14:paraId="71C72AF4"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271EADEC" w14:textId="77777777" w:rsidTr="00C54A29">
        <w:trPr>
          <w:cantSplit/>
          <w:trHeight w:val="285"/>
          <w:jc w:val="center"/>
        </w:trPr>
        <w:tc>
          <w:tcPr>
            <w:tcW w:w="1952" w:type="dxa"/>
            <w:noWrap/>
            <w:vAlign w:val="bottom"/>
            <w:hideMark/>
          </w:tcPr>
          <w:p w14:paraId="0952E3DD" w14:textId="77777777" w:rsidR="00F43E22" w:rsidRPr="001569FB" w:rsidRDefault="00F43E22" w:rsidP="00C54A29">
            <w:pPr>
              <w:keepNext/>
              <w:keepLines/>
              <w:jc w:val="center"/>
              <w:rPr>
                <w:rFonts w:eastAsiaTheme="minorHAnsi"/>
                <w:szCs w:val="24"/>
              </w:rPr>
            </w:pPr>
            <w:r w:rsidRPr="001569FB">
              <w:rPr>
                <w:rFonts w:eastAsiaTheme="minorHAnsi"/>
                <w:szCs w:val="24"/>
              </w:rPr>
              <w:t>2,400</w:t>
            </w:r>
          </w:p>
        </w:tc>
        <w:tc>
          <w:tcPr>
            <w:tcW w:w="2633" w:type="dxa"/>
            <w:noWrap/>
            <w:vAlign w:val="bottom"/>
            <w:hideMark/>
          </w:tcPr>
          <w:p w14:paraId="4BFC3F8C"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2E8FFC95" w14:textId="77777777" w:rsidTr="00C54A29">
        <w:trPr>
          <w:cantSplit/>
          <w:trHeight w:val="285"/>
          <w:jc w:val="center"/>
        </w:trPr>
        <w:tc>
          <w:tcPr>
            <w:tcW w:w="1952" w:type="dxa"/>
            <w:noWrap/>
            <w:vAlign w:val="bottom"/>
            <w:hideMark/>
          </w:tcPr>
          <w:p w14:paraId="5F03009D" w14:textId="77777777" w:rsidR="00F43E22" w:rsidRPr="001569FB" w:rsidRDefault="00F43E22" w:rsidP="00C54A29">
            <w:pPr>
              <w:keepNext/>
              <w:keepLines/>
              <w:jc w:val="center"/>
              <w:rPr>
                <w:rFonts w:eastAsiaTheme="minorHAnsi"/>
                <w:szCs w:val="24"/>
              </w:rPr>
            </w:pPr>
            <w:r w:rsidRPr="001569FB">
              <w:rPr>
                <w:rFonts w:eastAsiaTheme="minorHAnsi"/>
                <w:szCs w:val="24"/>
              </w:rPr>
              <w:t>6,000</w:t>
            </w:r>
          </w:p>
        </w:tc>
        <w:tc>
          <w:tcPr>
            <w:tcW w:w="2633" w:type="dxa"/>
            <w:noWrap/>
            <w:vAlign w:val="bottom"/>
            <w:hideMark/>
          </w:tcPr>
          <w:p w14:paraId="113B64A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6D329605" w14:textId="77777777" w:rsidTr="00C54A29">
        <w:trPr>
          <w:cantSplit/>
          <w:trHeight w:val="285"/>
          <w:jc w:val="center"/>
        </w:trPr>
        <w:tc>
          <w:tcPr>
            <w:tcW w:w="1952" w:type="dxa"/>
            <w:noWrap/>
            <w:vAlign w:val="bottom"/>
            <w:hideMark/>
          </w:tcPr>
          <w:p w14:paraId="64D9AB48"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0D8CCA1E"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FC405F0" w14:textId="77777777" w:rsidTr="00C54A29">
        <w:trPr>
          <w:cantSplit/>
          <w:trHeight w:val="285"/>
          <w:jc w:val="center"/>
        </w:trPr>
        <w:tc>
          <w:tcPr>
            <w:tcW w:w="1952" w:type="dxa"/>
            <w:noWrap/>
            <w:vAlign w:val="bottom"/>
            <w:hideMark/>
          </w:tcPr>
          <w:p w14:paraId="48B235B4"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77C305D7"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486DCF2" w14:textId="77777777" w:rsidTr="00C54A29">
        <w:trPr>
          <w:cantSplit/>
          <w:trHeight w:val="285"/>
          <w:jc w:val="center"/>
        </w:trPr>
        <w:tc>
          <w:tcPr>
            <w:tcW w:w="1952" w:type="dxa"/>
            <w:noWrap/>
            <w:vAlign w:val="bottom"/>
          </w:tcPr>
          <w:p w14:paraId="6E249357" w14:textId="77777777" w:rsidR="00F43E22" w:rsidRPr="001569FB" w:rsidRDefault="00F43E22" w:rsidP="00C54A29">
            <w:pPr>
              <w:keepNext/>
              <w:keepLines/>
              <w:jc w:val="center"/>
              <w:rPr>
                <w:rFonts w:eastAsiaTheme="minorHAnsi"/>
                <w:szCs w:val="24"/>
              </w:rPr>
            </w:pPr>
            <w:r w:rsidRPr="001569FB">
              <w:rPr>
                <w:rFonts w:eastAsiaTheme="minorHAnsi"/>
                <w:szCs w:val="24"/>
              </w:rPr>
              <w:t>60,000</w:t>
            </w:r>
          </w:p>
        </w:tc>
        <w:tc>
          <w:tcPr>
            <w:tcW w:w="2633" w:type="dxa"/>
            <w:noWrap/>
            <w:vAlign w:val="bottom"/>
          </w:tcPr>
          <w:p w14:paraId="0C355191"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3C58400C" w14:textId="77777777" w:rsidTr="00C54A29">
        <w:trPr>
          <w:cantSplit/>
          <w:trHeight w:val="285"/>
          <w:jc w:val="center"/>
        </w:trPr>
        <w:tc>
          <w:tcPr>
            <w:tcW w:w="1952" w:type="dxa"/>
            <w:noWrap/>
            <w:vAlign w:val="bottom"/>
          </w:tcPr>
          <w:p w14:paraId="74D735BC"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F355704"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7178B98" w14:textId="77777777" w:rsidTr="00C54A29">
        <w:trPr>
          <w:cantSplit/>
          <w:trHeight w:val="285"/>
          <w:jc w:val="center"/>
        </w:trPr>
        <w:tc>
          <w:tcPr>
            <w:tcW w:w="1952" w:type="dxa"/>
            <w:noWrap/>
            <w:vAlign w:val="bottom"/>
          </w:tcPr>
          <w:p w14:paraId="209DCF1F" w14:textId="77777777" w:rsidR="00F43E22" w:rsidRPr="001569FB" w:rsidRDefault="00F43E22" w:rsidP="00C54A29">
            <w:pPr>
              <w:keepNext/>
              <w:keepLines/>
              <w:jc w:val="center"/>
              <w:rPr>
                <w:rFonts w:eastAsiaTheme="minorHAnsi"/>
                <w:szCs w:val="24"/>
              </w:rPr>
            </w:pPr>
            <w:r w:rsidRPr="001569FB">
              <w:rPr>
                <w:rFonts w:eastAsiaTheme="minorHAnsi"/>
                <w:szCs w:val="24"/>
              </w:rPr>
              <w:t>180,000</w:t>
            </w:r>
          </w:p>
        </w:tc>
        <w:tc>
          <w:tcPr>
            <w:tcW w:w="2633" w:type="dxa"/>
            <w:noWrap/>
            <w:vAlign w:val="bottom"/>
          </w:tcPr>
          <w:p w14:paraId="611FAC08"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5339071C" w14:textId="77777777" w:rsidTr="00C54A29">
        <w:trPr>
          <w:cantSplit/>
          <w:trHeight w:val="332"/>
          <w:jc w:val="center"/>
        </w:trPr>
        <w:tc>
          <w:tcPr>
            <w:tcW w:w="1952" w:type="dxa"/>
            <w:noWrap/>
            <w:vAlign w:val="bottom"/>
          </w:tcPr>
          <w:p w14:paraId="7D531424"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180,000</w:t>
            </w:r>
          </w:p>
        </w:tc>
        <w:tc>
          <w:tcPr>
            <w:tcW w:w="2633" w:type="dxa"/>
            <w:noWrap/>
            <w:vAlign w:val="bottom"/>
          </w:tcPr>
          <w:p w14:paraId="7738A5AE" w14:textId="77777777" w:rsidR="00F43E22" w:rsidRPr="001569FB" w:rsidRDefault="00F43E22" w:rsidP="006E473C">
            <w:pPr>
              <w:jc w:val="center"/>
              <w:rPr>
                <w:rFonts w:eastAsiaTheme="minorHAnsi"/>
                <w:szCs w:val="24"/>
              </w:rPr>
            </w:pPr>
            <w:r w:rsidRPr="001569FB">
              <w:rPr>
                <w:rFonts w:eastAsiaTheme="minorHAnsi"/>
                <w:szCs w:val="24"/>
              </w:rPr>
              <w:t>Fully credible</w:t>
            </w:r>
          </w:p>
        </w:tc>
      </w:tr>
    </w:tbl>
    <w:p w14:paraId="4DD2A399" w14:textId="6F1A5E3F" w:rsidR="00F43E22" w:rsidRPr="001569FB" w:rsidRDefault="00F43E22" w:rsidP="00C54A29">
      <w:pPr>
        <w:pStyle w:val="TableTitle0"/>
        <w:ind w:left="2430" w:right="2430"/>
        <w:rPr>
          <w:szCs w:val="24"/>
        </w:rPr>
      </w:pPr>
      <w:r w:rsidRPr="001569FB">
        <w:rPr>
          <w:szCs w:val="24"/>
        </w:rPr>
        <w:t>Table II-</w:t>
      </w:r>
      <w:r w:rsidR="00474FF7" w:rsidRPr="001569FB">
        <w:rPr>
          <w:szCs w:val="24"/>
        </w:rPr>
        <w:t>11</w:t>
      </w:r>
      <w:r w:rsidRPr="001569FB">
        <w:rPr>
          <w:szCs w:val="24"/>
        </w:rPr>
        <w:t>.  MLR Credibility Adjustments for Part D Stand-Alone Contracts</w:t>
      </w:r>
    </w:p>
    <w:tbl>
      <w:tblPr>
        <w:tblStyle w:val="TableGrid"/>
        <w:tblW w:w="4585" w:type="dxa"/>
        <w:jc w:val="center"/>
        <w:tblLook w:val="04A0" w:firstRow="1" w:lastRow="0" w:firstColumn="1" w:lastColumn="0" w:noHBand="0" w:noVBand="1"/>
      </w:tblPr>
      <w:tblGrid>
        <w:gridCol w:w="1952"/>
        <w:gridCol w:w="2633"/>
      </w:tblGrid>
      <w:tr w:rsidR="00F43E22" w:rsidRPr="001569FB" w14:paraId="26D228BA" w14:textId="77777777" w:rsidTr="00C54A29">
        <w:trPr>
          <w:cantSplit/>
          <w:trHeight w:val="350"/>
          <w:tblHeader/>
          <w:jc w:val="center"/>
        </w:trPr>
        <w:tc>
          <w:tcPr>
            <w:tcW w:w="1952" w:type="dxa"/>
            <w:shd w:val="clear" w:color="auto" w:fill="DDD9C3"/>
            <w:vAlign w:val="center"/>
            <w:hideMark/>
          </w:tcPr>
          <w:p w14:paraId="24DB0A09"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center"/>
            <w:hideMark/>
          </w:tcPr>
          <w:p w14:paraId="021CD2DD"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1B5C9CA" w14:textId="77777777" w:rsidTr="00C54A29">
        <w:trPr>
          <w:cantSplit/>
          <w:trHeight w:val="285"/>
          <w:jc w:val="center"/>
        </w:trPr>
        <w:tc>
          <w:tcPr>
            <w:tcW w:w="1952" w:type="dxa"/>
            <w:noWrap/>
            <w:vAlign w:val="bottom"/>
            <w:hideMark/>
          </w:tcPr>
          <w:p w14:paraId="67712323" w14:textId="77777777" w:rsidR="00F43E22" w:rsidRPr="001569FB" w:rsidRDefault="00F43E22" w:rsidP="00C54A29">
            <w:pPr>
              <w:keepNext/>
              <w:keepLines/>
              <w:jc w:val="center"/>
              <w:rPr>
                <w:rFonts w:eastAsiaTheme="minorHAnsi"/>
                <w:szCs w:val="24"/>
              </w:rPr>
            </w:pPr>
            <w:r w:rsidRPr="001569FB">
              <w:rPr>
                <w:rFonts w:eastAsiaTheme="minorHAnsi"/>
                <w:szCs w:val="24"/>
              </w:rPr>
              <w:t>&lt; 4,800</w:t>
            </w:r>
          </w:p>
        </w:tc>
        <w:tc>
          <w:tcPr>
            <w:tcW w:w="2633" w:type="dxa"/>
            <w:noWrap/>
            <w:vAlign w:val="bottom"/>
            <w:hideMark/>
          </w:tcPr>
          <w:p w14:paraId="7A5DF610"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1D1D664C" w14:textId="77777777" w:rsidTr="00C54A29">
        <w:trPr>
          <w:cantSplit/>
          <w:trHeight w:val="285"/>
          <w:jc w:val="center"/>
        </w:trPr>
        <w:tc>
          <w:tcPr>
            <w:tcW w:w="1952" w:type="dxa"/>
            <w:noWrap/>
            <w:vAlign w:val="bottom"/>
            <w:hideMark/>
          </w:tcPr>
          <w:p w14:paraId="360AF52B" w14:textId="77777777" w:rsidR="00F43E22" w:rsidRPr="001569FB" w:rsidRDefault="00F43E22" w:rsidP="00C54A29">
            <w:pPr>
              <w:keepNext/>
              <w:keepLines/>
              <w:jc w:val="center"/>
              <w:rPr>
                <w:rFonts w:eastAsiaTheme="minorHAnsi"/>
                <w:szCs w:val="24"/>
              </w:rPr>
            </w:pPr>
            <w:r w:rsidRPr="001569FB">
              <w:rPr>
                <w:rFonts w:eastAsiaTheme="minorHAnsi"/>
                <w:szCs w:val="24"/>
              </w:rPr>
              <w:t>4,800</w:t>
            </w:r>
          </w:p>
        </w:tc>
        <w:tc>
          <w:tcPr>
            <w:tcW w:w="2633" w:type="dxa"/>
            <w:noWrap/>
            <w:vAlign w:val="bottom"/>
            <w:hideMark/>
          </w:tcPr>
          <w:p w14:paraId="5D6C4199"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05AC66C8" w14:textId="77777777" w:rsidTr="00C54A29">
        <w:trPr>
          <w:cantSplit/>
          <w:trHeight w:val="285"/>
          <w:jc w:val="center"/>
        </w:trPr>
        <w:tc>
          <w:tcPr>
            <w:tcW w:w="1952" w:type="dxa"/>
            <w:noWrap/>
            <w:vAlign w:val="bottom"/>
            <w:hideMark/>
          </w:tcPr>
          <w:p w14:paraId="0BEA31AD"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328078F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266C5AA8" w14:textId="77777777" w:rsidTr="00C54A29">
        <w:trPr>
          <w:cantSplit/>
          <w:trHeight w:val="285"/>
          <w:jc w:val="center"/>
        </w:trPr>
        <w:tc>
          <w:tcPr>
            <w:tcW w:w="1952" w:type="dxa"/>
            <w:noWrap/>
            <w:vAlign w:val="bottom"/>
            <w:hideMark/>
          </w:tcPr>
          <w:p w14:paraId="41EFC718"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26B5C5A7"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733754D" w14:textId="77777777" w:rsidTr="00C54A29">
        <w:trPr>
          <w:cantSplit/>
          <w:trHeight w:val="285"/>
          <w:jc w:val="center"/>
        </w:trPr>
        <w:tc>
          <w:tcPr>
            <w:tcW w:w="1952" w:type="dxa"/>
            <w:noWrap/>
            <w:vAlign w:val="bottom"/>
            <w:hideMark/>
          </w:tcPr>
          <w:p w14:paraId="25DEA158" w14:textId="77777777" w:rsidR="00F43E22" w:rsidRPr="001569FB" w:rsidRDefault="00F43E22" w:rsidP="00C54A29">
            <w:pPr>
              <w:keepNext/>
              <w:keepLines/>
              <w:jc w:val="center"/>
              <w:rPr>
                <w:rFonts w:eastAsiaTheme="minorHAnsi"/>
                <w:szCs w:val="24"/>
              </w:rPr>
            </w:pPr>
            <w:r w:rsidRPr="001569FB">
              <w:rPr>
                <w:rFonts w:eastAsiaTheme="minorHAnsi"/>
                <w:szCs w:val="24"/>
              </w:rPr>
              <w:t>48,000</w:t>
            </w:r>
          </w:p>
        </w:tc>
        <w:tc>
          <w:tcPr>
            <w:tcW w:w="2633" w:type="dxa"/>
            <w:noWrap/>
            <w:vAlign w:val="bottom"/>
            <w:hideMark/>
          </w:tcPr>
          <w:p w14:paraId="68E07D4A"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574CED4" w14:textId="77777777" w:rsidTr="00C54A29">
        <w:trPr>
          <w:cantSplit/>
          <w:trHeight w:val="285"/>
          <w:jc w:val="center"/>
        </w:trPr>
        <w:tc>
          <w:tcPr>
            <w:tcW w:w="1952" w:type="dxa"/>
            <w:noWrap/>
            <w:vAlign w:val="bottom"/>
          </w:tcPr>
          <w:p w14:paraId="5C27B049"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9A2CBE3"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0FB13407" w14:textId="77777777" w:rsidTr="00C54A29">
        <w:trPr>
          <w:cantSplit/>
          <w:trHeight w:val="285"/>
          <w:jc w:val="center"/>
        </w:trPr>
        <w:tc>
          <w:tcPr>
            <w:tcW w:w="1952" w:type="dxa"/>
            <w:noWrap/>
            <w:vAlign w:val="bottom"/>
          </w:tcPr>
          <w:p w14:paraId="1D2F9587" w14:textId="77777777" w:rsidR="00F43E22" w:rsidRPr="001569FB" w:rsidRDefault="00F43E22" w:rsidP="00C54A29">
            <w:pPr>
              <w:keepNext/>
              <w:keepLines/>
              <w:jc w:val="center"/>
              <w:rPr>
                <w:rFonts w:eastAsiaTheme="minorHAnsi"/>
                <w:szCs w:val="24"/>
              </w:rPr>
            </w:pPr>
            <w:r w:rsidRPr="001569FB">
              <w:rPr>
                <w:rFonts w:eastAsiaTheme="minorHAnsi"/>
                <w:szCs w:val="24"/>
              </w:rPr>
              <w:t>240,000</w:t>
            </w:r>
          </w:p>
        </w:tc>
        <w:tc>
          <w:tcPr>
            <w:tcW w:w="2633" w:type="dxa"/>
            <w:noWrap/>
            <w:vAlign w:val="bottom"/>
          </w:tcPr>
          <w:p w14:paraId="45880EEB"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8C0C255" w14:textId="77777777" w:rsidTr="00C54A29">
        <w:trPr>
          <w:cantSplit/>
          <w:trHeight w:val="285"/>
          <w:jc w:val="center"/>
        </w:trPr>
        <w:tc>
          <w:tcPr>
            <w:tcW w:w="1952" w:type="dxa"/>
            <w:noWrap/>
            <w:vAlign w:val="bottom"/>
          </w:tcPr>
          <w:p w14:paraId="1C259E2D" w14:textId="77777777" w:rsidR="00F43E22" w:rsidRPr="001569FB" w:rsidRDefault="00F43E22" w:rsidP="00C54A29">
            <w:pPr>
              <w:keepNext/>
              <w:keepLines/>
              <w:jc w:val="center"/>
              <w:rPr>
                <w:rFonts w:eastAsiaTheme="minorHAnsi"/>
                <w:szCs w:val="24"/>
              </w:rPr>
            </w:pPr>
            <w:r w:rsidRPr="001569FB">
              <w:rPr>
                <w:rFonts w:eastAsiaTheme="minorHAnsi"/>
                <w:szCs w:val="24"/>
              </w:rPr>
              <w:t>360,000</w:t>
            </w:r>
          </w:p>
        </w:tc>
        <w:tc>
          <w:tcPr>
            <w:tcW w:w="2633" w:type="dxa"/>
            <w:noWrap/>
            <w:vAlign w:val="bottom"/>
          </w:tcPr>
          <w:p w14:paraId="6A31EF93"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41E616EE" w14:textId="77777777" w:rsidTr="00C54A29">
        <w:trPr>
          <w:cantSplit/>
          <w:trHeight w:val="285"/>
          <w:jc w:val="center"/>
        </w:trPr>
        <w:tc>
          <w:tcPr>
            <w:tcW w:w="1952" w:type="dxa"/>
            <w:noWrap/>
            <w:vAlign w:val="bottom"/>
          </w:tcPr>
          <w:p w14:paraId="35EBE7E2"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360,000</w:t>
            </w:r>
          </w:p>
        </w:tc>
        <w:tc>
          <w:tcPr>
            <w:tcW w:w="2633" w:type="dxa"/>
            <w:noWrap/>
            <w:vAlign w:val="bottom"/>
          </w:tcPr>
          <w:p w14:paraId="362B9B00" w14:textId="77777777" w:rsidR="00F43E22" w:rsidRPr="001569FB" w:rsidRDefault="00DB29BE" w:rsidP="006E473C">
            <w:pPr>
              <w:jc w:val="center"/>
              <w:rPr>
                <w:rFonts w:eastAsiaTheme="minorHAnsi"/>
                <w:szCs w:val="24"/>
              </w:rPr>
            </w:pPr>
            <w:r w:rsidRPr="001569FB">
              <w:rPr>
                <w:rFonts w:eastAsiaTheme="minorHAnsi"/>
                <w:szCs w:val="24"/>
              </w:rPr>
              <w:t>Fully credible</w:t>
            </w:r>
          </w:p>
        </w:tc>
      </w:tr>
    </w:tbl>
    <w:p w14:paraId="330A90B0" w14:textId="77777777" w:rsidR="008D0E49" w:rsidRPr="001569FB" w:rsidRDefault="008D0E49" w:rsidP="00E97F49">
      <w:pPr>
        <w:pStyle w:val="Heading2"/>
        <w:spacing w:before="360"/>
      </w:pPr>
      <w:bookmarkStart w:id="401" w:name="_Toc505253786"/>
      <w:r w:rsidRPr="001569FB">
        <w:t xml:space="preserve">Section </w:t>
      </w:r>
      <w:r w:rsidR="00881B21" w:rsidRPr="001569FB">
        <w:t>N</w:t>
      </w:r>
      <w:r w:rsidRPr="001569FB">
        <w:t xml:space="preserve">.  Encounter Data as a Diagnosis Source for </w:t>
      </w:r>
      <w:r w:rsidR="0002520C" w:rsidRPr="001569FB">
        <w:t>2019</w:t>
      </w:r>
      <w:bookmarkEnd w:id="401"/>
    </w:p>
    <w:p w14:paraId="375D7CD1" w14:textId="46290D7C" w:rsidR="0025712A" w:rsidRPr="001569FB" w:rsidRDefault="00346D95" w:rsidP="00AC1166">
      <w:pPr>
        <w:spacing w:before="200" w:after="200"/>
        <w:rPr>
          <w:szCs w:val="24"/>
        </w:rPr>
      </w:pPr>
      <w:r w:rsidRPr="001569FB">
        <w:rPr>
          <w:szCs w:val="24"/>
        </w:rPr>
        <w:t xml:space="preserve">On December </w:t>
      </w:r>
      <w:r w:rsidR="0007784F" w:rsidRPr="001569FB">
        <w:rPr>
          <w:szCs w:val="24"/>
        </w:rPr>
        <w:t>27</w:t>
      </w:r>
      <w:r w:rsidRPr="001569FB">
        <w:rPr>
          <w:szCs w:val="24"/>
        </w:rPr>
        <w:t>, 2017, CMS published for public comment the proposed Part C risk adjustment model</w:t>
      </w:r>
      <w:r w:rsidR="0027577C" w:rsidRPr="001569FB">
        <w:rPr>
          <w:szCs w:val="24"/>
        </w:rPr>
        <w:t>.</w:t>
      </w:r>
      <w:r w:rsidRPr="001569FB">
        <w:rPr>
          <w:szCs w:val="24"/>
        </w:rPr>
        <w:t xml:space="preserve">  Information regarding the use of encounter data as a diagnosis source for 2019 </w:t>
      </w:r>
      <w:r w:rsidR="002D17CA" w:rsidRPr="001569FB">
        <w:rPr>
          <w:szCs w:val="24"/>
        </w:rPr>
        <w:t xml:space="preserve">for payments </w:t>
      </w:r>
      <w:r w:rsidR="00C0289D" w:rsidRPr="001569FB">
        <w:rPr>
          <w:szCs w:val="24"/>
        </w:rPr>
        <w:t xml:space="preserve">for aged and disabled beneficiaries </w:t>
      </w:r>
      <w:r w:rsidR="002D17CA" w:rsidRPr="001569FB">
        <w:rPr>
          <w:szCs w:val="24"/>
        </w:rPr>
        <w:t xml:space="preserve">based on the CMS-HCC model and PACE model were </w:t>
      </w:r>
      <w:r w:rsidRPr="001569FB">
        <w:rPr>
          <w:szCs w:val="24"/>
        </w:rPr>
        <w:t xml:space="preserve">also included in the Part C notice. </w:t>
      </w:r>
      <w:r w:rsidR="007B6641" w:rsidRPr="001569FB">
        <w:rPr>
          <w:szCs w:val="24"/>
        </w:rPr>
        <w:t xml:space="preserve"> </w:t>
      </w:r>
      <w:r w:rsidRPr="001569FB">
        <w:rPr>
          <w:szCs w:val="24"/>
        </w:rPr>
        <w:t>As noted in that notice, all comments must be submitted to</w:t>
      </w:r>
      <w:r w:rsidR="00E74FEB" w:rsidRPr="001569FB">
        <w:rPr>
          <w:szCs w:val="24"/>
        </w:rPr>
        <w:t xml:space="preserve"> </w:t>
      </w:r>
      <w:hyperlink r:id="rId28" w:tooltip="Hyperlink to Regulations.gov website" w:history="1">
        <w:r w:rsidR="00D137B4" w:rsidRPr="001569FB">
          <w:rPr>
            <w:rStyle w:val="Hyperlink"/>
          </w:rPr>
          <w:t>www.regulations.gov</w:t>
        </w:r>
      </w:hyperlink>
      <w:r w:rsidR="00D137B4" w:rsidRPr="001569FB">
        <w:rPr>
          <w:szCs w:val="24"/>
        </w:rPr>
        <w:t xml:space="preserve">, enter the docket number “CMS-2017-0163” in the “Search” field, and follow the instructions for “submitting a comment” </w:t>
      </w:r>
      <w:r w:rsidR="00B16582" w:rsidRPr="001569FB">
        <w:rPr>
          <w:szCs w:val="24"/>
        </w:rPr>
        <w:t>no later than 6</w:t>
      </w:r>
      <w:r w:rsidR="002D7EDD" w:rsidRPr="001569FB">
        <w:rPr>
          <w:szCs w:val="24"/>
        </w:rPr>
        <w:t>:00 pm</w:t>
      </w:r>
      <w:r w:rsidR="00B16582" w:rsidRPr="001569FB">
        <w:rPr>
          <w:szCs w:val="24"/>
        </w:rPr>
        <w:t xml:space="preserve"> EST on </w:t>
      </w:r>
      <w:r w:rsidR="00376494" w:rsidRPr="001569FB">
        <w:rPr>
          <w:szCs w:val="24"/>
        </w:rPr>
        <w:t>Monday, March 5, 2018</w:t>
      </w:r>
      <w:r w:rsidR="00B16582" w:rsidRPr="001569FB">
        <w:rPr>
          <w:szCs w:val="24"/>
        </w:rPr>
        <w:t xml:space="preserve">, </w:t>
      </w:r>
      <w:r w:rsidRPr="001569FB">
        <w:rPr>
          <w:szCs w:val="24"/>
        </w:rPr>
        <w:t xml:space="preserve">so that they may be addressed in the 2019 Rate Announcement that will be released </w:t>
      </w:r>
      <w:r w:rsidR="00E74FEB" w:rsidRPr="001569FB">
        <w:rPr>
          <w:szCs w:val="24"/>
        </w:rPr>
        <w:t xml:space="preserve">no later than </w:t>
      </w:r>
      <w:r w:rsidRPr="001569FB">
        <w:rPr>
          <w:szCs w:val="24"/>
        </w:rPr>
        <w:t>April 2, 2018.</w:t>
      </w:r>
    </w:p>
    <w:p w14:paraId="188A1F57" w14:textId="3A62A2E0" w:rsidR="0002312B" w:rsidRPr="001569FB" w:rsidRDefault="0002312B" w:rsidP="0002312B">
      <w:pPr>
        <w:spacing w:before="200" w:after="200"/>
        <w:rPr>
          <w:szCs w:val="24"/>
        </w:rPr>
      </w:pPr>
      <w:r w:rsidRPr="001569FB">
        <w:rPr>
          <w:szCs w:val="24"/>
        </w:rPr>
        <w:t xml:space="preserve">For PY 2019, CMS </w:t>
      </w:r>
      <w:r w:rsidR="003D151E" w:rsidRPr="001569FB">
        <w:rPr>
          <w:szCs w:val="24"/>
        </w:rPr>
        <w:t xml:space="preserve">is also proposing </w:t>
      </w:r>
      <w:r w:rsidRPr="001569FB">
        <w:rPr>
          <w:szCs w:val="24"/>
        </w:rPr>
        <w:t xml:space="preserve">to blend risk scores calculated using the ESRD risk adjustment model by adding 25% of the risk score calculated with diagnoses from encounter data </w:t>
      </w:r>
      <w:r w:rsidR="00032620" w:rsidRPr="001569FB">
        <w:rPr>
          <w:szCs w:val="24"/>
        </w:rPr>
        <w:lastRenderedPageBreak/>
        <w:t xml:space="preserve">(supplemented with RAPS inpatient data) </w:t>
      </w:r>
      <w:r w:rsidRPr="001569FB">
        <w:rPr>
          <w:szCs w:val="24"/>
        </w:rPr>
        <w:t>and FFS with 75% of the risk score calculated with diagnoses from RAPS and FFS.</w:t>
      </w:r>
    </w:p>
    <w:p w14:paraId="05E1160A" w14:textId="77777777" w:rsidR="00AB7DEA" w:rsidRPr="001569FB" w:rsidRDefault="00AB7DEA" w:rsidP="00AB7DEA">
      <w:pPr>
        <w:pStyle w:val="Heading2"/>
      </w:pPr>
      <w:bookmarkStart w:id="402" w:name="_Toc505253787"/>
      <w:r w:rsidRPr="001569FB">
        <w:t>Section O.  Quality Payment Program</w:t>
      </w:r>
      <w:bookmarkEnd w:id="402"/>
    </w:p>
    <w:p w14:paraId="6325384D" w14:textId="750F3F84" w:rsidR="00E5152E" w:rsidRPr="001569FB" w:rsidRDefault="002D1495" w:rsidP="00E5152E">
      <w:pPr>
        <w:spacing w:before="200" w:after="200"/>
        <w:rPr>
          <w:rFonts w:eastAsia="Calibri"/>
          <w:szCs w:val="24"/>
        </w:rPr>
      </w:pPr>
      <w:r w:rsidRPr="001569FB">
        <w:rPr>
          <w:rFonts w:eastAsia="Calibri"/>
          <w:szCs w:val="24"/>
        </w:rPr>
        <w:t>The purpose of the Quality Payment Program, enacted by the MACRA statute, is to promote greater value in Part B payments to clinician</w:t>
      </w:r>
      <w:r w:rsidR="00792449" w:rsidRPr="001569FB">
        <w:rPr>
          <w:rFonts w:eastAsia="Calibri"/>
          <w:szCs w:val="24"/>
        </w:rPr>
        <w:t>s</w:t>
      </w:r>
      <w:r w:rsidRPr="001569FB">
        <w:rPr>
          <w:rFonts w:eastAsia="Calibri"/>
          <w:szCs w:val="24"/>
        </w:rPr>
        <w:t xml:space="preserve"> in the Medicare program.  Clinicians have two paths to choose from:  the Merit-Based Incentive System (MIPS); or Advanced Alternative Payment Models (Advanced APMs).  APMs are defined under section 1833(z)(3)(D) of the Act as a model under section 1115A of the Act (excluding a health care innovation award), the Medicare Shared Savings Program under section 1899 of the Act, a demonstration under section 1866C of the Act, or a demonstration required by federal law.  Advanced APMs are a subset of APMs that meet certain criteria including requiring participants to use certified EHR technology, providing for payment for covered professional services based on MIPS-comparable quality measures, and either requiring participants to bear greater than nominal financial risk for monetary losses or being a Medical Home Model expanded under CMS Innovation Center authority (414.1415).  Examples of Advanced APMs include certain tracks of the Medicare Shared Savings Program and Comprehensive Primary Care Plus (CPC+) Model.  By meeting threshold levels of participation in Advanced APMs (in terms of Part B payments or patient counts), eligible clinicians can become qualifying APM participants (QPs) for a year.  Eligible clinicians who are QPs for a year earn a lump sum 5% APM incentive payment and are excluded from the MIPS reporting requirements and payment adjustment.</w:t>
      </w:r>
    </w:p>
    <w:p w14:paraId="0F4451F6" w14:textId="2A42E37C" w:rsidR="00EB1C27" w:rsidRPr="001569FB" w:rsidRDefault="002D1495" w:rsidP="00E5152E">
      <w:pPr>
        <w:spacing w:before="200" w:after="200"/>
        <w:rPr>
          <w:rFonts w:eastAsia="Calibri"/>
          <w:szCs w:val="24"/>
        </w:rPr>
      </w:pPr>
      <w:r w:rsidRPr="001569FB">
        <w:rPr>
          <w:rFonts w:eastAsia="Calibri"/>
          <w:szCs w:val="24"/>
        </w:rPr>
        <w:t>For 2019, CMS will begin implementing an additional way for eligible clinicians to become QPs that considers their participation not only</w:t>
      </w:r>
      <w:r w:rsidR="00EC2570" w:rsidRPr="001569FB">
        <w:rPr>
          <w:rFonts w:eastAsia="Calibri"/>
          <w:szCs w:val="24"/>
        </w:rPr>
        <w:t xml:space="preserve"> in</w:t>
      </w:r>
      <w:r w:rsidRPr="001569FB">
        <w:rPr>
          <w:rFonts w:eastAsia="Calibri"/>
          <w:szCs w:val="24"/>
        </w:rPr>
        <w:t xml:space="preserve"> Advanced APMs, but also in innovative alternative payment arrangements through other payers such as Medicaid, Medicare Advantage and commercial payers (Other Payer Advanced APMs).  Beginning in 2019, eligible clinicians who participate in Advanced APMs but</w:t>
      </w:r>
      <w:r w:rsidR="004053D9" w:rsidRPr="001569FB">
        <w:rPr>
          <w:rFonts w:eastAsia="Calibri"/>
          <w:szCs w:val="24"/>
        </w:rPr>
        <w:t xml:space="preserve"> </w:t>
      </w:r>
      <w:r w:rsidRPr="001569FB">
        <w:rPr>
          <w:rFonts w:eastAsia="Calibri"/>
          <w:szCs w:val="24"/>
        </w:rPr>
        <w:t>do not meet the thresholds to become QPs on that basis will have the opportunity to qualify as QPs through the All-Payer Combination Option.  The All-Payer Combination Option takes into account eligible clinician participation in both Advanced APMs and in Other Payer Advanced APMs, which are non-Medicare payment arrangements that meet criteria similar to Advanced APMs (</w:t>
      </w:r>
      <w:r w:rsidR="006E1462" w:rsidRPr="001569FB">
        <w:rPr>
          <w:rFonts w:eastAsia="Calibri"/>
          <w:szCs w:val="24"/>
        </w:rPr>
        <w:t xml:space="preserve">§ </w:t>
      </w:r>
      <w:r w:rsidRPr="001569FB">
        <w:rPr>
          <w:rFonts w:eastAsia="Calibri"/>
          <w:szCs w:val="24"/>
        </w:rPr>
        <w:t xml:space="preserve">414.1420).  </w:t>
      </w:r>
    </w:p>
    <w:p w14:paraId="3486078E" w14:textId="3A322775" w:rsidR="002D1495" w:rsidRPr="001569FB" w:rsidRDefault="002D1495" w:rsidP="00346D95">
      <w:pPr>
        <w:rPr>
          <w:rFonts w:eastAsia="Calibri"/>
          <w:szCs w:val="24"/>
        </w:rPr>
      </w:pPr>
      <w:r w:rsidRPr="001569FB">
        <w:rPr>
          <w:rFonts w:eastAsia="Calibri"/>
          <w:szCs w:val="24"/>
        </w:rPr>
        <w:t>CMS will need to obtain information from outside sources on payment arrangements with other payers in order to determine whether they are Other Payer Advanced APMs</w:t>
      </w:r>
      <w:r w:rsidR="00533954" w:rsidRPr="001569FB">
        <w:rPr>
          <w:rFonts w:eastAsia="Calibri"/>
          <w:szCs w:val="24"/>
        </w:rPr>
        <w:t xml:space="preserve">. </w:t>
      </w:r>
      <w:r w:rsidR="007B6641" w:rsidRPr="001569FB">
        <w:rPr>
          <w:rFonts w:eastAsia="Calibri"/>
          <w:szCs w:val="24"/>
        </w:rPr>
        <w:t xml:space="preserve"> </w:t>
      </w:r>
      <w:r w:rsidRPr="001569FB">
        <w:rPr>
          <w:rFonts w:eastAsia="Calibri"/>
          <w:szCs w:val="24"/>
        </w:rPr>
        <w:t>Unlike Advanced APMs, CMS does not curre</w:t>
      </w:r>
      <w:r w:rsidR="00E5152E" w:rsidRPr="001569FB">
        <w:rPr>
          <w:rFonts w:eastAsia="Calibri"/>
          <w:szCs w:val="24"/>
        </w:rPr>
        <w:t>ntly possess this information.</w:t>
      </w:r>
    </w:p>
    <w:p w14:paraId="6D3D8C65" w14:textId="19D7CFFD" w:rsidR="00F77D7B" w:rsidRPr="001569FB" w:rsidRDefault="00AB7DEA" w:rsidP="00E5152E">
      <w:pPr>
        <w:spacing w:before="200" w:after="200"/>
        <w:rPr>
          <w:szCs w:val="24"/>
        </w:rPr>
      </w:pPr>
      <w:r w:rsidRPr="001569FB">
        <w:rPr>
          <w:szCs w:val="24"/>
        </w:rPr>
        <w:t xml:space="preserve">We </w:t>
      </w:r>
      <w:r w:rsidR="000E0284" w:rsidRPr="001569FB">
        <w:rPr>
          <w:szCs w:val="24"/>
        </w:rPr>
        <w:t xml:space="preserve">will </w:t>
      </w:r>
      <w:r w:rsidRPr="001569FB">
        <w:rPr>
          <w:szCs w:val="24"/>
        </w:rPr>
        <w:t xml:space="preserve">do this using both a payer-initiated process and a clinician-initiated process.  The payer-initiated process will be carried out in 2018 prior to the 2019 performance period.  On a voluntary basis, payers will submit information on payment arrangement they believe are Other Payer Advanced APMs.  CMS is implementing the payer-initiated process prior to 2019 so that we can publicly announce which payment arrangements are Other Payer Advanced APMs prior </w:t>
      </w:r>
      <w:r w:rsidRPr="001569FB">
        <w:rPr>
          <w:szCs w:val="24"/>
        </w:rPr>
        <w:lastRenderedPageBreak/>
        <w:t xml:space="preserve">to the 2019 performance period.  We believe this will benefit participating APM Entity and eligible clinicians. </w:t>
      </w:r>
      <w:r w:rsidR="007B6641" w:rsidRPr="001569FB">
        <w:rPr>
          <w:szCs w:val="24"/>
        </w:rPr>
        <w:t xml:space="preserve"> </w:t>
      </w:r>
      <w:r w:rsidRPr="001569FB">
        <w:rPr>
          <w:szCs w:val="24"/>
        </w:rPr>
        <w:t xml:space="preserve">The clinician-initiated process for determining Other Payer Advanced APMs will generally occur after the 2019 performance period.  APM Entities and eligible clinicians will be allowed to submit information on payment arrangements they are participating in that they believe are Other Payer Advanced APMs, but were not identified through the payer-initiated process. </w:t>
      </w:r>
    </w:p>
    <w:p w14:paraId="3EE90446" w14:textId="6504AA7B" w:rsidR="00E97F49" w:rsidRPr="001569FB" w:rsidRDefault="00AB7DEA" w:rsidP="00E5152E">
      <w:pPr>
        <w:spacing w:before="200" w:after="200"/>
        <w:rPr>
          <w:b/>
          <w:bCs/>
        </w:rPr>
      </w:pPr>
      <w:r w:rsidRPr="001569FB">
        <w:rPr>
          <w:szCs w:val="24"/>
        </w:rPr>
        <w:t>As part of the 2019 bid submission, Medicare Health Plans</w:t>
      </w:r>
      <w:r w:rsidR="00ED0C7A" w:rsidRPr="001569FB">
        <w:rPr>
          <w:szCs w:val="24"/>
        </w:rPr>
        <w:t xml:space="preserve"> (including MA plans, cost plans, and MMPs)</w:t>
      </w:r>
      <w:r w:rsidRPr="001569FB">
        <w:rPr>
          <w:szCs w:val="24"/>
        </w:rPr>
        <w:t xml:space="preserve"> may submit applications to determine if their payment arrangements are Other Payer Advanced APMs.  Guidance and submission forms will be part of a Quality Payment Program module of the bid submission package </w:t>
      </w:r>
      <w:r w:rsidR="00971A64" w:rsidRPr="001569FB">
        <w:rPr>
          <w:szCs w:val="24"/>
        </w:rPr>
        <w:t>released</w:t>
      </w:r>
      <w:r w:rsidRPr="001569FB">
        <w:rPr>
          <w:szCs w:val="24"/>
        </w:rPr>
        <w:t xml:space="preserve"> in April 2018. </w:t>
      </w:r>
      <w:r w:rsidR="00D46B3B" w:rsidRPr="001569FB">
        <w:rPr>
          <w:szCs w:val="24"/>
        </w:rPr>
        <w:t xml:space="preserve"> </w:t>
      </w:r>
      <w:r w:rsidRPr="001569FB">
        <w:rPr>
          <w:szCs w:val="24"/>
        </w:rPr>
        <w:t xml:space="preserve">Payment arrangements must meet certain criteria to qualify as Other Payer Advanced APMs that are similar to the Advanced APM criteria. </w:t>
      </w:r>
      <w:r w:rsidR="007B6641" w:rsidRPr="001569FB">
        <w:rPr>
          <w:szCs w:val="24"/>
        </w:rPr>
        <w:t xml:space="preserve"> </w:t>
      </w:r>
      <w:r w:rsidRPr="001569FB">
        <w:rPr>
          <w:szCs w:val="24"/>
        </w:rPr>
        <w:t xml:space="preserve">These criteria include requiring providers to use Certified EHR Technology (CEHRT), tying quality measurement to payment, and requiring providers to assume a certain level of financial risk (414.1420).  More information about Other Payer Advanced APMs and the Quality Payment Program is available at </w:t>
      </w:r>
      <w:hyperlink r:id="rId29" w:tooltip="Hyperlink to the CMS QPP webpage" w:history="1">
        <w:r w:rsidR="006E1462" w:rsidRPr="001569FB">
          <w:rPr>
            <w:rStyle w:val="Hyperlink"/>
            <w:szCs w:val="24"/>
          </w:rPr>
          <w:t>https://qpp.cms.gov/</w:t>
        </w:r>
      </w:hyperlink>
      <w:r w:rsidR="006E1462" w:rsidRPr="001569FB">
        <w:rPr>
          <w:szCs w:val="24"/>
        </w:rPr>
        <w:t>.</w:t>
      </w:r>
      <w:bookmarkStart w:id="403" w:name="_Attachment_III._"/>
      <w:bookmarkStart w:id="404" w:name="_Toc244598088"/>
      <w:bookmarkStart w:id="405" w:name="_Toc248653807"/>
      <w:bookmarkStart w:id="406" w:name="_Toc248653947"/>
      <w:bookmarkStart w:id="407" w:name="_Toc250391835"/>
      <w:bookmarkStart w:id="408" w:name="_Toc250391960"/>
      <w:bookmarkStart w:id="409" w:name="_Toc250395570"/>
      <w:bookmarkStart w:id="410" w:name="_Toc250650200"/>
      <w:bookmarkStart w:id="411" w:name="_Toc251074388"/>
      <w:bookmarkStart w:id="412" w:name="_Toc251077237"/>
      <w:bookmarkStart w:id="413" w:name="_Toc251077293"/>
      <w:bookmarkStart w:id="414" w:name="_Toc251166565"/>
      <w:bookmarkStart w:id="415" w:name="_Toc252786194"/>
      <w:bookmarkStart w:id="416" w:name="_Toc252791820"/>
      <w:bookmarkStart w:id="417" w:name="_Toc253762218"/>
      <w:bookmarkStart w:id="418" w:name="_Toc253762270"/>
      <w:bookmarkStart w:id="419" w:name="_Toc254094873"/>
      <w:bookmarkStart w:id="420" w:name="_Toc254094978"/>
      <w:bookmarkStart w:id="421" w:name="_Toc162429797"/>
      <w:bookmarkStart w:id="422" w:name="_Toc188260073"/>
      <w:bookmarkStart w:id="423" w:name="_Toc188260663"/>
      <w:bookmarkStart w:id="424" w:name="_Toc244598087"/>
      <w:bookmarkEnd w:id="399"/>
      <w:bookmarkEnd w:id="400"/>
      <w:bookmarkEnd w:id="403"/>
    </w:p>
    <w:p w14:paraId="24557AF0" w14:textId="77777777" w:rsidR="00E97F49" w:rsidRPr="001569FB" w:rsidRDefault="00E97F49" w:rsidP="00E5152E">
      <w:pPr>
        <w:spacing w:before="200" w:after="200"/>
        <w:sectPr w:rsidR="00E97F49" w:rsidRPr="001569FB" w:rsidSect="00BF4CE0">
          <w:headerReference w:type="default" r:id="rId30"/>
          <w:pgSz w:w="12240" w:h="15840"/>
          <w:pgMar w:top="1440" w:right="1440" w:bottom="1440" w:left="1440" w:header="720" w:footer="720" w:gutter="0"/>
          <w:cols w:space="720"/>
          <w:docGrid w:linePitch="360"/>
        </w:sectPr>
      </w:pPr>
    </w:p>
    <w:p w14:paraId="7FE577DD" w14:textId="154C1F32" w:rsidR="00BC60BF" w:rsidRPr="001569FB" w:rsidRDefault="00BC60BF" w:rsidP="00E97F49">
      <w:pPr>
        <w:pStyle w:val="Heading1"/>
        <w:spacing w:before="0"/>
      </w:pPr>
      <w:bookmarkStart w:id="425" w:name="_Toc505253788"/>
      <w:r w:rsidRPr="001569FB">
        <w:lastRenderedPageBreak/>
        <w:t xml:space="preserve">Attachment III.  Changes in the Payment Methodology for Medicare Part D for CY </w:t>
      </w:r>
      <w:r w:rsidR="00603B3F" w:rsidRPr="001569FB">
        <w:t>2019</w:t>
      </w:r>
      <w:bookmarkEnd w:id="425"/>
    </w:p>
    <w:p w14:paraId="21344F60" w14:textId="1E1A0AAE" w:rsidR="00EF1741" w:rsidRPr="001569FB" w:rsidRDefault="002A710F" w:rsidP="00203CF7">
      <w:pPr>
        <w:pStyle w:val="Heading2"/>
      </w:pPr>
      <w:bookmarkStart w:id="426" w:name="_Toc505253789"/>
      <w:r w:rsidRPr="001569FB">
        <w:t xml:space="preserve">Section A.  </w:t>
      </w:r>
      <w:r w:rsidR="0024054B" w:rsidRPr="001569FB">
        <w:t xml:space="preserve">Update of </w:t>
      </w:r>
      <w:r w:rsidR="00CB1B43" w:rsidRPr="001569FB">
        <w:t xml:space="preserve">the </w:t>
      </w:r>
      <w:r w:rsidR="00B35691" w:rsidRPr="001569FB">
        <w:t>RxHCC</w:t>
      </w:r>
      <w:r w:rsidR="0024054B" w:rsidRPr="001569FB">
        <w:t xml:space="preserve"> Model</w:t>
      </w:r>
      <w:bookmarkEnd w:id="426"/>
      <w:r w:rsidR="00EF1741" w:rsidRPr="001569FB">
        <w:t xml:space="preserve"> </w:t>
      </w:r>
    </w:p>
    <w:p w14:paraId="6ED5D38A" w14:textId="77777777" w:rsidR="00E85970" w:rsidRPr="001569FB" w:rsidRDefault="00E85970" w:rsidP="00E85970">
      <w:pPr>
        <w:spacing w:before="200" w:after="200"/>
        <w:rPr>
          <w:rFonts w:eastAsiaTheme="minorHAnsi"/>
          <w:szCs w:val="24"/>
        </w:rPr>
      </w:pPr>
      <w:r w:rsidRPr="001569FB">
        <w:rPr>
          <w:rFonts w:eastAsiaTheme="minorHAnsi"/>
          <w:szCs w:val="24"/>
        </w:rPr>
        <w:t xml:space="preserve">For 2019, we are proposing to implement an updated version of the RxHCC risk adjustment model used to adjust direct subsidy payments for Part D benefits offered by stand-alone Prescription Drug Plans (PDPs) and Medicare Advantage-Prescription Drug Plans (MA-PDs). </w:t>
      </w:r>
    </w:p>
    <w:p w14:paraId="1C2141C8" w14:textId="77777777" w:rsidR="00E85970" w:rsidRPr="001569FB" w:rsidRDefault="00E85970" w:rsidP="00E85970">
      <w:pPr>
        <w:spacing w:before="200" w:after="200"/>
        <w:rPr>
          <w:rFonts w:eastAsiaTheme="minorHAnsi"/>
          <w:szCs w:val="24"/>
        </w:rPr>
      </w:pPr>
      <w:r w:rsidRPr="001569FB">
        <w:rPr>
          <w:rFonts w:eastAsiaTheme="minorHAnsi"/>
          <w:szCs w:val="24"/>
        </w:rPr>
        <w:t>The RxHCC model that is being used for PY 2018 was updated to reflect 2019 benefit structure.</w:t>
      </w:r>
    </w:p>
    <w:p w14:paraId="42E557D1" w14:textId="6D1D2E8A" w:rsidR="00E85970" w:rsidRPr="001569FB" w:rsidRDefault="00E85970" w:rsidP="00E85970">
      <w:pPr>
        <w:pStyle w:val="Heading3"/>
      </w:pPr>
      <w:r w:rsidRPr="001569FB">
        <w:t xml:space="preserve">A1. </w:t>
      </w:r>
      <w:r w:rsidR="007A6384" w:rsidRPr="001569FB">
        <w:t xml:space="preserve"> </w:t>
      </w:r>
      <w:r w:rsidRPr="001569FB">
        <w:t xml:space="preserve">Update to reflect the 2019 benefit structure </w:t>
      </w:r>
    </w:p>
    <w:p w14:paraId="7366D5AC" w14:textId="34AB6164" w:rsidR="00E85970" w:rsidRPr="001569FB" w:rsidRDefault="00E85970" w:rsidP="00E85970">
      <w:pPr>
        <w:spacing w:before="200" w:after="200"/>
        <w:rPr>
          <w:rFonts w:eastAsiaTheme="minorHAnsi"/>
          <w:szCs w:val="24"/>
        </w:rPr>
      </w:pPr>
      <w:r w:rsidRPr="001569FB">
        <w:rPr>
          <w:rFonts w:eastAsiaTheme="minorHAnsi"/>
          <w:szCs w:val="24"/>
        </w:rPr>
        <w:t xml:space="preserve">CMS recalibrated the RxHCC risk adjustment model to reflect the 2019 benefit structure. </w:t>
      </w:r>
      <w:r w:rsidR="00D46B3B" w:rsidRPr="001569FB">
        <w:rPr>
          <w:rFonts w:eastAsiaTheme="minorHAnsi"/>
          <w:szCs w:val="24"/>
        </w:rPr>
        <w:t xml:space="preserve"> </w:t>
      </w:r>
      <w:r w:rsidRPr="001569FB">
        <w:rPr>
          <w:rFonts w:eastAsiaTheme="minorHAnsi"/>
          <w:szCs w:val="24"/>
        </w:rPr>
        <w:t xml:space="preserve">This update involved adjustments to the Prescription Drug Event (PDE) data from the prediction year to approximate the 2019 benefit structure. </w:t>
      </w:r>
      <w:r w:rsidR="00D46B3B" w:rsidRPr="001569FB">
        <w:rPr>
          <w:rFonts w:eastAsiaTheme="minorHAnsi"/>
          <w:szCs w:val="24"/>
        </w:rPr>
        <w:t xml:space="preserve"> </w:t>
      </w:r>
      <w:r w:rsidRPr="001569FB">
        <w:rPr>
          <w:rFonts w:eastAsiaTheme="minorHAnsi"/>
          <w:szCs w:val="24"/>
        </w:rPr>
        <w:t xml:space="preserve">The adjustments to the PDE data are similar to those made in previous years’ model calibrations in that we incorporated the payment year 2019 plan liability in the coverage gap into the prediction year (2015) expenditure data. </w:t>
      </w:r>
      <w:r w:rsidR="00D46B3B" w:rsidRPr="001569FB">
        <w:rPr>
          <w:rFonts w:eastAsiaTheme="minorHAnsi"/>
          <w:szCs w:val="24"/>
        </w:rPr>
        <w:t xml:space="preserve"> </w:t>
      </w:r>
      <w:r w:rsidRPr="001569FB">
        <w:rPr>
          <w:rFonts w:eastAsiaTheme="minorHAnsi"/>
          <w:szCs w:val="24"/>
        </w:rPr>
        <w:t xml:space="preserve">For 2019, plan liability for non-LIS beneficiaries in the coverage gap will be 63 percent for non-applicable (generic) drugs and 20 percent plan liability for applicable (brand) drugs in the coverage gap. </w:t>
      </w:r>
      <w:r w:rsidR="00D46B3B" w:rsidRPr="001569FB">
        <w:rPr>
          <w:rFonts w:eastAsiaTheme="minorHAnsi"/>
          <w:szCs w:val="24"/>
        </w:rPr>
        <w:t xml:space="preserve"> </w:t>
      </w:r>
      <w:r w:rsidRPr="001569FB">
        <w:rPr>
          <w:rFonts w:eastAsiaTheme="minorHAnsi"/>
          <w:szCs w:val="24"/>
        </w:rPr>
        <w:t xml:space="preserve">In addition, we mapped all PDEs to the defined standard benefit across all phases of the Part D benefit. </w:t>
      </w:r>
      <w:r w:rsidR="00D46B3B" w:rsidRPr="001569FB">
        <w:rPr>
          <w:rFonts w:eastAsiaTheme="minorHAnsi"/>
          <w:szCs w:val="24"/>
        </w:rPr>
        <w:t xml:space="preserve"> </w:t>
      </w:r>
      <w:r w:rsidRPr="001569FB">
        <w:rPr>
          <w:rFonts w:eastAsiaTheme="minorHAnsi"/>
          <w:szCs w:val="24"/>
        </w:rPr>
        <w:t>All other things being equal, the increase in plan liability due to the reduction in beneficiary cost sharing for non-applicable drugs and applicable drugs will differentially affect the risk scores of LIS and non-LIS beneficiaries.</w:t>
      </w:r>
      <w:r w:rsidR="007A6384" w:rsidRPr="001569FB">
        <w:rPr>
          <w:rFonts w:eastAsiaTheme="minorHAnsi"/>
          <w:szCs w:val="24"/>
        </w:rPr>
        <w:t xml:space="preserve"> </w:t>
      </w:r>
      <w:r w:rsidRPr="001569FB">
        <w:rPr>
          <w:rFonts w:eastAsiaTheme="minorHAnsi"/>
          <w:szCs w:val="24"/>
        </w:rPr>
        <w:t xml:space="preserve"> This is because plan liability for non-LIS populations, relative to LIS populations, will increase. </w:t>
      </w:r>
    </w:p>
    <w:p w14:paraId="4B202524" w14:textId="140AA721" w:rsidR="00E85970" w:rsidRPr="001569FB" w:rsidRDefault="00E85970" w:rsidP="00E85970">
      <w:pPr>
        <w:pStyle w:val="Heading3"/>
      </w:pPr>
      <w:r w:rsidRPr="001569FB">
        <w:t xml:space="preserve">A2. </w:t>
      </w:r>
      <w:r w:rsidR="007A6384" w:rsidRPr="001569FB">
        <w:t xml:space="preserve"> </w:t>
      </w:r>
      <w:r w:rsidRPr="001569FB">
        <w:t xml:space="preserve">Recalibration </w:t>
      </w:r>
    </w:p>
    <w:p w14:paraId="2B3DA115" w14:textId="77777777" w:rsidR="00E85970" w:rsidRPr="001569FB" w:rsidRDefault="00E85970" w:rsidP="00E85970">
      <w:pPr>
        <w:spacing w:before="200" w:after="200"/>
        <w:rPr>
          <w:rFonts w:eastAsiaTheme="minorHAnsi"/>
          <w:szCs w:val="24"/>
        </w:rPr>
      </w:pPr>
      <w:r w:rsidRPr="001569FB">
        <w:rPr>
          <w:rFonts w:eastAsiaTheme="minorHAnsi"/>
          <w:szCs w:val="24"/>
        </w:rPr>
        <w:t>The model being used for PY 2018 is calibrated on 2014 diagnoses and 2015 expenditure data from the PDE records.</w:t>
      </w:r>
      <w:r w:rsidR="006E1462" w:rsidRPr="001569FB">
        <w:rPr>
          <w:rFonts w:eastAsiaTheme="minorHAnsi"/>
          <w:szCs w:val="24"/>
        </w:rPr>
        <w:t xml:space="preserve"> </w:t>
      </w:r>
      <w:r w:rsidRPr="001569FB">
        <w:rPr>
          <w:rFonts w:eastAsiaTheme="minorHAnsi"/>
          <w:szCs w:val="24"/>
        </w:rPr>
        <w:t xml:space="preserve"> For this recalibration for 2019, we maintained the use of diagnosis data from 2014 fee-for-service (FFS) claims and MA-PD RAPS files, along with expenditure data from 2015 PDE records. </w:t>
      </w:r>
      <w:r w:rsidR="006E1462" w:rsidRPr="001569FB">
        <w:rPr>
          <w:rFonts w:eastAsiaTheme="minorHAnsi"/>
          <w:szCs w:val="24"/>
        </w:rPr>
        <w:t xml:space="preserve"> </w:t>
      </w:r>
      <w:r w:rsidRPr="001569FB">
        <w:rPr>
          <w:rFonts w:eastAsiaTheme="minorHAnsi"/>
          <w:szCs w:val="24"/>
        </w:rPr>
        <w:t xml:space="preserve">The use of 2015 diagnoses and 2016 expenditures would have included a mix of ICD-9 diagnoses (January 2015 – September 2015) and ICD-10 diagnoses (October 2015 – December 2015). </w:t>
      </w:r>
      <w:r w:rsidR="00D46B3B" w:rsidRPr="001569FB">
        <w:rPr>
          <w:rFonts w:eastAsiaTheme="minorHAnsi"/>
          <w:szCs w:val="24"/>
        </w:rPr>
        <w:t xml:space="preserve"> </w:t>
      </w:r>
      <w:r w:rsidRPr="001569FB">
        <w:rPr>
          <w:rFonts w:eastAsiaTheme="minorHAnsi"/>
          <w:szCs w:val="24"/>
        </w:rPr>
        <w:t xml:space="preserve">In order to maintain stability and reflect a year of diagnoses submitted under a single classification system we continued to use the 2014/2015 modeling sample for the 2019 recalibration.  Beneficiaries in the model sample had to be: (1) FFS or Medicare Advantage (MA-PD or MA-only) for all 12 months of the base year (2014); and (2) enrolled in a PDP or an MA-PD for at least one month in the prediction year (2015). </w:t>
      </w:r>
    </w:p>
    <w:p w14:paraId="765975A5" w14:textId="4CB16ADA" w:rsidR="00E85970" w:rsidRPr="001569FB" w:rsidRDefault="00FA55D7" w:rsidP="00E85970">
      <w:pPr>
        <w:spacing w:before="200" w:after="200"/>
        <w:rPr>
          <w:rFonts w:eastAsiaTheme="minorHAnsi"/>
          <w:szCs w:val="24"/>
        </w:rPr>
      </w:pPr>
      <w:r w:rsidRPr="001569FB">
        <w:rPr>
          <w:szCs w:val="24"/>
        </w:rPr>
        <w:t>Consistent with existing methodology,</w:t>
      </w:r>
      <w:r w:rsidR="004D168D" w:rsidRPr="001569FB">
        <w:rPr>
          <w:szCs w:val="24"/>
        </w:rPr>
        <w:t xml:space="preserve"> </w:t>
      </w:r>
      <w:r w:rsidRPr="001569FB">
        <w:rPr>
          <w:rFonts w:eastAsiaTheme="minorHAnsi"/>
          <w:szCs w:val="24"/>
        </w:rPr>
        <w:t xml:space="preserve">coefficients </w:t>
      </w:r>
      <w:r w:rsidR="00E85970" w:rsidRPr="001569FB">
        <w:rPr>
          <w:rFonts w:eastAsiaTheme="minorHAnsi"/>
          <w:szCs w:val="24"/>
        </w:rPr>
        <w:t xml:space="preserve">for condition categories were estimated by regressing the plan liability, adjusted as discussed in A1, for the Part D basic benefit for each beneficiary onto their demographic factors and condition categories, as indicated by their diagnoses. </w:t>
      </w:r>
      <w:r w:rsidR="00D46B3B" w:rsidRPr="001569FB">
        <w:rPr>
          <w:rFonts w:eastAsiaTheme="minorHAnsi"/>
          <w:szCs w:val="24"/>
        </w:rPr>
        <w:t xml:space="preserve"> </w:t>
      </w:r>
      <w:r w:rsidR="00E85970" w:rsidRPr="001569FB">
        <w:rPr>
          <w:rFonts w:eastAsiaTheme="minorHAnsi"/>
          <w:szCs w:val="24"/>
        </w:rPr>
        <w:t xml:space="preserve">We imposed hierarchies on the condition categories, ensuring that more advanced and costly forms of a condition are reflected with a coefficient at least as high as related </w:t>
      </w:r>
      <w:r w:rsidR="00E85970" w:rsidRPr="001569FB">
        <w:rPr>
          <w:rFonts w:eastAsiaTheme="minorHAnsi"/>
          <w:szCs w:val="24"/>
        </w:rPr>
        <w:lastRenderedPageBreak/>
        <w:t xml:space="preserve">conditions with lower severity. </w:t>
      </w:r>
      <w:r w:rsidR="00D46B3B" w:rsidRPr="001569FB">
        <w:rPr>
          <w:rFonts w:eastAsiaTheme="minorHAnsi"/>
          <w:szCs w:val="24"/>
        </w:rPr>
        <w:t xml:space="preserve"> </w:t>
      </w:r>
      <w:r w:rsidR="00E85970" w:rsidRPr="001569FB">
        <w:rPr>
          <w:rFonts w:eastAsiaTheme="minorHAnsi"/>
          <w:szCs w:val="24"/>
        </w:rPr>
        <w:t xml:space="preserve">The resulting dollar coefficients represent the marginal (additional) cost of the condition or demographic factor (for example, age/sex group, </w:t>
      </w:r>
      <w:r w:rsidR="008E5699" w:rsidRPr="001569FB">
        <w:rPr>
          <w:rFonts w:eastAsiaTheme="minorHAnsi"/>
          <w:szCs w:val="24"/>
        </w:rPr>
        <w:t>low-income</w:t>
      </w:r>
      <w:r w:rsidR="00E85970" w:rsidRPr="001569FB">
        <w:rPr>
          <w:rFonts w:eastAsiaTheme="minorHAnsi"/>
          <w:szCs w:val="24"/>
        </w:rPr>
        <w:t xml:space="preserve"> subsidy status, </w:t>
      </w:r>
      <w:r w:rsidR="008E5699" w:rsidRPr="001569FB">
        <w:rPr>
          <w:rFonts w:eastAsiaTheme="minorHAnsi"/>
          <w:szCs w:val="24"/>
        </w:rPr>
        <w:t>and disability</w:t>
      </w:r>
      <w:r w:rsidR="00E85970" w:rsidRPr="001569FB">
        <w:rPr>
          <w:rFonts w:eastAsiaTheme="minorHAnsi"/>
          <w:szCs w:val="24"/>
        </w:rPr>
        <w:t xml:space="preserve"> status). </w:t>
      </w:r>
    </w:p>
    <w:p w14:paraId="61034508"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order to calculate risk scores for payment, the dollar coefficients must be denominated to create relative factors. </w:t>
      </w:r>
      <w:r w:rsidR="00D46B3B" w:rsidRPr="001569FB">
        <w:rPr>
          <w:rFonts w:eastAsiaTheme="minorHAnsi"/>
          <w:szCs w:val="24"/>
        </w:rPr>
        <w:t xml:space="preserve"> </w:t>
      </w:r>
      <w:r w:rsidRPr="001569FB">
        <w:rPr>
          <w:rFonts w:eastAsiaTheme="minorHAnsi"/>
          <w:szCs w:val="24"/>
        </w:rPr>
        <w:t xml:space="preserve">For the PY 2019 model calibration, we divided the dollar coefficient for each demographic factor and RxHCC in the model by the average predicted per capita expenditure in 2015. </w:t>
      </w:r>
      <w:r w:rsidR="00D46B3B" w:rsidRPr="001569FB">
        <w:rPr>
          <w:rFonts w:eastAsiaTheme="minorHAnsi"/>
          <w:szCs w:val="24"/>
        </w:rPr>
        <w:t xml:space="preserve"> </w:t>
      </w:r>
      <w:r w:rsidRPr="001569FB">
        <w:rPr>
          <w:rFonts w:eastAsiaTheme="minorHAnsi"/>
          <w:szCs w:val="24"/>
        </w:rPr>
        <w:t xml:space="preserve">Consistent with the decision to continue to use the 2014/2015 modeling sample for the recalibration, CMS will continue to use a 2015 denominator to create the relative factors. </w:t>
      </w:r>
      <w:r w:rsidR="00D46B3B" w:rsidRPr="001569FB">
        <w:rPr>
          <w:rFonts w:eastAsiaTheme="minorHAnsi"/>
          <w:szCs w:val="24"/>
        </w:rPr>
        <w:t xml:space="preserve"> </w:t>
      </w:r>
      <w:r w:rsidRPr="001569FB">
        <w:rPr>
          <w:rFonts w:eastAsiaTheme="minorHAnsi"/>
          <w:szCs w:val="24"/>
        </w:rPr>
        <w:t xml:space="preserve">These relative factors are then used to calculate risk scores for individual beneficiaries in the payment year. </w:t>
      </w:r>
      <w:r w:rsidR="00D46B3B" w:rsidRPr="001569FB">
        <w:rPr>
          <w:rFonts w:eastAsiaTheme="minorHAnsi"/>
          <w:szCs w:val="24"/>
        </w:rPr>
        <w:t xml:space="preserve"> </w:t>
      </w:r>
      <w:r w:rsidRPr="001569FB">
        <w:rPr>
          <w:rFonts w:eastAsiaTheme="minorHAnsi"/>
          <w:szCs w:val="24"/>
        </w:rPr>
        <w:t xml:space="preserve">We developed the denominator for the revised RxHCC risk adjustment model using data from Medicare beneficiaries enrolled in both MA-PDs and PDPs, which results in an average risk score for the enrolled Part D population in the denominator year of 1.0. </w:t>
      </w:r>
      <w:r w:rsidR="00D46B3B" w:rsidRPr="001569FB">
        <w:rPr>
          <w:rFonts w:eastAsiaTheme="minorHAnsi"/>
          <w:szCs w:val="24"/>
        </w:rPr>
        <w:t xml:space="preserve"> </w:t>
      </w:r>
      <w:r w:rsidRPr="001569FB">
        <w:rPr>
          <w:rFonts w:eastAsiaTheme="minorHAnsi"/>
          <w:szCs w:val="24"/>
        </w:rPr>
        <w:t>The denominator used to create relative factors for all segments of the model, is $</w:t>
      </w:r>
      <w:r w:rsidR="00FB6BBE" w:rsidRPr="001569FB">
        <w:rPr>
          <w:szCs w:val="24"/>
        </w:rPr>
        <w:t>1,062.31.</w:t>
      </w:r>
      <w:r w:rsidRPr="001569FB">
        <w:rPr>
          <w:rFonts w:eastAsiaTheme="minorHAnsi"/>
          <w:szCs w:val="24"/>
        </w:rPr>
        <w:t xml:space="preserve"> </w:t>
      </w:r>
    </w:p>
    <w:p w14:paraId="557C3B1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When the RxHCC model is recalibrated to reflect an updated benefit structure, it can result in changes in condition category coefficients. </w:t>
      </w:r>
      <w:r w:rsidR="00D46B3B" w:rsidRPr="001569FB">
        <w:rPr>
          <w:rFonts w:eastAsiaTheme="minorHAnsi"/>
          <w:szCs w:val="24"/>
        </w:rPr>
        <w:t xml:space="preserve"> </w:t>
      </w:r>
      <w:r w:rsidRPr="001569FB">
        <w:rPr>
          <w:rFonts w:eastAsiaTheme="minorHAnsi"/>
          <w:szCs w:val="24"/>
        </w:rPr>
        <w:t xml:space="preserve">Changes in the relative (denominated) factors can occur when the marginal cost attributable to an RxHCC changes differently than the average beneficiary cost. </w:t>
      </w:r>
      <w:r w:rsidR="00D46B3B" w:rsidRPr="001569FB">
        <w:rPr>
          <w:rFonts w:eastAsiaTheme="minorHAnsi"/>
          <w:szCs w:val="24"/>
        </w:rPr>
        <w:t xml:space="preserve"> </w:t>
      </w:r>
      <w:r w:rsidRPr="001569FB">
        <w:rPr>
          <w:rFonts w:eastAsiaTheme="minorHAnsi"/>
          <w:szCs w:val="24"/>
        </w:rPr>
        <w:t xml:space="preserve">Recalibration of the RxHCC model can result in changes in risk scores for individual beneficiaries and for plan average risk scores, depending on each individual beneficiary’s combination of diagnoses. </w:t>
      </w:r>
    </w:p>
    <w:p w14:paraId="19F4C75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Attachment </w:t>
      </w:r>
      <w:r w:rsidR="00EF3BF1" w:rsidRPr="001569FB">
        <w:rPr>
          <w:rFonts w:eastAsiaTheme="minorHAnsi"/>
          <w:szCs w:val="24"/>
        </w:rPr>
        <w:t xml:space="preserve">V </w:t>
      </w:r>
      <w:r w:rsidRPr="001569FB">
        <w:rPr>
          <w:rFonts w:eastAsiaTheme="minorHAnsi"/>
          <w:szCs w:val="24"/>
        </w:rPr>
        <w:t>of this Notice, we provide draft factors for each RxHCC for each segment of the model.</w:t>
      </w:r>
    </w:p>
    <w:p w14:paraId="5E910FFA" w14:textId="77777777" w:rsidR="0096321C" w:rsidRPr="001569FB" w:rsidRDefault="0096321C" w:rsidP="00203CF7">
      <w:pPr>
        <w:pStyle w:val="Heading2"/>
      </w:pPr>
      <w:bookmarkStart w:id="427" w:name="_Other_Health_Insurance"/>
      <w:bookmarkStart w:id="428" w:name="_Toc505253790"/>
      <w:bookmarkStart w:id="429" w:name="_Toc348432294"/>
      <w:bookmarkStart w:id="430" w:name="_Toc348432930"/>
      <w:bookmarkStart w:id="431" w:name="_Toc348688010"/>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7"/>
      <w:r w:rsidRPr="001569FB">
        <w:t xml:space="preserve">Section </w:t>
      </w:r>
      <w:r w:rsidR="006766CD" w:rsidRPr="001569FB">
        <w:t>B</w:t>
      </w:r>
      <w:r w:rsidRPr="001569FB">
        <w:t xml:space="preserve">.  Encounter Data as a Diagnosis Source for </w:t>
      </w:r>
      <w:r w:rsidR="000B4E3C" w:rsidRPr="001569FB">
        <w:t>2019</w:t>
      </w:r>
      <w:bookmarkEnd w:id="428"/>
    </w:p>
    <w:p w14:paraId="7E1ED7D0" w14:textId="77777777" w:rsidR="000B4E3C" w:rsidRPr="001569FB" w:rsidRDefault="000B4E3C" w:rsidP="000B4E3C">
      <w:pPr>
        <w:spacing w:before="200" w:after="200"/>
        <w:rPr>
          <w:szCs w:val="24"/>
        </w:rPr>
      </w:pPr>
      <w:r w:rsidRPr="001569FB">
        <w:rPr>
          <w:rFonts w:eastAsiaTheme="minorHAnsi"/>
          <w:szCs w:val="24"/>
        </w:rPr>
        <w:t>For PY 2018, CMS calculated risk scores by adding 15% of the risk score calculated using encounter data and FFS diagnoses with 85% of the risk score calculated using RAPS and FFS diagnoses</w:t>
      </w:r>
      <w:r w:rsidR="00346D95" w:rsidRPr="001569FB">
        <w:rPr>
          <w:rFonts w:eastAsiaTheme="minorHAnsi"/>
          <w:szCs w:val="24"/>
        </w:rPr>
        <w:t>.</w:t>
      </w:r>
    </w:p>
    <w:p w14:paraId="004A3948" w14:textId="25D1D57D" w:rsidR="000B4E3C" w:rsidRPr="001569FB" w:rsidRDefault="00346D95" w:rsidP="000B4E3C">
      <w:pPr>
        <w:spacing w:before="200" w:after="200"/>
        <w:rPr>
          <w:szCs w:val="24"/>
        </w:rPr>
      </w:pPr>
      <w:r w:rsidRPr="001569FB">
        <w:rPr>
          <w:szCs w:val="24"/>
        </w:rPr>
        <w:t xml:space="preserve"> For PY 2019, CMS proposes to calculate risk scores by adding 25% of the risk score calculated with </w:t>
      </w:r>
      <w:r w:rsidR="00232145" w:rsidRPr="001569FB">
        <w:rPr>
          <w:szCs w:val="24"/>
        </w:rPr>
        <w:t xml:space="preserve">diagnoses from </w:t>
      </w:r>
      <w:r w:rsidRPr="001569FB">
        <w:rPr>
          <w:szCs w:val="24"/>
        </w:rPr>
        <w:t xml:space="preserve">encounter data </w:t>
      </w:r>
      <w:r w:rsidR="007816B3" w:rsidRPr="001569FB">
        <w:rPr>
          <w:szCs w:val="24"/>
        </w:rPr>
        <w:t xml:space="preserve">(supplemented with RAPS inpatient data) </w:t>
      </w:r>
      <w:r w:rsidR="00232145" w:rsidRPr="001569FB">
        <w:rPr>
          <w:szCs w:val="24"/>
        </w:rPr>
        <w:t xml:space="preserve">and FFS </w:t>
      </w:r>
      <w:r w:rsidRPr="001569FB">
        <w:rPr>
          <w:szCs w:val="24"/>
        </w:rPr>
        <w:t xml:space="preserve">with 75% of the risk score calculated </w:t>
      </w:r>
      <w:r w:rsidR="00232145" w:rsidRPr="001569FB">
        <w:rPr>
          <w:szCs w:val="24"/>
        </w:rPr>
        <w:t xml:space="preserve">from </w:t>
      </w:r>
      <w:r w:rsidRPr="001569FB">
        <w:rPr>
          <w:szCs w:val="24"/>
        </w:rPr>
        <w:t>RAPS data</w:t>
      </w:r>
      <w:r w:rsidR="00232145" w:rsidRPr="001569FB">
        <w:rPr>
          <w:szCs w:val="24"/>
        </w:rPr>
        <w:t xml:space="preserve"> and FFS diagnoses</w:t>
      </w:r>
      <w:r w:rsidRPr="001569FB">
        <w:rPr>
          <w:szCs w:val="24"/>
        </w:rPr>
        <w:t>.</w:t>
      </w:r>
    </w:p>
    <w:p w14:paraId="3A84363B" w14:textId="04A76DC6" w:rsidR="000B4E3C" w:rsidRPr="001569FB" w:rsidRDefault="000B4E3C" w:rsidP="0051527D">
      <w:pPr>
        <w:rPr>
          <w:szCs w:val="24"/>
        </w:rPr>
      </w:pPr>
      <w:r w:rsidRPr="001569FB">
        <w:rPr>
          <w:szCs w:val="24"/>
        </w:rPr>
        <w:t xml:space="preserve">For PACE organizations for PY 2019, we propose to continue the same method of calculating risk scores that we have been using since PY 2015, which is to pool risk adjustment-eligible diagnoses from the following sources to calculate a single risk score (with no weighting): (1) encounter data, (2) RAPS, and (3) FFS claims. </w:t>
      </w:r>
    </w:p>
    <w:p w14:paraId="7D213C50" w14:textId="77777777" w:rsidR="00922C18" w:rsidRPr="001569FB" w:rsidRDefault="002E1EA7" w:rsidP="00203CF7">
      <w:pPr>
        <w:pStyle w:val="Heading2"/>
      </w:pPr>
      <w:bookmarkStart w:id="432" w:name="_Toc505253791"/>
      <w:r w:rsidRPr="001569FB">
        <w:t xml:space="preserve">Section </w:t>
      </w:r>
      <w:r w:rsidR="006766CD" w:rsidRPr="001569FB">
        <w:t>C</w:t>
      </w:r>
      <w:r w:rsidR="0067131F" w:rsidRPr="001569FB">
        <w:t xml:space="preserve">.  </w:t>
      </w:r>
      <w:bookmarkEnd w:id="429"/>
      <w:bookmarkEnd w:id="430"/>
      <w:bookmarkEnd w:id="431"/>
      <w:r w:rsidR="00DE624D" w:rsidRPr="001569FB">
        <w:t>Part D Risk Sharing</w:t>
      </w:r>
      <w:bookmarkEnd w:id="432"/>
    </w:p>
    <w:p w14:paraId="7F13D134" w14:textId="77777777" w:rsidR="00EF1741" w:rsidRPr="001569FB" w:rsidRDefault="00DE624D" w:rsidP="00E746B1">
      <w:pPr>
        <w:spacing w:before="200" w:after="200"/>
        <w:rPr>
          <w:szCs w:val="24"/>
        </w:rPr>
      </w:pPr>
      <w:r w:rsidRPr="001569FB">
        <w:rPr>
          <w:szCs w:val="24"/>
        </w:rPr>
        <w:t xml:space="preserve">The risk sharing payments provided by CMS limit Part D sponsors’ exposure to unexpected drug expenses. </w:t>
      </w:r>
      <w:r w:rsidR="00245019" w:rsidRPr="001569FB">
        <w:rPr>
          <w:szCs w:val="24"/>
        </w:rPr>
        <w:t xml:space="preserve"> </w:t>
      </w:r>
      <w:r w:rsidR="007C1172" w:rsidRPr="001569FB">
        <w:rPr>
          <w:szCs w:val="24"/>
        </w:rPr>
        <w:t xml:space="preserve">Pursuant to section 1860D-15(e)(3)(C) of the Act and </w:t>
      </w:r>
      <w:r w:rsidR="00942B61" w:rsidRPr="001569FB">
        <w:rPr>
          <w:szCs w:val="24"/>
        </w:rPr>
        <w:t xml:space="preserve">§ </w:t>
      </w:r>
      <w:r w:rsidR="007C1172" w:rsidRPr="001569FB">
        <w:rPr>
          <w:szCs w:val="24"/>
        </w:rPr>
        <w:t>423.336(a)(2)(ii)</w:t>
      </w:r>
      <w:r w:rsidR="00942B61" w:rsidRPr="001569FB">
        <w:rPr>
          <w:szCs w:val="24"/>
        </w:rPr>
        <w:t xml:space="preserve"> of our </w:t>
      </w:r>
      <w:r w:rsidR="00942B61" w:rsidRPr="001569FB">
        <w:rPr>
          <w:szCs w:val="24"/>
        </w:rPr>
        <w:lastRenderedPageBreak/>
        <w:t>regulations</w:t>
      </w:r>
      <w:r w:rsidR="007C1172" w:rsidRPr="001569FB">
        <w:rPr>
          <w:szCs w:val="24"/>
        </w:rPr>
        <w:t xml:space="preserve">, CMS may establish </w:t>
      </w:r>
      <w:r w:rsidRPr="001569FB">
        <w:rPr>
          <w:szCs w:val="24"/>
        </w:rPr>
        <w:t xml:space="preserve">a risk corridor with </w:t>
      </w:r>
      <w:r w:rsidR="007C1172" w:rsidRPr="001569FB">
        <w:rPr>
          <w:szCs w:val="24"/>
        </w:rPr>
        <w:t xml:space="preserve">higher </w:t>
      </w:r>
      <w:r w:rsidRPr="001569FB">
        <w:rPr>
          <w:szCs w:val="24"/>
        </w:rPr>
        <w:t xml:space="preserve">threshold </w:t>
      </w:r>
      <w:r w:rsidR="007C1172" w:rsidRPr="001569FB">
        <w:rPr>
          <w:szCs w:val="24"/>
        </w:rPr>
        <w:t>risk percentages for Part D risk sharing beginning in contract year 2012</w:t>
      </w:r>
      <w:r w:rsidR="0067131F" w:rsidRPr="001569FB">
        <w:rPr>
          <w:szCs w:val="24"/>
        </w:rPr>
        <w:t xml:space="preserve">. </w:t>
      </w:r>
      <w:r w:rsidR="007C1172" w:rsidRPr="001569FB">
        <w:rPr>
          <w:szCs w:val="24"/>
        </w:rPr>
        <w:t xml:space="preserve"> </w:t>
      </w:r>
      <w:r w:rsidRPr="001569FB">
        <w:rPr>
          <w:szCs w:val="24"/>
        </w:rPr>
        <w:t xml:space="preserve">Widening the risk corridor </w:t>
      </w:r>
      <w:r w:rsidR="007C1172" w:rsidRPr="001569FB">
        <w:rPr>
          <w:szCs w:val="24"/>
        </w:rPr>
        <w:t>would increase the risk associated with providing the Part D benefit and reduce the risk sharing amounts provided (or recouped) by CMS.</w:t>
      </w:r>
      <w:r w:rsidRPr="001569FB">
        <w:rPr>
          <w:szCs w:val="24"/>
        </w:rPr>
        <w:t xml:space="preserve"> </w:t>
      </w:r>
      <w:r w:rsidR="00245019" w:rsidRPr="001569FB">
        <w:rPr>
          <w:szCs w:val="24"/>
        </w:rPr>
        <w:t xml:space="preserve"> </w:t>
      </w:r>
      <w:r w:rsidRPr="001569FB">
        <w:rPr>
          <w:szCs w:val="24"/>
        </w:rPr>
        <w:t>While CMS may widen the risk corridors, the statute does not permit CMS to narrow the corridors relative to the 2011 thresholds.</w:t>
      </w:r>
      <w:r w:rsidR="00EF1741" w:rsidRPr="001569FB">
        <w:rPr>
          <w:szCs w:val="24"/>
        </w:rPr>
        <w:t xml:space="preserve"> </w:t>
      </w:r>
    </w:p>
    <w:p w14:paraId="364DB9BE" w14:textId="77777777" w:rsidR="007C1172" w:rsidRPr="001569FB" w:rsidRDefault="007C1172" w:rsidP="00E746B1">
      <w:pPr>
        <w:spacing w:before="200" w:after="200"/>
        <w:rPr>
          <w:szCs w:val="24"/>
        </w:rPr>
      </w:pPr>
      <w:r w:rsidRPr="001569FB">
        <w:rPr>
          <w:szCs w:val="24"/>
        </w:rPr>
        <w:t>CMS has evaluated the risk sharing amounts for 200</w:t>
      </w:r>
      <w:r w:rsidR="003E3DD7" w:rsidRPr="001569FB">
        <w:rPr>
          <w:szCs w:val="24"/>
        </w:rPr>
        <w:t>8</w:t>
      </w:r>
      <w:r w:rsidRPr="001569FB">
        <w:rPr>
          <w:szCs w:val="24"/>
        </w:rPr>
        <w:t xml:space="preserve"> – </w:t>
      </w:r>
      <w:r w:rsidR="004E6839" w:rsidRPr="001569FB">
        <w:rPr>
          <w:szCs w:val="24"/>
        </w:rPr>
        <w:t xml:space="preserve">2016 </w:t>
      </w:r>
      <w:r w:rsidRPr="001569FB">
        <w:rPr>
          <w:szCs w:val="24"/>
        </w:rPr>
        <w:t xml:space="preserve">to assess whether they have decreased or stabilized.  A steady decline or stabilization in the Part D risk sharing amounts would suggest that Part D sponsors have significantly improved their ability to predict Part D expenditures.  However, CMS has found that risk sharing amounts continue to vary significantly </w:t>
      </w:r>
      <w:r w:rsidR="00E539AD" w:rsidRPr="001569FB">
        <w:rPr>
          <w:szCs w:val="24"/>
        </w:rPr>
        <w:t xml:space="preserve">in aggregate </w:t>
      </w:r>
      <w:r w:rsidR="00DE624D" w:rsidRPr="001569FB">
        <w:rPr>
          <w:szCs w:val="24"/>
        </w:rPr>
        <w:t xml:space="preserve">from year to year and among </w:t>
      </w:r>
      <w:r w:rsidRPr="001569FB">
        <w:rPr>
          <w:szCs w:val="24"/>
        </w:rPr>
        <w:t>Part D sponsors</w:t>
      </w:r>
      <w:r w:rsidR="00DE624D" w:rsidRPr="001569FB">
        <w:rPr>
          <w:szCs w:val="24"/>
        </w:rPr>
        <w:t xml:space="preserve"> in any given year</w:t>
      </w:r>
      <w:r w:rsidRPr="001569FB">
        <w:rPr>
          <w:szCs w:val="24"/>
        </w:rPr>
        <w:t xml:space="preserve">. </w:t>
      </w:r>
      <w:r w:rsidR="00E539AD" w:rsidRPr="001569FB">
        <w:rPr>
          <w:szCs w:val="24"/>
        </w:rPr>
        <w:t xml:space="preserve"> </w:t>
      </w:r>
      <w:r w:rsidRPr="001569FB">
        <w:rPr>
          <w:szCs w:val="24"/>
        </w:rPr>
        <w:t xml:space="preserve">Therefore, </w:t>
      </w:r>
      <w:r w:rsidR="00B004E6" w:rsidRPr="001569FB">
        <w:rPr>
          <w:szCs w:val="24"/>
        </w:rPr>
        <w:t xml:space="preserve">we do not believe it is appropriate to adjust the parameters at this time, </w:t>
      </w:r>
      <w:r w:rsidR="00BF60A0" w:rsidRPr="001569FB">
        <w:rPr>
          <w:szCs w:val="24"/>
        </w:rPr>
        <w:t>and we</w:t>
      </w:r>
      <w:r w:rsidR="00B004E6" w:rsidRPr="001569FB">
        <w:rPr>
          <w:szCs w:val="24"/>
        </w:rPr>
        <w:t xml:space="preserve"> </w:t>
      </w:r>
      <w:r w:rsidRPr="001569FB">
        <w:rPr>
          <w:szCs w:val="24"/>
        </w:rPr>
        <w:t xml:space="preserve">will apply no changes to the current </w:t>
      </w:r>
      <w:r w:rsidR="00DE624D" w:rsidRPr="001569FB">
        <w:rPr>
          <w:szCs w:val="24"/>
        </w:rPr>
        <w:t xml:space="preserve">threshold </w:t>
      </w:r>
      <w:r w:rsidRPr="001569FB">
        <w:rPr>
          <w:szCs w:val="24"/>
        </w:rPr>
        <w:t xml:space="preserve">risk percentages for contract year </w:t>
      </w:r>
      <w:r w:rsidR="000B4E3C" w:rsidRPr="001569FB">
        <w:rPr>
          <w:szCs w:val="24"/>
        </w:rPr>
        <w:t>2019</w:t>
      </w:r>
      <w:r w:rsidRPr="001569FB">
        <w:rPr>
          <w:szCs w:val="24"/>
        </w:rPr>
        <w:t xml:space="preserve">.  We will continue to evaluate the risk sharing amounts each year to determine if </w:t>
      </w:r>
      <w:r w:rsidR="00DE624D" w:rsidRPr="001569FB">
        <w:rPr>
          <w:szCs w:val="24"/>
        </w:rPr>
        <w:t xml:space="preserve">wider corridors </w:t>
      </w:r>
      <w:r w:rsidRPr="001569FB">
        <w:rPr>
          <w:szCs w:val="24"/>
        </w:rPr>
        <w:t>should be applied for Part D risk sharing.</w:t>
      </w:r>
    </w:p>
    <w:p w14:paraId="5EDB7F9E" w14:textId="2BC5F166" w:rsidR="007C1172" w:rsidRPr="001569FB" w:rsidRDefault="007C1172" w:rsidP="00E746B1">
      <w:pPr>
        <w:spacing w:before="200" w:after="200"/>
        <w:rPr>
          <w:bCs/>
          <w:szCs w:val="24"/>
        </w:rPr>
      </w:pPr>
      <w:r w:rsidRPr="001569FB">
        <w:rPr>
          <w:szCs w:val="24"/>
        </w:rPr>
        <w:t xml:space="preserve">Thus, the risk percentages and payment adjustments for Part D risk sharing are unchanged from contract year </w:t>
      </w:r>
      <w:r w:rsidR="00B61F5C" w:rsidRPr="001569FB">
        <w:rPr>
          <w:szCs w:val="24"/>
        </w:rPr>
        <w:t>2018</w:t>
      </w:r>
      <w:r w:rsidRPr="001569FB">
        <w:rPr>
          <w:szCs w:val="24"/>
        </w:rPr>
        <w:t xml:space="preserve">.  </w:t>
      </w:r>
      <w:r w:rsidRPr="001569FB">
        <w:rPr>
          <w:bCs/>
          <w:szCs w:val="24"/>
        </w:rPr>
        <w:t xml:space="preserve">The risk percentages for the first and second thresholds remain at </w:t>
      </w:r>
      <w:r w:rsidR="00510E91" w:rsidRPr="001569FB">
        <w:rPr>
          <w:bCs/>
          <w:szCs w:val="24"/>
        </w:rPr>
        <w:t xml:space="preserve">+/- </w:t>
      </w:r>
      <w:r w:rsidRPr="001569FB">
        <w:rPr>
          <w:bCs/>
          <w:szCs w:val="24"/>
        </w:rPr>
        <w:t>5</w:t>
      </w:r>
      <w:r w:rsidR="00701463" w:rsidRPr="001569FB">
        <w:rPr>
          <w:bCs/>
          <w:szCs w:val="24"/>
        </w:rPr>
        <w:t xml:space="preserve"> percent</w:t>
      </w:r>
      <w:r w:rsidRPr="001569FB">
        <w:rPr>
          <w:bCs/>
          <w:szCs w:val="24"/>
        </w:rPr>
        <w:t xml:space="preserve"> and </w:t>
      </w:r>
      <w:r w:rsidR="00510E91" w:rsidRPr="001569FB">
        <w:rPr>
          <w:bCs/>
          <w:szCs w:val="24"/>
        </w:rPr>
        <w:t xml:space="preserve">+/- </w:t>
      </w:r>
      <w:r w:rsidRPr="001569FB">
        <w:rPr>
          <w:bCs/>
          <w:szCs w:val="24"/>
        </w:rPr>
        <w:t>10</w:t>
      </w:r>
      <w:r w:rsidR="00701463" w:rsidRPr="001569FB">
        <w:rPr>
          <w:bCs/>
          <w:szCs w:val="24"/>
        </w:rPr>
        <w:t xml:space="preserve"> percent</w:t>
      </w:r>
      <w:r w:rsidRPr="001569FB">
        <w:rPr>
          <w:bCs/>
          <w:szCs w:val="24"/>
        </w:rPr>
        <w:t xml:space="preserve"> of the target amount</w:t>
      </w:r>
      <w:r w:rsidR="000C25B2" w:rsidRPr="001569FB">
        <w:rPr>
          <w:bCs/>
          <w:szCs w:val="24"/>
        </w:rPr>
        <w:t>,</w:t>
      </w:r>
      <w:r w:rsidRPr="001569FB">
        <w:rPr>
          <w:bCs/>
          <w:szCs w:val="24"/>
        </w:rPr>
        <w:t xml:space="preserve"> respectively</w:t>
      </w:r>
      <w:r w:rsidR="000C25B2" w:rsidRPr="001569FB">
        <w:rPr>
          <w:bCs/>
          <w:szCs w:val="24"/>
        </w:rPr>
        <w:t>,</w:t>
      </w:r>
      <w:r w:rsidRPr="001569FB">
        <w:rPr>
          <w:bCs/>
          <w:szCs w:val="24"/>
        </w:rPr>
        <w:t xml:space="preserve"> for</w:t>
      </w:r>
      <w:r w:rsidR="0027563A" w:rsidRPr="001569FB">
        <w:rPr>
          <w:bCs/>
          <w:szCs w:val="24"/>
        </w:rPr>
        <w:t xml:space="preserve"> </w:t>
      </w:r>
      <w:r w:rsidR="00B61F5C" w:rsidRPr="001569FB">
        <w:rPr>
          <w:bCs/>
          <w:szCs w:val="24"/>
        </w:rPr>
        <w:t>2019</w:t>
      </w:r>
      <w:r w:rsidRPr="001569FB">
        <w:rPr>
          <w:bCs/>
          <w:szCs w:val="24"/>
        </w:rPr>
        <w:t>.  The payment adjustments for the first and second corridors are 50</w:t>
      </w:r>
      <w:r w:rsidR="00701463" w:rsidRPr="001569FB">
        <w:rPr>
          <w:bCs/>
          <w:szCs w:val="24"/>
        </w:rPr>
        <w:t xml:space="preserve"> </w:t>
      </w:r>
      <w:r w:rsidR="00701463" w:rsidRPr="001569FB">
        <w:rPr>
          <w:szCs w:val="24"/>
        </w:rPr>
        <w:t>percent</w:t>
      </w:r>
      <w:r w:rsidRPr="001569FB">
        <w:rPr>
          <w:bCs/>
          <w:szCs w:val="24"/>
        </w:rPr>
        <w:t xml:space="preserve"> and 80</w:t>
      </w:r>
      <w:r w:rsidR="00701463" w:rsidRPr="001569FB">
        <w:rPr>
          <w:bCs/>
          <w:szCs w:val="24"/>
        </w:rPr>
        <w:t xml:space="preserve"> percent</w:t>
      </w:r>
      <w:r w:rsidRPr="001569FB">
        <w:rPr>
          <w:bCs/>
          <w:szCs w:val="24"/>
        </w:rPr>
        <w:t xml:space="preserve">, respectively.  Figure </w:t>
      </w:r>
      <w:r w:rsidR="003E4F8A" w:rsidRPr="001569FB">
        <w:rPr>
          <w:bCs/>
          <w:szCs w:val="24"/>
        </w:rPr>
        <w:t xml:space="preserve">1 </w:t>
      </w:r>
      <w:r w:rsidRPr="001569FB">
        <w:rPr>
          <w:bCs/>
          <w:szCs w:val="24"/>
        </w:rPr>
        <w:t xml:space="preserve">below illustrates the risk corridors for </w:t>
      </w:r>
      <w:r w:rsidR="00B61F5C" w:rsidRPr="001569FB">
        <w:rPr>
          <w:bCs/>
          <w:szCs w:val="24"/>
        </w:rPr>
        <w:t>2019</w:t>
      </w:r>
      <w:r w:rsidRPr="001569FB">
        <w:rPr>
          <w:bCs/>
          <w:szCs w:val="24"/>
        </w:rPr>
        <w:t>.</w:t>
      </w:r>
    </w:p>
    <w:p w14:paraId="25BBC92F" w14:textId="63CAA40E" w:rsidR="007C1172" w:rsidRPr="001569FB" w:rsidRDefault="007C1172" w:rsidP="008C291C">
      <w:pPr>
        <w:pStyle w:val="TableTitle0"/>
        <w:ind w:right="1440"/>
        <w:rPr>
          <w:szCs w:val="24"/>
        </w:rPr>
      </w:pPr>
      <w:r w:rsidRPr="001569FB">
        <w:rPr>
          <w:szCs w:val="24"/>
        </w:rPr>
        <w:lastRenderedPageBreak/>
        <w:t xml:space="preserve">Figure </w:t>
      </w:r>
      <w:r w:rsidR="003E4F8A" w:rsidRPr="001569FB">
        <w:rPr>
          <w:szCs w:val="24"/>
        </w:rPr>
        <w:t>1</w:t>
      </w:r>
      <w:r w:rsidR="0067131F" w:rsidRPr="001569FB">
        <w:rPr>
          <w:szCs w:val="24"/>
        </w:rPr>
        <w:t xml:space="preserve">.  </w:t>
      </w:r>
      <w:r w:rsidRPr="001569FB">
        <w:rPr>
          <w:szCs w:val="24"/>
        </w:rPr>
        <w:t xml:space="preserve">Part D Risk Corridors for </w:t>
      </w:r>
      <w:r w:rsidR="00B61F5C" w:rsidRPr="001569FB">
        <w:rPr>
          <w:szCs w:val="24"/>
        </w:rPr>
        <w:t>2019</w:t>
      </w:r>
    </w:p>
    <w:p w14:paraId="3021E26C" w14:textId="77777777" w:rsidR="007C1172" w:rsidRPr="001569FB" w:rsidRDefault="007C1172" w:rsidP="002F16DE">
      <w:pPr>
        <w:ind w:left="360"/>
        <w:rPr>
          <w:bCs/>
          <w:szCs w:val="24"/>
        </w:rPr>
      </w:pPr>
      <w:r w:rsidRPr="001569FB">
        <w:rPr>
          <w:noProof/>
          <w:szCs w:val="24"/>
        </w:rPr>
        <mc:AlternateContent>
          <mc:Choice Requires="wpg">
            <w:drawing>
              <wp:inline distT="0" distB="0" distL="0" distR="0" wp14:anchorId="490E85D2" wp14:editId="3F5D3F60">
                <wp:extent cx="3810419" cy="4062095"/>
                <wp:effectExtent l="0" t="0" r="0" b="14605"/>
                <wp:docPr id="1" name="Group 2" descr="Illustration of risk corridors as discussed in previous paragraphs." title="Part D Risk Corridors for 20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419" cy="4062095"/>
                          <a:chOff x="2457" y="4522"/>
                          <a:chExt cx="7000" cy="7303"/>
                        </a:xfrm>
                      </wpg:grpSpPr>
                      <wps:wsp>
                        <wps:cNvPr id="9" name="Rectangle 3"/>
                        <wps:cNvSpPr>
                          <a:spLocks noChangeArrowheads="1"/>
                        </wps:cNvSpPr>
                        <wps:spPr bwMode="auto">
                          <a:xfrm>
                            <a:off x="2857" y="6991"/>
                            <a:ext cx="4300" cy="1131"/>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0" name="Rectangle 4"/>
                        <wps:cNvSpPr>
                          <a:spLocks noChangeArrowheads="1"/>
                        </wps:cNvSpPr>
                        <wps:spPr bwMode="auto">
                          <a:xfrm>
                            <a:off x="2857" y="8225"/>
                            <a:ext cx="4300" cy="1131"/>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1" name="Text Box 5"/>
                        <wps:cNvSpPr txBox="1">
                          <a:spLocks noChangeArrowheads="1"/>
                        </wps:cNvSpPr>
                        <wps:spPr bwMode="auto">
                          <a:xfrm>
                            <a:off x="7657" y="6682"/>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C18C6"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2" name="Text Box 6"/>
                        <wps:cNvSpPr txBox="1">
                          <a:spLocks noChangeArrowheads="1"/>
                        </wps:cNvSpPr>
                        <wps:spPr bwMode="auto">
                          <a:xfrm>
                            <a:off x="7657" y="5448"/>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A9C3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3" name="Text Box 7"/>
                        <wps:cNvSpPr txBox="1">
                          <a:spLocks noChangeArrowheads="1"/>
                        </wps:cNvSpPr>
                        <wps:spPr bwMode="auto">
                          <a:xfrm>
                            <a:off x="7657" y="10385"/>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AEE9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4" name="Text Box 8"/>
                        <wps:cNvSpPr txBox="1">
                          <a:spLocks noChangeArrowheads="1"/>
                        </wps:cNvSpPr>
                        <wps:spPr bwMode="auto">
                          <a:xfrm>
                            <a:off x="7657" y="9151"/>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93AAF"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5" name="Text Box 9"/>
                        <wps:cNvSpPr txBox="1">
                          <a:spLocks noChangeArrowheads="1"/>
                        </wps:cNvSpPr>
                        <wps:spPr bwMode="auto">
                          <a:xfrm>
                            <a:off x="2857" y="7402"/>
                            <a:ext cx="4300" cy="411"/>
                          </a:xfrm>
                          <a:prstGeom prst="rect">
                            <a:avLst/>
                          </a:prstGeom>
                          <a:noFill/>
                          <a:ln>
                            <a:noFill/>
                          </a:ln>
                          <a:extLst>
                            <a:ext uri="{909E8E84-426E-40DD-AFC4-6F175D3DCCD1}">
                              <a14:hiddenFill xmlns:a14="http://schemas.microsoft.com/office/drawing/2010/main">
                                <a:solidFill>
                                  <a:srgbClr val="CC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C3D2B" w14:textId="77777777" w:rsidR="009D4953" w:rsidRDefault="009D4953" w:rsidP="007C1172">
                              <w:pPr>
                                <w:autoSpaceDE w:val="0"/>
                                <w:autoSpaceDN w:val="0"/>
                                <w:adjustRightInd w:val="0"/>
                                <w:jc w:val="center"/>
                                <w:rPr>
                                  <w:color w:val="FFFFFF"/>
                                  <w:sz w:val="21"/>
                                  <w:szCs w:val="28"/>
                                </w:rPr>
                              </w:pPr>
                              <w:r w:rsidRPr="00582B30">
                                <w:rPr>
                                  <w:color w:val="FFFFFF"/>
                                  <w:sz w:val="21"/>
                                  <w:szCs w:val="28"/>
                                </w:rPr>
                                <w:t>Plan Pays 100%</w:t>
                              </w:r>
                            </w:p>
                          </w:txbxContent>
                        </wps:txbx>
                        <wps:bodyPr rot="0" vert="horz" wrap="square" lIns="68580" tIns="34290" rIns="68580" bIns="34290" anchor="t" anchorCtr="0" upright="1">
                          <a:noAutofit/>
                        </wps:bodyPr>
                      </wps:wsp>
                      <wps:wsp>
                        <wps:cNvPr id="16" name="Text Box 10"/>
                        <wps:cNvSpPr txBox="1">
                          <a:spLocks noChangeArrowheads="1"/>
                        </wps:cNvSpPr>
                        <wps:spPr bwMode="auto">
                          <a:xfrm>
                            <a:off x="2857" y="8534"/>
                            <a:ext cx="4300" cy="411"/>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4F6B"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 100%</w:t>
                              </w:r>
                            </w:p>
                          </w:txbxContent>
                        </wps:txbx>
                        <wps:bodyPr rot="0" vert="horz" wrap="square" lIns="68580" tIns="34290" rIns="68580" bIns="34290" anchor="t" anchorCtr="0" upright="1">
                          <a:noAutofit/>
                        </wps:bodyPr>
                      </wps:wsp>
                      <wps:wsp>
                        <wps:cNvPr id="17" name="Rectangle 11"/>
                        <wps:cNvSpPr>
                          <a:spLocks noChangeArrowheads="1"/>
                        </wps:cNvSpPr>
                        <wps:spPr bwMode="auto">
                          <a:xfrm>
                            <a:off x="2857" y="5756"/>
                            <a:ext cx="43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4D034C81"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18" name="Rectangle 12"/>
                        <wps:cNvSpPr>
                          <a:spLocks noChangeArrowheads="1"/>
                        </wps:cNvSpPr>
                        <wps:spPr bwMode="auto">
                          <a:xfrm>
                            <a:off x="4957" y="5756"/>
                            <a:ext cx="2200" cy="1132"/>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9" name="Rectangle 13"/>
                        <wps:cNvSpPr>
                          <a:spLocks noChangeArrowheads="1"/>
                        </wps:cNvSpPr>
                        <wps:spPr bwMode="auto">
                          <a:xfrm>
                            <a:off x="2457" y="5962"/>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01B6B"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50%</w:t>
                              </w:r>
                            </w:p>
                          </w:txbxContent>
                        </wps:txbx>
                        <wps:bodyPr rot="0" vert="horz" wrap="square" lIns="68580" tIns="34290" rIns="68580" bIns="34290" anchor="t" anchorCtr="0" upright="1">
                          <a:noAutofit/>
                        </wps:bodyPr>
                      </wps:wsp>
                      <wps:wsp>
                        <wps:cNvPr id="20" name="Text Box 14"/>
                        <wps:cNvSpPr txBox="1">
                          <a:spLocks noChangeArrowheads="1"/>
                        </wps:cNvSpPr>
                        <wps:spPr bwMode="auto">
                          <a:xfrm>
                            <a:off x="5357" y="5962"/>
                            <a:ext cx="1312"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4D5B1"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50%</w:t>
                              </w:r>
                            </w:p>
                          </w:txbxContent>
                        </wps:txbx>
                        <wps:bodyPr rot="0" vert="horz" wrap="square" lIns="68580" tIns="34290" rIns="68580" bIns="34290" anchor="t" anchorCtr="0" upright="1">
                          <a:noAutofit/>
                        </wps:bodyPr>
                      </wps:wsp>
                      <wpg:grpSp>
                        <wpg:cNvPr id="21" name="Group 15"/>
                        <wpg:cNvGrpSpPr>
                          <a:grpSpLocks/>
                        </wpg:cNvGrpSpPr>
                        <wpg:grpSpPr bwMode="auto">
                          <a:xfrm>
                            <a:off x="2857" y="4522"/>
                            <a:ext cx="4400" cy="1131"/>
                            <a:chOff x="1632" y="3696"/>
                            <a:chExt cx="2112" cy="528"/>
                          </a:xfrm>
                        </wpg:grpSpPr>
                        <wps:wsp>
                          <wps:cNvPr id="22" name="Rectangle 16"/>
                          <wps:cNvSpPr>
                            <a:spLocks noChangeArrowheads="1"/>
                          </wps:cNvSpPr>
                          <wps:spPr bwMode="auto">
                            <a:xfrm>
                              <a:off x="1632" y="3696"/>
                              <a:ext cx="2064"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3" name="Text Box 17"/>
                          <wps:cNvSpPr txBox="1">
                            <a:spLocks noChangeArrowheads="1"/>
                          </wps:cNvSpPr>
                          <wps:spPr bwMode="auto">
                            <a:xfrm>
                              <a:off x="1632" y="380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45FB5"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80%</w:t>
                                </w:r>
                              </w:p>
                            </w:txbxContent>
                          </wps:txbx>
                          <wps:bodyPr rot="0" vert="horz" wrap="square" lIns="68580" tIns="34290" rIns="68580" bIns="34290" anchor="t" anchorCtr="0" upright="1">
                            <a:noAutofit/>
                          </wps:bodyPr>
                        </wps:wsp>
                        <wps:wsp>
                          <wps:cNvPr id="24" name="Rectangle 18"/>
                          <wps:cNvSpPr>
                            <a:spLocks noChangeArrowheads="1"/>
                          </wps:cNvSpPr>
                          <wps:spPr bwMode="auto">
                            <a:xfrm>
                              <a:off x="3168" y="3696"/>
                              <a:ext cx="528" cy="528"/>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5" name="Text Box 19"/>
                          <wps:cNvSpPr txBox="1">
                            <a:spLocks noChangeArrowheads="1"/>
                          </wps:cNvSpPr>
                          <wps:spPr bwMode="auto">
                            <a:xfrm>
                              <a:off x="3168" y="3796"/>
                              <a:ext cx="57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5B30E"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20%</w:t>
                                </w:r>
                              </w:p>
                            </w:txbxContent>
                          </wps:txbx>
                          <wps:bodyPr rot="0" vert="horz" wrap="square" lIns="68580" tIns="34290" rIns="68580" bIns="34290" anchor="t" anchorCtr="0" upright="1">
                            <a:noAutofit/>
                          </wps:bodyPr>
                        </wps:wsp>
                      </wpg:grpSp>
                      <wps:wsp>
                        <wps:cNvPr id="26" name="Rectangle 20"/>
                        <wps:cNvSpPr>
                          <a:spLocks noChangeArrowheads="1"/>
                        </wps:cNvSpPr>
                        <wps:spPr bwMode="auto">
                          <a:xfrm>
                            <a:off x="2857" y="9459"/>
                            <a:ext cx="4300" cy="113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7" name="Text Box 21"/>
                        <wps:cNvSpPr txBox="1">
                          <a:spLocks noChangeArrowheads="1"/>
                        </wps:cNvSpPr>
                        <wps:spPr bwMode="auto">
                          <a:xfrm>
                            <a:off x="5357" y="9665"/>
                            <a:ext cx="14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B357"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50%</w:t>
                              </w:r>
                            </w:p>
                          </w:txbxContent>
                        </wps:txbx>
                        <wps:bodyPr rot="0" vert="horz" wrap="square" lIns="68580" tIns="34290" rIns="68580" bIns="34290" anchor="t" anchorCtr="0" upright="1">
                          <a:noAutofit/>
                        </wps:bodyPr>
                      </wps:wsp>
                      <wps:wsp>
                        <wps:cNvPr id="28" name="Rectangle 22"/>
                        <wps:cNvSpPr>
                          <a:spLocks noChangeArrowheads="1"/>
                        </wps:cNvSpPr>
                        <wps:spPr bwMode="auto">
                          <a:xfrm>
                            <a:off x="2857" y="9459"/>
                            <a:ext cx="22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39DD1BC"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29" name="Text Box 23"/>
                        <wps:cNvSpPr txBox="1">
                          <a:spLocks noChangeArrowheads="1"/>
                        </wps:cNvSpPr>
                        <wps:spPr bwMode="auto">
                          <a:xfrm>
                            <a:off x="2457" y="9665"/>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8E138"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50%</w:t>
                              </w:r>
                            </w:p>
                          </w:txbxContent>
                        </wps:txbx>
                        <wps:bodyPr rot="0" vert="horz" wrap="square" lIns="68580" tIns="34290" rIns="68580" bIns="34290" anchor="t" anchorCtr="0" upright="1">
                          <a:noAutofit/>
                        </wps:bodyPr>
                      </wps:wsp>
                      <wpg:grpSp>
                        <wpg:cNvPr id="30" name="Group 24"/>
                        <wpg:cNvGrpSpPr>
                          <a:grpSpLocks/>
                        </wpg:cNvGrpSpPr>
                        <wpg:grpSpPr bwMode="auto">
                          <a:xfrm>
                            <a:off x="2857" y="10694"/>
                            <a:ext cx="4487" cy="1131"/>
                            <a:chOff x="1632" y="816"/>
                            <a:chExt cx="2154" cy="528"/>
                          </a:xfrm>
                        </wpg:grpSpPr>
                        <wps:wsp>
                          <wps:cNvPr id="31" name="Rectangle 25"/>
                          <wps:cNvSpPr>
                            <a:spLocks noChangeArrowheads="1"/>
                          </wps:cNvSpPr>
                          <wps:spPr bwMode="auto">
                            <a:xfrm>
                              <a:off x="1632" y="816"/>
                              <a:ext cx="2064" cy="528"/>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32" name="Rectangle 26"/>
                          <wps:cNvSpPr>
                            <a:spLocks noChangeArrowheads="1"/>
                          </wps:cNvSpPr>
                          <wps:spPr bwMode="auto">
                            <a:xfrm>
                              <a:off x="1632" y="816"/>
                              <a:ext cx="1536"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100F33A"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33" name="Text Box 27"/>
                          <wps:cNvSpPr txBox="1">
                            <a:spLocks noChangeArrowheads="1"/>
                          </wps:cNvSpPr>
                          <wps:spPr bwMode="auto">
                            <a:xfrm>
                              <a:off x="1632" y="92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82AED"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80%</w:t>
                                </w:r>
                              </w:p>
                            </w:txbxContent>
                          </wps:txbx>
                          <wps:bodyPr rot="0" vert="horz" wrap="square" lIns="68580" tIns="34290" rIns="68580" bIns="34290" anchor="t" anchorCtr="0" upright="1">
                            <a:noAutofit/>
                          </wps:bodyPr>
                        </wps:wsp>
                        <wps:wsp>
                          <wps:cNvPr id="34" name="Text Box 28"/>
                          <wps:cNvSpPr txBox="1">
                            <a:spLocks noChangeArrowheads="1"/>
                          </wps:cNvSpPr>
                          <wps:spPr bwMode="auto">
                            <a:xfrm>
                              <a:off x="3081" y="923"/>
                              <a:ext cx="705"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920A3"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20%</w:t>
                                </w:r>
                              </w:p>
                            </w:txbxContent>
                          </wps:txbx>
                          <wps:bodyPr rot="0" vert="horz" wrap="square" lIns="68580" tIns="34290" rIns="68580" bIns="34290" anchor="t" anchorCtr="0" upright="1">
                            <a:noAutofit/>
                          </wps:bodyPr>
                        </wps:wsp>
                      </wpg:grpSp>
                      <wps:wsp>
                        <wps:cNvPr id="35" name="Line 29"/>
                        <wps:cNvCnPr/>
                        <wps:spPr bwMode="auto">
                          <a:xfrm>
                            <a:off x="6957" y="8174"/>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6" name="Line 30"/>
                        <wps:cNvCnPr/>
                        <wps:spPr bwMode="auto">
                          <a:xfrm>
                            <a:off x="6957" y="9412"/>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7" name="Line 31"/>
                        <wps:cNvCnPr/>
                        <wps:spPr bwMode="auto">
                          <a:xfrm>
                            <a:off x="6957" y="10645"/>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8" name="Line 32"/>
                        <wps:cNvCnPr/>
                        <wps:spPr bwMode="auto">
                          <a:xfrm>
                            <a:off x="6957" y="5716"/>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9" name="Line 33"/>
                        <wps:cNvCnPr/>
                        <wps:spPr bwMode="auto">
                          <a:xfrm>
                            <a:off x="6957" y="6948"/>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40" name="Text Box 34"/>
                        <wps:cNvSpPr txBox="1">
                          <a:spLocks noChangeArrowheads="1"/>
                        </wps:cNvSpPr>
                        <wps:spPr bwMode="auto">
                          <a:xfrm>
                            <a:off x="7466" y="7916"/>
                            <a:ext cx="1867" cy="464"/>
                          </a:xfrm>
                          <a:prstGeom prst="rect">
                            <a:avLst/>
                          </a:prstGeom>
                          <a:solidFill>
                            <a:srgbClr val="FFFFFF"/>
                          </a:solidFill>
                          <a:ln w="9525">
                            <a:solidFill>
                              <a:srgbClr val="FFFFFF"/>
                            </a:solidFill>
                            <a:miter lim="800000"/>
                            <a:headEnd/>
                            <a:tailEnd/>
                          </a:ln>
                        </wps:spPr>
                        <wps:txbx>
                          <w:txbxContent>
                            <w:p w14:paraId="1F1714EA" w14:textId="77777777" w:rsidR="009D4953" w:rsidRPr="00804FAA" w:rsidRDefault="009D4953" w:rsidP="007C1172">
                              <w:pPr>
                                <w:rPr>
                                  <w:b/>
                                  <w:sz w:val="18"/>
                                </w:rPr>
                              </w:pPr>
                              <w:r w:rsidRPr="00804FAA">
                                <w:rPr>
                                  <w:b/>
                                  <w:sz w:val="18"/>
                                </w:rPr>
                                <w:t>Target Amount</w:t>
                              </w:r>
                            </w:p>
                          </w:txbxContent>
                        </wps:txbx>
                        <wps:bodyPr rot="0" vert="horz" wrap="square" lIns="68580" tIns="34290" rIns="68580" bIns="34290" anchor="t" anchorCtr="0" upright="1">
                          <a:noAutofit/>
                        </wps:bodyPr>
                      </wps:wsp>
                    </wpg:wgp>
                  </a:graphicData>
                </a:graphic>
              </wp:inline>
            </w:drawing>
          </mc:Choice>
          <mc:Fallback>
            <w:pict>
              <v:group w14:anchorId="490E85D2" id="Group 2" o:spid="_x0000_s1026" alt="Title: Part D Risk Corridors for 2019 - Description: Illustration of risk corridors as discussed in previous paragraphs." style="width:300.05pt;height:319.85pt;mso-position-horizontal-relative:char;mso-position-vertical-relative:line" coordorigin="2457,4522" coordsize="7000,7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">
                <v:rect id="Rectangle 3" o:spid="_x0000_s1027" style="position:absolute;left:2857;top:6991;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7MIA&#10;AADaAAAADwAAAGRycy9kb3ducmV2LnhtbESPzWrDMBCE74G8g9hAb4mcHNrUjWxCSKBNT0n9AIu1&#10;tY2tlW3JP337qlDIcZiZb5hDOptGjNS7yrKC7SYCQZxbXXGhIPu6rPcgnEfW2FgmBT/kIE2WiwPG&#10;2k58o/HuCxEg7GJUUHrfxlK6vCSDbmNb4uB9296gD7IvpO5xCnDTyF0UPUuDFYeFEls6lZTX98Eo&#10;+Nzr68f5NBT1JF8s2S47d9dMqafVfHwD4Wn2j/B/+10reIW/K+EG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flzswgAAANoAAAAPAAAAAAAAAAAAAAAAAJgCAABkcnMvZG93&#10;bnJldi54bWxQSwUGAAAAAAQABAD1AAAAhwMAAAAA&#10;" fillcolor="#c00">
                  <v:shadow color="#333"/>
                </v:rect>
                <v:rect id="Rectangle 4" o:spid="_x0000_s1028" style="position:absolute;left:2857;top:8225;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GW8QA&#10;AADbAAAADwAAAGRycy9kb3ducmV2LnhtbESPQW/CMAyF75P2HyJP2m2ktNo0OgKCSUO7TQUu3KzG&#10;NBWNUzWhdP8eHybtZus9v/d5uZ58p0YaYhvYwHyWgSKug225MXA8fL28g4oJ2WIXmAz8UoT16vFh&#10;iaUNN65o3KdGSQjHEg24lPpS61g78hhnoScW7RwGj0nWodF2wJuE+07nWfamPbYsDQ57+nRUX/ZX&#10;b6A57rY/+as7zRdjW+WLojhVm8KY56dp8wEq0ZT+zX/X31bwhV5+kQ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URlvEAAAA2wAAAA8AAAAAAAAAAAAAAAAAmAIAAGRycy9k&#10;b3ducmV2LnhtbFBLBQYAAAAABAAEAPUAAACJAwAAAAA=&#10;" fillcolor="black">
                  <v:shadow color="#333"/>
                </v:rect>
                <v:shapetype id="_x0000_t202" coordsize="21600,21600" o:spt="202" path="m,l,21600r21600,l21600,xe">
                  <v:stroke joinstyle="miter"/>
                  <v:path gradientshapeok="t" o:connecttype="rect"/>
                </v:shapetype>
                <v:shape id="Text Box 5" o:spid="_x0000_s1029" type="#_x0000_t202" style="position:absolute;left:7657;top:6682;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88sIA&#10;AADbAAAADwAAAGRycy9kb3ducmV2LnhtbERPTWvCQBC9C/0PyxS81Y1FRFJXkYKivUij0uuYHZNo&#10;djbsrjH113eFgrd5vM+ZzjtTi5acrywrGA4SEMS51RUXCva75dsEhA/IGmvLpOCXPMxnL70pptre&#10;+JvaLBQihrBPUUEZQpNK6fOSDPqBbYgjd7LOYIjQFVI7vMVwU8v3JBlLgxXHhhIb+iwpv2RXo2D1&#10;s9iuDmP8WrqNC+1xk51H90qp/mu3+AARqAtP8b97reP8ITx+iQf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DnzywgAAANsAAAAPAAAAAAAAAAAAAAAAAJgCAABkcnMvZG93&#10;bnJldi54bWxQSwUGAAAAAAQABAD1AAAAhwMAAAAA&#10;" filled="f" fillcolor="#ddd" stroked="f">
                  <v:textbox inset="5.4pt,2.7pt,5.4pt,2.7pt">
                    <w:txbxContent>
                      <w:p w14:paraId="3A0C18C6"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v:textbox>
                </v:shape>
                <v:shape id="Text Box 6" o:spid="_x0000_s1030" type="#_x0000_t202" style="position:absolute;left:7657;top:5448;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zihcIA&#10;AADbAAAADwAAAGRycy9kb3ducmV2LnhtbERPTWvCQBC9F/wPywi91Y1SpERXEUFRL2JUvE6z0yRt&#10;djbsrjH6691Cobd5vM+ZzjtTi5acrywrGA4SEMS51RUXCk7H1dsHCB+QNdaWScGdPMxnvZcpptre&#10;+EBtFgoRQ9inqKAMoUml9HlJBv3ANsSR+7LOYIjQFVI7vMVwU8tRkoylwYpjQ4kNLUvKf7KrUbC+&#10;LPbr8xh3K7d1of3cZt/vj0qp1363mIAI1IV/8Z97o+P8Efz+E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OKFwgAAANsAAAAPAAAAAAAAAAAAAAAAAJgCAABkcnMvZG93&#10;bnJldi54bWxQSwUGAAAAAAQABAD1AAAAhwMAAAAA&#10;" filled="f" fillcolor="#ddd" stroked="f">
                  <v:textbox inset="5.4pt,2.7pt,5.4pt,2.7pt">
                    <w:txbxContent>
                      <w:p w14:paraId="32EA9C3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v:textbox>
                </v:shape>
                <v:shape id="Text Box 7" o:spid="_x0000_s1031" type="#_x0000_t202" style="position:absolute;left:7657;top:10385;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BHHsIA&#10;AADbAAAADwAAAGRycy9kb3ducmV2LnhtbERPTWvCQBC9F/oflhF6MxtbkZK6ihSU2ouYKr1Os9Mk&#10;mp0Nu9sY/fWuIPQ2j/c503lvGtGR87VlBaMkBUFcWF1zqWD3tRy+gvABWWNjmRScycN89vgwxUzb&#10;E2+py0MpYgj7DBVUIbSZlL6oyKBPbEscuV/rDIYIXSm1w1MMN418TtOJNFhzbKiwpfeKimP+ZxSs&#10;vheb1X6Cn0u3dqH7WeeH8aVW6mnQL95ABOrDv/ju/tBx/gvcfo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EcewgAAANsAAAAPAAAAAAAAAAAAAAAAAJgCAABkcnMvZG93&#10;bnJldi54bWxQSwUGAAAAAAQABAD1AAAAhwMAAAAA&#10;" filled="f" fillcolor="#ddd" stroked="f">
                  <v:textbox inset="5.4pt,2.7pt,5.4pt,2.7pt">
                    <w:txbxContent>
                      <w:p w14:paraId="3BAAEE9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v:textbox>
                </v:shape>
                <v:shape id="Text Box 8" o:spid="_x0000_s1032" type="#_x0000_t202" style="position:absolute;left:7657;top:9151;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fasIA&#10;AADbAAAADwAAAGRycy9kb3ducmV2LnhtbERPTWvCQBC9C/0PyxS86aYiIqmrhEJEvZTGll6n2WmS&#10;NjsbdtcY++u7guBtHu9zVpvBtKIn5xvLCp6mCQji0uqGKwXvx3yyBOEDssbWMim4kIfN+mG0wlTb&#10;M79RX4RKxBD2KSqoQ+hSKX1Zk0E/tR1x5L6tMxgidJXUDs8x3LRyliQLabDh2FBjRy81lb/FySjY&#10;fmav248FHnK3d6H/2hc/879GqfHjkD2DCDSEu/jm3uk4fw7XX+I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d9qwgAAANsAAAAPAAAAAAAAAAAAAAAAAJgCAABkcnMvZG93&#10;bnJldi54bWxQSwUGAAAAAAQABAD1AAAAhwMAAAAA&#10;" filled="f" fillcolor="#ddd" stroked="f">
                  <v:textbox inset="5.4pt,2.7pt,5.4pt,2.7pt">
                    <w:txbxContent>
                      <w:p w14:paraId="6D393AAF"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v:textbox>
                </v:shape>
                <v:shape id="Text Box 9" o:spid="_x0000_s1033" type="#_x0000_t202" style="position:absolute;left:2857;top:7402;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FNScAA&#10;AADbAAAADwAAAGRycy9kb3ducmV2LnhtbERPzWrCQBC+C77DMkJvZqNQkegqrSC0l4ZqHmDMTpPQ&#10;7EzMriZ9e7dQ6G0+vt/Z7kfXqjv1vhE2sEhSUMSl2IYrA8X5OF+D8gHZYitMBn7Iw343nWwxszLw&#10;J91PoVIxhH2GBuoQukxrX9bk0CfSEUfuS3qHIcK+0rbHIYa7Vi/TdKUdNhwbauzoUFP5fbo5A+OF&#10;i9cPm9P1LN3avl8lX6RizNNsfNmACjSGf/Gf+83G+c/w+0s8QO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FNScAAAADbAAAADwAAAAAAAAAAAAAAAACYAgAAZHJzL2Rvd25y&#10;ZXYueG1sUEsFBgAAAAAEAAQA9QAAAIUDAAAAAA==&#10;" filled="f" fillcolor="#c00" stroked="f">
                  <v:textbox inset="5.4pt,2.7pt,5.4pt,2.7pt">
                    <w:txbxContent>
                      <w:p w14:paraId="105C3D2B" w14:textId="77777777" w:rsidR="009D4953" w:rsidRDefault="009D4953" w:rsidP="007C1172">
                        <w:pPr>
                          <w:autoSpaceDE w:val="0"/>
                          <w:autoSpaceDN w:val="0"/>
                          <w:adjustRightInd w:val="0"/>
                          <w:jc w:val="center"/>
                          <w:rPr>
                            <w:color w:val="FFFFFF"/>
                            <w:sz w:val="21"/>
                            <w:szCs w:val="28"/>
                          </w:rPr>
                        </w:pPr>
                        <w:r w:rsidRPr="00582B30">
                          <w:rPr>
                            <w:color w:val="FFFFFF"/>
                            <w:sz w:val="21"/>
                            <w:szCs w:val="28"/>
                          </w:rPr>
                          <w:t>Plan Pays 100%</w:t>
                        </w:r>
                      </w:p>
                    </w:txbxContent>
                  </v:textbox>
                </v:shape>
                <v:shape id="Text Box 10" o:spid="_x0000_s1034" type="#_x0000_t202" style="position:absolute;left:2857;top:8534;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hsIA&#10;AADbAAAADwAAAGRycy9kb3ducmV2LnhtbERPTWvCQBC9F/wPywje6kaRUFJXEUGpvYhR8TrNTpPU&#10;7GzY3cbUX+8WCr3N433OfNmbRnTkfG1ZwWScgCAurK65VHA6bp5fQPiArLGxTAp+yMNyMXiaY6bt&#10;jQ/U5aEUMYR9hgqqENpMSl9UZNCPbUscuU/rDIYIXSm1w1sMN42cJkkqDdYcGypsaV1Rcc2/jYLt&#10;ZbXfnlN837idC93HLv+a3WulRsN+9QoiUB/+xX/uNx3np/D7Sz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5+SGwgAAANsAAAAPAAAAAAAAAAAAAAAAAJgCAABkcnMvZG93&#10;bnJldi54bWxQSwUGAAAAAAQABAD1AAAAhwMAAAAA&#10;" filled="f" fillcolor="#ddd" stroked="f">
                  <v:textbox inset="5.4pt,2.7pt,5.4pt,2.7pt">
                    <w:txbxContent>
                      <w:p w14:paraId="3C374F6B"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 100%</w:t>
                        </w:r>
                      </w:p>
                    </w:txbxContent>
                  </v:textbox>
                </v:shape>
                <v:rect id="Rectangle 11" o:spid="_x0000_s1035" style="position:absolute;left:2857;top:5756;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ipMIA&#10;AADbAAAADwAAAGRycy9kb3ducmV2LnhtbERP3WrCMBS+H/gO4Qi7m+l60UlnlKkIHQNhugc4NGdJ&#10;WXNSmqytPv0iCLs7H9/vWW0m14qB+tB4VvC8yEAQ1143bBR8nQ9PSxAhImtsPZOCCwXYrGcPKyy1&#10;H/mThlM0IoVwKFGBjbErpQy1JYdh4TvixH373mFMsDdS9zimcNfKPMsK6bDh1GCxo52l+uf06xSY&#10;a26K43n5vv84HL3c2m1eeavU43x6ewURaYr/4ru70mn+C9x+S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uKKkwgAAANsAAAAPAAAAAAAAAAAAAAAAAJgCAABkcnMvZG93&#10;bnJldi54bWxQSwUGAAAAAAQABAD1AAAAhwMAAAAA&#10;">
                  <v:shadow color="#333"/>
                  <v:textbox inset="5.4pt,2.7pt,5.4pt,2.7pt">
                    <w:txbxContent>
                      <w:p w14:paraId="4D034C81" w14:textId="77777777" w:rsidR="009D4953" w:rsidRPr="00804FAA" w:rsidRDefault="009D4953" w:rsidP="007C1172">
                        <w:pPr>
                          <w:autoSpaceDE w:val="0"/>
                          <w:autoSpaceDN w:val="0"/>
                          <w:adjustRightInd w:val="0"/>
                          <w:rPr>
                            <w:color w:val="000000"/>
                            <w:sz w:val="21"/>
                            <w:szCs w:val="28"/>
                          </w:rPr>
                        </w:pPr>
                      </w:p>
                    </w:txbxContent>
                  </v:textbox>
                </v:rect>
                <v:rect id="Rectangle 12" o:spid="_x0000_s1036" style="position:absolute;left:4957;top:5756;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5GsMA&#10;AADbAAAADwAAAGRycy9kb3ducmV2LnhtbESPwW7CQAxE75X4h5UrcSub9kCjlAVVCKSSnkjzAVbW&#10;TSKy3pBdkvD39aESN1sznnne7GbXqZGG0Ho28LpKQBFX3rZcGyh/ji8pqBCRLXaeycCdAuy2i6cN&#10;ZtZPfKaxiLWSEA4ZGmhi7DOtQ9WQw7DyPbFov35wGGUdam0HnCTcdfotSdbaYcvS0GBP+4aqS3Fz&#10;Br5Tm58O+1t9mfS7J38tD9e8NGb5PH9+gIo0x4f5//rLCr7Ayi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u5GsMAAADbAAAADwAAAAAAAAAAAAAAAACYAgAAZHJzL2Rv&#10;d25yZXYueG1sUEsFBgAAAAAEAAQA9QAAAIgDAAAAAA==&#10;" fillcolor="#c00">
                  <v:shadow color="#333"/>
                </v:rect>
                <v:rect id="Rectangle 13" o:spid="_x0000_s1037" style="position:absolute;left:2457;top:5962;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Krb8A&#10;AADbAAAADwAAAGRycy9kb3ducmV2LnhtbERP24rCMBB9X/Afwgi+rYkrK2s1ihSEvol1P2Bsphds&#10;JqXJavXrjbDg2xzOddbbwbbiSr1vHGuYTRUI4sKZhisNv6f95w8IH5ANto5Jw508bDejjzUmxt34&#10;SNc8VCKGsE9QQx1Cl0jpi5os+qnriCNXut5iiLCvpOnxFsNtK7+UWkiLDceGGjtKayou+Z/VoDKZ&#10;H1Q2P9N3eUrv7ZCW+aPRejIedisQgYbwFv+7MxPnL+H1Szx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9IqtvwAAANsAAAAPAAAAAAAAAAAAAAAAAJgCAABkcnMvZG93bnJl&#10;di54bWxQSwUGAAAAAAQABAD1AAAAhAMAAAAA&#10;" filled="f" fillcolor="#ddd" stroked="f">
                  <v:textbox inset="5.4pt,2.7pt,5.4pt,2.7pt">
                    <w:txbxContent>
                      <w:p w14:paraId="56201B6B"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50%</w:t>
                        </w:r>
                      </w:p>
                    </w:txbxContent>
                  </v:textbox>
                </v:rect>
                <v:shape id="Text Box 14" o:spid="_x0000_s1038" type="#_x0000_t202" style="position:absolute;left:5357;top:5962;width:1312;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T1MIA&#10;AADbAAAADwAAAGRycy9kb3ducmV2LnhtbERPz2vCMBS+C/sfwht4s+lkiFRjKQNlepFVx67P5q3t&#10;1ryUJKt1f/1yGHj8+H6v89F0YiDnW8sKnpIUBHFldcu1gvNpO1uC8AFZY2eZFNzIQ755mKwx0/bK&#10;bzSUoRYxhH2GCpoQ+kxKXzVk0Ce2J47cp3UGQ4SultrhNYabTs7TdCENthwbGuzppaHqu/wxCnYf&#10;xXH3vsDD1u1dGC778uv5t1Vq+jgWKxCBxnAX/7tftYJ5XB+/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hPUwgAAANsAAAAPAAAAAAAAAAAAAAAAAJgCAABkcnMvZG93&#10;bnJldi54bWxQSwUGAAAAAAQABAD1AAAAhwMAAAAA&#10;" filled="f" fillcolor="#ddd" stroked="f">
                  <v:textbox inset="5.4pt,2.7pt,5.4pt,2.7pt">
                    <w:txbxContent>
                      <w:p w14:paraId="4904D5B1"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50%</w:t>
                        </w:r>
                      </w:p>
                    </w:txbxContent>
                  </v:textbox>
                </v:shape>
                <v:group id="Group 15" o:spid="_x0000_s1039" style="position:absolute;left:2857;top:4522;width:4400;height:1131" coordorigin="1632,3696" coordsize="2112,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6" o:spid="_x0000_s1040" style="position:absolute;left:1632;top:369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y2sIA&#10;AADbAAAADwAAAGRycy9kb3ducmV2LnhtbESPS2vDMBCE74X+B7GF3Bq5hoTgRjF9EAi5hDzoebE2&#10;tom1cq2N7fz7qFDIcZiZb5hlPrpG9dSF2rOBt2kCirjwtubSwOm4fl2ACoJssfFMBm4UIF89Py0x&#10;s37gPfUHKVWEcMjQQCXSZlqHoiKHYepb4uidfedQouxKbTscItw1Ok2SuXZYc1yosKWviorL4eoM&#10;hP77t9y6zx8/k51N99udSN0bM3kZP95BCY3yCP+3N9ZAmsLfl/gD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DLawgAAANsAAAAPAAAAAAAAAAAAAAAAAJgCAABkcnMvZG93&#10;bnJldi54bWxQSwUGAAAAAAQABAD1AAAAhwMAAAAA&#10;">
                    <v:shadow color="#333"/>
                  </v:rect>
                  <v:shape id="Text Box 17" o:spid="_x0000_s1041" type="#_x0000_t202" style="position:absolute;left:1632;top:380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No8QA&#10;AADbAAAADwAAAGRycy9kb3ducmV2LnhtbESPQWvCQBSE7wX/w/KE3upGW0Siq4igqJfSVPH6zD6T&#10;aPZt2F1j2l/fLRR6HGbmG2a26EwtWnK+sqxgOEhAEOdWV1woOHyuXyYgfEDWWFsmBV/kYTHvPc0w&#10;1fbBH9RmoRARwj5FBWUITSqlz0sy6Ae2IY7exTqDIUpXSO3wEeGmlqMkGUuDFceFEhtalZTfsrtR&#10;sDkt3zfHMe7XbudCe95l17fvSqnnfrecggjUhf/wX3urFYxe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jaPEAAAA2wAAAA8AAAAAAAAAAAAAAAAAmAIAAGRycy9k&#10;b3ducmV2LnhtbFBLBQYAAAAABAAEAPUAAACJAwAAAAA=&#10;" filled="f" fillcolor="#ddd" stroked="f">
                    <v:textbox inset="5.4pt,2.7pt,5.4pt,2.7pt">
                      <w:txbxContent>
                        <w:p w14:paraId="47645FB5"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80%</w:t>
                          </w:r>
                        </w:p>
                      </w:txbxContent>
                    </v:textbox>
                  </v:shape>
                  <v:rect id="Rectangle 18" o:spid="_x0000_s1042" style="position:absolute;left:3168;top:3696;width:528;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p5osEA&#10;AADbAAAADwAAAGRycy9kb3ducmV2LnhtbESP0YrCMBRE3wX/IVzBN00VUalGEVFQ98naD7g017bY&#10;3NQm2vr3ZmFhH4eZOcOst52pxJsaV1pWMBlHIIgzq0vOFaS342gJwnlkjZVlUvAhB9tNv7fGWNuW&#10;r/ROfC4ChF2MCgrv61hKlxVk0I1tTRy8u20M+iCbXOoG2wA3lZxG0VwaLDksFFjTvqDskbyMgp+l&#10;vpwP+1f+aOXCkn2mh+clVWo46HYrEJ46/x/+a5+0gukMfr+EHyA3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KeaLBAAAA2wAAAA8AAAAAAAAAAAAAAAAAmAIAAGRycy9kb3du&#10;cmV2LnhtbFBLBQYAAAAABAAEAPUAAACGAwAAAAA=&#10;" fillcolor="#c00">
                    <v:shadow color="#333"/>
                  </v:rect>
                  <v:shape id="Text Box 19" o:spid="_x0000_s1043" type="#_x0000_t202" style="position:absolute;left:3168;top:3796;width:57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wTMQA&#10;AADbAAAADwAAAGRycy9kb3ducmV2LnhtbESPQWvCQBSE7wX/w/KE3upGaUWiq4igqJfSVPH6zD6T&#10;aPZt2F1j2l/fLRR6HGbmG2a26EwtWnK+sqxgOEhAEOdWV1woOHyuXyYgfEDWWFsmBV/kYTHvPc0w&#10;1fbBH9RmoRARwj5FBWUITSqlz0sy6Ae2IY7exTqDIUpXSO3wEeGmlqMkGUuDFceFEhtalZTfsrtR&#10;sDkt3zfHMe7XbudCe95l19fvSqnnfrecggjUhf/wX3urFYze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sEzEAAAA2wAAAA8AAAAAAAAAAAAAAAAAmAIAAGRycy9k&#10;b3ducmV2LnhtbFBLBQYAAAAABAAEAPUAAACJAwAAAAA=&#10;" filled="f" fillcolor="#ddd" stroked="f">
                    <v:textbox inset="5.4pt,2.7pt,5.4pt,2.7pt">
                      <w:txbxContent>
                        <w:p w14:paraId="7425B30E"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20%</w:t>
                          </w:r>
                        </w:p>
                      </w:txbxContent>
                    </v:textbox>
                  </v:shape>
                </v:group>
                <v:rect id="Rectangle 20" o:spid="_x0000_s1044" style="position:absolute;left:2857;top:9459;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2xCcMA&#10;AADbAAAADwAAAGRycy9kb3ducmV2LnhtbESPQWvCQBSE74X+h+UVvNWNCRWNrqKC0luJevH2yL5m&#10;Q7NvQ3aN8d+7gtDjMDPfMMv1YBvRU+drxwom4wQEcel0zZWC82n/OQPhA7LGxjEpuJOH9er9bYm5&#10;djcuqD+GSkQI+xwVmBDaXEpfGrLox64ljt6v6yyGKLtK6g5vEW4bmSbJVFqsOS4YbGlnqPw7Xq2C&#10;6nzY/qRf5jKZ93WRzrPsUmwypUYfw2YBItAQ/sOv9rdWkE7h+S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2xCcMAAADbAAAADwAAAAAAAAAAAAAAAACYAgAAZHJzL2Rv&#10;d25yZXYueG1sUEsFBgAAAAAEAAQA9QAAAIgDAAAAAA==&#10;" fillcolor="black">
                  <v:shadow color="#333"/>
                </v:rect>
                <v:shape id="Text Box 21" o:spid="_x0000_s1045" type="#_x0000_t202" style="position:absolute;left:5357;top:9665;width:14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LoMQA&#10;AADbAAAADwAAAGRycy9kb3ducmV2LnhtbESPQWvCQBSE74X+h+UVvNWNIlaiq4igqJfSVPH6zD6T&#10;aPZt2F1j2l/fLRR6HGbmG2a26EwtWnK+sqxg0E9AEOdWV1woOHyuXycgfEDWWFsmBV/kYTF/fpph&#10;qu2DP6jNQiEihH2KCsoQmlRKn5dk0PdtQxy9i3UGQ5SukNrhI8JNLYdJMpYGK44LJTa0Kim/ZXej&#10;YHNavm+OY9yv3c6F9rzLrqPvSqneS7ecggjUhf/wX3urFQzf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i6DEAAAA2wAAAA8AAAAAAAAAAAAAAAAAmAIAAGRycy9k&#10;b3ducmV2LnhtbFBLBQYAAAAABAAEAPUAAACJAwAAAAA=&#10;" filled="f" fillcolor="#ddd" stroked="f">
                  <v:textbox inset="5.4pt,2.7pt,5.4pt,2.7pt">
                    <w:txbxContent>
                      <w:p w14:paraId="71C0B357"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50%</w:t>
                        </w:r>
                      </w:p>
                    </w:txbxContent>
                  </v:textbox>
                </v:shape>
                <v:rect id="Rectangle 22" o:spid="_x0000_s1046" style="position:absolute;left:2857;top:9459;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8a8EA&#10;AADbAAAADwAAAGRycy9kb3ducmV2LnhtbERP3UrDMBS+F3yHcATvXGovSqnLyjoZTISCnQ9waI5J&#10;sTkpTbZ1e/rlQvDy4/tf14sbxZnmMHhW8LrKQBD3Xg9sFHwf9y8liBCRNY6eScGVAtSbx4c1Vtpf&#10;+IvOXTQihXCoUIGNcaqkDL0lh2HlJ+LE/fjZYUxwNlLPeEnhbpR5lhXS4cCpweJEO0v9b3dyCswt&#10;N0V7LD/eP/etl41t8oO3Sj0/Lds3EJGW+C/+cx+0gjyNTV/SD5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L/GvBAAAA2wAAAA8AAAAAAAAAAAAAAAAAmAIAAGRycy9kb3du&#10;cmV2LnhtbFBLBQYAAAAABAAEAPUAAACGAwAAAAA=&#10;">
                  <v:shadow color="#333"/>
                  <v:textbox inset="5.4pt,2.7pt,5.4pt,2.7pt">
                    <w:txbxContent>
                      <w:p w14:paraId="539DD1BC" w14:textId="77777777" w:rsidR="009D4953" w:rsidRPr="00804FAA" w:rsidRDefault="009D4953" w:rsidP="007C1172">
                        <w:pPr>
                          <w:autoSpaceDE w:val="0"/>
                          <w:autoSpaceDN w:val="0"/>
                          <w:adjustRightInd w:val="0"/>
                          <w:rPr>
                            <w:color w:val="000000"/>
                            <w:sz w:val="21"/>
                            <w:szCs w:val="28"/>
                          </w:rPr>
                        </w:pPr>
                      </w:p>
                    </w:txbxContent>
                  </v:textbox>
                </v:rect>
                <v:shape id="Text Box 23" o:spid="_x0000_s1047" type="#_x0000_t202" style="position:absolute;left:2457;top:9665;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6ScQA&#10;AADbAAAADwAAAGRycy9kb3ducmV2LnhtbESPQWvCQBSE74X+h+UVvNWNIlKjq4igqJfSVPH6zD6T&#10;aPZt2F1j2l/fLRR6HGbmG2a26EwtWnK+sqxg0E9AEOdWV1woOHyuX99A+ICssbZMCr7Iw2L+/DTD&#10;VNsHf1CbhUJECPsUFZQhNKmUPi/JoO/bhjh6F+sMhihdIbXDR4SbWg6TZCwNVhwXSmxoVVJ+y+5G&#10;wea0fN8cx7hfu50L7XmXXUfflVK9l245BRGoC//hv/ZWKxhO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uknEAAAA2wAAAA8AAAAAAAAAAAAAAAAAmAIAAGRycy9k&#10;b3ducmV2LnhtbFBLBQYAAAAABAAEAPUAAACJAwAAAAA=&#10;" filled="f" fillcolor="#ddd" stroked="f">
                  <v:textbox inset="5.4pt,2.7pt,5.4pt,2.7pt">
                    <w:txbxContent>
                      <w:p w14:paraId="2838E138"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50%</w:t>
                        </w:r>
                      </w:p>
                    </w:txbxContent>
                  </v:textbox>
                </v:shape>
                <v:group id="Group 24" o:spid="_x0000_s1048" style="position:absolute;left:2857;top:10694;width:4487;height:1131" coordorigin="1632,816" coordsize="2154,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5" o:spid="_x0000_s1049" style="position:absolute;left:1632;top:81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oMMA&#10;AADbAAAADwAAAGRycy9kb3ducmV2LnhtbESPT2vCQBTE7wW/w/IEb3XzB4tGV9GCpbcS9eLtkX1m&#10;g9m3IbuN6bfvCoUeh5n5DbPZjbYVA/W+cawgnScgiCunG64VXM7H1yUIH5A1to5JwQ952G0nLxss&#10;tHtwScMp1CJC2BeowITQFVL6ypBFP3cdcfRurrcYouxrqXt8RLhtZZYkb9Jiw3HBYEfvhqr76dsq&#10;qC8fh69sYa7pamjKbJXn13KfKzWbjvs1iEBj+A//tT+1gjyF5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2/oMMAAADbAAAADwAAAAAAAAAAAAAAAACYAgAAZHJzL2Rv&#10;d25yZXYueG1sUEsFBgAAAAAEAAQA9QAAAIgDAAAAAA==&#10;" fillcolor="black">
                    <v:shadow color="#333"/>
                  </v:rect>
                  <v:rect id="Rectangle 26" o:spid="_x0000_s1050" style="position:absolute;left:1632;top:816;width:1536;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dXMQA&#10;AADbAAAADwAAAGRycy9kb3ducmV2LnhtbESPUWvCMBSF3wf+h3AF39Z0HUjpjDKVgjIoTPcDLs1d&#10;UtbclCbT6q9fBoM9Hs453+GsNpPrxYXG0HlW8JTlIIhbrzs2Cj7O9WMJIkRkjb1nUnCjAJv17GGF&#10;lfZXfqfLKRqRIBwqVGBjHCopQ2vJYcj8QJy8Tz86jEmORuoRrwnuelnk+VI67DgtWBxoZ6n9On07&#10;BeZemGVzLo/7t7rxcmu3xcFbpRbz6fUFRKQp/of/2get4Lm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6XVzEAAAA2wAAAA8AAAAAAAAAAAAAAAAAmAIAAGRycy9k&#10;b3ducmV2LnhtbFBLBQYAAAAABAAEAPUAAACJAwAAAAA=&#10;">
                    <v:shadow color="#333"/>
                    <v:textbox inset="5.4pt,2.7pt,5.4pt,2.7pt">
                      <w:txbxContent>
                        <w:p w14:paraId="5100F33A" w14:textId="77777777" w:rsidR="009D4953" w:rsidRPr="00804FAA" w:rsidRDefault="009D4953" w:rsidP="007C1172">
                          <w:pPr>
                            <w:autoSpaceDE w:val="0"/>
                            <w:autoSpaceDN w:val="0"/>
                            <w:adjustRightInd w:val="0"/>
                            <w:rPr>
                              <w:color w:val="000000"/>
                              <w:sz w:val="21"/>
                              <w:szCs w:val="28"/>
                            </w:rPr>
                          </w:pPr>
                        </w:p>
                      </w:txbxContent>
                    </v:textbox>
                  </v:rect>
                  <v:shape id="Text Box 27" o:spid="_x0000_s1051" type="#_x0000_t202" style="position:absolute;left:1632;top:92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fsUA&#10;AADbAAAADwAAAGRycy9kb3ducmV2LnhtbESPQWvCQBSE70L/w/IK3symVaSkriIFRXsRY0uvr9nX&#10;JG32bdjdxuivdwXB4zAz3zCzRW8a0ZHztWUFT0kKgriwuuZSwcdhNXoB4QOyxsYyKTiRh8X8YTDD&#10;TNsj76nLQykihH2GCqoQ2kxKX1Rk0Ce2JY7ej3UGQ5SulNrhMcJNI5/TdCoN1hwXKmzpraLiL/83&#10;CtZfy936c4rvK7d1ofve5r+Tc63U8LFfvoII1Id7+NbeaAXjM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Rt+xQAAANsAAAAPAAAAAAAAAAAAAAAAAJgCAABkcnMv&#10;ZG93bnJldi54bWxQSwUGAAAAAAQABAD1AAAAigMAAAAA&#10;" filled="f" fillcolor="#ddd" stroked="f">
                    <v:textbox inset="5.4pt,2.7pt,5.4pt,2.7pt">
                      <w:txbxContent>
                        <w:p w14:paraId="41482AED"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80%</w:t>
                          </w:r>
                        </w:p>
                      </w:txbxContent>
                    </v:textbox>
                  </v:shape>
                  <v:shape id="Text Box 28" o:spid="_x0000_s1052" type="#_x0000_t202" style="position:absolute;left:3081;top:923;width:705;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DCsUA&#10;AADbAAAADwAAAGRycy9kb3ducmV2LnhtbESPQWvCQBSE74L/YXmCt2bTVqREV5GCUr2UphWvz+xr&#10;kjb7NuyuMfbXu0LB4zAz3zDzZW8a0ZHztWUFj0kKgriwuuZSwdfn+uEFhA/IGhvLpOBCHpaL4WCO&#10;mbZn/qAuD6WIEPYZKqhCaDMpfVGRQZ/Yljh639YZDFG6UmqH5wg3jXxK06k0WHNcqLCl14qK3/xk&#10;FGwOq/fNfoq7tdu60B23+c/kr1ZqPOpXMxCB+nAP/7fftILnC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IMKxQAAANsAAAAPAAAAAAAAAAAAAAAAAJgCAABkcnMv&#10;ZG93bnJldi54bWxQSwUGAAAAAAQABAD1AAAAigMAAAAA&#10;" filled="f" fillcolor="#ddd" stroked="f">
                    <v:textbox inset="5.4pt,2.7pt,5.4pt,2.7pt">
                      <w:txbxContent>
                        <w:p w14:paraId="016920A3"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20%</w:t>
                          </w:r>
                        </w:p>
                      </w:txbxContent>
                    </v:textbox>
                  </v:shape>
                </v:group>
                <v:line id="Line 29" o:spid="_x0000_s1053" style="position:absolute;visibility:visible;mso-wrap-style:square" from="6957,8174" to="7457,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hFk8YAAADbAAAADwAAAGRycy9kb3ducmV2LnhtbESPQWvCQBSE74L/YXlCL1I3tlpqdJWm&#10;oG1PUhX0+Mg+k2j2bciuGv313YLgcZiZb5jJrDGlOFPtCssK+r0IBHFqdcGZgs16/vwOwnlkjaVl&#10;UnAlB7NpuzXBWNsL/9J55TMRIOxiVJB7X8VSujQng65nK+Lg7W1t0AdZZ1LXeAlwU8qXKHqTBgsO&#10;CzlW9JlTelydjAKZjpLlvEm6265NFl+b3W1w+Fkr9dRpPsYgPDX+Eb63v7WC1yH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4RZPGAAAA2wAAAA8AAAAAAAAA&#10;AAAAAAAAoQIAAGRycy9kb3ducmV2LnhtbFBLBQYAAAAABAAEAPkAAACUAwAAAAA=&#10;" strokeweight="6pt">
                  <v:shadow color="#333"/>
                </v:line>
                <v:line id="Line 30" o:spid="_x0000_s1054" style="position:absolute;visibility:visible;mso-wrap-style:square" from="6957,9412" to="7457,9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rb5MYAAADbAAAADwAAAGRycy9kb3ducmV2LnhtbESPQWvCQBSE70L/w/KEXsRs2opo6ipN&#10;QasnUQP2+Mg+k7TZtyG7atpf3y0IHoeZ+YaZLTpTiwu1rrKs4CmKQRDnVldcKMgOy+EEhPPIGmvL&#10;pOCHHCzmD70ZJtpeeUeXvS9EgLBLUEHpfZNI6fKSDLrINsTBO9nWoA+yLaRu8RrgppbPcTyWBisO&#10;CyU29F5S/r0/GwUyn6bbZZcOjgObrj6yz9/R1+ag1GO/e3sF4anz9/CtvdYKXsbw/yX8AD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q2+TGAAAA2wAAAA8AAAAAAAAA&#10;AAAAAAAAoQIAAGRycy9kb3ducmV2LnhtbFBLBQYAAAAABAAEAPkAAACUAwAAAAA=&#10;" strokeweight="6pt">
                  <v:shadow color="#333"/>
                </v:line>
                <v:line id="Line 31" o:spid="_x0000_s1055" style="position:absolute;visibility:visible;mso-wrap-style:square" from="6957,10645" to="7457,10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Z+f8YAAADbAAAADwAAAGRycy9kb3ducmV2LnhtbESPQWvCQBSE74L/YXlCL1I3tmJrdJWm&#10;oG1PUhX0+Mg+k2j2bciuGv313YLgcZiZb5jJrDGlOFPtCssK+r0IBHFqdcGZgs16/vwOwnlkjaVl&#10;UnAlB7NpuzXBWNsL/9J55TMRIOxiVJB7X8VSujQng65nK+Lg7W1t0AdZZ1LXeAlwU8qXKBpKgwWH&#10;hRwr+swpPa5ORoFMR8ly3iTdbdcmi6/N7jY4/KyVeuo0H2MQnhr/CN/b31rB6xv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mfn/GAAAA2wAAAA8AAAAAAAAA&#10;AAAAAAAAoQIAAGRycy9kb3ducmV2LnhtbFBLBQYAAAAABAAEAPkAAACUAwAAAAA=&#10;" strokeweight="6pt">
                  <v:shadow color="#333"/>
                </v:line>
                <v:line id="Line 32" o:spid="_x0000_s1056" style="position:absolute;visibility:visible;mso-wrap-style:square" from="6957,5716" to="7457,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nqDcMAAADbAAAADwAAAGRycy9kb3ducmV2LnhtbERPTWvCQBC9C/6HZQpeRDfVUjS6iilY&#10;60kaBT0O2WkSzc6G7FZjf717KHh8vO/5sjWVuFLjSssKXocRCOLM6pJzBYf9ejAB4TyyxsoyKbiT&#10;g+Wi25ljrO2Nv+ma+lyEEHYxKii8r2MpXVaQQTe0NXHgfmxj0AfY5FI3eAvhppKjKHqXBksODQXW&#10;9FFQdkl/jQKZTZPduk36x75NPjeH09/bebtXqvfSrmYgPLX+Kf53f2kF4zA2fA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56g3DAAAA2wAAAA8AAAAAAAAAAAAA&#10;AAAAoQIAAGRycy9kb3ducmV2LnhtbFBLBQYAAAAABAAEAPkAAACRAwAAAAA=&#10;" strokeweight="6pt">
                  <v:shadow color="#333"/>
                </v:line>
                <v:line id="Line 33" o:spid="_x0000_s1057" style="position:absolute;visibility:visible;mso-wrap-style:square" from="6957,6948" to="7457,6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PlsYAAADbAAAADwAAAGRycy9kb3ducmV2LnhtbESPT2vCQBTE74LfYXlCL1I3VZEaXaUR&#10;1HoS/0B7fGSfSTT7NmS3mvbTuwXB4zAzv2Gm88aU4kq1KywreOtFIIhTqwvOFBwPy9d3EM4jaywt&#10;k4JfcjCftVtTjLW98Y6ue5+JAGEXo4Lc+yqW0qU5GXQ9WxEH72Rrgz7IOpO6xluAm1L2o2gkDRYc&#10;FnKsaJFTetn/GAUyHSfbZZN0v7o2Wa2P33/D8+ag1Eun+ZiA8NT4Z/jR/tQKBmP4/x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1T5bGAAAA2wAAAA8AAAAAAAAA&#10;AAAAAAAAoQIAAGRycy9kb3ducmV2LnhtbFBLBQYAAAAABAAEAPkAAACUAwAAAAA=&#10;" strokeweight="6pt">
                  <v:shadow color="#333"/>
                </v:line>
                <v:shape id="Text Box 34" o:spid="_x0000_s1058" type="#_x0000_t202" style="position:absolute;left:7466;top:7916;width:1867;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Bu8AA&#10;AADbAAAADwAAAGRycy9kb3ducmV2LnhtbERPz2vCMBS+D/Y/hDfwNlNFRKpRRBgb4sUq6PGZPNtq&#10;81KSzNb/3hwGO358vxer3jbiQT7UjhWMhhkIYu1MzaWC4+HrcwYiRGSDjWNS8KQAq+X72wJz4zre&#10;06OIpUghHHJUUMXY5lIGXZHFMHQtceKuzluMCfpSGo9dCreNHGfZVFqsOTVU2NKmIn0vfq0Cb/j7&#10;uNue1t3FjW+Nzp5bfS6UGnz06zmISH38F/+5f4yCSVqfvqQf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rBu8AAAADbAAAADwAAAAAAAAAAAAAAAACYAgAAZHJzL2Rvd25y&#10;ZXYueG1sUEsFBgAAAAAEAAQA9QAAAIUDAAAAAA==&#10;" strokecolor="white">
                  <v:textbox inset="5.4pt,2.7pt,5.4pt,2.7pt">
                    <w:txbxContent>
                      <w:p w14:paraId="1F1714EA" w14:textId="77777777" w:rsidR="009D4953" w:rsidRPr="00804FAA" w:rsidRDefault="009D4953" w:rsidP="007C1172">
                        <w:pPr>
                          <w:rPr>
                            <w:b/>
                            <w:sz w:val="18"/>
                          </w:rPr>
                        </w:pPr>
                        <w:r w:rsidRPr="00804FAA">
                          <w:rPr>
                            <w:b/>
                            <w:sz w:val="18"/>
                          </w:rPr>
                          <w:t>Target Amount</w:t>
                        </w:r>
                      </w:p>
                    </w:txbxContent>
                  </v:textbox>
                </v:shape>
                <w10:anchorlock/>
              </v:group>
            </w:pict>
          </mc:Fallback>
        </mc:AlternateContent>
      </w:r>
    </w:p>
    <w:p w14:paraId="1EF8149D" w14:textId="77777777" w:rsidR="007C1172" w:rsidRPr="001569FB" w:rsidRDefault="006766CD" w:rsidP="00723556">
      <w:pPr>
        <w:pStyle w:val="Heading3"/>
        <w:spacing w:before="400"/>
      </w:pPr>
      <w:r w:rsidRPr="001569FB">
        <w:t>C</w:t>
      </w:r>
      <w:r w:rsidR="002A710F" w:rsidRPr="001569FB">
        <w:t>1</w:t>
      </w:r>
      <w:r w:rsidR="0067131F" w:rsidRPr="001569FB">
        <w:t xml:space="preserve">.  </w:t>
      </w:r>
      <w:r w:rsidR="007C1172" w:rsidRPr="001569FB">
        <w:t>Risk sharing when a plan’s adjusted allowable risk corridor costs (AARCC) exceed the target amount</w:t>
      </w:r>
    </w:p>
    <w:p w14:paraId="2E3B9A89" w14:textId="77777777" w:rsidR="00EF1741" w:rsidRPr="001569FB" w:rsidRDefault="00E539AD" w:rsidP="00E746B1">
      <w:pPr>
        <w:spacing w:before="200" w:after="200"/>
        <w:rPr>
          <w:szCs w:val="24"/>
        </w:rPr>
      </w:pPr>
      <w:r w:rsidRPr="001569FB">
        <w:rPr>
          <w:szCs w:val="24"/>
        </w:rPr>
        <w:t>For the portion of a plan’s adjusted allowable risk corridor costs (AARCC) that is between the target amount and the first threshold upper limit (105 percent of the target amount), the Part D sponsor pays 100 percent of this amount.  For the portion of the plan’s AARCC that is between the first threshold upper limit and the second threshold upper limit (110 percent of the target amount), the government pays 50 percent and the plan pays 50 percent.  For the portion of the plan’s AARCC that exceeds the second threshold upper limit, the government pays 80 percent and the plan pays 20 percent.</w:t>
      </w:r>
      <w:r w:rsidR="00EF1741" w:rsidRPr="001569FB">
        <w:rPr>
          <w:szCs w:val="24"/>
        </w:rPr>
        <w:t xml:space="preserve"> </w:t>
      </w:r>
    </w:p>
    <w:p w14:paraId="3FA448E5" w14:textId="77777777" w:rsidR="00A00AFD" w:rsidRPr="001569FB" w:rsidRDefault="00A00AFD" w:rsidP="00E746B1">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9509CF" w:rsidRPr="001569FB">
        <w:rPr>
          <w:szCs w:val="24"/>
        </w:rPr>
        <w:t>I</w:t>
      </w:r>
      <w:r w:rsidRPr="001569FB">
        <w:rPr>
          <w:szCs w:val="24"/>
        </w:rPr>
        <w:t xml:space="preserve">f a plan’s AARCC is $120 and its target amount is $100, the Part D sponsor and the government cover $9.50 and $10.50, respectively, of the $20 in unanticipated costs. </w:t>
      </w:r>
      <w:r w:rsidR="00D46B3B" w:rsidRPr="001569FB">
        <w:rPr>
          <w:szCs w:val="24"/>
        </w:rPr>
        <w:t xml:space="preserve"> </w:t>
      </w:r>
      <w:r w:rsidRPr="001569FB">
        <w:rPr>
          <w:szCs w:val="24"/>
        </w:rPr>
        <w:t xml:space="preserve">The sponsor’s responsibility is calculated as follows: </w:t>
      </w:r>
    </w:p>
    <w:p w14:paraId="1C8D4BD7" w14:textId="77777777" w:rsidR="00EF1741" w:rsidRPr="001569FB" w:rsidRDefault="00A00AFD" w:rsidP="00E54CD1">
      <w:pPr>
        <w:spacing w:before="200" w:after="200"/>
        <w:ind w:left="1440"/>
        <w:rPr>
          <w:szCs w:val="24"/>
        </w:rPr>
      </w:pPr>
      <w:r w:rsidRPr="001569FB">
        <w:rPr>
          <w:szCs w:val="24"/>
        </w:rPr>
        <w:t xml:space="preserve">100% of ($105 </w:t>
      </w:r>
      <w:r w:rsidR="00E616E1" w:rsidRPr="001569FB">
        <w:rPr>
          <w:szCs w:val="24"/>
        </w:rPr>
        <w:t>−</w:t>
      </w:r>
      <w:r w:rsidRPr="001569FB">
        <w:rPr>
          <w:szCs w:val="24"/>
        </w:rPr>
        <w:t xml:space="preserve"> $100) + 50% of ($110 </w:t>
      </w:r>
      <w:r w:rsidR="00E616E1" w:rsidRPr="001569FB">
        <w:rPr>
          <w:szCs w:val="24"/>
        </w:rPr>
        <w:t>−</w:t>
      </w:r>
      <w:r w:rsidRPr="001569FB">
        <w:rPr>
          <w:szCs w:val="24"/>
        </w:rPr>
        <w:t xml:space="preserve"> $105) + 20% of ($120 </w:t>
      </w:r>
      <w:r w:rsidR="00E616E1" w:rsidRPr="001569FB">
        <w:rPr>
          <w:szCs w:val="24"/>
        </w:rPr>
        <w:t>−</w:t>
      </w:r>
      <w:r w:rsidRPr="001569FB">
        <w:rPr>
          <w:szCs w:val="24"/>
        </w:rPr>
        <w:t xml:space="preserve"> $110).</w:t>
      </w:r>
      <w:r w:rsidR="00EF1741" w:rsidRPr="001569FB">
        <w:rPr>
          <w:szCs w:val="24"/>
        </w:rPr>
        <w:t xml:space="preserve"> </w:t>
      </w:r>
    </w:p>
    <w:p w14:paraId="73A337FE" w14:textId="77777777" w:rsidR="007C1172" w:rsidRPr="001569FB" w:rsidRDefault="006766CD" w:rsidP="00203CF7">
      <w:pPr>
        <w:pStyle w:val="Heading3"/>
      </w:pPr>
      <w:r w:rsidRPr="001569FB">
        <w:lastRenderedPageBreak/>
        <w:t>C</w:t>
      </w:r>
      <w:r w:rsidR="002A710F" w:rsidRPr="001569FB">
        <w:t>2</w:t>
      </w:r>
      <w:r w:rsidR="0067131F" w:rsidRPr="001569FB">
        <w:t xml:space="preserve">.  </w:t>
      </w:r>
      <w:r w:rsidR="007C1172" w:rsidRPr="001569FB">
        <w:t>Risk sharing when a plan’s adjusted allowable risk corridor costs (AARCC) are below the target amount</w:t>
      </w:r>
    </w:p>
    <w:p w14:paraId="57A7F0A6" w14:textId="77777777" w:rsidR="00E539AD" w:rsidRPr="001569FB" w:rsidRDefault="00E539AD" w:rsidP="00A00AFD">
      <w:pPr>
        <w:spacing w:before="200" w:after="200"/>
        <w:rPr>
          <w:szCs w:val="24"/>
        </w:rPr>
      </w:pPr>
      <w:r w:rsidRPr="001569FB">
        <w:rPr>
          <w:szCs w:val="24"/>
        </w:rPr>
        <w:t>If a plan’s AARCC is between the target amount and the first threshold lower limit (95 percent of the target amount), the plan keeps 100 percent of the difference between the target amount and the plan’s AARCC.  If a plan’s AARCC is between the first threshold lower limit and the second threshold lower limit (90 percent of the target amount), the government recoups 50 percent of the difference between the first threshold lower limit and the plan’s AARCC.  The plan would keep 50 percent of the difference between the first threshold lower limit and the plan’s AARCC</w:t>
      </w:r>
      <w:r w:rsidR="00510E91" w:rsidRPr="001569FB">
        <w:rPr>
          <w:szCs w:val="24"/>
        </w:rPr>
        <w:t>,</w:t>
      </w:r>
      <w:r w:rsidRPr="001569FB">
        <w:rPr>
          <w:szCs w:val="24"/>
        </w:rPr>
        <w:t xml:space="preserve"> as well as 100 percent of the difference between the target amount and first threshold lower limit.  If a plan’s AARCC is less than the second threshold lower limit, the government recoups 80 percent of the difference between the plan’s AARCC and the second threshold lower limit</w:t>
      </w:r>
      <w:r w:rsidR="00510E91" w:rsidRPr="001569FB">
        <w:rPr>
          <w:szCs w:val="24"/>
        </w:rPr>
        <w:t>,</w:t>
      </w:r>
      <w:r w:rsidRPr="001569FB">
        <w:rPr>
          <w:szCs w:val="24"/>
        </w:rPr>
        <w:t xml:space="preserve"> as well as 50 percent of the difference between the first and second threshold lower limits.  In this case, the plan would keep 20 percent of the difference between the plan’s AARCC and the second threshold lower limit, 50 percent of the difference between the first and second threshold lower limits, and 100 percent of the difference between the target amount and the first threshold lower limit.</w:t>
      </w:r>
    </w:p>
    <w:p w14:paraId="60C8075D" w14:textId="77777777" w:rsidR="00A00AFD" w:rsidRPr="001569FB" w:rsidRDefault="00A00AFD" w:rsidP="00A00AFD">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F81371" w:rsidRPr="001569FB">
        <w:rPr>
          <w:szCs w:val="24"/>
        </w:rPr>
        <w:t>I</w:t>
      </w:r>
      <w:r w:rsidRPr="001569FB">
        <w:rPr>
          <w:szCs w:val="24"/>
        </w:rPr>
        <w:t>f a plan’s AARCC is $80 and its target amount is $100, the Part D sponsor keeps $9.50 while the government recoups $10.50 of the $20 in unexpected savings generated.  The sponsor’s share is calculated as follows:</w:t>
      </w:r>
    </w:p>
    <w:p w14:paraId="74CF6CAC" w14:textId="77777777" w:rsidR="00A00AFD" w:rsidRPr="001569FB" w:rsidRDefault="00A00AFD" w:rsidP="00A00AFD">
      <w:pPr>
        <w:spacing w:before="200" w:after="200"/>
        <w:jc w:val="center"/>
        <w:rPr>
          <w:szCs w:val="24"/>
        </w:rPr>
      </w:pPr>
      <w:r w:rsidRPr="001569FB">
        <w:rPr>
          <w:szCs w:val="24"/>
        </w:rPr>
        <w:t xml:space="preserve">100% of ($100 </w:t>
      </w:r>
      <w:r w:rsidR="00E616E1" w:rsidRPr="001569FB">
        <w:rPr>
          <w:szCs w:val="24"/>
        </w:rPr>
        <w:t>−</w:t>
      </w:r>
      <w:r w:rsidRPr="001569FB">
        <w:rPr>
          <w:szCs w:val="24"/>
        </w:rPr>
        <w:t xml:space="preserve"> $95) + 50% of ($95 </w:t>
      </w:r>
      <w:r w:rsidR="00E616E1" w:rsidRPr="001569FB">
        <w:rPr>
          <w:szCs w:val="24"/>
        </w:rPr>
        <w:t>−</w:t>
      </w:r>
      <w:r w:rsidRPr="001569FB">
        <w:rPr>
          <w:szCs w:val="24"/>
        </w:rPr>
        <w:t xml:space="preserve"> $90) + 20% of ($90 </w:t>
      </w:r>
      <w:r w:rsidR="00E616E1" w:rsidRPr="001569FB">
        <w:rPr>
          <w:szCs w:val="24"/>
        </w:rPr>
        <w:t>−</w:t>
      </w:r>
      <w:r w:rsidRPr="001569FB">
        <w:rPr>
          <w:szCs w:val="24"/>
        </w:rPr>
        <w:t xml:space="preserve"> $80).</w:t>
      </w:r>
    </w:p>
    <w:p w14:paraId="54890648" w14:textId="77777777" w:rsidR="0024054B" w:rsidRPr="001569FB" w:rsidRDefault="002E1EA7" w:rsidP="00203CF7">
      <w:pPr>
        <w:pStyle w:val="Heading2"/>
      </w:pPr>
      <w:bookmarkStart w:id="433" w:name="c2B"/>
      <w:bookmarkStart w:id="434" w:name="_Toc505253792"/>
      <w:bookmarkStart w:id="435" w:name="_Toc284426929"/>
      <w:bookmarkStart w:id="436" w:name="_Toc348432295"/>
      <w:bookmarkStart w:id="437" w:name="_Toc348432931"/>
      <w:bookmarkStart w:id="438" w:name="_Toc348688011"/>
      <w:bookmarkStart w:id="439" w:name="_Toc251077241"/>
      <w:bookmarkStart w:id="440" w:name="_Toc252786198"/>
      <w:bookmarkStart w:id="441" w:name="_Toc253762222"/>
      <w:bookmarkStart w:id="442" w:name="_Toc254094877"/>
      <w:bookmarkStart w:id="443" w:name="_Toc280340548"/>
      <w:bookmarkStart w:id="444" w:name="_Toc282710047"/>
      <w:bookmarkEnd w:id="433"/>
      <w:r w:rsidRPr="001569FB">
        <w:t xml:space="preserve">Section </w:t>
      </w:r>
      <w:r w:rsidR="006766CD" w:rsidRPr="001569FB">
        <w:t>D</w:t>
      </w:r>
      <w:r w:rsidR="0067131F" w:rsidRPr="001569FB">
        <w:t xml:space="preserve">.  </w:t>
      </w:r>
      <w:r w:rsidR="007E5ADB" w:rsidRPr="001569FB">
        <w:t>Medicare Part D Benefit Parameters: Annual Adjustments for Defined Standard Benefit</w:t>
      </w:r>
      <w:r w:rsidR="0024054B" w:rsidRPr="001569FB">
        <w:t xml:space="preserve"> in </w:t>
      </w:r>
      <w:r w:rsidR="0085059D" w:rsidRPr="001569FB">
        <w:t>201</w:t>
      </w:r>
      <w:r w:rsidR="003C31FB" w:rsidRPr="001569FB">
        <w:t>9</w:t>
      </w:r>
      <w:bookmarkEnd w:id="434"/>
    </w:p>
    <w:p w14:paraId="27C2E57A" w14:textId="77777777" w:rsidR="00E536A6" w:rsidRPr="001569FB" w:rsidRDefault="007C1172" w:rsidP="00585CA8">
      <w:pPr>
        <w:spacing w:before="200" w:after="200"/>
        <w:rPr>
          <w:szCs w:val="24"/>
        </w:rPr>
      </w:pPr>
      <w:r w:rsidRPr="001569FB">
        <w:rPr>
          <w:szCs w:val="24"/>
        </w:rPr>
        <w:t xml:space="preserve">In accordance with section 1860D-2(b) of the </w:t>
      </w:r>
      <w:r w:rsidR="003A7484" w:rsidRPr="001569FB">
        <w:rPr>
          <w:szCs w:val="24"/>
        </w:rPr>
        <w:t>Act</w:t>
      </w:r>
      <w:r w:rsidRPr="001569FB">
        <w:rPr>
          <w:szCs w:val="24"/>
        </w:rPr>
        <w:t xml:space="preserve">, CMS must update the statutory parameters for the defined standard Part D prescription drug benefit each year.  </w:t>
      </w:r>
      <w:r w:rsidR="00585CA8" w:rsidRPr="001569FB">
        <w:rPr>
          <w:szCs w:val="24"/>
        </w:rPr>
        <w:t>As required by statute, the following Part D benefit parameters are updated using the annual percentage increase in average expenditures for Part D drugs per eligible beneficiary (“Annual Percentage Increase” or API):</w:t>
      </w:r>
      <w:r w:rsidR="00E536A6" w:rsidRPr="001569FB">
        <w:rPr>
          <w:szCs w:val="24"/>
        </w:rPr>
        <w:t xml:space="preserve"> </w:t>
      </w:r>
    </w:p>
    <w:p w14:paraId="7AEA53AE" w14:textId="77777777" w:rsidR="00E536A6" w:rsidRPr="001569FB" w:rsidRDefault="00E536A6" w:rsidP="00E536A6">
      <w:pPr>
        <w:pStyle w:val="ListBullet"/>
        <w:rPr>
          <w:szCs w:val="24"/>
        </w:rPr>
      </w:pPr>
      <w:r w:rsidRPr="001569FB">
        <w:rPr>
          <w:szCs w:val="24"/>
        </w:rPr>
        <w:t>the deductible, initial coverage limit, and out-of-pocket threshold</w:t>
      </w:r>
      <w:r w:rsidR="00510E91" w:rsidRPr="001569FB">
        <w:rPr>
          <w:rStyle w:val="FootnoteReference"/>
          <w:szCs w:val="24"/>
        </w:rPr>
        <w:footnoteReference w:id="8"/>
      </w:r>
      <w:r w:rsidRPr="001569FB">
        <w:rPr>
          <w:szCs w:val="24"/>
        </w:rPr>
        <w:t xml:space="preserve"> for the defined standard benefit;</w:t>
      </w:r>
    </w:p>
    <w:p w14:paraId="0A993CAA" w14:textId="77777777" w:rsidR="00E536A6" w:rsidRPr="001569FB" w:rsidRDefault="00E536A6" w:rsidP="00E536A6">
      <w:pPr>
        <w:pStyle w:val="ListBullet"/>
        <w:rPr>
          <w:szCs w:val="24"/>
        </w:rPr>
      </w:pPr>
      <w:r w:rsidRPr="001569FB">
        <w:rPr>
          <w:szCs w:val="24"/>
        </w:rPr>
        <w:t>minimum copayments for costs above the annual out-of-pocket threshold;</w:t>
      </w:r>
    </w:p>
    <w:p w14:paraId="33B90260" w14:textId="77777777" w:rsidR="00E536A6" w:rsidRPr="001569FB" w:rsidRDefault="00E536A6" w:rsidP="00E536A6">
      <w:pPr>
        <w:pStyle w:val="ListBullet"/>
        <w:rPr>
          <w:szCs w:val="24"/>
        </w:rPr>
      </w:pPr>
      <w:r w:rsidRPr="001569FB">
        <w:rPr>
          <w:szCs w:val="24"/>
        </w:rPr>
        <w:t xml:space="preserve">maximum copayments below the out-of-pocket threshold for certain low-income full subsidy eligible enrollees; </w:t>
      </w:r>
    </w:p>
    <w:p w14:paraId="5B9CF4B1" w14:textId="77777777" w:rsidR="00E536A6" w:rsidRPr="001569FB" w:rsidRDefault="00E536A6" w:rsidP="00E536A6">
      <w:pPr>
        <w:pStyle w:val="ListBullet"/>
        <w:rPr>
          <w:szCs w:val="24"/>
        </w:rPr>
      </w:pPr>
      <w:r w:rsidRPr="001569FB">
        <w:rPr>
          <w:szCs w:val="24"/>
        </w:rPr>
        <w:t xml:space="preserve">the deductible for partial low-income subsidy (LIS) eligible enrollees; and </w:t>
      </w:r>
    </w:p>
    <w:p w14:paraId="2F63FFA5" w14:textId="77777777" w:rsidR="00EF1741" w:rsidRPr="001569FB" w:rsidRDefault="00E536A6" w:rsidP="00E536A6">
      <w:pPr>
        <w:pStyle w:val="ListBullet"/>
        <w:rPr>
          <w:szCs w:val="24"/>
        </w:rPr>
      </w:pPr>
      <w:r w:rsidRPr="001569FB">
        <w:rPr>
          <w:szCs w:val="24"/>
        </w:rPr>
        <w:lastRenderedPageBreak/>
        <w:t>maximum copayments above the out-of-pocket threshold for partial LIS</w:t>
      </w:r>
      <w:r w:rsidR="00510E91" w:rsidRPr="001569FB">
        <w:rPr>
          <w:szCs w:val="24"/>
        </w:rPr>
        <w:t>-</w:t>
      </w:r>
      <w:r w:rsidRPr="001569FB">
        <w:rPr>
          <w:szCs w:val="24"/>
        </w:rPr>
        <w:t>eligible enrollees.</w:t>
      </w:r>
      <w:r w:rsidR="00EF1741" w:rsidRPr="001569FB">
        <w:rPr>
          <w:szCs w:val="24"/>
        </w:rPr>
        <w:t xml:space="preserve"> </w:t>
      </w:r>
    </w:p>
    <w:p w14:paraId="2A533283" w14:textId="7F867E3C" w:rsidR="007C1172" w:rsidRPr="001569FB" w:rsidRDefault="00E536A6" w:rsidP="00E536A6">
      <w:pPr>
        <w:spacing w:before="200" w:after="200"/>
        <w:rPr>
          <w:szCs w:val="24"/>
        </w:rPr>
      </w:pPr>
      <w:r w:rsidRPr="001569FB">
        <w:rPr>
          <w:szCs w:val="24"/>
        </w:rPr>
        <w:t xml:space="preserve">The remaining parameters are indexed to the annual percentage increase in the Consumer Price Index (CPI) (all items, U.S. city average). </w:t>
      </w:r>
      <w:r w:rsidR="007A6384" w:rsidRPr="001569FB">
        <w:rPr>
          <w:szCs w:val="24"/>
        </w:rPr>
        <w:t xml:space="preserve"> </w:t>
      </w:r>
      <w:r w:rsidRPr="001569FB">
        <w:rPr>
          <w:szCs w:val="24"/>
        </w:rPr>
        <w:t>Accordingly, the actuarial value of the drug benefit changes along with any chan</w:t>
      </w:r>
      <w:r w:rsidR="005E49C4" w:rsidRPr="001569FB">
        <w:rPr>
          <w:szCs w:val="24"/>
        </w:rPr>
        <w:t>ge</w:t>
      </w:r>
      <w:r w:rsidRPr="001569FB">
        <w:rPr>
          <w:szCs w:val="24"/>
        </w:rPr>
        <w:t xml:space="preserve"> in Part D drug expenses, and the defined standard Part D benefit continues to cover a constant share of Part D drug expenses from year to year. </w:t>
      </w:r>
    </w:p>
    <w:p w14:paraId="54C58FB3" w14:textId="77777777" w:rsidR="007C1172" w:rsidRPr="001569FB" w:rsidRDefault="00BD49DF" w:rsidP="00203CF7">
      <w:pPr>
        <w:pStyle w:val="Heading3"/>
      </w:pPr>
      <w:r w:rsidRPr="001569FB">
        <w:t>D</w:t>
      </w:r>
      <w:r w:rsidR="00AA20CB" w:rsidRPr="001569FB">
        <w:t>1</w:t>
      </w:r>
      <w:r w:rsidRPr="001569FB">
        <w:t>.</w:t>
      </w:r>
      <w:r w:rsidR="00AA20CB" w:rsidRPr="001569FB">
        <w:t xml:space="preserve">  </w:t>
      </w:r>
      <w:r w:rsidR="00CC55C3" w:rsidRPr="001569FB">
        <w:t>Annual Percentage Increase in Average Expenditures for Part D Drugs</w:t>
      </w:r>
    </w:p>
    <w:p w14:paraId="3A26A423" w14:textId="33E95BEB" w:rsidR="00A85306" w:rsidRPr="001569FB" w:rsidRDefault="00A85306" w:rsidP="00E746B1">
      <w:pPr>
        <w:spacing w:before="200" w:after="200"/>
        <w:rPr>
          <w:szCs w:val="24"/>
        </w:rPr>
      </w:pPr>
      <w:r w:rsidRPr="001569FB">
        <w:rPr>
          <w:szCs w:val="24"/>
        </w:rPr>
        <w:t xml:space="preserve">The benefit parameters </w:t>
      </w:r>
      <w:r w:rsidR="00F25F3F" w:rsidRPr="001569FB">
        <w:rPr>
          <w:szCs w:val="24"/>
        </w:rPr>
        <w:t xml:space="preserve">indexed to the API </w:t>
      </w:r>
      <w:r w:rsidRPr="001569FB">
        <w:rPr>
          <w:szCs w:val="24"/>
        </w:rPr>
        <w:t xml:space="preserve">will be increased </w:t>
      </w:r>
      <w:r w:rsidR="00EB1DCE" w:rsidRPr="001569FB">
        <w:rPr>
          <w:szCs w:val="24"/>
        </w:rPr>
        <w:t xml:space="preserve">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for </w:t>
      </w:r>
      <w:r w:rsidR="00EC706F" w:rsidRPr="001569FB">
        <w:rPr>
          <w:szCs w:val="24"/>
        </w:rPr>
        <w:t>2019</w:t>
      </w:r>
      <w:r w:rsidR="00F25F3F" w:rsidRPr="001569FB">
        <w:rPr>
          <w:szCs w:val="24"/>
        </w:rPr>
        <w:t>,</w:t>
      </w:r>
      <w:r w:rsidRPr="001569FB">
        <w:rPr>
          <w:szCs w:val="24"/>
        </w:rPr>
        <w:t xml:space="preserve"> as summarized by Table</w:t>
      </w:r>
      <w:r w:rsidR="00CA6B88" w:rsidRPr="001569FB">
        <w:rPr>
          <w:szCs w:val="24"/>
        </w:rPr>
        <w:t xml:space="preserve"> </w:t>
      </w:r>
      <w:r w:rsidR="00C802E8" w:rsidRPr="001569FB">
        <w:rPr>
          <w:szCs w:val="24"/>
        </w:rPr>
        <w:t>III-</w:t>
      </w:r>
      <w:r w:rsidR="00E74FEB" w:rsidRPr="001569FB">
        <w:rPr>
          <w:szCs w:val="24"/>
        </w:rPr>
        <w:t>1</w:t>
      </w:r>
      <w:r w:rsidRPr="001569FB">
        <w:rPr>
          <w:szCs w:val="24"/>
        </w:rPr>
        <w:t xml:space="preserve"> below. </w:t>
      </w:r>
      <w:r w:rsidR="00EB1DCE" w:rsidRPr="001569FB">
        <w:rPr>
          <w:szCs w:val="24"/>
        </w:rPr>
        <w:t xml:space="preserve"> This increase reflects the </w:t>
      </w:r>
      <w:r w:rsidR="00EC706F" w:rsidRPr="001569FB">
        <w:rPr>
          <w:szCs w:val="24"/>
        </w:rPr>
        <w:t xml:space="preserve">2018 </w:t>
      </w:r>
      <w:r w:rsidRPr="001569FB">
        <w:rPr>
          <w:szCs w:val="24"/>
        </w:rPr>
        <w:t xml:space="preserve">annual percentage trend of </w:t>
      </w:r>
      <w:r w:rsidR="00C802E8" w:rsidRPr="001569FB">
        <w:rPr>
          <w:szCs w:val="24"/>
        </w:rPr>
        <w:t xml:space="preserve">3.96 </w:t>
      </w:r>
      <w:r w:rsidR="00631EF2" w:rsidRPr="001569FB">
        <w:rPr>
          <w:szCs w:val="24"/>
        </w:rPr>
        <w:t>percent</w:t>
      </w:r>
      <w:r w:rsidRPr="001569FB">
        <w:rPr>
          <w:szCs w:val="24"/>
        </w:rPr>
        <w:t xml:space="preserve"> as well as a multiplicative update of </w:t>
      </w:r>
      <w:r w:rsidR="0021268A" w:rsidRPr="001569FB">
        <w:rPr>
          <w:szCs w:val="24"/>
        </w:rPr>
        <w:t>-</w:t>
      </w:r>
      <w:r w:rsidR="00C802E8" w:rsidRPr="001569FB">
        <w:rPr>
          <w:szCs w:val="24"/>
        </w:rPr>
        <w:t xml:space="preserve">1.95 </w:t>
      </w:r>
      <w:r w:rsidR="00631EF2" w:rsidRPr="001569FB">
        <w:rPr>
          <w:szCs w:val="24"/>
        </w:rPr>
        <w:t>percent</w:t>
      </w:r>
      <w:r w:rsidRPr="001569FB">
        <w:rPr>
          <w:szCs w:val="24"/>
        </w:rPr>
        <w:t xml:space="preserve"> for prior year revisions.  </w:t>
      </w:r>
      <w:r w:rsidR="00510E91" w:rsidRPr="001569FB">
        <w:rPr>
          <w:szCs w:val="24"/>
        </w:rPr>
        <w:t>S</w:t>
      </w:r>
      <w:r w:rsidRPr="001569FB">
        <w:rPr>
          <w:szCs w:val="24"/>
        </w:rPr>
        <w:t>ee Attachment IV for additional information on the calculation of the annual percentage increase.</w:t>
      </w:r>
    </w:p>
    <w:p w14:paraId="7773B1F2" w14:textId="77777777" w:rsidR="00A85306" w:rsidRPr="001569FB" w:rsidRDefault="00A85306" w:rsidP="00E746B1">
      <w:pPr>
        <w:spacing w:before="200" w:after="200"/>
        <w:rPr>
          <w:szCs w:val="24"/>
        </w:rPr>
      </w:pPr>
      <w:r w:rsidRPr="001569FB">
        <w:rPr>
          <w:szCs w:val="24"/>
        </w:rPr>
        <w:t xml:space="preserve">Per </w:t>
      </w:r>
      <w:r w:rsidR="00AA5BE8" w:rsidRPr="001569FB">
        <w:rPr>
          <w:szCs w:val="24"/>
        </w:rPr>
        <w:t xml:space="preserve">§ </w:t>
      </w:r>
      <w:r w:rsidRPr="001569FB">
        <w:rPr>
          <w:szCs w:val="24"/>
        </w:rPr>
        <w:t>423.886(b)(3)</w:t>
      </w:r>
      <w:r w:rsidR="00AA5BE8" w:rsidRPr="001569FB">
        <w:rPr>
          <w:szCs w:val="24"/>
        </w:rPr>
        <w:t xml:space="preserve"> of our regulations</w:t>
      </w:r>
      <w:r w:rsidRPr="001569FB">
        <w:rPr>
          <w:szCs w:val="24"/>
        </w:rPr>
        <w:t xml:space="preserve">, the cost threshold and cost limit for qualified retiree prescription drug plans are </w:t>
      </w:r>
      <w:r w:rsidR="00F25F3F" w:rsidRPr="001569FB">
        <w:rPr>
          <w:szCs w:val="24"/>
        </w:rPr>
        <w:t>also indexed to the API</w:t>
      </w:r>
      <w:r w:rsidRPr="001569FB">
        <w:rPr>
          <w:szCs w:val="24"/>
        </w:rPr>
        <w:t xml:space="preserve">.  </w:t>
      </w:r>
      <w:r w:rsidR="00F25F3F" w:rsidRPr="001569FB">
        <w:rPr>
          <w:szCs w:val="24"/>
        </w:rPr>
        <w:t>Thus, t</w:t>
      </w:r>
      <w:r w:rsidRPr="001569FB">
        <w:rPr>
          <w:szCs w:val="24"/>
        </w:rPr>
        <w:t xml:space="preserve">he cost threshold and cost limit for qualified retiree prescription drug plans will be </w:t>
      </w:r>
      <w:r w:rsidR="00EB1DCE" w:rsidRPr="001569FB">
        <w:rPr>
          <w:szCs w:val="24"/>
        </w:rPr>
        <w:t xml:space="preserve">increased 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from their </w:t>
      </w:r>
      <w:r w:rsidR="00EC706F" w:rsidRPr="001569FB">
        <w:rPr>
          <w:szCs w:val="24"/>
        </w:rPr>
        <w:t xml:space="preserve">2018 </w:t>
      </w:r>
      <w:r w:rsidRPr="001569FB">
        <w:rPr>
          <w:szCs w:val="24"/>
        </w:rPr>
        <w:t>values.</w:t>
      </w:r>
    </w:p>
    <w:p w14:paraId="2C7E8BF3" w14:textId="05DFD492" w:rsidR="007C1172" w:rsidRPr="001569FB" w:rsidRDefault="00BD49DF" w:rsidP="00203CF7">
      <w:pPr>
        <w:pStyle w:val="Heading3"/>
      </w:pPr>
      <w:r w:rsidRPr="001569FB">
        <w:t>D</w:t>
      </w:r>
      <w:r w:rsidR="00AA20CB" w:rsidRPr="001569FB">
        <w:t>2</w:t>
      </w:r>
      <w:r w:rsidRPr="001569FB">
        <w:t>.</w:t>
      </w:r>
      <w:r w:rsidR="00AA20CB" w:rsidRPr="001569FB">
        <w:t xml:space="preserve"> </w:t>
      </w:r>
      <w:r w:rsidR="007A6384" w:rsidRPr="001569FB">
        <w:t xml:space="preserve"> </w:t>
      </w:r>
      <w:r w:rsidR="006D1F55" w:rsidRPr="001569FB">
        <w:t>Annual Percentage Increase in Consumer Price Index</w:t>
      </w:r>
    </w:p>
    <w:p w14:paraId="0DCBA6A6" w14:textId="66F1B705" w:rsidR="00EF1741" w:rsidRPr="001569FB" w:rsidRDefault="006D1F55" w:rsidP="00E746B1">
      <w:pPr>
        <w:spacing w:before="200" w:after="200"/>
        <w:rPr>
          <w:szCs w:val="24"/>
        </w:rPr>
      </w:pPr>
      <w:r w:rsidRPr="001569FB">
        <w:rPr>
          <w:szCs w:val="24"/>
        </w:rPr>
        <w:t xml:space="preserve">Section 1860D-14(a)(4) of the Act </w:t>
      </w:r>
      <w:r w:rsidR="005D42B1" w:rsidRPr="001569FB">
        <w:rPr>
          <w:szCs w:val="24"/>
        </w:rPr>
        <w:t xml:space="preserve">requires CMS to use the annual percentage increase in the CPI </w:t>
      </w:r>
      <w:r w:rsidRPr="001569FB">
        <w:rPr>
          <w:szCs w:val="24"/>
        </w:rPr>
        <w:t xml:space="preserve">for the 12 month period ending in September </w:t>
      </w:r>
      <w:r w:rsidR="00374039" w:rsidRPr="001569FB">
        <w:rPr>
          <w:szCs w:val="24"/>
        </w:rPr>
        <w:t xml:space="preserve">2018 </w:t>
      </w:r>
      <w:r w:rsidR="005D42B1" w:rsidRPr="001569FB">
        <w:rPr>
          <w:szCs w:val="24"/>
        </w:rPr>
        <w:t xml:space="preserve">to update the maximum copayments </w:t>
      </w:r>
      <w:r w:rsidR="00F916CE" w:rsidRPr="001569FB">
        <w:rPr>
          <w:szCs w:val="24"/>
        </w:rPr>
        <w:t>up to</w:t>
      </w:r>
      <w:r w:rsidR="005D42B1" w:rsidRPr="001569FB">
        <w:rPr>
          <w:szCs w:val="24"/>
        </w:rPr>
        <w:t xml:space="preserve"> the out-of-pocket threshold for full benefit dual eligible enrollees with incomes not exceed</w:t>
      </w:r>
      <w:r w:rsidR="00F916CE" w:rsidRPr="001569FB">
        <w:rPr>
          <w:szCs w:val="24"/>
        </w:rPr>
        <w:t>ing</w:t>
      </w:r>
      <w:r w:rsidR="005D42B1" w:rsidRPr="001569FB">
        <w:rPr>
          <w:szCs w:val="24"/>
        </w:rPr>
        <w:t xml:space="preserve"> 100 percent of the Federal </w:t>
      </w:r>
      <w:r w:rsidR="00510E91" w:rsidRPr="001569FB">
        <w:rPr>
          <w:szCs w:val="24"/>
        </w:rPr>
        <w:t>P</w:t>
      </w:r>
      <w:r w:rsidR="005D42B1" w:rsidRPr="001569FB">
        <w:rPr>
          <w:szCs w:val="24"/>
        </w:rPr>
        <w:t xml:space="preserve">overty </w:t>
      </w:r>
      <w:r w:rsidR="00510E91" w:rsidRPr="001569FB">
        <w:rPr>
          <w:szCs w:val="24"/>
        </w:rPr>
        <w:t xml:space="preserve">Level </w:t>
      </w:r>
      <w:r w:rsidR="00F916CE" w:rsidRPr="001569FB">
        <w:rPr>
          <w:szCs w:val="24"/>
        </w:rPr>
        <w:t xml:space="preserve">for </w:t>
      </w:r>
      <w:r w:rsidR="00374039" w:rsidRPr="001569FB">
        <w:rPr>
          <w:szCs w:val="24"/>
        </w:rPr>
        <w:t>2019</w:t>
      </w:r>
      <w:r w:rsidR="00A85306" w:rsidRPr="001569FB">
        <w:rPr>
          <w:szCs w:val="24"/>
        </w:rPr>
        <w:t>.  These maximum copayments w</w:t>
      </w:r>
      <w:r w:rsidR="00EB1DCE" w:rsidRPr="001569FB">
        <w:rPr>
          <w:szCs w:val="24"/>
        </w:rPr>
        <w:t xml:space="preserve">ill be increased by </w:t>
      </w:r>
      <w:r w:rsidR="00C802E8" w:rsidRPr="001569FB">
        <w:rPr>
          <w:szCs w:val="24"/>
        </w:rPr>
        <w:t xml:space="preserve">1.78 </w:t>
      </w:r>
      <w:r w:rsidR="00631EF2" w:rsidRPr="001569FB">
        <w:rPr>
          <w:szCs w:val="24"/>
        </w:rPr>
        <w:t>percent</w:t>
      </w:r>
      <w:r w:rsidR="00EB1DCE" w:rsidRPr="001569FB">
        <w:rPr>
          <w:szCs w:val="24"/>
        </w:rPr>
        <w:t xml:space="preserve"> for </w:t>
      </w:r>
      <w:r w:rsidR="00374039" w:rsidRPr="001569FB">
        <w:rPr>
          <w:szCs w:val="24"/>
        </w:rPr>
        <w:t xml:space="preserve">2019 </w:t>
      </w:r>
      <w:r w:rsidR="00A85306" w:rsidRPr="001569FB">
        <w:rPr>
          <w:szCs w:val="24"/>
        </w:rPr>
        <w:t xml:space="preserve">as summarized in Table </w:t>
      </w:r>
      <w:r w:rsidR="00C802E8" w:rsidRPr="001569FB">
        <w:rPr>
          <w:szCs w:val="24"/>
        </w:rPr>
        <w:t>III-</w:t>
      </w:r>
      <w:r w:rsidR="00E74FEB" w:rsidRPr="001569FB">
        <w:rPr>
          <w:szCs w:val="24"/>
        </w:rPr>
        <w:t xml:space="preserve">1 </w:t>
      </w:r>
      <w:r w:rsidR="00A85306" w:rsidRPr="001569FB">
        <w:rPr>
          <w:szCs w:val="24"/>
        </w:rPr>
        <w:t>below.</w:t>
      </w:r>
      <w:r w:rsidR="00EF1741" w:rsidRPr="001569FB">
        <w:rPr>
          <w:szCs w:val="24"/>
        </w:rPr>
        <w:t xml:space="preserve"> </w:t>
      </w:r>
    </w:p>
    <w:p w14:paraId="58C4D8B7" w14:textId="1A78260F" w:rsidR="00EF1741" w:rsidRPr="001569FB" w:rsidRDefault="00EB1DCE" w:rsidP="00E746B1">
      <w:pPr>
        <w:spacing w:before="200" w:after="200"/>
        <w:rPr>
          <w:szCs w:val="24"/>
        </w:rPr>
      </w:pPr>
      <w:r w:rsidRPr="001569FB">
        <w:rPr>
          <w:szCs w:val="24"/>
        </w:rPr>
        <w:t xml:space="preserve">This increase reflects the </w:t>
      </w:r>
      <w:r w:rsidR="00374039" w:rsidRPr="001569FB">
        <w:rPr>
          <w:szCs w:val="24"/>
        </w:rPr>
        <w:t xml:space="preserve">2018 </w:t>
      </w:r>
      <w:r w:rsidR="00A85306" w:rsidRPr="001569FB">
        <w:rPr>
          <w:szCs w:val="24"/>
        </w:rPr>
        <w:t xml:space="preserve">annual percentage trend in CPI of </w:t>
      </w:r>
      <w:r w:rsidR="00C802E8" w:rsidRPr="001569FB">
        <w:rPr>
          <w:szCs w:val="24"/>
        </w:rPr>
        <w:t xml:space="preserve">1.95 </w:t>
      </w:r>
      <w:r w:rsidR="00631EF2" w:rsidRPr="001569FB">
        <w:rPr>
          <w:szCs w:val="24"/>
        </w:rPr>
        <w:t>percent</w:t>
      </w:r>
      <w:r w:rsidR="00A85306" w:rsidRPr="001569FB">
        <w:rPr>
          <w:szCs w:val="24"/>
        </w:rPr>
        <w:t xml:space="preserve"> as well as a multiplicative update of </w:t>
      </w:r>
      <w:r w:rsidR="0021268A" w:rsidRPr="001569FB">
        <w:rPr>
          <w:szCs w:val="24"/>
        </w:rPr>
        <w:t>-</w:t>
      </w:r>
      <w:r w:rsidR="00C802E8" w:rsidRPr="001569FB">
        <w:rPr>
          <w:szCs w:val="24"/>
        </w:rPr>
        <w:t xml:space="preserve">0.17 </w:t>
      </w:r>
      <w:r w:rsidR="00631EF2" w:rsidRPr="001569FB">
        <w:rPr>
          <w:szCs w:val="24"/>
        </w:rPr>
        <w:t>percent</w:t>
      </w:r>
      <w:r w:rsidR="00A85306" w:rsidRPr="001569FB">
        <w:rPr>
          <w:szCs w:val="24"/>
        </w:rPr>
        <w:t xml:space="preserve"> for prior year revisions.</w:t>
      </w:r>
      <w:r w:rsidR="00EF1741" w:rsidRPr="001569FB">
        <w:rPr>
          <w:szCs w:val="24"/>
        </w:rPr>
        <w:t xml:space="preserve"> </w:t>
      </w:r>
    </w:p>
    <w:p w14:paraId="12BAB6FB" w14:textId="0E58BF34" w:rsidR="003E6EB5" w:rsidRPr="001569FB" w:rsidRDefault="003E6EB5" w:rsidP="00E746B1">
      <w:pPr>
        <w:spacing w:before="200" w:after="200"/>
        <w:rPr>
          <w:szCs w:val="24"/>
        </w:rPr>
      </w:pPr>
      <w:r w:rsidRPr="001569FB">
        <w:rPr>
          <w:szCs w:val="24"/>
        </w:rPr>
        <w:t xml:space="preserve">Additionally, section 1860D-2(b)(4) of the Act requires that the out-of-pocket threshold for contract years 2016 through 2019 be updated from the previous year by the lesser of (1) the API or (2) two percentage points plus the annual percentage increase in CPI.  The change in CPI in this case is measured over the 12-month period ending in July of the previous year, as required by statute.  The cumulative annual percentage increase in CPI for </w:t>
      </w:r>
      <w:r w:rsidR="006B79B0" w:rsidRPr="001569FB">
        <w:rPr>
          <w:szCs w:val="24"/>
        </w:rPr>
        <w:t xml:space="preserve">2018 </w:t>
      </w:r>
      <w:r w:rsidRPr="001569FB">
        <w:rPr>
          <w:szCs w:val="24"/>
        </w:rPr>
        <w:t xml:space="preserve">as of July </w:t>
      </w:r>
      <w:r w:rsidR="006B79B0" w:rsidRPr="001569FB">
        <w:rPr>
          <w:szCs w:val="24"/>
        </w:rPr>
        <w:t xml:space="preserve">2018 </w:t>
      </w:r>
      <w:r w:rsidRPr="001569FB">
        <w:rPr>
          <w:szCs w:val="24"/>
        </w:rPr>
        <w:t xml:space="preserve">is </w:t>
      </w:r>
      <w:r w:rsidR="00C802E8" w:rsidRPr="001569FB">
        <w:rPr>
          <w:szCs w:val="24"/>
        </w:rPr>
        <w:t>1.83</w:t>
      </w:r>
      <w:r w:rsidR="00E74FEB" w:rsidRPr="001569FB">
        <w:rPr>
          <w:szCs w:val="24"/>
        </w:rPr>
        <w:t xml:space="preserve"> </w:t>
      </w:r>
      <w:r w:rsidR="00631EF2" w:rsidRPr="001569FB">
        <w:rPr>
          <w:szCs w:val="24"/>
        </w:rPr>
        <w:t>percent</w:t>
      </w:r>
      <w:r w:rsidRPr="001569FB">
        <w:rPr>
          <w:szCs w:val="24"/>
        </w:rPr>
        <w:t xml:space="preserve">.  This figure reflects the </w:t>
      </w:r>
      <w:r w:rsidR="006B79B0" w:rsidRPr="001569FB">
        <w:rPr>
          <w:szCs w:val="24"/>
        </w:rPr>
        <w:t xml:space="preserve">2018 </w:t>
      </w:r>
      <w:r w:rsidRPr="001569FB">
        <w:rPr>
          <w:szCs w:val="24"/>
        </w:rPr>
        <w:t xml:space="preserve">annual percentage increase in </w:t>
      </w:r>
      <w:r w:rsidR="00C802E8" w:rsidRPr="001569FB">
        <w:rPr>
          <w:szCs w:val="24"/>
        </w:rPr>
        <w:t xml:space="preserve">the July </w:t>
      </w:r>
      <w:r w:rsidRPr="001569FB">
        <w:rPr>
          <w:szCs w:val="24"/>
        </w:rPr>
        <w:t xml:space="preserve">CPI of </w:t>
      </w:r>
      <w:r w:rsidR="00C802E8" w:rsidRPr="001569FB">
        <w:rPr>
          <w:szCs w:val="24"/>
        </w:rPr>
        <w:t>2.58</w:t>
      </w:r>
      <w:r w:rsidR="00E74FEB" w:rsidRPr="001569FB">
        <w:rPr>
          <w:szCs w:val="24"/>
        </w:rPr>
        <w:t xml:space="preserve"> </w:t>
      </w:r>
      <w:r w:rsidR="00631EF2" w:rsidRPr="001569FB">
        <w:rPr>
          <w:szCs w:val="24"/>
        </w:rPr>
        <w:t>percent</w:t>
      </w:r>
      <w:r w:rsidR="00C802E8" w:rsidRPr="001569FB">
        <w:rPr>
          <w:szCs w:val="24"/>
        </w:rPr>
        <w:t>,</w:t>
      </w:r>
      <w:r w:rsidRPr="001569FB">
        <w:rPr>
          <w:szCs w:val="24"/>
        </w:rPr>
        <w:t xml:space="preserve"> as well as a </w:t>
      </w:r>
      <w:r w:rsidR="007A5E25" w:rsidRPr="001569FB">
        <w:rPr>
          <w:szCs w:val="24"/>
        </w:rPr>
        <w:t>multiplicative</w:t>
      </w:r>
      <w:r w:rsidRPr="001569FB">
        <w:rPr>
          <w:szCs w:val="24"/>
        </w:rPr>
        <w:t xml:space="preserve"> update of </w:t>
      </w:r>
      <w:r w:rsidR="0021268A" w:rsidRPr="001569FB">
        <w:rPr>
          <w:szCs w:val="24"/>
        </w:rPr>
        <w:t>-</w:t>
      </w:r>
      <w:r w:rsidR="00C802E8" w:rsidRPr="001569FB">
        <w:rPr>
          <w:szCs w:val="24"/>
        </w:rPr>
        <w:t>0.73</w:t>
      </w:r>
      <w:r w:rsidR="00E74FEB" w:rsidRPr="001569FB">
        <w:rPr>
          <w:szCs w:val="24"/>
        </w:rPr>
        <w:t xml:space="preserve"> </w:t>
      </w:r>
      <w:r w:rsidR="00631EF2" w:rsidRPr="001569FB">
        <w:rPr>
          <w:szCs w:val="24"/>
        </w:rPr>
        <w:t>percent</w:t>
      </w:r>
      <w:r w:rsidRPr="001569FB">
        <w:rPr>
          <w:szCs w:val="24"/>
        </w:rPr>
        <w:t xml:space="preserve"> for prior year revisions.  </w:t>
      </w:r>
      <w:r w:rsidR="00C802E8" w:rsidRPr="001569FB">
        <w:rPr>
          <w:szCs w:val="24"/>
        </w:rPr>
        <w:t xml:space="preserve">The cumulative annual percentage increase in the July CPI for 2018 </w:t>
      </w:r>
      <w:r w:rsidRPr="001569FB">
        <w:rPr>
          <w:szCs w:val="24"/>
        </w:rPr>
        <w:t xml:space="preserve">plus two percentage points is </w:t>
      </w:r>
      <w:r w:rsidR="00510E91" w:rsidRPr="001569FB">
        <w:rPr>
          <w:szCs w:val="24"/>
        </w:rPr>
        <w:t>greater</w:t>
      </w:r>
      <w:r w:rsidR="00510E91" w:rsidRPr="001569FB" w:rsidDel="006B79B0">
        <w:rPr>
          <w:szCs w:val="24"/>
        </w:rPr>
        <w:t xml:space="preserve"> </w:t>
      </w:r>
      <w:r w:rsidRPr="001569FB">
        <w:rPr>
          <w:szCs w:val="24"/>
        </w:rPr>
        <w:t>than the</w:t>
      </w:r>
      <w:r w:rsidR="006B79B0" w:rsidRPr="001569FB">
        <w:rPr>
          <w:szCs w:val="24"/>
        </w:rPr>
        <w:t xml:space="preserve"> </w:t>
      </w:r>
      <w:r w:rsidR="00C802E8" w:rsidRPr="001569FB">
        <w:rPr>
          <w:szCs w:val="24"/>
        </w:rPr>
        <w:t>1.94</w:t>
      </w:r>
      <w:r w:rsidR="00FE56CA" w:rsidRPr="001569FB">
        <w:rPr>
          <w:szCs w:val="24"/>
        </w:rPr>
        <w:t xml:space="preserve"> </w:t>
      </w:r>
      <w:r w:rsidR="00631EF2" w:rsidRPr="001569FB">
        <w:rPr>
          <w:szCs w:val="24"/>
        </w:rPr>
        <w:t>percent</w:t>
      </w:r>
      <w:r w:rsidRPr="001569FB">
        <w:rPr>
          <w:szCs w:val="24"/>
        </w:rPr>
        <w:t xml:space="preserve"> cumulative API described above.  Thus, the out-of-pocket threshold will be increased by </w:t>
      </w:r>
      <w:r w:rsidR="00C802E8" w:rsidRPr="001569FB">
        <w:rPr>
          <w:szCs w:val="24"/>
        </w:rPr>
        <w:t>1.94</w:t>
      </w:r>
      <w:r w:rsidR="00E74FEB" w:rsidRPr="001569FB">
        <w:rPr>
          <w:szCs w:val="24"/>
        </w:rPr>
        <w:t xml:space="preserve"> </w:t>
      </w:r>
      <w:r w:rsidR="00631EF2" w:rsidRPr="001569FB">
        <w:rPr>
          <w:szCs w:val="24"/>
        </w:rPr>
        <w:t>percent</w:t>
      </w:r>
      <w:r w:rsidRPr="001569FB">
        <w:rPr>
          <w:szCs w:val="24"/>
        </w:rPr>
        <w:t xml:space="preserve"> for </w:t>
      </w:r>
      <w:r w:rsidR="006B79B0" w:rsidRPr="001569FB">
        <w:rPr>
          <w:szCs w:val="24"/>
        </w:rPr>
        <w:t>2019</w:t>
      </w:r>
      <w:r w:rsidRPr="001569FB">
        <w:rPr>
          <w:szCs w:val="24"/>
        </w:rPr>
        <w:t xml:space="preserve">. </w:t>
      </w:r>
    </w:p>
    <w:p w14:paraId="200A6E23" w14:textId="77777777" w:rsidR="00EF1741" w:rsidRPr="001569FB" w:rsidRDefault="00510E91" w:rsidP="00E746B1">
      <w:pPr>
        <w:spacing w:before="200" w:after="200"/>
        <w:rPr>
          <w:szCs w:val="24"/>
        </w:rPr>
      </w:pPr>
      <w:r w:rsidRPr="001569FB">
        <w:rPr>
          <w:szCs w:val="24"/>
        </w:rPr>
        <w:t>S</w:t>
      </w:r>
      <w:r w:rsidR="00A85306" w:rsidRPr="001569FB">
        <w:rPr>
          <w:szCs w:val="24"/>
        </w:rPr>
        <w:t>ee Attachment IV for additional information on the calculation of the annual percentage increase in the CPI.</w:t>
      </w:r>
      <w:r w:rsidR="00EF1741" w:rsidRPr="001569FB">
        <w:rPr>
          <w:szCs w:val="24"/>
        </w:rPr>
        <w:t xml:space="preserve"> </w:t>
      </w:r>
    </w:p>
    <w:p w14:paraId="4B2FFBF9" w14:textId="48233404" w:rsidR="005D7D79" w:rsidRPr="001569FB" w:rsidRDefault="006573BD" w:rsidP="00203CF7">
      <w:pPr>
        <w:pStyle w:val="Heading3"/>
      </w:pPr>
      <w:r w:rsidRPr="001569FB">
        <w:lastRenderedPageBreak/>
        <w:t>D</w:t>
      </w:r>
      <w:r w:rsidR="005D7D79" w:rsidRPr="001569FB">
        <w:t>3</w:t>
      </w:r>
      <w:r w:rsidRPr="001569FB">
        <w:t>.</w:t>
      </w:r>
      <w:r w:rsidR="007A6384" w:rsidRPr="001569FB">
        <w:t xml:space="preserve"> </w:t>
      </w:r>
      <w:r w:rsidR="005D7D79" w:rsidRPr="001569FB">
        <w:t xml:space="preserve"> Determining Total Covered Part D Spending at Out-of-Pocket Threshold</w:t>
      </w:r>
    </w:p>
    <w:p w14:paraId="0AE24F56" w14:textId="479E80F3" w:rsidR="00A85306" w:rsidRPr="001569FB" w:rsidRDefault="00A85306" w:rsidP="00E746B1">
      <w:pPr>
        <w:spacing w:before="200" w:after="200"/>
        <w:rPr>
          <w:b/>
          <w:szCs w:val="24"/>
          <w:u w:val="single"/>
        </w:rPr>
      </w:pPr>
      <w:r w:rsidRPr="001569FB">
        <w:rPr>
          <w:szCs w:val="24"/>
        </w:rPr>
        <w:t>Each year, CMS releases the Total Covered Part D Spending at the Out-of-Pocket Threshold, which is the amount of total drug spending</w:t>
      </w:r>
      <w:r w:rsidR="00861EE6" w:rsidRPr="001569FB">
        <w:rPr>
          <w:szCs w:val="24"/>
        </w:rPr>
        <w:t>, regardless of payer,</w:t>
      </w:r>
      <w:r w:rsidRPr="001569FB">
        <w:rPr>
          <w:szCs w:val="24"/>
        </w:rPr>
        <w:t xml:space="preserve"> required to </w:t>
      </w:r>
      <w:r w:rsidR="00861EE6" w:rsidRPr="001569FB">
        <w:rPr>
          <w:szCs w:val="24"/>
        </w:rPr>
        <w:t xml:space="preserve">reach the </w:t>
      </w:r>
      <w:r w:rsidRPr="001569FB">
        <w:rPr>
          <w:szCs w:val="24"/>
        </w:rPr>
        <w:t>out-of-pocket threshold in the defined standard benefit.  Due to reductions in beneficiary cost</w:t>
      </w:r>
      <w:r w:rsidR="00510E91" w:rsidRPr="001569FB">
        <w:rPr>
          <w:szCs w:val="24"/>
        </w:rPr>
        <w:t>-</w:t>
      </w:r>
      <w:r w:rsidRPr="001569FB">
        <w:rPr>
          <w:szCs w:val="24"/>
        </w:rPr>
        <w:t>sharing for drugs in the coverage gap phase for applicable (i.e., non-LIS) beneficiaries per section 1860D-2</w:t>
      </w:r>
      <w:r w:rsidR="00861EE6" w:rsidRPr="001569FB">
        <w:rPr>
          <w:szCs w:val="24"/>
        </w:rPr>
        <w:t xml:space="preserve"> of the Act</w:t>
      </w:r>
      <w:r w:rsidRPr="001569FB">
        <w:rPr>
          <w:szCs w:val="24"/>
        </w:rPr>
        <w:t>, the total covered Part D spending may be different for applicable and non-applicable (i.e., LIS) beneficiaries.  Therefore, CMS is releasing the two values described below:</w:t>
      </w:r>
    </w:p>
    <w:p w14:paraId="270A3B7C" w14:textId="7DABF8BE" w:rsidR="00A85306" w:rsidRPr="001569FB" w:rsidRDefault="00A85306" w:rsidP="00A85306">
      <w:pPr>
        <w:pStyle w:val="ListBullet"/>
        <w:rPr>
          <w:b/>
          <w:szCs w:val="24"/>
          <w:u w:val="single"/>
        </w:rPr>
      </w:pPr>
      <w:r w:rsidRPr="001569FB">
        <w:rPr>
          <w:szCs w:val="24"/>
          <w:u w:val="single"/>
        </w:rPr>
        <w:t>Total Covered Part D Spending at Out-of-Pocket Threshold for Non-Applicable Beneficiaries</w:t>
      </w:r>
      <w:r w:rsidRPr="001569FB">
        <w:rPr>
          <w:szCs w:val="24"/>
        </w:rPr>
        <w:t xml:space="preserve">.  This is the amount of total drug spending for a non-applicable (i.e., 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w:t>
      </w:r>
      <w:r w:rsidR="0021268A" w:rsidRPr="001569FB">
        <w:rPr>
          <w:szCs w:val="24"/>
        </w:rPr>
        <w:t>,</w:t>
      </w:r>
      <w:r w:rsidRPr="001569FB">
        <w:rPr>
          <w:szCs w:val="24"/>
        </w:rPr>
        <w:t xml:space="preserve"> or similar third party arrangement, this amount may be higher.  This amount is calculated based on 100</w:t>
      </w:r>
      <w:r w:rsidR="00631EF2" w:rsidRPr="001569FB">
        <w:rPr>
          <w:szCs w:val="24"/>
        </w:rPr>
        <w:t xml:space="preserve"> percent</w:t>
      </w:r>
      <w:r w:rsidRPr="001569FB">
        <w:rPr>
          <w:szCs w:val="24"/>
        </w:rPr>
        <w:t xml:space="preserve"> cost</w:t>
      </w:r>
      <w:r w:rsidR="00510E91" w:rsidRPr="001569FB">
        <w:rPr>
          <w:szCs w:val="24"/>
        </w:rPr>
        <w:t>-</w:t>
      </w:r>
      <w:r w:rsidRPr="001569FB">
        <w:rPr>
          <w:szCs w:val="24"/>
        </w:rPr>
        <w:t>sharing in the deductible</w:t>
      </w:r>
      <w:r w:rsidR="00F95E23" w:rsidRPr="001569FB">
        <w:rPr>
          <w:szCs w:val="24"/>
        </w:rPr>
        <w:t xml:space="preserve"> and</w:t>
      </w:r>
      <w:r w:rsidR="009A20A2" w:rsidRPr="001569FB">
        <w:rPr>
          <w:szCs w:val="24"/>
        </w:rPr>
        <w:t xml:space="preserve"> </w:t>
      </w:r>
      <w:r w:rsidRPr="001569FB">
        <w:rPr>
          <w:szCs w:val="24"/>
        </w:rPr>
        <w:t>coverage gap phase</w:t>
      </w:r>
      <w:r w:rsidR="00583233" w:rsidRPr="001569FB">
        <w:rPr>
          <w:szCs w:val="24"/>
        </w:rPr>
        <w:t>s</w:t>
      </w:r>
      <w:r w:rsidRPr="001569FB">
        <w:rPr>
          <w:szCs w:val="24"/>
        </w:rPr>
        <w:t xml:space="preserve"> and 25</w:t>
      </w:r>
      <w:r w:rsidR="00631EF2" w:rsidRPr="001569FB">
        <w:rPr>
          <w:szCs w:val="24"/>
        </w:rPr>
        <w:t xml:space="preserve"> percent</w:t>
      </w:r>
      <w:r w:rsidRPr="001569FB">
        <w:rPr>
          <w:szCs w:val="24"/>
        </w:rPr>
        <w:t xml:space="preserve"> </w:t>
      </w:r>
      <w:r w:rsidR="003270E4" w:rsidRPr="001569FB">
        <w:rPr>
          <w:szCs w:val="24"/>
        </w:rPr>
        <w:t>cost</w:t>
      </w:r>
      <w:r w:rsidR="00510E91" w:rsidRPr="001569FB">
        <w:rPr>
          <w:szCs w:val="24"/>
        </w:rPr>
        <w:t>-</w:t>
      </w:r>
      <w:r w:rsidR="003270E4" w:rsidRPr="001569FB">
        <w:rPr>
          <w:szCs w:val="24"/>
        </w:rPr>
        <w:t xml:space="preserve">sharing </w:t>
      </w:r>
      <w:r w:rsidRPr="001569FB">
        <w:rPr>
          <w:szCs w:val="24"/>
        </w:rPr>
        <w:t xml:space="preserve">in the initial coverage phase. </w:t>
      </w:r>
    </w:p>
    <w:p w14:paraId="4E98C216" w14:textId="0BB9A7CF" w:rsidR="00A85306" w:rsidRPr="001569FB" w:rsidRDefault="00A85306" w:rsidP="00EE1A82">
      <w:pPr>
        <w:pStyle w:val="ListBullet"/>
        <w:spacing w:before="200"/>
        <w:rPr>
          <w:szCs w:val="24"/>
        </w:rPr>
      </w:pPr>
      <w:r w:rsidRPr="001569FB">
        <w:rPr>
          <w:szCs w:val="24"/>
          <w:u w:val="single"/>
        </w:rPr>
        <w:t>Estimated Total Covered Part D Spending at Out-of-Pocket Threshold for Applicable Beneficiaries</w:t>
      </w:r>
      <w:r w:rsidRPr="001569FB">
        <w:rPr>
          <w:szCs w:val="24"/>
        </w:rPr>
        <w:t xml:space="preserve">.  This is an </w:t>
      </w:r>
      <w:r w:rsidRPr="001569FB">
        <w:rPr>
          <w:i/>
          <w:iCs/>
          <w:szCs w:val="24"/>
        </w:rPr>
        <w:t xml:space="preserve">estimate </w:t>
      </w:r>
      <w:r w:rsidRPr="001569FB">
        <w:rPr>
          <w:szCs w:val="24"/>
        </w:rPr>
        <w:t xml:space="preserve">of the average amount of total drug spending for an applicable (i.e., non-LIS)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 or similar third party arrangement, this amount may be higher.  This amount is estimated based on 100</w:t>
      </w:r>
      <w:r w:rsidR="00631EF2" w:rsidRPr="001569FB">
        <w:rPr>
          <w:szCs w:val="24"/>
        </w:rPr>
        <w:t xml:space="preserve"> percent</w:t>
      </w:r>
      <w:r w:rsidRPr="001569FB">
        <w:rPr>
          <w:szCs w:val="24"/>
        </w:rPr>
        <w:t xml:space="preserve"> beneficiary cost</w:t>
      </w:r>
      <w:r w:rsidR="00A12C36" w:rsidRPr="001569FB">
        <w:rPr>
          <w:szCs w:val="24"/>
        </w:rPr>
        <w:t>-</w:t>
      </w:r>
      <w:r w:rsidRPr="001569FB">
        <w:rPr>
          <w:szCs w:val="24"/>
        </w:rPr>
        <w:t>sharing in the deductible phase, 25</w:t>
      </w:r>
      <w:r w:rsidR="00631EF2" w:rsidRPr="001569FB">
        <w:rPr>
          <w:szCs w:val="24"/>
        </w:rPr>
        <w:t xml:space="preserve"> percent</w:t>
      </w:r>
      <w:r w:rsidRPr="001569FB">
        <w:rPr>
          <w:szCs w:val="24"/>
        </w:rPr>
        <w:t xml:space="preserve"> </w:t>
      </w:r>
      <w:r w:rsidR="003270E4" w:rsidRPr="001569FB">
        <w:rPr>
          <w:szCs w:val="24"/>
        </w:rPr>
        <w:t>cost</w:t>
      </w:r>
      <w:r w:rsidR="00A12C36" w:rsidRPr="001569FB">
        <w:rPr>
          <w:szCs w:val="24"/>
        </w:rPr>
        <w:t>-</w:t>
      </w:r>
      <w:r w:rsidR="003270E4" w:rsidRPr="001569FB">
        <w:rPr>
          <w:szCs w:val="24"/>
        </w:rPr>
        <w:t xml:space="preserve">sharing </w:t>
      </w:r>
      <w:r w:rsidRPr="001569FB">
        <w:rPr>
          <w:szCs w:val="24"/>
        </w:rPr>
        <w:t xml:space="preserve">in the initial coverage phase, and in the coverage gap, </w:t>
      </w:r>
      <w:r w:rsidR="00D60C05" w:rsidRPr="001569FB">
        <w:rPr>
          <w:szCs w:val="24"/>
        </w:rPr>
        <w:t xml:space="preserve">37 </w:t>
      </w:r>
      <w:r w:rsidR="00631EF2" w:rsidRPr="001569FB">
        <w:rPr>
          <w:szCs w:val="24"/>
        </w:rPr>
        <w:t>percent</w:t>
      </w:r>
      <w:r w:rsidRPr="001569FB">
        <w:rPr>
          <w:szCs w:val="24"/>
        </w:rPr>
        <w:t xml:space="preserve"> cost sharing for </w:t>
      </w:r>
      <w:r w:rsidR="00510E91" w:rsidRPr="001569FB">
        <w:rPr>
          <w:szCs w:val="24"/>
        </w:rPr>
        <w:t>“</w:t>
      </w:r>
      <w:r w:rsidRPr="001569FB">
        <w:rPr>
          <w:szCs w:val="24"/>
        </w:rPr>
        <w:t>non-applicable</w:t>
      </w:r>
      <w:r w:rsidR="00510E91" w:rsidRPr="001569FB">
        <w:rPr>
          <w:szCs w:val="24"/>
        </w:rPr>
        <w:t>”</w:t>
      </w:r>
      <w:r w:rsidRPr="001569FB">
        <w:rPr>
          <w:szCs w:val="24"/>
        </w:rPr>
        <w:t xml:space="preserve"> drugs and </w:t>
      </w:r>
      <w:r w:rsidR="00D60C05" w:rsidRPr="001569FB">
        <w:rPr>
          <w:szCs w:val="24"/>
        </w:rPr>
        <w:t xml:space="preserve">80 </w:t>
      </w:r>
      <w:r w:rsidR="00631EF2" w:rsidRPr="001569FB">
        <w:rPr>
          <w:szCs w:val="24"/>
        </w:rPr>
        <w:t>percent</w:t>
      </w:r>
      <w:r w:rsidR="003270E4" w:rsidRPr="001569FB">
        <w:rPr>
          <w:szCs w:val="24"/>
        </w:rPr>
        <w:t xml:space="preserve"> cost</w:t>
      </w:r>
      <w:r w:rsidR="00A12C36" w:rsidRPr="001569FB">
        <w:rPr>
          <w:szCs w:val="24"/>
        </w:rPr>
        <w:t>-</w:t>
      </w:r>
      <w:r w:rsidR="003270E4" w:rsidRPr="001569FB">
        <w:rPr>
          <w:szCs w:val="24"/>
        </w:rPr>
        <w:t>sharing</w:t>
      </w:r>
      <w:r w:rsidRPr="001569FB">
        <w:rPr>
          <w:szCs w:val="24"/>
        </w:rPr>
        <w:t xml:space="preserve"> </w:t>
      </w:r>
      <w:r w:rsidR="006E1462" w:rsidRPr="001569FB">
        <w:rPr>
          <w:szCs w:val="24"/>
        </w:rPr>
        <w:t xml:space="preserve">– </w:t>
      </w:r>
      <w:r w:rsidR="00C702DF" w:rsidRPr="001569FB">
        <w:rPr>
          <w:szCs w:val="24"/>
        </w:rPr>
        <w:t>consisting of 30 percent beneficiary coinsurance and 50 percent Coverage Gap Discount Program discount</w:t>
      </w:r>
      <w:r w:rsidR="006E1462" w:rsidRPr="001569FB">
        <w:rPr>
          <w:szCs w:val="24"/>
        </w:rPr>
        <w:t xml:space="preserve"> – </w:t>
      </w:r>
      <w:r w:rsidRPr="001569FB">
        <w:rPr>
          <w:szCs w:val="24"/>
        </w:rPr>
        <w:t xml:space="preserve">for </w:t>
      </w:r>
      <w:r w:rsidR="00510E91" w:rsidRPr="001569FB">
        <w:rPr>
          <w:szCs w:val="24"/>
        </w:rPr>
        <w:t>“</w:t>
      </w:r>
      <w:r w:rsidRPr="001569FB">
        <w:rPr>
          <w:szCs w:val="24"/>
        </w:rPr>
        <w:t>applicable</w:t>
      </w:r>
      <w:r w:rsidR="00510E91" w:rsidRPr="001569FB">
        <w:rPr>
          <w:szCs w:val="24"/>
        </w:rPr>
        <w:t>”</w:t>
      </w:r>
      <w:r w:rsidRPr="001569FB">
        <w:rPr>
          <w:szCs w:val="24"/>
        </w:rPr>
        <w:t xml:space="preserve"> drugs.  Please see Attachment IV for additional information on the calculation of the estimated total covered Part D spending for applicable beneficiaries. </w:t>
      </w:r>
    </w:p>
    <w:p w14:paraId="555AAF1E" w14:textId="5387AB1E" w:rsidR="00477CCD" w:rsidRPr="001569FB" w:rsidRDefault="00477CCD" w:rsidP="00477CCD">
      <w:pPr>
        <w:pStyle w:val="ListBullet"/>
        <w:numPr>
          <w:ilvl w:val="0"/>
          <w:numId w:val="0"/>
        </w:numPr>
        <w:spacing w:before="200"/>
        <w:rPr>
          <w:szCs w:val="24"/>
        </w:rPr>
      </w:pPr>
      <w:r w:rsidRPr="001569FB">
        <w:rPr>
          <w:szCs w:val="24"/>
        </w:rPr>
        <w:t>The values can be found in Table III-</w:t>
      </w:r>
      <w:r w:rsidR="00E74FEB" w:rsidRPr="001569FB">
        <w:rPr>
          <w:szCs w:val="24"/>
        </w:rPr>
        <w:t xml:space="preserve">1 </w:t>
      </w:r>
      <w:r w:rsidRPr="001569FB">
        <w:rPr>
          <w:szCs w:val="24"/>
        </w:rPr>
        <w:t>below.</w:t>
      </w:r>
    </w:p>
    <w:p w14:paraId="12FCE5AC" w14:textId="16BC750B" w:rsidR="007C1172" w:rsidRPr="001569FB" w:rsidRDefault="007C1172" w:rsidP="00BA36E3">
      <w:pPr>
        <w:pStyle w:val="TableTitle0"/>
        <w:rPr>
          <w:szCs w:val="24"/>
        </w:rPr>
      </w:pPr>
      <w:r w:rsidRPr="001569FB">
        <w:rPr>
          <w:szCs w:val="24"/>
        </w:rPr>
        <w:lastRenderedPageBreak/>
        <w:t>Table III-</w:t>
      </w:r>
      <w:r w:rsidR="00E74FEB" w:rsidRPr="001569FB">
        <w:rPr>
          <w:szCs w:val="24"/>
        </w:rPr>
        <w:t>1</w:t>
      </w:r>
      <w:r w:rsidR="0067131F" w:rsidRPr="001569FB">
        <w:rPr>
          <w:szCs w:val="24"/>
        </w:rPr>
        <w:t xml:space="preserve">.  </w:t>
      </w:r>
      <w:r w:rsidRPr="001569FB">
        <w:rPr>
          <w:szCs w:val="24"/>
        </w:rPr>
        <w:t>Updated Part D Benefit Parameters for Defined Standard Benefit, Low-Income Subsidy, and Retiree Drug Subsidy</w:t>
      </w:r>
    </w:p>
    <w:p w14:paraId="0B03ADD0" w14:textId="77777777" w:rsidR="0042188E" w:rsidRPr="001569FB" w:rsidRDefault="0042188E" w:rsidP="00BA36E3">
      <w:pPr>
        <w:pStyle w:val="Heading4"/>
        <w:spacing w:before="120" w:after="120"/>
      </w:pPr>
      <w:r w:rsidRPr="001569FB">
        <w:t>Annual Percentage Increases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875"/>
        <w:gridCol w:w="1225"/>
        <w:gridCol w:w="1015"/>
        <w:gridCol w:w="1235"/>
      </w:tblGrid>
      <w:tr w:rsidR="0042188E" w:rsidRPr="001569FB" w14:paraId="29B590EF" w14:textId="77777777" w:rsidTr="00BA36E3">
        <w:trPr>
          <w:cantSplit/>
          <w:trHeight w:hRule="exact" w:val="1180"/>
          <w:tblHeader/>
        </w:trPr>
        <w:tc>
          <w:tcPr>
            <w:tcW w:w="5875" w:type="dxa"/>
            <w:tcBorders>
              <w:bottom w:val="single" w:sz="4" w:space="0" w:color="auto"/>
            </w:tcBorders>
            <w:shd w:val="clear" w:color="auto" w:fill="DDD9C3" w:themeFill="background2" w:themeFillShade="E6"/>
            <w:noWrap/>
          </w:tcPr>
          <w:p w14:paraId="272FAC20" w14:textId="77777777" w:rsidR="0042188E" w:rsidRPr="001569FB" w:rsidRDefault="0042188E" w:rsidP="00BA36E3">
            <w:pPr>
              <w:keepNext/>
              <w:keepLines/>
              <w:spacing w:line="240" w:lineRule="auto"/>
              <w:rPr>
                <w:szCs w:val="24"/>
              </w:rPr>
            </w:pPr>
          </w:p>
        </w:tc>
        <w:tc>
          <w:tcPr>
            <w:tcW w:w="1225" w:type="dxa"/>
            <w:tcBorders>
              <w:bottom w:val="single" w:sz="4" w:space="0" w:color="auto"/>
            </w:tcBorders>
            <w:shd w:val="clear" w:color="auto" w:fill="DDD9C3" w:themeFill="background2" w:themeFillShade="E6"/>
            <w:vAlign w:val="center"/>
          </w:tcPr>
          <w:p w14:paraId="6AEB1DDD" w14:textId="77777777" w:rsidR="0042188E" w:rsidRPr="001569FB" w:rsidRDefault="0042188E" w:rsidP="00BA36E3">
            <w:pPr>
              <w:keepNext/>
              <w:keepLines/>
              <w:spacing w:line="240" w:lineRule="auto"/>
              <w:jc w:val="center"/>
              <w:rPr>
                <w:szCs w:val="24"/>
              </w:rPr>
            </w:pPr>
            <w:r w:rsidRPr="001569FB">
              <w:rPr>
                <w:szCs w:val="24"/>
              </w:rPr>
              <w:t xml:space="preserve">Annual percentage trend for </w:t>
            </w:r>
            <w:r w:rsidR="00B342E6" w:rsidRPr="001569FB">
              <w:rPr>
                <w:szCs w:val="24"/>
              </w:rPr>
              <w:t>2018</w:t>
            </w:r>
          </w:p>
        </w:tc>
        <w:tc>
          <w:tcPr>
            <w:tcW w:w="1015" w:type="dxa"/>
            <w:tcBorders>
              <w:bottom w:val="single" w:sz="4" w:space="0" w:color="auto"/>
            </w:tcBorders>
            <w:shd w:val="clear" w:color="auto" w:fill="DDD9C3" w:themeFill="background2" w:themeFillShade="E6"/>
            <w:vAlign w:val="center"/>
          </w:tcPr>
          <w:p w14:paraId="58E5AA1C" w14:textId="77777777" w:rsidR="0042188E" w:rsidRPr="001569FB" w:rsidRDefault="0042188E" w:rsidP="00BA36E3">
            <w:pPr>
              <w:keepNext/>
              <w:keepLines/>
              <w:spacing w:line="240" w:lineRule="auto"/>
              <w:jc w:val="center"/>
              <w:rPr>
                <w:szCs w:val="24"/>
              </w:rPr>
            </w:pPr>
            <w:r w:rsidRPr="001569FB">
              <w:rPr>
                <w:szCs w:val="24"/>
              </w:rPr>
              <w:t>Prior year revisions</w:t>
            </w:r>
          </w:p>
        </w:tc>
        <w:tc>
          <w:tcPr>
            <w:tcW w:w="1235" w:type="dxa"/>
            <w:tcBorders>
              <w:bottom w:val="single" w:sz="4" w:space="0" w:color="auto"/>
            </w:tcBorders>
            <w:shd w:val="clear" w:color="auto" w:fill="DDD9C3" w:themeFill="background2" w:themeFillShade="E6"/>
            <w:vAlign w:val="center"/>
          </w:tcPr>
          <w:p w14:paraId="7DBBD3B4" w14:textId="77777777" w:rsidR="0042188E" w:rsidRPr="001569FB" w:rsidRDefault="0042188E" w:rsidP="00BA36E3">
            <w:pPr>
              <w:keepNext/>
              <w:keepLines/>
              <w:spacing w:line="240" w:lineRule="auto"/>
              <w:jc w:val="center"/>
              <w:rPr>
                <w:szCs w:val="24"/>
              </w:rPr>
            </w:pPr>
            <w:r w:rsidRPr="001569FB">
              <w:rPr>
                <w:szCs w:val="24"/>
              </w:rPr>
              <w:t xml:space="preserve">Annual percentage increase for </w:t>
            </w:r>
            <w:r w:rsidR="00B342E6" w:rsidRPr="001569FB">
              <w:rPr>
                <w:szCs w:val="24"/>
              </w:rPr>
              <w:t>2019</w:t>
            </w:r>
          </w:p>
        </w:tc>
      </w:tr>
      <w:tr w:rsidR="00F95E23" w:rsidRPr="001569FB" w14:paraId="0D8930E4" w14:textId="77777777" w:rsidTr="00BA36E3">
        <w:trPr>
          <w:cantSplit/>
          <w:trHeight w:hRule="exact" w:val="352"/>
        </w:trPr>
        <w:tc>
          <w:tcPr>
            <w:tcW w:w="5875" w:type="dxa"/>
            <w:tcBorders>
              <w:bottom w:val="nil"/>
            </w:tcBorders>
            <w:noWrap/>
          </w:tcPr>
          <w:p w14:paraId="3585F412" w14:textId="77777777" w:rsidR="00F95E23" w:rsidRPr="001569FB" w:rsidRDefault="00F95E23" w:rsidP="00BA36E3">
            <w:pPr>
              <w:keepNext/>
              <w:keepLines/>
              <w:spacing w:line="240" w:lineRule="auto"/>
              <w:rPr>
                <w:szCs w:val="24"/>
              </w:rPr>
            </w:pPr>
            <w:r w:rsidRPr="001569FB">
              <w:rPr>
                <w:szCs w:val="24"/>
              </w:rPr>
              <w:t>API: Applied to all parameters but (1) and (2)</w:t>
            </w:r>
          </w:p>
        </w:tc>
        <w:tc>
          <w:tcPr>
            <w:tcW w:w="1225" w:type="dxa"/>
            <w:tcBorders>
              <w:bottom w:val="nil"/>
            </w:tcBorders>
            <w:noWrap/>
            <w:vAlign w:val="center"/>
          </w:tcPr>
          <w:p w14:paraId="6EF128CF" w14:textId="77777777" w:rsidR="00F95E23" w:rsidRPr="001569FB" w:rsidRDefault="00F95E23" w:rsidP="00BA36E3">
            <w:pPr>
              <w:keepNext/>
              <w:keepLines/>
              <w:jc w:val="right"/>
              <w:rPr>
                <w:szCs w:val="24"/>
              </w:rPr>
            </w:pPr>
            <w:r w:rsidRPr="001569FB">
              <w:rPr>
                <w:szCs w:val="24"/>
              </w:rPr>
              <w:t>3.96%</w:t>
            </w:r>
          </w:p>
        </w:tc>
        <w:tc>
          <w:tcPr>
            <w:tcW w:w="1015" w:type="dxa"/>
            <w:tcBorders>
              <w:bottom w:val="nil"/>
            </w:tcBorders>
            <w:noWrap/>
            <w:vAlign w:val="center"/>
          </w:tcPr>
          <w:p w14:paraId="34B777F9" w14:textId="2711F68C"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1.95%</w:t>
            </w:r>
          </w:p>
        </w:tc>
        <w:tc>
          <w:tcPr>
            <w:tcW w:w="1235" w:type="dxa"/>
            <w:tcBorders>
              <w:bottom w:val="nil"/>
            </w:tcBorders>
            <w:noWrap/>
            <w:vAlign w:val="center"/>
          </w:tcPr>
          <w:p w14:paraId="7D825F26" w14:textId="77777777" w:rsidR="00F95E23" w:rsidRPr="001569FB" w:rsidRDefault="00F95E23" w:rsidP="00BA36E3">
            <w:pPr>
              <w:keepNext/>
              <w:keepLines/>
              <w:spacing w:line="240" w:lineRule="auto"/>
              <w:jc w:val="right"/>
              <w:rPr>
                <w:szCs w:val="24"/>
              </w:rPr>
            </w:pPr>
            <w:r w:rsidRPr="001569FB">
              <w:rPr>
                <w:szCs w:val="24"/>
              </w:rPr>
              <w:t>1.94%</w:t>
            </w:r>
          </w:p>
        </w:tc>
      </w:tr>
      <w:tr w:rsidR="00F95E23" w:rsidRPr="001569FB" w14:paraId="23B32001" w14:textId="77777777" w:rsidTr="00BA36E3">
        <w:trPr>
          <w:cantSplit/>
          <w:trHeight w:hRule="exact" w:val="352"/>
        </w:trPr>
        <w:tc>
          <w:tcPr>
            <w:tcW w:w="5875" w:type="dxa"/>
            <w:tcBorders>
              <w:bottom w:val="nil"/>
            </w:tcBorders>
            <w:noWrap/>
          </w:tcPr>
          <w:p w14:paraId="63254682" w14:textId="77777777" w:rsidR="00F95E23" w:rsidRPr="001569FB" w:rsidRDefault="00F95E23" w:rsidP="00BA36E3">
            <w:pPr>
              <w:keepNext/>
              <w:keepLines/>
              <w:spacing w:line="240" w:lineRule="auto"/>
              <w:rPr>
                <w:szCs w:val="24"/>
              </w:rPr>
            </w:pPr>
            <w:r w:rsidRPr="001569FB">
              <w:rPr>
                <w:szCs w:val="24"/>
              </w:rPr>
              <w:t>July CPI (all items, U.S. city average): Applied to (1)</w:t>
            </w:r>
          </w:p>
        </w:tc>
        <w:tc>
          <w:tcPr>
            <w:tcW w:w="1225" w:type="dxa"/>
            <w:tcBorders>
              <w:bottom w:val="nil"/>
            </w:tcBorders>
            <w:noWrap/>
            <w:vAlign w:val="center"/>
          </w:tcPr>
          <w:p w14:paraId="280EE576" w14:textId="77777777" w:rsidR="00F95E23" w:rsidRPr="001569FB" w:rsidRDefault="00F95E23" w:rsidP="00BA36E3">
            <w:pPr>
              <w:keepNext/>
              <w:keepLines/>
              <w:jc w:val="right"/>
              <w:rPr>
                <w:szCs w:val="24"/>
              </w:rPr>
            </w:pPr>
            <w:r w:rsidRPr="001569FB">
              <w:rPr>
                <w:szCs w:val="24"/>
              </w:rPr>
              <w:t>2.58%</w:t>
            </w:r>
          </w:p>
        </w:tc>
        <w:tc>
          <w:tcPr>
            <w:tcW w:w="1015" w:type="dxa"/>
            <w:tcBorders>
              <w:bottom w:val="nil"/>
            </w:tcBorders>
            <w:noWrap/>
            <w:vAlign w:val="center"/>
          </w:tcPr>
          <w:p w14:paraId="5E85997C" w14:textId="3CA38305"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0.73%</w:t>
            </w:r>
          </w:p>
        </w:tc>
        <w:tc>
          <w:tcPr>
            <w:tcW w:w="1235" w:type="dxa"/>
            <w:tcBorders>
              <w:bottom w:val="nil"/>
            </w:tcBorders>
            <w:noWrap/>
            <w:vAlign w:val="center"/>
          </w:tcPr>
          <w:p w14:paraId="465E1E09" w14:textId="77777777" w:rsidR="00F95E23" w:rsidRPr="001569FB" w:rsidRDefault="00F95E23" w:rsidP="00BA36E3">
            <w:pPr>
              <w:keepNext/>
              <w:keepLines/>
              <w:spacing w:line="240" w:lineRule="auto"/>
              <w:jc w:val="right"/>
              <w:rPr>
                <w:szCs w:val="24"/>
              </w:rPr>
            </w:pPr>
            <w:r w:rsidRPr="001569FB">
              <w:rPr>
                <w:szCs w:val="24"/>
              </w:rPr>
              <w:t>1.83%</w:t>
            </w:r>
          </w:p>
        </w:tc>
      </w:tr>
      <w:tr w:rsidR="00F95E23" w:rsidRPr="001569FB" w14:paraId="2262DDB5" w14:textId="77777777" w:rsidTr="00BA36E3">
        <w:trPr>
          <w:cantSplit/>
        </w:trPr>
        <w:tc>
          <w:tcPr>
            <w:tcW w:w="5875" w:type="dxa"/>
            <w:tcBorders>
              <w:top w:val="nil"/>
            </w:tcBorders>
            <w:noWrap/>
            <w:vAlign w:val="center"/>
          </w:tcPr>
          <w:p w14:paraId="29DF8CF3" w14:textId="77777777" w:rsidR="00F95E23" w:rsidRPr="001569FB" w:rsidRDefault="00F95E23" w:rsidP="00BA36E3">
            <w:pPr>
              <w:widowControl w:val="0"/>
              <w:spacing w:after="40" w:line="240" w:lineRule="auto"/>
              <w:rPr>
                <w:szCs w:val="24"/>
              </w:rPr>
            </w:pPr>
            <w:r w:rsidRPr="001569FB">
              <w:rPr>
                <w:szCs w:val="24"/>
              </w:rPr>
              <w:t>September CPI (all items, U.S. city average): Applied to (2)</w:t>
            </w:r>
          </w:p>
        </w:tc>
        <w:tc>
          <w:tcPr>
            <w:tcW w:w="1225" w:type="dxa"/>
            <w:tcBorders>
              <w:top w:val="nil"/>
            </w:tcBorders>
            <w:noWrap/>
            <w:vAlign w:val="center"/>
          </w:tcPr>
          <w:p w14:paraId="002EFDCE" w14:textId="77777777" w:rsidR="00F95E23" w:rsidRPr="001569FB" w:rsidRDefault="00F95E23" w:rsidP="00BA36E3">
            <w:pPr>
              <w:widowControl w:val="0"/>
              <w:spacing w:after="40" w:line="240" w:lineRule="auto"/>
              <w:jc w:val="right"/>
              <w:rPr>
                <w:szCs w:val="24"/>
              </w:rPr>
            </w:pPr>
            <w:r w:rsidRPr="001569FB">
              <w:rPr>
                <w:szCs w:val="24"/>
              </w:rPr>
              <w:t>1.95%</w:t>
            </w:r>
          </w:p>
        </w:tc>
        <w:tc>
          <w:tcPr>
            <w:tcW w:w="1015" w:type="dxa"/>
            <w:tcBorders>
              <w:top w:val="nil"/>
            </w:tcBorders>
            <w:noWrap/>
            <w:vAlign w:val="center"/>
          </w:tcPr>
          <w:p w14:paraId="25CB6BCE" w14:textId="7C1E098A" w:rsidR="00F95E23" w:rsidRPr="001569FB" w:rsidRDefault="00BF085B" w:rsidP="00BA36E3">
            <w:pPr>
              <w:widowControl w:val="0"/>
              <w:spacing w:after="40" w:line="240" w:lineRule="auto"/>
              <w:jc w:val="right"/>
              <w:rPr>
                <w:szCs w:val="24"/>
              </w:rPr>
            </w:pPr>
            <w:r w:rsidRPr="001569FB">
              <w:rPr>
                <w:szCs w:val="24"/>
              </w:rPr>
              <w:t>−</w:t>
            </w:r>
            <w:r w:rsidR="00F95E23" w:rsidRPr="001569FB">
              <w:rPr>
                <w:szCs w:val="24"/>
              </w:rPr>
              <w:t>0.17%</w:t>
            </w:r>
          </w:p>
        </w:tc>
        <w:tc>
          <w:tcPr>
            <w:tcW w:w="1235" w:type="dxa"/>
            <w:tcBorders>
              <w:top w:val="nil"/>
            </w:tcBorders>
            <w:noWrap/>
            <w:vAlign w:val="center"/>
          </w:tcPr>
          <w:p w14:paraId="07F37883" w14:textId="77777777" w:rsidR="00F95E23" w:rsidRPr="001569FB" w:rsidRDefault="00F95E23" w:rsidP="00BA36E3">
            <w:pPr>
              <w:widowControl w:val="0"/>
              <w:spacing w:after="40" w:line="240" w:lineRule="auto"/>
              <w:jc w:val="right"/>
              <w:rPr>
                <w:szCs w:val="24"/>
              </w:rPr>
            </w:pPr>
            <w:r w:rsidRPr="001569FB">
              <w:rPr>
                <w:szCs w:val="24"/>
              </w:rPr>
              <w:t>1.78%</w:t>
            </w:r>
          </w:p>
        </w:tc>
      </w:tr>
    </w:tbl>
    <w:p w14:paraId="45E0315C" w14:textId="77777777" w:rsidR="0042188E" w:rsidRPr="001569FB" w:rsidRDefault="0042188E" w:rsidP="00416BAB">
      <w:pPr>
        <w:pStyle w:val="Heading4"/>
        <w:spacing w:before="120" w:after="120"/>
      </w:pPr>
      <w:r w:rsidRPr="001569FB">
        <w:t>Part D Benefit Parameters</w:t>
      </w:r>
    </w:p>
    <w:tbl>
      <w:tblPr>
        <w:tblW w:w="10170" w:type="dxa"/>
        <w:tblInd w:w="-5" w:type="dxa"/>
        <w:tblBorders>
          <w:left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7740"/>
        <w:gridCol w:w="1260"/>
        <w:gridCol w:w="1170"/>
      </w:tblGrid>
      <w:tr w:rsidR="0042188E" w:rsidRPr="001569FB" w14:paraId="51B455EC" w14:textId="77777777" w:rsidTr="00781215">
        <w:trPr>
          <w:cantSplit/>
          <w:tblHeader/>
        </w:trPr>
        <w:tc>
          <w:tcPr>
            <w:tcW w:w="7740" w:type="dxa"/>
            <w:tcBorders>
              <w:top w:val="single" w:sz="4" w:space="0" w:color="auto"/>
              <w:bottom w:val="single" w:sz="4" w:space="0" w:color="auto"/>
            </w:tcBorders>
            <w:shd w:val="clear" w:color="auto" w:fill="DDD9C3" w:themeFill="background2" w:themeFillShade="E6"/>
            <w:vAlign w:val="bottom"/>
          </w:tcPr>
          <w:p w14:paraId="44D270A3" w14:textId="77777777" w:rsidR="0042188E" w:rsidRPr="001569FB" w:rsidRDefault="0042188E" w:rsidP="00D81541">
            <w:pPr>
              <w:keepNext/>
              <w:keepLines/>
              <w:spacing w:line="240" w:lineRule="auto"/>
              <w:rPr>
                <w:szCs w:val="24"/>
              </w:rPr>
            </w:pPr>
          </w:p>
        </w:tc>
        <w:tc>
          <w:tcPr>
            <w:tcW w:w="1260" w:type="dxa"/>
            <w:tcBorders>
              <w:top w:val="single" w:sz="4" w:space="0" w:color="auto"/>
              <w:bottom w:val="single" w:sz="4" w:space="0" w:color="auto"/>
            </w:tcBorders>
            <w:shd w:val="clear" w:color="auto" w:fill="DDD9C3" w:themeFill="background2" w:themeFillShade="E6"/>
            <w:vAlign w:val="bottom"/>
          </w:tcPr>
          <w:p w14:paraId="5837EB5D" w14:textId="77777777" w:rsidR="0042188E" w:rsidRPr="001569FB" w:rsidRDefault="00B342E6" w:rsidP="008E201D">
            <w:pPr>
              <w:keepNext/>
              <w:keepLines/>
              <w:spacing w:line="240" w:lineRule="auto"/>
              <w:jc w:val="center"/>
              <w:rPr>
                <w:szCs w:val="24"/>
              </w:rPr>
            </w:pPr>
            <w:r w:rsidRPr="001569FB">
              <w:rPr>
                <w:szCs w:val="24"/>
              </w:rPr>
              <w:t>2018</w:t>
            </w:r>
          </w:p>
        </w:tc>
        <w:tc>
          <w:tcPr>
            <w:tcW w:w="1170" w:type="dxa"/>
            <w:tcBorders>
              <w:top w:val="single" w:sz="4" w:space="0" w:color="auto"/>
              <w:bottom w:val="single" w:sz="4" w:space="0" w:color="auto"/>
            </w:tcBorders>
            <w:shd w:val="clear" w:color="auto" w:fill="DDD9C3" w:themeFill="background2" w:themeFillShade="E6"/>
            <w:noWrap/>
            <w:vAlign w:val="bottom"/>
            <w:hideMark/>
          </w:tcPr>
          <w:p w14:paraId="744D39EE" w14:textId="77777777" w:rsidR="0042188E" w:rsidRPr="001569FB" w:rsidRDefault="00B342E6" w:rsidP="008E201D">
            <w:pPr>
              <w:keepNext/>
              <w:keepLines/>
              <w:spacing w:line="240" w:lineRule="auto"/>
              <w:jc w:val="center"/>
              <w:rPr>
                <w:szCs w:val="24"/>
              </w:rPr>
            </w:pPr>
            <w:r w:rsidRPr="001569FB">
              <w:rPr>
                <w:szCs w:val="24"/>
              </w:rPr>
              <w:t>2019</w:t>
            </w:r>
          </w:p>
        </w:tc>
      </w:tr>
      <w:tr w:rsidR="00F95E23" w:rsidRPr="001569FB" w14:paraId="46F2C0B8" w14:textId="77777777" w:rsidTr="00781215">
        <w:trPr>
          <w:cantSplit/>
        </w:trPr>
        <w:tc>
          <w:tcPr>
            <w:tcW w:w="7740" w:type="dxa"/>
            <w:tcBorders>
              <w:top w:val="single" w:sz="4" w:space="0" w:color="auto"/>
              <w:bottom w:val="nil"/>
              <w:right w:val="single" w:sz="4" w:space="0" w:color="auto"/>
            </w:tcBorders>
            <w:vAlign w:val="bottom"/>
          </w:tcPr>
          <w:p w14:paraId="0E511F52" w14:textId="77777777" w:rsidR="00F95E23" w:rsidRPr="001569FB" w:rsidRDefault="00F95E23" w:rsidP="00F95E23">
            <w:pPr>
              <w:keepNext/>
              <w:keepLines/>
              <w:spacing w:line="240" w:lineRule="auto"/>
              <w:rPr>
                <w:b/>
                <w:bCs/>
                <w:szCs w:val="24"/>
              </w:rPr>
            </w:pPr>
            <w:r w:rsidRPr="001569FB">
              <w:rPr>
                <w:b/>
                <w:bCs/>
                <w:szCs w:val="24"/>
              </w:rPr>
              <w:t>Standard Benefit</w:t>
            </w:r>
          </w:p>
        </w:tc>
        <w:tc>
          <w:tcPr>
            <w:tcW w:w="1260" w:type="dxa"/>
            <w:tcBorders>
              <w:top w:val="single" w:sz="4" w:space="0" w:color="auto"/>
              <w:left w:val="single" w:sz="4" w:space="0" w:color="auto"/>
              <w:bottom w:val="nil"/>
              <w:right w:val="single" w:sz="4" w:space="0" w:color="auto"/>
            </w:tcBorders>
            <w:vAlign w:val="bottom"/>
          </w:tcPr>
          <w:p w14:paraId="592B456F" w14:textId="77777777" w:rsidR="00F95E23" w:rsidRPr="001569FB" w:rsidRDefault="00F95E23" w:rsidP="00F95E23">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hideMark/>
          </w:tcPr>
          <w:p w14:paraId="6C139973" w14:textId="77777777" w:rsidR="00F95E23" w:rsidRPr="001569FB" w:rsidRDefault="00F95E23" w:rsidP="00F95E23">
            <w:pPr>
              <w:keepNext/>
              <w:keepLines/>
              <w:spacing w:line="240" w:lineRule="auto"/>
              <w:jc w:val="right"/>
              <w:rPr>
                <w:szCs w:val="24"/>
              </w:rPr>
            </w:pPr>
            <w:r w:rsidRPr="001569FB">
              <w:rPr>
                <w:szCs w:val="24"/>
              </w:rPr>
              <w:t> </w:t>
            </w:r>
          </w:p>
        </w:tc>
      </w:tr>
      <w:tr w:rsidR="00F95E23" w:rsidRPr="001569FB" w14:paraId="4BC7F9F3" w14:textId="77777777" w:rsidTr="008E201D">
        <w:trPr>
          <w:cantSplit/>
        </w:trPr>
        <w:tc>
          <w:tcPr>
            <w:tcW w:w="7740" w:type="dxa"/>
            <w:tcBorders>
              <w:top w:val="nil"/>
              <w:bottom w:val="nil"/>
            </w:tcBorders>
            <w:vAlign w:val="bottom"/>
          </w:tcPr>
          <w:p w14:paraId="69D83B11"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275EEE6B" w14:textId="77777777" w:rsidR="00F95E23" w:rsidRPr="001569FB" w:rsidRDefault="00F95E23" w:rsidP="00F95E23">
            <w:pPr>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7FED4048" w14:textId="77777777" w:rsidR="00F95E23" w:rsidRPr="001569FB" w:rsidRDefault="00F95E23" w:rsidP="00F95E23">
            <w:pPr>
              <w:spacing w:line="240" w:lineRule="auto"/>
              <w:jc w:val="right"/>
              <w:rPr>
                <w:szCs w:val="24"/>
              </w:rPr>
            </w:pPr>
            <w:r w:rsidRPr="001569FB">
              <w:rPr>
                <w:szCs w:val="24"/>
              </w:rPr>
              <w:t>$415</w:t>
            </w:r>
          </w:p>
        </w:tc>
      </w:tr>
      <w:tr w:rsidR="00F95E23" w:rsidRPr="001569FB" w14:paraId="68B789FF" w14:textId="77777777" w:rsidTr="008E201D">
        <w:trPr>
          <w:cantSplit/>
        </w:trPr>
        <w:tc>
          <w:tcPr>
            <w:tcW w:w="7740" w:type="dxa"/>
            <w:tcBorders>
              <w:top w:val="nil"/>
              <w:bottom w:val="nil"/>
            </w:tcBorders>
            <w:vAlign w:val="bottom"/>
          </w:tcPr>
          <w:p w14:paraId="51CCB96A" w14:textId="77777777" w:rsidR="00F95E23" w:rsidRPr="001569FB" w:rsidRDefault="00F95E23" w:rsidP="00F95E23">
            <w:pPr>
              <w:keepLines/>
              <w:spacing w:line="240" w:lineRule="auto"/>
              <w:ind w:left="288"/>
              <w:rPr>
                <w:szCs w:val="24"/>
              </w:rPr>
            </w:pPr>
            <w:r w:rsidRPr="001569FB">
              <w:rPr>
                <w:szCs w:val="24"/>
              </w:rPr>
              <w:t>Initial Coverage Limit</w:t>
            </w:r>
          </w:p>
        </w:tc>
        <w:tc>
          <w:tcPr>
            <w:tcW w:w="1260" w:type="dxa"/>
            <w:tcBorders>
              <w:top w:val="nil"/>
              <w:bottom w:val="nil"/>
            </w:tcBorders>
            <w:vAlign w:val="bottom"/>
          </w:tcPr>
          <w:p w14:paraId="35F2050E" w14:textId="77777777" w:rsidR="00F95E23" w:rsidRPr="001569FB" w:rsidRDefault="00F95E23" w:rsidP="00F95E23">
            <w:pPr>
              <w:keepLines/>
              <w:spacing w:line="240" w:lineRule="auto"/>
              <w:jc w:val="right"/>
              <w:rPr>
                <w:szCs w:val="24"/>
              </w:rPr>
            </w:pPr>
            <w:r w:rsidRPr="001569FB">
              <w:rPr>
                <w:szCs w:val="24"/>
              </w:rPr>
              <w:t>$3,750</w:t>
            </w:r>
          </w:p>
        </w:tc>
        <w:tc>
          <w:tcPr>
            <w:tcW w:w="1170" w:type="dxa"/>
            <w:tcBorders>
              <w:top w:val="nil"/>
              <w:bottom w:val="nil"/>
            </w:tcBorders>
            <w:shd w:val="clear" w:color="auto" w:fill="auto"/>
            <w:noWrap/>
            <w:vAlign w:val="bottom"/>
          </w:tcPr>
          <w:p w14:paraId="20B8B2FE" w14:textId="77777777" w:rsidR="00F95E23" w:rsidRPr="001569FB" w:rsidRDefault="00F95E23" w:rsidP="00F95E23">
            <w:pPr>
              <w:spacing w:line="240" w:lineRule="auto"/>
              <w:jc w:val="right"/>
              <w:rPr>
                <w:szCs w:val="24"/>
              </w:rPr>
            </w:pPr>
            <w:r w:rsidRPr="001569FB">
              <w:rPr>
                <w:szCs w:val="24"/>
              </w:rPr>
              <w:t>$3.820</w:t>
            </w:r>
          </w:p>
        </w:tc>
      </w:tr>
      <w:tr w:rsidR="00F95E23" w:rsidRPr="001569FB" w14:paraId="461A5290" w14:textId="77777777" w:rsidTr="008E201D">
        <w:trPr>
          <w:cantSplit/>
        </w:trPr>
        <w:tc>
          <w:tcPr>
            <w:tcW w:w="7740" w:type="dxa"/>
            <w:tcBorders>
              <w:top w:val="nil"/>
              <w:bottom w:val="nil"/>
            </w:tcBorders>
            <w:vAlign w:val="bottom"/>
          </w:tcPr>
          <w:p w14:paraId="6435DFAA" w14:textId="77777777" w:rsidR="00F95E23" w:rsidRPr="001569FB" w:rsidRDefault="00F95E23" w:rsidP="00F95E23">
            <w:pPr>
              <w:keepLines/>
              <w:spacing w:line="240" w:lineRule="auto"/>
              <w:ind w:left="288"/>
              <w:rPr>
                <w:szCs w:val="24"/>
              </w:rPr>
            </w:pPr>
            <w:r w:rsidRPr="001569FB">
              <w:rPr>
                <w:szCs w:val="24"/>
              </w:rPr>
              <w:t>Out-of-Pocket Threshold (1)</w:t>
            </w:r>
          </w:p>
        </w:tc>
        <w:tc>
          <w:tcPr>
            <w:tcW w:w="1260" w:type="dxa"/>
            <w:tcBorders>
              <w:top w:val="nil"/>
              <w:bottom w:val="nil"/>
            </w:tcBorders>
            <w:vAlign w:val="bottom"/>
          </w:tcPr>
          <w:p w14:paraId="01D26968" w14:textId="77777777" w:rsidR="00F95E23" w:rsidRPr="001569FB" w:rsidRDefault="00F95E23" w:rsidP="00F95E23">
            <w:pPr>
              <w:keepLines/>
              <w:spacing w:line="240" w:lineRule="auto"/>
              <w:jc w:val="right"/>
              <w:rPr>
                <w:szCs w:val="24"/>
              </w:rPr>
            </w:pPr>
            <w:r w:rsidRPr="001569FB">
              <w:rPr>
                <w:szCs w:val="24"/>
              </w:rPr>
              <w:t>$5,000</w:t>
            </w:r>
          </w:p>
        </w:tc>
        <w:tc>
          <w:tcPr>
            <w:tcW w:w="1170" w:type="dxa"/>
            <w:tcBorders>
              <w:top w:val="nil"/>
              <w:bottom w:val="nil"/>
            </w:tcBorders>
            <w:shd w:val="clear" w:color="auto" w:fill="auto"/>
            <w:noWrap/>
            <w:vAlign w:val="bottom"/>
          </w:tcPr>
          <w:p w14:paraId="00227CCC" w14:textId="77777777" w:rsidR="00F95E23" w:rsidRPr="001569FB" w:rsidRDefault="00F95E23" w:rsidP="00F95E23">
            <w:pPr>
              <w:spacing w:line="240" w:lineRule="auto"/>
              <w:jc w:val="right"/>
              <w:rPr>
                <w:szCs w:val="24"/>
              </w:rPr>
            </w:pPr>
            <w:r w:rsidRPr="001569FB">
              <w:rPr>
                <w:szCs w:val="24"/>
              </w:rPr>
              <w:t>$5,100</w:t>
            </w:r>
          </w:p>
        </w:tc>
      </w:tr>
      <w:tr w:rsidR="00F95E23" w:rsidRPr="001569FB" w14:paraId="448FD7E9" w14:textId="77777777" w:rsidTr="008E201D">
        <w:trPr>
          <w:cantSplit/>
        </w:trPr>
        <w:tc>
          <w:tcPr>
            <w:tcW w:w="7740" w:type="dxa"/>
            <w:tcBorders>
              <w:top w:val="nil"/>
              <w:bottom w:val="nil"/>
            </w:tcBorders>
            <w:vAlign w:val="bottom"/>
          </w:tcPr>
          <w:p w14:paraId="7ADE2E7A" w14:textId="77777777" w:rsidR="00F95E23" w:rsidRPr="001569FB" w:rsidRDefault="00F95E23" w:rsidP="00F95E23">
            <w:pPr>
              <w:keepLines/>
              <w:spacing w:line="240" w:lineRule="auto"/>
              <w:ind w:left="288"/>
              <w:rPr>
                <w:szCs w:val="24"/>
              </w:rPr>
            </w:pPr>
            <w:r w:rsidRPr="001569FB">
              <w:rPr>
                <w:szCs w:val="24"/>
              </w:rPr>
              <w:t>Total Covered Part D Spending at Out-of-Pocket Threshold for Non-Applicable Beneficiaries (3)</w:t>
            </w:r>
          </w:p>
        </w:tc>
        <w:tc>
          <w:tcPr>
            <w:tcW w:w="1260" w:type="dxa"/>
            <w:tcBorders>
              <w:top w:val="nil"/>
              <w:bottom w:val="nil"/>
            </w:tcBorders>
            <w:vAlign w:val="bottom"/>
          </w:tcPr>
          <w:p w14:paraId="38A9FBE7" w14:textId="77777777" w:rsidR="00F95E23" w:rsidRPr="001569FB" w:rsidRDefault="00F95E23" w:rsidP="00F95E23">
            <w:pPr>
              <w:keepLines/>
              <w:spacing w:line="240" w:lineRule="auto"/>
              <w:jc w:val="right"/>
              <w:rPr>
                <w:szCs w:val="24"/>
              </w:rPr>
            </w:pPr>
            <w:r w:rsidRPr="001569FB">
              <w:rPr>
                <w:szCs w:val="24"/>
              </w:rPr>
              <w:t>$7,508.75</w:t>
            </w:r>
            <w:r w:rsidRPr="001569FB" w:rsidDel="00C00F26">
              <w:rPr>
                <w:szCs w:val="24"/>
              </w:rPr>
              <w:t xml:space="preserve"> </w:t>
            </w:r>
          </w:p>
        </w:tc>
        <w:tc>
          <w:tcPr>
            <w:tcW w:w="1170" w:type="dxa"/>
            <w:tcBorders>
              <w:top w:val="nil"/>
              <w:bottom w:val="nil"/>
            </w:tcBorders>
            <w:shd w:val="clear" w:color="auto" w:fill="auto"/>
            <w:noWrap/>
            <w:vAlign w:val="bottom"/>
          </w:tcPr>
          <w:p w14:paraId="6C3190E0" w14:textId="77777777" w:rsidR="00F95E23" w:rsidRPr="001569FB" w:rsidRDefault="00F95E23" w:rsidP="00F95E23">
            <w:pPr>
              <w:spacing w:line="240" w:lineRule="auto"/>
              <w:jc w:val="right"/>
              <w:rPr>
                <w:szCs w:val="24"/>
              </w:rPr>
            </w:pPr>
            <w:r w:rsidRPr="001569FB">
              <w:rPr>
                <w:szCs w:val="24"/>
              </w:rPr>
              <w:t>$7,653.75</w:t>
            </w:r>
          </w:p>
        </w:tc>
      </w:tr>
      <w:tr w:rsidR="00F95E23" w:rsidRPr="001569FB" w14:paraId="099A1E56" w14:textId="77777777" w:rsidTr="008E201D">
        <w:trPr>
          <w:cantSplit/>
        </w:trPr>
        <w:tc>
          <w:tcPr>
            <w:tcW w:w="7740" w:type="dxa"/>
            <w:tcBorders>
              <w:top w:val="nil"/>
              <w:bottom w:val="nil"/>
            </w:tcBorders>
            <w:vAlign w:val="bottom"/>
          </w:tcPr>
          <w:p w14:paraId="5D5AED45" w14:textId="77777777" w:rsidR="00F95E23" w:rsidRPr="001569FB" w:rsidRDefault="00F95E23" w:rsidP="00F95E23">
            <w:pPr>
              <w:keepLines/>
              <w:spacing w:before="200" w:line="240" w:lineRule="auto"/>
              <w:ind w:left="477" w:hanging="189"/>
              <w:rPr>
                <w:szCs w:val="24"/>
              </w:rPr>
            </w:pPr>
            <w:r w:rsidRPr="001569FB">
              <w:rPr>
                <w:szCs w:val="24"/>
              </w:rPr>
              <w:t>Estimated Total Covered Part D Spending for Applicable Beneficiaries (4)</w:t>
            </w:r>
          </w:p>
        </w:tc>
        <w:tc>
          <w:tcPr>
            <w:tcW w:w="1260" w:type="dxa"/>
            <w:tcBorders>
              <w:top w:val="nil"/>
              <w:bottom w:val="nil"/>
            </w:tcBorders>
            <w:vAlign w:val="bottom"/>
          </w:tcPr>
          <w:p w14:paraId="044D51ED" w14:textId="77777777" w:rsidR="00F95E23" w:rsidRPr="001569FB" w:rsidRDefault="00F95E23" w:rsidP="00F95E23">
            <w:pPr>
              <w:keepLines/>
              <w:spacing w:before="200" w:line="240" w:lineRule="auto"/>
              <w:jc w:val="right"/>
              <w:rPr>
                <w:szCs w:val="24"/>
              </w:rPr>
            </w:pPr>
            <w:r w:rsidRPr="001569FB">
              <w:rPr>
                <w:szCs w:val="24"/>
              </w:rPr>
              <w:t>$8,417.60</w:t>
            </w:r>
          </w:p>
        </w:tc>
        <w:tc>
          <w:tcPr>
            <w:tcW w:w="1170" w:type="dxa"/>
            <w:tcBorders>
              <w:top w:val="nil"/>
              <w:bottom w:val="nil"/>
            </w:tcBorders>
            <w:shd w:val="clear" w:color="auto" w:fill="auto"/>
            <w:noWrap/>
            <w:vAlign w:val="bottom"/>
          </w:tcPr>
          <w:p w14:paraId="254CAD1E" w14:textId="77777777" w:rsidR="00F95E23" w:rsidRPr="001569FB" w:rsidRDefault="00F95E23" w:rsidP="00F95E23">
            <w:pPr>
              <w:spacing w:line="240" w:lineRule="auto"/>
              <w:jc w:val="right"/>
              <w:rPr>
                <w:szCs w:val="24"/>
              </w:rPr>
            </w:pPr>
            <w:r w:rsidRPr="001569FB">
              <w:rPr>
                <w:szCs w:val="24"/>
              </w:rPr>
              <w:t>$8,906.55</w:t>
            </w:r>
          </w:p>
        </w:tc>
      </w:tr>
      <w:tr w:rsidR="00F95E23" w:rsidRPr="001569FB" w14:paraId="1AA5D03F" w14:textId="77777777" w:rsidTr="008E201D">
        <w:trPr>
          <w:cantSplit/>
        </w:trPr>
        <w:tc>
          <w:tcPr>
            <w:tcW w:w="7740" w:type="dxa"/>
            <w:tcBorders>
              <w:top w:val="nil"/>
              <w:bottom w:val="nil"/>
            </w:tcBorders>
            <w:vAlign w:val="bottom"/>
          </w:tcPr>
          <w:p w14:paraId="788A72D3" w14:textId="77777777" w:rsidR="00F95E23" w:rsidRPr="001569FB" w:rsidRDefault="00F95E23" w:rsidP="00F95E23">
            <w:pPr>
              <w:keepLines/>
              <w:spacing w:line="240" w:lineRule="auto"/>
              <w:ind w:left="477" w:hanging="189"/>
              <w:rPr>
                <w:szCs w:val="24"/>
              </w:rPr>
            </w:pPr>
            <w:r w:rsidRPr="001569FB">
              <w:rPr>
                <w:szCs w:val="24"/>
              </w:rPr>
              <w:t>Minimum Cost-Sharing in Catastrophic Coverage Portion of the Benefit</w:t>
            </w:r>
          </w:p>
        </w:tc>
        <w:tc>
          <w:tcPr>
            <w:tcW w:w="1260" w:type="dxa"/>
            <w:tcBorders>
              <w:top w:val="nil"/>
              <w:bottom w:val="nil"/>
            </w:tcBorders>
            <w:vAlign w:val="bottom"/>
          </w:tcPr>
          <w:p w14:paraId="72640195" w14:textId="77777777" w:rsidR="00F95E23" w:rsidRPr="001569FB" w:rsidRDefault="00F95E23" w:rsidP="00F95E23">
            <w:pPr>
              <w:keepLines/>
              <w:spacing w:line="240" w:lineRule="auto"/>
              <w:rPr>
                <w:szCs w:val="24"/>
              </w:rPr>
            </w:pPr>
            <w:r w:rsidRPr="001569FB">
              <w:rPr>
                <w:szCs w:val="24"/>
              </w:rPr>
              <w:t> </w:t>
            </w:r>
          </w:p>
        </w:tc>
        <w:tc>
          <w:tcPr>
            <w:tcW w:w="1170" w:type="dxa"/>
            <w:tcBorders>
              <w:top w:val="nil"/>
              <w:bottom w:val="nil"/>
            </w:tcBorders>
            <w:shd w:val="clear" w:color="auto" w:fill="auto"/>
            <w:noWrap/>
            <w:vAlign w:val="bottom"/>
          </w:tcPr>
          <w:p w14:paraId="019DB7EE" w14:textId="77777777" w:rsidR="00F95E23" w:rsidRPr="001569FB" w:rsidRDefault="00F95E23" w:rsidP="00F95E23">
            <w:pPr>
              <w:spacing w:line="240" w:lineRule="auto"/>
              <w:jc w:val="right"/>
              <w:rPr>
                <w:szCs w:val="24"/>
              </w:rPr>
            </w:pPr>
          </w:p>
        </w:tc>
      </w:tr>
      <w:tr w:rsidR="00F95E23" w:rsidRPr="001569FB" w14:paraId="505B51FC" w14:textId="77777777" w:rsidTr="008E201D">
        <w:trPr>
          <w:cantSplit/>
        </w:trPr>
        <w:tc>
          <w:tcPr>
            <w:tcW w:w="7740" w:type="dxa"/>
            <w:tcBorders>
              <w:top w:val="nil"/>
              <w:bottom w:val="nil"/>
            </w:tcBorders>
            <w:vAlign w:val="bottom"/>
          </w:tcPr>
          <w:p w14:paraId="6632CFDC"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465D217F"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7DDADCF3" w14:textId="77777777" w:rsidR="00F95E23" w:rsidRPr="001569FB" w:rsidRDefault="00F95E23" w:rsidP="00F95E23">
            <w:pPr>
              <w:spacing w:line="240" w:lineRule="auto"/>
              <w:jc w:val="right"/>
              <w:rPr>
                <w:szCs w:val="24"/>
              </w:rPr>
            </w:pPr>
            <w:r w:rsidRPr="001569FB">
              <w:rPr>
                <w:szCs w:val="24"/>
              </w:rPr>
              <w:t>$3.40</w:t>
            </w:r>
          </w:p>
        </w:tc>
      </w:tr>
      <w:tr w:rsidR="00F95E23" w:rsidRPr="001569FB" w14:paraId="052B3C42" w14:textId="77777777" w:rsidTr="008E201D">
        <w:trPr>
          <w:cantSplit/>
        </w:trPr>
        <w:tc>
          <w:tcPr>
            <w:tcW w:w="7740" w:type="dxa"/>
            <w:tcBorders>
              <w:top w:val="nil"/>
              <w:bottom w:val="single" w:sz="4" w:space="0" w:color="auto"/>
            </w:tcBorders>
            <w:vAlign w:val="bottom"/>
          </w:tcPr>
          <w:p w14:paraId="5A650630"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70AB50E0"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774AA1B9" w14:textId="77777777" w:rsidR="00F95E23" w:rsidRPr="001569FB" w:rsidRDefault="00F95E23" w:rsidP="00F95E23">
            <w:pPr>
              <w:spacing w:line="240" w:lineRule="auto"/>
              <w:jc w:val="right"/>
              <w:rPr>
                <w:szCs w:val="24"/>
              </w:rPr>
            </w:pPr>
            <w:r w:rsidRPr="001569FB">
              <w:rPr>
                <w:szCs w:val="24"/>
              </w:rPr>
              <w:t>$8.50</w:t>
            </w:r>
          </w:p>
        </w:tc>
      </w:tr>
      <w:tr w:rsidR="00F95E23" w:rsidRPr="001569FB" w14:paraId="1D6DE868" w14:textId="77777777" w:rsidTr="008E201D">
        <w:trPr>
          <w:cantSplit/>
          <w:trHeight w:val="359"/>
        </w:trPr>
        <w:tc>
          <w:tcPr>
            <w:tcW w:w="7740" w:type="dxa"/>
            <w:tcBorders>
              <w:top w:val="single" w:sz="4" w:space="0" w:color="auto"/>
              <w:bottom w:val="nil"/>
              <w:right w:val="single" w:sz="4" w:space="0" w:color="auto"/>
            </w:tcBorders>
            <w:vAlign w:val="bottom"/>
          </w:tcPr>
          <w:p w14:paraId="66B361CD" w14:textId="77777777" w:rsidR="00F95E23" w:rsidRPr="001569FB" w:rsidRDefault="00F95E23" w:rsidP="00F95E23">
            <w:pPr>
              <w:keepLines/>
              <w:spacing w:line="240" w:lineRule="auto"/>
              <w:rPr>
                <w:b/>
                <w:bCs/>
                <w:szCs w:val="24"/>
              </w:rPr>
            </w:pPr>
            <w:r w:rsidRPr="001569FB">
              <w:rPr>
                <w:b/>
                <w:bCs/>
                <w:szCs w:val="24"/>
              </w:rPr>
              <w:t xml:space="preserve">Full Subsidy-Full Benefit Dual Eligible (FBDE) Individuals </w:t>
            </w:r>
          </w:p>
        </w:tc>
        <w:tc>
          <w:tcPr>
            <w:tcW w:w="1260" w:type="dxa"/>
            <w:tcBorders>
              <w:top w:val="single" w:sz="4" w:space="0" w:color="auto"/>
              <w:left w:val="single" w:sz="4" w:space="0" w:color="auto"/>
              <w:bottom w:val="nil"/>
              <w:right w:val="single" w:sz="4" w:space="0" w:color="auto"/>
            </w:tcBorders>
            <w:vAlign w:val="bottom"/>
          </w:tcPr>
          <w:p w14:paraId="0ABBEDA9" w14:textId="77777777" w:rsidR="00F95E23" w:rsidRPr="001569FB" w:rsidRDefault="00F95E23" w:rsidP="00F95E23">
            <w:pPr>
              <w:keepLines/>
              <w:spacing w:line="240" w:lineRule="auto"/>
              <w:rPr>
                <w:szCs w:val="24"/>
              </w:rPr>
            </w:pPr>
          </w:p>
        </w:tc>
        <w:tc>
          <w:tcPr>
            <w:tcW w:w="1170" w:type="dxa"/>
            <w:tcBorders>
              <w:top w:val="single" w:sz="4" w:space="0" w:color="auto"/>
              <w:left w:val="single" w:sz="4" w:space="0" w:color="auto"/>
              <w:bottom w:val="nil"/>
            </w:tcBorders>
            <w:shd w:val="clear" w:color="auto" w:fill="auto"/>
            <w:noWrap/>
            <w:vAlign w:val="bottom"/>
          </w:tcPr>
          <w:p w14:paraId="66992D5B" w14:textId="77777777" w:rsidR="00F95E23" w:rsidRPr="001569FB" w:rsidRDefault="00F95E23" w:rsidP="00F95E23">
            <w:pPr>
              <w:keepLines/>
              <w:spacing w:line="240" w:lineRule="auto"/>
              <w:jc w:val="right"/>
              <w:rPr>
                <w:szCs w:val="24"/>
              </w:rPr>
            </w:pPr>
          </w:p>
        </w:tc>
      </w:tr>
      <w:tr w:rsidR="00F95E23" w:rsidRPr="001569FB" w14:paraId="7CFF459D" w14:textId="77777777" w:rsidTr="008E201D">
        <w:trPr>
          <w:cantSplit/>
        </w:trPr>
        <w:tc>
          <w:tcPr>
            <w:tcW w:w="7740" w:type="dxa"/>
            <w:tcBorders>
              <w:top w:val="nil"/>
              <w:bottom w:val="nil"/>
            </w:tcBorders>
            <w:vAlign w:val="bottom"/>
          </w:tcPr>
          <w:p w14:paraId="1C79AA49"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02867775"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7BA17B2C" w14:textId="77777777" w:rsidR="00F95E23" w:rsidRPr="001569FB" w:rsidRDefault="00F95E23" w:rsidP="00F95E23">
            <w:pPr>
              <w:spacing w:line="240" w:lineRule="auto"/>
              <w:jc w:val="right"/>
              <w:rPr>
                <w:szCs w:val="24"/>
              </w:rPr>
            </w:pPr>
            <w:r w:rsidRPr="001569FB">
              <w:rPr>
                <w:szCs w:val="24"/>
              </w:rPr>
              <w:t>$0.00</w:t>
            </w:r>
          </w:p>
        </w:tc>
      </w:tr>
      <w:tr w:rsidR="00F95E23" w:rsidRPr="001569FB" w14:paraId="3B46FA7B" w14:textId="77777777" w:rsidTr="00781215">
        <w:trPr>
          <w:cantSplit/>
        </w:trPr>
        <w:tc>
          <w:tcPr>
            <w:tcW w:w="7740" w:type="dxa"/>
            <w:tcBorders>
              <w:top w:val="nil"/>
              <w:bottom w:val="nil"/>
            </w:tcBorders>
            <w:vAlign w:val="bottom"/>
          </w:tcPr>
          <w:p w14:paraId="681E87E7" w14:textId="77777777" w:rsidR="00F95E23" w:rsidRPr="001569FB" w:rsidRDefault="00F95E23" w:rsidP="00F95E23">
            <w:pPr>
              <w:keepLines/>
              <w:spacing w:line="240" w:lineRule="auto"/>
              <w:ind w:left="288"/>
              <w:rPr>
                <w:szCs w:val="24"/>
              </w:rPr>
            </w:pPr>
            <w:r w:rsidRPr="001569FB">
              <w:rPr>
                <w:szCs w:val="24"/>
              </w:rPr>
              <w:t>Copayments for Institutionalized Beneficiaries [category code 3]</w:t>
            </w:r>
          </w:p>
        </w:tc>
        <w:tc>
          <w:tcPr>
            <w:tcW w:w="1260" w:type="dxa"/>
            <w:tcBorders>
              <w:top w:val="nil"/>
              <w:bottom w:val="nil"/>
            </w:tcBorders>
            <w:vAlign w:val="bottom"/>
          </w:tcPr>
          <w:p w14:paraId="76508A19"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0ACED17A" w14:textId="77777777" w:rsidR="00F95E23" w:rsidRPr="001569FB" w:rsidRDefault="00F95E23" w:rsidP="00F95E23">
            <w:pPr>
              <w:spacing w:line="240" w:lineRule="auto"/>
              <w:jc w:val="right"/>
              <w:rPr>
                <w:szCs w:val="24"/>
              </w:rPr>
            </w:pPr>
            <w:r w:rsidRPr="001569FB">
              <w:rPr>
                <w:szCs w:val="24"/>
              </w:rPr>
              <w:t>$0.00</w:t>
            </w:r>
          </w:p>
        </w:tc>
      </w:tr>
      <w:tr w:rsidR="00F95E23" w:rsidRPr="001569FB" w14:paraId="48A8FC54" w14:textId="77777777" w:rsidTr="008E201D">
        <w:trPr>
          <w:cantSplit/>
        </w:trPr>
        <w:tc>
          <w:tcPr>
            <w:tcW w:w="7740" w:type="dxa"/>
            <w:tcBorders>
              <w:top w:val="nil"/>
              <w:bottom w:val="nil"/>
            </w:tcBorders>
            <w:vAlign w:val="bottom"/>
          </w:tcPr>
          <w:p w14:paraId="2D040D43" w14:textId="77777777" w:rsidR="00F95E23" w:rsidRPr="001569FB" w:rsidRDefault="00F95E23" w:rsidP="00F95E23">
            <w:pPr>
              <w:keepLines/>
              <w:spacing w:line="240" w:lineRule="auto"/>
              <w:ind w:left="450" w:hanging="162"/>
              <w:rPr>
                <w:szCs w:val="24"/>
              </w:rPr>
            </w:pPr>
            <w:r w:rsidRPr="001569FB">
              <w:rPr>
                <w:szCs w:val="24"/>
              </w:rPr>
              <w:t>Copayments for Beneficiaries Receiving Home and Community-Based Services ] [category code 3] (5)</w:t>
            </w:r>
          </w:p>
        </w:tc>
        <w:tc>
          <w:tcPr>
            <w:tcW w:w="1260" w:type="dxa"/>
            <w:tcBorders>
              <w:top w:val="nil"/>
              <w:bottom w:val="nil"/>
            </w:tcBorders>
            <w:vAlign w:val="bottom"/>
          </w:tcPr>
          <w:p w14:paraId="0F7D8F3F"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5EED1770" w14:textId="77777777" w:rsidR="00F95E23" w:rsidRPr="001569FB" w:rsidRDefault="00F95E23" w:rsidP="00F95E23">
            <w:pPr>
              <w:spacing w:line="240" w:lineRule="auto"/>
              <w:jc w:val="right"/>
              <w:rPr>
                <w:szCs w:val="24"/>
              </w:rPr>
            </w:pPr>
            <w:r w:rsidRPr="001569FB">
              <w:rPr>
                <w:szCs w:val="24"/>
              </w:rPr>
              <w:t>$0.00</w:t>
            </w:r>
          </w:p>
        </w:tc>
      </w:tr>
      <w:tr w:rsidR="00F95E23" w:rsidRPr="001569FB" w14:paraId="229F2503" w14:textId="77777777" w:rsidTr="00781215">
        <w:trPr>
          <w:cantSplit/>
        </w:trPr>
        <w:tc>
          <w:tcPr>
            <w:tcW w:w="7740" w:type="dxa"/>
            <w:tcBorders>
              <w:top w:val="nil"/>
              <w:bottom w:val="nil"/>
              <w:right w:val="single" w:sz="4" w:space="0" w:color="auto"/>
            </w:tcBorders>
            <w:vAlign w:val="bottom"/>
          </w:tcPr>
          <w:p w14:paraId="15E4F7C9" w14:textId="77777777" w:rsidR="00F95E23" w:rsidRPr="001569FB" w:rsidRDefault="00F95E23" w:rsidP="00F95E23">
            <w:pPr>
              <w:keepLines/>
              <w:spacing w:line="240" w:lineRule="auto"/>
              <w:ind w:left="288"/>
              <w:rPr>
                <w:szCs w:val="24"/>
              </w:rPr>
            </w:pPr>
            <w:r w:rsidRPr="001569FB">
              <w:rPr>
                <w:szCs w:val="24"/>
              </w:rPr>
              <w:t>Maximum Copayments for Non-Institutionalized Beneficiaries</w:t>
            </w:r>
          </w:p>
        </w:tc>
        <w:tc>
          <w:tcPr>
            <w:tcW w:w="1260" w:type="dxa"/>
            <w:tcBorders>
              <w:top w:val="nil"/>
              <w:left w:val="single" w:sz="4" w:space="0" w:color="auto"/>
              <w:bottom w:val="nil"/>
              <w:right w:val="single" w:sz="4" w:space="0" w:color="auto"/>
            </w:tcBorders>
            <w:vAlign w:val="bottom"/>
          </w:tcPr>
          <w:p w14:paraId="0C02A89F"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5D0BA3FE" w14:textId="77777777" w:rsidR="00F95E23" w:rsidRPr="001569FB" w:rsidRDefault="00F95E23" w:rsidP="00F95E23">
            <w:pPr>
              <w:spacing w:line="240" w:lineRule="auto"/>
              <w:jc w:val="right"/>
              <w:rPr>
                <w:szCs w:val="24"/>
              </w:rPr>
            </w:pPr>
          </w:p>
        </w:tc>
      </w:tr>
      <w:tr w:rsidR="00F95E23" w:rsidRPr="001569FB" w14:paraId="2D5CC190" w14:textId="77777777" w:rsidTr="00781215">
        <w:trPr>
          <w:cantSplit/>
        </w:trPr>
        <w:tc>
          <w:tcPr>
            <w:tcW w:w="7740" w:type="dxa"/>
            <w:tcBorders>
              <w:top w:val="nil"/>
              <w:bottom w:val="nil"/>
              <w:right w:val="single" w:sz="4" w:space="0" w:color="auto"/>
            </w:tcBorders>
            <w:vAlign w:val="bottom"/>
          </w:tcPr>
          <w:p w14:paraId="4E5BA07B" w14:textId="77777777" w:rsidR="00F95E23" w:rsidRPr="001569FB" w:rsidRDefault="00F95E23" w:rsidP="00F95E23">
            <w:pPr>
              <w:keepLines/>
              <w:spacing w:line="240" w:lineRule="auto"/>
              <w:ind w:left="504"/>
              <w:rPr>
                <w:szCs w:val="24"/>
              </w:rPr>
            </w:pPr>
            <w:r w:rsidRPr="001569FB">
              <w:rPr>
                <w:szCs w:val="24"/>
              </w:rPr>
              <w:t>Up to or at 100% FPL [category code 2]</w:t>
            </w:r>
          </w:p>
        </w:tc>
        <w:tc>
          <w:tcPr>
            <w:tcW w:w="1260" w:type="dxa"/>
            <w:tcBorders>
              <w:top w:val="nil"/>
              <w:left w:val="single" w:sz="4" w:space="0" w:color="auto"/>
              <w:bottom w:val="nil"/>
              <w:right w:val="single" w:sz="4" w:space="0" w:color="auto"/>
            </w:tcBorders>
            <w:vAlign w:val="bottom"/>
          </w:tcPr>
          <w:p w14:paraId="2C2877F6"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278ED3B6" w14:textId="77777777" w:rsidR="00F95E23" w:rsidRPr="001569FB" w:rsidRDefault="00F95E23" w:rsidP="00F95E23">
            <w:pPr>
              <w:spacing w:line="240" w:lineRule="auto"/>
              <w:jc w:val="right"/>
              <w:rPr>
                <w:szCs w:val="24"/>
              </w:rPr>
            </w:pPr>
          </w:p>
        </w:tc>
      </w:tr>
      <w:tr w:rsidR="00F95E23" w:rsidRPr="001569FB" w14:paraId="7102BD26" w14:textId="77777777" w:rsidTr="008E201D">
        <w:trPr>
          <w:cantSplit/>
        </w:trPr>
        <w:tc>
          <w:tcPr>
            <w:tcW w:w="7740" w:type="dxa"/>
            <w:tcBorders>
              <w:top w:val="nil"/>
              <w:bottom w:val="nil"/>
            </w:tcBorders>
            <w:vAlign w:val="bottom"/>
          </w:tcPr>
          <w:p w14:paraId="5A7A7FFC" w14:textId="77777777" w:rsidR="00F95E23" w:rsidRPr="001569FB" w:rsidRDefault="00F95E23" w:rsidP="00F95E23">
            <w:pPr>
              <w:keepLines/>
              <w:spacing w:line="240" w:lineRule="auto"/>
              <w:ind w:left="720"/>
              <w:rPr>
                <w:szCs w:val="24"/>
              </w:rPr>
            </w:pPr>
            <w:r w:rsidRPr="001569FB">
              <w:rPr>
                <w:szCs w:val="24"/>
              </w:rPr>
              <w:t xml:space="preserve">Up to Out-of-Pocket Threshold </w:t>
            </w:r>
          </w:p>
        </w:tc>
        <w:tc>
          <w:tcPr>
            <w:tcW w:w="1260" w:type="dxa"/>
            <w:tcBorders>
              <w:top w:val="nil"/>
              <w:bottom w:val="nil"/>
            </w:tcBorders>
            <w:vAlign w:val="bottom"/>
          </w:tcPr>
          <w:p w14:paraId="288CDC1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3EE4F7C9" w14:textId="77777777" w:rsidR="00F95E23" w:rsidRPr="001569FB" w:rsidRDefault="00F95E23" w:rsidP="00F95E23">
            <w:pPr>
              <w:spacing w:line="240" w:lineRule="auto"/>
              <w:jc w:val="right"/>
              <w:rPr>
                <w:szCs w:val="24"/>
              </w:rPr>
            </w:pPr>
          </w:p>
        </w:tc>
      </w:tr>
      <w:tr w:rsidR="00F95E23" w:rsidRPr="001569FB" w14:paraId="15DBCEFF" w14:textId="77777777" w:rsidTr="008E201D">
        <w:trPr>
          <w:cantSplit/>
        </w:trPr>
        <w:tc>
          <w:tcPr>
            <w:tcW w:w="7740" w:type="dxa"/>
            <w:tcBorders>
              <w:top w:val="nil"/>
              <w:bottom w:val="nil"/>
            </w:tcBorders>
            <w:vAlign w:val="bottom"/>
          </w:tcPr>
          <w:p w14:paraId="111F408F" w14:textId="77777777" w:rsidR="00F95E23" w:rsidRPr="001569FB" w:rsidRDefault="00F95E23" w:rsidP="00F95E23">
            <w:pPr>
              <w:keepLines/>
              <w:spacing w:line="240" w:lineRule="auto"/>
              <w:ind w:left="720"/>
              <w:rPr>
                <w:szCs w:val="24"/>
              </w:rPr>
            </w:pPr>
            <w:r w:rsidRPr="001569FB">
              <w:rPr>
                <w:szCs w:val="24"/>
              </w:rPr>
              <w:t>Generic/Preferred Multi-Source Drug (6)</w:t>
            </w:r>
          </w:p>
        </w:tc>
        <w:tc>
          <w:tcPr>
            <w:tcW w:w="1260" w:type="dxa"/>
            <w:tcBorders>
              <w:top w:val="nil"/>
              <w:bottom w:val="nil"/>
            </w:tcBorders>
            <w:vAlign w:val="bottom"/>
          </w:tcPr>
          <w:p w14:paraId="76FC7B32" w14:textId="77777777" w:rsidR="00F95E23" w:rsidRPr="001569FB" w:rsidRDefault="00F95E23" w:rsidP="00F95E23">
            <w:pPr>
              <w:keepLines/>
              <w:spacing w:line="240" w:lineRule="auto"/>
              <w:jc w:val="right"/>
              <w:rPr>
                <w:szCs w:val="24"/>
              </w:rPr>
            </w:pPr>
            <w:r w:rsidRPr="001569FB">
              <w:rPr>
                <w:szCs w:val="24"/>
              </w:rPr>
              <w:t>$1.25</w:t>
            </w:r>
          </w:p>
        </w:tc>
        <w:tc>
          <w:tcPr>
            <w:tcW w:w="1170" w:type="dxa"/>
            <w:tcBorders>
              <w:top w:val="nil"/>
              <w:bottom w:val="nil"/>
            </w:tcBorders>
            <w:shd w:val="clear" w:color="auto" w:fill="auto"/>
            <w:noWrap/>
            <w:vAlign w:val="bottom"/>
          </w:tcPr>
          <w:p w14:paraId="4F0F37C8" w14:textId="77777777" w:rsidR="00F95E23" w:rsidRPr="001569FB" w:rsidRDefault="00F95E23" w:rsidP="00F95E23">
            <w:pPr>
              <w:spacing w:line="240" w:lineRule="auto"/>
              <w:jc w:val="right"/>
              <w:rPr>
                <w:szCs w:val="24"/>
              </w:rPr>
            </w:pPr>
            <w:r w:rsidRPr="001569FB">
              <w:rPr>
                <w:szCs w:val="24"/>
              </w:rPr>
              <w:t>$1.25</w:t>
            </w:r>
          </w:p>
        </w:tc>
      </w:tr>
      <w:tr w:rsidR="00F95E23" w:rsidRPr="001569FB" w14:paraId="4465FFC3" w14:textId="77777777" w:rsidTr="008E201D">
        <w:trPr>
          <w:cantSplit/>
        </w:trPr>
        <w:tc>
          <w:tcPr>
            <w:tcW w:w="7740" w:type="dxa"/>
            <w:tcBorders>
              <w:top w:val="nil"/>
              <w:bottom w:val="nil"/>
            </w:tcBorders>
            <w:vAlign w:val="bottom"/>
          </w:tcPr>
          <w:p w14:paraId="2CA0D039" w14:textId="77777777" w:rsidR="00F95E23" w:rsidRPr="001569FB" w:rsidRDefault="00F95E23" w:rsidP="00F95E23">
            <w:pPr>
              <w:keepLines/>
              <w:spacing w:line="240" w:lineRule="auto"/>
              <w:ind w:left="720"/>
              <w:rPr>
                <w:szCs w:val="24"/>
              </w:rPr>
            </w:pPr>
            <w:r w:rsidRPr="001569FB">
              <w:rPr>
                <w:szCs w:val="24"/>
              </w:rPr>
              <w:t>Other (6)</w:t>
            </w:r>
          </w:p>
        </w:tc>
        <w:tc>
          <w:tcPr>
            <w:tcW w:w="1260" w:type="dxa"/>
            <w:tcBorders>
              <w:top w:val="nil"/>
              <w:bottom w:val="nil"/>
            </w:tcBorders>
            <w:vAlign w:val="bottom"/>
          </w:tcPr>
          <w:p w14:paraId="3060EE67" w14:textId="77777777" w:rsidR="00F95E23" w:rsidRPr="001569FB" w:rsidRDefault="00F95E23" w:rsidP="00F95E23">
            <w:pPr>
              <w:keepLines/>
              <w:spacing w:line="240" w:lineRule="auto"/>
              <w:jc w:val="right"/>
              <w:rPr>
                <w:szCs w:val="24"/>
              </w:rPr>
            </w:pPr>
            <w:r w:rsidRPr="001569FB">
              <w:rPr>
                <w:szCs w:val="24"/>
              </w:rPr>
              <w:t>$3.70</w:t>
            </w:r>
          </w:p>
        </w:tc>
        <w:tc>
          <w:tcPr>
            <w:tcW w:w="1170" w:type="dxa"/>
            <w:tcBorders>
              <w:top w:val="nil"/>
              <w:bottom w:val="nil"/>
            </w:tcBorders>
            <w:shd w:val="clear" w:color="auto" w:fill="auto"/>
            <w:noWrap/>
            <w:vAlign w:val="bottom"/>
          </w:tcPr>
          <w:p w14:paraId="11A6BB24" w14:textId="77777777" w:rsidR="00F95E23" w:rsidRPr="001569FB" w:rsidRDefault="00F95E23" w:rsidP="00F95E23">
            <w:pPr>
              <w:spacing w:line="240" w:lineRule="auto"/>
              <w:jc w:val="right"/>
              <w:rPr>
                <w:szCs w:val="24"/>
              </w:rPr>
            </w:pPr>
            <w:r w:rsidRPr="001569FB">
              <w:rPr>
                <w:szCs w:val="24"/>
              </w:rPr>
              <w:t>$3.80</w:t>
            </w:r>
          </w:p>
        </w:tc>
      </w:tr>
      <w:tr w:rsidR="00F95E23" w:rsidRPr="001569FB" w14:paraId="5C131D40" w14:textId="77777777" w:rsidTr="00781215">
        <w:trPr>
          <w:cantSplit/>
        </w:trPr>
        <w:tc>
          <w:tcPr>
            <w:tcW w:w="7740" w:type="dxa"/>
            <w:tcBorders>
              <w:top w:val="nil"/>
              <w:bottom w:val="nil"/>
              <w:right w:val="single" w:sz="4" w:space="0" w:color="auto"/>
            </w:tcBorders>
            <w:vAlign w:val="bottom"/>
          </w:tcPr>
          <w:p w14:paraId="1811B1B6" w14:textId="77777777" w:rsidR="00F95E23" w:rsidRPr="001569FB" w:rsidRDefault="00F95E23" w:rsidP="00F95E23">
            <w:pPr>
              <w:keepLines/>
              <w:spacing w:line="240" w:lineRule="auto"/>
              <w:ind w:left="720"/>
              <w:rPr>
                <w:szCs w:val="24"/>
              </w:rPr>
            </w:pPr>
            <w:r w:rsidRPr="001569FB">
              <w:rPr>
                <w:szCs w:val="24"/>
              </w:rPr>
              <w:t>Above Out-of-Pocket Threshold</w:t>
            </w:r>
          </w:p>
        </w:tc>
        <w:tc>
          <w:tcPr>
            <w:tcW w:w="1260" w:type="dxa"/>
            <w:tcBorders>
              <w:top w:val="nil"/>
              <w:left w:val="single" w:sz="4" w:space="0" w:color="auto"/>
              <w:bottom w:val="nil"/>
              <w:right w:val="single" w:sz="4" w:space="0" w:color="auto"/>
            </w:tcBorders>
            <w:vAlign w:val="bottom"/>
          </w:tcPr>
          <w:p w14:paraId="79DB4CBC"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left w:val="single" w:sz="4" w:space="0" w:color="auto"/>
              <w:bottom w:val="nil"/>
            </w:tcBorders>
            <w:shd w:val="clear" w:color="auto" w:fill="auto"/>
            <w:noWrap/>
            <w:vAlign w:val="bottom"/>
          </w:tcPr>
          <w:p w14:paraId="6D1BBC49" w14:textId="77777777" w:rsidR="00F95E23" w:rsidRPr="001569FB" w:rsidRDefault="00F95E23" w:rsidP="00F95E23">
            <w:pPr>
              <w:spacing w:line="240" w:lineRule="auto"/>
              <w:jc w:val="right"/>
              <w:rPr>
                <w:szCs w:val="24"/>
              </w:rPr>
            </w:pPr>
            <w:r w:rsidRPr="001569FB">
              <w:rPr>
                <w:szCs w:val="24"/>
              </w:rPr>
              <w:t>$0.00</w:t>
            </w:r>
          </w:p>
        </w:tc>
      </w:tr>
      <w:tr w:rsidR="00F95E23" w:rsidRPr="001569FB" w14:paraId="788249F4" w14:textId="77777777" w:rsidTr="008E201D">
        <w:trPr>
          <w:cantSplit/>
        </w:trPr>
        <w:tc>
          <w:tcPr>
            <w:tcW w:w="7740" w:type="dxa"/>
            <w:tcBorders>
              <w:top w:val="nil"/>
              <w:bottom w:val="nil"/>
            </w:tcBorders>
            <w:vAlign w:val="bottom"/>
          </w:tcPr>
          <w:p w14:paraId="64560D45" w14:textId="77777777" w:rsidR="00F95E23" w:rsidRPr="001569FB" w:rsidRDefault="00F95E23" w:rsidP="00F95E23">
            <w:pPr>
              <w:keepLines/>
              <w:spacing w:line="240" w:lineRule="auto"/>
              <w:ind w:left="504"/>
              <w:rPr>
                <w:szCs w:val="24"/>
              </w:rPr>
            </w:pPr>
            <w:r w:rsidRPr="001569FB">
              <w:rPr>
                <w:szCs w:val="24"/>
              </w:rPr>
              <w:t>Over 100% FPL [category code 1]</w:t>
            </w:r>
          </w:p>
        </w:tc>
        <w:tc>
          <w:tcPr>
            <w:tcW w:w="1260" w:type="dxa"/>
            <w:tcBorders>
              <w:top w:val="nil"/>
              <w:bottom w:val="nil"/>
            </w:tcBorders>
            <w:vAlign w:val="bottom"/>
          </w:tcPr>
          <w:p w14:paraId="5447F4EB"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678BC7F1" w14:textId="77777777" w:rsidR="00F95E23" w:rsidRPr="001569FB" w:rsidRDefault="00F95E23" w:rsidP="00F95E23">
            <w:pPr>
              <w:spacing w:line="240" w:lineRule="auto"/>
              <w:jc w:val="right"/>
              <w:rPr>
                <w:szCs w:val="24"/>
              </w:rPr>
            </w:pPr>
          </w:p>
        </w:tc>
      </w:tr>
      <w:tr w:rsidR="00F95E23" w:rsidRPr="001569FB" w14:paraId="559E207F" w14:textId="77777777" w:rsidTr="008E201D">
        <w:trPr>
          <w:cantSplit/>
        </w:trPr>
        <w:tc>
          <w:tcPr>
            <w:tcW w:w="7740" w:type="dxa"/>
            <w:tcBorders>
              <w:top w:val="nil"/>
              <w:bottom w:val="nil"/>
            </w:tcBorders>
            <w:vAlign w:val="bottom"/>
          </w:tcPr>
          <w:p w14:paraId="395C1AF0" w14:textId="77777777" w:rsidR="00F95E23" w:rsidRPr="001569FB" w:rsidRDefault="00F95E23" w:rsidP="00F95E23">
            <w:pPr>
              <w:keepLines/>
              <w:spacing w:line="240" w:lineRule="auto"/>
              <w:ind w:left="720"/>
              <w:rPr>
                <w:szCs w:val="24"/>
              </w:rPr>
            </w:pPr>
            <w:r w:rsidRPr="001569FB">
              <w:rPr>
                <w:szCs w:val="24"/>
              </w:rPr>
              <w:t>Up to Out-of-Pocket Threshold</w:t>
            </w:r>
          </w:p>
        </w:tc>
        <w:tc>
          <w:tcPr>
            <w:tcW w:w="1260" w:type="dxa"/>
            <w:tcBorders>
              <w:top w:val="nil"/>
              <w:bottom w:val="nil"/>
            </w:tcBorders>
            <w:vAlign w:val="bottom"/>
          </w:tcPr>
          <w:p w14:paraId="1D82486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2A212BE8" w14:textId="77777777" w:rsidR="00F95E23" w:rsidRPr="001569FB" w:rsidRDefault="00F95E23" w:rsidP="00F95E23">
            <w:pPr>
              <w:spacing w:line="240" w:lineRule="auto"/>
              <w:jc w:val="right"/>
              <w:rPr>
                <w:szCs w:val="24"/>
              </w:rPr>
            </w:pPr>
          </w:p>
        </w:tc>
      </w:tr>
      <w:tr w:rsidR="00F95E23" w:rsidRPr="001569FB" w14:paraId="687A4F0C" w14:textId="77777777" w:rsidTr="008E201D">
        <w:trPr>
          <w:cantSplit/>
        </w:trPr>
        <w:tc>
          <w:tcPr>
            <w:tcW w:w="7740" w:type="dxa"/>
            <w:tcBorders>
              <w:top w:val="nil"/>
              <w:bottom w:val="nil"/>
            </w:tcBorders>
            <w:vAlign w:val="bottom"/>
          </w:tcPr>
          <w:p w14:paraId="2E519156"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0A416AFC"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0AB1F7C1" w14:textId="77777777" w:rsidR="00F95E23" w:rsidRPr="001569FB" w:rsidRDefault="00F95E23" w:rsidP="00F95E23">
            <w:pPr>
              <w:keepLines/>
              <w:spacing w:line="240" w:lineRule="auto"/>
              <w:jc w:val="right"/>
              <w:rPr>
                <w:szCs w:val="24"/>
              </w:rPr>
            </w:pPr>
            <w:r w:rsidRPr="001569FB">
              <w:rPr>
                <w:szCs w:val="24"/>
              </w:rPr>
              <w:t>$3.40</w:t>
            </w:r>
          </w:p>
        </w:tc>
      </w:tr>
      <w:tr w:rsidR="00F95E23" w:rsidRPr="001569FB" w14:paraId="70497626" w14:textId="77777777" w:rsidTr="008E201D">
        <w:trPr>
          <w:cantSplit/>
        </w:trPr>
        <w:tc>
          <w:tcPr>
            <w:tcW w:w="7740" w:type="dxa"/>
            <w:tcBorders>
              <w:top w:val="nil"/>
              <w:bottom w:val="nil"/>
            </w:tcBorders>
            <w:vAlign w:val="bottom"/>
          </w:tcPr>
          <w:p w14:paraId="37377872"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nil"/>
            </w:tcBorders>
            <w:vAlign w:val="bottom"/>
          </w:tcPr>
          <w:p w14:paraId="66147545"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39E3B953" w14:textId="77777777" w:rsidR="00F95E23" w:rsidRPr="001569FB" w:rsidRDefault="00F95E23" w:rsidP="00F95E23">
            <w:pPr>
              <w:spacing w:line="240" w:lineRule="auto"/>
              <w:jc w:val="right"/>
              <w:rPr>
                <w:szCs w:val="24"/>
              </w:rPr>
            </w:pPr>
            <w:r w:rsidRPr="001569FB">
              <w:rPr>
                <w:szCs w:val="24"/>
              </w:rPr>
              <w:t>$8.50</w:t>
            </w:r>
          </w:p>
        </w:tc>
      </w:tr>
      <w:tr w:rsidR="00F95E23" w:rsidRPr="001569FB" w14:paraId="7F09E885" w14:textId="77777777" w:rsidTr="008E201D">
        <w:trPr>
          <w:cantSplit/>
        </w:trPr>
        <w:tc>
          <w:tcPr>
            <w:tcW w:w="7740" w:type="dxa"/>
            <w:tcBorders>
              <w:top w:val="nil"/>
              <w:bottom w:val="single" w:sz="4" w:space="0" w:color="auto"/>
            </w:tcBorders>
            <w:vAlign w:val="bottom"/>
          </w:tcPr>
          <w:p w14:paraId="4D467735" w14:textId="77777777" w:rsidR="00F95E23" w:rsidRPr="001569FB" w:rsidRDefault="00F95E23" w:rsidP="00BA36E3">
            <w:pPr>
              <w:widowControl w:val="0"/>
              <w:spacing w:line="240" w:lineRule="auto"/>
              <w:ind w:left="720"/>
              <w:rPr>
                <w:szCs w:val="24"/>
              </w:rPr>
            </w:pPr>
            <w:r w:rsidRPr="001569FB">
              <w:rPr>
                <w:szCs w:val="24"/>
              </w:rPr>
              <w:t>Above Out-of-Pocket Threshold</w:t>
            </w:r>
          </w:p>
        </w:tc>
        <w:tc>
          <w:tcPr>
            <w:tcW w:w="1260" w:type="dxa"/>
            <w:tcBorders>
              <w:top w:val="nil"/>
              <w:bottom w:val="single" w:sz="4" w:space="0" w:color="auto"/>
            </w:tcBorders>
            <w:vAlign w:val="bottom"/>
          </w:tcPr>
          <w:p w14:paraId="2357F935" w14:textId="77777777" w:rsidR="00F95E23" w:rsidRPr="001569FB" w:rsidRDefault="00F95E23" w:rsidP="00BA36E3">
            <w:pPr>
              <w:widowControl w:val="0"/>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1002EA4" w14:textId="77777777" w:rsidR="00F95E23" w:rsidRPr="001569FB" w:rsidRDefault="00F95E23" w:rsidP="00BA36E3">
            <w:pPr>
              <w:widowControl w:val="0"/>
              <w:spacing w:line="240" w:lineRule="auto"/>
              <w:jc w:val="right"/>
              <w:rPr>
                <w:szCs w:val="24"/>
              </w:rPr>
            </w:pPr>
            <w:r w:rsidRPr="001569FB">
              <w:rPr>
                <w:szCs w:val="24"/>
              </w:rPr>
              <w:t>$0.00</w:t>
            </w:r>
          </w:p>
        </w:tc>
      </w:tr>
      <w:tr w:rsidR="00B342E6" w:rsidRPr="001569FB" w14:paraId="1341B930" w14:textId="77777777" w:rsidTr="008E201D">
        <w:trPr>
          <w:cantSplit/>
        </w:trPr>
        <w:tc>
          <w:tcPr>
            <w:tcW w:w="7740" w:type="dxa"/>
            <w:tcBorders>
              <w:top w:val="single" w:sz="4" w:space="0" w:color="auto"/>
              <w:bottom w:val="nil"/>
              <w:right w:val="single" w:sz="4" w:space="0" w:color="auto"/>
            </w:tcBorders>
            <w:vAlign w:val="bottom"/>
          </w:tcPr>
          <w:p w14:paraId="3A2A3732" w14:textId="77777777" w:rsidR="00B342E6" w:rsidRPr="001569FB" w:rsidRDefault="00B342E6" w:rsidP="007C3604">
            <w:pPr>
              <w:keepNext/>
              <w:keepLines/>
              <w:spacing w:line="240" w:lineRule="auto"/>
              <w:rPr>
                <w:b/>
                <w:bCs/>
                <w:szCs w:val="24"/>
              </w:rPr>
            </w:pPr>
            <w:r w:rsidRPr="001569FB">
              <w:rPr>
                <w:b/>
                <w:bCs/>
                <w:szCs w:val="24"/>
              </w:rPr>
              <w:lastRenderedPageBreak/>
              <w:t>Full Subsidy-Non-FBDE Individuals</w:t>
            </w:r>
          </w:p>
        </w:tc>
        <w:tc>
          <w:tcPr>
            <w:tcW w:w="1260" w:type="dxa"/>
            <w:tcBorders>
              <w:top w:val="single" w:sz="4" w:space="0" w:color="auto"/>
              <w:left w:val="single" w:sz="4" w:space="0" w:color="auto"/>
              <w:bottom w:val="nil"/>
              <w:right w:val="single" w:sz="4" w:space="0" w:color="auto"/>
            </w:tcBorders>
            <w:vAlign w:val="bottom"/>
          </w:tcPr>
          <w:p w14:paraId="0094485E" w14:textId="77777777" w:rsidR="00B342E6" w:rsidRPr="001569FB" w:rsidRDefault="00B342E6" w:rsidP="007C3604">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tcPr>
          <w:p w14:paraId="53A8F166" w14:textId="77777777" w:rsidR="00B342E6" w:rsidRPr="001569FB" w:rsidRDefault="00B342E6" w:rsidP="007C3604">
            <w:pPr>
              <w:keepNext/>
              <w:keepLines/>
              <w:spacing w:line="240" w:lineRule="auto"/>
              <w:jc w:val="right"/>
              <w:rPr>
                <w:szCs w:val="24"/>
              </w:rPr>
            </w:pPr>
          </w:p>
        </w:tc>
      </w:tr>
      <w:tr w:rsidR="00B342E6" w:rsidRPr="001569FB" w14:paraId="5C5E4C6F" w14:textId="77777777" w:rsidTr="008E201D">
        <w:trPr>
          <w:cantSplit/>
        </w:trPr>
        <w:tc>
          <w:tcPr>
            <w:tcW w:w="7740" w:type="dxa"/>
            <w:tcBorders>
              <w:top w:val="nil"/>
              <w:bottom w:val="nil"/>
            </w:tcBorders>
            <w:vAlign w:val="bottom"/>
          </w:tcPr>
          <w:p w14:paraId="5B6A314A" w14:textId="77777777" w:rsidR="00B342E6" w:rsidRPr="001569FB" w:rsidRDefault="00B342E6" w:rsidP="007C3604">
            <w:pPr>
              <w:keepNext/>
              <w:keepLines/>
              <w:spacing w:line="240" w:lineRule="auto"/>
              <w:ind w:left="450" w:hanging="180"/>
              <w:rPr>
                <w:szCs w:val="24"/>
              </w:rPr>
            </w:pPr>
            <w:r w:rsidRPr="001569FB">
              <w:rPr>
                <w:szCs w:val="24"/>
              </w:rPr>
              <w:t>Applied or eligible for QMB/SLMB/QI or SSI</w:t>
            </w:r>
            <w:r w:rsidR="00510E91" w:rsidRPr="001569FB">
              <w:rPr>
                <w:szCs w:val="24"/>
              </w:rPr>
              <w:t>,</w:t>
            </w:r>
            <w:r w:rsidRPr="001569FB">
              <w:rPr>
                <w:szCs w:val="24"/>
              </w:rPr>
              <w:t xml:space="preserve"> income at or below 135% FPL and resources ≤ $</w:t>
            </w:r>
            <w:r w:rsidR="00F95E23" w:rsidRPr="001569FB">
              <w:rPr>
                <w:szCs w:val="24"/>
              </w:rPr>
              <w:t>9,060</w:t>
            </w:r>
            <w:r w:rsidR="00F95E23" w:rsidRPr="001569FB" w:rsidDel="00F95E23">
              <w:rPr>
                <w:szCs w:val="24"/>
              </w:rPr>
              <w:t xml:space="preserve"> </w:t>
            </w:r>
            <w:r w:rsidRPr="001569FB">
              <w:rPr>
                <w:szCs w:val="24"/>
              </w:rPr>
              <w:t>(individuals</w:t>
            </w:r>
            <w:r w:rsidR="00510E91" w:rsidRPr="001569FB">
              <w:rPr>
                <w:szCs w:val="24"/>
              </w:rPr>
              <w:t>, 2018</w:t>
            </w:r>
            <w:r w:rsidRPr="001569FB">
              <w:rPr>
                <w:szCs w:val="24"/>
              </w:rPr>
              <w:t>) or ≤ $</w:t>
            </w:r>
            <w:r w:rsidR="00F95E23" w:rsidRPr="001569FB">
              <w:rPr>
                <w:szCs w:val="24"/>
              </w:rPr>
              <w:t>14,340</w:t>
            </w:r>
            <w:r w:rsidR="00F95E23" w:rsidRPr="001569FB" w:rsidDel="00F95E23">
              <w:rPr>
                <w:szCs w:val="24"/>
              </w:rPr>
              <w:t xml:space="preserve"> </w:t>
            </w:r>
            <w:r w:rsidRPr="001569FB">
              <w:rPr>
                <w:szCs w:val="24"/>
              </w:rPr>
              <w:t>(couples</w:t>
            </w:r>
            <w:r w:rsidR="00510E91" w:rsidRPr="001569FB">
              <w:rPr>
                <w:szCs w:val="24"/>
              </w:rPr>
              <w:t>, 2018</w:t>
            </w:r>
            <w:r w:rsidRPr="001569FB">
              <w:rPr>
                <w:szCs w:val="24"/>
              </w:rPr>
              <w:t xml:space="preserve">) </w:t>
            </w:r>
            <w:r w:rsidR="00510E91" w:rsidRPr="001569FB">
              <w:rPr>
                <w:szCs w:val="24"/>
              </w:rPr>
              <w:t>[</w:t>
            </w:r>
            <w:r w:rsidRPr="001569FB">
              <w:rPr>
                <w:szCs w:val="24"/>
              </w:rPr>
              <w:t>category code 1</w:t>
            </w:r>
            <w:r w:rsidR="00510E91" w:rsidRPr="001569FB">
              <w:rPr>
                <w:szCs w:val="24"/>
              </w:rPr>
              <w:t>] (7)</w:t>
            </w:r>
          </w:p>
        </w:tc>
        <w:tc>
          <w:tcPr>
            <w:tcW w:w="1260" w:type="dxa"/>
            <w:tcBorders>
              <w:top w:val="nil"/>
              <w:bottom w:val="nil"/>
            </w:tcBorders>
            <w:vAlign w:val="bottom"/>
          </w:tcPr>
          <w:p w14:paraId="13F1CF55" w14:textId="77777777" w:rsidR="00B342E6" w:rsidRPr="001569FB" w:rsidRDefault="00B342E6"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3EABB57D" w14:textId="77777777" w:rsidR="00B342E6" w:rsidRPr="001569FB" w:rsidRDefault="00B342E6" w:rsidP="007C3604">
            <w:pPr>
              <w:keepNext/>
              <w:keepLines/>
              <w:spacing w:line="240" w:lineRule="auto"/>
              <w:jc w:val="right"/>
              <w:rPr>
                <w:szCs w:val="24"/>
              </w:rPr>
            </w:pPr>
          </w:p>
        </w:tc>
      </w:tr>
      <w:tr w:rsidR="00F95E23" w:rsidRPr="001569FB" w14:paraId="01BE439D" w14:textId="77777777" w:rsidTr="008E201D">
        <w:trPr>
          <w:cantSplit/>
        </w:trPr>
        <w:tc>
          <w:tcPr>
            <w:tcW w:w="7740" w:type="dxa"/>
            <w:tcBorders>
              <w:top w:val="nil"/>
              <w:bottom w:val="nil"/>
            </w:tcBorders>
            <w:vAlign w:val="bottom"/>
          </w:tcPr>
          <w:p w14:paraId="28A717DE" w14:textId="77777777" w:rsidR="00F95E23" w:rsidRPr="001569FB" w:rsidRDefault="00F95E23" w:rsidP="007C3604">
            <w:pPr>
              <w:keepNext/>
              <w:keepLines/>
              <w:spacing w:before="200" w:line="240" w:lineRule="auto"/>
              <w:ind w:left="288"/>
              <w:rPr>
                <w:szCs w:val="24"/>
              </w:rPr>
            </w:pPr>
            <w:r w:rsidRPr="001569FB">
              <w:rPr>
                <w:szCs w:val="24"/>
              </w:rPr>
              <w:t>Deductible</w:t>
            </w:r>
          </w:p>
        </w:tc>
        <w:tc>
          <w:tcPr>
            <w:tcW w:w="1260" w:type="dxa"/>
            <w:tcBorders>
              <w:top w:val="nil"/>
              <w:bottom w:val="nil"/>
            </w:tcBorders>
            <w:vAlign w:val="bottom"/>
          </w:tcPr>
          <w:p w14:paraId="2D4B5573" w14:textId="77777777" w:rsidR="00F95E23" w:rsidRPr="001569FB" w:rsidRDefault="00F95E23" w:rsidP="007C3604">
            <w:pPr>
              <w:keepNext/>
              <w:keepLines/>
              <w:spacing w:before="200"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3E19E04A"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6650C353" w14:textId="77777777" w:rsidTr="008E201D">
        <w:trPr>
          <w:cantSplit/>
        </w:trPr>
        <w:tc>
          <w:tcPr>
            <w:tcW w:w="7740" w:type="dxa"/>
            <w:tcBorders>
              <w:top w:val="nil"/>
              <w:bottom w:val="nil"/>
            </w:tcBorders>
            <w:vAlign w:val="bottom"/>
          </w:tcPr>
          <w:p w14:paraId="7B349182" w14:textId="77777777" w:rsidR="00F95E23" w:rsidRPr="001569FB" w:rsidRDefault="00F95E23" w:rsidP="007C3604">
            <w:pPr>
              <w:keepNext/>
              <w:keepLines/>
              <w:spacing w:line="240" w:lineRule="auto"/>
              <w:ind w:left="288"/>
              <w:rPr>
                <w:szCs w:val="24"/>
              </w:rPr>
            </w:pPr>
            <w:r w:rsidRPr="001569FB">
              <w:rPr>
                <w:szCs w:val="24"/>
              </w:rPr>
              <w:t>Maximum Copayments up to Out-of-Pocket Threshold</w:t>
            </w:r>
          </w:p>
        </w:tc>
        <w:tc>
          <w:tcPr>
            <w:tcW w:w="1260" w:type="dxa"/>
            <w:tcBorders>
              <w:top w:val="nil"/>
              <w:bottom w:val="nil"/>
            </w:tcBorders>
            <w:vAlign w:val="bottom"/>
          </w:tcPr>
          <w:p w14:paraId="2ABF2044"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01459AD0" w14:textId="77777777" w:rsidR="00F95E23" w:rsidRPr="001569FB" w:rsidRDefault="00F95E23" w:rsidP="007C3604">
            <w:pPr>
              <w:keepNext/>
              <w:keepLines/>
              <w:spacing w:line="240" w:lineRule="auto"/>
              <w:jc w:val="right"/>
              <w:rPr>
                <w:szCs w:val="24"/>
              </w:rPr>
            </w:pPr>
          </w:p>
        </w:tc>
      </w:tr>
      <w:tr w:rsidR="00F95E23" w:rsidRPr="001569FB" w14:paraId="6DC5529B" w14:textId="77777777" w:rsidTr="008E201D">
        <w:trPr>
          <w:cantSplit/>
        </w:trPr>
        <w:tc>
          <w:tcPr>
            <w:tcW w:w="7740" w:type="dxa"/>
            <w:tcBorders>
              <w:top w:val="nil"/>
              <w:bottom w:val="nil"/>
            </w:tcBorders>
            <w:vAlign w:val="bottom"/>
          </w:tcPr>
          <w:p w14:paraId="436235F9"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29BD6933"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627997E7" w14:textId="70048A4B" w:rsidR="00F95E23" w:rsidRPr="001569FB" w:rsidRDefault="00F95E23" w:rsidP="009B5861">
            <w:pPr>
              <w:keepNext/>
              <w:keepLines/>
              <w:spacing w:line="240" w:lineRule="auto"/>
              <w:jc w:val="right"/>
              <w:rPr>
                <w:szCs w:val="24"/>
              </w:rPr>
            </w:pPr>
            <w:r w:rsidRPr="001569FB">
              <w:rPr>
                <w:szCs w:val="24"/>
              </w:rPr>
              <w:t>$3.</w:t>
            </w:r>
            <w:r w:rsidR="009B5861" w:rsidRPr="001569FB">
              <w:rPr>
                <w:szCs w:val="24"/>
              </w:rPr>
              <w:t>40</w:t>
            </w:r>
          </w:p>
        </w:tc>
      </w:tr>
      <w:tr w:rsidR="00F95E23" w:rsidRPr="001569FB" w14:paraId="7EB73E57" w14:textId="77777777" w:rsidTr="008E201D">
        <w:trPr>
          <w:cantSplit/>
        </w:trPr>
        <w:tc>
          <w:tcPr>
            <w:tcW w:w="7740" w:type="dxa"/>
            <w:tcBorders>
              <w:top w:val="nil"/>
              <w:bottom w:val="nil"/>
            </w:tcBorders>
            <w:vAlign w:val="bottom"/>
          </w:tcPr>
          <w:p w14:paraId="45FEEE68"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nil"/>
            </w:tcBorders>
            <w:vAlign w:val="bottom"/>
          </w:tcPr>
          <w:p w14:paraId="600CED69"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6AFCC8FB" w14:textId="793A5DF2" w:rsidR="00F95E23" w:rsidRPr="001569FB" w:rsidRDefault="00F95E23" w:rsidP="009B5861">
            <w:pPr>
              <w:keepNext/>
              <w:keepLines/>
              <w:spacing w:line="240" w:lineRule="auto"/>
              <w:jc w:val="right"/>
              <w:rPr>
                <w:szCs w:val="24"/>
              </w:rPr>
            </w:pPr>
            <w:r w:rsidRPr="001569FB">
              <w:rPr>
                <w:szCs w:val="24"/>
              </w:rPr>
              <w:t>$8.</w:t>
            </w:r>
            <w:r w:rsidR="009B5861" w:rsidRPr="001569FB">
              <w:rPr>
                <w:szCs w:val="24"/>
              </w:rPr>
              <w:t>50</w:t>
            </w:r>
          </w:p>
        </w:tc>
      </w:tr>
      <w:tr w:rsidR="00F95E23" w:rsidRPr="001569FB" w14:paraId="79426EED" w14:textId="77777777" w:rsidTr="008E201D">
        <w:trPr>
          <w:cantSplit/>
        </w:trPr>
        <w:tc>
          <w:tcPr>
            <w:tcW w:w="7740" w:type="dxa"/>
            <w:tcBorders>
              <w:top w:val="nil"/>
              <w:bottom w:val="single" w:sz="4" w:space="0" w:color="auto"/>
            </w:tcBorders>
            <w:vAlign w:val="bottom"/>
          </w:tcPr>
          <w:p w14:paraId="56DF84DE"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single" w:sz="4" w:space="0" w:color="auto"/>
            </w:tcBorders>
            <w:vAlign w:val="bottom"/>
          </w:tcPr>
          <w:p w14:paraId="57F91CD4" w14:textId="77777777" w:rsidR="00F95E23" w:rsidRPr="001569FB" w:rsidRDefault="00F95E23" w:rsidP="007C3604">
            <w:pPr>
              <w:keepNext/>
              <w:keepLines/>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AD3C53D"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0ED8CF8E" w14:textId="77777777" w:rsidTr="008E201D">
        <w:trPr>
          <w:cantSplit/>
        </w:trPr>
        <w:tc>
          <w:tcPr>
            <w:tcW w:w="7740" w:type="dxa"/>
            <w:tcBorders>
              <w:top w:val="single" w:sz="4" w:space="0" w:color="auto"/>
              <w:bottom w:val="nil"/>
            </w:tcBorders>
            <w:vAlign w:val="bottom"/>
          </w:tcPr>
          <w:p w14:paraId="04A67C07" w14:textId="77777777" w:rsidR="00F95E23" w:rsidRPr="001569FB" w:rsidRDefault="00F95E23" w:rsidP="007C3604">
            <w:pPr>
              <w:keepNext/>
              <w:keepLines/>
              <w:spacing w:line="240" w:lineRule="auto"/>
              <w:rPr>
                <w:b/>
                <w:bCs/>
                <w:szCs w:val="24"/>
              </w:rPr>
            </w:pPr>
            <w:r w:rsidRPr="001569FB">
              <w:rPr>
                <w:b/>
                <w:bCs/>
                <w:szCs w:val="24"/>
              </w:rPr>
              <w:t>Partial Subsidy</w:t>
            </w:r>
          </w:p>
        </w:tc>
        <w:tc>
          <w:tcPr>
            <w:tcW w:w="1260" w:type="dxa"/>
            <w:tcBorders>
              <w:top w:val="single" w:sz="4" w:space="0" w:color="auto"/>
              <w:bottom w:val="nil"/>
            </w:tcBorders>
            <w:vAlign w:val="bottom"/>
          </w:tcPr>
          <w:p w14:paraId="01F0CAD3"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single" w:sz="4" w:space="0" w:color="auto"/>
              <w:bottom w:val="nil"/>
            </w:tcBorders>
            <w:shd w:val="clear" w:color="auto" w:fill="auto"/>
            <w:noWrap/>
            <w:vAlign w:val="bottom"/>
          </w:tcPr>
          <w:p w14:paraId="0DA1AF90" w14:textId="77777777" w:rsidR="00F95E23" w:rsidRPr="001569FB" w:rsidRDefault="00F95E23" w:rsidP="007C3604">
            <w:pPr>
              <w:keepNext/>
              <w:keepLines/>
              <w:spacing w:line="240" w:lineRule="auto"/>
              <w:jc w:val="right"/>
              <w:rPr>
                <w:szCs w:val="24"/>
              </w:rPr>
            </w:pPr>
          </w:p>
        </w:tc>
      </w:tr>
      <w:tr w:rsidR="00F95E23" w:rsidRPr="001569FB" w14:paraId="3FEC3083" w14:textId="77777777" w:rsidTr="008E201D">
        <w:trPr>
          <w:cantSplit/>
        </w:trPr>
        <w:tc>
          <w:tcPr>
            <w:tcW w:w="7740" w:type="dxa"/>
            <w:tcBorders>
              <w:top w:val="nil"/>
              <w:bottom w:val="nil"/>
            </w:tcBorders>
            <w:vAlign w:val="bottom"/>
          </w:tcPr>
          <w:p w14:paraId="2E9F3375" w14:textId="4F33131C" w:rsidR="00F95E23" w:rsidRPr="001569FB" w:rsidRDefault="00F95E23" w:rsidP="00B41A9A">
            <w:pPr>
              <w:keepNext/>
              <w:keepLines/>
              <w:spacing w:line="240" w:lineRule="auto"/>
              <w:ind w:left="450" w:hanging="180"/>
              <w:rPr>
                <w:szCs w:val="24"/>
              </w:rPr>
            </w:pPr>
            <w:r w:rsidRPr="001569FB">
              <w:rPr>
                <w:szCs w:val="24"/>
              </w:rPr>
              <w:t>Applied and income below 150% FPL and resources below $</w:t>
            </w:r>
            <w:r w:rsidR="00771BD8" w:rsidRPr="001569FB">
              <w:rPr>
                <w:szCs w:val="24"/>
              </w:rPr>
              <w:t>14,100</w:t>
            </w:r>
            <w:r w:rsidR="00771BD8" w:rsidRPr="001569FB" w:rsidDel="00771BD8">
              <w:rPr>
                <w:szCs w:val="24"/>
              </w:rPr>
              <w:t xml:space="preserve"> </w:t>
            </w:r>
            <w:r w:rsidRPr="001569FB">
              <w:rPr>
                <w:szCs w:val="24"/>
              </w:rPr>
              <w:t xml:space="preserve">(individual, 2018) or $ </w:t>
            </w:r>
            <w:r w:rsidR="00771BD8" w:rsidRPr="001569FB">
              <w:rPr>
                <w:szCs w:val="24"/>
              </w:rPr>
              <w:t>28,150</w:t>
            </w:r>
            <w:r w:rsidR="00771BD8" w:rsidRPr="001569FB" w:rsidDel="00771BD8">
              <w:rPr>
                <w:szCs w:val="24"/>
              </w:rPr>
              <w:t xml:space="preserve"> </w:t>
            </w:r>
            <w:r w:rsidRPr="001569FB">
              <w:rPr>
                <w:szCs w:val="24"/>
              </w:rPr>
              <w:t>(couples, 2018) [category code 4] (7)</w:t>
            </w:r>
          </w:p>
        </w:tc>
        <w:tc>
          <w:tcPr>
            <w:tcW w:w="1260" w:type="dxa"/>
            <w:tcBorders>
              <w:top w:val="nil"/>
              <w:bottom w:val="nil"/>
            </w:tcBorders>
            <w:vAlign w:val="bottom"/>
          </w:tcPr>
          <w:p w14:paraId="2C85E42D"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278F4F91" w14:textId="77777777" w:rsidR="00F95E23" w:rsidRPr="001569FB" w:rsidRDefault="00F95E23" w:rsidP="007C3604">
            <w:pPr>
              <w:keepNext/>
              <w:keepLines/>
              <w:spacing w:line="240" w:lineRule="auto"/>
              <w:jc w:val="right"/>
              <w:rPr>
                <w:szCs w:val="24"/>
              </w:rPr>
            </w:pPr>
          </w:p>
        </w:tc>
      </w:tr>
      <w:tr w:rsidR="00F95E23" w:rsidRPr="001569FB" w14:paraId="009E8730" w14:textId="77777777" w:rsidTr="008E201D">
        <w:trPr>
          <w:cantSplit/>
        </w:trPr>
        <w:tc>
          <w:tcPr>
            <w:tcW w:w="7740" w:type="dxa"/>
            <w:tcBorders>
              <w:top w:val="nil"/>
              <w:bottom w:val="nil"/>
            </w:tcBorders>
            <w:vAlign w:val="bottom"/>
          </w:tcPr>
          <w:p w14:paraId="630DEC54" w14:textId="77777777" w:rsidR="00F95E23" w:rsidRPr="001569FB" w:rsidRDefault="00F95E23" w:rsidP="007C3604">
            <w:pPr>
              <w:keepNext/>
              <w:keepLines/>
              <w:spacing w:line="240" w:lineRule="auto"/>
              <w:ind w:left="288"/>
              <w:rPr>
                <w:szCs w:val="24"/>
              </w:rPr>
            </w:pPr>
            <w:r w:rsidRPr="001569FB">
              <w:rPr>
                <w:szCs w:val="24"/>
              </w:rPr>
              <w:t>Deductible (6)</w:t>
            </w:r>
          </w:p>
        </w:tc>
        <w:tc>
          <w:tcPr>
            <w:tcW w:w="1260" w:type="dxa"/>
            <w:tcBorders>
              <w:top w:val="nil"/>
              <w:bottom w:val="nil"/>
            </w:tcBorders>
            <w:vAlign w:val="bottom"/>
          </w:tcPr>
          <w:p w14:paraId="28302B15" w14:textId="77777777" w:rsidR="00F95E23" w:rsidRPr="001569FB" w:rsidRDefault="00F95E23" w:rsidP="007C3604">
            <w:pPr>
              <w:keepNext/>
              <w:keepLines/>
              <w:spacing w:line="240" w:lineRule="auto"/>
              <w:jc w:val="right"/>
              <w:rPr>
                <w:szCs w:val="24"/>
              </w:rPr>
            </w:pPr>
            <w:r w:rsidRPr="001569FB">
              <w:rPr>
                <w:szCs w:val="24"/>
              </w:rPr>
              <w:t>$83.00</w:t>
            </w:r>
          </w:p>
        </w:tc>
        <w:tc>
          <w:tcPr>
            <w:tcW w:w="1170" w:type="dxa"/>
            <w:tcBorders>
              <w:top w:val="nil"/>
              <w:bottom w:val="nil"/>
            </w:tcBorders>
            <w:shd w:val="clear" w:color="auto" w:fill="auto"/>
            <w:noWrap/>
            <w:vAlign w:val="bottom"/>
          </w:tcPr>
          <w:p w14:paraId="5AF192ED" w14:textId="77777777" w:rsidR="00F95E23" w:rsidRPr="001569FB" w:rsidRDefault="00F95E23" w:rsidP="007C3604">
            <w:pPr>
              <w:keepNext/>
              <w:keepLines/>
              <w:spacing w:line="240" w:lineRule="auto"/>
              <w:jc w:val="right"/>
              <w:rPr>
                <w:szCs w:val="24"/>
              </w:rPr>
            </w:pPr>
            <w:r w:rsidRPr="001569FB">
              <w:rPr>
                <w:szCs w:val="24"/>
              </w:rPr>
              <w:t>$85.00</w:t>
            </w:r>
          </w:p>
        </w:tc>
      </w:tr>
      <w:tr w:rsidR="00F95E23" w:rsidRPr="001569FB" w14:paraId="212F56B9" w14:textId="77777777" w:rsidTr="008E201D">
        <w:trPr>
          <w:cantSplit/>
        </w:trPr>
        <w:tc>
          <w:tcPr>
            <w:tcW w:w="7740" w:type="dxa"/>
            <w:tcBorders>
              <w:top w:val="nil"/>
              <w:bottom w:val="nil"/>
            </w:tcBorders>
            <w:vAlign w:val="bottom"/>
          </w:tcPr>
          <w:p w14:paraId="5CB4DDEE" w14:textId="77777777" w:rsidR="00F95E23" w:rsidRPr="001569FB" w:rsidRDefault="00F95E23" w:rsidP="007C3604">
            <w:pPr>
              <w:keepNext/>
              <w:keepLines/>
              <w:spacing w:line="240" w:lineRule="auto"/>
              <w:ind w:left="288"/>
              <w:rPr>
                <w:szCs w:val="24"/>
              </w:rPr>
            </w:pPr>
            <w:r w:rsidRPr="001569FB">
              <w:rPr>
                <w:szCs w:val="24"/>
              </w:rPr>
              <w:t>Coinsurance up to Out-of-Pocket Threshold</w:t>
            </w:r>
          </w:p>
        </w:tc>
        <w:tc>
          <w:tcPr>
            <w:tcW w:w="1260" w:type="dxa"/>
            <w:tcBorders>
              <w:top w:val="nil"/>
              <w:bottom w:val="nil"/>
            </w:tcBorders>
            <w:vAlign w:val="bottom"/>
          </w:tcPr>
          <w:p w14:paraId="21B2D4B9" w14:textId="77777777" w:rsidR="00F95E23" w:rsidRPr="001569FB" w:rsidRDefault="00F95E23" w:rsidP="007C3604">
            <w:pPr>
              <w:keepNext/>
              <w:keepLines/>
              <w:spacing w:line="240" w:lineRule="auto"/>
              <w:jc w:val="right"/>
              <w:rPr>
                <w:szCs w:val="24"/>
              </w:rPr>
            </w:pPr>
            <w:r w:rsidRPr="001569FB">
              <w:rPr>
                <w:szCs w:val="24"/>
              </w:rPr>
              <w:t>15%</w:t>
            </w:r>
          </w:p>
        </w:tc>
        <w:tc>
          <w:tcPr>
            <w:tcW w:w="1170" w:type="dxa"/>
            <w:tcBorders>
              <w:top w:val="nil"/>
              <w:bottom w:val="nil"/>
            </w:tcBorders>
            <w:shd w:val="clear" w:color="auto" w:fill="auto"/>
            <w:noWrap/>
            <w:vAlign w:val="bottom"/>
          </w:tcPr>
          <w:p w14:paraId="6497734E" w14:textId="77777777" w:rsidR="00F95E23" w:rsidRPr="001569FB" w:rsidRDefault="00F95E23" w:rsidP="007C3604">
            <w:pPr>
              <w:keepNext/>
              <w:keepLines/>
              <w:spacing w:line="240" w:lineRule="auto"/>
              <w:jc w:val="right"/>
              <w:rPr>
                <w:szCs w:val="24"/>
              </w:rPr>
            </w:pPr>
            <w:r w:rsidRPr="001569FB">
              <w:rPr>
                <w:szCs w:val="24"/>
              </w:rPr>
              <w:t>15%</w:t>
            </w:r>
          </w:p>
        </w:tc>
      </w:tr>
      <w:tr w:rsidR="00F95E23" w:rsidRPr="001569FB" w14:paraId="203CF0BE" w14:textId="77777777" w:rsidTr="008E201D">
        <w:trPr>
          <w:cantSplit/>
        </w:trPr>
        <w:tc>
          <w:tcPr>
            <w:tcW w:w="7740" w:type="dxa"/>
            <w:tcBorders>
              <w:top w:val="nil"/>
              <w:bottom w:val="nil"/>
            </w:tcBorders>
            <w:vAlign w:val="bottom"/>
          </w:tcPr>
          <w:p w14:paraId="301EB373"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nil"/>
            </w:tcBorders>
            <w:vAlign w:val="bottom"/>
          </w:tcPr>
          <w:p w14:paraId="24D71E1E"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nil"/>
              <w:bottom w:val="nil"/>
            </w:tcBorders>
            <w:shd w:val="clear" w:color="auto" w:fill="auto"/>
            <w:noWrap/>
            <w:vAlign w:val="bottom"/>
          </w:tcPr>
          <w:p w14:paraId="6BAB287B" w14:textId="77777777" w:rsidR="00F95E23" w:rsidRPr="001569FB" w:rsidRDefault="00F95E23" w:rsidP="007C3604">
            <w:pPr>
              <w:keepNext/>
              <w:keepLines/>
              <w:spacing w:line="240" w:lineRule="auto"/>
              <w:jc w:val="right"/>
              <w:rPr>
                <w:szCs w:val="24"/>
              </w:rPr>
            </w:pPr>
          </w:p>
        </w:tc>
      </w:tr>
      <w:tr w:rsidR="00F95E23" w:rsidRPr="001569FB" w14:paraId="7316870A" w14:textId="77777777" w:rsidTr="00781215">
        <w:trPr>
          <w:cantSplit/>
        </w:trPr>
        <w:tc>
          <w:tcPr>
            <w:tcW w:w="7740" w:type="dxa"/>
            <w:tcBorders>
              <w:top w:val="nil"/>
              <w:bottom w:val="nil"/>
            </w:tcBorders>
            <w:vAlign w:val="bottom"/>
          </w:tcPr>
          <w:p w14:paraId="5CEC7ED1"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77C9F0F0"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192D1F4D" w14:textId="77777777" w:rsidR="00F95E23" w:rsidRPr="001569FB" w:rsidRDefault="00F95E23" w:rsidP="007C3604">
            <w:pPr>
              <w:keepNext/>
              <w:keepLines/>
              <w:spacing w:line="240" w:lineRule="auto"/>
              <w:jc w:val="right"/>
              <w:rPr>
                <w:szCs w:val="24"/>
              </w:rPr>
            </w:pPr>
            <w:r w:rsidRPr="001569FB">
              <w:rPr>
                <w:szCs w:val="24"/>
              </w:rPr>
              <w:t>$3.40</w:t>
            </w:r>
          </w:p>
        </w:tc>
      </w:tr>
      <w:tr w:rsidR="00F95E23" w:rsidRPr="001569FB" w14:paraId="57184DD6" w14:textId="77777777" w:rsidTr="00781215">
        <w:trPr>
          <w:cantSplit/>
        </w:trPr>
        <w:tc>
          <w:tcPr>
            <w:tcW w:w="7740" w:type="dxa"/>
            <w:tcBorders>
              <w:top w:val="nil"/>
              <w:bottom w:val="single" w:sz="4" w:space="0" w:color="auto"/>
            </w:tcBorders>
            <w:vAlign w:val="bottom"/>
          </w:tcPr>
          <w:p w14:paraId="42478212"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4C55B4B2"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0F01E76F" w14:textId="77777777" w:rsidR="00F95E23" w:rsidRPr="001569FB" w:rsidRDefault="00F95E23" w:rsidP="007C3604">
            <w:pPr>
              <w:keepNext/>
              <w:keepLines/>
              <w:spacing w:line="240" w:lineRule="auto"/>
              <w:jc w:val="right"/>
              <w:rPr>
                <w:szCs w:val="24"/>
              </w:rPr>
            </w:pPr>
            <w:r w:rsidRPr="001569FB">
              <w:rPr>
                <w:szCs w:val="24"/>
              </w:rPr>
              <w:t>$8.50</w:t>
            </w:r>
          </w:p>
        </w:tc>
      </w:tr>
      <w:tr w:rsidR="00F95E23" w:rsidRPr="001569FB" w14:paraId="36A6136B" w14:textId="77777777" w:rsidTr="00781215">
        <w:trPr>
          <w:cantSplit/>
        </w:trPr>
        <w:tc>
          <w:tcPr>
            <w:tcW w:w="7740" w:type="dxa"/>
            <w:tcBorders>
              <w:top w:val="single" w:sz="4" w:space="0" w:color="auto"/>
              <w:bottom w:val="nil"/>
            </w:tcBorders>
            <w:vAlign w:val="bottom"/>
          </w:tcPr>
          <w:p w14:paraId="5A6EF3A4" w14:textId="77777777" w:rsidR="00F95E23" w:rsidRPr="001569FB" w:rsidRDefault="00F95E23" w:rsidP="007C3604">
            <w:pPr>
              <w:keepNext/>
              <w:keepLines/>
              <w:spacing w:line="240" w:lineRule="auto"/>
              <w:rPr>
                <w:b/>
                <w:bCs/>
                <w:szCs w:val="24"/>
              </w:rPr>
            </w:pPr>
            <w:r w:rsidRPr="001569FB">
              <w:rPr>
                <w:b/>
                <w:bCs/>
                <w:szCs w:val="24"/>
              </w:rPr>
              <w:t>Retiree Drug Subsidy Amounts</w:t>
            </w:r>
          </w:p>
        </w:tc>
        <w:tc>
          <w:tcPr>
            <w:tcW w:w="1260" w:type="dxa"/>
            <w:tcBorders>
              <w:top w:val="single" w:sz="4" w:space="0" w:color="auto"/>
              <w:bottom w:val="nil"/>
            </w:tcBorders>
            <w:vAlign w:val="bottom"/>
          </w:tcPr>
          <w:p w14:paraId="6D85BFCE" w14:textId="77777777" w:rsidR="00F95E23" w:rsidRPr="001569FB" w:rsidRDefault="00F95E23" w:rsidP="007C3604">
            <w:pPr>
              <w:keepNext/>
              <w:keepLines/>
              <w:spacing w:line="240" w:lineRule="auto"/>
              <w:jc w:val="right"/>
              <w:rPr>
                <w:szCs w:val="24"/>
              </w:rPr>
            </w:pPr>
          </w:p>
        </w:tc>
        <w:tc>
          <w:tcPr>
            <w:tcW w:w="1170" w:type="dxa"/>
            <w:tcBorders>
              <w:top w:val="single" w:sz="4" w:space="0" w:color="auto"/>
              <w:bottom w:val="nil"/>
            </w:tcBorders>
            <w:shd w:val="clear" w:color="auto" w:fill="auto"/>
            <w:noWrap/>
            <w:vAlign w:val="bottom"/>
          </w:tcPr>
          <w:p w14:paraId="3F1C2AE3" w14:textId="77777777" w:rsidR="00F95E23" w:rsidRPr="001569FB" w:rsidRDefault="00F95E23" w:rsidP="007C3604">
            <w:pPr>
              <w:keepNext/>
              <w:keepLines/>
              <w:spacing w:line="240" w:lineRule="auto"/>
              <w:jc w:val="right"/>
              <w:rPr>
                <w:szCs w:val="24"/>
              </w:rPr>
            </w:pPr>
          </w:p>
        </w:tc>
      </w:tr>
      <w:tr w:rsidR="00F95E23" w:rsidRPr="001569FB" w14:paraId="21A35CEA" w14:textId="77777777" w:rsidTr="00781215">
        <w:trPr>
          <w:cantSplit/>
        </w:trPr>
        <w:tc>
          <w:tcPr>
            <w:tcW w:w="7740" w:type="dxa"/>
            <w:tcBorders>
              <w:top w:val="nil"/>
              <w:bottom w:val="nil"/>
            </w:tcBorders>
            <w:vAlign w:val="bottom"/>
          </w:tcPr>
          <w:p w14:paraId="1C43B841" w14:textId="77777777" w:rsidR="00F95E23" w:rsidRPr="001569FB" w:rsidRDefault="00F95E23" w:rsidP="007C3604">
            <w:pPr>
              <w:keepNext/>
              <w:keepLines/>
              <w:spacing w:line="240" w:lineRule="auto"/>
              <w:ind w:left="288"/>
              <w:rPr>
                <w:szCs w:val="24"/>
              </w:rPr>
            </w:pPr>
            <w:r w:rsidRPr="001569FB">
              <w:rPr>
                <w:szCs w:val="24"/>
              </w:rPr>
              <w:t>Cost Threshold</w:t>
            </w:r>
          </w:p>
        </w:tc>
        <w:tc>
          <w:tcPr>
            <w:tcW w:w="1260" w:type="dxa"/>
            <w:tcBorders>
              <w:top w:val="nil"/>
              <w:bottom w:val="nil"/>
            </w:tcBorders>
            <w:vAlign w:val="bottom"/>
          </w:tcPr>
          <w:p w14:paraId="6D005AEB" w14:textId="77777777" w:rsidR="00F95E23" w:rsidRPr="001569FB" w:rsidRDefault="00F95E23" w:rsidP="007C3604">
            <w:pPr>
              <w:keepNext/>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41ACEA3F" w14:textId="77777777" w:rsidR="00F95E23" w:rsidRPr="001569FB" w:rsidRDefault="00F95E23" w:rsidP="007C3604">
            <w:pPr>
              <w:keepNext/>
              <w:keepLines/>
              <w:spacing w:line="240" w:lineRule="auto"/>
              <w:jc w:val="right"/>
              <w:rPr>
                <w:szCs w:val="24"/>
              </w:rPr>
            </w:pPr>
            <w:r w:rsidRPr="001569FB">
              <w:rPr>
                <w:szCs w:val="24"/>
              </w:rPr>
              <w:t>$415</w:t>
            </w:r>
          </w:p>
        </w:tc>
      </w:tr>
      <w:tr w:rsidR="008F491D" w:rsidRPr="001569FB" w14:paraId="467A8041" w14:textId="77777777" w:rsidTr="00781215">
        <w:trPr>
          <w:cantSplit/>
        </w:trPr>
        <w:tc>
          <w:tcPr>
            <w:tcW w:w="7740" w:type="dxa"/>
            <w:tcBorders>
              <w:top w:val="nil"/>
              <w:bottom w:val="single" w:sz="4" w:space="0" w:color="auto"/>
            </w:tcBorders>
            <w:vAlign w:val="bottom"/>
          </w:tcPr>
          <w:p w14:paraId="13303150" w14:textId="77777777" w:rsidR="008F491D" w:rsidRPr="001569FB" w:rsidRDefault="008F491D" w:rsidP="00BA36E3">
            <w:pPr>
              <w:widowControl w:val="0"/>
              <w:spacing w:line="240" w:lineRule="auto"/>
              <w:ind w:left="288"/>
              <w:rPr>
                <w:szCs w:val="24"/>
              </w:rPr>
            </w:pPr>
            <w:r w:rsidRPr="001569FB">
              <w:rPr>
                <w:szCs w:val="24"/>
              </w:rPr>
              <w:t>Cost Limit</w:t>
            </w:r>
          </w:p>
        </w:tc>
        <w:tc>
          <w:tcPr>
            <w:tcW w:w="1260" w:type="dxa"/>
            <w:tcBorders>
              <w:top w:val="nil"/>
              <w:bottom w:val="single" w:sz="4" w:space="0" w:color="auto"/>
            </w:tcBorders>
            <w:vAlign w:val="bottom"/>
          </w:tcPr>
          <w:p w14:paraId="3AE0754C" w14:textId="77777777" w:rsidR="008F491D" w:rsidRPr="001569FB" w:rsidRDefault="008F491D" w:rsidP="00BA36E3">
            <w:pPr>
              <w:widowControl w:val="0"/>
              <w:spacing w:line="240" w:lineRule="auto"/>
              <w:jc w:val="right"/>
              <w:rPr>
                <w:szCs w:val="24"/>
              </w:rPr>
            </w:pPr>
            <w:r w:rsidRPr="001569FB">
              <w:rPr>
                <w:szCs w:val="24"/>
              </w:rPr>
              <w:t>$8,350</w:t>
            </w:r>
          </w:p>
        </w:tc>
        <w:tc>
          <w:tcPr>
            <w:tcW w:w="1170" w:type="dxa"/>
            <w:tcBorders>
              <w:top w:val="nil"/>
              <w:bottom w:val="single" w:sz="4" w:space="0" w:color="auto"/>
            </w:tcBorders>
            <w:shd w:val="clear" w:color="auto" w:fill="auto"/>
            <w:noWrap/>
            <w:vAlign w:val="bottom"/>
          </w:tcPr>
          <w:p w14:paraId="5000B708" w14:textId="77777777" w:rsidR="008F491D" w:rsidRPr="001569FB" w:rsidRDefault="008F491D" w:rsidP="00BA36E3">
            <w:pPr>
              <w:widowControl w:val="0"/>
              <w:spacing w:line="240" w:lineRule="auto"/>
              <w:jc w:val="right"/>
              <w:rPr>
                <w:szCs w:val="24"/>
              </w:rPr>
            </w:pPr>
            <w:r w:rsidRPr="001569FB">
              <w:rPr>
                <w:szCs w:val="24"/>
              </w:rPr>
              <w:t>$8,500</w:t>
            </w:r>
          </w:p>
        </w:tc>
      </w:tr>
    </w:tbl>
    <w:p w14:paraId="649708FD" w14:textId="77777777" w:rsidR="00AC67DC" w:rsidRPr="001569FB" w:rsidRDefault="00AC67DC" w:rsidP="00E71478">
      <w:pPr>
        <w:keepNext/>
        <w:keepLines/>
        <w:spacing w:before="40"/>
        <w:ind w:right="-806"/>
        <w:rPr>
          <w:szCs w:val="24"/>
        </w:rPr>
      </w:pPr>
      <w:r w:rsidRPr="001569FB">
        <w:rPr>
          <w:szCs w:val="24"/>
        </w:rPr>
        <w:t xml:space="preserve">(1) Pursuant to section 1860D-2(b)(4)(B)(i)(IV) of the Act, for each of years 2016 through 2019, the </w:t>
      </w:r>
      <w:r w:rsidR="00CB6288" w:rsidRPr="001569FB">
        <w:rPr>
          <w:szCs w:val="24"/>
        </w:rPr>
        <w:t>o</w:t>
      </w:r>
      <w:r w:rsidRPr="001569FB">
        <w:rPr>
          <w:szCs w:val="24"/>
        </w:rPr>
        <w:t>ut-of-</w:t>
      </w:r>
      <w:r w:rsidR="00CB6288" w:rsidRPr="001569FB">
        <w:rPr>
          <w:szCs w:val="24"/>
        </w:rPr>
        <w:t>p</w:t>
      </w:r>
      <w:r w:rsidRPr="001569FB">
        <w:rPr>
          <w:szCs w:val="24"/>
        </w:rPr>
        <w:t xml:space="preserve">ocket </w:t>
      </w:r>
      <w:r w:rsidR="00CB6288" w:rsidRPr="001569FB">
        <w:rPr>
          <w:szCs w:val="24"/>
        </w:rPr>
        <w:t>t</w:t>
      </w:r>
      <w:r w:rsidRPr="001569FB">
        <w:rPr>
          <w:szCs w:val="24"/>
        </w:rPr>
        <w:t>hreshold increase is the lesser of the annual percentage increase or the July CPI plus two percentage points.</w:t>
      </w:r>
    </w:p>
    <w:p w14:paraId="1140C7C7" w14:textId="77777777" w:rsidR="00AC67DC" w:rsidRPr="001569FB" w:rsidRDefault="00AC67DC" w:rsidP="00E71478">
      <w:pPr>
        <w:keepNext/>
        <w:keepLines/>
        <w:spacing w:before="40"/>
        <w:ind w:right="-806"/>
        <w:rPr>
          <w:szCs w:val="24"/>
        </w:rPr>
      </w:pPr>
      <w:r w:rsidRPr="001569FB">
        <w:rPr>
          <w:szCs w:val="24"/>
        </w:rPr>
        <w:t>(2) September CPI adjustment applies to copayments for non-institutionalized beneficiaries up to or at 100% FPL.</w:t>
      </w:r>
    </w:p>
    <w:p w14:paraId="7D3CC60D" w14:textId="77777777" w:rsidR="00CE35E8" w:rsidRPr="001569FB" w:rsidRDefault="00AC67DC" w:rsidP="00E71478">
      <w:pPr>
        <w:keepNext/>
        <w:keepLines/>
        <w:spacing w:before="40"/>
        <w:ind w:right="-806"/>
        <w:rPr>
          <w:szCs w:val="24"/>
        </w:rPr>
      </w:pPr>
      <w:r w:rsidRPr="001569FB">
        <w:rPr>
          <w:szCs w:val="24"/>
        </w:rPr>
        <w:t xml:space="preserve">(3)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not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not eligible for the </w:t>
      </w:r>
      <w:r w:rsidR="006B3987" w:rsidRPr="001569FB">
        <w:rPr>
          <w:szCs w:val="24"/>
        </w:rPr>
        <w:t>C</w:t>
      </w:r>
      <w:r w:rsidRPr="001569FB">
        <w:rPr>
          <w:szCs w:val="24"/>
        </w:rPr>
        <w:t xml:space="preserve">overage </w:t>
      </w:r>
      <w:r w:rsidR="006B3987" w:rsidRPr="001569FB">
        <w:rPr>
          <w:szCs w:val="24"/>
        </w:rPr>
        <w:t>G</w:t>
      </w:r>
      <w:r w:rsidRPr="001569FB">
        <w:rPr>
          <w:szCs w:val="24"/>
        </w:rPr>
        <w:t xml:space="preserve">ap </w:t>
      </w:r>
      <w:r w:rsidR="006B3987" w:rsidRPr="001569FB">
        <w:rPr>
          <w:szCs w:val="24"/>
        </w:rPr>
        <w:t>Discount P</w:t>
      </w:r>
      <w:r w:rsidRPr="001569FB">
        <w:rPr>
          <w:szCs w:val="24"/>
        </w:rPr>
        <w:t>rogram, this is the amount of total drug spending required to reach the out-of-pocket threshold in the defined standard benefit.</w:t>
      </w:r>
      <w:r w:rsidR="00CE35E8" w:rsidRPr="001569FB">
        <w:rPr>
          <w:szCs w:val="24"/>
        </w:rPr>
        <w:t xml:space="preserve"> </w:t>
      </w:r>
    </w:p>
    <w:p w14:paraId="1F86D9BC" w14:textId="77777777" w:rsidR="00CE35E8" w:rsidRPr="001569FB" w:rsidRDefault="00AC67DC" w:rsidP="00E71478">
      <w:pPr>
        <w:keepNext/>
        <w:keepLines/>
        <w:spacing w:before="40"/>
        <w:ind w:right="-806"/>
        <w:rPr>
          <w:szCs w:val="24"/>
        </w:rPr>
      </w:pPr>
      <w:r w:rsidRPr="001569FB">
        <w:rPr>
          <w:szCs w:val="24"/>
        </w:rPr>
        <w:t xml:space="preserve">(4)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eligible for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rogram, this is the estimated average amount of total drug spending required to reach the out-of-pocket threshold in the defined standard benefit.</w:t>
      </w:r>
      <w:r w:rsidR="00CE35E8" w:rsidRPr="001569FB">
        <w:rPr>
          <w:szCs w:val="24"/>
        </w:rPr>
        <w:t xml:space="preserve"> </w:t>
      </w:r>
    </w:p>
    <w:p w14:paraId="135BC243" w14:textId="56E2E3FD" w:rsidR="00AC67DC" w:rsidRPr="001569FB" w:rsidRDefault="00AC67DC" w:rsidP="00E71478">
      <w:pPr>
        <w:keepNext/>
        <w:keepLines/>
        <w:spacing w:before="40"/>
        <w:ind w:right="-806"/>
        <w:rPr>
          <w:szCs w:val="24"/>
        </w:rPr>
      </w:pPr>
      <w:r w:rsidRPr="001569FB">
        <w:rPr>
          <w:szCs w:val="24"/>
        </w:rPr>
        <w:t>(5) Per section 1860D-14(a)(1)(D)(i) of the Act, full-benefit dual eligible</w:t>
      </w:r>
      <w:r w:rsidR="00E467FD" w:rsidRPr="001569FB">
        <w:rPr>
          <w:szCs w:val="24"/>
        </w:rPr>
        <w:t xml:space="preserve"> beneficiaries </w:t>
      </w:r>
      <w:r w:rsidR="00CB6288" w:rsidRPr="001569FB">
        <w:rPr>
          <w:szCs w:val="24"/>
        </w:rPr>
        <w:t>qualify for zero cost-sharing</w:t>
      </w:r>
      <w:r w:rsidRPr="001569FB">
        <w:rPr>
          <w:szCs w:val="24"/>
        </w:rPr>
        <w:t xml:space="preserve"> </w:t>
      </w:r>
      <w:r w:rsidR="00CB6288" w:rsidRPr="001569FB">
        <w:rPr>
          <w:szCs w:val="24"/>
        </w:rPr>
        <w:t xml:space="preserve">if they </w:t>
      </w:r>
      <w:r w:rsidRPr="001569FB">
        <w:rPr>
          <w:szCs w:val="24"/>
        </w:rPr>
        <w:t>would be institutionalized individuals (or couple) if the individual</w:t>
      </w:r>
      <w:r w:rsidR="00CB6288" w:rsidRPr="001569FB">
        <w:rPr>
          <w:szCs w:val="24"/>
        </w:rPr>
        <w:t>s</w:t>
      </w:r>
      <w:r w:rsidRPr="001569FB">
        <w:rPr>
          <w:szCs w:val="24"/>
        </w:rPr>
        <w:t xml:space="preserve"> (couple) </w:t>
      </w:r>
      <w:r w:rsidR="00CB6288" w:rsidRPr="001569FB">
        <w:rPr>
          <w:szCs w:val="24"/>
        </w:rPr>
        <w:t>were</w:t>
      </w:r>
      <w:r w:rsidRPr="001569FB">
        <w:rPr>
          <w:szCs w:val="24"/>
        </w:rPr>
        <w:t xml:space="preserve"> not receiving home and community-based services.</w:t>
      </w:r>
    </w:p>
    <w:p w14:paraId="42384A53" w14:textId="59513534" w:rsidR="00AC67DC" w:rsidRPr="001569FB" w:rsidRDefault="00AC67DC" w:rsidP="00E71478">
      <w:pPr>
        <w:keepNext/>
        <w:keepLines/>
        <w:spacing w:before="40"/>
        <w:ind w:right="-806"/>
        <w:rPr>
          <w:szCs w:val="24"/>
        </w:rPr>
      </w:pPr>
      <w:r w:rsidRPr="001569FB">
        <w:rPr>
          <w:szCs w:val="24"/>
        </w:rPr>
        <w:t xml:space="preserve">(6) </w:t>
      </w:r>
      <w:r w:rsidR="00E467FD" w:rsidRPr="001569FB">
        <w:rPr>
          <w:szCs w:val="24"/>
        </w:rPr>
        <w:t>The partial LIS deductible is increased from the unrounded 2018 value of $</w:t>
      </w:r>
      <w:r w:rsidR="00067F2C" w:rsidRPr="001569FB">
        <w:rPr>
          <w:szCs w:val="24"/>
        </w:rPr>
        <w:t>83.46,</w:t>
      </w:r>
      <w:r w:rsidR="00E467FD" w:rsidRPr="001569FB">
        <w:rPr>
          <w:szCs w:val="24"/>
        </w:rPr>
        <w:t xml:space="preserve"> and the maximum copayments for non-institutionalized FBDE individuals with incomes no greater than 100 percent of the FPL are increased from the unrounded 2018 values of $</w:t>
      </w:r>
      <w:r w:rsidR="00067F2C" w:rsidRPr="001569FB">
        <w:rPr>
          <w:szCs w:val="24"/>
        </w:rPr>
        <w:t>1.24</w:t>
      </w:r>
      <w:r w:rsidR="00E74FEB" w:rsidRPr="001569FB">
        <w:rPr>
          <w:szCs w:val="24"/>
        </w:rPr>
        <w:t xml:space="preserve"> </w:t>
      </w:r>
      <w:r w:rsidR="00E467FD" w:rsidRPr="001569FB">
        <w:rPr>
          <w:szCs w:val="24"/>
        </w:rPr>
        <w:t>for generic/preferred multi-source drugs and $</w:t>
      </w:r>
      <w:r w:rsidR="00067F2C" w:rsidRPr="001569FB">
        <w:rPr>
          <w:szCs w:val="24"/>
        </w:rPr>
        <w:t xml:space="preserve">3.73 </w:t>
      </w:r>
      <w:r w:rsidR="00E467FD" w:rsidRPr="001569FB">
        <w:rPr>
          <w:szCs w:val="24"/>
        </w:rPr>
        <w:t xml:space="preserve">for </w:t>
      </w:r>
      <w:r w:rsidR="00067F2C" w:rsidRPr="001569FB">
        <w:rPr>
          <w:szCs w:val="24"/>
        </w:rPr>
        <w:t xml:space="preserve">all </w:t>
      </w:r>
      <w:r w:rsidR="00E467FD" w:rsidRPr="001569FB">
        <w:rPr>
          <w:szCs w:val="24"/>
        </w:rPr>
        <w:t>other drugs.</w:t>
      </w:r>
    </w:p>
    <w:p w14:paraId="04881EA8" w14:textId="378E3185" w:rsidR="00AC67DC" w:rsidRPr="001569FB" w:rsidRDefault="00AC67DC" w:rsidP="00E71478">
      <w:pPr>
        <w:spacing w:before="40"/>
        <w:ind w:right="-806"/>
        <w:rPr>
          <w:szCs w:val="24"/>
        </w:rPr>
      </w:pPr>
      <w:r w:rsidRPr="001569FB">
        <w:rPr>
          <w:szCs w:val="24"/>
        </w:rPr>
        <w:t>(7) These resource limit figures will be updated for contract year 201</w:t>
      </w:r>
      <w:r w:rsidR="00A24671" w:rsidRPr="001569FB">
        <w:rPr>
          <w:szCs w:val="24"/>
        </w:rPr>
        <w:t>9</w:t>
      </w:r>
      <w:r w:rsidRPr="001569FB">
        <w:rPr>
          <w:szCs w:val="24"/>
        </w:rPr>
        <w:t>.</w:t>
      </w:r>
      <w:r w:rsidR="00067F2C" w:rsidRPr="001569FB">
        <w:rPr>
          <w:szCs w:val="24"/>
        </w:rPr>
        <w:t xml:space="preserve"> </w:t>
      </w:r>
      <w:r w:rsidR="007A6384" w:rsidRPr="001569FB">
        <w:rPr>
          <w:szCs w:val="24"/>
        </w:rPr>
        <w:t xml:space="preserve"> </w:t>
      </w:r>
      <w:r w:rsidR="00067F2C" w:rsidRPr="001569FB">
        <w:rPr>
          <w:szCs w:val="24"/>
        </w:rPr>
        <w:t xml:space="preserve">Additionally, these amounts include $1,500 per person for burial expenses. </w:t>
      </w:r>
      <w:r w:rsidR="00D46B3B" w:rsidRPr="001569FB">
        <w:rPr>
          <w:szCs w:val="24"/>
        </w:rPr>
        <w:t xml:space="preserve"> </w:t>
      </w:r>
      <w:r w:rsidR="00067F2C" w:rsidRPr="001569FB">
        <w:rPr>
          <w:szCs w:val="24"/>
        </w:rPr>
        <w:t>See the HPMS memorandum titled, “2018 Resource and Cost-Sharing Limits for Low-Income Subsidy (LIS)” for additional details.</w:t>
      </w:r>
    </w:p>
    <w:p w14:paraId="750CD7F6" w14:textId="77777777" w:rsidR="006E148D" w:rsidRPr="001569FB" w:rsidRDefault="00DD7A55" w:rsidP="00203CF7">
      <w:pPr>
        <w:pStyle w:val="Heading2"/>
      </w:pPr>
      <w:r w:rsidRPr="001569FB">
        <w:br w:type="page"/>
      </w:r>
      <w:bookmarkStart w:id="445" w:name="_Toc348612231"/>
      <w:bookmarkStart w:id="446" w:name="_Toc348612288"/>
      <w:bookmarkStart w:id="447" w:name="_Toc348617101"/>
      <w:bookmarkStart w:id="448" w:name="_Toc505253793"/>
      <w:bookmarkEnd w:id="435"/>
      <w:bookmarkEnd w:id="436"/>
      <w:bookmarkEnd w:id="437"/>
      <w:bookmarkEnd w:id="438"/>
      <w:bookmarkEnd w:id="445"/>
      <w:bookmarkEnd w:id="446"/>
      <w:bookmarkEnd w:id="447"/>
      <w:r w:rsidR="002E1EA7" w:rsidRPr="001569FB">
        <w:lastRenderedPageBreak/>
        <w:t xml:space="preserve">Section </w:t>
      </w:r>
      <w:r w:rsidR="006573BD" w:rsidRPr="001569FB">
        <w:t>E</w:t>
      </w:r>
      <w:r w:rsidR="0067131F" w:rsidRPr="001569FB">
        <w:t xml:space="preserve">.  </w:t>
      </w:r>
      <w:r w:rsidR="006E148D" w:rsidRPr="001569FB">
        <w:t>Reduced Coinsurance for Applicable Beneficiaries in the Coverage Gap</w:t>
      </w:r>
      <w:bookmarkEnd w:id="448"/>
      <w:r w:rsidR="006E148D" w:rsidRPr="001569FB">
        <w:t xml:space="preserve"> </w:t>
      </w:r>
    </w:p>
    <w:p w14:paraId="08C5FCC5" w14:textId="71D71F0E" w:rsidR="008D0CFC" w:rsidRPr="001569FB" w:rsidRDefault="008D0CFC" w:rsidP="00E746B1">
      <w:pPr>
        <w:spacing w:before="200" w:after="200"/>
        <w:rPr>
          <w:szCs w:val="24"/>
        </w:rPr>
      </w:pPr>
      <w:r w:rsidRPr="001569FB">
        <w:rPr>
          <w:szCs w:val="24"/>
        </w:rPr>
        <w:t xml:space="preserve">The </w:t>
      </w:r>
      <w:r w:rsidR="00C702DF" w:rsidRPr="001569FB">
        <w:rPr>
          <w:szCs w:val="24"/>
        </w:rPr>
        <w:t xml:space="preserve">law requires </w:t>
      </w:r>
      <w:r w:rsidRPr="001569FB">
        <w:rPr>
          <w:szCs w:val="24"/>
        </w:rPr>
        <w:t>phase</w:t>
      </w:r>
      <w:r w:rsidR="00C702DF" w:rsidRPr="001569FB">
        <w:rPr>
          <w:szCs w:val="24"/>
        </w:rPr>
        <w:t>d</w:t>
      </w:r>
      <w:r w:rsidRPr="001569FB">
        <w:rPr>
          <w:szCs w:val="24"/>
        </w:rPr>
        <w:t xml:space="preserve"> reduction in </w:t>
      </w:r>
      <w:r w:rsidR="00C702DF" w:rsidRPr="001569FB">
        <w:rPr>
          <w:szCs w:val="24"/>
        </w:rPr>
        <w:t xml:space="preserve">applicable </w:t>
      </w:r>
      <w:r w:rsidRPr="001569FB">
        <w:rPr>
          <w:szCs w:val="24"/>
        </w:rPr>
        <w:t>beneficiary cost</w:t>
      </w:r>
      <w:r w:rsidR="00E467FD" w:rsidRPr="001569FB">
        <w:rPr>
          <w:szCs w:val="24"/>
        </w:rPr>
        <w:t>-</w:t>
      </w:r>
      <w:r w:rsidRPr="001569FB">
        <w:rPr>
          <w:szCs w:val="24"/>
        </w:rPr>
        <w:t xml:space="preserve">sharing for drugs in the coverage gap phase of the Medicare Part D benefit.  This </w:t>
      </w:r>
      <w:r w:rsidR="005B6896" w:rsidRPr="001569FB">
        <w:rPr>
          <w:szCs w:val="24"/>
        </w:rPr>
        <w:t xml:space="preserve">gradual </w:t>
      </w:r>
      <w:r w:rsidRPr="001569FB">
        <w:rPr>
          <w:szCs w:val="24"/>
        </w:rPr>
        <w:t>reduction in cost</w:t>
      </w:r>
      <w:r w:rsidR="00C56B98" w:rsidRPr="001569FB">
        <w:rPr>
          <w:szCs w:val="24"/>
        </w:rPr>
        <w:t>-</w:t>
      </w:r>
      <w:r w:rsidRPr="001569FB">
        <w:rPr>
          <w:szCs w:val="24"/>
        </w:rPr>
        <w:t xml:space="preserve">sharing began in CY 2011 and continues through CY </w:t>
      </w:r>
      <w:r w:rsidR="00102286" w:rsidRPr="001569FB">
        <w:rPr>
          <w:szCs w:val="24"/>
        </w:rPr>
        <w:t xml:space="preserve">2020, ultimately resulting in </w:t>
      </w:r>
      <w:r w:rsidR="003F161F" w:rsidRPr="001569FB">
        <w:rPr>
          <w:szCs w:val="24"/>
        </w:rPr>
        <w:t>75</w:t>
      </w:r>
      <w:r w:rsidR="005B6896"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applicable drugs, prior to the application of </w:t>
      </w:r>
      <w:r w:rsidR="005B6896" w:rsidRPr="001569FB">
        <w:rPr>
          <w:szCs w:val="24"/>
        </w:rPr>
        <w:t xml:space="preserve">the 50 percent </w:t>
      </w:r>
      <w:r w:rsidR="00102286" w:rsidRPr="001569FB">
        <w:rPr>
          <w:szCs w:val="24"/>
        </w:rPr>
        <w:t>manufacturer discounts</w:t>
      </w:r>
      <w:r w:rsidR="005B6896" w:rsidRPr="001569FB">
        <w:rPr>
          <w:szCs w:val="24"/>
        </w:rPr>
        <w:t xml:space="preserve"> required by </w:t>
      </w:r>
      <w:r w:rsidR="00C702DF" w:rsidRPr="001569FB">
        <w:rPr>
          <w:szCs w:val="24"/>
        </w:rPr>
        <w:t>statute</w:t>
      </w:r>
      <w:r w:rsidR="00102286" w:rsidRPr="001569FB">
        <w:rPr>
          <w:szCs w:val="24"/>
        </w:rPr>
        <w:t xml:space="preserve">, and </w:t>
      </w:r>
      <w:r w:rsidR="003F161F" w:rsidRPr="001569FB">
        <w:rPr>
          <w:szCs w:val="24"/>
        </w:rPr>
        <w:t>25</w:t>
      </w:r>
      <w:r w:rsidR="00F33637"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other covered Part D drugs (non-applicable drugs).  </w:t>
      </w:r>
      <w:r w:rsidR="00F33637" w:rsidRPr="001569FB">
        <w:rPr>
          <w:szCs w:val="24"/>
        </w:rPr>
        <w:t>An a</w:t>
      </w:r>
      <w:r w:rsidRPr="001569FB">
        <w:rPr>
          <w:szCs w:val="24"/>
        </w:rPr>
        <w:t xml:space="preserve">pplicable drug </w:t>
      </w:r>
      <w:r w:rsidR="00F33637" w:rsidRPr="001569FB">
        <w:rPr>
          <w:szCs w:val="24"/>
        </w:rPr>
        <w:t>is</w:t>
      </w:r>
      <w:r w:rsidRPr="001569FB">
        <w:rPr>
          <w:szCs w:val="24"/>
        </w:rPr>
        <w:t xml:space="preserve"> defined </w:t>
      </w:r>
      <w:r w:rsidR="00F33637" w:rsidRPr="001569FB">
        <w:rPr>
          <w:szCs w:val="24"/>
        </w:rPr>
        <w:t>in</w:t>
      </w:r>
      <w:r w:rsidRPr="001569FB">
        <w:rPr>
          <w:szCs w:val="24"/>
        </w:rPr>
        <w:t xml:space="preserve"> section 1860D-14A(g)(2) of the </w:t>
      </w:r>
      <w:r w:rsidR="005B6896" w:rsidRPr="001569FB">
        <w:rPr>
          <w:szCs w:val="24"/>
        </w:rPr>
        <w:t>Act</w:t>
      </w:r>
      <w:r w:rsidRPr="001569FB">
        <w:rPr>
          <w:szCs w:val="24"/>
        </w:rPr>
        <w:t xml:space="preserve"> </w:t>
      </w:r>
      <w:r w:rsidR="00F33637" w:rsidRPr="001569FB">
        <w:rPr>
          <w:szCs w:val="24"/>
        </w:rPr>
        <w:t>to</w:t>
      </w:r>
      <w:r w:rsidRPr="001569FB">
        <w:rPr>
          <w:szCs w:val="24"/>
        </w:rPr>
        <w:t xml:space="preserve"> generally </w:t>
      </w:r>
      <w:r w:rsidR="00F33637" w:rsidRPr="001569FB">
        <w:rPr>
          <w:szCs w:val="24"/>
        </w:rPr>
        <w:t xml:space="preserve">include </w:t>
      </w:r>
      <w:r w:rsidR="005B6896" w:rsidRPr="001569FB">
        <w:rPr>
          <w:szCs w:val="24"/>
        </w:rPr>
        <w:t xml:space="preserve">covered Part D </w:t>
      </w:r>
      <w:r w:rsidRPr="001569FB">
        <w:rPr>
          <w:szCs w:val="24"/>
        </w:rPr>
        <w:t xml:space="preserve">brand drugs that are either approved under a new drug application (NDA) under section 505(b) of the Federal Food, Drug, and Cosmetic Act or, in the case of a biologic, licensed under section 351 of the Public Health Service Act </w:t>
      </w:r>
      <w:r w:rsidR="00AA5BE8" w:rsidRPr="001569FB">
        <w:rPr>
          <w:szCs w:val="24"/>
        </w:rPr>
        <w:t xml:space="preserve">(PHSA) </w:t>
      </w:r>
      <w:r w:rsidR="008E3263" w:rsidRPr="001569FB">
        <w:rPr>
          <w:szCs w:val="24"/>
        </w:rPr>
        <w:t xml:space="preserve">(other than a product licensed under subsection (k) of such section 351) </w:t>
      </w:r>
      <w:r w:rsidR="00AA5BE8" w:rsidRPr="001569FB">
        <w:rPr>
          <w:szCs w:val="24"/>
        </w:rPr>
        <w:t>using a Biologic</w:t>
      </w:r>
      <w:r w:rsidR="006B13C4" w:rsidRPr="001569FB">
        <w:rPr>
          <w:szCs w:val="24"/>
        </w:rPr>
        <w:t>s</w:t>
      </w:r>
      <w:r w:rsidR="00AA5BE8" w:rsidRPr="001569FB">
        <w:rPr>
          <w:szCs w:val="24"/>
        </w:rPr>
        <w:t xml:space="preserve"> License Application </w:t>
      </w:r>
      <w:r w:rsidRPr="001569FB">
        <w:rPr>
          <w:szCs w:val="24"/>
        </w:rPr>
        <w:t xml:space="preserve">(BLA).  Non-applicable drugs </w:t>
      </w:r>
      <w:r w:rsidR="006B13C4" w:rsidRPr="001569FB">
        <w:rPr>
          <w:szCs w:val="24"/>
        </w:rPr>
        <w:t xml:space="preserve">generally </w:t>
      </w:r>
      <w:r w:rsidRPr="001569FB">
        <w:rPr>
          <w:szCs w:val="24"/>
        </w:rPr>
        <w:t>are covered Part D drugs that do not meet the definition of an applicable drug</w:t>
      </w:r>
      <w:r w:rsidR="00F33637" w:rsidRPr="001569FB">
        <w:rPr>
          <w:szCs w:val="24"/>
        </w:rPr>
        <w:t>, such as</w:t>
      </w:r>
      <w:r w:rsidRPr="001569FB">
        <w:rPr>
          <w:szCs w:val="24"/>
        </w:rPr>
        <w:t xml:space="preserve"> generic drugs.  </w:t>
      </w:r>
      <w:r w:rsidR="00F33637" w:rsidRPr="001569FB">
        <w:rPr>
          <w:szCs w:val="24"/>
        </w:rPr>
        <w:t xml:space="preserve">Note that non-applicable drugs also include any biosimilar products, or biologics licensed under section 351(k) of the PHSA using a BLA, per section 1860D-14A(g)(2)(A) of the Act. </w:t>
      </w:r>
      <w:r w:rsidR="007A6384" w:rsidRPr="001569FB">
        <w:rPr>
          <w:szCs w:val="24"/>
        </w:rPr>
        <w:t xml:space="preserve"> </w:t>
      </w:r>
      <w:r w:rsidRPr="001569FB">
        <w:rPr>
          <w:szCs w:val="24"/>
        </w:rPr>
        <w:t>The reductions in cost</w:t>
      </w:r>
      <w:r w:rsidR="00C56B98" w:rsidRPr="001569FB">
        <w:rPr>
          <w:szCs w:val="24"/>
        </w:rPr>
        <w:t>-</w:t>
      </w:r>
      <w:r w:rsidRPr="001569FB">
        <w:rPr>
          <w:szCs w:val="24"/>
        </w:rPr>
        <w:t xml:space="preserve">sharing, in conjunction with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 xml:space="preserve">rogram, will </w:t>
      </w:r>
      <w:r w:rsidR="00C56B98" w:rsidRPr="001569FB">
        <w:rPr>
          <w:szCs w:val="24"/>
        </w:rPr>
        <w:t xml:space="preserve">effectively </w:t>
      </w:r>
      <w:r w:rsidRPr="001569FB">
        <w:rPr>
          <w:szCs w:val="24"/>
        </w:rPr>
        <w:t xml:space="preserve">serve to close the Medicare Part D coverage gap for non-LIS beneficiaries by CY 2020. </w:t>
      </w:r>
    </w:p>
    <w:p w14:paraId="2E7EC38C" w14:textId="77777777" w:rsidR="0080175B" w:rsidRPr="001569FB" w:rsidRDefault="008D0CFC" w:rsidP="00E746B1">
      <w:pPr>
        <w:spacing w:before="200" w:after="200"/>
        <w:rPr>
          <w:szCs w:val="24"/>
        </w:rPr>
      </w:pPr>
      <w:r w:rsidRPr="001569FB">
        <w:rPr>
          <w:szCs w:val="24"/>
        </w:rPr>
        <w:t xml:space="preserve">In </w:t>
      </w:r>
      <w:r w:rsidR="00A24671" w:rsidRPr="001569FB">
        <w:rPr>
          <w:szCs w:val="24"/>
        </w:rPr>
        <w:t>2019</w:t>
      </w:r>
      <w:r w:rsidRPr="001569FB">
        <w:rPr>
          <w:szCs w:val="24"/>
        </w:rPr>
        <w:t xml:space="preserve">, the </w:t>
      </w:r>
      <w:r w:rsidR="00C702DF" w:rsidRPr="001569FB">
        <w:rPr>
          <w:szCs w:val="24"/>
        </w:rPr>
        <w:t xml:space="preserve">coinsurance for applicable beneficiaries </w:t>
      </w:r>
      <w:r w:rsidRPr="001569FB">
        <w:rPr>
          <w:szCs w:val="24"/>
        </w:rPr>
        <w:t xml:space="preserve">under basic prescription drug coverage is reduced </w:t>
      </w:r>
      <w:r w:rsidR="00F6582C" w:rsidRPr="001569FB">
        <w:rPr>
          <w:szCs w:val="24"/>
        </w:rPr>
        <w:t xml:space="preserve">to </w:t>
      </w:r>
      <w:r w:rsidR="00A24671" w:rsidRPr="001569FB">
        <w:rPr>
          <w:szCs w:val="24"/>
        </w:rPr>
        <w:t xml:space="preserve">37 </w:t>
      </w:r>
      <w:r w:rsidR="00F6582C" w:rsidRPr="001569FB">
        <w:rPr>
          <w:szCs w:val="24"/>
        </w:rPr>
        <w:t>percent</w:t>
      </w:r>
      <w:r w:rsidRPr="001569FB">
        <w:rPr>
          <w:szCs w:val="24"/>
        </w:rPr>
        <w:t xml:space="preserve"> for </w:t>
      </w:r>
      <w:r w:rsidRPr="001569FB">
        <w:rPr>
          <w:i/>
          <w:szCs w:val="24"/>
        </w:rPr>
        <w:t>non-applicable</w:t>
      </w:r>
      <w:r w:rsidRPr="001569FB">
        <w:rPr>
          <w:szCs w:val="24"/>
        </w:rPr>
        <w:t xml:space="preserve"> covered Part D drugs purchased during the coverage gap phase of the Part D benefit.  </w:t>
      </w:r>
      <w:r w:rsidR="00F6582C" w:rsidRPr="001569FB">
        <w:rPr>
          <w:szCs w:val="24"/>
        </w:rPr>
        <w:t xml:space="preserve">After </w:t>
      </w:r>
      <w:r w:rsidR="00C56B98" w:rsidRPr="001569FB">
        <w:rPr>
          <w:szCs w:val="24"/>
        </w:rPr>
        <w:t>applying</w:t>
      </w:r>
      <w:r w:rsidR="00F6582C" w:rsidRPr="001569FB">
        <w:rPr>
          <w:szCs w:val="24"/>
        </w:rPr>
        <w:t xml:space="preserve"> the 50 percent manufacturer discount, </w:t>
      </w:r>
      <w:r w:rsidRPr="001569FB">
        <w:rPr>
          <w:szCs w:val="24"/>
        </w:rPr>
        <w:t xml:space="preserve">the </w:t>
      </w:r>
      <w:r w:rsidR="00F6582C" w:rsidRPr="001569FB">
        <w:rPr>
          <w:szCs w:val="24"/>
        </w:rPr>
        <w:t xml:space="preserve">beneficiary </w:t>
      </w:r>
      <w:r w:rsidRPr="001569FB">
        <w:rPr>
          <w:szCs w:val="24"/>
        </w:rPr>
        <w:t xml:space="preserve">coinsurance under basic prescription drug coverage is reduced </w:t>
      </w:r>
      <w:r w:rsidR="00F6582C" w:rsidRPr="001569FB">
        <w:rPr>
          <w:szCs w:val="24"/>
        </w:rPr>
        <w:t xml:space="preserve">to </w:t>
      </w:r>
      <w:r w:rsidR="00A24671" w:rsidRPr="001569FB">
        <w:rPr>
          <w:szCs w:val="24"/>
        </w:rPr>
        <w:t xml:space="preserve">30 </w:t>
      </w:r>
      <w:r w:rsidR="00F6582C" w:rsidRPr="001569FB">
        <w:rPr>
          <w:szCs w:val="24"/>
        </w:rPr>
        <w:t xml:space="preserve">percent </w:t>
      </w:r>
      <w:r w:rsidRPr="001569FB">
        <w:rPr>
          <w:szCs w:val="24"/>
        </w:rPr>
        <w:t xml:space="preserve">for </w:t>
      </w:r>
      <w:r w:rsidRPr="001569FB">
        <w:rPr>
          <w:i/>
          <w:szCs w:val="24"/>
        </w:rPr>
        <w:t>applicable</w:t>
      </w:r>
      <w:r w:rsidRPr="001569FB">
        <w:rPr>
          <w:szCs w:val="24"/>
        </w:rPr>
        <w:t xml:space="preserve"> covered Part D drugs purchased during the coverage gap phase of the Part D benefit</w:t>
      </w:r>
      <w:r w:rsidR="00F6582C" w:rsidRPr="001569FB">
        <w:rPr>
          <w:szCs w:val="24"/>
        </w:rPr>
        <w:t xml:space="preserve"> in </w:t>
      </w:r>
      <w:r w:rsidR="00A24671" w:rsidRPr="001569FB">
        <w:rPr>
          <w:szCs w:val="24"/>
        </w:rPr>
        <w:t>2019</w:t>
      </w:r>
      <w:r w:rsidRPr="001569FB">
        <w:rPr>
          <w:szCs w:val="24"/>
        </w:rPr>
        <w:t xml:space="preserve">. </w:t>
      </w:r>
    </w:p>
    <w:p w14:paraId="50208B41" w14:textId="1B72F2FF" w:rsidR="000C17E7" w:rsidRPr="001569FB" w:rsidRDefault="000C17E7" w:rsidP="00781215">
      <w:pPr>
        <w:pStyle w:val="TableTitle0"/>
        <w:rPr>
          <w:szCs w:val="24"/>
        </w:rPr>
      </w:pPr>
      <w:r w:rsidRPr="001569FB">
        <w:rPr>
          <w:szCs w:val="24"/>
        </w:rPr>
        <w:lastRenderedPageBreak/>
        <w:t xml:space="preserve">Table </w:t>
      </w:r>
      <w:r w:rsidR="00E74FEB" w:rsidRPr="001569FB">
        <w:rPr>
          <w:szCs w:val="24"/>
        </w:rPr>
        <w:t>III-2</w:t>
      </w:r>
      <w:r w:rsidRPr="001569FB">
        <w:rPr>
          <w:szCs w:val="24"/>
        </w:rPr>
        <w:t>.  Cost</w:t>
      </w:r>
      <w:r w:rsidR="00C56B98" w:rsidRPr="001569FB">
        <w:rPr>
          <w:szCs w:val="24"/>
        </w:rPr>
        <w:t>-</w:t>
      </w:r>
      <w:r w:rsidRPr="001569FB">
        <w:rPr>
          <w:szCs w:val="24"/>
        </w:rPr>
        <w:t>Sharing for 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810"/>
        <w:gridCol w:w="2700"/>
        <w:gridCol w:w="1530"/>
        <w:gridCol w:w="1620"/>
      </w:tblGrid>
      <w:tr w:rsidR="000C17E7" w:rsidRPr="001569FB" w14:paraId="22B1A3BD" w14:textId="77777777" w:rsidTr="00690557">
        <w:trPr>
          <w:cantSplit/>
          <w:trHeight w:hRule="exact" w:val="1180"/>
          <w:tblHeader/>
          <w:jc w:val="center"/>
        </w:trPr>
        <w:tc>
          <w:tcPr>
            <w:tcW w:w="810" w:type="dxa"/>
            <w:tcBorders>
              <w:bottom w:val="single" w:sz="4" w:space="0" w:color="auto"/>
            </w:tcBorders>
            <w:shd w:val="clear" w:color="auto" w:fill="DDD9C3" w:themeFill="background2" w:themeFillShade="E6"/>
            <w:noWrap/>
          </w:tcPr>
          <w:p w14:paraId="0B8B1BB3" w14:textId="77777777" w:rsidR="000C17E7" w:rsidRPr="001569FB" w:rsidRDefault="000C17E7" w:rsidP="00781215">
            <w:pPr>
              <w:keepNext/>
              <w:keepLines/>
              <w:spacing w:line="240" w:lineRule="auto"/>
              <w:rPr>
                <w:szCs w:val="24"/>
              </w:rPr>
            </w:pPr>
          </w:p>
        </w:tc>
        <w:tc>
          <w:tcPr>
            <w:tcW w:w="2700" w:type="dxa"/>
            <w:tcBorders>
              <w:bottom w:val="single" w:sz="4" w:space="0" w:color="auto"/>
            </w:tcBorders>
            <w:shd w:val="clear" w:color="auto" w:fill="DDD9C3" w:themeFill="background2" w:themeFillShade="E6"/>
            <w:vAlign w:val="center"/>
          </w:tcPr>
          <w:p w14:paraId="72B268C2" w14:textId="77777777" w:rsidR="000C17E7" w:rsidRPr="001569FB" w:rsidRDefault="000C17E7" w:rsidP="00781215">
            <w:pPr>
              <w:keepNext/>
              <w:keepLines/>
              <w:spacing w:line="240" w:lineRule="auto"/>
              <w:jc w:val="center"/>
              <w:rPr>
                <w:b/>
                <w:szCs w:val="24"/>
              </w:rPr>
            </w:pPr>
            <w:r w:rsidRPr="001569FB">
              <w:rPr>
                <w:b/>
                <w:szCs w:val="24"/>
              </w:rPr>
              <w:t>Beneficiary Coinsurance</w:t>
            </w:r>
          </w:p>
          <w:p w14:paraId="4169C64C" w14:textId="77777777" w:rsidR="00A12C36" w:rsidRPr="001569FB" w:rsidRDefault="00A12C36" w:rsidP="00781215">
            <w:pPr>
              <w:keepNext/>
              <w:keepLines/>
              <w:spacing w:line="240" w:lineRule="auto"/>
              <w:jc w:val="center"/>
              <w:rPr>
                <w:b/>
                <w:szCs w:val="24"/>
              </w:rPr>
            </w:pPr>
          </w:p>
        </w:tc>
        <w:tc>
          <w:tcPr>
            <w:tcW w:w="1530" w:type="dxa"/>
            <w:tcBorders>
              <w:bottom w:val="single" w:sz="4" w:space="0" w:color="auto"/>
            </w:tcBorders>
            <w:shd w:val="clear" w:color="auto" w:fill="DDD9C3" w:themeFill="background2" w:themeFillShade="E6"/>
            <w:vAlign w:val="center"/>
          </w:tcPr>
          <w:p w14:paraId="11E93A23" w14:textId="77777777" w:rsidR="000C17E7" w:rsidRPr="001569FB" w:rsidRDefault="000C17E7" w:rsidP="00781215">
            <w:pPr>
              <w:keepNext/>
              <w:keepLines/>
              <w:spacing w:line="240" w:lineRule="auto"/>
              <w:jc w:val="center"/>
              <w:rPr>
                <w:b/>
                <w:szCs w:val="24"/>
              </w:rPr>
            </w:pPr>
            <w:r w:rsidRPr="001569FB">
              <w:rPr>
                <w:b/>
                <w:szCs w:val="24"/>
              </w:rPr>
              <w:t>Plan Liability</w:t>
            </w:r>
          </w:p>
        </w:tc>
        <w:tc>
          <w:tcPr>
            <w:tcW w:w="1620" w:type="dxa"/>
            <w:tcBorders>
              <w:bottom w:val="single" w:sz="4" w:space="0" w:color="auto"/>
            </w:tcBorders>
            <w:shd w:val="clear" w:color="auto" w:fill="DDD9C3" w:themeFill="background2" w:themeFillShade="E6"/>
            <w:vAlign w:val="center"/>
          </w:tcPr>
          <w:p w14:paraId="3B68131A" w14:textId="77777777" w:rsidR="000C17E7" w:rsidRPr="001569FB" w:rsidRDefault="000C17E7" w:rsidP="00781215">
            <w:pPr>
              <w:keepNext/>
              <w:keepLines/>
              <w:spacing w:line="240" w:lineRule="auto"/>
              <w:jc w:val="center"/>
              <w:rPr>
                <w:b/>
                <w:szCs w:val="24"/>
              </w:rPr>
            </w:pPr>
            <w:r w:rsidRPr="001569FB">
              <w:rPr>
                <w:b/>
                <w:szCs w:val="24"/>
              </w:rPr>
              <w:t>Manufacturer Discount</w:t>
            </w:r>
          </w:p>
        </w:tc>
      </w:tr>
      <w:tr w:rsidR="000C17E7" w:rsidRPr="001569FB" w14:paraId="62F99FC4" w14:textId="77777777" w:rsidTr="00690557">
        <w:trPr>
          <w:cantSplit/>
          <w:trHeight w:hRule="exact" w:val="352"/>
          <w:jc w:val="center"/>
        </w:trPr>
        <w:tc>
          <w:tcPr>
            <w:tcW w:w="810" w:type="dxa"/>
            <w:tcBorders>
              <w:bottom w:val="nil"/>
            </w:tcBorders>
            <w:noWrap/>
            <w:vAlign w:val="bottom"/>
          </w:tcPr>
          <w:p w14:paraId="13E35497" w14:textId="77777777" w:rsidR="000C17E7" w:rsidRPr="001569FB" w:rsidRDefault="000C17E7" w:rsidP="00781215">
            <w:pPr>
              <w:keepNext/>
              <w:keepLines/>
              <w:spacing w:after="40" w:line="240" w:lineRule="auto"/>
              <w:rPr>
                <w:szCs w:val="24"/>
              </w:rPr>
            </w:pPr>
            <w:r w:rsidRPr="001569FB">
              <w:rPr>
                <w:szCs w:val="24"/>
              </w:rPr>
              <w:t>2010</w:t>
            </w:r>
          </w:p>
        </w:tc>
        <w:tc>
          <w:tcPr>
            <w:tcW w:w="2700" w:type="dxa"/>
            <w:tcBorders>
              <w:bottom w:val="nil"/>
            </w:tcBorders>
            <w:noWrap/>
            <w:vAlign w:val="bottom"/>
          </w:tcPr>
          <w:p w14:paraId="1330F0E9" w14:textId="77777777" w:rsidR="000C17E7" w:rsidRPr="001569FB" w:rsidRDefault="000C17E7" w:rsidP="00781215">
            <w:pPr>
              <w:keepNext/>
              <w:keepLines/>
              <w:spacing w:after="40" w:line="240" w:lineRule="auto"/>
              <w:jc w:val="right"/>
              <w:rPr>
                <w:szCs w:val="24"/>
              </w:rPr>
            </w:pPr>
            <w:r w:rsidRPr="001569FB">
              <w:rPr>
                <w:szCs w:val="24"/>
              </w:rPr>
              <w:t>100% minus $250 rebate</w:t>
            </w:r>
            <w:r w:rsidR="00CC3A51" w:rsidRPr="001569FB">
              <w:rPr>
                <w:rStyle w:val="FootnoteReference"/>
                <w:szCs w:val="24"/>
              </w:rPr>
              <w:footnoteReference w:id="9"/>
            </w:r>
          </w:p>
        </w:tc>
        <w:tc>
          <w:tcPr>
            <w:tcW w:w="1530" w:type="dxa"/>
            <w:tcBorders>
              <w:bottom w:val="nil"/>
            </w:tcBorders>
            <w:noWrap/>
            <w:vAlign w:val="bottom"/>
          </w:tcPr>
          <w:p w14:paraId="5796DC21"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5187D4C0"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r>
      <w:tr w:rsidR="00781215" w:rsidRPr="001569FB" w14:paraId="6DDDF791" w14:textId="77777777" w:rsidTr="00690557">
        <w:trPr>
          <w:cantSplit/>
          <w:trHeight w:hRule="exact" w:val="352"/>
          <w:jc w:val="center"/>
        </w:trPr>
        <w:tc>
          <w:tcPr>
            <w:tcW w:w="810" w:type="dxa"/>
            <w:tcBorders>
              <w:bottom w:val="nil"/>
            </w:tcBorders>
            <w:noWrap/>
            <w:vAlign w:val="bottom"/>
          </w:tcPr>
          <w:p w14:paraId="1D731020" w14:textId="77777777" w:rsidR="00781215" w:rsidRPr="001569FB" w:rsidRDefault="00781215" w:rsidP="00781215">
            <w:pPr>
              <w:keepNext/>
              <w:keepLines/>
              <w:spacing w:after="40" w:line="240" w:lineRule="auto"/>
              <w:rPr>
                <w:szCs w:val="24"/>
              </w:rPr>
            </w:pPr>
            <w:r w:rsidRPr="001569FB">
              <w:rPr>
                <w:szCs w:val="24"/>
              </w:rPr>
              <w:t>2011</w:t>
            </w:r>
          </w:p>
        </w:tc>
        <w:tc>
          <w:tcPr>
            <w:tcW w:w="2700" w:type="dxa"/>
            <w:tcBorders>
              <w:bottom w:val="nil"/>
            </w:tcBorders>
            <w:noWrap/>
            <w:vAlign w:val="bottom"/>
          </w:tcPr>
          <w:p w14:paraId="623E6102" w14:textId="77777777" w:rsidR="00781215" w:rsidRPr="001569FB" w:rsidRDefault="00781215" w:rsidP="00326CD5">
            <w:pPr>
              <w:keepNext/>
              <w:keepLines/>
              <w:tabs>
                <w:tab w:val="decimal" w:pos="1021"/>
              </w:tabs>
              <w:spacing w:after="40" w:line="240" w:lineRule="auto"/>
              <w:rPr>
                <w:szCs w:val="24"/>
              </w:rPr>
            </w:pPr>
            <w:r w:rsidRPr="001569FB">
              <w:rPr>
                <w:szCs w:val="24"/>
              </w:rPr>
              <w:t>50%</w:t>
            </w:r>
          </w:p>
        </w:tc>
        <w:tc>
          <w:tcPr>
            <w:tcW w:w="1530" w:type="dxa"/>
            <w:tcBorders>
              <w:bottom w:val="nil"/>
            </w:tcBorders>
            <w:noWrap/>
            <w:vAlign w:val="bottom"/>
          </w:tcPr>
          <w:p w14:paraId="0E1C6B36" w14:textId="77777777" w:rsidR="00781215" w:rsidRPr="001569FB" w:rsidRDefault="00781215"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7349B627" w14:textId="77777777" w:rsidR="00781215" w:rsidRPr="001569FB" w:rsidRDefault="00781215" w:rsidP="00326CD5">
            <w:pPr>
              <w:keepNext/>
              <w:keepLines/>
              <w:tabs>
                <w:tab w:val="decimal" w:pos="721"/>
              </w:tabs>
              <w:spacing w:after="40" w:line="240" w:lineRule="auto"/>
              <w:rPr>
                <w:szCs w:val="24"/>
              </w:rPr>
            </w:pPr>
            <w:r w:rsidRPr="001569FB">
              <w:rPr>
                <w:szCs w:val="24"/>
              </w:rPr>
              <w:t>50%</w:t>
            </w:r>
          </w:p>
        </w:tc>
      </w:tr>
      <w:tr w:rsidR="000C17E7" w:rsidRPr="001569FB" w14:paraId="26F08EEC" w14:textId="77777777" w:rsidTr="00690557">
        <w:trPr>
          <w:cantSplit/>
          <w:jc w:val="center"/>
        </w:trPr>
        <w:tc>
          <w:tcPr>
            <w:tcW w:w="810" w:type="dxa"/>
            <w:tcBorders>
              <w:top w:val="nil"/>
              <w:bottom w:val="nil"/>
            </w:tcBorders>
            <w:noWrap/>
            <w:vAlign w:val="bottom"/>
          </w:tcPr>
          <w:p w14:paraId="776F6A30" w14:textId="77777777" w:rsidR="000C17E7" w:rsidRPr="001569FB" w:rsidRDefault="000C17E7" w:rsidP="00781215">
            <w:pPr>
              <w:keepNext/>
              <w:keepLines/>
              <w:spacing w:after="40" w:line="240" w:lineRule="auto"/>
              <w:rPr>
                <w:szCs w:val="24"/>
              </w:rPr>
            </w:pPr>
            <w:r w:rsidRPr="001569FB">
              <w:rPr>
                <w:szCs w:val="24"/>
              </w:rPr>
              <w:t>2012</w:t>
            </w:r>
          </w:p>
        </w:tc>
        <w:tc>
          <w:tcPr>
            <w:tcW w:w="2700" w:type="dxa"/>
            <w:tcBorders>
              <w:top w:val="nil"/>
              <w:bottom w:val="nil"/>
            </w:tcBorders>
            <w:noWrap/>
            <w:vAlign w:val="bottom"/>
          </w:tcPr>
          <w:p w14:paraId="08499EAA" w14:textId="77777777" w:rsidR="000C17E7" w:rsidRPr="001569FB" w:rsidRDefault="000C17E7" w:rsidP="00326CD5">
            <w:pPr>
              <w:keepNext/>
              <w:keepLines/>
              <w:tabs>
                <w:tab w:val="decimal" w:pos="1021"/>
              </w:tabs>
              <w:spacing w:after="40" w:line="240" w:lineRule="auto"/>
              <w:rPr>
                <w:szCs w:val="24"/>
              </w:rPr>
            </w:pPr>
            <w:r w:rsidRPr="001569FB">
              <w:rPr>
                <w:szCs w:val="24"/>
              </w:rPr>
              <w:t>50%</w:t>
            </w:r>
          </w:p>
        </w:tc>
        <w:tc>
          <w:tcPr>
            <w:tcW w:w="1530" w:type="dxa"/>
            <w:tcBorders>
              <w:top w:val="nil"/>
              <w:bottom w:val="nil"/>
            </w:tcBorders>
            <w:noWrap/>
            <w:vAlign w:val="bottom"/>
          </w:tcPr>
          <w:p w14:paraId="0B58908A"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top w:val="nil"/>
              <w:bottom w:val="nil"/>
            </w:tcBorders>
            <w:noWrap/>
            <w:vAlign w:val="bottom"/>
          </w:tcPr>
          <w:p w14:paraId="5FADBB1F"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7B5DDFD" w14:textId="77777777" w:rsidTr="00690557">
        <w:trPr>
          <w:cantSplit/>
          <w:jc w:val="center"/>
        </w:trPr>
        <w:tc>
          <w:tcPr>
            <w:tcW w:w="810" w:type="dxa"/>
            <w:tcBorders>
              <w:top w:val="nil"/>
              <w:bottom w:val="nil"/>
            </w:tcBorders>
            <w:noWrap/>
            <w:vAlign w:val="bottom"/>
          </w:tcPr>
          <w:p w14:paraId="75A7B478" w14:textId="77777777" w:rsidR="000C17E7" w:rsidRPr="001569FB" w:rsidRDefault="000C17E7" w:rsidP="00781215">
            <w:pPr>
              <w:keepNext/>
              <w:keepLines/>
              <w:spacing w:after="40" w:line="240" w:lineRule="auto"/>
              <w:rPr>
                <w:szCs w:val="24"/>
              </w:rPr>
            </w:pPr>
            <w:r w:rsidRPr="001569FB">
              <w:rPr>
                <w:szCs w:val="24"/>
              </w:rPr>
              <w:t>2013</w:t>
            </w:r>
          </w:p>
        </w:tc>
        <w:tc>
          <w:tcPr>
            <w:tcW w:w="2700" w:type="dxa"/>
            <w:tcBorders>
              <w:top w:val="nil"/>
              <w:bottom w:val="nil"/>
            </w:tcBorders>
            <w:noWrap/>
            <w:vAlign w:val="bottom"/>
          </w:tcPr>
          <w:p w14:paraId="3DC35D66"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0AE2EB00"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3E5E036A"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601D171D" w14:textId="77777777" w:rsidTr="00690557">
        <w:trPr>
          <w:cantSplit/>
          <w:jc w:val="center"/>
        </w:trPr>
        <w:tc>
          <w:tcPr>
            <w:tcW w:w="810" w:type="dxa"/>
            <w:tcBorders>
              <w:top w:val="nil"/>
              <w:bottom w:val="nil"/>
            </w:tcBorders>
            <w:noWrap/>
            <w:vAlign w:val="bottom"/>
          </w:tcPr>
          <w:p w14:paraId="5711FCA3" w14:textId="77777777" w:rsidR="000C17E7" w:rsidRPr="001569FB" w:rsidRDefault="000C17E7" w:rsidP="00781215">
            <w:pPr>
              <w:keepNext/>
              <w:keepLines/>
              <w:spacing w:after="40" w:line="240" w:lineRule="auto"/>
              <w:rPr>
                <w:szCs w:val="24"/>
              </w:rPr>
            </w:pPr>
            <w:r w:rsidRPr="001569FB">
              <w:rPr>
                <w:szCs w:val="24"/>
              </w:rPr>
              <w:t>2014</w:t>
            </w:r>
          </w:p>
        </w:tc>
        <w:tc>
          <w:tcPr>
            <w:tcW w:w="2700" w:type="dxa"/>
            <w:tcBorders>
              <w:top w:val="nil"/>
              <w:bottom w:val="nil"/>
            </w:tcBorders>
            <w:noWrap/>
            <w:vAlign w:val="bottom"/>
          </w:tcPr>
          <w:p w14:paraId="6815EF3A"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2C876122"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60A61FC1"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2827D437" w14:textId="77777777" w:rsidTr="00690557">
        <w:trPr>
          <w:cantSplit/>
          <w:jc w:val="center"/>
        </w:trPr>
        <w:tc>
          <w:tcPr>
            <w:tcW w:w="810" w:type="dxa"/>
            <w:tcBorders>
              <w:top w:val="nil"/>
              <w:bottom w:val="nil"/>
            </w:tcBorders>
            <w:noWrap/>
            <w:vAlign w:val="bottom"/>
          </w:tcPr>
          <w:p w14:paraId="570C91DE" w14:textId="77777777" w:rsidR="000C17E7" w:rsidRPr="001569FB" w:rsidRDefault="000C17E7" w:rsidP="00781215">
            <w:pPr>
              <w:keepNext/>
              <w:keepLines/>
              <w:spacing w:after="40" w:line="240" w:lineRule="auto"/>
              <w:rPr>
                <w:szCs w:val="24"/>
              </w:rPr>
            </w:pPr>
            <w:r w:rsidRPr="001569FB">
              <w:rPr>
                <w:szCs w:val="24"/>
              </w:rPr>
              <w:t>2015</w:t>
            </w:r>
          </w:p>
        </w:tc>
        <w:tc>
          <w:tcPr>
            <w:tcW w:w="2700" w:type="dxa"/>
            <w:tcBorders>
              <w:top w:val="nil"/>
              <w:bottom w:val="nil"/>
            </w:tcBorders>
            <w:noWrap/>
            <w:vAlign w:val="bottom"/>
          </w:tcPr>
          <w:p w14:paraId="1844E5CA"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26303EB1"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23E1CAA5"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05D44914" w14:textId="77777777" w:rsidTr="00690557">
        <w:trPr>
          <w:cantSplit/>
          <w:jc w:val="center"/>
        </w:trPr>
        <w:tc>
          <w:tcPr>
            <w:tcW w:w="810" w:type="dxa"/>
            <w:tcBorders>
              <w:top w:val="nil"/>
              <w:bottom w:val="nil"/>
            </w:tcBorders>
            <w:noWrap/>
            <w:vAlign w:val="bottom"/>
          </w:tcPr>
          <w:p w14:paraId="1B050545" w14:textId="77777777" w:rsidR="000C17E7" w:rsidRPr="001569FB" w:rsidRDefault="000C17E7" w:rsidP="00781215">
            <w:pPr>
              <w:keepNext/>
              <w:keepLines/>
              <w:spacing w:after="40" w:line="240" w:lineRule="auto"/>
              <w:rPr>
                <w:szCs w:val="24"/>
              </w:rPr>
            </w:pPr>
            <w:r w:rsidRPr="001569FB">
              <w:rPr>
                <w:szCs w:val="24"/>
              </w:rPr>
              <w:t>2016</w:t>
            </w:r>
          </w:p>
        </w:tc>
        <w:tc>
          <w:tcPr>
            <w:tcW w:w="2700" w:type="dxa"/>
            <w:tcBorders>
              <w:top w:val="nil"/>
              <w:bottom w:val="nil"/>
            </w:tcBorders>
            <w:noWrap/>
            <w:vAlign w:val="bottom"/>
          </w:tcPr>
          <w:p w14:paraId="2AA7DFE4"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0544EDAC"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405E89AB"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10382F45" w14:textId="77777777" w:rsidTr="00690557">
        <w:trPr>
          <w:cantSplit/>
          <w:jc w:val="center"/>
        </w:trPr>
        <w:tc>
          <w:tcPr>
            <w:tcW w:w="810" w:type="dxa"/>
            <w:tcBorders>
              <w:top w:val="nil"/>
              <w:bottom w:val="nil"/>
            </w:tcBorders>
            <w:noWrap/>
            <w:vAlign w:val="bottom"/>
          </w:tcPr>
          <w:p w14:paraId="3C044395" w14:textId="77777777" w:rsidR="000C17E7" w:rsidRPr="001569FB" w:rsidRDefault="000C17E7" w:rsidP="00781215">
            <w:pPr>
              <w:keepNext/>
              <w:keepLines/>
              <w:spacing w:after="40" w:line="240" w:lineRule="auto"/>
              <w:rPr>
                <w:szCs w:val="24"/>
              </w:rPr>
            </w:pPr>
            <w:r w:rsidRPr="001569FB">
              <w:rPr>
                <w:szCs w:val="24"/>
              </w:rPr>
              <w:t>2017</w:t>
            </w:r>
          </w:p>
        </w:tc>
        <w:tc>
          <w:tcPr>
            <w:tcW w:w="2700" w:type="dxa"/>
            <w:tcBorders>
              <w:top w:val="nil"/>
              <w:bottom w:val="nil"/>
            </w:tcBorders>
            <w:noWrap/>
            <w:vAlign w:val="bottom"/>
          </w:tcPr>
          <w:p w14:paraId="0AA17144" w14:textId="77777777" w:rsidR="000C17E7" w:rsidRPr="001569FB" w:rsidRDefault="000C17E7" w:rsidP="00326CD5">
            <w:pPr>
              <w:keepNext/>
              <w:keepLines/>
              <w:tabs>
                <w:tab w:val="decimal" w:pos="1021"/>
              </w:tabs>
              <w:spacing w:after="40" w:line="240" w:lineRule="auto"/>
              <w:rPr>
                <w:szCs w:val="24"/>
              </w:rPr>
            </w:pPr>
            <w:r w:rsidRPr="001569FB">
              <w:rPr>
                <w:szCs w:val="24"/>
              </w:rPr>
              <w:t>40%</w:t>
            </w:r>
          </w:p>
        </w:tc>
        <w:tc>
          <w:tcPr>
            <w:tcW w:w="1530" w:type="dxa"/>
            <w:tcBorders>
              <w:top w:val="nil"/>
              <w:bottom w:val="nil"/>
            </w:tcBorders>
            <w:noWrap/>
            <w:vAlign w:val="bottom"/>
          </w:tcPr>
          <w:p w14:paraId="6E82F1C7" w14:textId="77777777" w:rsidR="000C17E7" w:rsidRPr="001569FB" w:rsidRDefault="000C17E7" w:rsidP="00326CD5">
            <w:pPr>
              <w:keepNext/>
              <w:keepLines/>
              <w:tabs>
                <w:tab w:val="decimal" w:pos="721"/>
              </w:tabs>
              <w:spacing w:after="40" w:line="240" w:lineRule="auto"/>
              <w:rPr>
                <w:szCs w:val="24"/>
              </w:rPr>
            </w:pPr>
            <w:r w:rsidRPr="001569FB">
              <w:rPr>
                <w:szCs w:val="24"/>
              </w:rPr>
              <w:t>10%</w:t>
            </w:r>
          </w:p>
        </w:tc>
        <w:tc>
          <w:tcPr>
            <w:tcW w:w="1620" w:type="dxa"/>
            <w:tcBorders>
              <w:top w:val="nil"/>
              <w:bottom w:val="nil"/>
            </w:tcBorders>
            <w:noWrap/>
            <w:vAlign w:val="bottom"/>
          </w:tcPr>
          <w:p w14:paraId="30824259"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1651561" w14:textId="77777777" w:rsidTr="00690557">
        <w:trPr>
          <w:cantSplit/>
          <w:jc w:val="center"/>
        </w:trPr>
        <w:tc>
          <w:tcPr>
            <w:tcW w:w="810" w:type="dxa"/>
            <w:tcBorders>
              <w:top w:val="nil"/>
              <w:bottom w:val="nil"/>
            </w:tcBorders>
            <w:noWrap/>
            <w:vAlign w:val="bottom"/>
          </w:tcPr>
          <w:p w14:paraId="567A22DC" w14:textId="77777777" w:rsidR="000C17E7" w:rsidRPr="001569FB" w:rsidRDefault="000C17E7" w:rsidP="00781215">
            <w:pPr>
              <w:keepNext/>
              <w:keepLines/>
              <w:spacing w:after="40" w:line="240" w:lineRule="auto"/>
              <w:rPr>
                <w:szCs w:val="24"/>
              </w:rPr>
            </w:pPr>
            <w:r w:rsidRPr="001569FB">
              <w:rPr>
                <w:szCs w:val="24"/>
              </w:rPr>
              <w:t>2018</w:t>
            </w:r>
          </w:p>
        </w:tc>
        <w:tc>
          <w:tcPr>
            <w:tcW w:w="2700" w:type="dxa"/>
            <w:tcBorders>
              <w:top w:val="nil"/>
              <w:bottom w:val="nil"/>
            </w:tcBorders>
            <w:noWrap/>
            <w:vAlign w:val="bottom"/>
          </w:tcPr>
          <w:p w14:paraId="269845FD" w14:textId="77777777" w:rsidR="000C17E7" w:rsidRPr="001569FB" w:rsidRDefault="000C17E7" w:rsidP="00326CD5">
            <w:pPr>
              <w:keepNext/>
              <w:keepLines/>
              <w:tabs>
                <w:tab w:val="decimal" w:pos="1021"/>
              </w:tabs>
              <w:spacing w:after="40" w:line="240" w:lineRule="auto"/>
              <w:rPr>
                <w:szCs w:val="24"/>
              </w:rPr>
            </w:pPr>
            <w:r w:rsidRPr="001569FB">
              <w:rPr>
                <w:szCs w:val="24"/>
              </w:rPr>
              <w:t>35%</w:t>
            </w:r>
          </w:p>
        </w:tc>
        <w:tc>
          <w:tcPr>
            <w:tcW w:w="1530" w:type="dxa"/>
            <w:tcBorders>
              <w:top w:val="nil"/>
              <w:bottom w:val="nil"/>
            </w:tcBorders>
            <w:noWrap/>
            <w:vAlign w:val="bottom"/>
          </w:tcPr>
          <w:p w14:paraId="3AC1BC40" w14:textId="77777777" w:rsidR="000C17E7" w:rsidRPr="001569FB" w:rsidRDefault="000C17E7" w:rsidP="00326CD5">
            <w:pPr>
              <w:keepNext/>
              <w:keepLines/>
              <w:tabs>
                <w:tab w:val="decimal" w:pos="721"/>
              </w:tabs>
              <w:spacing w:after="40" w:line="240" w:lineRule="auto"/>
              <w:rPr>
                <w:szCs w:val="24"/>
              </w:rPr>
            </w:pPr>
            <w:r w:rsidRPr="001569FB">
              <w:rPr>
                <w:szCs w:val="24"/>
              </w:rPr>
              <w:t>15%</w:t>
            </w:r>
          </w:p>
        </w:tc>
        <w:tc>
          <w:tcPr>
            <w:tcW w:w="1620" w:type="dxa"/>
            <w:tcBorders>
              <w:top w:val="nil"/>
              <w:bottom w:val="nil"/>
            </w:tcBorders>
            <w:noWrap/>
            <w:vAlign w:val="bottom"/>
          </w:tcPr>
          <w:p w14:paraId="355FA5B6"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B77FF74" w14:textId="77777777" w:rsidTr="00690557">
        <w:trPr>
          <w:cantSplit/>
          <w:jc w:val="center"/>
        </w:trPr>
        <w:tc>
          <w:tcPr>
            <w:tcW w:w="810" w:type="dxa"/>
            <w:tcBorders>
              <w:top w:val="nil"/>
              <w:bottom w:val="nil"/>
            </w:tcBorders>
            <w:noWrap/>
            <w:vAlign w:val="bottom"/>
          </w:tcPr>
          <w:p w14:paraId="0DF1F10D" w14:textId="77777777" w:rsidR="000C17E7" w:rsidRPr="001569FB" w:rsidRDefault="000C17E7" w:rsidP="00781215">
            <w:pPr>
              <w:keepNext/>
              <w:keepLines/>
              <w:spacing w:after="40" w:line="240" w:lineRule="auto"/>
              <w:rPr>
                <w:szCs w:val="24"/>
              </w:rPr>
            </w:pPr>
            <w:r w:rsidRPr="001569FB">
              <w:rPr>
                <w:szCs w:val="24"/>
              </w:rPr>
              <w:t>2019</w:t>
            </w:r>
          </w:p>
        </w:tc>
        <w:tc>
          <w:tcPr>
            <w:tcW w:w="2700" w:type="dxa"/>
            <w:tcBorders>
              <w:top w:val="nil"/>
              <w:bottom w:val="nil"/>
            </w:tcBorders>
            <w:noWrap/>
            <w:vAlign w:val="bottom"/>
          </w:tcPr>
          <w:p w14:paraId="15B925CA" w14:textId="77777777" w:rsidR="000C17E7" w:rsidRPr="001569FB" w:rsidRDefault="000C17E7" w:rsidP="00326CD5">
            <w:pPr>
              <w:keepNext/>
              <w:keepLines/>
              <w:tabs>
                <w:tab w:val="decimal" w:pos="1021"/>
              </w:tabs>
              <w:spacing w:after="40" w:line="240" w:lineRule="auto"/>
              <w:rPr>
                <w:szCs w:val="24"/>
              </w:rPr>
            </w:pPr>
            <w:r w:rsidRPr="001569FB">
              <w:rPr>
                <w:szCs w:val="24"/>
              </w:rPr>
              <w:t>30%</w:t>
            </w:r>
          </w:p>
        </w:tc>
        <w:tc>
          <w:tcPr>
            <w:tcW w:w="1530" w:type="dxa"/>
            <w:tcBorders>
              <w:top w:val="nil"/>
              <w:bottom w:val="nil"/>
            </w:tcBorders>
            <w:noWrap/>
            <w:vAlign w:val="bottom"/>
          </w:tcPr>
          <w:p w14:paraId="7AEB7458" w14:textId="77777777" w:rsidR="000C17E7" w:rsidRPr="001569FB" w:rsidRDefault="000C17E7" w:rsidP="00326CD5">
            <w:pPr>
              <w:keepNext/>
              <w:keepLines/>
              <w:tabs>
                <w:tab w:val="decimal" w:pos="721"/>
              </w:tabs>
              <w:spacing w:after="40" w:line="240" w:lineRule="auto"/>
              <w:rPr>
                <w:szCs w:val="24"/>
              </w:rPr>
            </w:pPr>
            <w:r w:rsidRPr="001569FB">
              <w:rPr>
                <w:szCs w:val="24"/>
              </w:rPr>
              <w:t>20%</w:t>
            </w:r>
          </w:p>
        </w:tc>
        <w:tc>
          <w:tcPr>
            <w:tcW w:w="1620" w:type="dxa"/>
            <w:tcBorders>
              <w:top w:val="nil"/>
              <w:bottom w:val="nil"/>
            </w:tcBorders>
            <w:noWrap/>
            <w:vAlign w:val="bottom"/>
          </w:tcPr>
          <w:p w14:paraId="35DB5C7D"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5C49D793" w14:textId="77777777" w:rsidTr="00690557">
        <w:trPr>
          <w:cantSplit/>
          <w:jc w:val="center"/>
        </w:trPr>
        <w:tc>
          <w:tcPr>
            <w:tcW w:w="810" w:type="dxa"/>
            <w:tcBorders>
              <w:top w:val="nil"/>
            </w:tcBorders>
            <w:noWrap/>
            <w:vAlign w:val="bottom"/>
          </w:tcPr>
          <w:p w14:paraId="058FC908" w14:textId="77777777" w:rsidR="000C17E7" w:rsidRPr="001569FB" w:rsidRDefault="000C17E7" w:rsidP="00781215">
            <w:pPr>
              <w:keepLines/>
              <w:spacing w:after="40" w:line="240" w:lineRule="auto"/>
              <w:rPr>
                <w:szCs w:val="24"/>
              </w:rPr>
            </w:pPr>
            <w:r w:rsidRPr="001569FB">
              <w:rPr>
                <w:szCs w:val="24"/>
              </w:rPr>
              <w:t>2020</w:t>
            </w:r>
          </w:p>
        </w:tc>
        <w:tc>
          <w:tcPr>
            <w:tcW w:w="2700" w:type="dxa"/>
            <w:tcBorders>
              <w:top w:val="nil"/>
            </w:tcBorders>
            <w:noWrap/>
            <w:vAlign w:val="bottom"/>
          </w:tcPr>
          <w:p w14:paraId="781FDABF" w14:textId="77777777" w:rsidR="000C17E7" w:rsidRPr="001569FB" w:rsidRDefault="000C17E7" w:rsidP="00326CD5">
            <w:pPr>
              <w:keepLines/>
              <w:tabs>
                <w:tab w:val="decimal" w:pos="1021"/>
              </w:tabs>
              <w:spacing w:after="40" w:line="240" w:lineRule="auto"/>
              <w:rPr>
                <w:szCs w:val="24"/>
              </w:rPr>
            </w:pPr>
            <w:r w:rsidRPr="001569FB">
              <w:rPr>
                <w:szCs w:val="24"/>
              </w:rPr>
              <w:t>25%</w:t>
            </w:r>
          </w:p>
        </w:tc>
        <w:tc>
          <w:tcPr>
            <w:tcW w:w="1530" w:type="dxa"/>
            <w:tcBorders>
              <w:top w:val="nil"/>
            </w:tcBorders>
            <w:noWrap/>
            <w:vAlign w:val="bottom"/>
          </w:tcPr>
          <w:p w14:paraId="7917BCFB" w14:textId="77777777" w:rsidR="000C17E7" w:rsidRPr="001569FB" w:rsidRDefault="003F18BF" w:rsidP="00326CD5">
            <w:pPr>
              <w:keepLines/>
              <w:tabs>
                <w:tab w:val="decimal" w:pos="721"/>
              </w:tabs>
              <w:spacing w:after="40" w:line="240" w:lineRule="auto"/>
              <w:rPr>
                <w:szCs w:val="24"/>
              </w:rPr>
            </w:pPr>
            <w:r w:rsidRPr="001569FB">
              <w:rPr>
                <w:szCs w:val="24"/>
              </w:rPr>
              <w:t>25%</w:t>
            </w:r>
          </w:p>
        </w:tc>
        <w:tc>
          <w:tcPr>
            <w:tcW w:w="1620" w:type="dxa"/>
            <w:tcBorders>
              <w:top w:val="nil"/>
            </w:tcBorders>
            <w:noWrap/>
            <w:vAlign w:val="bottom"/>
          </w:tcPr>
          <w:p w14:paraId="1EB9E318" w14:textId="77777777" w:rsidR="000C17E7" w:rsidRPr="001569FB" w:rsidRDefault="000C17E7" w:rsidP="00326CD5">
            <w:pPr>
              <w:keepLines/>
              <w:tabs>
                <w:tab w:val="decimal" w:pos="721"/>
              </w:tabs>
              <w:spacing w:after="40" w:line="240" w:lineRule="auto"/>
              <w:rPr>
                <w:szCs w:val="24"/>
              </w:rPr>
            </w:pPr>
            <w:r w:rsidRPr="001569FB">
              <w:rPr>
                <w:szCs w:val="24"/>
              </w:rPr>
              <w:t>50%</w:t>
            </w:r>
          </w:p>
        </w:tc>
      </w:tr>
    </w:tbl>
    <w:p w14:paraId="17E003A9" w14:textId="23E0D1B7" w:rsidR="000C17E7" w:rsidRPr="001569FB" w:rsidRDefault="000C17E7" w:rsidP="00326CD5">
      <w:pPr>
        <w:pStyle w:val="TableTitle0"/>
        <w:rPr>
          <w:szCs w:val="24"/>
        </w:rPr>
      </w:pPr>
      <w:r w:rsidRPr="001569FB">
        <w:rPr>
          <w:szCs w:val="24"/>
        </w:rPr>
        <w:t xml:space="preserve">Table </w:t>
      </w:r>
      <w:r w:rsidR="00E74FEB" w:rsidRPr="001569FB">
        <w:rPr>
          <w:szCs w:val="24"/>
        </w:rPr>
        <w:t>III-3</w:t>
      </w:r>
      <w:r w:rsidRPr="001569FB">
        <w:rPr>
          <w:szCs w:val="24"/>
        </w:rPr>
        <w:t>.  Cost</w:t>
      </w:r>
      <w:r w:rsidR="0092360B" w:rsidRPr="001569FB">
        <w:rPr>
          <w:szCs w:val="24"/>
        </w:rPr>
        <w:t>-</w:t>
      </w:r>
      <w:r w:rsidRPr="001569FB">
        <w:rPr>
          <w:szCs w:val="24"/>
        </w:rPr>
        <w:t>Sharing for Non-Applicable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96"/>
        <w:gridCol w:w="1413"/>
        <w:gridCol w:w="1440"/>
      </w:tblGrid>
      <w:tr w:rsidR="000C17E7" w:rsidRPr="001569FB" w14:paraId="43A178EC" w14:textId="77777777" w:rsidTr="00326CD5">
        <w:trPr>
          <w:cantSplit/>
          <w:trHeight w:hRule="exact" w:val="1180"/>
          <w:tblHeader/>
          <w:jc w:val="center"/>
        </w:trPr>
        <w:tc>
          <w:tcPr>
            <w:tcW w:w="596" w:type="dxa"/>
            <w:tcBorders>
              <w:bottom w:val="single" w:sz="4" w:space="0" w:color="auto"/>
            </w:tcBorders>
            <w:shd w:val="clear" w:color="auto" w:fill="DDD9C3" w:themeFill="background2" w:themeFillShade="E6"/>
            <w:noWrap/>
          </w:tcPr>
          <w:p w14:paraId="07F93B65" w14:textId="77777777" w:rsidR="000C17E7" w:rsidRPr="001569FB" w:rsidRDefault="000C17E7" w:rsidP="00326CD5">
            <w:pPr>
              <w:keepNext/>
              <w:keepLines/>
              <w:spacing w:line="240" w:lineRule="auto"/>
              <w:rPr>
                <w:szCs w:val="24"/>
              </w:rPr>
            </w:pPr>
          </w:p>
        </w:tc>
        <w:tc>
          <w:tcPr>
            <w:tcW w:w="1413" w:type="dxa"/>
            <w:tcBorders>
              <w:bottom w:val="single" w:sz="4" w:space="0" w:color="auto"/>
            </w:tcBorders>
            <w:shd w:val="clear" w:color="auto" w:fill="DDD9C3" w:themeFill="background2" w:themeFillShade="E6"/>
            <w:vAlign w:val="center"/>
          </w:tcPr>
          <w:p w14:paraId="7F6852BA" w14:textId="77777777" w:rsidR="000C17E7" w:rsidRPr="001569FB" w:rsidRDefault="000C17E7" w:rsidP="00326CD5">
            <w:pPr>
              <w:keepNext/>
              <w:keepLines/>
              <w:spacing w:line="240" w:lineRule="auto"/>
              <w:jc w:val="center"/>
              <w:rPr>
                <w:b/>
                <w:szCs w:val="24"/>
              </w:rPr>
            </w:pPr>
            <w:r w:rsidRPr="001569FB">
              <w:rPr>
                <w:b/>
                <w:szCs w:val="24"/>
              </w:rPr>
              <w:t>Beneficiary Coinsurance</w:t>
            </w:r>
          </w:p>
        </w:tc>
        <w:tc>
          <w:tcPr>
            <w:tcW w:w="1440" w:type="dxa"/>
            <w:tcBorders>
              <w:bottom w:val="single" w:sz="4" w:space="0" w:color="auto"/>
            </w:tcBorders>
            <w:shd w:val="clear" w:color="auto" w:fill="DDD9C3" w:themeFill="background2" w:themeFillShade="E6"/>
            <w:vAlign w:val="center"/>
          </w:tcPr>
          <w:p w14:paraId="603A9CE2" w14:textId="77777777" w:rsidR="000C17E7" w:rsidRPr="001569FB" w:rsidRDefault="000C17E7" w:rsidP="00326CD5">
            <w:pPr>
              <w:keepNext/>
              <w:keepLines/>
              <w:spacing w:line="240" w:lineRule="auto"/>
              <w:jc w:val="center"/>
              <w:rPr>
                <w:b/>
                <w:szCs w:val="24"/>
              </w:rPr>
            </w:pPr>
            <w:r w:rsidRPr="001569FB">
              <w:rPr>
                <w:b/>
                <w:szCs w:val="24"/>
              </w:rPr>
              <w:t>Plan Liability</w:t>
            </w:r>
          </w:p>
        </w:tc>
      </w:tr>
      <w:tr w:rsidR="000C17E7" w:rsidRPr="001569FB" w14:paraId="14D86CC6" w14:textId="77777777" w:rsidTr="00326CD5">
        <w:trPr>
          <w:cantSplit/>
          <w:trHeight w:hRule="exact" w:val="352"/>
          <w:jc w:val="center"/>
        </w:trPr>
        <w:tc>
          <w:tcPr>
            <w:tcW w:w="596" w:type="dxa"/>
            <w:tcBorders>
              <w:bottom w:val="nil"/>
            </w:tcBorders>
            <w:noWrap/>
          </w:tcPr>
          <w:p w14:paraId="24A8C203" w14:textId="77777777" w:rsidR="000C17E7" w:rsidRPr="001569FB" w:rsidRDefault="000C17E7" w:rsidP="00326CD5">
            <w:pPr>
              <w:keepNext/>
              <w:keepLines/>
              <w:spacing w:line="240" w:lineRule="auto"/>
              <w:rPr>
                <w:szCs w:val="24"/>
              </w:rPr>
            </w:pPr>
            <w:r w:rsidRPr="001569FB">
              <w:rPr>
                <w:szCs w:val="24"/>
              </w:rPr>
              <w:t>2010</w:t>
            </w:r>
          </w:p>
        </w:tc>
        <w:tc>
          <w:tcPr>
            <w:tcW w:w="1413" w:type="dxa"/>
            <w:tcBorders>
              <w:bottom w:val="nil"/>
            </w:tcBorders>
            <w:noWrap/>
            <w:vAlign w:val="center"/>
          </w:tcPr>
          <w:p w14:paraId="7927C37B" w14:textId="77777777" w:rsidR="000C17E7" w:rsidRPr="001569FB" w:rsidRDefault="000C17E7" w:rsidP="00326CD5">
            <w:pPr>
              <w:keepNext/>
              <w:keepLines/>
              <w:ind w:right="336"/>
              <w:jc w:val="right"/>
              <w:rPr>
                <w:szCs w:val="24"/>
              </w:rPr>
            </w:pPr>
            <w:r w:rsidRPr="001569FB">
              <w:rPr>
                <w:szCs w:val="24"/>
              </w:rPr>
              <w:t>100%</w:t>
            </w:r>
          </w:p>
        </w:tc>
        <w:tc>
          <w:tcPr>
            <w:tcW w:w="1440" w:type="dxa"/>
            <w:tcBorders>
              <w:bottom w:val="nil"/>
            </w:tcBorders>
            <w:noWrap/>
            <w:vAlign w:val="center"/>
          </w:tcPr>
          <w:p w14:paraId="05833016" w14:textId="77777777" w:rsidR="000C17E7" w:rsidRPr="001569FB" w:rsidRDefault="000C17E7" w:rsidP="00326CD5">
            <w:pPr>
              <w:keepNext/>
              <w:keepLines/>
              <w:spacing w:line="240" w:lineRule="auto"/>
              <w:ind w:right="336"/>
              <w:jc w:val="right"/>
              <w:rPr>
                <w:szCs w:val="24"/>
              </w:rPr>
            </w:pPr>
            <w:r w:rsidRPr="001569FB">
              <w:rPr>
                <w:szCs w:val="24"/>
              </w:rPr>
              <w:t>0%</w:t>
            </w:r>
          </w:p>
        </w:tc>
      </w:tr>
      <w:tr w:rsidR="00326CD5" w:rsidRPr="001569FB" w14:paraId="36424E62" w14:textId="77777777" w:rsidTr="00326CD5">
        <w:trPr>
          <w:cantSplit/>
          <w:trHeight w:hRule="exact" w:val="352"/>
          <w:jc w:val="center"/>
        </w:trPr>
        <w:tc>
          <w:tcPr>
            <w:tcW w:w="596" w:type="dxa"/>
            <w:tcBorders>
              <w:bottom w:val="nil"/>
            </w:tcBorders>
            <w:noWrap/>
          </w:tcPr>
          <w:p w14:paraId="4DD1A4EC" w14:textId="77777777" w:rsidR="00326CD5" w:rsidRPr="001569FB" w:rsidRDefault="00326CD5" w:rsidP="00326CD5">
            <w:pPr>
              <w:keepNext/>
              <w:keepLines/>
              <w:spacing w:line="240" w:lineRule="auto"/>
              <w:rPr>
                <w:szCs w:val="24"/>
              </w:rPr>
            </w:pPr>
            <w:r w:rsidRPr="001569FB">
              <w:rPr>
                <w:szCs w:val="24"/>
              </w:rPr>
              <w:t>2011</w:t>
            </w:r>
          </w:p>
        </w:tc>
        <w:tc>
          <w:tcPr>
            <w:tcW w:w="1413" w:type="dxa"/>
            <w:tcBorders>
              <w:bottom w:val="nil"/>
            </w:tcBorders>
            <w:noWrap/>
            <w:vAlign w:val="center"/>
          </w:tcPr>
          <w:p w14:paraId="7EB0C606" w14:textId="77777777" w:rsidR="00326CD5" w:rsidRPr="001569FB" w:rsidRDefault="00326CD5" w:rsidP="00326CD5">
            <w:pPr>
              <w:keepNext/>
              <w:keepLines/>
              <w:ind w:right="336"/>
              <w:jc w:val="right"/>
              <w:rPr>
                <w:szCs w:val="24"/>
              </w:rPr>
            </w:pPr>
            <w:r w:rsidRPr="001569FB">
              <w:rPr>
                <w:szCs w:val="24"/>
              </w:rPr>
              <w:t>93%</w:t>
            </w:r>
          </w:p>
        </w:tc>
        <w:tc>
          <w:tcPr>
            <w:tcW w:w="1440" w:type="dxa"/>
            <w:tcBorders>
              <w:bottom w:val="nil"/>
            </w:tcBorders>
            <w:noWrap/>
            <w:vAlign w:val="center"/>
          </w:tcPr>
          <w:p w14:paraId="5EA9E1A5" w14:textId="77777777" w:rsidR="00326CD5" w:rsidRPr="001569FB" w:rsidRDefault="00326CD5" w:rsidP="00326CD5">
            <w:pPr>
              <w:keepNext/>
              <w:keepLines/>
              <w:spacing w:line="240" w:lineRule="auto"/>
              <w:ind w:right="336"/>
              <w:jc w:val="right"/>
              <w:rPr>
                <w:szCs w:val="24"/>
              </w:rPr>
            </w:pPr>
            <w:r w:rsidRPr="001569FB">
              <w:rPr>
                <w:szCs w:val="24"/>
              </w:rPr>
              <w:t>7%</w:t>
            </w:r>
          </w:p>
        </w:tc>
      </w:tr>
      <w:tr w:rsidR="000C17E7" w:rsidRPr="001569FB" w14:paraId="03DDCE2D" w14:textId="77777777" w:rsidTr="00326CD5">
        <w:trPr>
          <w:cantSplit/>
          <w:jc w:val="center"/>
        </w:trPr>
        <w:tc>
          <w:tcPr>
            <w:tcW w:w="596" w:type="dxa"/>
            <w:tcBorders>
              <w:top w:val="nil"/>
              <w:bottom w:val="nil"/>
            </w:tcBorders>
            <w:noWrap/>
            <w:vAlign w:val="center"/>
          </w:tcPr>
          <w:p w14:paraId="28C5DE78" w14:textId="77777777" w:rsidR="000C17E7" w:rsidRPr="001569FB" w:rsidRDefault="000C17E7" w:rsidP="00326CD5">
            <w:pPr>
              <w:keepNext/>
              <w:keepLines/>
              <w:spacing w:after="40" w:line="240" w:lineRule="auto"/>
              <w:rPr>
                <w:szCs w:val="24"/>
              </w:rPr>
            </w:pPr>
            <w:r w:rsidRPr="001569FB">
              <w:rPr>
                <w:szCs w:val="24"/>
              </w:rPr>
              <w:t>2012</w:t>
            </w:r>
          </w:p>
        </w:tc>
        <w:tc>
          <w:tcPr>
            <w:tcW w:w="1413" w:type="dxa"/>
            <w:tcBorders>
              <w:top w:val="nil"/>
              <w:bottom w:val="nil"/>
            </w:tcBorders>
            <w:noWrap/>
            <w:vAlign w:val="center"/>
          </w:tcPr>
          <w:p w14:paraId="49F46567" w14:textId="77777777" w:rsidR="000C17E7" w:rsidRPr="001569FB" w:rsidRDefault="000C17E7" w:rsidP="00326CD5">
            <w:pPr>
              <w:keepNext/>
              <w:keepLines/>
              <w:spacing w:after="40"/>
              <w:ind w:right="336"/>
              <w:jc w:val="right"/>
              <w:rPr>
                <w:szCs w:val="24"/>
              </w:rPr>
            </w:pPr>
            <w:r w:rsidRPr="001569FB">
              <w:rPr>
                <w:szCs w:val="24"/>
              </w:rPr>
              <w:t>86%</w:t>
            </w:r>
          </w:p>
        </w:tc>
        <w:tc>
          <w:tcPr>
            <w:tcW w:w="1440" w:type="dxa"/>
            <w:tcBorders>
              <w:top w:val="nil"/>
              <w:bottom w:val="nil"/>
            </w:tcBorders>
            <w:noWrap/>
            <w:vAlign w:val="center"/>
          </w:tcPr>
          <w:p w14:paraId="3FE30905" w14:textId="77777777" w:rsidR="000C17E7" w:rsidRPr="001569FB" w:rsidRDefault="000C17E7" w:rsidP="00326CD5">
            <w:pPr>
              <w:keepNext/>
              <w:keepLines/>
              <w:spacing w:after="40" w:line="240" w:lineRule="auto"/>
              <w:ind w:right="336"/>
              <w:jc w:val="right"/>
              <w:rPr>
                <w:szCs w:val="24"/>
              </w:rPr>
            </w:pPr>
            <w:r w:rsidRPr="001569FB">
              <w:rPr>
                <w:szCs w:val="24"/>
              </w:rPr>
              <w:t>14%</w:t>
            </w:r>
          </w:p>
        </w:tc>
      </w:tr>
      <w:tr w:rsidR="000C17E7" w:rsidRPr="001569FB" w14:paraId="43D6788C" w14:textId="77777777" w:rsidTr="00326CD5">
        <w:trPr>
          <w:cantSplit/>
          <w:jc w:val="center"/>
        </w:trPr>
        <w:tc>
          <w:tcPr>
            <w:tcW w:w="596" w:type="dxa"/>
            <w:tcBorders>
              <w:top w:val="nil"/>
              <w:bottom w:val="nil"/>
            </w:tcBorders>
            <w:noWrap/>
            <w:vAlign w:val="center"/>
          </w:tcPr>
          <w:p w14:paraId="6F3B4127" w14:textId="77777777" w:rsidR="000C17E7" w:rsidRPr="001569FB" w:rsidRDefault="000C17E7" w:rsidP="00326CD5">
            <w:pPr>
              <w:keepNext/>
              <w:keepLines/>
              <w:spacing w:after="40" w:line="240" w:lineRule="auto"/>
              <w:rPr>
                <w:szCs w:val="24"/>
              </w:rPr>
            </w:pPr>
            <w:r w:rsidRPr="001569FB">
              <w:rPr>
                <w:szCs w:val="24"/>
              </w:rPr>
              <w:t>2013</w:t>
            </w:r>
          </w:p>
        </w:tc>
        <w:tc>
          <w:tcPr>
            <w:tcW w:w="1413" w:type="dxa"/>
            <w:tcBorders>
              <w:top w:val="nil"/>
              <w:bottom w:val="nil"/>
            </w:tcBorders>
            <w:noWrap/>
            <w:vAlign w:val="center"/>
          </w:tcPr>
          <w:p w14:paraId="4F3F66D5" w14:textId="77777777" w:rsidR="000C17E7" w:rsidRPr="001569FB" w:rsidRDefault="000C17E7" w:rsidP="00326CD5">
            <w:pPr>
              <w:keepNext/>
              <w:keepLines/>
              <w:spacing w:after="40"/>
              <w:ind w:right="336"/>
              <w:jc w:val="right"/>
              <w:rPr>
                <w:szCs w:val="24"/>
              </w:rPr>
            </w:pPr>
            <w:r w:rsidRPr="001569FB">
              <w:rPr>
                <w:szCs w:val="24"/>
              </w:rPr>
              <w:t>79%</w:t>
            </w:r>
          </w:p>
        </w:tc>
        <w:tc>
          <w:tcPr>
            <w:tcW w:w="1440" w:type="dxa"/>
            <w:tcBorders>
              <w:top w:val="nil"/>
              <w:bottom w:val="nil"/>
            </w:tcBorders>
            <w:noWrap/>
            <w:vAlign w:val="center"/>
          </w:tcPr>
          <w:p w14:paraId="4E58E859" w14:textId="77777777" w:rsidR="000C17E7" w:rsidRPr="001569FB" w:rsidRDefault="000C17E7" w:rsidP="00326CD5">
            <w:pPr>
              <w:keepNext/>
              <w:keepLines/>
              <w:spacing w:after="40" w:line="240" w:lineRule="auto"/>
              <w:ind w:right="336"/>
              <w:jc w:val="right"/>
              <w:rPr>
                <w:szCs w:val="24"/>
              </w:rPr>
            </w:pPr>
            <w:r w:rsidRPr="001569FB">
              <w:rPr>
                <w:szCs w:val="24"/>
              </w:rPr>
              <w:t>21%</w:t>
            </w:r>
          </w:p>
        </w:tc>
      </w:tr>
      <w:tr w:rsidR="000C17E7" w:rsidRPr="001569FB" w14:paraId="296A5377" w14:textId="77777777" w:rsidTr="00326CD5">
        <w:trPr>
          <w:cantSplit/>
          <w:jc w:val="center"/>
        </w:trPr>
        <w:tc>
          <w:tcPr>
            <w:tcW w:w="596" w:type="dxa"/>
            <w:tcBorders>
              <w:top w:val="nil"/>
              <w:bottom w:val="nil"/>
            </w:tcBorders>
            <w:noWrap/>
            <w:vAlign w:val="center"/>
          </w:tcPr>
          <w:p w14:paraId="15DB6103" w14:textId="77777777" w:rsidR="000C17E7" w:rsidRPr="001569FB" w:rsidRDefault="000C17E7" w:rsidP="00326CD5">
            <w:pPr>
              <w:keepNext/>
              <w:keepLines/>
              <w:spacing w:after="40" w:line="240" w:lineRule="auto"/>
              <w:rPr>
                <w:szCs w:val="24"/>
              </w:rPr>
            </w:pPr>
            <w:r w:rsidRPr="001569FB">
              <w:rPr>
                <w:szCs w:val="24"/>
              </w:rPr>
              <w:t>2014</w:t>
            </w:r>
          </w:p>
        </w:tc>
        <w:tc>
          <w:tcPr>
            <w:tcW w:w="1413" w:type="dxa"/>
            <w:tcBorders>
              <w:top w:val="nil"/>
              <w:bottom w:val="nil"/>
            </w:tcBorders>
            <w:noWrap/>
            <w:vAlign w:val="center"/>
          </w:tcPr>
          <w:p w14:paraId="1C2574E0" w14:textId="77777777" w:rsidR="000C17E7" w:rsidRPr="001569FB" w:rsidRDefault="000C17E7" w:rsidP="00326CD5">
            <w:pPr>
              <w:keepNext/>
              <w:keepLines/>
              <w:spacing w:after="40"/>
              <w:ind w:right="336"/>
              <w:jc w:val="right"/>
              <w:rPr>
                <w:szCs w:val="24"/>
              </w:rPr>
            </w:pPr>
            <w:r w:rsidRPr="001569FB">
              <w:rPr>
                <w:szCs w:val="24"/>
              </w:rPr>
              <w:t>72%</w:t>
            </w:r>
          </w:p>
        </w:tc>
        <w:tc>
          <w:tcPr>
            <w:tcW w:w="1440" w:type="dxa"/>
            <w:tcBorders>
              <w:top w:val="nil"/>
              <w:bottom w:val="nil"/>
            </w:tcBorders>
            <w:noWrap/>
            <w:vAlign w:val="center"/>
          </w:tcPr>
          <w:p w14:paraId="64018579" w14:textId="77777777" w:rsidR="000C17E7" w:rsidRPr="001569FB" w:rsidRDefault="000C17E7" w:rsidP="00326CD5">
            <w:pPr>
              <w:keepNext/>
              <w:keepLines/>
              <w:spacing w:after="40" w:line="240" w:lineRule="auto"/>
              <w:ind w:right="336"/>
              <w:jc w:val="right"/>
              <w:rPr>
                <w:szCs w:val="24"/>
              </w:rPr>
            </w:pPr>
            <w:r w:rsidRPr="001569FB">
              <w:rPr>
                <w:szCs w:val="24"/>
              </w:rPr>
              <w:t>28%</w:t>
            </w:r>
          </w:p>
        </w:tc>
      </w:tr>
      <w:tr w:rsidR="000C17E7" w:rsidRPr="001569FB" w14:paraId="2273B4E7" w14:textId="77777777" w:rsidTr="00326CD5">
        <w:trPr>
          <w:cantSplit/>
          <w:jc w:val="center"/>
        </w:trPr>
        <w:tc>
          <w:tcPr>
            <w:tcW w:w="596" w:type="dxa"/>
            <w:tcBorders>
              <w:top w:val="nil"/>
              <w:bottom w:val="nil"/>
            </w:tcBorders>
            <w:noWrap/>
            <w:vAlign w:val="center"/>
          </w:tcPr>
          <w:p w14:paraId="6F10D445" w14:textId="77777777" w:rsidR="000C17E7" w:rsidRPr="001569FB" w:rsidRDefault="000C17E7" w:rsidP="00326CD5">
            <w:pPr>
              <w:keepNext/>
              <w:keepLines/>
              <w:spacing w:after="40" w:line="240" w:lineRule="auto"/>
              <w:rPr>
                <w:szCs w:val="24"/>
              </w:rPr>
            </w:pPr>
            <w:r w:rsidRPr="001569FB">
              <w:rPr>
                <w:szCs w:val="24"/>
              </w:rPr>
              <w:t>2015</w:t>
            </w:r>
          </w:p>
        </w:tc>
        <w:tc>
          <w:tcPr>
            <w:tcW w:w="1413" w:type="dxa"/>
            <w:tcBorders>
              <w:top w:val="nil"/>
              <w:bottom w:val="nil"/>
            </w:tcBorders>
            <w:noWrap/>
            <w:vAlign w:val="center"/>
          </w:tcPr>
          <w:p w14:paraId="73AC4550" w14:textId="77777777" w:rsidR="000C17E7" w:rsidRPr="001569FB" w:rsidRDefault="000C17E7" w:rsidP="00326CD5">
            <w:pPr>
              <w:keepNext/>
              <w:keepLines/>
              <w:spacing w:after="40"/>
              <w:ind w:right="336"/>
              <w:jc w:val="right"/>
              <w:rPr>
                <w:szCs w:val="24"/>
              </w:rPr>
            </w:pPr>
            <w:r w:rsidRPr="001569FB">
              <w:rPr>
                <w:szCs w:val="24"/>
              </w:rPr>
              <w:t>65%</w:t>
            </w:r>
          </w:p>
        </w:tc>
        <w:tc>
          <w:tcPr>
            <w:tcW w:w="1440" w:type="dxa"/>
            <w:tcBorders>
              <w:top w:val="nil"/>
              <w:bottom w:val="nil"/>
            </w:tcBorders>
            <w:noWrap/>
            <w:vAlign w:val="center"/>
          </w:tcPr>
          <w:p w14:paraId="32EBFDC8" w14:textId="77777777" w:rsidR="000C17E7" w:rsidRPr="001569FB" w:rsidRDefault="000C17E7" w:rsidP="00326CD5">
            <w:pPr>
              <w:keepNext/>
              <w:keepLines/>
              <w:spacing w:after="40" w:line="240" w:lineRule="auto"/>
              <w:ind w:right="336"/>
              <w:jc w:val="right"/>
              <w:rPr>
                <w:szCs w:val="24"/>
              </w:rPr>
            </w:pPr>
            <w:r w:rsidRPr="001569FB">
              <w:rPr>
                <w:szCs w:val="24"/>
              </w:rPr>
              <w:t>35%</w:t>
            </w:r>
          </w:p>
        </w:tc>
      </w:tr>
      <w:tr w:rsidR="000C17E7" w:rsidRPr="001569FB" w14:paraId="215671E9" w14:textId="77777777" w:rsidTr="00326CD5">
        <w:trPr>
          <w:cantSplit/>
          <w:jc w:val="center"/>
        </w:trPr>
        <w:tc>
          <w:tcPr>
            <w:tcW w:w="596" w:type="dxa"/>
            <w:tcBorders>
              <w:top w:val="nil"/>
              <w:bottom w:val="nil"/>
            </w:tcBorders>
            <w:noWrap/>
            <w:vAlign w:val="center"/>
          </w:tcPr>
          <w:p w14:paraId="4BEFD430" w14:textId="77777777" w:rsidR="000C17E7" w:rsidRPr="001569FB" w:rsidRDefault="000C17E7" w:rsidP="00326CD5">
            <w:pPr>
              <w:keepNext/>
              <w:keepLines/>
              <w:spacing w:after="40" w:line="240" w:lineRule="auto"/>
              <w:rPr>
                <w:szCs w:val="24"/>
              </w:rPr>
            </w:pPr>
            <w:r w:rsidRPr="001569FB">
              <w:rPr>
                <w:szCs w:val="24"/>
              </w:rPr>
              <w:t>2016</w:t>
            </w:r>
          </w:p>
        </w:tc>
        <w:tc>
          <w:tcPr>
            <w:tcW w:w="1413" w:type="dxa"/>
            <w:tcBorders>
              <w:top w:val="nil"/>
              <w:bottom w:val="nil"/>
            </w:tcBorders>
            <w:noWrap/>
            <w:vAlign w:val="center"/>
          </w:tcPr>
          <w:p w14:paraId="4AAC2036" w14:textId="77777777" w:rsidR="000C17E7" w:rsidRPr="001569FB" w:rsidRDefault="000C17E7" w:rsidP="00326CD5">
            <w:pPr>
              <w:keepNext/>
              <w:keepLines/>
              <w:spacing w:after="40"/>
              <w:ind w:right="336"/>
              <w:jc w:val="right"/>
              <w:rPr>
                <w:szCs w:val="24"/>
              </w:rPr>
            </w:pPr>
            <w:r w:rsidRPr="001569FB">
              <w:rPr>
                <w:szCs w:val="24"/>
              </w:rPr>
              <w:t>58%</w:t>
            </w:r>
          </w:p>
        </w:tc>
        <w:tc>
          <w:tcPr>
            <w:tcW w:w="1440" w:type="dxa"/>
            <w:tcBorders>
              <w:top w:val="nil"/>
              <w:bottom w:val="nil"/>
            </w:tcBorders>
            <w:noWrap/>
            <w:vAlign w:val="center"/>
          </w:tcPr>
          <w:p w14:paraId="485C8B3D" w14:textId="77777777" w:rsidR="000C17E7" w:rsidRPr="001569FB" w:rsidRDefault="000C17E7" w:rsidP="00326CD5">
            <w:pPr>
              <w:keepNext/>
              <w:keepLines/>
              <w:spacing w:after="40" w:line="240" w:lineRule="auto"/>
              <w:ind w:right="336"/>
              <w:jc w:val="right"/>
              <w:rPr>
                <w:szCs w:val="24"/>
              </w:rPr>
            </w:pPr>
            <w:r w:rsidRPr="001569FB">
              <w:rPr>
                <w:szCs w:val="24"/>
              </w:rPr>
              <w:t>42%</w:t>
            </w:r>
          </w:p>
        </w:tc>
      </w:tr>
      <w:tr w:rsidR="000C17E7" w:rsidRPr="001569FB" w14:paraId="6F3ED915" w14:textId="77777777" w:rsidTr="00326CD5">
        <w:trPr>
          <w:cantSplit/>
          <w:jc w:val="center"/>
        </w:trPr>
        <w:tc>
          <w:tcPr>
            <w:tcW w:w="596" w:type="dxa"/>
            <w:tcBorders>
              <w:top w:val="nil"/>
              <w:bottom w:val="nil"/>
            </w:tcBorders>
            <w:noWrap/>
            <w:vAlign w:val="center"/>
          </w:tcPr>
          <w:p w14:paraId="0C5CCDD1" w14:textId="77777777" w:rsidR="000C17E7" w:rsidRPr="001569FB" w:rsidRDefault="000C17E7" w:rsidP="00326CD5">
            <w:pPr>
              <w:keepNext/>
              <w:keepLines/>
              <w:spacing w:after="40" w:line="240" w:lineRule="auto"/>
              <w:rPr>
                <w:szCs w:val="24"/>
              </w:rPr>
            </w:pPr>
            <w:r w:rsidRPr="001569FB">
              <w:rPr>
                <w:szCs w:val="24"/>
              </w:rPr>
              <w:t>2017</w:t>
            </w:r>
          </w:p>
        </w:tc>
        <w:tc>
          <w:tcPr>
            <w:tcW w:w="1413" w:type="dxa"/>
            <w:tcBorders>
              <w:top w:val="nil"/>
              <w:bottom w:val="nil"/>
            </w:tcBorders>
            <w:noWrap/>
            <w:vAlign w:val="center"/>
          </w:tcPr>
          <w:p w14:paraId="5F507A0E" w14:textId="77777777" w:rsidR="000C17E7" w:rsidRPr="001569FB" w:rsidRDefault="000C17E7" w:rsidP="00326CD5">
            <w:pPr>
              <w:keepNext/>
              <w:keepLines/>
              <w:spacing w:after="40"/>
              <w:ind w:right="336"/>
              <w:jc w:val="right"/>
              <w:rPr>
                <w:szCs w:val="24"/>
              </w:rPr>
            </w:pPr>
            <w:r w:rsidRPr="001569FB">
              <w:rPr>
                <w:szCs w:val="24"/>
              </w:rPr>
              <w:t>51%</w:t>
            </w:r>
          </w:p>
        </w:tc>
        <w:tc>
          <w:tcPr>
            <w:tcW w:w="1440" w:type="dxa"/>
            <w:tcBorders>
              <w:top w:val="nil"/>
              <w:bottom w:val="nil"/>
            </w:tcBorders>
            <w:noWrap/>
            <w:vAlign w:val="center"/>
          </w:tcPr>
          <w:p w14:paraId="2D674E98" w14:textId="77777777" w:rsidR="000C17E7" w:rsidRPr="001569FB" w:rsidRDefault="000C17E7" w:rsidP="00326CD5">
            <w:pPr>
              <w:keepNext/>
              <w:keepLines/>
              <w:spacing w:after="40" w:line="240" w:lineRule="auto"/>
              <w:ind w:right="336"/>
              <w:jc w:val="right"/>
              <w:rPr>
                <w:szCs w:val="24"/>
              </w:rPr>
            </w:pPr>
            <w:r w:rsidRPr="001569FB">
              <w:rPr>
                <w:szCs w:val="24"/>
              </w:rPr>
              <w:t>49%</w:t>
            </w:r>
          </w:p>
        </w:tc>
      </w:tr>
      <w:tr w:rsidR="000C17E7" w:rsidRPr="001569FB" w14:paraId="1ABF5B48" w14:textId="77777777" w:rsidTr="00326CD5">
        <w:trPr>
          <w:cantSplit/>
          <w:jc w:val="center"/>
        </w:trPr>
        <w:tc>
          <w:tcPr>
            <w:tcW w:w="596" w:type="dxa"/>
            <w:tcBorders>
              <w:top w:val="nil"/>
              <w:bottom w:val="nil"/>
            </w:tcBorders>
            <w:noWrap/>
            <w:vAlign w:val="center"/>
          </w:tcPr>
          <w:p w14:paraId="591AFFDA" w14:textId="77777777" w:rsidR="000C17E7" w:rsidRPr="001569FB" w:rsidRDefault="000C17E7" w:rsidP="00326CD5">
            <w:pPr>
              <w:keepNext/>
              <w:keepLines/>
              <w:spacing w:after="40" w:line="240" w:lineRule="auto"/>
              <w:rPr>
                <w:szCs w:val="24"/>
              </w:rPr>
            </w:pPr>
            <w:r w:rsidRPr="001569FB">
              <w:rPr>
                <w:szCs w:val="24"/>
              </w:rPr>
              <w:t>2018</w:t>
            </w:r>
          </w:p>
        </w:tc>
        <w:tc>
          <w:tcPr>
            <w:tcW w:w="1413" w:type="dxa"/>
            <w:tcBorders>
              <w:top w:val="nil"/>
              <w:bottom w:val="nil"/>
            </w:tcBorders>
            <w:noWrap/>
            <w:vAlign w:val="center"/>
          </w:tcPr>
          <w:p w14:paraId="7BD62688" w14:textId="77777777" w:rsidR="000C17E7" w:rsidRPr="001569FB" w:rsidRDefault="000C17E7" w:rsidP="00326CD5">
            <w:pPr>
              <w:keepNext/>
              <w:keepLines/>
              <w:spacing w:after="40"/>
              <w:ind w:right="336"/>
              <w:jc w:val="right"/>
              <w:rPr>
                <w:szCs w:val="24"/>
              </w:rPr>
            </w:pPr>
            <w:r w:rsidRPr="001569FB">
              <w:rPr>
                <w:szCs w:val="24"/>
              </w:rPr>
              <w:t>44%</w:t>
            </w:r>
          </w:p>
        </w:tc>
        <w:tc>
          <w:tcPr>
            <w:tcW w:w="1440" w:type="dxa"/>
            <w:tcBorders>
              <w:top w:val="nil"/>
              <w:bottom w:val="nil"/>
            </w:tcBorders>
            <w:noWrap/>
            <w:vAlign w:val="center"/>
          </w:tcPr>
          <w:p w14:paraId="61913587" w14:textId="77777777" w:rsidR="000C17E7" w:rsidRPr="001569FB" w:rsidRDefault="000C17E7" w:rsidP="00326CD5">
            <w:pPr>
              <w:keepNext/>
              <w:keepLines/>
              <w:spacing w:after="40" w:line="240" w:lineRule="auto"/>
              <w:ind w:right="336"/>
              <w:jc w:val="right"/>
              <w:rPr>
                <w:szCs w:val="24"/>
              </w:rPr>
            </w:pPr>
            <w:r w:rsidRPr="001569FB">
              <w:rPr>
                <w:szCs w:val="24"/>
              </w:rPr>
              <w:t>56%</w:t>
            </w:r>
          </w:p>
        </w:tc>
      </w:tr>
      <w:tr w:rsidR="000C17E7" w:rsidRPr="001569FB" w14:paraId="2C93ECC6" w14:textId="77777777" w:rsidTr="00326CD5">
        <w:trPr>
          <w:cantSplit/>
          <w:jc w:val="center"/>
        </w:trPr>
        <w:tc>
          <w:tcPr>
            <w:tcW w:w="596" w:type="dxa"/>
            <w:tcBorders>
              <w:top w:val="nil"/>
              <w:bottom w:val="nil"/>
            </w:tcBorders>
            <w:noWrap/>
            <w:vAlign w:val="center"/>
          </w:tcPr>
          <w:p w14:paraId="3A1D8776" w14:textId="77777777" w:rsidR="000C17E7" w:rsidRPr="001569FB" w:rsidRDefault="000C17E7" w:rsidP="00326CD5">
            <w:pPr>
              <w:keepNext/>
              <w:keepLines/>
              <w:spacing w:after="40" w:line="240" w:lineRule="auto"/>
              <w:rPr>
                <w:szCs w:val="24"/>
              </w:rPr>
            </w:pPr>
            <w:r w:rsidRPr="001569FB">
              <w:rPr>
                <w:szCs w:val="24"/>
              </w:rPr>
              <w:t>2019</w:t>
            </w:r>
          </w:p>
        </w:tc>
        <w:tc>
          <w:tcPr>
            <w:tcW w:w="1413" w:type="dxa"/>
            <w:tcBorders>
              <w:top w:val="nil"/>
              <w:bottom w:val="nil"/>
            </w:tcBorders>
            <w:noWrap/>
            <w:vAlign w:val="center"/>
          </w:tcPr>
          <w:p w14:paraId="19E29D73" w14:textId="77777777" w:rsidR="000C17E7" w:rsidRPr="001569FB" w:rsidRDefault="000C17E7" w:rsidP="00326CD5">
            <w:pPr>
              <w:keepNext/>
              <w:keepLines/>
              <w:spacing w:after="40"/>
              <w:ind w:right="336"/>
              <w:jc w:val="right"/>
              <w:rPr>
                <w:szCs w:val="24"/>
              </w:rPr>
            </w:pPr>
            <w:r w:rsidRPr="001569FB">
              <w:rPr>
                <w:szCs w:val="24"/>
              </w:rPr>
              <w:t>37%</w:t>
            </w:r>
          </w:p>
        </w:tc>
        <w:tc>
          <w:tcPr>
            <w:tcW w:w="1440" w:type="dxa"/>
            <w:tcBorders>
              <w:top w:val="nil"/>
              <w:bottom w:val="nil"/>
            </w:tcBorders>
            <w:noWrap/>
            <w:vAlign w:val="center"/>
          </w:tcPr>
          <w:p w14:paraId="25BF079E" w14:textId="77777777" w:rsidR="000C17E7" w:rsidRPr="001569FB" w:rsidRDefault="000C17E7" w:rsidP="00326CD5">
            <w:pPr>
              <w:keepNext/>
              <w:keepLines/>
              <w:spacing w:after="40" w:line="240" w:lineRule="auto"/>
              <w:ind w:right="336"/>
              <w:jc w:val="right"/>
              <w:rPr>
                <w:szCs w:val="24"/>
              </w:rPr>
            </w:pPr>
            <w:r w:rsidRPr="001569FB">
              <w:rPr>
                <w:szCs w:val="24"/>
              </w:rPr>
              <w:t>63%</w:t>
            </w:r>
          </w:p>
        </w:tc>
      </w:tr>
      <w:tr w:rsidR="000C17E7" w:rsidRPr="001569FB" w14:paraId="44891900" w14:textId="77777777" w:rsidTr="00326CD5">
        <w:trPr>
          <w:cantSplit/>
          <w:jc w:val="center"/>
        </w:trPr>
        <w:tc>
          <w:tcPr>
            <w:tcW w:w="596" w:type="dxa"/>
            <w:tcBorders>
              <w:top w:val="nil"/>
            </w:tcBorders>
            <w:noWrap/>
            <w:vAlign w:val="center"/>
          </w:tcPr>
          <w:p w14:paraId="41EF407F" w14:textId="77777777" w:rsidR="000C17E7" w:rsidRPr="001569FB" w:rsidRDefault="000C17E7" w:rsidP="00326CD5">
            <w:pPr>
              <w:keepLines/>
              <w:spacing w:after="40" w:line="240" w:lineRule="auto"/>
              <w:rPr>
                <w:szCs w:val="24"/>
              </w:rPr>
            </w:pPr>
            <w:r w:rsidRPr="001569FB">
              <w:rPr>
                <w:szCs w:val="24"/>
              </w:rPr>
              <w:t>2020</w:t>
            </w:r>
          </w:p>
        </w:tc>
        <w:tc>
          <w:tcPr>
            <w:tcW w:w="1413" w:type="dxa"/>
            <w:tcBorders>
              <w:top w:val="nil"/>
            </w:tcBorders>
            <w:noWrap/>
            <w:vAlign w:val="center"/>
          </w:tcPr>
          <w:p w14:paraId="128A1671" w14:textId="77777777" w:rsidR="000C17E7" w:rsidRPr="001569FB" w:rsidRDefault="000C17E7" w:rsidP="00326CD5">
            <w:pPr>
              <w:keepLines/>
              <w:spacing w:after="40"/>
              <w:ind w:right="336"/>
              <w:jc w:val="right"/>
              <w:rPr>
                <w:szCs w:val="24"/>
              </w:rPr>
            </w:pPr>
            <w:r w:rsidRPr="001569FB">
              <w:rPr>
                <w:szCs w:val="24"/>
              </w:rPr>
              <w:t>25%</w:t>
            </w:r>
          </w:p>
        </w:tc>
        <w:tc>
          <w:tcPr>
            <w:tcW w:w="1440" w:type="dxa"/>
            <w:tcBorders>
              <w:top w:val="nil"/>
            </w:tcBorders>
            <w:noWrap/>
            <w:vAlign w:val="center"/>
          </w:tcPr>
          <w:p w14:paraId="568B9968" w14:textId="77777777" w:rsidR="000C17E7" w:rsidRPr="001569FB" w:rsidRDefault="000C17E7" w:rsidP="00326CD5">
            <w:pPr>
              <w:keepLines/>
              <w:spacing w:after="40" w:line="240" w:lineRule="auto"/>
              <w:ind w:right="336"/>
              <w:jc w:val="right"/>
              <w:rPr>
                <w:szCs w:val="24"/>
              </w:rPr>
            </w:pPr>
            <w:r w:rsidRPr="001569FB">
              <w:rPr>
                <w:szCs w:val="24"/>
              </w:rPr>
              <w:t>75%</w:t>
            </w:r>
          </w:p>
        </w:tc>
      </w:tr>
    </w:tbl>
    <w:p w14:paraId="5A90F641" w14:textId="77777777" w:rsidR="008D0CFC" w:rsidRPr="001569FB" w:rsidRDefault="008D0CFC" w:rsidP="002707EC">
      <w:pPr>
        <w:pStyle w:val="BodyText0"/>
      </w:pPr>
      <w:r w:rsidRPr="001569FB">
        <w:t>To be eligible for reduced cost</w:t>
      </w:r>
      <w:r w:rsidR="0092360B" w:rsidRPr="001569FB">
        <w:t>-</w:t>
      </w:r>
      <w:r w:rsidRPr="001569FB">
        <w:t xml:space="preserve">sharing, a Part D enrollee must have </w:t>
      </w:r>
      <w:r w:rsidR="00461244" w:rsidRPr="001569FB">
        <w:t xml:space="preserve">incurred </w:t>
      </w:r>
      <w:r w:rsidRPr="001569FB">
        <w:t xml:space="preserve">gross covered drug costs above the initial coverage limit </w:t>
      </w:r>
      <w:r w:rsidR="00461244" w:rsidRPr="001569FB">
        <w:t xml:space="preserve">but </w:t>
      </w:r>
      <w:r w:rsidRPr="001569FB">
        <w:t>true out-of-pocket costs (TrOOP) below the out-of-</w:t>
      </w:r>
      <w:r w:rsidRPr="001569FB">
        <w:lastRenderedPageBreak/>
        <w:t xml:space="preserve">pocket threshold.  </w:t>
      </w:r>
      <w:r w:rsidR="0024573E" w:rsidRPr="001569FB">
        <w:t xml:space="preserve">Moreover, </w:t>
      </w:r>
      <w:r w:rsidRPr="001569FB">
        <w:t xml:space="preserve">Medicare beneficiaries </w:t>
      </w:r>
      <w:r w:rsidR="0024573E" w:rsidRPr="001569FB">
        <w:t xml:space="preserve">enrolled in a qualified retiree prescription drug plan or those entitled to the low-income subsidy are </w:t>
      </w:r>
      <w:r w:rsidRPr="001569FB">
        <w:t>not eligible for this reduced cost</w:t>
      </w:r>
      <w:r w:rsidR="0092360B" w:rsidRPr="001569FB">
        <w:t>-</w:t>
      </w:r>
      <w:r w:rsidRPr="001569FB">
        <w:t>sharing</w:t>
      </w:r>
      <w:r w:rsidR="0024573E" w:rsidRPr="001569FB">
        <w:t>.</w:t>
      </w:r>
    </w:p>
    <w:p w14:paraId="064412FA" w14:textId="77777777" w:rsidR="008D0CFC" w:rsidRPr="001569FB" w:rsidRDefault="00A804AD" w:rsidP="00E746B1">
      <w:pPr>
        <w:pStyle w:val="BodyText0"/>
      </w:pPr>
      <w:r w:rsidRPr="001569FB">
        <w:t xml:space="preserve">As beneficiary liability for covered Part D drug costs in the coverage gap decreases, plan liability increases. </w:t>
      </w:r>
      <w:r w:rsidR="00245019" w:rsidRPr="001569FB">
        <w:t xml:space="preserve"> </w:t>
      </w:r>
      <w:r w:rsidR="00012189" w:rsidRPr="001569FB">
        <w:t>T</w:t>
      </w:r>
      <w:r w:rsidR="008D0CFC" w:rsidRPr="001569FB">
        <w:t>he increased plan liability amounts do not count toward TrOOP.  Part D sponsors must account for the reductions in cost</w:t>
      </w:r>
      <w:r w:rsidR="0092360B" w:rsidRPr="001569FB">
        <w:t>-</w:t>
      </w:r>
      <w:r w:rsidR="008D0CFC" w:rsidRPr="001569FB">
        <w:t xml:space="preserve">sharing and increased plan liability when developing their Part D bids for payment year </w:t>
      </w:r>
      <w:r w:rsidR="00C847FD" w:rsidRPr="001569FB">
        <w:t>2019</w:t>
      </w:r>
      <w:r w:rsidR="008D0CFC" w:rsidRPr="001569FB">
        <w:t xml:space="preserve">. </w:t>
      </w:r>
    </w:p>
    <w:p w14:paraId="7C98C1DB" w14:textId="77777777" w:rsidR="006E148D" w:rsidRPr="001569FB" w:rsidRDefault="002E1EA7" w:rsidP="00203CF7">
      <w:pPr>
        <w:pStyle w:val="Heading2"/>
      </w:pPr>
      <w:bookmarkStart w:id="449" w:name="_Toc505253794"/>
      <w:r w:rsidRPr="001569FB">
        <w:t xml:space="preserve">Section </w:t>
      </w:r>
      <w:r w:rsidR="006573BD" w:rsidRPr="001569FB">
        <w:t>F</w:t>
      </w:r>
      <w:r w:rsidR="0067131F" w:rsidRPr="001569FB">
        <w:t xml:space="preserve">.  </w:t>
      </w:r>
      <w:r w:rsidR="006E148D" w:rsidRPr="001569FB">
        <w:t>Dispensing Fees and Vaccine Administration Fees for Applicable Drugs in the Coverage Gap</w:t>
      </w:r>
      <w:bookmarkEnd w:id="449"/>
      <w:r w:rsidR="006E148D" w:rsidRPr="001569FB">
        <w:t xml:space="preserve"> </w:t>
      </w:r>
    </w:p>
    <w:p w14:paraId="0B51E1E0" w14:textId="77777777" w:rsidR="0092360B" w:rsidRPr="001569FB" w:rsidRDefault="00726AA3" w:rsidP="002B17CE">
      <w:pPr>
        <w:pStyle w:val="BodyText0"/>
      </w:pPr>
      <w:r w:rsidRPr="001569FB">
        <w:t xml:space="preserve">As </w:t>
      </w:r>
      <w:r w:rsidR="008A535C" w:rsidRPr="001569FB">
        <w:t xml:space="preserve">described </w:t>
      </w:r>
      <w:r w:rsidRPr="001569FB">
        <w:t xml:space="preserve">in </w:t>
      </w:r>
      <w:r w:rsidR="008A535C" w:rsidRPr="001569FB">
        <w:t xml:space="preserve">the </w:t>
      </w:r>
      <w:r w:rsidRPr="001569FB">
        <w:t xml:space="preserve">previous </w:t>
      </w:r>
      <w:r w:rsidR="008A535C" w:rsidRPr="001569FB">
        <w:t>section</w:t>
      </w:r>
      <w:r w:rsidRPr="001569FB">
        <w:t xml:space="preserve">, </w:t>
      </w:r>
      <w:r w:rsidR="009F3297" w:rsidRPr="001569FB">
        <w:t xml:space="preserve">the </w:t>
      </w:r>
      <w:r w:rsidR="00C702DF" w:rsidRPr="001569FB">
        <w:t xml:space="preserve">law </w:t>
      </w:r>
      <w:r w:rsidRPr="001569FB">
        <w:t>phases in a reduction in beneficiary cost</w:t>
      </w:r>
      <w:r w:rsidR="0092360B" w:rsidRPr="001569FB">
        <w:t>-</w:t>
      </w:r>
      <w:r w:rsidRPr="001569FB">
        <w:t>sharing for drugs in the coverage gap phase of the Medicare Part D benefit</w:t>
      </w:r>
      <w:r w:rsidR="0067131F" w:rsidRPr="001569FB">
        <w:t xml:space="preserve">.  </w:t>
      </w:r>
      <w:r w:rsidR="009F3297" w:rsidRPr="001569FB">
        <w:t xml:space="preserve">Consistent with our policy on liability for dispensing and vaccine administration fees, </w:t>
      </w:r>
      <w:r w:rsidR="00876D8C" w:rsidRPr="001569FB">
        <w:t xml:space="preserve">as described in the </w:t>
      </w:r>
      <w:r w:rsidR="00876D8C" w:rsidRPr="001569FB">
        <w:rPr>
          <w:rStyle w:val="CommentReference"/>
          <w:sz w:val="24"/>
          <w:szCs w:val="24"/>
        </w:rPr>
        <w:t>Announcement of Calendar Year (CY) 2013 Medicare Advantage Capitation Rates and Medicare Advantage and Part D Payment Policies and Final Call Letter</w:t>
      </w:r>
      <w:r w:rsidR="00876D8C" w:rsidRPr="001569FB">
        <w:t>, applicable beneficiaries will pay a portion of the dispensing fee (and vaccine administration fee, if any) that is commensurate with their coinsurance in the coverage gap</w:t>
      </w:r>
      <w:r w:rsidR="0092360B" w:rsidRPr="001569FB">
        <w:t>, after the application of the coverage gap discount program discount when applicable</w:t>
      </w:r>
      <w:r w:rsidR="00876D8C" w:rsidRPr="001569FB">
        <w:t xml:space="preserve">.  The Part D sponsor will pay the remainder of the dispensing fee and vaccine administration fee, if any.  </w:t>
      </w:r>
    </w:p>
    <w:p w14:paraId="5F5316D4" w14:textId="77777777" w:rsidR="006573BD" w:rsidRPr="001569FB" w:rsidRDefault="00876D8C" w:rsidP="002B17CE">
      <w:pPr>
        <w:pStyle w:val="BodyText0"/>
      </w:pPr>
      <w:r w:rsidRPr="001569FB">
        <w:t xml:space="preserve">In </w:t>
      </w:r>
      <w:r w:rsidR="00037F84" w:rsidRPr="001569FB">
        <w:t>2019</w:t>
      </w:r>
      <w:r w:rsidRPr="001569FB">
        <w:t xml:space="preserve">, </w:t>
      </w:r>
      <w:r w:rsidR="009F3297" w:rsidRPr="001569FB">
        <w:t xml:space="preserve">applicable beneficiaries will pay </w:t>
      </w:r>
      <w:r w:rsidR="00037F84" w:rsidRPr="001569FB">
        <w:t xml:space="preserve">30 </w:t>
      </w:r>
      <w:r w:rsidR="00701463" w:rsidRPr="001569FB">
        <w:t>percent</w:t>
      </w:r>
      <w:r w:rsidR="009F3297" w:rsidRPr="001569FB">
        <w:t xml:space="preserve"> and plans will pay </w:t>
      </w:r>
      <w:r w:rsidR="00037F84" w:rsidRPr="001569FB">
        <w:t xml:space="preserve">70 </w:t>
      </w:r>
      <w:r w:rsidR="00701463" w:rsidRPr="001569FB">
        <w:t>percent</w:t>
      </w:r>
      <w:r w:rsidR="002C2545" w:rsidRPr="001569FB">
        <w:t xml:space="preserve"> </w:t>
      </w:r>
      <w:r w:rsidR="00991948" w:rsidRPr="001569FB">
        <w:t>of dispensing fees and vaccine administration fees</w:t>
      </w:r>
      <w:r w:rsidRPr="001569FB">
        <w:t xml:space="preserve"> for applicable drugs in the coverage gap</w:t>
      </w:r>
      <w:r w:rsidR="009F3297" w:rsidRPr="001569FB">
        <w:t>.</w:t>
      </w:r>
      <w:r w:rsidR="00115467" w:rsidRPr="001569FB">
        <w:t xml:space="preserve"> </w:t>
      </w:r>
    </w:p>
    <w:p w14:paraId="119FB5A9" w14:textId="77777777" w:rsidR="006573BD" w:rsidRPr="001569FB" w:rsidRDefault="00917408" w:rsidP="002B17CE">
      <w:pPr>
        <w:pStyle w:val="Heading2"/>
      </w:pPr>
      <w:bookmarkStart w:id="450" w:name="_Toc505253795"/>
      <w:r w:rsidRPr="001569FB">
        <w:t xml:space="preserve">Section </w:t>
      </w:r>
      <w:r w:rsidR="006573BD" w:rsidRPr="001569FB">
        <w:t>G</w:t>
      </w:r>
      <w:r w:rsidRPr="001569FB">
        <w:t xml:space="preserve">.  </w:t>
      </w:r>
      <w:r w:rsidR="002B17CE" w:rsidRPr="001569FB">
        <w:t>Part D Calendar Year Employer Group Waiver Plans</w:t>
      </w:r>
      <w:r w:rsidR="00265461" w:rsidRPr="001569FB">
        <w:t xml:space="preserve"> Prospective Reinsurance Payment Amount</w:t>
      </w:r>
      <w:bookmarkEnd w:id="450"/>
    </w:p>
    <w:p w14:paraId="3708C46D" w14:textId="77777777" w:rsidR="00637322" w:rsidRPr="001569FB" w:rsidRDefault="00637322" w:rsidP="00637322">
      <w:pPr>
        <w:spacing w:after="200"/>
        <w:rPr>
          <w:szCs w:val="24"/>
        </w:rPr>
      </w:pPr>
      <w:r w:rsidRPr="001569FB">
        <w:rPr>
          <w:szCs w:val="24"/>
        </w:rPr>
        <w:t xml:space="preserve">CMS makes prospective reinsurance payments to all Part D Calendar Year EGWP (CY EGWP) sponsors based on the average per member-per month (PMPM) actual (final) reinsurance amounts paid to Part D CY EGWP sponsors for the most recently reconciled payment year, which for PY 2019 is PY 2016. </w:t>
      </w:r>
      <w:r w:rsidR="00D46B3B" w:rsidRPr="001569FB">
        <w:rPr>
          <w:szCs w:val="24"/>
        </w:rPr>
        <w:t xml:space="preserve"> </w:t>
      </w:r>
      <w:r w:rsidRPr="001569FB">
        <w:rPr>
          <w:szCs w:val="24"/>
        </w:rPr>
        <w:t>The average PMPM actual reinsurance amount paid to Part D CY</w:t>
      </w:r>
      <w:r w:rsidRPr="001569FB" w:rsidDel="00F97744">
        <w:rPr>
          <w:szCs w:val="24"/>
        </w:rPr>
        <w:t xml:space="preserve"> </w:t>
      </w:r>
      <w:r w:rsidRPr="001569FB">
        <w:rPr>
          <w:szCs w:val="24"/>
        </w:rPr>
        <w:t>EGWPs for 2016 was $36.</w:t>
      </w:r>
      <w:r w:rsidR="00FC45E3" w:rsidRPr="001569FB">
        <w:rPr>
          <w:szCs w:val="24"/>
        </w:rPr>
        <w:t>10</w:t>
      </w:r>
      <w:r w:rsidR="00F56A9B" w:rsidRPr="001569FB">
        <w:rPr>
          <w:szCs w:val="24"/>
        </w:rPr>
        <w:t>.</w:t>
      </w:r>
      <w:r w:rsidRPr="001569FB">
        <w:rPr>
          <w:szCs w:val="24"/>
        </w:rPr>
        <w:t xml:space="preserve">  </w:t>
      </w:r>
    </w:p>
    <w:p w14:paraId="66644DA1" w14:textId="77777777" w:rsidR="00C52BD8" w:rsidRPr="001569FB" w:rsidRDefault="00C52BD8" w:rsidP="00C52BD8">
      <w:pPr>
        <w:pStyle w:val="Heading2"/>
      </w:pPr>
      <w:bookmarkStart w:id="451" w:name="_Toc505253796"/>
      <w:r w:rsidRPr="001569FB">
        <w:t>Section H.  Enhanced Medication Therapy Management (MTM) Model</w:t>
      </w:r>
      <w:bookmarkEnd w:id="451"/>
    </w:p>
    <w:p w14:paraId="5E95F1A0" w14:textId="02DA3259" w:rsidR="000C6975" w:rsidRPr="001569FB" w:rsidRDefault="00C03D86" w:rsidP="002707EC">
      <w:pPr>
        <w:spacing w:before="200" w:after="200"/>
      </w:pPr>
      <w:r w:rsidRPr="001569FB">
        <w:t>CMS released an HPMS memo on September 28, 2015</w:t>
      </w:r>
      <w:r w:rsidR="000C6975" w:rsidRPr="001569FB">
        <w:t xml:space="preserve"> </w:t>
      </w:r>
      <w:r w:rsidRPr="001569FB">
        <w:t>announc</w:t>
      </w:r>
      <w:r w:rsidR="000C6975" w:rsidRPr="001569FB">
        <w:t>ing</w:t>
      </w:r>
      <w:r w:rsidRPr="001569FB">
        <w:t xml:space="preserve"> information pertaining to the Part D Enhanced Medication Therapy Management (MTM) Model.  The memo stated that CMS </w:t>
      </w:r>
      <w:r w:rsidR="004D42D5" w:rsidRPr="001569FB">
        <w:t xml:space="preserve">would </w:t>
      </w:r>
      <w:r w:rsidRPr="001569FB">
        <w:t xml:space="preserve">“offer a performance-based incentive payment in return for a minimum reduction </w:t>
      </w:r>
      <w:r w:rsidR="000C6975" w:rsidRPr="001569FB">
        <w:t>[</w:t>
      </w:r>
      <w:r w:rsidRPr="001569FB">
        <w:t>2%</w:t>
      </w:r>
      <w:r w:rsidR="000C6975" w:rsidRPr="001569FB">
        <w:t>]</w:t>
      </w:r>
      <w:r w:rsidRPr="001569FB">
        <w:t xml:space="preserve"> in Medicare costs of care and successful data and quality reporting.</w:t>
      </w:r>
      <w:r w:rsidR="00D46B3B" w:rsidRPr="001569FB">
        <w:t xml:space="preserve"> </w:t>
      </w:r>
      <w:r w:rsidRPr="001569FB">
        <w:t xml:space="preserve"> The incentive will be set at a fixed $2.00 per-member amount, which is equal to the level of recent LIS benchmark de minimis amounts. </w:t>
      </w:r>
      <w:r w:rsidR="00D46B3B" w:rsidRPr="001569FB">
        <w:t xml:space="preserve"> </w:t>
      </w:r>
      <w:r w:rsidRPr="001569FB">
        <w:t xml:space="preserve">This performance-based payment will be in the form of an increase in government contribution to the plan premium, i.e., as an increase in the direct subsidy component of Part D </w:t>
      </w:r>
      <w:r w:rsidRPr="001569FB">
        <w:lastRenderedPageBreak/>
        <w:t xml:space="preserve">payment or an equivalent payment. </w:t>
      </w:r>
      <w:r w:rsidR="00D46B3B" w:rsidRPr="001569FB">
        <w:t xml:space="preserve"> </w:t>
      </w:r>
      <w:r w:rsidRPr="001569FB">
        <w:t xml:space="preserve">The plan would still be receiving the total payment specified in its bid, not an additional add-on payment. </w:t>
      </w:r>
      <w:r w:rsidR="00D46B3B" w:rsidRPr="001569FB">
        <w:t xml:space="preserve"> </w:t>
      </w:r>
      <w:r w:rsidRPr="001569FB">
        <w:t>However, the government-funded portion of the monthly bid would increase, and the beneficiary portion (premium) would correspondingly decrease for all plan enrollees.</w:t>
      </w:r>
      <w:r w:rsidR="00D46B3B" w:rsidRPr="001569FB">
        <w:t xml:space="preserve"> </w:t>
      </w:r>
      <w:r w:rsidRPr="001569FB">
        <w:t xml:space="preserve"> Thus, plan sponsors will submit standardized bids as usual based on their cost requirements, and then any additional premium subsidy earned will be subsequently applied to the plan premium prior to its inclusion in CMS low-income-premium-subsidy calculations. </w:t>
      </w:r>
      <w:r w:rsidR="00D46B3B" w:rsidRPr="001569FB">
        <w:t xml:space="preserve"> </w:t>
      </w:r>
      <w:r w:rsidRPr="001569FB">
        <w:t>In other words, the premium reduction will be considered in determining the low-income premium benchmark.</w:t>
      </w:r>
      <w:r w:rsidR="00E52CFD" w:rsidRPr="001569FB">
        <w:t>”</w:t>
      </w:r>
      <w:r w:rsidRPr="001569FB">
        <w:t xml:space="preserve"> </w:t>
      </w:r>
      <w:r w:rsidR="00D46B3B" w:rsidRPr="001569FB">
        <w:t xml:space="preserve"> </w:t>
      </w:r>
      <w:r w:rsidR="004D42D5" w:rsidRPr="001569FB">
        <w:t>Also, the memo indicated that, “</w:t>
      </w:r>
      <w:r w:rsidRPr="001569FB">
        <w:t>Performance results in model Year One (2017) will translate into a performance-based payment in Year 3 (2019).”</w:t>
      </w:r>
    </w:p>
    <w:p w14:paraId="0EF96694" w14:textId="77777777" w:rsidR="007C3604" w:rsidRPr="001569FB" w:rsidRDefault="00C03D86" w:rsidP="007C3604">
      <w:pPr>
        <w:spacing w:before="200" w:after="200"/>
      </w:pPr>
      <w:r w:rsidRPr="001569FB">
        <w:t xml:space="preserve">Since this memo release, CMS has continued to </w:t>
      </w:r>
      <w:r w:rsidR="004D42D5" w:rsidRPr="001569FB">
        <w:t xml:space="preserve">implement </w:t>
      </w:r>
      <w:r w:rsidR="00174ED3" w:rsidRPr="001569FB">
        <w:t xml:space="preserve">and operationalize </w:t>
      </w:r>
      <w:r w:rsidRPr="001569FB">
        <w:t xml:space="preserve">the Enhanced MTM model.  </w:t>
      </w:r>
      <w:r w:rsidR="00174ED3" w:rsidRPr="001569FB">
        <w:t xml:space="preserve">Given timing and </w:t>
      </w:r>
      <w:r w:rsidRPr="001569FB">
        <w:t>operational cons</w:t>
      </w:r>
      <w:r w:rsidR="00174ED3" w:rsidRPr="001569FB">
        <w:t>iderations</w:t>
      </w:r>
      <w:r w:rsidRPr="001569FB">
        <w:t xml:space="preserve">, </w:t>
      </w:r>
      <w:r w:rsidR="00174ED3" w:rsidRPr="001569FB">
        <w:t xml:space="preserve">CMS is currently determining whether </w:t>
      </w:r>
      <w:r w:rsidR="00A360B5" w:rsidRPr="001569FB">
        <w:t xml:space="preserve">it will be possible for </w:t>
      </w:r>
      <w:r w:rsidR="00174ED3" w:rsidRPr="001569FB">
        <w:t xml:space="preserve">the model’s </w:t>
      </w:r>
      <w:r w:rsidRPr="001569FB">
        <w:t>premium reduction</w:t>
      </w:r>
      <w:r w:rsidR="00174ED3" w:rsidRPr="001569FB">
        <w:t>s</w:t>
      </w:r>
      <w:r w:rsidRPr="001569FB">
        <w:t xml:space="preserve"> </w:t>
      </w:r>
      <w:r w:rsidR="00A360B5" w:rsidRPr="001569FB">
        <w:t>to</w:t>
      </w:r>
      <w:r w:rsidR="00174ED3" w:rsidRPr="001569FB">
        <w:t xml:space="preserve"> </w:t>
      </w:r>
      <w:r w:rsidRPr="001569FB">
        <w:t xml:space="preserve">be considered </w:t>
      </w:r>
      <w:r w:rsidR="00174ED3" w:rsidRPr="001569FB">
        <w:t>when</w:t>
      </w:r>
      <w:r w:rsidRPr="001569FB">
        <w:t xml:space="preserve"> determining the 2019 low-income premium benchmarks.</w:t>
      </w:r>
      <w:bookmarkStart w:id="452" w:name="_Toc348432180"/>
      <w:bookmarkStart w:id="453" w:name="_Toc348432297"/>
      <w:bookmarkStart w:id="454" w:name="_Toc348432933"/>
      <w:bookmarkStart w:id="455" w:name="_Toc284426930"/>
    </w:p>
    <w:p w14:paraId="1B3435EC" w14:textId="10E106FF" w:rsidR="007E5ADB" w:rsidRPr="001569FB" w:rsidRDefault="00531DAC" w:rsidP="00E97F49">
      <w:pPr>
        <w:pStyle w:val="Heading1"/>
        <w:spacing w:before="0"/>
      </w:pPr>
      <w:r w:rsidRPr="001569FB">
        <w:br w:type="page"/>
      </w:r>
      <w:bookmarkStart w:id="456" w:name="_Toc505253797"/>
      <w:r w:rsidR="001D19D9" w:rsidRPr="001569FB">
        <w:lastRenderedPageBreak/>
        <w:t>A</w:t>
      </w:r>
      <w:r w:rsidR="007E5ADB" w:rsidRPr="001569FB">
        <w:t xml:space="preserve">ttachment IV.  Medicare Part D Benefit Parameters for the Defined Standard Benefit: </w:t>
      </w:r>
      <w:r w:rsidR="007E5ADB" w:rsidRPr="001569FB">
        <w:br/>
        <w:t xml:space="preserve">Annual Adjustments for </w:t>
      </w:r>
      <w:bookmarkEnd w:id="452"/>
      <w:bookmarkEnd w:id="453"/>
      <w:bookmarkEnd w:id="454"/>
      <w:bookmarkEnd w:id="455"/>
      <w:r w:rsidR="00E10517" w:rsidRPr="001569FB">
        <w:t>2019</w:t>
      </w:r>
      <w:bookmarkEnd w:id="456"/>
      <w:r w:rsidR="00E10517" w:rsidRPr="001569FB">
        <w:t xml:space="preserve"> </w:t>
      </w:r>
    </w:p>
    <w:p w14:paraId="3D05513D" w14:textId="77777777" w:rsidR="009B6B64" w:rsidRPr="001569FB" w:rsidRDefault="009B6B64" w:rsidP="002B17CE">
      <w:pPr>
        <w:spacing w:before="200" w:after="200"/>
        <w:rPr>
          <w:szCs w:val="24"/>
        </w:rPr>
      </w:pPr>
      <w:r w:rsidRPr="001569FB">
        <w:rPr>
          <w:szCs w:val="24"/>
        </w:rPr>
        <w:t xml:space="preserve">The Medicare Prescription Drug, Improvement, and Modernization Act of 2003 (MMA) </w:t>
      </w:r>
      <w:r w:rsidR="007E576D" w:rsidRPr="001569FB">
        <w:rPr>
          <w:szCs w:val="24"/>
        </w:rPr>
        <w:t xml:space="preserve">(Pub. L. 108-173) </w:t>
      </w:r>
      <w:r w:rsidRPr="001569FB">
        <w:rPr>
          <w:szCs w:val="24"/>
        </w:rPr>
        <w:t xml:space="preserve">directs CMS to update the statutory parameters for the defined standard Part D drug benefit each year.  These parameters include the standard deductible, initial coverage limit, catastrophic coverage threshold, and minimum copayments for costs above the annual out-of-pocket threshold.  In addition, CMS is required </w:t>
      </w:r>
      <w:r w:rsidR="006854B3" w:rsidRPr="001569FB">
        <w:rPr>
          <w:szCs w:val="24"/>
        </w:rPr>
        <w:t xml:space="preserve">by statute </w:t>
      </w:r>
      <w:r w:rsidRPr="001569FB">
        <w:rPr>
          <w:szCs w:val="24"/>
        </w:rPr>
        <w:t>to update the parameters for the low</w:t>
      </w:r>
      <w:r w:rsidR="00CA6B88" w:rsidRPr="001569FB">
        <w:rPr>
          <w:szCs w:val="24"/>
        </w:rPr>
        <w:t>-</w:t>
      </w:r>
      <w:r w:rsidRPr="001569FB">
        <w:rPr>
          <w:szCs w:val="24"/>
        </w:rPr>
        <w:t xml:space="preserve"> income subsidy benefit and the cost threshold and cost limit for qualified retiree prescription drug plans eligible for the Retiree Drug Subsidy</w:t>
      </w:r>
      <w:r w:rsidR="006854B3" w:rsidRPr="001569FB">
        <w:rPr>
          <w:szCs w:val="24"/>
        </w:rPr>
        <w:t xml:space="preserve"> each year</w:t>
      </w:r>
      <w:r w:rsidRPr="001569FB">
        <w:rPr>
          <w:szCs w:val="24"/>
        </w:rPr>
        <w:t>.  Included in this notice are (</w:t>
      </w:r>
      <w:r w:rsidR="00324BDF" w:rsidRPr="001569FB">
        <w:rPr>
          <w:szCs w:val="24"/>
        </w:rPr>
        <w:t>1</w:t>
      </w:r>
      <w:r w:rsidRPr="001569FB">
        <w:rPr>
          <w:szCs w:val="24"/>
        </w:rPr>
        <w:t>) the methodologies for updating these parameters, (</w:t>
      </w:r>
      <w:r w:rsidR="00324BDF" w:rsidRPr="001569FB">
        <w:rPr>
          <w:szCs w:val="24"/>
        </w:rPr>
        <w:t>2</w:t>
      </w:r>
      <w:r w:rsidRPr="001569FB">
        <w:rPr>
          <w:szCs w:val="24"/>
        </w:rPr>
        <w:t>) the updated parameter</w:t>
      </w:r>
      <w:r w:rsidR="006854B3" w:rsidRPr="001569FB">
        <w:rPr>
          <w:szCs w:val="24"/>
        </w:rPr>
        <w:t>s</w:t>
      </w:r>
      <w:r w:rsidRPr="001569FB">
        <w:rPr>
          <w:szCs w:val="24"/>
        </w:rPr>
        <w:t xml:space="preserve"> for the Part D defined standard benefit and</w:t>
      </w:r>
      <w:r w:rsidR="006854B3" w:rsidRPr="001569FB">
        <w:rPr>
          <w:szCs w:val="24"/>
        </w:rPr>
        <w:t xml:space="preserve"> the</w:t>
      </w:r>
      <w:r w:rsidRPr="001569FB">
        <w:rPr>
          <w:szCs w:val="24"/>
        </w:rPr>
        <w:t xml:space="preserve"> low-income subsidy benefit for</w:t>
      </w:r>
      <w:r w:rsidR="006241B9" w:rsidRPr="001569FB">
        <w:rPr>
          <w:szCs w:val="24"/>
        </w:rPr>
        <w:t xml:space="preserve"> </w:t>
      </w:r>
      <w:r w:rsidR="007263E6" w:rsidRPr="001569FB">
        <w:rPr>
          <w:szCs w:val="24"/>
        </w:rPr>
        <w:t>2019</w:t>
      </w:r>
      <w:r w:rsidRPr="001569FB">
        <w:rPr>
          <w:szCs w:val="24"/>
        </w:rPr>
        <w:t>, and (</w:t>
      </w:r>
      <w:r w:rsidR="00324BDF" w:rsidRPr="001569FB">
        <w:rPr>
          <w:szCs w:val="24"/>
        </w:rPr>
        <w:t>3</w:t>
      </w:r>
      <w:r w:rsidRPr="001569FB">
        <w:rPr>
          <w:szCs w:val="24"/>
        </w:rPr>
        <w:t>) the updated cost threshold and cost limit for qualified retiree prescription drug plans</w:t>
      </w:r>
      <w:r w:rsidR="006854B3" w:rsidRPr="001569FB">
        <w:rPr>
          <w:szCs w:val="24"/>
        </w:rPr>
        <w:t xml:space="preserve"> in 2019</w:t>
      </w:r>
      <w:r w:rsidRPr="001569FB">
        <w:rPr>
          <w:szCs w:val="24"/>
        </w:rPr>
        <w:t>.</w:t>
      </w:r>
    </w:p>
    <w:p w14:paraId="100A54F9" w14:textId="77777777" w:rsidR="007B2F32" w:rsidRPr="001569FB" w:rsidRDefault="007B2F32" w:rsidP="007B2F32">
      <w:pPr>
        <w:spacing w:before="200" w:after="200"/>
        <w:rPr>
          <w:szCs w:val="24"/>
        </w:rPr>
      </w:pPr>
      <w:r w:rsidRPr="001569FB">
        <w:rPr>
          <w:szCs w:val="24"/>
        </w:rPr>
        <w:t xml:space="preserve">All of the Part D benefit parameters are updated using one of two indexing methods specified by statute: </w:t>
      </w:r>
    </w:p>
    <w:p w14:paraId="776A96B1" w14:textId="77777777" w:rsidR="007B2F32" w:rsidRPr="001569FB" w:rsidRDefault="007B2F32" w:rsidP="00AC78D9">
      <w:pPr>
        <w:pStyle w:val="ListParagraph"/>
        <w:numPr>
          <w:ilvl w:val="0"/>
          <w:numId w:val="6"/>
        </w:numPr>
        <w:spacing w:before="200" w:after="200"/>
        <w:rPr>
          <w:szCs w:val="24"/>
        </w:rPr>
      </w:pPr>
      <w:r w:rsidRPr="001569FB">
        <w:rPr>
          <w:szCs w:val="24"/>
        </w:rPr>
        <w:t xml:space="preserve">the annual percentage increase in average expenditures for Part D drugs per eligible beneficiary (API); or </w:t>
      </w:r>
    </w:p>
    <w:p w14:paraId="4F23F405" w14:textId="77777777" w:rsidR="007B2F32" w:rsidRPr="001569FB" w:rsidRDefault="007B2F32" w:rsidP="00AC78D9">
      <w:pPr>
        <w:pStyle w:val="ListParagraph"/>
        <w:numPr>
          <w:ilvl w:val="0"/>
          <w:numId w:val="6"/>
        </w:numPr>
        <w:spacing w:after="200"/>
        <w:rPr>
          <w:szCs w:val="24"/>
        </w:rPr>
      </w:pPr>
      <w:r w:rsidRPr="001569FB">
        <w:rPr>
          <w:szCs w:val="24"/>
        </w:rPr>
        <w:t xml:space="preserve">the annual percentage increase in the Consumer Price Index (CPI) (all items, U.S. city average). </w:t>
      </w:r>
    </w:p>
    <w:p w14:paraId="31553710" w14:textId="77777777" w:rsidR="007E5ADB" w:rsidRPr="001569FB" w:rsidRDefault="007E5ADB" w:rsidP="00A97484">
      <w:pPr>
        <w:pStyle w:val="Heading2"/>
        <w:numPr>
          <w:ilvl w:val="0"/>
          <w:numId w:val="2"/>
        </w:numPr>
        <w:ind w:left="0" w:firstLine="0"/>
      </w:pPr>
      <w:bookmarkStart w:id="457" w:name="_Toc348432298"/>
      <w:bookmarkStart w:id="458" w:name="_Toc348432934"/>
      <w:bookmarkStart w:id="459" w:name="_Toc505253798"/>
      <w:r w:rsidRPr="001569FB">
        <w:t>Annual Percentage Increase in Average Expenditure</w:t>
      </w:r>
      <w:r w:rsidR="00B245EC" w:rsidRPr="001569FB">
        <w:t xml:space="preserve">s for Part D Drugs </w:t>
      </w:r>
      <w:r w:rsidR="0001414E" w:rsidRPr="001569FB">
        <w:t>p</w:t>
      </w:r>
      <w:r w:rsidR="008D7FB6" w:rsidRPr="001569FB">
        <w:t xml:space="preserve">er </w:t>
      </w:r>
      <w:r w:rsidR="00B245EC" w:rsidRPr="001569FB">
        <w:t xml:space="preserve">Eligible </w:t>
      </w:r>
      <w:r w:rsidRPr="001569FB">
        <w:t>Beneficiary</w:t>
      </w:r>
      <w:bookmarkEnd w:id="457"/>
      <w:bookmarkEnd w:id="458"/>
      <w:r w:rsidR="0001414E" w:rsidRPr="001569FB">
        <w:t xml:space="preserve"> (API)</w:t>
      </w:r>
      <w:bookmarkEnd w:id="459"/>
    </w:p>
    <w:p w14:paraId="2D2E3316" w14:textId="563E508F" w:rsidR="009B6B64" w:rsidRPr="001569FB" w:rsidRDefault="009B6B64" w:rsidP="00E746B1">
      <w:pPr>
        <w:spacing w:before="200" w:after="200"/>
        <w:rPr>
          <w:szCs w:val="24"/>
        </w:rPr>
      </w:pPr>
      <w:r w:rsidRPr="001569FB">
        <w:rPr>
          <w:szCs w:val="24"/>
        </w:rPr>
        <w:t xml:space="preserve">Section 1860D-2(b)(6) of the Act defines the </w:t>
      </w:r>
      <w:r w:rsidR="0001414E" w:rsidRPr="001569FB">
        <w:rPr>
          <w:szCs w:val="24"/>
        </w:rPr>
        <w:t xml:space="preserve">API </w:t>
      </w:r>
      <w:r w:rsidRPr="001569FB">
        <w:rPr>
          <w:szCs w:val="24"/>
        </w:rPr>
        <w:t>as “the annual percentage increase in average per capita aggregate expenditures for covered Part D drugs in the United States for Part D eligible individuals, as determined by the Secretary for the 12-month period ending in July of the previous year using such methods as the Secretary shall specify.”  The following parameters are updated using the “annual percentage increase”:</w:t>
      </w:r>
    </w:p>
    <w:p w14:paraId="606A9766" w14:textId="77777777" w:rsidR="009B6B64" w:rsidRPr="001569FB" w:rsidRDefault="009B6B64" w:rsidP="003E3A35">
      <w:pPr>
        <w:spacing w:after="240"/>
        <w:rPr>
          <w:szCs w:val="24"/>
        </w:rPr>
      </w:pPr>
      <w:r w:rsidRPr="001569FB">
        <w:rPr>
          <w:b/>
          <w:szCs w:val="24"/>
        </w:rPr>
        <w:t>Deductible:</w:t>
      </w:r>
      <w:r w:rsidRPr="001569FB">
        <w:rPr>
          <w:szCs w:val="24"/>
        </w:rPr>
        <w:t xml:space="preserve">  From </w:t>
      </w:r>
      <w:r w:rsidR="00324BDF" w:rsidRPr="001569FB">
        <w:rPr>
          <w:szCs w:val="24"/>
        </w:rPr>
        <w:t>$</w:t>
      </w:r>
      <w:r w:rsidR="006B0FD6" w:rsidRPr="001569FB">
        <w:rPr>
          <w:szCs w:val="24"/>
        </w:rPr>
        <w:t xml:space="preserve">405 </w:t>
      </w:r>
      <w:r w:rsidRPr="001569FB">
        <w:rPr>
          <w:szCs w:val="24"/>
        </w:rPr>
        <w:t xml:space="preserve">in </w:t>
      </w:r>
      <w:r w:rsidR="006B0FD6" w:rsidRPr="001569FB">
        <w:rPr>
          <w:szCs w:val="24"/>
        </w:rPr>
        <w:t xml:space="preserve">2018 </w:t>
      </w:r>
      <w:r w:rsidRPr="001569FB">
        <w:rPr>
          <w:szCs w:val="24"/>
        </w:rPr>
        <w:t>and rounded to the nearest multiple of $</w:t>
      </w:r>
      <w:r w:rsidR="00BD6BE4" w:rsidRPr="001569FB">
        <w:rPr>
          <w:szCs w:val="24"/>
        </w:rPr>
        <w:t>5</w:t>
      </w:r>
      <w:r w:rsidRPr="001569FB">
        <w:rPr>
          <w:szCs w:val="24"/>
        </w:rPr>
        <w:t>.</w:t>
      </w:r>
    </w:p>
    <w:p w14:paraId="743F1E09" w14:textId="77777777" w:rsidR="009B6B64" w:rsidRPr="001569FB" w:rsidRDefault="009B6B64" w:rsidP="003E3A35">
      <w:pPr>
        <w:spacing w:after="240"/>
        <w:rPr>
          <w:szCs w:val="24"/>
        </w:rPr>
      </w:pPr>
      <w:r w:rsidRPr="001569FB">
        <w:rPr>
          <w:b/>
          <w:szCs w:val="24"/>
        </w:rPr>
        <w:t>Initial Coverage Limit:</w:t>
      </w:r>
      <w:r w:rsidRPr="001569FB">
        <w:rPr>
          <w:szCs w:val="24"/>
        </w:rPr>
        <w:t xml:space="preserve">  From </w:t>
      </w:r>
      <w:r w:rsidR="00324BDF" w:rsidRPr="001569FB">
        <w:rPr>
          <w:szCs w:val="24"/>
        </w:rPr>
        <w:t>$</w:t>
      </w:r>
      <w:r w:rsidR="00BD6BE4" w:rsidRPr="001569FB">
        <w:rPr>
          <w:szCs w:val="24"/>
        </w:rPr>
        <w:t>3,7</w:t>
      </w:r>
      <w:r w:rsidR="006B0FD6" w:rsidRPr="001569FB">
        <w:rPr>
          <w:szCs w:val="24"/>
        </w:rPr>
        <w:t>5</w:t>
      </w:r>
      <w:r w:rsidR="00BD6BE4" w:rsidRPr="001569FB">
        <w:rPr>
          <w:szCs w:val="24"/>
        </w:rPr>
        <w:t>0</w:t>
      </w:r>
      <w:r w:rsidR="00324BDF" w:rsidRPr="001569FB">
        <w:rPr>
          <w:szCs w:val="24"/>
        </w:rPr>
        <w:t xml:space="preserve"> </w:t>
      </w:r>
      <w:r w:rsidRPr="001569FB">
        <w:rPr>
          <w:szCs w:val="24"/>
        </w:rPr>
        <w:t xml:space="preserve">in </w:t>
      </w:r>
      <w:r w:rsidR="006B0FD6" w:rsidRPr="001569FB">
        <w:rPr>
          <w:szCs w:val="24"/>
        </w:rPr>
        <w:t xml:space="preserve">2018 </w:t>
      </w:r>
      <w:r w:rsidRPr="001569FB">
        <w:rPr>
          <w:szCs w:val="24"/>
        </w:rPr>
        <w:t>and rounded to the nearest multiple of $</w:t>
      </w:r>
      <w:r w:rsidR="005F12B0" w:rsidRPr="001569FB">
        <w:rPr>
          <w:szCs w:val="24"/>
        </w:rPr>
        <w:t>10</w:t>
      </w:r>
      <w:r w:rsidRPr="001569FB">
        <w:rPr>
          <w:szCs w:val="24"/>
        </w:rPr>
        <w:t>.</w:t>
      </w:r>
    </w:p>
    <w:p w14:paraId="34703462" w14:textId="77777777" w:rsidR="0083510D" w:rsidRPr="001569FB" w:rsidRDefault="0083510D" w:rsidP="003E3A35">
      <w:pPr>
        <w:spacing w:after="240"/>
        <w:rPr>
          <w:szCs w:val="24"/>
        </w:rPr>
      </w:pPr>
      <w:r w:rsidRPr="001569FB">
        <w:rPr>
          <w:b/>
          <w:szCs w:val="24"/>
        </w:rPr>
        <w:t xml:space="preserve">Out-of-Pocket Threshold:  </w:t>
      </w:r>
      <w:r w:rsidRPr="001569FB">
        <w:rPr>
          <w:szCs w:val="24"/>
        </w:rPr>
        <w:t>From $</w:t>
      </w:r>
      <w:r w:rsidR="006B0FD6" w:rsidRPr="001569FB">
        <w:rPr>
          <w:szCs w:val="24"/>
        </w:rPr>
        <w:t>5,000</w:t>
      </w:r>
      <w:r w:rsidRPr="001569FB">
        <w:rPr>
          <w:szCs w:val="24"/>
        </w:rPr>
        <w:t xml:space="preserve"> in </w:t>
      </w:r>
      <w:r w:rsidR="006B0FD6" w:rsidRPr="001569FB">
        <w:rPr>
          <w:szCs w:val="24"/>
        </w:rPr>
        <w:t xml:space="preserve">2018 </w:t>
      </w:r>
      <w:r w:rsidRPr="001569FB">
        <w:rPr>
          <w:szCs w:val="24"/>
        </w:rPr>
        <w:t>and rounded to the nearest multiple of $50.</w:t>
      </w:r>
    </w:p>
    <w:p w14:paraId="4F9669D8" w14:textId="77777777" w:rsidR="009B6B64" w:rsidRPr="001569FB" w:rsidRDefault="009B6B64" w:rsidP="003E3A35">
      <w:pPr>
        <w:spacing w:after="240"/>
        <w:rPr>
          <w:szCs w:val="24"/>
        </w:rPr>
      </w:pPr>
      <w:r w:rsidRPr="001569FB">
        <w:rPr>
          <w:b/>
          <w:szCs w:val="24"/>
        </w:rPr>
        <w:t>Minimum Cost-Sharing in the Catastrophic Coverage Portion of the Benefit:</w:t>
      </w:r>
      <w:r w:rsidRPr="001569FB">
        <w:rPr>
          <w:szCs w:val="24"/>
        </w:rPr>
        <w:t xml:space="preserve">  From </w:t>
      </w:r>
      <w:r w:rsidR="00024952" w:rsidRPr="001569FB">
        <w:rPr>
          <w:szCs w:val="24"/>
        </w:rPr>
        <w:t>$</w:t>
      </w:r>
      <w:r w:rsidR="005F12B0" w:rsidRPr="001569FB">
        <w:rPr>
          <w:szCs w:val="24"/>
        </w:rPr>
        <w:t>3.</w:t>
      </w:r>
      <w:r w:rsidR="006B0FD6" w:rsidRPr="001569FB">
        <w:rPr>
          <w:szCs w:val="24"/>
        </w:rPr>
        <w:t xml:space="preserve">35 </w:t>
      </w:r>
      <w:r w:rsidR="00503B04" w:rsidRPr="001569FB">
        <w:rPr>
          <w:szCs w:val="24"/>
        </w:rPr>
        <w:t>per</w:t>
      </w:r>
      <w:r w:rsidRPr="001569FB">
        <w:rPr>
          <w:szCs w:val="24"/>
        </w:rPr>
        <w:t xml:space="preserve">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00882C6A" w:rsidRPr="001569FB">
        <w:rPr>
          <w:szCs w:val="24"/>
        </w:rPr>
        <w:t>for</w:t>
      </w:r>
      <w:r w:rsidRPr="001569FB">
        <w:rPr>
          <w:szCs w:val="24"/>
        </w:rPr>
        <w:t xml:space="preserve"> all other drugs in </w:t>
      </w:r>
      <w:r w:rsidR="006B0FD6" w:rsidRPr="001569FB">
        <w:rPr>
          <w:szCs w:val="24"/>
        </w:rPr>
        <w:t>2018</w:t>
      </w:r>
      <w:r w:rsidRPr="001569FB">
        <w:rPr>
          <w:szCs w:val="24"/>
        </w:rPr>
        <w:t>, rounded to the nearest multiple of $</w:t>
      </w:r>
      <w:r w:rsidR="005F12B0" w:rsidRPr="001569FB">
        <w:rPr>
          <w:szCs w:val="24"/>
        </w:rPr>
        <w:t>0.05</w:t>
      </w:r>
      <w:r w:rsidRPr="001569FB">
        <w:rPr>
          <w:szCs w:val="24"/>
        </w:rPr>
        <w:t>.</w:t>
      </w:r>
    </w:p>
    <w:p w14:paraId="58675FEE" w14:textId="77777777" w:rsidR="009B6B64" w:rsidRPr="001569FB" w:rsidRDefault="009B6B64" w:rsidP="002707EC">
      <w:pPr>
        <w:spacing w:before="200" w:after="200"/>
        <w:rPr>
          <w:szCs w:val="24"/>
        </w:rPr>
      </w:pPr>
      <w:r w:rsidRPr="001569FB">
        <w:rPr>
          <w:b/>
          <w:szCs w:val="24"/>
        </w:rPr>
        <w:lastRenderedPageBreak/>
        <w:t xml:space="preserve">Maximum Copayments </w:t>
      </w:r>
      <w:r w:rsidR="0017619A" w:rsidRPr="001569FB">
        <w:rPr>
          <w:b/>
          <w:szCs w:val="24"/>
        </w:rPr>
        <w:t xml:space="preserve">up to the </w:t>
      </w:r>
      <w:r w:rsidRPr="001569FB">
        <w:rPr>
          <w:b/>
          <w:szCs w:val="24"/>
        </w:rPr>
        <w:t xml:space="preserve">Out-of-Pocket Threshold for </w:t>
      </w:r>
      <w:r w:rsidR="0017619A" w:rsidRPr="001569FB">
        <w:rPr>
          <w:b/>
          <w:szCs w:val="24"/>
        </w:rPr>
        <w:t>C</w:t>
      </w:r>
      <w:r w:rsidRPr="001569FB">
        <w:rPr>
          <w:b/>
          <w:szCs w:val="24"/>
        </w:rPr>
        <w:t>ertain Low</w:t>
      </w:r>
      <w:r w:rsidR="006854B3" w:rsidRPr="001569FB">
        <w:rPr>
          <w:b/>
          <w:szCs w:val="24"/>
        </w:rPr>
        <w:t>-</w:t>
      </w:r>
      <w:r w:rsidRPr="001569FB">
        <w:rPr>
          <w:b/>
          <w:szCs w:val="24"/>
        </w:rPr>
        <w:t>Income Full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10D80CD9" w14:textId="77777777" w:rsidR="009B6B64" w:rsidRPr="001569FB" w:rsidRDefault="009B6B64" w:rsidP="002707EC">
      <w:pPr>
        <w:spacing w:before="200" w:after="200"/>
        <w:rPr>
          <w:szCs w:val="24"/>
        </w:rPr>
      </w:pPr>
      <w:r w:rsidRPr="001569FB">
        <w:rPr>
          <w:b/>
          <w:szCs w:val="24"/>
        </w:rPr>
        <w:t>Deductible for Low Income (Partial) Subsidy Eligible Enrollees:</w:t>
      </w:r>
      <w:r w:rsidRPr="001569FB">
        <w:rPr>
          <w:szCs w:val="24"/>
        </w:rPr>
        <w:t xml:space="preserve">  From </w:t>
      </w:r>
      <w:r w:rsidR="00324BDF" w:rsidRPr="001569FB">
        <w:rPr>
          <w:szCs w:val="24"/>
        </w:rPr>
        <w:t>$</w:t>
      </w:r>
      <w:r w:rsidR="006B0FD6" w:rsidRPr="001569FB">
        <w:rPr>
          <w:szCs w:val="24"/>
        </w:rPr>
        <w:t>83</w:t>
      </w:r>
      <w:r w:rsidR="008D7FB6" w:rsidRPr="001569FB">
        <w:rPr>
          <w:rStyle w:val="FootnoteReference"/>
          <w:szCs w:val="24"/>
        </w:rPr>
        <w:footnoteReference w:id="10"/>
      </w:r>
      <w:r w:rsidRPr="001569FB">
        <w:rPr>
          <w:szCs w:val="24"/>
        </w:rPr>
        <w:t xml:space="preserve"> in 201</w:t>
      </w:r>
      <w:r w:rsidR="0009501B" w:rsidRPr="001569FB">
        <w:rPr>
          <w:szCs w:val="24"/>
        </w:rPr>
        <w:t>8</w:t>
      </w:r>
      <w:r w:rsidRPr="001569FB">
        <w:rPr>
          <w:szCs w:val="24"/>
        </w:rPr>
        <w:t xml:space="preserve"> and rounded to the nearest $1.</w:t>
      </w:r>
    </w:p>
    <w:p w14:paraId="4B719D13" w14:textId="77777777" w:rsidR="009B6B64" w:rsidRPr="001569FB" w:rsidRDefault="009B6B64" w:rsidP="002707EC">
      <w:pPr>
        <w:spacing w:before="200" w:after="200"/>
        <w:rPr>
          <w:szCs w:val="24"/>
        </w:rPr>
      </w:pPr>
      <w:r w:rsidRPr="001569FB">
        <w:rPr>
          <w:b/>
          <w:szCs w:val="24"/>
        </w:rPr>
        <w:t>Maximum Copayments above the Out-of-Pocket Threshold for Low Income (Partial)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60A3BD3D" w14:textId="77777777" w:rsidR="007E5ADB" w:rsidRPr="001569FB" w:rsidRDefault="007E5ADB" w:rsidP="00A97484">
      <w:pPr>
        <w:pStyle w:val="Heading2"/>
        <w:numPr>
          <w:ilvl w:val="0"/>
          <w:numId w:val="2"/>
        </w:numPr>
        <w:ind w:hanging="900"/>
      </w:pPr>
      <w:bookmarkStart w:id="460" w:name="_Toc348432299"/>
      <w:bookmarkStart w:id="461" w:name="_Toc348432935"/>
      <w:bookmarkStart w:id="462" w:name="_Toc505253799"/>
      <w:r w:rsidRPr="001569FB">
        <w:t>Annual Percentage Increase in Consumer Price Index</w:t>
      </w:r>
      <w:r w:rsidR="0017619A" w:rsidRPr="001569FB">
        <w:t xml:space="preserve"> </w:t>
      </w:r>
      <w:r w:rsidR="00245019" w:rsidRPr="001569FB">
        <w:t>(</w:t>
      </w:r>
      <w:r w:rsidR="0017619A" w:rsidRPr="001569FB">
        <w:t>CPI</w:t>
      </w:r>
      <w:bookmarkEnd w:id="460"/>
      <w:bookmarkEnd w:id="461"/>
      <w:r w:rsidR="00245019" w:rsidRPr="001569FB">
        <w:t>)</w:t>
      </w:r>
      <w:bookmarkEnd w:id="462"/>
    </w:p>
    <w:p w14:paraId="049FB71D" w14:textId="77777777" w:rsidR="00577AEF" w:rsidRPr="001569FB" w:rsidRDefault="00577AEF" w:rsidP="00577AEF">
      <w:pPr>
        <w:pStyle w:val="Heading3"/>
      </w:pPr>
      <w:r w:rsidRPr="001569FB">
        <w:t>Annual Percentage Increase in Consumer Price Index, September (September CPI)</w:t>
      </w:r>
    </w:p>
    <w:p w14:paraId="7E4080DD" w14:textId="77777777" w:rsidR="009B6B64" w:rsidRPr="001569FB" w:rsidRDefault="009B6B64" w:rsidP="00E746B1">
      <w:pPr>
        <w:spacing w:before="200" w:after="200"/>
        <w:rPr>
          <w:szCs w:val="24"/>
        </w:rPr>
      </w:pPr>
      <w:r w:rsidRPr="001569FB">
        <w:rPr>
          <w:szCs w:val="24"/>
        </w:rPr>
        <w:t xml:space="preserve">Section 1860D-14(a)(4) of the Act specifies that </w:t>
      </w:r>
      <w:r w:rsidR="006854B3" w:rsidRPr="001569FB">
        <w:rPr>
          <w:szCs w:val="24"/>
        </w:rPr>
        <w:t xml:space="preserve">CMS use </w:t>
      </w:r>
      <w:r w:rsidRPr="001569FB">
        <w:rPr>
          <w:szCs w:val="24"/>
        </w:rPr>
        <w:t xml:space="preserve">the annual percentage increase in the CPI, All Urban Consumers (all items, U.S. city average) as of September of the previous year to update the maximum copayment </w:t>
      </w:r>
      <w:r w:rsidR="006854B3" w:rsidRPr="001569FB">
        <w:rPr>
          <w:szCs w:val="24"/>
        </w:rPr>
        <w:t xml:space="preserve">amounts </w:t>
      </w:r>
      <w:r w:rsidR="0017619A" w:rsidRPr="001569FB">
        <w:rPr>
          <w:szCs w:val="24"/>
        </w:rPr>
        <w:t xml:space="preserve">up to </w:t>
      </w:r>
      <w:r w:rsidRPr="001569FB">
        <w:rPr>
          <w:szCs w:val="24"/>
        </w:rPr>
        <w:t>the out-of-pocket threshold for full benefit dual eligible enrollees with incomes not exceed</w:t>
      </w:r>
      <w:r w:rsidR="0017619A" w:rsidRPr="001569FB">
        <w:rPr>
          <w:szCs w:val="24"/>
        </w:rPr>
        <w:t>ing</w:t>
      </w:r>
      <w:r w:rsidRPr="001569FB">
        <w:rPr>
          <w:szCs w:val="24"/>
        </w:rPr>
        <w:t xml:space="preserve"> 100</w:t>
      </w:r>
      <w:r w:rsidR="00701463" w:rsidRPr="001569FB">
        <w:rPr>
          <w:szCs w:val="24"/>
        </w:rPr>
        <w:t xml:space="preserve"> percent</w:t>
      </w:r>
      <w:r w:rsidRPr="001569FB">
        <w:rPr>
          <w:szCs w:val="24"/>
        </w:rPr>
        <w:t xml:space="preserve"> of the Federal </w:t>
      </w:r>
      <w:r w:rsidR="006854B3" w:rsidRPr="001569FB">
        <w:rPr>
          <w:szCs w:val="24"/>
        </w:rPr>
        <w:t>Poverty Level</w:t>
      </w:r>
      <w:r w:rsidRPr="001569FB">
        <w:rPr>
          <w:szCs w:val="24"/>
        </w:rPr>
        <w:t xml:space="preserve">.  These copayments are </w:t>
      </w:r>
      <w:r w:rsidR="006854B3" w:rsidRPr="001569FB">
        <w:rPr>
          <w:szCs w:val="24"/>
        </w:rPr>
        <w:t xml:space="preserve">increased </w:t>
      </w:r>
      <w:r w:rsidRPr="001569FB">
        <w:rPr>
          <w:szCs w:val="24"/>
        </w:rPr>
        <w:t xml:space="preserve">from </w:t>
      </w:r>
      <w:r w:rsidR="00EF4427" w:rsidRPr="001569FB">
        <w:rPr>
          <w:szCs w:val="24"/>
        </w:rPr>
        <w:t>$</w:t>
      </w:r>
      <w:r w:rsidR="00261AD0" w:rsidRPr="001569FB">
        <w:rPr>
          <w:szCs w:val="24"/>
        </w:rPr>
        <w:t xml:space="preserve"> </w:t>
      </w:r>
      <w:r w:rsidR="006854B3" w:rsidRPr="001569FB">
        <w:rPr>
          <w:szCs w:val="24"/>
        </w:rPr>
        <w:t xml:space="preserve">1.25 </w:t>
      </w:r>
      <w:r w:rsidRPr="001569FB">
        <w:rPr>
          <w:szCs w:val="24"/>
        </w:rPr>
        <w:t xml:space="preserve">per generic or preferred drug that is a multi-source drug and </w:t>
      </w:r>
      <w:r w:rsidR="006854B3" w:rsidRPr="001569FB">
        <w:rPr>
          <w:szCs w:val="24"/>
        </w:rPr>
        <w:t>from $3.70</w:t>
      </w:r>
      <w:r w:rsidR="00261AD0" w:rsidRPr="001569FB">
        <w:rPr>
          <w:szCs w:val="24"/>
        </w:rPr>
        <w:t xml:space="preserve"> </w:t>
      </w:r>
      <w:r w:rsidRPr="001569FB">
        <w:rPr>
          <w:szCs w:val="24"/>
        </w:rPr>
        <w:t xml:space="preserve">for all other drugs in </w:t>
      </w:r>
      <w:r w:rsidR="00261AD0" w:rsidRPr="001569FB">
        <w:rPr>
          <w:szCs w:val="24"/>
        </w:rPr>
        <w:t>2018</w:t>
      </w:r>
      <w:r w:rsidR="006854B3" w:rsidRPr="001569FB">
        <w:rPr>
          <w:szCs w:val="24"/>
        </w:rPr>
        <w:t xml:space="preserve"> and</w:t>
      </w:r>
      <w:r w:rsidR="0083510D" w:rsidRPr="001569FB">
        <w:rPr>
          <w:szCs w:val="24"/>
        </w:rPr>
        <w:t xml:space="preserve"> rounded to the nearest multiple of $0.05 and $0.10 respectively.</w:t>
      </w:r>
      <w:r w:rsidR="00C50D61" w:rsidRPr="001569FB">
        <w:rPr>
          <w:rStyle w:val="FootnoteReference"/>
          <w:szCs w:val="24"/>
        </w:rPr>
        <w:footnoteReference w:id="11"/>
      </w:r>
    </w:p>
    <w:p w14:paraId="0B9C9A5F" w14:textId="77777777" w:rsidR="00577AEF" w:rsidRPr="001569FB" w:rsidRDefault="00577AEF" w:rsidP="00577AEF">
      <w:pPr>
        <w:pStyle w:val="Heading3"/>
      </w:pPr>
      <w:r w:rsidRPr="001569FB">
        <w:t>Annual Percentage Increase in Consumer Price Index, July (July CPI)</w:t>
      </w:r>
    </w:p>
    <w:p w14:paraId="11DADA33" w14:textId="77777777" w:rsidR="008750C6" w:rsidRPr="001569FB" w:rsidRDefault="008750C6" w:rsidP="00E746B1">
      <w:pPr>
        <w:spacing w:before="200" w:after="200"/>
        <w:rPr>
          <w:szCs w:val="24"/>
        </w:rPr>
      </w:pPr>
      <w:r w:rsidRPr="001569FB">
        <w:rPr>
          <w:szCs w:val="24"/>
        </w:rPr>
        <w:t>Additionally, section 1860D-2(b)(4) of the Act requires that</w:t>
      </w:r>
      <w:r w:rsidRPr="001569FB">
        <w:rPr>
          <w:bCs/>
          <w:szCs w:val="24"/>
        </w:rPr>
        <w:t xml:space="preserve"> the “annual percentage increase” applied to the out-of-pocket threshold </w:t>
      </w:r>
      <w:r w:rsidR="00D4026A" w:rsidRPr="001569FB">
        <w:rPr>
          <w:bCs/>
          <w:szCs w:val="24"/>
        </w:rPr>
        <w:t xml:space="preserve">in </w:t>
      </w:r>
      <w:r w:rsidR="005116D4" w:rsidRPr="001569FB">
        <w:rPr>
          <w:bCs/>
          <w:szCs w:val="24"/>
        </w:rPr>
        <w:t xml:space="preserve">2019 </w:t>
      </w:r>
      <w:r w:rsidR="0083510D" w:rsidRPr="001569FB">
        <w:rPr>
          <w:bCs/>
          <w:szCs w:val="24"/>
        </w:rPr>
        <w:t>be</w:t>
      </w:r>
      <w:r w:rsidRPr="001569FB">
        <w:rPr>
          <w:bCs/>
          <w:szCs w:val="24"/>
        </w:rPr>
        <w:t xml:space="preserve"> the lesser of </w:t>
      </w:r>
      <w:r w:rsidR="0083510D" w:rsidRPr="001569FB">
        <w:rPr>
          <w:bCs/>
          <w:szCs w:val="24"/>
        </w:rPr>
        <w:t xml:space="preserve">the </w:t>
      </w:r>
      <w:r w:rsidRPr="001569FB">
        <w:rPr>
          <w:bCs/>
          <w:szCs w:val="24"/>
        </w:rPr>
        <w:t xml:space="preserve">API </w:t>
      </w:r>
      <w:r w:rsidR="0083510D" w:rsidRPr="001569FB">
        <w:rPr>
          <w:bCs/>
          <w:szCs w:val="24"/>
        </w:rPr>
        <w:t xml:space="preserve">or </w:t>
      </w:r>
      <w:r w:rsidRPr="001569FB">
        <w:rPr>
          <w:bCs/>
          <w:szCs w:val="24"/>
        </w:rPr>
        <w:t xml:space="preserve">CPI+2%. </w:t>
      </w:r>
      <w:r w:rsidRPr="001569FB">
        <w:rPr>
          <w:szCs w:val="24"/>
        </w:rPr>
        <w:t xml:space="preserve"> The change in CPI in this case is measured over the 12-month period ending in July of the previous year, as required by statute.  </w:t>
      </w:r>
      <w:r w:rsidR="0083510D" w:rsidRPr="001569FB">
        <w:rPr>
          <w:szCs w:val="24"/>
        </w:rPr>
        <w:t xml:space="preserve">The API over the 12-month period ending in July of </w:t>
      </w:r>
      <w:r w:rsidR="005116D4" w:rsidRPr="001569FB">
        <w:rPr>
          <w:szCs w:val="24"/>
        </w:rPr>
        <w:t xml:space="preserve">2018 </w:t>
      </w:r>
      <w:r w:rsidR="0083510D" w:rsidRPr="001569FB">
        <w:rPr>
          <w:szCs w:val="24"/>
        </w:rPr>
        <w:t>is lower than the change in CPI</w:t>
      </w:r>
      <w:r w:rsidR="00E87440" w:rsidRPr="001569FB">
        <w:rPr>
          <w:szCs w:val="24"/>
        </w:rPr>
        <w:t xml:space="preserve">+2% </w:t>
      </w:r>
      <w:r w:rsidR="0083510D" w:rsidRPr="001569FB">
        <w:rPr>
          <w:szCs w:val="24"/>
        </w:rPr>
        <w:t xml:space="preserve">during that period, and, therefore, the API will apply to the out-of-pocket threshold.  </w:t>
      </w:r>
      <w:r w:rsidRPr="001569FB">
        <w:rPr>
          <w:szCs w:val="24"/>
        </w:rPr>
        <w:t>The threshold</w:t>
      </w:r>
      <w:r w:rsidR="00D0212D" w:rsidRPr="001569FB">
        <w:rPr>
          <w:szCs w:val="24"/>
        </w:rPr>
        <w:t xml:space="preserve"> is increased </w:t>
      </w:r>
      <w:r w:rsidRPr="001569FB">
        <w:rPr>
          <w:szCs w:val="24"/>
        </w:rPr>
        <w:t>from $</w:t>
      </w:r>
      <w:r w:rsidR="005116D4" w:rsidRPr="001569FB">
        <w:rPr>
          <w:szCs w:val="24"/>
        </w:rPr>
        <w:t>5,000</w:t>
      </w:r>
      <w:r w:rsidRPr="001569FB">
        <w:rPr>
          <w:szCs w:val="24"/>
        </w:rPr>
        <w:t xml:space="preserve"> in 201</w:t>
      </w:r>
      <w:r w:rsidR="0009501B" w:rsidRPr="001569FB">
        <w:rPr>
          <w:szCs w:val="24"/>
        </w:rPr>
        <w:t>8</w:t>
      </w:r>
      <w:r w:rsidRPr="001569FB">
        <w:rPr>
          <w:szCs w:val="24"/>
        </w:rPr>
        <w:t xml:space="preserve"> and rounded to the nearest multiple of $50.</w:t>
      </w:r>
    </w:p>
    <w:p w14:paraId="13F18609" w14:textId="77777777" w:rsidR="007E5ADB" w:rsidRPr="001569FB" w:rsidRDefault="007E5ADB" w:rsidP="00A97484">
      <w:pPr>
        <w:pStyle w:val="Heading2"/>
        <w:numPr>
          <w:ilvl w:val="0"/>
          <w:numId w:val="2"/>
        </w:numPr>
        <w:ind w:hanging="900"/>
      </w:pPr>
      <w:bookmarkStart w:id="463" w:name="_Toc348432300"/>
      <w:bookmarkStart w:id="464" w:name="_Toc348432936"/>
      <w:bookmarkStart w:id="465" w:name="_Toc505253800"/>
      <w:r w:rsidRPr="001569FB">
        <w:lastRenderedPageBreak/>
        <w:t>Calculation Methodology</w:t>
      </w:r>
      <w:bookmarkEnd w:id="463"/>
      <w:bookmarkEnd w:id="464"/>
      <w:bookmarkEnd w:id="465"/>
    </w:p>
    <w:p w14:paraId="33AFC0E4" w14:textId="77777777" w:rsidR="009B6B64" w:rsidRPr="001569FB" w:rsidRDefault="009B6B64" w:rsidP="00203CF7">
      <w:pPr>
        <w:pStyle w:val="Heading3"/>
      </w:pPr>
      <w:r w:rsidRPr="001569FB">
        <w:t>Annual Percentage Increase</w:t>
      </w:r>
      <w:r w:rsidR="005D4E82" w:rsidRPr="001569FB">
        <w:t xml:space="preserve"> in Average Expenditures for Part D Drugs per Eligible Beneficiary (API)</w:t>
      </w:r>
    </w:p>
    <w:p w14:paraId="7887B873" w14:textId="77777777" w:rsidR="009B6B64" w:rsidRPr="001569FB" w:rsidRDefault="009B6B64" w:rsidP="00E746B1">
      <w:pPr>
        <w:spacing w:before="200" w:after="200"/>
        <w:rPr>
          <w:szCs w:val="24"/>
        </w:rPr>
      </w:pPr>
      <w:r w:rsidRPr="001569FB">
        <w:rPr>
          <w:szCs w:val="24"/>
        </w:rPr>
        <w:t xml:space="preserve">For </w:t>
      </w:r>
      <w:r w:rsidR="005D4E82" w:rsidRPr="001569FB">
        <w:rPr>
          <w:szCs w:val="24"/>
        </w:rPr>
        <w:t>contract years</w:t>
      </w:r>
      <w:r w:rsidRPr="001569FB">
        <w:rPr>
          <w:szCs w:val="24"/>
        </w:rPr>
        <w:t xml:space="preserve"> 2007 and 2008, the</w:t>
      </w:r>
      <w:r w:rsidR="00955746" w:rsidRPr="001569FB">
        <w:rPr>
          <w:szCs w:val="24"/>
        </w:rPr>
        <w:t xml:space="preserve"> APIs</w:t>
      </w:r>
      <w:r w:rsidRPr="001569FB">
        <w:rPr>
          <w:szCs w:val="24"/>
        </w:rPr>
        <w:t xml:space="preserve">, as defined in section 1860D-2(b)(6) of the Act, were based on the National Health Expenditure (NHE) prescription drug per capita estimates because sufficient Part D program data was not available.  Beginning with </w:t>
      </w:r>
      <w:r w:rsidR="00955746" w:rsidRPr="001569FB">
        <w:rPr>
          <w:szCs w:val="24"/>
        </w:rPr>
        <w:t>contract year</w:t>
      </w:r>
      <w:r w:rsidRPr="001569FB">
        <w:rPr>
          <w:szCs w:val="24"/>
        </w:rPr>
        <w:t xml:space="preserve"> 2009, the </w:t>
      </w:r>
      <w:r w:rsidR="00955746" w:rsidRPr="001569FB">
        <w:rPr>
          <w:szCs w:val="24"/>
        </w:rPr>
        <w:t>APIs</w:t>
      </w:r>
      <w:r w:rsidRPr="001569FB">
        <w:rPr>
          <w:szCs w:val="24"/>
        </w:rPr>
        <w:t xml:space="preserve"> are based on Part D program data.  For the </w:t>
      </w:r>
      <w:r w:rsidR="0083510D" w:rsidRPr="001569FB">
        <w:rPr>
          <w:szCs w:val="24"/>
        </w:rPr>
        <w:t xml:space="preserve">contract year </w:t>
      </w:r>
      <w:r w:rsidR="00552303" w:rsidRPr="001569FB">
        <w:rPr>
          <w:szCs w:val="24"/>
        </w:rPr>
        <w:t xml:space="preserve">2019 </w:t>
      </w:r>
      <w:r w:rsidRPr="001569FB">
        <w:rPr>
          <w:szCs w:val="24"/>
        </w:rPr>
        <w:t>benefit parameters, Part D program data is used to calculate the annual percentage trend as follows:</w:t>
      </w:r>
    </w:p>
    <w:p w14:paraId="09BC1AE0" w14:textId="77777777" w:rsidR="00AC2012" w:rsidRPr="001569FB" w:rsidRDefault="006B65AC" w:rsidP="00777836">
      <w:pPr>
        <w:ind w:left="360"/>
        <w:jc w:val="center"/>
        <w:rPr>
          <w:color w:val="000000" w:themeColor="text1"/>
          <w:szCs w:val="24"/>
        </w:rPr>
      </w:pPr>
      <m:oMathPara>
        <m:oMath>
          <m:f>
            <m:fPr>
              <m:ctrlPr>
                <w:rPr>
                  <w:rFonts w:ascii="Cambria Math" w:hAnsi="Cambria Math"/>
                  <w:i/>
                  <w:color w:val="000000" w:themeColor="text1"/>
                  <w:szCs w:val="24"/>
                </w:rPr>
              </m:ctrlPr>
            </m:fPr>
            <m:num>
              <m:r>
                <w:rPr>
                  <w:rFonts w:ascii="Cambria Math" w:hAnsi="Cambria Math"/>
                  <w:color w:val="000000" w:themeColor="text1"/>
                  <w:szCs w:val="24"/>
                </w:rPr>
                <m:t>August 2017</m:t>
              </m:r>
              <m:r>
                <w:rPr>
                  <w:rFonts w:ascii="Cambria Math" w:eastAsia="MS Mincho" w:hAnsi="Cambria Math" w:hint="eastAsia"/>
                  <w:color w:val="000000" w:themeColor="text1"/>
                  <w:szCs w:val="24"/>
                </w:rPr>
                <m:t>–</m:t>
              </m:r>
              <m:r>
                <w:rPr>
                  <w:rFonts w:ascii="Cambria Math" w:hAnsi="Cambria Math"/>
                  <w:color w:val="000000" w:themeColor="text1"/>
                  <w:szCs w:val="24"/>
                </w:rPr>
                <m:t>July 2018</m:t>
              </m:r>
            </m:num>
            <m:den>
              <m:r>
                <w:rPr>
                  <w:rFonts w:ascii="Cambria Math" w:hAnsi="Cambria Math"/>
                  <w:color w:val="000000" w:themeColor="text1"/>
                  <w:szCs w:val="24"/>
                </w:rPr>
                <m:t>August 2016</m:t>
              </m:r>
              <m:r>
                <w:rPr>
                  <w:rFonts w:ascii="Cambria Math" w:eastAsia="MS Mincho" w:hAnsi="Cambria Math" w:hint="eastAsia"/>
                  <w:color w:val="000000" w:themeColor="text1"/>
                  <w:szCs w:val="24"/>
                </w:rPr>
                <m:t>–</m:t>
              </m:r>
              <m:r>
                <w:rPr>
                  <w:rFonts w:ascii="Cambria Math" w:eastAsia="MS Mincho" w:hAnsi="Cambria Math" w:hint="eastAsia"/>
                  <w:color w:val="000000" w:themeColor="text1"/>
                  <w:szCs w:val="24"/>
                </w:rPr>
                <m:t>J</m:t>
              </m:r>
              <m:r>
                <w:rPr>
                  <w:rFonts w:ascii="Cambria Math" w:hAnsi="Cambria Math"/>
                  <w:color w:val="000000" w:themeColor="text1"/>
                  <w:szCs w:val="24"/>
                </w:rPr>
                <m:t>uly 2017</m:t>
              </m:r>
            </m:den>
          </m:f>
          <m:r>
            <w:rPr>
              <w:rFonts w:ascii="Cambria Math" w:hAnsi="Cambria Math"/>
              <w:color w:val="000000" w:themeColor="text1"/>
              <w:szCs w:val="24"/>
            </w:rPr>
            <m:t>=</m:t>
          </m:r>
          <m:f>
            <m:fPr>
              <m:ctrlPr>
                <w:rPr>
                  <w:rFonts w:ascii="Cambria Math" w:hAnsi="Cambria Math"/>
                  <w:i/>
                  <w:color w:val="000000" w:themeColor="text1"/>
                  <w:szCs w:val="24"/>
                </w:rPr>
              </m:ctrlPr>
            </m:fPr>
            <m:num>
              <m:r>
                <m:rPr>
                  <m:sty m:val="p"/>
                </m:rPr>
                <w:rPr>
                  <w:rFonts w:ascii="Cambria Math" w:hAnsi="Cambria Math"/>
                  <w:szCs w:val="24"/>
                </w:rPr>
                <m:t>$3,730.80</m:t>
              </m:r>
            </m:num>
            <m:den>
              <m:r>
                <m:rPr>
                  <m:sty m:val="p"/>
                </m:rPr>
                <w:rPr>
                  <w:rFonts w:ascii="Cambria Math" w:hAnsi="Cambria Math"/>
                  <w:szCs w:val="24"/>
                </w:rPr>
                <m:t>$3,588.60</m:t>
              </m:r>
            </m:den>
          </m:f>
          <m:r>
            <w:rPr>
              <w:rFonts w:ascii="Cambria Math" w:hAnsi="Cambria Math"/>
              <w:color w:val="000000" w:themeColor="text1"/>
              <w:szCs w:val="24"/>
            </w:rPr>
            <m:t>=</m:t>
          </m:r>
          <m:r>
            <m:rPr>
              <m:sty m:val="p"/>
            </m:rPr>
            <w:rPr>
              <w:rFonts w:ascii="Cambria Math" w:hAnsi="Cambria Math"/>
              <w:szCs w:val="24"/>
            </w:rPr>
            <m:t>1.0396</m:t>
          </m:r>
        </m:oMath>
      </m:oMathPara>
    </w:p>
    <w:p w14:paraId="105FCA09" w14:textId="2FA55F48" w:rsidR="009B6B64" w:rsidRPr="001569FB" w:rsidRDefault="00443291" w:rsidP="00E746B1">
      <w:pPr>
        <w:spacing w:before="200" w:after="200"/>
        <w:rPr>
          <w:szCs w:val="24"/>
        </w:rPr>
      </w:pPr>
      <w:r w:rsidRPr="001569FB">
        <w:rPr>
          <w:szCs w:val="24"/>
        </w:rPr>
        <w:t xml:space="preserve">In the formula, the average per capita cost for August </w:t>
      </w:r>
      <w:r w:rsidR="00D84D66" w:rsidRPr="001569FB">
        <w:rPr>
          <w:szCs w:val="24"/>
        </w:rPr>
        <w:t xml:space="preserve">2016 </w:t>
      </w:r>
      <w:r w:rsidRPr="001569FB">
        <w:rPr>
          <w:szCs w:val="24"/>
        </w:rPr>
        <w:t xml:space="preserve">– July </w:t>
      </w:r>
      <w:r w:rsidR="00D84D66" w:rsidRPr="001569FB">
        <w:rPr>
          <w:szCs w:val="24"/>
        </w:rPr>
        <w:t xml:space="preserve">2017 </w:t>
      </w:r>
      <w:r w:rsidR="00FE78FB" w:rsidRPr="001569FB">
        <w:rPr>
          <w:szCs w:val="24"/>
        </w:rPr>
        <w:t>($</w:t>
      </w:r>
      <w:r w:rsidR="000A2209" w:rsidRPr="001569FB">
        <w:rPr>
          <w:szCs w:val="24"/>
        </w:rPr>
        <w:t>3,588.60</w:t>
      </w:r>
      <w:r w:rsidR="00FE78FB" w:rsidRPr="001569FB">
        <w:rPr>
          <w:szCs w:val="24"/>
        </w:rPr>
        <w:t xml:space="preserve">) </w:t>
      </w:r>
      <w:r w:rsidRPr="001569FB">
        <w:rPr>
          <w:szCs w:val="24"/>
        </w:rPr>
        <w:t>is calculated from actual Part D PDE data</w:t>
      </w:r>
      <w:r w:rsidR="00142876" w:rsidRPr="001569FB">
        <w:rPr>
          <w:szCs w:val="24"/>
        </w:rPr>
        <w:t>,</w:t>
      </w:r>
      <w:r w:rsidRPr="001569FB">
        <w:rPr>
          <w:szCs w:val="24"/>
        </w:rPr>
        <w:t xml:space="preserve"> and the average per capita cost for August </w:t>
      </w:r>
      <w:r w:rsidR="00D84D66" w:rsidRPr="001569FB">
        <w:rPr>
          <w:szCs w:val="24"/>
        </w:rPr>
        <w:t xml:space="preserve">2017 </w:t>
      </w:r>
      <w:r w:rsidRPr="001569FB">
        <w:rPr>
          <w:szCs w:val="24"/>
        </w:rPr>
        <w:t xml:space="preserve">– July </w:t>
      </w:r>
      <w:r w:rsidR="00D84D66" w:rsidRPr="001569FB">
        <w:rPr>
          <w:szCs w:val="24"/>
        </w:rPr>
        <w:t xml:space="preserve">2018 </w:t>
      </w:r>
      <w:r w:rsidR="00FE78FB" w:rsidRPr="001569FB">
        <w:rPr>
          <w:szCs w:val="24"/>
        </w:rPr>
        <w:t>($</w:t>
      </w:r>
      <w:r w:rsidR="000A2209" w:rsidRPr="001569FB">
        <w:rPr>
          <w:szCs w:val="24"/>
        </w:rPr>
        <w:t>3,730.80)</w:t>
      </w:r>
      <w:r w:rsidR="00472256" w:rsidRPr="001569FB">
        <w:rPr>
          <w:szCs w:val="24"/>
        </w:rPr>
        <w:t xml:space="preserve"> </w:t>
      </w:r>
      <w:r w:rsidRPr="001569FB">
        <w:rPr>
          <w:szCs w:val="24"/>
        </w:rPr>
        <w:t>is calculated based on actual Part D PDE data incurred from August</w:t>
      </w:r>
      <w:r w:rsidR="00472256" w:rsidRPr="001569FB">
        <w:rPr>
          <w:szCs w:val="24"/>
        </w:rPr>
        <w:t xml:space="preserve"> </w:t>
      </w:r>
      <w:r w:rsidR="006112A0" w:rsidRPr="001569FB">
        <w:rPr>
          <w:szCs w:val="24"/>
        </w:rPr>
        <w:t xml:space="preserve">2017 </w:t>
      </w:r>
      <w:r w:rsidRPr="001569FB">
        <w:rPr>
          <w:szCs w:val="24"/>
        </w:rPr>
        <w:t xml:space="preserve">– December </w:t>
      </w:r>
      <w:r w:rsidR="00D84D66" w:rsidRPr="001569FB">
        <w:rPr>
          <w:szCs w:val="24"/>
        </w:rPr>
        <w:t xml:space="preserve">2017 </w:t>
      </w:r>
      <w:r w:rsidRPr="001569FB">
        <w:rPr>
          <w:szCs w:val="24"/>
        </w:rPr>
        <w:t xml:space="preserve">and projected through July </w:t>
      </w:r>
      <w:r w:rsidR="00D84D66" w:rsidRPr="001569FB">
        <w:rPr>
          <w:szCs w:val="24"/>
        </w:rPr>
        <w:t>2018</w:t>
      </w:r>
      <w:r w:rsidRPr="001569FB">
        <w:rPr>
          <w:szCs w:val="24"/>
        </w:rPr>
        <w:t xml:space="preserve">. </w:t>
      </w:r>
    </w:p>
    <w:p w14:paraId="45D679C2" w14:textId="7645251E" w:rsidR="009B6B64" w:rsidRPr="001569FB" w:rsidRDefault="009B6B64" w:rsidP="00E746B1">
      <w:pPr>
        <w:spacing w:before="200" w:after="200"/>
        <w:rPr>
          <w:szCs w:val="24"/>
        </w:rPr>
      </w:pPr>
      <w:r w:rsidRPr="001569FB">
        <w:rPr>
          <w:szCs w:val="24"/>
        </w:rPr>
        <w:t xml:space="preserve">The </w:t>
      </w:r>
      <w:r w:rsidR="00D84D66" w:rsidRPr="001569FB">
        <w:rPr>
          <w:szCs w:val="24"/>
        </w:rPr>
        <w:t xml:space="preserve">2019 </w:t>
      </w:r>
      <w:r w:rsidRPr="001569FB">
        <w:rPr>
          <w:szCs w:val="24"/>
        </w:rPr>
        <w:t xml:space="preserve">benefit parameters reflect the </w:t>
      </w:r>
      <w:r w:rsidR="00D84D66" w:rsidRPr="001569FB">
        <w:rPr>
          <w:szCs w:val="24"/>
        </w:rPr>
        <w:t xml:space="preserve">2018 </w:t>
      </w:r>
      <w:r w:rsidRPr="001569FB">
        <w:rPr>
          <w:szCs w:val="24"/>
        </w:rPr>
        <w:t>annual percentage trend</w:t>
      </w:r>
      <w:r w:rsidR="00D0212D" w:rsidRPr="001569FB">
        <w:rPr>
          <w:szCs w:val="24"/>
        </w:rPr>
        <w:t>,</w:t>
      </w:r>
      <w:r w:rsidRPr="001569FB">
        <w:rPr>
          <w:szCs w:val="24"/>
        </w:rPr>
        <w:t xml:space="preserve"> as well as a</w:t>
      </w:r>
      <w:r w:rsidR="001420BD" w:rsidRPr="001569FB">
        <w:rPr>
          <w:szCs w:val="24"/>
        </w:rPr>
        <w:t>n update for</w:t>
      </w:r>
      <w:r w:rsidRPr="001569FB">
        <w:rPr>
          <w:szCs w:val="24"/>
        </w:rPr>
        <w:t xml:space="preserve"> revision to prior </w:t>
      </w:r>
      <w:r w:rsidR="001420BD" w:rsidRPr="001569FB">
        <w:rPr>
          <w:szCs w:val="24"/>
        </w:rPr>
        <w:t xml:space="preserve">year </w:t>
      </w:r>
      <w:r w:rsidRPr="001569FB">
        <w:rPr>
          <w:szCs w:val="24"/>
        </w:rPr>
        <w:t>estimates for</w:t>
      </w:r>
      <w:r w:rsidR="001420BD" w:rsidRPr="001569FB">
        <w:rPr>
          <w:szCs w:val="24"/>
        </w:rPr>
        <w:t xml:space="preserve"> API</w:t>
      </w:r>
      <w:r w:rsidR="0067131F" w:rsidRPr="001569FB">
        <w:rPr>
          <w:szCs w:val="24"/>
        </w:rPr>
        <w:t xml:space="preserve">.  </w:t>
      </w:r>
      <w:r w:rsidRPr="001569FB">
        <w:rPr>
          <w:szCs w:val="24"/>
        </w:rPr>
        <w:t xml:space="preserve">Based on updated NHE prescription drug per capita costs and PDE data, the annual percentage increases are now estimated as summarized by Table </w:t>
      </w:r>
      <w:r w:rsidR="00E74FEB" w:rsidRPr="001569FB">
        <w:rPr>
          <w:szCs w:val="24"/>
        </w:rPr>
        <w:t>IV-1</w:t>
      </w:r>
      <w:r w:rsidRPr="001569FB">
        <w:rPr>
          <w:szCs w:val="24"/>
        </w:rPr>
        <w:t>.</w:t>
      </w:r>
    </w:p>
    <w:p w14:paraId="5009F40C" w14:textId="55ADF98A" w:rsidR="009B6B64" w:rsidRPr="001569FB" w:rsidRDefault="009B6B64" w:rsidP="00326CD5">
      <w:pPr>
        <w:pStyle w:val="TableTitle0"/>
        <w:rPr>
          <w:szCs w:val="24"/>
        </w:rPr>
      </w:pPr>
      <w:r w:rsidRPr="001569FB">
        <w:rPr>
          <w:szCs w:val="24"/>
        </w:rPr>
        <w:t xml:space="preserve">Table </w:t>
      </w:r>
      <w:r w:rsidR="00E74FEB" w:rsidRPr="001569FB">
        <w:rPr>
          <w:szCs w:val="24"/>
        </w:rPr>
        <w:t>IV-1</w:t>
      </w:r>
      <w:r w:rsidR="0067131F" w:rsidRPr="001569FB">
        <w:rPr>
          <w:szCs w:val="24"/>
        </w:rPr>
        <w:t xml:space="preserve">.  </w:t>
      </w:r>
      <w:r w:rsidRPr="001569FB">
        <w:rPr>
          <w:szCs w:val="24"/>
        </w:rPr>
        <w:t>Revised Prior Years’ Annual Percentage Increases</w:t>
      </w:r>
    </w:p>
    <w:tbl>
      <w:tblPr>
        <w:tblW w:w="4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D9D9D9" w:themeFill="background1" w:themeFillShade="D9"/>
        <w:tblLayout w:type="fixed"/>
        <w:tblCellMar>
          <w:left w:w="115" w:type="dxa"/>
          <w:right w:w="115" w:type="dxa"/>
        </w:tblCellMar>
        <w:tblLook w:val="04A0" w:firstRow="1" w:lastRow="0" w:firstColumn="1" w:lastColumn="0" w:noHBand="0" w:noVBand="1"/>
      </w:tblPr>
      <w:tblGrid>
        <w:gridCol w:w="960"/>
        <w:gridCol w:w="1902"/>
        <w:gridCol w:w="1903"/>
      </w:tblGrid>
      <w:tr w:rsidR="0083510D" w:rsidRPr="001569FB" w14:paraId="55BF2B13" w14:textId="77777777" w:rsidTr="00772B25">
        <w:trPr>
          <w:cantSplit/>
          <w:trHeight w:val="780"/>
          <w:tblHeader/>
          <w:jc w:val="center"/>
        </w:trPr>
        <w:tc>
          <w:tcPr>
            <w:tcW w:w="960" w:type="dxa"/>
            <w:shd w:val="clear" w:color="000000" w:fill="D9D9D9" w:themeFill="background1" w:themeFillShade="D9"/>
            <w:vAlign w:val="center"/>
            <w:hideMark/>
          </w:tcPr>
          <w:p w14:paraId="28E451C5"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Year</w:t>
            </w:r>
          </w:p>
        </w:tc>
        <w:tc>
          <w:tcPr>
            <w:tcW w:w="1902" w:type="dxa"/>
            <w:shd w:val="clear" w:color="000000" w:fill="D9D9D9" w:themeFill="background1" w:themeFillShade="D9"/>
            <w:vAlign w:val="center"/>
            <w:hideMark/>
          </w:tcPr>
          <w:p w14:paraId="5A21AB23"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Prior Estimates of Annual Percentage Increases</w:t>
            </w:r>
          </w:p>
        </w:tc>
        <w:tc>
          <w:tcPr>
            <w:tcW w:w="1903" w:type="dxa"/>
            <w:shd w:val="clear" w:color="000000" w:fill="D9D9D9" w:themeFill="background1" w:themeFillShade="D9"/>
            <w:vAlign w:val="center"/>
            <w:hideMark/>
          </w:tcPr>
          <w:p w14:paraId="58AF3CDF"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Revised Annual Percentage Increases</w:t>
            </w:r>
          </w:p>
        </w:tc>
      </w:tr>
      <w:tr w:rsidR="000A2209" w:rsidRPr="001569FB" w14:paraId="093F39D4" w14:textId="77777777" w:rsidTr="00772B25">
        <w:trPr>
          <w:cantSplit/>
          <w:trHeight w:val="270"/>
          <w:jc w:val="center"/>
        </w:trPr>
        <w:tc>
          <w:tcPr>
            <w:tcW w:w="960" w:type="dxa"/>
            <w:shd w:val="clear" w:color="000000" w:fill="D9D9D9" w:themeFill="background1" w:themeFillShade="D9"/>
            <w:vAlign w:val="center"/>
            <w:hideMark/>
          </w:tcPr>
          <w:p w14:paraId="21E45F9B"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2007</w:t>
            </w:r>
          </w:p>
        </w:tc>
        <w:tc>
          <w:tcPr>
            <w:tcW w:w="1902" w:type="dxa"/>
            <w:shd w:val="clear" w:color="000000" w:fill="D9D9D9" w:themeFill="background1" w:themeFillShade="D9"/>
            <w:vAlign w:val="center"/>
          </w:tcPr>
          <w:p w14:paraId="51347FC5"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c>
          <w:tcPr>
            <w:tcW w:w="1903" w:type="dxa"/>
            <w:shd w:val="clear" w:color="000000" w:fill="D9D9D9" w:themeFill="background1" w:themeFillShade="D9"/>
            <w:vAlign w:val="center"/>
          </w:tcPr>
          <w:p w14:paraId="661686D3"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r>
      <w:tr w:rsidR="000A2209" w:rsidRPr="001569FB" w14:paraId="22387AC5" w14:textId="77777777" w:rsidTr="00772B25">
        <w:trPr>
          <w:cantSplit/>
          <w:trHeight w:val="270"/>
          <w:jc w:val="center"/>
        </w:trPr>
        <w:tc>
          <w:tcPr>
            <w:tcW w:w="960" w:type="dxa"/>
            <w:shd w:val="clear" w:color="000000" w:fill="D9D9D9" w:themeFill="background1" w:themeFillShade="D9"/>
            <w:vAlign w:val="center"/>
            <w:hideMark/>
          </w:tcPr>
          <w:p w14:paraId="599A2014"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2008</w:t>
            </w:r>
          </w:p>
        </w:tc>
        <w:tc>
          <w:tcPr>
            <w:tcW w:w="1902" w:type="dxa"/>
            <w:shd w:val="clear" w:color="000000" w:fill="D9D9D9" w:themeFill="background1" w:themeFillShade="D9"/>
            <w:vAlign w:val="center"/>
          </w:tcPr>
          <w:p w14:paraId="08CD8399"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c>
          <w:tcPr>
            <w:tcW w:w="1903" w:type="dxa"/>
            <w:shd w:val="clear" w:color="000000" w:fill="D9D9D9" w:themeFill="background1" w:themeFillShade="D9"/>
            <w:vAlign w:val="center"/>
          </w:tcPr>
          <w:p w14:paraId="4F3E4060"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r>
      <w:tr w:rsidR="000A2209" w:rsidRPr="001569FB" w14:paraId="38ACC161" w14:textId="77777777" w:rsidTr="00772B25">
        <w:trPr>
          <w:cantSplit/>
          <w:trHeight w:val="270"/>
          <w:jc w:val="center"/>
        </w:trPr>
        <w:tc>
          <w:tcPr>
            <w:tcW w:w="960" w:type="dxa"/>
            <w:shd w:val="clear" w:color="000000" w:fill="D9D9D9" w:themeFill="background1" w:themeFillShade="D9"/>
            <w:vAlign w:val="center"/>
            <w:hideMark/>
          </w:tcPr>
          <w:p w14:paraId="6BCA8D8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2009</w:t>
            </w:r>
          </w:p>
        </w:tc>
        <w:tc>
          <w:tcPr>
            <w:tcW w:w="1902" w:type="dxa"/>
            <w:shd w:val="clear" w:color="000000" w:fill="D9D9D9" w:themeFill="background1" w:themeFillShade="D9"/>
            <w:vAlign w:val="center"/>
          </w:tcPr>
          <w:p w14:paraId="54A3D266"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c>
          <w:tcPr>
            <w:tcW w:w="1903" w:type="dxa"/>
            <w:shd w:val="clear" w:color="000000" w:fill="D9D9D9" w:themeFill="background1" w:themeFillShade="D9"/>
            <w:vAlign w:val="center"/>
          </w:tcPr>
          <w:p w14:paraId="2BCB7DFB"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r>
      <w:tr w:rsidR="000A2209" w:rsidRPr="001569FB" w14:paraId="706187AD" w14:textId="77777777" w:rsidTr="00772B25">
        <w:trPr>
          <w:cantSplit/>
          <w:trHeight w:val="270"/>
          <w:jc w:val="center"/>
        </w:trPr>
        <w:tc>
          <w:tcPr>
            <w:tcW w:w="960" w:type="dxa"/>
            <w:shd w:val="clear" w:color="000000" w:fill="D9D9D9" w:themeFill="background1" w:themeFillShade="D9"/>
            <w:vAlign w:val="center"/>
            <w:hideMark/>
          </w:tcPr>
          <w:p w14:paraId="56836CBF"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2010</w:t>
            </w:r>
          </w:p>
        </w:tc>
        <w:tc>
          <w:tcPr>
            <w:tcW w:w="1902" w:type="dxa"/>
            <w:shd w:val="clear" w:color="000000" w:fill="D9D9D9" w:themeFill="background1" w:themeFillShade="D9"/>
            <w:vAlign w:val="center"/>
          </w:tcPr>
          <w:p w14:paraId="0AEFB24F"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c>
          <w:tcPr>
            <w:tcW w:w="1903" w:type="dxa"/>
            <w:shd w:val="clear" w:color="000000" w:fill="D9D9D9" w:themeFill="background1" w:themeFillShade="D9"/>
            <w:vAlign w:val="center"/>
          </w:tcPr>
          <w:p w14:paraId="289828CA"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r>
      <w:tr w:rsidR="000A2209" w:rsidRPr="001569FB" w14:paraId="0DB9FEC8" w14:textId="77777777" w:rsidTr="00772B25">
        <w:trPr>
          <w:cantSplit/>
          <w:trHeight w:val="270"/>
          <w:jc w:val="center"/>
        </w:trPr>
        <w:tc>
          <w:tcPr>
            <w:tcW w:w="960" w:type="dxa"/>
            <w:shd w:val="clear" w:color="000000" w:fill="D9D9D9" w:themeFill="background1" w:themeFillShade="D9"/>
            <w:vAlign w:val="center"/>
            <w:hideMark/>
          </w:tcPr>
          <w:p w14:paraId="689EDDD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2011</w:t>
            </w:r>
          </w:p>
        </w:tc>
        <w:tc>
          <w:tcPr>
            <w:tcW w:w="1902" w:type="dxa"/>
            <w:shd w:val="clear" w:color="000000" w:fill="D9D9D9" w:themeFill="background1" w:themeFillShade="D9"/>
            <w:vAlign w:val="center"/>
          </w:tcPr>
          <w:p w14:paraId="31B0C9B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c>
          <w:tcPr>
            <w:tcW w:w="1903" w:type="dxa"/>
            <w:shd w:val="clear" w:color="000000" w:fill="D9D9D9" w:themeFill="background1" w:themeFillShade="D9"/>
            <w:vAlign w:val="center"/>
          </w:tcPr>
          <w:p w14:paraId="6638023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r>
      <w:tr w:rsidR="000A2209" w:rsidRPr="001569FB" w14:paraId="74ACDE8A" w14:textId="77777777" w:rsidTr="00772B25">
        <w:trPr>
          <w:cantSplit/>
          <w:trHeight w:val="270"/>
          <w:jc w:val="center"/>
        </w:trPr>
        <w:tc>
          <w:tcPr>
            <w:tcW w:w="960" w:type="dxa"/>
            <w:shd w:val="clear" w:color="000000" w:fill="D9D9D9" w:themeFill="background1" w:themeFillShade="D9"/>
            <w:vAlign w:val="center"/>
            <w:hideMark/>
          </w:tcPr>
          <w:p w14:paraId="336FE95E"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2012</w:t>
            </w:r>
          </w:p>
        </w:tc>
        <w:tc>
          <w:tcPr>
            <w:tcW w:w="1902" w:type="dxa"/>
            <w:shd w:val="clear" w:color="000000" w:fill="D9D9D9" w:themeFill="background1" w:themeFillShade="D9"/>
            <w:vAlign w:val="center"/>
          </w:tcPr>
          <w:p w14:paraId="6758832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2.16%</w:t>
            </w:r>
          </w:p>
        </w:tc>
        <w:tc>
          <w:tcPr>
            <w:tcW w:w="1903" w:type="dxa"/>
            <w:shd w:val="clear" w:color="000000" w:fill="D9D9D9" w:themeFill="background1" w:themeFillShade="D9"/>
            <w:vAlign w:val="center"/>
          </w:tcPr>
          <w:p w14:paraId="49AC5E5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2.15%</w:t>
            </w:r>
          </w:p>
        </w:tc>
      </w:tr>
      <w:tr w:rsidR="000A2209" w:rsidRPr="001569FB" w14:paraId="2F3A53F9" w14:textId="77777777" w:rsidTr="00772B25">
        <w:trPr>
          <w:cantSplit/>
          <w:trHeight w:val="270"/>
          <w:jc w:val="center"/>
        </w:trPr>
        <w:tc>
          <w:tcPr>
            <w:tcW w:w="960" w:type="dxa"/>
            <w:shd w:val="clear" w:color="000000" w:fill="D9D9D9" w:themeFill="background1" w:themeFillShade="D9"/>
            <w:vAlign w:val="center"/>
            <w:hideMark/>
          </w:tcPr>
          <w:p w14:paraId="26E23C4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2013</w:t>
            </w:r>
          </w:p>
        </w:tc>
        <w:tc>
          <w:tcPr>
            <w:tcW w:w="1902" w:type="dxa"/>
            <w:shd w:val="clear" w:color="000000" w:fill="D9D9D9" w:themeFill="background1" w:themeFillShade="D9"/>
            <w:vAlign w:val="center"/>
          </w:tcPr>
          <w:p w14:paraId="502F8294"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c>
          <w:tcPr>
            <w:tcW w:w="1903" w:type="dxa"/>
            <w:shd w:val="clear" w:color="000000" w:fill="D9D9D9" w:themeFill="background1" w:themeFillShade="D9"/>
            <w:vAlign w:val="center"/>
          </w:tcPr>
          <w:p w14:paraId="49B13B3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r>
      <w:tr w:rsidR="000A2209" w:rsidRPr="001569FB" w14:paraId="2B0C2E54" w14:textId="77777777" w:rsidTr="00772B25">
        <w:trPr>
          <w:cantSplit/>
          <w:trHeight w:val="270"/>
          <w:jc w:val="center"/>
        </w:trPr>
        <w:tc>
          <w:tcPr>
            <w:tcW w:w="960" w:type="dxa"/>
            <w:shd w:val="clear" w:color="000000" w:fill="D9D9D9" w:themeFill="background1" w:themeFillShade="D9"/>
            <w:vAlign w:val="center"/>
            <w:hideMark/>
          </w:tcPr>
          <w:p w14:paraId="6BB455DD"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2014</w:t>
            </w:r>
          </w:p>
        </w:tc>
        <w:tc>
          <w:tcPr>
            <w:tcW w:w="1902" w:type="dxa"/>
            <w:shd w:val="clear" w:color="000000" w:fill="D9D9D9" w:themeFill="background1" w:themeFillShade="D9"/>
            <w:vAlign w:val="center"/>
          </w:tcPr>
          <w:p w14:paraId="004EFA66" w14:textId="52EC043A"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c>
          <w:tcPr>
            <w:tcW w:w="1903" w:type="dxa"/>
            <w:shd w:val="clear" w:color="000000" w:fill="D9D9D9" w:themeFill="background1" w:themeFillShade="D9"/>
            <w:vAlign w:val="center"/>
          </w:tcPr>
          <w:p w14:paraId="70E8B8F3" w14:textId="6CF72B36"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r>
      <w:tr w:rsidR="000A2209" w:rsidRPr="001569FB" w14:paraId="4B2FEAC9" w14:textId="77777777" w:rsidTr="00772B25">
        <w:trPr>
          <w:cantSplit/>
          <w:trHeight w:val="270"/>
          <w:jc w:val="center"/>
        </w:trPr>
        <w:tc>
          <w:tcPr>
            <w:tcW w:w="960" w:type="dxa"/>
            <w:shd w:val="clear" w:color="000000" w:fill="D9D9D9" w:themeFill="background1" w:themeFillShade="D9"/>
            <w:vAlign w:val="center"/>
            <w:hideMark/>
          </w:tcPr>
          <w:p w14:paraId="0D5A0B8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2015</w:t>
            </w:r>
          </w:p>
        </w:tc>
        <w:tc>
          <w:tcPr>
            <w:tcW w:w="1902" w:type="dxa"/>
            <w:shd w:val="clear" w:color="000000" w:fill="D9D9D9" w:themeFill="background1" w:themeFillShade="D9"/>
            <w:vAlign w:val="center"/>
          </w:tcPr>
          <w:p w14:paraId="5279310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10.09%</w:t>
            </w:r>
          </w:p>
        </w:tc>
        <w:tc>
          <w:tcPr>
            <w:tcW w:w="1903" w:type="dxa"/>
            <w:shd w:val="clear" w:color="000000" w:fill="D9D9D9" w:themeFill="background1" w:themeFillShade="D9"/>
            <w:vAlign w:val="center"/>
          </w:tcPr>
          <w:p w14:paraId="0E5AC47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10.12%</w:t>
            </w:r>
          </w:p>
        </w:tc>
      </w:tr>
      <w:tr w:rsidR="000A2209" w:rsidRPr="001569FB" w14:paraId="0CBF9567" w14:textId="77777777" w:rsidTr="00772B25">
        <w:trPr>
          <w:cantSplit/>
          <w:trHeight w:val="270"/>
          <w:jc w:val="center"/>
        </w:trPr>
        <w:tc>
          <w:tcPr>
            <w:tcW w:w="960" w:type="dxa"/>
            <w:shd w:val="clear" w:color="000000" w:fill="D9D9D9" w:themeFill="background1" w:themeFillShade="D9"/>
            <w:vAlign w:val="center"/>
            <w:hideMark/>
          </w:tcPr>
          <w:p w14:paraId="084F0DE5"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2016</w:t>
            </w:r>
          </w:p>
        </w:tc>
        <w:tc>
          <w:tcPr>
            <w:tcW w:w="1902" w:type="dxa"/>
            <w:shd w:val="clear" w:color="000000" w:fill="D9D9D9" w:themeFill="background1" w:themeFillShade="D9"/>
            <w:vAlign w:val="center"/>
          </w:tcPr>
          <w:p w14:paraId="5BD4BABE"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9.90%</w:t>
            </w:r>
          </w:p>
        </w:tc>
        <w:tc>
          <w:tcPr>
            <w:tcW w:w="1903" w:type="dxa"/>
            <w:shd w:val="clear" w:color="000000" w:fill="D9D9D9" w:themeFill="background1" w:themeFillShade="D9"/>
            <w:vAlign w:val="center"/>
          </w:tcPr>
          <w:p w14:paraId="0B0CFFD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9.92%</w:t>
            </w:r>
          </w:p>
        </w:tc>
      </w:tr>
      <w:tr w:rsidR="000A2209" w:rsidRPr="001569FB" w14:paraId="0B6237ED" w14:textId="77777777" w:rsidTr="00772B25">
        <w:trPr>
          <w:cantSplit/>
          <w:trHeight w:val="270"/>
          <w:jc w:val="center"/>
        </w:trPr>
        <w:tc>
          <w:tcPr>
            <w:tcW w:w="960" w:type="dxa"/>
            <w:shd w:val="clear" w:color="000000" w:fill="D9D9D9" w:themeFill="background1" w:themeFillShade="D9"/>
            <w:vAlign w:val="center"/>
            <w:hideMark/>
          </w:tcPr>
          <w:p w14:paraId="2CD35009" w14:textId="77777777" w:rsidR="000A2209" w:rsidRPr="001569FB" w:rsidRDefault="000A2209" w:rsidP="00772B25">
            <w:pPr>
              <w:keepNext/>
              <w:keepLines/>
              <w:spacing w:line="240" w:lineRule="auto"/>
              <w:jc w:val="center"/>
              <w:rPr>
                <w:b/>
                <w:bCs/>
                <w:color w:val="000000"/>
                <w:szCs w:val="24"/>
              </w:rPr>
            </w:pPr>
            <w:r w:rsidRPr="001569FB">
              <w:rPr>
                <w:b/>
                <w:bCs/>
                <w:color w:val="000000"/>
                <w:szCs w:val="24"/>
              </w:rPr>
              <w:t>2017</w:t>
            </w:r>
          </w:p>
        </w:tc>
        <w:tc>
          <w:tcPr>
            <w:tcW w:w="1902" w:type="dxa"/>
            <w:shd w:val="clear" w:color="000000" w:fill="D9D9D9" w:themeFill="background1" w:themeFillShade="D9"/>
            <w:vAlign w:val="center"/>
          </w:tcPr>
          <w:p w14:paraId="41B224EA"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4.14%</w:t>
            </w:r>
          </w:p>
        </w:tc>
        <w:tc>
          <w:tcPr>
            <w:tcW w:w="1903" w:type="dxa"/>
            <w:shd w:val="clear" w:color="000000" w:fill="D9D9D9" w:themeFill="background1" w:themeFillShade="D9"/>
            <w:vAlign w:val="center"/>
          </w:tcPr>
          <w:p w14:paraId="6A3EEEF6"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4.00%</w:t>
            </w:r>
          </w:p>
        </w:tc>
      </w:tr>
      <w:tr w:rsidR="000A2209" w:rsidRPr="001569FB" w14:paraId="58A3D7BC" w14:textId="77777777" w:rsidTr="00772B25">
        <w:trPr>
          <w:cantSplit/>
          <w:trHeight w:val="270"/>
          <w:jc w:val="center"/>
        </w:trPr>
        <w:tc>
          <w:tcPr>
            <w:tcW w:w="960" w:type="dxa"/>
            <w:shd w:val="clear" w:color="000000" w:fill="D9D9D9" w:themeFill="background1" w:themeFillShade="D9"/>
            <w:vAlign w:val="center"/>
          </w:tcPr>
          <w:p w14:paraId="5208296E" w14:textId="77777777" w:rsidR="000A2209" w:rsidRPr="001569FB" w:rsidRDefault="000A2209" w:rsidP="000A2209">
            <w:pPr>
              <w:spacing w:line="240" w:lineRule="auto"/>
              <w:jc w:val="center"/>
              <w:rPr>
                <w:b/>
                <w:bCs/>
                <w:color w:val="000000"/>
                <w:szCs w:val="24"/>
              </w:rPr>
            </w:pPr>
            <w:r w:rsidRPr="001569FB">
              <w:rPr>
                <w:b/>
                <w:bCs/>
                <w:color w:val="000000"/>
                <w:szCs w:val="24"/>
              </w:rPr>
              <w:t>2018</w:t>
            </w:r>
          </w:p>
        </w:tc>
        <w:tc>
          <w:tcPr>
            <w:tcW w:w="1902" w:type="dxa"/>
            <w:shd w:val="clear" w:color="000000" w:fill="D9D9D9" w:themeFill="background1" w:themeFillShade="D9"/>
            <w:vAlign w:val="center"/>
          </w:tcPr>
          <w:p w14:paraId="1E2A52DB"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3.94%</w:t>
            </w:r>
          </w:p>
        </w:tc>
        <w:tc>
          <w:tcPr>
            <w:tcW w:w="1903" w:type="dxa"/>
            <w:shd w:val="clear" w:color="000000" w:fill="D9D9D9" w:themeFill="background1" w:themeFillShade="D9"/>
            <w:vAlign w:val="center"/>
          </w:tcPr>
          <w:p w14:paraId="58B952A1"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2.02%</w:t>
            </w:r>
          </w:p>
        </w:tc>
      </w:tr>
    </w:tbl>
    <w:p w14:paraId="20981AB2" w14:textId="50BAA88C" w:rsidR="009B6B64" w:rsidRPr="001569FB" w:rsidRDefault="00443291" w:rsidP="00E71478">
      <w:pPr>
        <w:spacing w:before="480" w:after="200"/>
        <w:rPr>
          <w:szCs w:val="24"/>
        </w:rPr>
      </w:pPr>
      <w:r w:rsidRPr="001569FB">
        <w:rPr>
          <w:szCs w:val="24"/>
        </w:rPr>
        <w:lastRenderedPageBreak/>
        <w:t xml:space="preserve">Accordingly, the </w:t>
      </w:r>
      <w:r w:rsidR="00A95A1E" w:rsidRPr="001569FB">
        <w:rPr>
          <w:szCs w:val="24"/>
        </w:rPr>
        <w:t xml:space="preserve">2019 </w:t>
      </w:r>
      <w:r w:rsidRPr="001569FB">
        <w:rPr>
          <w:szCs w:val="24"/>
        </w:rPr>
        <w:t>benefit parameters reflect a multiplicative update of</w:t>
      </w:r>
      <w:r w:rsidR="00B41A9A" w:rsidRPr="001569FB">
        <w:rPr>
          <w:szCs w:val="24"/>
        </w:rPr>
        <w:t xml:space="preserve"> </w:t>
      </w:r>
      <w:r w:rsidR="00E31720" w:rsidRPr="001569FB">
        <w:rPr>
          <w:szCs w:val="24"/>
        </w:rPr>
        <w:t>-1.95</w:t>
      </w:r>
      <w:r w:rsidR="00E57091" w:rsidRPr="001569FB">
        <w:rPr>
          <w:szCs w:val="24"/>
        </w:rPr>
        <w:t xml:space="preserve"> </w:t>
      </w:r>
      <w:r w:rsidRPr="001569FB">
        <w:rPr>
          <w:szCs w:val="24"/>
        </w:rPr>
        <w:t xml:space="preserve">percent for prior year revisions.  In summary, the </w:t>
      </w:r>
      <w:r w:rsidR="00A95A1E" w:rsidRPr="001569FB">
        <w:rPr>
          <w:szCs w:val="24"/>
        </w:rPr>
        <w:t xml:space="preserve">2018 </w:t>
      </w:r>
      <w:r w:rsidRPr="001569FB">
        <w:rPr>
          <w:szCs w:val="24"/>
        </w:rPr>
        <w:t xml:space="preserve">parameters outlined in Section A are updated by </w:t>
      </w:r>
      <w:r w:rsidR="00E31720" w:rsidRPr="001569FB">
        <w:rPr>
          <w:szCs w:val="24"/>
        </w:rPr>
        <w:t>1.94</w:t>
      </w:r>
      <w:r w:rsidR="003B794B" w:rsidRPr="001569FB">
        <w:rPr>
          <w:szCs w:val="24"/>
        </w:rPr>
        <w:t xml:space="preserve"> </w:t>
      </w:r>
      <w:r w:rsidRPr="001569FB">
        <w:rPr>
          <w:szCs w:val="24"/>
        </w:rPr>
        <w:t xml:space="preserve">percent for </w:t>
      </w:r>
      <w:r w:rsidR="00A95A1E" w:rsidRPr="001569FB">
        <w:rPr>
          <w:szCs w:val="24"/>
        </w:rPr>
        <w:t>2019</w:t>
      </w:r>
      <w:r w:rsidR="00245019" w:rsidRPr="001569FB">
        <w:rPr>
          <w:szCs w:val="24"/>
        </w:rPr>
        <w:t>,</w:t>
      </w:r>
      <w:r w:rsidRPr="001569FB">
        <w:rPr>
          <w:szCs w:val="24"/>
        </w:rPr>
        <w:t xml:space="preserve"> as summarized by Table </w:t>
      </w:r>
      <w:r w:rsidR="00F77D7B" w:rsidRPr="001569FB">
        <w:rPr>
          <w:szCs w:val="24"/>
        </w:rPr>
        <w:t>IV-2</w:t>
      </w:r>
      <w:r w:rsidRPr="001569FB">
        <w:rPr>
          <w:szCs w:val="24"/>
        </w:rPr>
        <w:t>.</w:t>
      </w:r>
    </w:p>
    <w:p w14:paraId="0644D883" w14:textId="77777777" w:rsidR="009B6B64" w:rsidRPr="001569FB" w:rsidRDefault="009B6B64" w:rsidP="008C291C">
      <w:pPr>
        <w:pStyle w:val="TableTitle0"/>
        <w:rPr>
          <w:szCs w:val="24"/>
        </w:rPr>
      </w:pPr>
      <w:r w:rsidRPr="001569FB">
        <w:rPr>
          <w:szCs w:val="24"/>
        </w:rPr>
        <w:t>Table IV-2</w:t>
      </w:r>
      <w:r w:rsidR="0067131F" w:rsidRPr="001569FB">
        <w:rPr>
          <w:szCs w:val="24"/>
        </w:rPr>
        <w:t xml:space="preserve">.  </w:t>
      </w:r>
      <w:r w:rsidRPr="001569FB">
        <w:rPr>
          <w:szCs w:val="24"/>
        </w:rPr>
        <w:t>Annual Percentage Increase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9"/>
        <w:gridCol w:w="990"/>
      </w:tblGrid>
      <w:tr w:rsidR="00E31720" w:rsidRPr="001569FB" w14:paraId="35B4178A" w14:textId="77777777" w:rsidTr="00E31720">
        <w:trPr>
          <w:trHeight w:val="157"/>
          <w:jc w:val="center"/>
        </w:trPr>
        <w:tc>
          <w:tcPr>
            <w:tcW w:w="3949" w:type="dxa"/>
            <w:vAlign w:val="bottom"/>
          </w:tcPr>
          <w:p w14:paraId="1A32D5C3"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trend for July 2018 </w:t>
            </w:r>
          </w:p>
        </w:tc>
        <w:tc>
          <w:tcPr>
            <w:tcW w:w="990" w:type="dxa"/>
          </w:tcPr>
          <w:p w14:paraId="2B3F47D9"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3.96%</w:t>
            </w:r>
          </w:p>
        </w:tc>
      </w:tr>
      <w:tr w:rsidR="00E31720" w:rsidRPr="001569FB" w14:paraId="6DE09AE3" w14:textId="77777777" w:rsidTr="00E31720">
        <w:trPr>
          <w:trHeight w:val="157"/>
          <w:jc w:val="center"/>
        </w:trPr>
        <w:tc>
          <w:tcPr>
            <w:tcW w:w="3949" w:type="dxa"/>
            <w:vAlign w:val="bottom"/>
          </w:tcPr>
          <w:p w14:paraId="58F7DC74"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Prior year revisions </w:t>
            </w:r>
          </w:p>
        </w:tc>
        <w:tc>
          <w:tcPr>
            <w:tcW w:w="990" w:type="dxa"/>
          </w:tcPr>
          <w:p w14:paraId="37D12762"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-1.95%</w:t>
            </w:r>
          </w:p>
        </w:tc>
      </w:tr>
      <w:tr w:rsidR="00E31720" w:rsidRPr="001569FB" w14:paraId="29081489" w14:textId="77777777" w:rsidTr="00E31720">
        <w:trPr>
          <w:trHeight w:val="157"/>
          <w:jc w:val="center"/>
        </w:trPr>
        <w:tc>
          <w:tcPr>
            <w:tcW w:w="3949" w:type="dxa"/>
            <w:vAlign w:val="bottom"/>
          </w:tcPr>
          <w:p w14:paraId="5CA2F0D2" w14:textId="0E4B16E6" w:rsidR="00E31720" w:rsidRPr="001569FB" w:rsidRDefault="00E31720" w:rsidP="00E74FEB">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increase for </w:t>
            </w:r>
            <w:r w:rsidR="00E74FEB" w:rsidRPr="001569FB">
              <w:rPr>
                <w:color w:val="000000"/>
                <w:szCs w:val="24"/>
              </w:rPr>
              <w:t xml:space="preserve">2019 </w:t>
            </w:r>
          </w:p>
        </w:tc>
        <w:tc>
          <w:tcPr>
            <w:tcW w:w="990" w:type="dxa"/>
          </w:tcPr>
          <w:p w14:paraId="71FD99F4"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1.94%</w:t>
            </w:r>
          </w:p>
        </w:tc>
      </w:tr>
    </w:tbl>
    <w:p w14:paraId="36089F04" w14:textId="77777777" w:rsidR="009B6B64" w:rsidRPr="001569FB" w:rsidRDefault="009B6B64" w:rsidP="00E778AD">
      <w:pPr>
        <w:keepLines/>
        <w:spacing w:before="40" w:line="240" w:lineRule="auto"/>
        <w:ind w:left="2246"/>
        <w:rPr>
          <w:szCs w:val="24"/>
        </w:rPr>
      </w:pPr>
      <w:r w:rsidRPr="001569FB">
        <w:rPr>
          <w:szCs w:val="24"/>
        </w:rPr>
        <w:t>Note: Percentages are multiplicative, not additive.</w:t>
      </w:r>
      <w:r w:rsidR="00EF1741" w:rsidRPr="001569FB">
        <w:rPr>
          <w:szCs w:val="24"/>
        </w:rPr>
        <w:t xml:space="preserve"> </w:t>
      </w:r>
      <w:r w:rsidR="00E778AD" w:rsidRPr="001569FB">
        <w:rPr>
          <w:szCs w:val="24"/>
        </w:rPr>
        <w:br/>
      </w:r>
      <w:r w:rsidRPr="001569FB">
        <w:rPr>
          <w:szCs w:val="24"/>
        </w:rPr>
        <w:t xml:space="preserve">Values are carried to additional decimal places and may </w:t>
      </w:r>
      <w:r w:rsidR="003E3A35" w:rsidRPr="001569FB">
        <w:rPr>
          <w:szCs w:val="24"/>
        </w:rPr>
        <w:br/>
      </w:r>
      <w:r w:rsidRPr="001569FB">
        <w:rPr>
          <w:szCs w:val="24"/>
        </w:rPr>
        <w:t xml:space="preserve">not agree </w:t>
      </w:r>
      <w:r w:rsidR="008F6228" w:rsidRPr="001569FB">
        <w:rPr>
          <w:szCs w:val="24"/>
        </w:rPr>
        <w:t xml:space="preserve">to </w:t>
      </w:r>
      <w:r w:rsidRPr="001569FB">
        <w:rPr>
          <w:szCs w:val="24"/>
        </w:rPr>
        <w:t>the rounded values presented above.</w:t>
      </w:r>
    </w:p>
    <w:p w14:paraId="03C92EBA" w14:textId="77777777" w:rsidR="009B6B64" w:rsidRPr="001569FB" w:rsidRDefault="009B6B64" w:rsidP="00203CF7">
      <w:pPr>
        <w:pStyle w:val="Heading3"/>
      </w:pPr>
      <w:r w:rsidRPr="001569FB">
        <w:t>Annual Percentage Increase in Consumer Price Index</w:t>
      </w:r>
      <w:r w:rsidR="00D4026A" w:rsidRPr="001569FB">
        <w:t xml:space="preserve">, </w:t>
      </w:r>
      <w:r w:rsidR="001B5B36" w:rsidRPr="001569FB">
        <w:t>September (</w:t>
      </w:r>
      <w:r w:rsidR="00D4026A" w:rsidRPr="001569FB">
        <w:t>September</w:t>
      </w:r>
      <w:r w:rsidR="001B5B36" w:rsidRPr="001569FB">
        <w:t xml:space="preserve"> CPI)</w:t>
      </w:r>
    </w:p>
    <w:p w14:paraId="581259FB" w14:textId="77777777" w:rsidR="00EF1741" w:rsidRPr="001569FB" w:rsidRDefault="009B6B64" w:rsidP="00E746B1">
      <w:pPr>
        <w:spacing w:before="200" w:after="200"/>
        <w:rPr>
          <w:szCs w:val="24"/>
        </w:rPr>
      </w:pPr>
      <w:r w:rsidRPr="001569FB">
        <w:rPr>
          <w:szCs w:val="24"/>
        </w:rPr>
        <w:t xml:space="preserve">To ensure that plan sponsors and CMS have sufficient time to incorporate cost-sharing requirements into </w:t>
      </w:r>
      <w:r w:rsidR="000917F1" w:rsidRPr="001569FB">
        <w:rPr>
          <w:szCs w:val="24"/>
        </w:rPr>
        <w:t xml:space="preserve">the development of the </w:t>
      </w:r>
      <w:r w:rsidRPr="001569FB">
        <w:rPr>
          <w:szCs w:val="24"/>
        </w:rPr>
        <w:t xml:space="preserve">benefit, </w:t>
      </w:r>
      <w:r w:rsidR="000917F1" w:rsidRPr="001569FB">
        <w:rPr>
          <w:szCs w:val="24"/>
        </w:rPr>
        <w:t xml:space="preserve">any </w:t>
      </w:r>
      <w:r w:rsidRPr="001569FB">
        <w:rPr>
          <w:szCs w:val="24"/>
        </w:rPr>
        <w:t>marketing material</w:t>
      </w:r>
      <w:r w:rsidR="000917F1" w:rsidRPr="001569FB">
        <w:rPr>
          <w:szCs w:val="24"/>
        </w:rPr>
        <w:t>s,</w:t>
      </w:r>
      <w:r w:rsidRPr="001569FB">
        <w:rPr>
          <w:szCs w:val="24"/>
        </w:rPr>
        <w:t xml:space="preserve"> and </w:t>
      </w:r>
      <w:r w:rsidR="000917F1" w:rsidRPr="001569FB">
        <w:rPr>
          <w:szCs w:val="24"/>
        </w:rPr>
        <w:t xml:space="preserve">necessary </w:t>
      </w:r>
      <w:r w:rsidRPr="001569FB">
        <w:rPr>
          <w:szCs w:val="24"/>
        </w:rPr>
        <w:t xml:space="preserve">systems, </w:t>
      </w:r>
      <w:r w:rsidR="00D0212D" w:rsidRPr="001569FB">
        <w:rPr>
          <w:szCs w:val="24"/>
        </w:rPr>
        <w:t xml:space="preserve">CMS includes in its </w:t>
      </w:r>
      <w:r w:rsidRPr="001569FB">
        <w:rPr>
          <w:szCs w:val="24"/>
        </w:rPr>
        <w:t xml:space="preserve">methodology to calculate </w:t>
      </w:r>
      <w:r w:rsidR="00D4026A" w:rsidRPr="001569FB">
        <w:rPr>
          <w:szCs w:val="24"/>
        </w:rPr>
        <w:t>the annual percentage increase in the CPI for the 12</w:t>
      </w:r>
      <w:r w:rsidR="00D0212D" w:rsidRPr="001569FB">
        <w:rPr>
          <w:szCs w:val="24"/>
        </w:rPr>
        <w:t>-</w:t>
      </w:r>
      <w:r w:rsidR="00D4026A" w:rsidRPr="001569FB">
        <w:rPr>
          <w:szCs w:val="24"/>
        </w:rPr>
        <w:t xml:space="preserve">month period ending in September </w:t>
      </w:r>
      <w:r w:rsidR="00EA4320" w:rsidRPr="001569FB">
        <w:rPr>
          <w:szCs w:val="24"/>
        </w:rPr>
        <w:t>2018</w:t>
      </w:r>
      <w:r w:rsidR="00D0212D" w:rsidRPr="001569FB">
        <w:rPr>
          <w:szCs w:val="24"/>
        </w:rPr>
        <w:t>,</w:t>
      </w:r>
      <w:r w:rsidRPr="001569FB">
        <w:rPr>
          <w:szCs w:val="24"/>
        </w:rPr>
        <w:t xml:space="preserve"> an estimate of the September </w:t>
      </w:r>
      <w:r w:rsidR="00EA4320" w:rsidRPr="001569FB">
        <w:rPr>
          <w:szCs w:val="24"/>
        </w:rPr>
        <w:t xml:space="preserve">2018 </w:t>
      </w:r>
      <w:r w:rsidRPr="001569FB">
        <w:rPr>
          <w:szCs w:val="24"/>
        </w:rPr>
        <w:t xml:space="preserve">CPI based on </w:t>
      </w:r>
      <w:r w:rsidR="000917F1" w:rsidRPr="001569FB">
        <w:rPr>
          <w:szCs w:val="24"/>
        </w:rPr>
        <w:t xml:space="preserve">projections from the </w:t>
      </w:r>
      <w:r w:rsidRPr="001569FB">
        <w:rPr>
          <w:szCs w:val="24"/>
        </w:rPr>
        <w:t xml:space="preserve">President’s </w:t>
      </w:r>
      <w:r w:rsidR="00EA4320" w:rsidRPr="001569FB">
        <w:rPr>
          <w:szCs w:val="24"/>
        </w:rPr>
        <w:t xml:space="preserve">FY2019 </w:t>
      </w:r>
      <w:r w:rsidRPr="001569FB">
        <w:rPr>
          <w:szCs w:val="24"/>
        </w:rPr>
        <w:t>Budget.</w:t>
      </w:r>
      <w:r w:rsidR="00EF1741" w:rsidRPr="001569FB">
        <w:rPr>
          <w:szCs w:val="24"/>
        </w:rPr>
        <w:t xml:space="preserve"> </w:t>
      </w:r>
    </w:p>
    <w:p w14:paraId="5312C5CD" w14:textId="77777777" w:rsidR="009B6B64" w:rsidRPr="001569FB" w:rsidRDefault="009B6B64" w:rsidP="00E746B1">
      <w:pPr>
        <w:spacing w:before="200" w:after="200"/>
        <w:rPr>
          <w:szCs w:val="24"/>
        </w:rPr>
      </w:pPr>
      <w:r w:rsidRPr="001569FB">
        <w:rPr>
          <w:szCs w:val="24"/>
        </w:rPr>
        <w:t xml:space="preserve">The September </w:t>
      </w:r>
      <w:r w:rsidR="00EA4320" w:rsidRPr="001569FB">
        <w:rPr>
          <w:szCs w:val="24"/>
        </w:rPr>
        <w:t xml:space="preserve">2017 </w:t>
      </w:r>
      <w:r w:rsidRPr="001569FB">
        <w:rPr>
          <w:szCs w:val="24"/>
        </w:rPr>
        <w:t xml:space="preserve">value is from the Bureau of Labor Statistics.  The annual percentage trend in </w:t>
      </w:r>
      <w:r w:rsidR="001B5B36" w:rsidRPr="001569FB">
        <w:rPr>
          <w:szCs w:val="24"/>
        </w:rPr>
        <w:t xml:space="preserve">the September </w:t>
      </w:r>
      <w:r w:rsidRPr="001569FB">
        <w:rPr>
          <w:szCs w:val="24"/>
        </w:rPr>
        <w:t xml:space="preserve">CPI for contract year </w:t>
      </w:r>
      <w:r w:rsidR="00EA4320" w:rsidRPr="001569FB">
        <w:rPr>
          <w:szCs w:val="24"/>
        </w:rPr>
        <w:t xml:space="preserve">2019 </w:t>
      </w:r>
      <w:r w:rsidRPr="001569FB">
        <w:rPr>
          <w:szCs w:val="24"/>
        </w:rPr>
        <w:t>is calculated as follows:</w:t>
      </w:r>
    </w:p>
    <w:p w14:paraId="123B3E97" w14:textId="77777777" w:rsidR="007605BD" w:rsidRPr="001569FB" w:rsidRDefault="006B65AC" w:rsidP="008F6228">
      <w:pPr>
        <w:spacing w:after="200"/>
        <w:jc w:val="center"/>
        <w:rPr>
          <w:szCs w:val="24"/>
        </w:rPr>
      </w:pPr>
      <m:oMathPara>
        <m:oMath>
          <m:f>
            <m:fPr>
              <m:ctrlPr>
                <w:rPr>
                  <w:rFonts w:ascii="Cambria Math" w:hAnsi="Cambria Math"/>
                  <w:i/>
                  <w:szCs w:val="24"/>
                </w:rPr>
              </m:ctrlPr>
            </m:fPr>
            <m:num>
              <m:r>
                <m:rPr>
                  <m:nor/>
                </m:rPr>
                <w:rPr>
                  <w:szCs w:val="24"/>
                </w:rPr>
                <m:t>Projected September 2018 CPI</m:t>
              </m:r>
            </m:num>
            <m:den>
              <m:r>
                <m:rPr>
                  <m:nor/>
                </m:rPr>
                <w:rPr>
                  <w:szCs w:val="24"/>
                </w:rPr>
                <m:t>Actual September 2017</m:t>
              </m:r>
              <m:r>
                <m:rPr>
                  <m:nor/>
                </m:rPr>
                <w:rPr>
                  <w:rFonts w:ascii="Cambria Math"/>
                  <w:szCs w:val="24"/>
                </w:rPr>
                <m:t xml:space="preserve"> </m:t>
              </m:r>
              <m:r>
                <m:rPr>
                  <m:nor/>
                </m:rPr>
                <w:rPr>
                  <w:szCs w:val="24"/>
                </w:rPr>
                <m:t>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251.6</m:t>
              </m:r>
            </m:num>
            <m:den>
              <m:r>
                <m:rPr>
                  <m:sty m:val="p"/>
                </m:rPr>
                <w:rPr>
                  <w:rFonts w:ascii="Cambria Math" w:hAnsi="Cambria Math"/>
                  <w:szCs w:val="24"/>
                </w:rPr>
                <m:t>246.8</m:t>
              </m:r>
            </m:den>
          </m:f>
          <m:r>
            <w:rPr>
              <w:rFonts w:ascii="Cambria Math" w:hAnsi="Cambria Math"/>
              <w:szCs w:val="24"/>
            </w:rPr>
            <m:t>=</m:t>
          </m:r>
          <m:r>
            <m:rPr>
              <m:sty m:val="p"/>
            </m:rPr>
            <w:rPr>
              <w:rFonts w:ascii="Cambria Math" w:hAnsi="Cambria Math"/>
              <w:szCs w:val="24"/>
            </w:rPr>
            <m:t>1.0195</m:t>
          </m:r>
        </m:oMath>
      </m:oMathPara>
    </w:p>
    <w:p w14:paraId="05DCD6AA" w14:textId="77777777" w:rsidR="00547963" w:rsidRPr="001569FB" w:rsidRDefault="008F6228" w:rsidP="00723556">
      <w:pPr>
        <w:ind w:left="720"/>
        <w:rPr>
          <w:szCs w:val="24"/>
        </w:rPr>
      </w:pPr>
      <m:oMath>
        <m:r>
          <w:rPr>
            <w:rFonts w:ascii="Cambria Math" w:hAnsi="Cambria Math"/>
            <w:szCs w:val="24"/>
          </w:rPr>
          <m:t xml:space="preserve"> </m:t>
        </m:r>
      </m:oMath>
      <w:r w:rsidR="00547963" w:rsidRPr="001569FB">
        <w:rPr>
          <w:szCs w:val="24"/>
        </w:rPr>
        <w:t xml:space="preserve">(Source: President’s </w:t>
      </w:r>
      <w:r w:rsidR="00EA4320" w:rsidRPr="001569FB">
        <w:rPr>
          <w:szCs w:val="24"/>
        </w:rPr>
        <w:t xml:space="preserve">FY2019 </w:t>
      </w:r>
      <w:r w:rsidR="00547963" w:rsidRPr="001569FB">
        <w:rPr>
          <w:szCs w:val="24"/>
        </w:rPr>
        <w:t>Budget and Bureau of Labor Statistics, Department of Labor)</w:t>
      </w:r>
    </w:p>
    <w:p w14:paraId="0423E6E4" w14:textId="1D49DB0C" w:rsidR="00547963" w:rsidRPr="001569FB" w:rsidRDefault="00547963" w:rsidP="00547963">
      <w:pPr>
        <w:spacing w:before="200" w:after="200"/>
        <w:rPr>
          <w:szCs w:val="24"/>
        </w:rPr>
      </w:pPr>
      <w:r w:rsidRPr="001569FB">
        <w:rPr>
          <w:szCs w:val="24"/>
        </w:rPr>
        <w:t xml:space="preserve">The </w:t>
      </w:r>
      <w:r w:rsidR="00EA4320" w:rsidRPr="001569FB">
        <w:rPr>
          <w:szCs w:val="24"/>
        </w:rPr>
        <w:t xml:space="preserve">2019 </w:t>
      </w:r>
      <w:r w:rsidRPr="001569FB">
        <w:rPr>
          <w:szCs w:val="24"/>
        </w:rPr>
        <w:t xml:space="preserve">benefit parameters reflect the </w:t>
      </w:r>
      <w:r w:rsidR="00EA4320" w:rsidRPr="001569FB">
        <w:rPr>
          <w:szCs w:val="24"/>
        </w:rPr>
        <w:t xml:space="preserve">2018 </w:t>
      </w:r>
      <w:r w:rsidRPr="001569FB">
        <w:rPr>
          <w:szCs w:val="24"/>
        </w:rPr>
        <w:t xml:space="preserve">annual percentage trend in the </w:t>
      </w:r>
      <w:r w:rsidR="001B5B36" w:rsidRPr="001569FB">
        <w:rPr>
          <w:szCs w:val="24"/>
        </w:rPr>
        <w:t xml:space="preserve">September </w:t>
      </w:r>
      <w:r w:rsidRPr="001569FB">
        <w:rPr>
          <w:szCs w:val="24"/>
        </w:rPr>
        <w:t>CPI</w:t>
      </w:r>
      <w:r w:rsidR="000917F1" w:rsidRPr="001569FB">
        <w:rPr>
          <w:szCs w:val="24"/>
        </w:rPr>
        <w:t xml:space="preserve"> of </w:t>
      </w:r>
      <w:r w:rsidR="00E31720" w:rsidRPr="001569FB">
        <w:rPr>
          <w:szCs w:val="24"/>
        </w:rPr>
        <w:t>1.95</w:t>
      </w:r>
      <w:r w:rsidR="007B6641" w:rsidRPr="001569FB">
        <w:rPr>
          <w:szCs w:val="24"/>
        </w:rPr>
        <w:t xml:space="preserve"> </w:t>
      </w:r>
      <w:r w:rsidR="000917F1" w:rsidRPr="001569FB">
        <w:rPr>
          <w:szCs w:val="24"/>
        </w:rPr>
        <w:t>percent</w:t>
      </w:r>
      <w:r w:rsidRPr="001569FB">
        <w:rPr>
          <w:szCs w:val="24"/>
        </w:rPr>
        <w:t xml:space="preserve">, as well as a revision to the prior estimate for the </w:t>
      </w:r>
      <w:r w:rsidR="00EA4320" w:rsidRPr="001569FB">
        <w:rPr>
          <w:szCs w:val="24"/>
        </w:rPr>
        <w:t xml:space="preserve">2017 </w:t>
      </w:r>
      <w:r w:rsidR="001B5B36" w:rsidRPr="001569FB">
        <w:rPr>
          <w:szCs w:val="24"/>
        </w:rPr>
        <w:t>CPI</w:t>
      </w:r>
      <w:r w:rsidRPr="001569FB">
        <w:rPr>
          <w:szCs w:val="24"/>
        </w:rPr>
        <w:t xml:space="preserve"> increase</w:t>
      </w:r>
      <w:r w:rsidR="001B5B36" w:rsidRPr="001569FB">
        <w:rPr>
          <w:szCs w:val="24"/>
        </w:rPr>
        <w:t xml:space="preserve"> over the 12</w:t>
      </w:r>
      <w:r w:rsidR="00D0212D" w:rsidRPr="001569FB">
        <w:rPr>
          <w:szCs w:val="24"/>
        </w:rPr>
        <w:t>-</w:t>
      </w:r>
      <w:r w:rsidR="001B5B36" w:rsidRPr="001569FB">
        <w:rPr>
          <w:szCs w:val="24"/>
        </w:rPr>
        <w:t xml:space="preserve">month period ending in September </w:t>
      </w:r>
      <w:r w:rsidR="00EA4320" w:rsidRPr="001569FB">
        <w:rPr>
          <w:szCs w:val="24"/>
        </w:rPr>
        <w:t>2017</w:t>
      </w:r>
      <w:r w:rsidRPr="001569FB">
        <w:rPr>
          <w:szCs w:val="24"/>
        </w:rPr>
        <w:t xml:space="preserve">.  Based on the actual reported CPI for September </w:t>
      </w:r>
      <w:r w:rsidR="00EA4320" w:rsidRPr="001569FB">
        <w:rPr>
          <w:szCs w:val="24"/>
        </w:rPr>
        <w:t>2017</w:t>
      </w:r>
      <w:r w:rsidRPr="001569FB">
        <w:rPr>
          <w:szCs w:val="24"/>
        </w:rPr>
        <w:t xml:space="preserve">, the September </w:t>
      </w:r>
      <w:r w:rsidR="00EA4320" w:rsidRPr="001569FB">
        <w:rPr>
          <w:szCs w:val="24"/>
        </w:rPr>
        <w:t xml:space="preserve">2017 </w:t>
      </w:r>
      <w:r w:rsidRPr="001569FB">
        <w:rPr>
          <w:szCs w:val="24"/>
        </w:rPr>
        <w:t xml:space="preserve">CPI increase is now estimated to be </w:t>
      </w:r>
      <w:r w:rsidR="00E31720" w:rsidRPr="001569FB">
        <w:rPr>
          <w:szCs w:val="24"/>
        </w:rPr>
        <w:t xml:space="preserve">2.23 </w:t>
      </w:r>
      <w:r w:rsidRPr="001569FB">
        <w:rPr>
          <w:szCs w:val="24"/>
        </w:rPr>
        <w:t xml:space="preserve">percent.  </w:t>
      </w:r>
      <w:r w:rsidR="00741FC7" w:rsidRPr="001569FB">
        <w:rPr>
          <w:szCs w:val="24"/>
        </w:rPr>
        <w:t>Accordingly</w:t>
      </w:r>
      <w:r w:rsidRPr="001569FB">
        <w:rPr>
          <w:szCs w:val="24"/>
        </w:rPr>
        <w:t xml:space="preserve">, the </w:t>
      </w:r>
      <w:r w:rsidR="00E74FEB" w:rsidRPr="001569FB">
        <w:rPr>
          <w:szCs w:val="24"/>
        </w:rPr>
        <w:t xml:space="preserve">2019 </w:t>
      </w:r>
      <w:r w:rsidRPr="001569FB">
        <w:rPr>
          <w:szCs w:val="24"/>
        </w:rPr>
        <w:t xml:space="preserve">update reflects a </w:t>
      </w:r>
      <w:r w:rsidR="00E74FEB" w:rsidRPr="001569FB">
        <w:rPr>
          <w:szCs w:val="24"/>
        </w:rPr>
        <w:t>-</w:t>
      </w:r>
      <w:r w:rsidR="00E31720" w:rsidRPr="001569FB">
        <w:rPr>
          <w:szCs w:val="24"/>
        </w:rPr>
        <w:t xml:space="preserve">0.17 </w:t>
      </w:r>
      <w:r w:rsidRPr="001569FB">
        <w:rPr>
          <w:szCs w:val="24"/>
        </w:rPr>
        <w:t xml:space="preserve">percent </w:t>
      </w:r>
      <w:r w:rsidR="000917F1" w:rsidRPr="001569FB">
        <w:rPr>
          <w:szCs w:val="24"/>
        </w:rPr>
        <w:t xml:space="preserve">multiplicative </w:t>
      </w:r>
      <w:r w:rsidRPr="001569FB">
        <w:rPr>
          <w:szCs w:val="24"/>
        </w:rPr>
        <w:t xml:space="preserve">correction for </w:t>
      </w:r>
      <w:r w:rsidR="000917F1" w:rsidRPr="001569FB">
        <w:rPr>
          <w:szCs w:val="24"/>
        </w:rPr>
        <w:t>the revision to last year’s estimate</w:t>
      </w:r>
      <w:r w:rsidRPr="001569FB">
        <w:rPr>
          <w:szCs w:val="24"/>
        </w:rPr>
        <w:t xml:space="preserve">.  In summary, </w:t>
      </w:r>
      <w:r w:rsidR="00D4026A" w:rsidRPr="001569FB">
        <w:rPr>
          <w:szCs w:val="24"/>
        </w:rPr>
        <w:t xml:space="preserve">the maximum copayments below the out-of-pocket threshold for full benefit dual eligible enrollees with incomes not exceeding 100 percent of the Federal </w:t>
      </w:r>
      <w:r w:rsidR="00D0212D" w:rsidRPr="001569FB">
        <w:rPr>
          <w:szCs w:val="24"/>
        </w:rPr>
        <w:t xml:space="preserve">Poverty Level </w:t>
      </w:r>
      <w:r w:rsidRPr="001569FB">
        <w:rPr>
          <w:szCs w:val="24"/>
        </w:rPr>
        <w:t xml:space="preserve">are updated by </w:t>
      </w:r>
      <w:r w:rsidR="00E31720" w:rsidRPr="001569FB">
        <w:rPr>
          <w:szCs w:val="24"/>
        </w:rPr>
        <w:t xml:space="preserve">1.78 </w:t>
      </w:r>
      <w:r w:rsidRPr="001569FB">
        <w:rPr>
          <w:szCs w:val="24"/>
        </w:rPr>
        <w:t xml:space="preserve">percent for </w:t>
      </w:r>
      <w:r w:rsidR="00EA4320" w:rsidRPr="001569FB">
        <w:rPr>
          <w:szCs w:val="24"/>
        </w:rPr>
        <w:t>2019</w:t>
      </w:r>
      <w:r w:rsidR="00D4026A" w:rsidRPr="001569FB">
        <w:rPr>
          <w:szCs w:val="24"/>
        </w:rPr>
        <w:t>,</w:t>
      </w:r>
      <w:r w:rsidRPr="001569FB">
        <w:rPr>
          <w:szCs w:val="24"/>
        </w:rPr>
        <w:t xml:space="preserve"> as summarized by Table </w:t>
      </w:r>
      <w:r w:rsidR="00E74FEB" w:rsidRPr="001569FB">
        <w:rPr>
          <w:szCs w:val="24"/>
        </w:rPr>
        <w:t>IV-3</w:t>
      </w:r>
      <w:r w:rsidRPr="001569FB">
        <w:rPr>
          <w:szCs w:val="24"/>
        </w:rPr>
        <w:t>.</w:t>
      </w:r>
    </w:p>
    <w:p w14:paraId="705D75F8" w14:textId="35651235" w:rsidR="009B6B64" w:rsidRPr="001569FB" w:rsidRDefault="009B6B64" w:rsidP="008C291C">
      <w:pPr>
        <w:pStyle w:val="TableTitle0"/>
        <w:rPr>
          <w:szCs w:val="24"/>
        </w:rPr>
      </w:pPr>
      <w:r w:rsidRPr="001569FB">
        <w:rPr>
          <w:szCs w:val="24"/>
        </w:rPr>
        <w:lastRenderedPageBreak/>
        <w:t xml:space="preserve">Table </w:t>
      </w:r>
      <w:r w:rsidR="00E74FEB" w:rsidRPr="001569FB">
        <w:rPr>
          <w:szCs w:val="24"/>
        </w:rPr>
        <w:t>IV-3</w:t>
      </w:r>
      <w:r w:rsidR="0067131F" w:rsidRPr="001569FB">
        <w:rPr>
          <w:szCs w:val="24"/>
        </w:rPr>
        <w:t xml:space="preserve">.  </w:t>
      </w:r>
      <w:r w:rsidRPr="001569FB">
        <w:rPr>
          <w:szCs w:val="24"/>
        </w:rPr>
        <w:t xml:space="preserve">Cumulative Annual Percentage Increase in </w:t>
      </w:r>
      <w:r w:rsidR="001B5B36" w:rsidRPr="001569FB">
        <w:rPr>
          <w:szCs w:val="24"/>
        </w:rPr>
        <w:t xml:space="preserve">September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1A5E9327" w14:textId="77777777" w:rsidTr="002C01C3">
        <w:trPr>
          <w:jc w:val="center"/>
        </w:trPr>
        <w:tc>
          <w:tcPr>
            <w:tcW w:w="4696" w:type="dxa"/>
          </w:tcPr>
          <w:p w14:paraId="4C838D53" w14:textId="77777777" w:rsidR="002C01C3" w:rsidRPr="001569FB" w:rsidRDefault="002C01C3" w:rsidP="002C01C3">
            <w:pPr>
              <w:keepNext/>
              <w:keepLines/>
              <w:spacing w:before="40" w:after="40" w:line="240" w:lineRule="auto"/>
              <w:rPr>
                <w:szCs w:val="24"/>
              </w:rPr>
            </w:pPr>
            <w:bookmarkStart w:id="466" w:name="_Toc348432301"/>
            <w:bookmarkStart w:id="467" w:name="_Toc348432937"/>
            <w:r w:rsidRPr="001569FB">
              <w:rPr>
                <w:szCs w:val="24"/>
              </w:rPr>
              <w:t>Annual percentage trend for September 2018</w:t>
            </w:r>
          </w:p>
        </w:tc>
        <w:tc>
          <w:tcPr>
            <w:tcW w:w="1040" w:type="dxa"/>
            <w:vAlign w:val="center"/>
          </w:tcPr>
          <w:p w14:paraId="6DD18816" w14:textId="77777777" w:rsidR="002C01C3" w:rsidRPr="001569FB" w:rsidRDefault="002C01C3" w:rsidP="002C01C3">
            <w:pPr>
              <w:keepNext/>
              <w:keepLines/>
              <w:jc w:val="right"/>
              <w:rPr>
                <w:szCs w:val="24"/>
              </w:rPr>
            </w:pPr>
            <w:r w:rsidRPr="001569FB">
              <w:t>1.95%</w:t>
            </w:r>
          </w:p>
        </w:tc>
      </w:tr>
      <w:tr w:rsidR="002C01C3" w:rsidRPr="001569FB" w14:paraId="621A7AF0" w14:textId="77777777" w:rsidTr="002C01C3">
        <w:trPr>
          <w:jc w:val="center"/>
        </w:trPr>
        <w:tc>
          <w:tcPr>
            <w:tcW w:w="4696" w:type="dxa"/>
          </w:tcPr>
          <w:p w14:paraId="39400D05"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69404817" w14:textId="25A3EFFD" w:rsidR="002C01C3" w:rsidRPr="001569FB" w:rsidRDefault="007C3604" w:rsidP="002C01C3">
            <w:pPr>
              <w:keepNext/>
              <w:keepLines/>
              <w:jc w:val="right"/>
              <w:rPr>
                <w:szCs w:val="24"/>
              </w:rPr>
            </w:pPr>
            <w:r w:rsidRPr="001569FB">
              <w:t>−</w:t>
            </w:r>
            <w:r w:rsidR="002C01C3" w:rsidRPr="001569FB">
              <w:t>0.17%</w:t>
            </w:r>
          </w:p>
        </w:tc>
      </w:tr>
      <w:tr w:rsidR="002C01C3" w:rsidRPr="001569FB" w14:paraId="3182C2D4" w14:textId="77777777" w:rsidTr="002C01C3">
        <w:trPr>
          <w:jc w:val="center"/>
        </w:trPr>
        <w:tc>
          <w:tcPr>
            <w:tcW w:w="4696" w:type="dxa"/>
          </w:tcPr>
          <w:p w14:paraId="2CEB2833"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5471EC4A" w14:textId="77777777" w:rsidR="002C01C3" w:rsidRPr="001569FB" w:rsidRDefault="002C01C3" w:rsidP="002C01C3">
            <w:pPr>
              <w:keepNext/>
              <w:keepLines/>
              <w:jc w:val="right"/>
              <w:rPr>
                <w:szCs w:val="24"/>
              </w:rPr>
            </w:pPr>
            <w:r w:rsidRPr="001569FB">
              <w:t>1.78%</w:t>
            </w:r>
          </w:p>
        </w:tc>
      </w:tr>
    </w:tbl>
    <w:p w14:paraId="007900BB" w14:textId="77777777" w:rsidR="00180E04" w:rsidRPr="001569FB" w:rsidRDefault="00180E04" w:rsidP="00E778AD">
      <w:pPr>
        <w:keepLines/>
        <w:spacing w:before="40" w:line="240" w:lineRule="auto"/>
        <w:ind w:left="1886" w:right="1886"/>
        <w:rPr>
          <w:szCs w:val="24"/>
        </w:rPr>
      </w:pPr>
      <w:r w:rsidRPr="001569FB">
        <w:rPr>
          <w:szCs w:val="24"/>
        </w:rPr>
        <w:t xml:space="preserve">Note: Percentages are multiplicative, not additive.  Values are carried to additional decimal places and may not agree </w:t>
      </w:r>
      <w:r w:rsidR="00A56C6E" w:rsidRPr="001569FB">
        <w:rPr>
          <w:szCs w:val="24"/>
        </w:rPr>
        <w:t xml:space="preserve">to </w:t>
      </w:r>
      <w:r w:rsidRPr="001569FB">
        <w:rPr>
          <w:szCs w:val="24"/>
        </w:rPr>
        <w:t>the rounded values presented above.</w:t>
      </w:r>
    </w:p>
    <w:p w14:paraId="3D1DC4E0" w14:textId="77777777" w:rsidR="00230250" w:rsidRPr="001569FB" w:rsidRDefault="00230250" w:rsidP="00230250">
      <w:pPr>
        <w:pStyle w:val="Heading3"/>
      </w:pPr>
      <w:r w:rsidRPr="001569FB">
        <w:t>Annual Percentage Increase in Consumer Price Index, July</w:t>
      </w:r>
      <w:r w:rsidR="001B5B36" w:rsidRPr="001569FB">
        <w:t xml:space="preserve"> (July CPI)</w:t>
      </w:r>
    </w:p>
    <w:p w14:paraId="3A168F08" w14:textId="77777777" w:rsidR="00EF1741" w:rsidRPr="001569FB" w:rsidRDefault="00230250" w:rsidP="00230250">
      <w:pPr>
        <w:spacing w:before="200" w:after="200"/>
        <w:rPr>
          <w:szCs w:val="24"/>
        </w:rPr>
      </w:pPr>
      <w:r w:rsidRPr="001569FB">
        <w:rPr>
          <w:szCs w:val="24"/>
        </w:rPr>
        <w:t xml:space="preserve">As is the case when calculating the annual CPI trend as of September </w:t>
      </w:r>
      <w:r w:rsidR="0024705C" w:rsidRPr="001569FB">
        <w:rPr>
          <w:szCs w:val="24"/>
        </w:rPr>
        <w:t>2018</w:t>
      </w:r>
      <w:r w:rsidRPr="001569FB">
        <w:rPr>
          <w:szCs w:val="24"/>
        </w:rPr>
        <w:t>, the methodology to calculate the annual percentage increase in the CPI for the 12</w:t>
      </w:r>
      <w:r w:rsidR="00D0212D" w:rsidRPr="001569FB">
        <w:rPr>
          <w:szCs w:val="24"/>
        </w:rPr>
        <w:t>-</w:t>
      </w:r>
      <w:r w:rsidRPr="001569FB">
        <w:rPr>
          <w:szCs w:val="24"/>
        </w:rPr>
        <w:t xml:space="preserve">month period ending in July </w:t>
      </w:r>
      <w:r w:rsidR="0024705C" w:rsidRPr="001569FB">
        <w:rPr>
          <w:szCs w:val="24"/>
        </w:rPr>
        <w:t xml:space="preserve">2018 </w:t>
      </w:r>
      <w:r w:rsidRPr="001569FB">
        <w:rPr>
          <w:szCs w:val="24"/>
        </w:rPr>
        <w:t xml:space="preserve">includes an estimate of the July </w:t>
      </w:r>
      <w:r w:rsidR="0024705C" w:rsidRPr="001569FB">
        <w:rPr>
          <w:szCs w:val="24"/>
        </w:rPr>
        <w:t xml:space="preserve">2018 </w:t>
      </w:r>
      <w:r w:rsidRPr="001569FB">
        <w:rPr>
          <w:szCs w:val="24"/>
        </w:rPr>
        <w:t xml:space="preserve">CPI based on projections from the President’s </w:t>
      </w:r>
      <w:r w:rsidR="0024705C" w:rsidRPr="001569FB">
        <w:rPr>
          <w:szCs w:val="24"/>
        </w:rPr>
        <w:t xml:space="preserve">FY2019 </w:t>
      </w:r>
      <w:r w:rsidRPr="001569FB">
        <w:rPr>
          <w:szCs w:val="24"/>
        </w:rPr>
        <w:t>Budget.</w:t>
      </w:r>
      <w:r w:rsidR="00EF1741" w:rsidRPr="001569FB">
        <w:rPr>
          <w:szCs w:val="24"/>
        </w:rPr>
        <w:t xml:space="preserve"> </w:t>
      </w:r>
    </w:p>
    <w:p w14:paraId="0E79FA0E" w14:textId="77777777" w:rsidR="00230250" w:rsidRPr="001569FB" w:rsidRDefault="00230250" w:rsidP="00230250">
      <w:pPr>
        <w:spacing w:before="200" w:after="200"/>
        <w:rPr>
          <w:szCs w:val="24"/>
        </w:rPr>
      </w:pPr>
      <w:r w:rsidRPr="001569FB">
        <w:rPr>
          <w:szCs w:val="24"/>
        </w:rPr>
        <w:t xml:space="preserve">The July </w:t>
      </w:r>
      <w:r w:rsidR="0024705C" w:rsidRPr="001569FB">
        <w:rPr>
          <w:szCs w:val="24"/>
        </w:rPr>
        <w:t xml:space="preserve">2017 </w:t>
      </w:r>
      <w:r w:rsidRPr="001569FB">
        <w:rPr>
          <w:szCs w:val="24"/>
        </w:rPr>
        <w:t xml:space="preserve">value is from the Bureau of Labor Statistics.  The annual percentage trend in CPI for contract year </w:t>
      </w:r>
      <w:r w:rsidR="00D0212D" w:rsidRPr="001569FB">
        <w:rPr>
          <w:szCs w:val="24"/>
        </w:rPr>
        <w:t xml:space="preserve">2019 </w:t>
      </w:r>
      <w:r w:rsidRPr="001569FB">
        <w:rPr>
          <w:szCs w:val="24"/>
        </w:rPr>
        <w:t>is calculated as follows:</w:t>
      </w:r>
    </w:p>
    <w:p w14:paraId="787A9DE2" w14:textId="77777777" w:rsidR="00230250" w:rsidRPr="001569FB" w:rsidRDefault="006B65AC" w:rsidP="00230250">
      <w:pPr>
        <w:spacing w:after="200"/>
        <w:jc w:val="center"/>
        <w:rPr>
          <w:szCs w:val="24"/>
        </w:rPr>
      </w:pPr>
      <m:oMathPara>
        <m:oMath>
          <m:f>
            <m:fPr>
              <m:ctrlPr>
                <w:rPr>
                  <w:rFonts w:ascii="Cambria Math" w:hAnsi="Cambria Math"/>
                  <w:i/>
                  <w:szCs w:val="24"/>
                </w:rPr>
              </m:ctrlPr>
            </m:fPr>
            <m:num>
              <m:r>
                <m:rPr>
                  <m:nor/>
                </m:rPr>
                <w:rPr>
                  <w:szCs w:val="24"/>
                </w:rPr>
                <m:t>Projected July 2018 CPI</m:t>
              </m:r>
            </m:num>
            <m:den>
              <m:r>
                <m:rPr>
                  <m:nor/>
                </m:rPr>
                <w:rPr>
                  <w:szCs w:val="24"/>
                </w:rPr>
                <m:t>Actual July 2017 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251.1</m:t>
              </m:r>
            </m:num>
            <m:den>
              <m:r>
                <m:rPr>
                  <m:sty m:val="p"/>
                </m:rPr>
                <w:rPr>
                  <w:rFonts w:ascii="Cambria Math" w:hAnsi="Cambria Math"/>
                  <w:szCs w:val="24"/>
                </w:rPr>
                <m:t>244.8</m:t>
              </m:r>
            </m:den>
          </m:f>
          <m:r>
            <w:rPr>
              <w:rFonts w:ascii="Cambria Math" w:hAnsi="Cambria Math"/>
              <w:szCs w:val="24"/>
            </w:rPr>
            <m:t>=</m:t>
          </m:r>
          <m:r>
            <m:rPr>
              <m:sty m:val="p"/>
            </m:rPr>
            <w:rPr>
              <w:rFonts w:ascii="Cambria Math" w:hAnsi="Cambria Math"/>
              <w:szCs w:val="24"/>
            </w:rPr>
            <m:t>1.0258</m:t>
          </m:r>
        </m:oMath>
      </m:oMathPara>
    </w:p>
    <w:p w14:paraId="1307ED27" w14:textId="77777777" w:rsidR="00230250" w:rsidRPr="001569FB" w:rsidRDefault="00230250" w:rsidP="00230250">
      <w:pPr>
        <w:ind w:left="720"/>
        <w:rPr>
          <w:szCs w:val="24"/>
        </w:rPr>
      </w:pPr>
      <m:oMath>
        <m:r>
          <w:rPr>
            <w:rFonts w:ascii="Cambria Math" w:hAnsi="Cambria Math"/>
            <w:szCs w:val="24"/>
          </w:rPr>
          <m:t xml:space="preserve"> </m:t>
        </m:r>
      </m:oMath>
      <w:r w:rsidRPr="001569FB">
        <w:rPr>
          <w:szCs w:val="24"/>
        </w:rPr>
        <w:t xml:space="preserve">(Source: President’s </w:t>
      </w:r>
      <w:r w:rsidR="0024705C" w:rsidRPr="001569FB">
        <w:rPr>
          <w:szCs w:val="24"/>
        </w:rPr>
        <w:t xml:space="preserve">FY2019 </w:t>
      </w:r>
      <w:r w:rsidRPr="001569FB">
        <w:rPr>
          <w:szCs w:val="24"/>
        </w:rPr>
        <w:t>Budget and Bureau of Labor Statistics, Department of Labor)</w:t>
      </w:r>
    </w:p>
    <w:p w14:paraId="3221A2FF" w14:textId="01785399" w:rsidR="00EF1741" w:rsidRPr="001569FB" w:rsidRDefault="00230250" w:rsidP="00230250">
      <w:pPr>
        <w:spacing w:before="200" w:after="200"/>
        <w:rPr>
          <w:szCs w:val="24"/>
        </w:rPr>
      </w:pPr>
      <w:r w:rsidRPr="001569FB">
        <w:rPr>
          <w:szCs w:val="24"/>
        </w:rPr>
        <w:t xml:space="preserve">The </w:t>
      </w:r>
      <w:r w:rsidR="00090BE3" w:rsidRPr="001569FB">
        <w:rPr>
          <w:szCs w:val="24"/>
        </w:rPr>
        <w:t xml:space="preserve">2019 </w:t>
      </w:r>
      <w:r w:rsidRPr="001569FB">
        <w:rPr>
          <w:szCs w:val="24"/>
        </w:rPr>
        <w:t xml:space="preserve">benefit parameters reflect the </w:t>
      </w:r>
      <w:r w:rsidR="00090BE3" w:rsidRPr="001569FB">
        <w:rPr>
          <w:szCs w:val="24"/>
        </w:rPr>
        <w:t xml:space="preserve">2018 </w:t>
      </w:r>
      <w:r w:rsidRPr="001569FB">
        <w:rPr>
          <w:szCs w:val="24"/>
        </w:rPr>
        <w:t xml:space="preserve">annual percentage trend in the </w:t>
      </w:r>
      <w:r w:rsidR="001B5B36" w:rsidRPr="001569FB">
        <w:rPr>
          <w:szCs w:val="24"/>
        </w:rPr>
        <w:t xml:space="preserve">July </w:t>
      </w:r>
      <w:r w:rsidRPr="001569FB">
        <w:rPr>
          <w:szCs w:val="24"/>
        </w:rPr>
        <w:t xml:space="preserve">CPI of </w:t>
      </w:r>
      <w:r w:rsidR="002C01C3" w:rsidRPr="001569FB">
        <w:rPr>
          <w:szCs w:val="24"/>
        </w:rPr>
        <w:t>2.58</w:t>
      </w:r>
      <w:r w:rsidR="003F7D24" w:rsidRPr="001569FB">
        <w:rPr>
          <w:szCs w:val="24"/>
        </w:rPr>
        <w:t xml:space="preserve"> </w:t>
      </w:r>
      <w:r w:rsidRPr="001569FB">
        <w:rPr>
          <w:szCs w:val="24"/>
        </w:rPr>
        <w:t xml:space="preserve">percent as well as a revision to the prior estimate for the </w:t>
      </w:r>
      <w:r w:rsidR="00090BE3" w:rsidRPr="001569FB">
        <w:rPr>
          <w:szCs w:val="24"/>
        </w:rPr>
        <w:t xml:space="preserve">2017 </w:t>
      </w:r>
      <w:r w:rsidR="001B5B36" w:rsidRPr="001569FB">
        <w:rPr>
          <w:szCs w:val="24"/>
        </w:rPr>
        <w:t>CPI</w:t>
      </w:r>
      <w:r w:rsidRPr="001569FB">
        <w:rPr>
          <w:szCs w:val="24"/>
        </w:rPr>
        <w:t xml:space="preserve"> increase.  Based on the actual reported CPI for July </w:t>
      </w:r>
      <w:r w:rsidR="00090BE3" w:rsidRPr="001569FB">
        <w:rPr>
          <w:szCs w:val="24"/>
        </w:rPr>
        <w:t>2017</w:t>
      </w:r>
      <w:r w:rsidRPr="001569FB">
        <w:rPr>
          <w:szCs w:val="24"/>
        </w:rPr>
        <w:t xml:space="preserve">, the CPI increase </w:t>
      </w:r>
      <w:r w:rsidR="001B5B36" w:rsidRPr="001569FB">
        <w:rPr>
          <w:szCs w:val="24"/>
        </w:rPr>
        <w:t>over the 12</w:t>
      </w:r>
      <w:r w:rsidR="00972F0F" w:rsidRPr="001569FB">
        <w:rPr>
          <w:szCs w:val="24"/>
        </w:rPr>
        <w:t>-</w:t>
      </w:r>
      <w:r w:rsidR="001B5B36" w:rsidRPr="001569FB">
        <w:rPr>
          <w:szCs w:val="24"/>
        </w:rPr>
        <w:t xml:space="preserve">month period ending in July </w:t>
      </w:r>
      <w:r w:rsidR="00090BE3" w:rsidRPr="001569FB">
        <w:rPr>
          <w:szCs w:val="24"/>
        </w:rPr>
        <w:t xml:space="preserve">2017 </w:t>
      </w:r>
      <w:r w:rsidRPr="001569FB">
        <w:rPr>
          <w:szCs w:val="24"/>
        </w:rPr>
        <w:t xml:space="preserve">is estimated to be </w:t>
      </w:r>
      <w:r w:rsidR="002C01C3" w:rsidRPr="001569FB">
        <w:rPr>
          <w:szCs w:val="24"/>
        </w:rPr>
        <w:t xml:space="preserve">1.73 </w:t>
      </w:r>
      <w:r w:rsidRPr="001569FB">
        <w:rPr>
          <w:szCs w:val="24"/>
        </w:rPr>
        <w:t xml:space="preserve">percent.  </w:t>
      </w:r>
      <w:r w:rsidR="001B5B36" w:rsidRPr="001569FB">
        <w:rPr>
          <w:szCs w:val="24"/>
        </w:rPr>
        <w:t xml:space="preserve">The prior year revision here reflects the difference between this actual </w:t>
      </w:r>
      <w:r w:rsidR="002C01C3" w:rsidRPr="001569FB">
        <w:rPr>
          <w:szCs w:val="24"/>
        </w:rPr>
        <w:t>1.73</w:t>
      </w:r>
      <w:r w:rsidR="006B3DBD" w:rsidRPr="001569FB">
        <w:rPr>
          <w:szCs w:val="24"/>
        </w:rPr>
        <w:t xml:space="preserve"> </w:t>
      </w:r>
      <w:r w:rsidR="001B5B36" w:rsidRPr="001569FB">
        <w:rPr>
          <w:szCs w:val="24"/>
        </w:rPr>
        <w:t xml:space="preserve">percent increase in CPI observed in July </w:t>
      </w:r>
      <w:r w:rsidR="00090BE3" w:rsidRPr="001569FB">
        <w:rPr>
          <w:szCs w:val="24"/>
        </w:rPr>
        <w:t xml:space="preserve">2017 </w:t>
      </w:r>
      <w:r w:rsidR="001B5B36" w:rsidRPr="001569FB">
        <w:rPr>
          <w:szCs w:val="24"/>
        </w:rPr>
        <w:t xml:space="preserve">and the </w:t>
      </w:r>
      <w:r w:rsidR="00090BE3" w:rsidRPr="001569FB">
        <w:rPr>
          <w:szCs w:val="24"/>
        </w:rPr>
        <w:t xml:space="preserve">2017 </w:t>
      </w:r>
      <w:r w:rsidR="001B5B36" w:rsidRPr="001569FB">
        <w:rPr>
          <w:szCs w:val="24"/>
        </w:rPr>
        <w:t xml:space="preserve">CPI increase estimate from the CY </w:t>
      </w:r>
      <w:r w:rsidR="00090BE3" w:rsidRPr="001569FB">
        <w:rPr>
          <w:szCs w:val="24"/>
        </w:rPr>
        <w:t xml:space="preserve">2018 </w:t>
      </w:r>
      <w:r w:rsidR="001B5B36" w:rsidRPr="001569FB">
        <w:rPr>
          <w:szCs w:val="24"/>
        </w:rPr>
        <w:t>Rate Announcement</w:t>
      </w:r>
      <w:r w:rsidR="002D1D49" w:rsidRPr="001569FB">
        <w:rPr>
          <w:szCs w:val="24"/>
        </w:rPr>
        <w:t>.</w:t>
      </w:r>
      <w:r w:rsidR="00EF1741" w:rsidRPr="001569FB">
        <w:rPr>
          <w:szCs w:val="24"/>
        </w:rPr>
        <w:t xml:space="preserve"> </w:t>
      </w:r>
    </w:p>
    <w:p w14:paraId="4F76E275" w14:textId="60D36C83" w:rsidR="00230250" w:rsidRPr="001569FB" w:rsidRDefault="00230250" w:rsidP="00230250">
      <w:pPr>
        <w:spacing w:before="200" w:after="200"/>
        <w:rPr>
          <w:szCs w:val="24"/>
        </w:rPr>
      </w:pPr>
      <w:r w:rsidRPr="001569FB">
        <w:rPr>
          <w:szCs w:val="24"/>
        </w:rPr>
        <w:t xml:space="preserve">In summary, </w:t>
      </w:r>
      <w:r w:rsidR="001B5B36" w:rsidRPr="001569FB">
        <w:rPr>
          <w:szCs w:val="24"/>
        </w:rPr>
        <w:t xml:space="preserve">the cumulative annual percentage increase in July CPI for </w:t>
      </w:r>
      <w:r w:rsidR="00090BE3" w:rsidRPr="001569FB">
        <w:rPr>
          <w:szCs w:val="24"/>
        </w:rPr>
        <w:t xml:space="preserve">2019 </w:t>
      </w:r>
      <w:r w:rsidR="001B5B36" w:rsidRPr="001569FB">
        <w:rPr>
          <w:szCs w:val="24"/>
        </w:rPr>
        <w:t xml:space="preserve">is </w:t>
      </w:r>
      <w:r w:rsidR="002C01C3" w:rsidRPr="001569FB">
        <w:rPr>
          <w:szCs w:val="24"/>
        </w:rPr>
        <w:t>1.83</w:t>
      </w:r>
      <w:r w:rsidR="007B6641" w:rsidRPr="001569FB">
        <w:rPr>
          <w:szCs w:val="24"/>
        </w:rPr>
        <w:t xml:space="preserve"> </w:t>
      </w:r>
      <w:r w:rsidRPr="001569FB">
        <w:rPr>
          <w:szCs w:val="24"/>
        </w:rPr>
        <w:t xml:space="preserve">percent, as summarized by Table </w:t>
      </w:r>
      <w:r w:rsidR="003F7D24" w:rsidRPr="001569FB">
        <w:rPr>
          <w:szCs w:val="24"/>
        </w:rPr>
        <w:t>IV-4</w:t>
      </w:r>
      <w:r w:rsidRPr="001569FB">
        <w:rPr>
          <w:szCs w:val="24"/>
        </w:rPr>
        <w:t>.</w:t>
      </w:r>
      <w:r w:rsidR="001B5B36" w:rsidRPr="001569FB">
        <w:rPr>
          <w:szCs w:val="24"/>
        </w:rPr>
        <w:t xml:space="preserve">  This value plus two percentage points is </w:t>
      </w:r>
      <w:r w:rsidR="002C01C3" w:rsidRPr="001569FB">
        <w:rPr>
          <w:szCs w:val="24"/>
        </w:rPr>
        <w:t>greater</w:t>
      </w:r>
      <w:r w:rsidR="00090BE3" w:rsidRPr="001569FB" w:rsidDel="00090BE3">
        <w:rPr>
          <w:szCs w:val="24"/>
        </w:rPr>
        <w:t xml:space="preserve"> </w:t>
      </w:r>
      <w:r w:rsidR="001B5B36" w:rsidRPr="001569FB">
        <w:rPr>
          <w:szCs w:val="24"/>
        </w:rPr>
        <w:t xml:space="preserve">than the </w:t>
      </w:r>
      <w:r w:rsidR="002C01C3" w:rsidRPr="001569FB">
        <w:rPr>
          <w:szCs w:val="24"/>
        </w:rPr>
        <w:t>1.94</w:t>
      </w:r>
      <w:r w:rsidR="00735231" w:rsidRPr="001569FB">
        <w:rPr>
          <w:szCs w:val="24"/>
        </w:rPr>
        <w:t xml:space="preserve"> </w:t>
      </w:r>
      <w:r w:rsidR="001B5B36" w:rsidRPr="001569FB">
        <w:rPr>
          <w:szCs w:val="24"/>
        </w:rPr>
        <w:t xml:space="preserve">percent cumulative API for </w:t>
      </w:r>
      <w:r w:rsidR="00090BE3" w:rsidRPr="001569FB">
        <w:rPr>
          <w:szCs w:val="24"/>
        </w:rPr>
        <w:t xml:space="preserve">2019 </w:t>
      </w:r>
      <w:r w:rsidR="001B5B36" w:rsidRPr="001569FB">
        <w:rPr>
          <w:szCs w:val="24"/>
        </w:rPr>
        <w:t xml:space="preserve">described above.  Thus, the out-of-pocket threshold will be increased by </w:t>
      </w:r>
      <w:r w:rsidR="002C01C3" w:rsidRPr="001569FB">
        <w:rPr>
          <w:szCs w:val="24"/>
        </w:rPr>
        <w:t xml:space="preserve">1.94 </w:t>
      </w:r>
      <w:r w:rsidR="001B5B36" w:rsidRPr="001569FB">
        <w:rPr>
          <w:szCs w:val="24"/>
        </w:rPr>
        <w:t xml:space="preserve">percent for </w:t>
      </w:r>
      <w:r w:rsidR="00090BE3" w:rsidRPr="001569FB">
        <w:rPr>
          <w:szCs w:val="24"/>
        </w:rPr>
        <w:t>2019</w:t>
      </w:r>
      <w:r w:rsidR="001B5B36" w:rsidRPr="001569FB">
        <w:rPr>
          <w:szCs w:val="24"/>
        </w:rPr>
        <w:t>.</w:t>
      </w:r>
    </w:p>
    <w:p w14:paraId="1EDA89D5" w14:textId="29F6C3F2" w:rsidR="00230250" w:rsidRPr="001569FB" w:rsidRDefault="00230250" w:rsidP="008C291C">
      <w:pPr>
        <w:pStyle w:val="TableTitle0"/>
        <w:rPr>
          <w:szCs w:val="24"/>
        </w:rPr>
      </w:pPr>
      <w:r w:rsidRPr="001569FB">
        <w:rPr>
          <w:szCs w:val="24"/>
        </w:rPr>
        <w:lastRenderedPageBreak/>
        <w:t xml:space="preserve">Table </w:t>
      </w:r>
      <w:r w:rsidR="003F7D24" w:rsidRPr="001569FB">
        <w:rPr>
          <w:szCs w:val="24"/>
        </w:rPr>
        <w:t>IV-4</w:t>
      </w:r>
      <w:r w:rsidRPr="001569FB">
        <w:rPr>
          <w:szCs w:val="24"/>
        </w:rPr>
        <w:t xml:space="preserve">.  Cumulative Annual Percentage Increase in </w:t>
      </w:r>
      <w:r w:rsidR="00AA283D" w:rsidRPr="001569FB">
        <w:rPr>
          <w:szCs w:val="24"/>
        </w:rPr>
        <w:t xml:space="preserve">July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0FC6CDD2" w14:textId="77777777" w:rsidTr="002C01C3">
        <w:trPr>
          <w:jc w:val="center"/>
        </w:trPr>
        <w:tc>
          <w:tcPr>
            <w:tcW w:w="4696" w:type="dxa"/>
          </w:tcPr>
          <w:p w14:paraId="40E6765D" w14:textId="77777777" w:rsidR="002C01C3" w:rsidRPr="001569FB" w:rsidRDefault="002C01C3" w:rsidP="002C01C3">
            <w:pPr>
              <w:keepNext/>
              <w:keepLines/>
              <w:spacing w:before="40" w:after="40" w:line="240" w:lineRule="auto"/>
              <w:rPr>
                <w:szCs w:val="24"/>
              </w:rPr>
            </w:pPr>
            <w:r w:rsidRPr="001569FB">
              <w:rPr>
                <w:szCs w:val="24"/>
              </w:rPr>
              <w:t>Annual percentage trend for July 2018</w:t>
            </w:r>
          </w:p>
        </w:tc>
        <w:tc>
          <w:tcPr>
            <w:tcW w:w="1040" w:type="dxa"/>
            <w:vAlign w:val="center"/>
          </w:tcPr>
          <w:p w14:paraId="64579A49" w14:textId="77777777" w:rsidR="002C01C3" w:rsidRPr="001569FB" w:rsidRDefault="002C01C3" w:rsidP="002C01C3">
            <w:pPr>
              <w:keepNext/>
              <w:keepLines/>
              <w:jc w:val="right"/>
              <w:rPr>
                <w:szCs w:val="24"/>
              </w:rPr>
            </w:pPr>
            <w:r w:rsidRPr="001569FB">
              <w:t>2.58%</w:t>
            </w:r>
          </w:p>
        </w:tc>
      </w:tr>
      <w:tr w:rsidR="002C01C3" w:rsidRPr="001569FB" w14:paraId="787FC8A3" w14:textId="77777777" w:rsidTr="002C01C3">
        <w:trPr>
          <w:jc w:val="center"/>
        </w:trPr>
        <w:tc>
          <w:tcPr>
            <w:tcW w:w="4696" w:type="dxa"/>
          </w:tcPr>
          <w:p w14:paraId="58D2A8F6"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24A8BDA2" w14:textId="77777777" w:rsidR="002C01C3" w:rsidRPr="001569FB" w:rsidRDefault="002C01C3" w:rsidP="002C01C3">
            <w:pPr>
              <w:keepNext/>
              <w:keepLines/>
              <w:tabs>
                <w:tab w:val="center" w:pos="527"/>
                <w:tab w:val="right" w:pos="1054"/>
              </w:tabs>
              <w:jc w:val="right"/>
              <w:rPr>
                <w:szCs w:val="24"/>
              </w:rPr>
            </w:pPr>
            <w:r w:rsidRPr="001569FB">
              <w:t>-0.73%</w:t>
            </w:r>
          </w:p>
        </w:tc>
      </w:tr>
      <w:tr w:rsidR="002C01C3" w:rsidRPr="001569FB" w14:paraId="60F51137" w14:textId="77777777" w:rsidTr="002C01C3">
        <w:trPr>
          <w:jc w:val="center"/>
        </w:trPr>
        <w:tc>
          <w:tcPr>
            <w:tcW w:w="4696" w:type="dxa"/>
          </w:tcPr>
          <w:p w14:paraId="59411EC8"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3246CB61" w14:textId="77777777" w:rsidR="002C01C3" w:rsidRPr="001569FB" w:rsidRDefault="002C01C3" w:rsidP="002C01C3">
            <w:pPr>
              <w:keepNext/>
              <w:keepLines/>
              <w:jc w:val="right"/>
              <w:rPr>
                <w:szCs w:val="24"/>
              </w:rPr>
            </w:pPr>
            <w:r w:rsidRPr="001569FB">
              <w:t>1.83%</w:t>
            </w:r>
          </w:p>
        </w:tc>
      </w:tr>
    </w:tbl>
    <w:p w14:paraId="34A26809" w14:textId="77777777" w:rsidR="00230250" w:rsidRPr="001569FB" w:rsidRDefault="00230250" w:rsidP="00E778AD">
      <w:pPr>
        <w:keepLines/>
        <w:spacing w:before="40" w:line="240" w:lineRule="auto"/>
        <w:ind w:left="1886" w:right="1886"/>
        <w:rPr>
          <w:szCs w:val="24"/>
        </w:rPr>
      </w:pPr>
      <w:r w:rsidRPr="001569FB">
        <w:rPr>
          <w:szCs w:val="24"/>
        </w:rPr>
        <w:t>Note: Percentages are multiplicative, not additive.  Values are carried to additional decimal places and may not agree to the rounded values presented above.</w:t>
      </w:r>
    </w:p>
    <w:p w14:paraId="557E012D" w14:textId="77777777" w:rsidR="005C6F4C" w:rsidRPr="001569FB" w:rsidRDefault="005C6F4C" w:rsidP="00203CF7">
      <w:pPr>
        <w:pStyle w:val="Heading2"/>
      </w:pPr>
      <w:bookmarkStart w:id="468" w:name="_Toc505253801"/>
      <w:r w:rsidRPr="001569FB">
        <w:t>Section D.  Retiree Drug Subsidy Amounts</w:t>
      </w:r>
      <w:bookmarkEnd w:id="468"/>
    </w:p>
    <w:p w14:paraId="5E00085E" w14:textId="7AC7D308" w:rsidR="006F00F7" w:rsidRPr="001569FB" w:rsidRDefault="007B19A0" w:rsidP="00E746B1">
      <w:pPr>
        <w:spacing w:before="200" w:after="200"/>
        <w:rPr>
          <w:szCs w:val="24"/>
        </w:rPr>
      </w:pPr>
      <w:r w:rsidRPr="001569FB">
        <w:rPr>
          <w:szCs w:val="24"/>
        </w:rPr>
        <w:t xml:space="preserve">Per 42 CFR 423.886(b)(3), the cost threshold and cost limit for qualified retiree prescription drug plans are also updated using the API, as defined previously in this document.  The updated cost threshold is rounded </w:t>
      </w:r>
      <w:r w:rsidR="00F77D7B" w:rsidRPr="001569FB">
        <w:rPr>
          <w:szCs w:val="24"/>
        </w:rPr>
        <w:t xml:space="preserve">to </w:t>
      </w:r>
      <w:r w:rsidRPr="001569FB">
        <w:rPr>
          <w:szCs w:val="24"/>
        </w:rPr>
        <w:t>the nearest multiple of $5 and the updated cost limit is rounded to the nearest multiple of $50.</w:t>
      </w:r>
      <w:r w:rsidR="009E53D9" w:rsidRPr="001569FB">
        <w:rPr>
          <w:szCs w:val="24"/>
        </w:rPr>
        <w:t xml:space="preserve"> </w:t>
      </w:r>
      <w:r w:rsidRPr="001569FB">
        <w:rPr>
          <w:szCs w:val="24"/>
        </w:rPr>
        <w:t xml:space="preserve"> </w:t>
      </w:r>
      <w:r w:rsidR="006F00F7" w:rsidRPr="001569FB">
        <w:rPr>
          <w:szCs w:val="24"/>
        </w:rPr>
        <w:t>The cost threshold and cost limit are defined as $</w:t>
      </w:r>
      <w:r w:rsidR="000972C8" w:rsidRPr="001569FB">
        <w:rPr>
          <w:szCs w:val="24"/>
        </w:rPr>
        <w:t>400</w:t>
      </w:r>
      <w:r w:rsidR="00D05832" w:rsidRPr="001569FB">
        <w:rPr>
          <w:szCs w:val="24"/>
        </w:rPr>
        <w:t xml:space="preserve"> </w:t>
      </w:r>
      <w:r w:rsidR="006F00F7" w:rsidRPr="001569FB">
        <w:rPr>
          <w:szCs w:val="24"/>
        </w:rPr>
        <w:t>and $</w:t>
      </w:r>
      <w:r w:rsidR="000972C8" w:rsidRPr="001569FB">
        <w:rPr>
          <w:szCs w:val="24"/>
        </w:rPr>
        <w:t>8,250</w:t>
      </w:r>
      <w:r w:rsidR="006F00F7" w:rsidRPr="001569FB">
        <w:rPr>
          <w:szCs w:val="24"/>
        </w:rPr>
        <w:t>, respectively, for plans that end in 201</w:t>
      </w:r>
      <w:r w:rsidR="00D05832" w:rsidRPr="001569FB">
        <w:rPr>
          <w:szCs w:val="24"/>
        </w:rPr>
        <w:t>7</w:t>
      </w:r>
      <w:r w:rsidR="00265501" w:rsidRPr="001569FB">
        <w:rPr>
          <w:szCs w:val="24"/>
        </w:rPr>
        <w:t>, and as $405 and $8,350 for plans that end in 2018</w:t>
      </w:r>
      <w:r w:rsidR="006F00F7" w:rsidRPr="001569FB">
        <w:rPr>
          <w:szCs w:val="24"/>
        </w:rPr>
        <w:t xml:space="preserve">. </w:t>
      </w:r>
      <w:r w:rsidR="006F00F7" w:rsidRPr="001569FB">
        <w:rPr>
          <w:color w:val="FF0000"/>
          <w:szCs w:val="24"/>
        </w:rPr>
        <w:t xml:space="preserve"> </w:t>
      </w:r>
      <w:r w:rsidR="006F00F7" w:rsidRPr="001569FB">
        <w:rPr>
          <w:szCs w:val="24"/>
        </w:rPr>
        <w:t xml:space="preserve">For </w:t>
      </w:r>
      <w:r w:rsidR="00265501" w:rsidRPr="001569FB">
        <w:rPr>
          <w:szCs w:val="24"/>
        </w:rPr>
        <w:t>2019</w:t>
      </w:r>
      <w:r w:rsidR="006F00F7" w:rsidRPr="001569FB">
        <w:rPr>
          <w:szCs w:val="24"/>
        </w:rPr>
        <w:t>, the cost threshold is $</w:t>
      </w:r>
      <w:r w:rsidR="00D404BB" w:rsidRPr="001569FB">
        <w:rPr>
          <w:szCs w:val="24"/>
        </w:rPr>
        <w:t>415</w:t>
      </w:r>
      <w:r w:rsidR="00265501" w:rsidRPr="001569FB">
        <w:rPr>
          <w:color w:val="FF0000"/>
          <w:szCs w:val="24"/>
        </w:rPr>
        <w:t xml:space="preserve"> </w:t>
      </w:r>
      <w:r w:rsidR="006F00F7" w:rsidRPr="001569FB">
        <w:rPr>
          <w:szCs w:val="24"/>
        </w:rPr>
        <w:t>and the cost limit is $</w:t>
      </w:r>
      <w:r w:rsidR="00D404BB" w:rsidRPr="001569FB">
        <w:rPr>
          <w:szCs w:val="24"/>
        </w:rPr>
        <w:t>8,500</w:t>
      </w:r>
      <w:r w:rsidR="006F00F7" w:rsidRPr="001569FB">
        <w:rPr>
          <w:szCs w:val="24"/>
        </w:rPr>
        <w:t>.</w:t>
      </w:r>
    </w:p>
    <w:p w14:paraId="424DE301" w14:textId="77777777" w:rsidR="005A7A72" w:rsidRPr="001569FB" w:rsidRDefault="005F053A" w:rsidP="00203CF7">
      <w:pPr>
        <w:pStyle w:val="Heading2"/>
      </w:pPr>
      <w:bookmarkStart w:id="469" w:name="_Toc505253802"/>
      <w:r w:rsidRPr="001569FB">
        <w:t xml:space="preserve">Section </w:t>
      </w:r>
      <w:r w:rsidR="005C6F4C" w:rsidRPr="001569FB">
        <w:t>E</w:t>
      </w:r>
      <w:r w:rsidR="0067131F" w:rsidRPr="001569FB">
        <w:t xml:space="preserve">.  </w:t>
      </w:r>
      <w:r w:rsidR="007E5ADB" w:rsidRPr="001569FB">
        <w:t>Estimated Total Covered Part D Spending at Out-of-Pocket Threshold for Applicable Beneficiaries</w:t>
      </w:r>
      <w:bookmarkEnd w:id="466"/>
      <w:bookmarkEnd w:id="467"/>
      <w:bookmarkEnd w:id="469"/>
    </w:p>
    <w:p w14:paraId="410A6392" w14:textId="77777777" w:rsidR="00283822" w:rsidRPr="001569FB" w:rsidRDefault="00FB570B" w:rsidP="00E746B1">
      <w:pPr>
        <w:spacing w:before="200" w:after="200"/>
        <w:rPr>
          <w:szCs w:val="24"/>
        </w:rPr>
      </w:pPr>
      <w:r w:rsidRPr="001569FB">
        <w:rPr>
          <w:szCs w:val="24"/>
        </w:rPr>
        <w:t xml:space="preserve">For </w:t>
      </w:r>
      <w:r w:rsidR="00DA4608" w:rsidRPr="001569FB">
        <w:rPr>
          <w:szCs w:val="24"/>
        </w:rPr>
        <w:t>2019</w:t>
      </w:r>
      <w:r w:rsidRPr="001569FB">
        <w:rPr>
          <w:szCs w:val="24"/>
        </w:rPr>
        <w:t>, the total covered Part D spending at out-of-pocket threshold for applicable beneficiaries is $</w:t>
      </w:r>
      <w:r w:rsidR="00D404BB" w:rsidRPr="001569FB">
        <w:rPr>
          <w:szCs w:val="24"/>
        </w:rPr>
        <w:t>8,906.55</w:t>
      </w:r>
      <w:r w:rsidR="008F03F0" w:rsidRPr="001569FB">
        <w:rPr>
          <w:szCs w:val="24"/>
        </w:rPr>
        <w:t>.</w:t>
      </w:r>
      <w:r w:rsidR="00AF76D9" w:rsidRPr="001569FB">
        <w:rPr>
          <w:szCs w:val="24"/>
        </w:rPr>
        <w:t xml:space="preserve"> </w:t>
      </w:r>
      <w:r w:rsidRPr="001569FB">
        <w:rPr>
          <w:szCs w:val="24"/>
        </w:rPr>
        <w:t xml:space="preserve"> The </w:t>
      </w:r>
      <w:r w:rsidR="00283822" w:rsidRPr="001569FB">
        <w:rPr>
          <w:szCs w:val="24"/>
        </w:rPr>
        <w:t xml:space="preserve">figure </w:t>
      </w:r>
      <w:r w:rsidRPr="001569FB">
        <w:rPr>
          <w:szCs w:val="24"/>
        </w:rPr>
        <w:t xml:space="preserve">is calculated </w:t>
      </w:r>
      <w:r w:rsidR="00283822" w:rsidRPr="001569FB">
        <w:rPr>
          <w:szCs w:val="24"/>
        </w:rPr>
        <w:t xml:space="preserve">given the following basic assumptions: </w:t>
      </w:r>
    </w:p>
    <w:p w14:paraId="469AB972" w14:textId="77777777" w:rsidR="00283822" w:rsidRPr="001569FB" w:rsidRDefault="00FB570B" w:rsidP="00AC78D9">
      <w:pPr>
        <w:pStyle w:val="ListParagraph"/>
        <w:numPr>
          <w:ilvl w:val="0"/>
          <w:numId w:val="7"/>
        </w:numPr>
        <w:spacing w:before="200" w:after="200"/>
        <w:rPr>
          <w:szCs w:val="24"/>
        </w:rPr>
      </w:pPr>
      <w:r w:rsidRPr="001569FB">
        <w:rPr>
          <w:szCs w:val="24"/>
        </w:rPr>
        <w:t xml:space="preserve">100 percent </w:t>
      </w:r>
      <w:r w:rsidR="00283822" w:rsidRPr="001569FB">
        <w:rPr>
          <w:szCs w:val="24"/>
        </w:rPr>
        <w:t xml:space="preserve">beneficiary </w:t>
      </w:r>
      <w:r w:rsidRPr="001569FB">
        <w:rPr>
          <w:szCs w:val="24"/>
        </w:rPr>
        <w:t>cost</w:t>
      </w:r>
      <w:r w:rsidR="00972F0F" w:rsidRPr="001569FB">
        <w:rPr>
          <w:szCs w:val="24"/>
        </w:rPr>
        <w:t>-</w:t>
      </w:r>
      <w:r w:rsidRPr="001569FB">
        <w:rPr>
          <w:szCs w:val="24"/>
        </w:rPr>
        <w:t>sharing in the deductible phase</w:t>
      </w:r>
      <w:r w:rsidR="00283822" w:rsidRPr="001569FB">
        <w:rPr>
          <w:szCs w:val="24"/>
        </w:rPr>
        <w:t>.</w:t>
      </w:r>
    </w:p>
    <w:p w14:paraId="38C92959" w14:textId="77777777" w:rsidR="00283822" w:rsidRPr="001569FB" w:rsidRDefault="00283822" w:rsidP="00AC78D9">
      <w:pPr>
        <w:pStyle w:val="ListParagraph"/>
        <w:numPr>
          <w:ilvl w:val="0"/>
          <w:numId w:val="7"/>
        </w:numPr>
        <w:spacing w:before="200" w:after="200"/>
        <w:rPr>
          <w:szCs w:val="24"/>
        </w:rPr>
      </w:pPr>
      <w:r w:rsidRPr="001569FB">
        <w:rPr>
          <w:szCs w:val="24"/>
        </w:rPr>
        <w:t>25</w:t>
      </w:r>
      <w:r w:rsidR="00FB570B" w:rsidRPr="001569FB">
        <w:rPr>
          <w:szCs w:val="24"/>
        </w:rPr>
        <w:t xml:space="preserve"> percent </w:t>
      </w:r>
      <w:r w:rsidRPr="001569FB">
        <w:rPr>
          <w:szCs w:val="24"/>
        </w:rPr>
        <w:t>beneficiary cost</w:t>
      </w:r>
      <w:r w:rsidR="00972F0F" w:rsidRPr="001569FB">
        <w:rPr>
          <w:szCs w:val="24"/>
        </w:rPr>
        <w:t>-</w:t>
      </w:r>
      <w:r w:rsidRPr="001569FB">
        <w:rPr>
          <w:szCs w:val="24"/>
        </w:rPr>
        <w:t xml:space="preserve">sharing </w:t>
      </w:r>
      <w:r w:rsidR="00FB570B" w:rsidRPr="001569FB">
        <w:rPr>
          <w:szCs w:val="24"/>
        </w:rPr>
        <w:t>in the initial coverage phase</w:t>
      </w:r>
      <w:r w:rsidR="00972F0F" w:rsidRPr="001569FB">
        <w:rPr>
          <w:szCs w:val="24"/>
        </w:rPr>
        <w:t>.</w:t>
      </w:r>
    </w:p>
    <w:p w14:paraId="18441A7E" w14:textId="77777777" w:rsidR="00283822" w:rsidRPr="001569FB" w:rsidRDefault="00DA4608" w:rsidP="00AC78D9">
      <w:pPr>
        <w:pStyle w:val="ListParagraph"/>
        <w:numPr>
          <w:ilvl w:val="0"/>
          <w:numId w:val="7"/>
        </w:numPr>
        <w:spacing w:before="200" w:after="200"/>
        <w:rPr>
          <w:szCs w:val="24"/>
        </w:rPr>
      </w:pPr>
      <w:r w:rsidRPr="001569FB">
        <w:rPr>
          <w:szCs w:val="24"/>
        </w:rPr>
        <w:t xml:space="preserve">37 </w:t>
      </w:r>
      <w:r w:rsidR="00FB570B" w:rsidRPr="001569FB">
        <w:rPr>
          <w:szCs w:val="24"/>
        </w:rPr>
        <w:t xml:space="preserve">percent </w:t>
      </w:r>
      <w:r w:rsidR="00283822" w:rsidRPr="001569FB">
        <w:rPr>
          <w:szCs w:val="24"/>
        </w:rPr>
        <w:t>beneficiary cost</w:t>
      </w:r>
      <w:r w:rsidR="00972F0F" w:rsidRPr="001569FB">
        <w:rPr>
          <w:szCs w:val="24"/>
        </w:rPr>
        <w:t>-</w:t>
      </w:r>
      <w:r w:rsidR="00283822" w:rsidRPr="001569FB">
        <w:rPr>
          <w:szCs w:val="24"/>
        </w:rPr>
        <w:t xml:space="preserve">sharing </w:t>
      </w:r>
      <w:r w:rsidR="00FB570B" w:rsidRPr="001569FB">
        <w:rPr>
          <w:szCs w:val="24"/>
        </w:rPr>
        <w:t xml:space="preserve">for non-applicable drugs </w:t>
      </w:r>
      <w:r w:rsidR="00283822" w:rsidRPr="001569FB">
        <w:rPr>
          <w:szCs w:val="24"/>
        </w:rPr>
        <w:t xml:space="preserve">purchased in the </w:t>
      </w:r>
      <w:r w:rsidR="007A5E25" w:rsidRPr="001569FB">
        <w:rPr>
          <w:szCs w:val="24"/>
        </w:rPr>
        <w:t>coverage</w:t>
      </w:r>
      <w:r w:rsidR="00283822" w:rsidRPr="001569FB">
        <w:rPr>
          <w:szCs w:val="24"/>
        </w:rPr>
        <w:t xml:space="preserve"> gap phase of the benefit. </w:t>
      </w:r>
    </w:p>
    <w:p w14:paraId="07B9217A" w14:textId="5EF7DBFB" w:rsidR="00283822" w:rsidRPr="001569FB" w:rsidRDefault="00DA4608" w:rsidP="00AC78D9">
      <w:pPr>
        <w:pStyle w:val="ListParagraph"/>
        <w:numPr>
          <w:ilvl w:val="0"/>
          <w:numId w:val="7"/>
        </w:numPr>
        <w:spacing w:before="200" w:after="200"/>
        <w:rPr>
          <w:szCs w:val="24"/>
        </w:rPr>
      </w:pPr>
      <w:r w:rsidRPr="001569FB">
        <w:rPr>
          <w:szCs w:val="24"/>
        </w:rPr>
        <w:t xml:space="preserve">80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ingredient cost and sales tax for applicable drugs </w:t>
      </w:r>
      <w:r w:rsidR="00283822" w:rsidRPr="001569FB">
        <w:rPr>
          <w:szCs w:val="24"/>
        </w:rPr>
        <w:t>purchased in the coverage gap phase of the benefit</w:t>
      </w:r>
      <w:r w:rsidR="002A1A14" w:rsidRPr="001569FB">
        <w:rPr>
          <w:szCs w:val="24"/>
        </w:rPr>
        <w:t xml:space="preserve">—comprised </w:t>
      </w:r>
      <w:r w:rsidR="00577AEF" w:rsidRPr="001569FB">
        <w:rPr>
          <w:szCs w:val="24"/>
        </w:rPr>
        <w:t xml:space="preserve">of </w:t>
      </w:r>
      <w:r w:rsidRPr="001569FB">
        <w:rPr>
          <w:szCs w:val="24"/>
        </w:rPr>
        <w:t xml:space="preserve">30 </w:t>
      </w:r>
      <w:r w:rsidR="00283822" w:rsidRPr="001569FB">
        <w:rPr>
          <w:szCs w:val="24"/>
        </w:rPr>
        <w:t xml:space="preserve">percent beneficiary coinsurance and </w:t>
      </w:r>
      <w:r w:rsidR="008F6B0B" w:rsidRPr="001569FB">
        <w:rPr>
          <w:szCs w:val="24"/>
        </w:rPr>
        <w:t>50</w:t>
      </w:r>
      <w:r w:rsidR="00D05832" w:rsidRPr="001569FB">
        <w:rPr>
          <w:szCs w:val="24"/>
        </w:rPr>
        <w:t xml:space="preserve"> </w:t>
      </w:r>
      <w:r w:rsidR="00283822" w:rsidRPr="001569FB">
        <w:rPr>
          <w:szCs w:val="24"/>
        </w:rPr>
        <w:t xml:space="preserve">percent </w:t>
      </w:r>
      <w:r w:rsidR="008C5E7B" w:rsidRPr="001569FB">
        <w:rPr>
          <w:szCs w:val="24"/>
        </w:rPr>
        <w:t>C</w:t>
      </w:r>
      <w:r w:rsidR="00283822" w:rsidRPr="001569FB">
        <w:rPr>
          <w:szCs w:val="24"/>
        </w:rPr>
        <w:t xml:space="preserve">overage </w:t>
      </w:r>
      <w:r w:rsidR="008C5E7B" w:rsidRPr="001569FB">
        <w:rPr>
          <w:szCs w:val="24"/>
        </w:rPr>
        <w:t>G</w:t>
      </w:r>
      <w:r w:rsidR="00283822" w:rsidRPr="001569FB">
        <w:rPr>
          <w:szCs w:val="24"/>
        </w:rPr>
        <w:t xml:space="preserve">ap </w:t>
      </w:r>
      <w:r w:rsidR="008C5E7B" w:rsidRPr="001569FB">
        <w:rPr>
          <w:szCs w:val="24"/>
        </w:rPr>
        <w:t>D</w:t>
      </w:r>
      <w:r w:rsidR="00283822" w:rsidRPr="001569FB">
        <w:rPr>
          <w:szCs w:val="24"/>
        </w:rPr>
        <w:t xml:space="preserve">iscount </w:t>
      </w:r>
      <w:r w:rsidR="008C5E7B" w:rsidRPr="001569FB">
        <w:rPr>
          <w:szCs w:val="24"/>
        </w:rPr>
        <w:t>P</w:t>
      </w:r>
      <w:r w:rsidR="00283822" w:rsidRPr="001569FB">
        <w:rPr>
          <w:szCs w:val="24"/>
        </w:rPr>
        <w:t>rogram discount.</w:t>
      </w:r>
    </w:p>
    <w:p w14:paraId="644606A8" w14:textId="77777777" w:rsidR="00EF1741" w:rsidRPr="001569FB" w:rsidRDefault="00DA4608" w:rsidP="00AC78D9">
      <w:pPr>
        <w:pStyle w:val="ListParagraph"/>
        <w:numPr>
          <w:ilvl w:val="0"/>
          <w:numId w:val="7"/>
        </w:numPr>
        <w:spacing w:before="200" w:after="200"/>
        <w:rPr>
          <w:szCs w:val="24"/>
        </w:rPr>
      </w:pPr>
      <w:r w:rsidRPr="001569FB">
        <w:rPr>
          <w:szCs w:val="24"/>
        </w:rPr>
        <w:t xml:space="preserve">30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dispensing and vaccine administration fees for applicable drugs</w:t>
      </w:r>
      <w:r w:rsidR="00283822" w:rsidRPr="001569FB">
        <w:rPr>
          <w:szCs w:val="24"/>
        </w:rPr>
        <w:t xml:space="preserve"> purchased in the coverage gap phase of the benefit</w:t>
      </w:r>
      <w:r w:rsidR="00FB570B" w:rsidRPr="001569FB">
        <w:rPr>
          <w:szCs w:val="24"/>
        </w:rPr>
        <w:t>.</w:t>
      </w:r>
      <w:r w:rsidR="00EF1741" w:rsidRPr="001569FB">
        <w:rPr>
          <w:szCs w:val="24"/>
        </w:rPr>
        <w:t xml:space="preserve"> </w:t>
      </w:r>
    </w:p>
    <w:p w14:paraId="6D7A43DA" w14:textId="77777777" w:rsidR="00FB570B" w:rsidRPr="001569FB" w:rsidRDefault="00FB570B" w:rsidP="00283822">
      <w:pPr>
        <w:spacing w:before="200" w:after="200"/>
        <w:rPr>
          <w:szCs w:val="24"/>
        </w:rPr>
      </w:pPr>
      <w:r w:rsidRPr="001569FB">
        <w:rPr>
          <w:szCs w:val="24"/>
        </w:rPr>
        <w:t xml:space="preserve">In this estimate, it is assumed that the dispensing and vaccine administration fees account for </w:t>
      </w:r>
      <w:r w:rsidR="00D404BB" w:rsidRPr="001569FB">
        <w:rPr>
          <w:szCs w:val="24"/>
        </w:rPr>
        <w:t>0.072</w:t>
      </w:r>
      <w:r w:rsidR="003F7D24" w:rsidRPr="001569FB">
        <w:rPr>
          <w:szCs w:val="24"/>
        </w:rPr>
        <w:t xml:space="preserve"> </w:t>
      </w:r>
      <w:r w:rsidRPr="001569FB">
        <w:rPr>
          <w:szCs w:val="24"/>
        </w:rPr>
        <w:t xml:space="preserve">percent of the gross covered brand drug costs used by non-LIS beneficiaries in the coverage gap.  Therefore, a </w:t>
      </w:r>
      <w:r w:rsidR="00D404BB" w:rsidRPr="001569FB">
        <w:rPr>
          <w:szCs w:val="24"/>
        </w:rPr>
        <w:t>70</w:t>
      </w:r>
      <w:r w:rsidR="00DA4608" w:rsidRPr="001569FB" w:rsidDel="00DA4608">
        <w:rPr>
          <w:szCs w:val="24"/>
        </w:rPr>
        <w:t xml:space="preserve"> </w:t>
      </w:r>
      <w:r w:rsidRPr="001569FB">
        <w:rPr>
          <w:szCs w:val="24"/>
        </w:rPr>
        <w:t>percent reduction in cost</w:t>
      </w:r>
      <w:r w:rsidR="00972F0F" w:rsidRPr="001569FB">
        <w:rPr>
          <w:szCs w:val="24"/>
        </w:rPr>
        <w:t>-</w:t>
      </w:r>
      <w:r w:rsidRPr="001569FB">
        <w:rPr>
          <w:szCs w:val="24"/>
        </w:rPr>
        <w:t xml:space="preserve">sharing for dispensing and vaccine administration fees results in an overall reduction of </w:t>
      </w:r>
      <w:r w:rsidR="00D404BB" w:rsidRPr="001569FB">
        <w:rPr>
          <w:szCs w:val="24"/>
        </w:rPr>
        <w:t>0.04</w:t>
      </w:r>
      <w:r w:rsidR="003F7D24" w:rsidRPr="001569FB">
        <w:rPr>
          <w:szCs w:val="24"/>
        </w:rPr>
        <w:t xml:space="preserve"> </w:t>
      </w:r>
      <w:r w:rsidRPr="001569FB">
        <w:rPr>
          <w:szCs w:val="24"/>
        </w:rPr>
        <w:t>percent to</w:t>
      </w:r>
      <w:r w:rsidR="003F7D24" w:rsidRPr="001569FB">
        <w:rPr>
          <w:szCs w:val="24"/>
        </w:rPr>
        <w:t xml:space="preserve"> </w:t>
      </w:r>
      <w:r w:rsidR="00D404BB" w:rsidRPr="001569FB">
        <w:rPr>
          <w:szCs w:val="24"/>
        </w:rPr>
        <w:t>79.96</w:t>
      </w:r>
      <w:r w:rsidR="00DA4608" w:rsidRPr="001569FB" w:rsidDel="00DA4608">
        <w:rPr>
          <w:szCs w:val="24"/>
        </w:rPr>
        <w:t xml:space="preserve"> </w:t>
      </w:r>
      <w:r w:rsidRPr="001569FB">
        <w:rPr>
          <w:szCs w:val="24"/>
        </w:rPr>
        <w:t>percent in cost</w:t>
      </w:r>
      <w:r w:rsidR="00D404BB" w:rsidRPr="001569FB">
        <w:rPr>
          <w:szCs w:val="24"/>
        </w:rPr>
        <w:t>-</w:t>
      </w:r>
      <w:r w:rsidRPr="001569FB">
        <w:rPr>
          <w:szCs w:val="24"/>
        </w:rPr>
        <w:t xml:space="preserve">sharing for applicable (brand) drugs in the coverage gap. </w:t>
      </w:r>
    </w:p>
    <w:p w14:paraId="068A06D2" w14:textId="77777777" w:rsidR="00D43FAD" w:rsidRPr="001569FB" w:rsidRDefault="00180E04" w:rsidP="00E746B1">
      <w:pPr>
        <w:spacing w:before="200" w:after="200"/>
        <w:rPr>
          <w:szCs w:val="24"/>
        </w:rPr>
      </w:pPr>
      <w:r w:rsidRPr="001569FB">
        <w:rPr>
          <w:szCs w:val="24"/>
        </w:rPr>
        <w:t>The estimated t</w:t>
      </w:r>
      <w:r w:rsidR="00D43FAD" w:rsidRPr="001569FB">
        <w:rPr>
          <w:szCs w:val="24"/>
        </w:rPr>
        <w:t xml:space="preserve">otal covered Part D spending at out-of-pocket </w:t>
      </w:r>
      <w:r w:rsidR="000972C8" w:rsidRPr="001569FB">
        <w:rPr>
          <w:szCs w:val="24"/>
        </w:rPr>
        <w:t xml:space="preserve">(OOP) </w:t>
      </w:r>
      <w:r w:rsidR="00D43FAD" w:rsidRPr="001569FB">
        <w:rPr>
          <w:szCs w:val="24"/>
        </w:rPr>
        <w:t>threshold for applicable beneficiaries is calculated as follows:</w:t>
      </w:r>
    </w:p>
    <w:p w14:paraId="78346D3E" w14:textId="65BF129C" w:rsidR="007605BD" w:rsidRPr="001569FB" w:rsidRDefault="007605BD" w:rsidP="008F03F0">
      <w:pPr>
        <w:ind w:firstLine="720"/>
        <w:rPr>
          <w:rFonts w:asciiTheme="majorHAnsi" w:hAnsiTheme="majorHAnsi" w:cstheme="majorHAnsi"/>
          <w:szCs w:val="24"/>
        </w:rPr>
      </w:pPr>
      <m:oMathPara>
        <m:oMath>
          <m:r>
            <m:rPr>
              <m:nor/>
            </m:rPr>
            <w:rPr>
              <w:rFonts w:asciiTheme="minorHAnsi" w:hAnsiTheme="minorHAnsi" w:cstheme="minorHAnsi"/>
              <w:szCs w:val="24"/>
            </w:rPr>
            <w:lastRenderedPageBreak/>
            <m:t>ICL+</m:t>
          </m:r>
          <m:f>
            <m:fPr>
              <m:ctrlPr>
                <w:rPr>
                  <w:rFonts w:ascii="Cambria Math" w:hAnsi="Cambria Math" w:cstheme="minorHAnsi"/>
                  <w:i/>
                  <w:szCs w:val="24"/>
                </w:rPr>
              </m:ctrlPr>
            </m:fPr>
            <m:num>
              <m:r>
                <m:rPr>
                  <m:nor/>
                </m:rPr>
                <w:rPr>
                  <w:rFonts w:asciiTheme="minorHAnsi" w:hAnsiTheme="minorHAnsi" w:cstheme="minorHAnsi"/>
                  <w:szCs w:val="24"/>
                </w:rPr>
                <m:t>100% beneficiary cost sharing in the gap</m:t>
              </m:r>
            </m:num>
            <m:den>
              <m:r>
                <m:rPr>
                  <m:nor/>
                </m:rPr>
                <w:rPr>
                  <w:rFonts w:asciiTheme="minorHAnsi" w:hAnsiTheme="minorHAnsi" w:cstheme="minorHAnsi"/>
                  <w:szCs w:val="24"/>
                </w:rPr>
                <m:t>weighted gap coinsurance factor</m:t>
              </m:r>
            </m:den>
          </m:f>
          <m:r>
            <w:rPr>
              <w:rFonts w:ascii="Cambria Math" w:hAnsi="Cambria Math" w:cstheme="minorHAnsi"/>
              <w:szCs w:val="24"/>
            </w:rPr>
            <m:t xml:space="preserve">   or   $</m:t>
          </m:r>
          <m:r>
            <m:rPr>
              <m:sty m:val="p"/>
            </m:rPr>
            <w:rPr>
              <w:rFonts w:ascii="Cambria Math" w:hAnsi="Cambria Math" w:cstheme="minorHAnsi"/>
              <w:szCs w:val="24"/>
            </w:rPr>
            <m:t>3,820</m:t>
          </m:r>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m:t>
              </m:r>
              <m:r>
                <m:rPr>
                  <m:sty m:val="p"/>
                </m:rPr>
                <w:rPr>
                  <w:rFonts w:ascii="Cambria Math" w:hAnsi="Cambria Math" w:cstheme="minorHAnsi"/>
                  <w:szCs w:val="24"/>
                </w:rPr>
                <m:t>3,833.75</m:t>
              </m:r>
            </m:num>
            <m:den>
              <m:r>
                <m:rPr>
                  <m:sty m:val="p"/>
                </m:rPr>
                <w:rPr>
                  <w:rFonts w:ascii="Cambria Math" w:hAnsi="Cambria Math" w:cstheme="minorHAnsi"/>
                  <w:szCs w:val="24"/>
                </w:rPr>
                <m:t>75.3704</m:t>
              </m:r>
              <m:r>
                <w:rPr>
                  <w:rFonts w:ascii="Cambria Math" w:hAnsi="Cambria Math" w:cstheme="minorHAnsi"/>
                  <w:szCs w:val="24"/>
                </w:rPr>
                <m:t>%</m:t>
              </m:r>
            </m:den>
          </m:f>
          <m:r>
            <w:rPr>
              <w:rFonts w:ascii="Cambria Math" w:hAnsi="Cambria Math" w:cstheme="minorHAnsi"/>
              <w:szCs w:val="24"/>
            </w:rPr>
            <m:t>=$</m:t>
          </m:r>
          <m:r>
            <m:rPr>
              <m:sty m:val="p"/>
            </m:rPr>
            <w:rPr>
              <w:rFonts w:ascii="Cambria Math" w:hAnsi="Cambria Math" w:cstheme="minorHAnsi"/>
              <w:szCs w:val="24"/>
            </w:rPr>
            <m:t>8,906.55</m:t>
          </m:r>
        </m:oMath>
      </m:oMathPara>
    </w:p>
    <w:p w14:paraId="0E4FE441" w14:textId="77777777" w:rsidR="00F73B42" w:rsidRPr="001569FB" w:rsidRDefault="00EA6FD9" w:rsidP="00AC78D9">
      <w:pPr>
        <w:pStyle w:val="ListParagraph"/>
        <w:numPr>
          <w:ilvl w:val="0"/>
          <w:numId w:val="8"/>
        </w:numPr>
        <w:spacing w:before="200" w:after="200"/>
        <w:contextualSpacing w:val="0"/>
        <w:rPr>
          <w:szCs w:val="24"/>
        </w:rPr>
      </w:pPr>
      <w:r w:rsidRPr="001569FB">
        <w:rPr>
          <w:i/>
          <w:szCs w:val="24"/>
        </w:rPr>
        <w:t>ICL</w:t>
      </w:r>
      <w:r w:rsidRPr="001569FB">
        <w:rPr>
          <w:szCs w:val="24"/>
        </w:rPr>
        <w:t xml:space="preserve"> is the Initial Coverage Limit equal to $</w:t>
      </w:r>
      <w:r w:rsidR="003640D5" w:rsidRPr="001569FB">
        <w:rPr>
          <w:szCs w:val="24"/>
        </w:rPr>
        <w:t>3,820</w:t>
      </w:r>
    </w:p>
    <w:p w14:paraId="29F4477D" w14:textId="77777777" w:rsidR="00A73BAB" w:rsidRPr="001569FB" w:rsidRDefault="003512BD" w:rsidP="00AC78D9">
      <w:pPr>
        <w:pStyle w:val="ListParagraph"/>
        <w:numPr>
          <w:ilvl w:val="0"/>
          <w:numId w:val="8"/>
        </w:numPr>
        <w:spacing w:before="200" w:after="200"/>
        <w:contextualSpacing w:val="0"/>
        <w:rPr>
          <w:szCs w:val="24"/>
        </w:rPr>
      </w:pPr>
      <w:r w:rsidRPr="001569FB">
        <w:rPr>
          <w:i/>
          <w:szCs w:val="24"/>
        </w:rPr>
        <w:t>100</w:t>
      </w:r>
      <w:r w:rsidR="00CB77E7" w:rsidRPr="001569FB">
        <w:rPr>
          <w:i/>
          <w:szCs w:val="24"/>
        </w:rPr>
        <w:t xml:space="preserve"> </w:t>
      </w:r>
      <w:r w:rsidR="000A05D0" w:rsidRPr="001569FB">
        <w:rPr>
          <w:i/>
          <w:szCs w:val="24"/>
        </w:rPr>
        <w:t>percent</w:t>
      </w:r>
      <w:r w:rsidR="00882C6A" w:rsidRPr="001569FB">
        <w:rPr>
          <w:i/>
          <w:szCs w:val="24"/>
        </w:rPr>
        <w:t xml:space="preserve"> </w:t>
      </w:r>
      <w:r w:rsidR="00D43FAD" w:rsidRPr="001569FB">
        <w:rPr>
          <w:i/>
          <w:szCs w:val="24"/>
        </w:rPr>
        <w:t>beneficiary cost</w:t>
      </w:r>
      <w:r w:rsidR="00972F0F" w:rsidRPr="001569FB">
        <w:rPr>
          <w:i/>
          <w:szCs w:val="24"/>
        </w:rPr>
        <w:t>-</w:t>
      </w:r>
      <w:r w:rsidR="00D43FAD" w:rsidRPr="001569FB">
        <w:rPr>
          <w:i/>
          <w:szCs w:val="24"/>
        </w:rPr>
        <w:t>sharing in the gap</w:t>
      </w:r>
      <w:r w:rsidR="00D43FAD" w:rsidRPr="001569FB">
        <w:rPr>
          <w:szCs w:val="24"/>
        </w:rPr>
        <w:t xml:space="preserve"> is the estimated total drug spending in the gap assuming 100</w:t>
      </w:r>
      <w:r w:rsidR="000A05D0" w:rsidRPr="001569FB">
        <w:rPr>
          <w:szCs w:val="24"/>
        </w:rPr>
        <w:t xml:space="preserve"> percent</w:t>
      </w:r>
      <w:r w:rsidR="00D43FAD" w:rsidRPr="001569FB">
        <w:rPr>
          <w:szCs w:val="24"/>
        </w:rPr>
        <w:t xml:space="preserve"> coinsurance</w:t>
      </w:r>
      <w:r w:rsidR="00A43CF0" w:rsidRPr="001569FB">
        <w:rPr>
          <w:szCs w:val="24"/>
        </w:rPr>
        <w:t xml:space="preserve"> and is equivalent to:</w:t>
      </w:r>
      <w:r w:rsidR="00D43FAD" w:rsidRPr="001569FB">
        <w:rPr>
          <w:szCs w:val="24"/>
        </w:rPr>
        <w:t xml:space="preserve"> </w:t>
      </w:r>
    </w:p>
    <w:p w14:paraId="1B6750E4" w14:textId="3AF23338" w:rsidR="001839E1" w:rsidRPr="001569FB" w:rsidRDefault="00A73BAB" w:rsidP="00A73BAB">
      <w:pPr>
        <w:pStyle w:val="ListParagraph"/>
        <w:spacing w:before="200" w:after="200"/>
        <w:contextualSpacing w:val="0"/>
        <w:rPr>
          <w:szCs w:val="24"/>
        </w:rPr>
      </w:pPr>
      <w:r w:rsidRPr="001569FB">
        <w:rPr>
          <w:i/>
          <w:szCs w:val="24"/>
        </w:rPr>
        <w:t>(</w:t>
      </w:r>
      <w:r w:rsidR="001839E1" w:rsidRPr="001569FB">
        <w:rPr>
          <w:szCs w:val="24"/>
        </w:rPr>
        <w:t>OOP threshold</w:t>
      </w:r>
      <w:r w:rsidRPr="001569FB">
        <w:rPr>
          <w:szCs w:val="24"/>
        </w:rPr>
        <w:t>)</w:t>
      </w:r>
      <w:r w:rsidR="001839E1" w:rsidRPr="001569FB">
        <w:rPr>
          <w:szCs w:val="24"/>
        </w:rPr>
        <w:t xml:space="preserve"> </w:t>
      </w:r>
      <w:r w:rsidRPr="001569FB">
        <w:rPr>
          <w:szCs w:val="24"/>
        </w:rPr>
        <w:t>–</w:t>
      </w:r>
      <w:r w:rsidR="001839E1" w:rsidRPr="001569FB">
        <w:rPr>
          <w:szCs w:val="24"/>
        </w:rPr>
        <w:t xml:space="preserve"> </w:t>
      </w:r>
      <w:r w:rsidRPr="001569FB">
        <w:rPr>
          <w:szCs w:val="24"/>
        </w:rPr>
        <w:t>(</w:t>
      </w:r>
      <w:r w:rsidR="001839E1" w:rsidRPr="001569FB">
        <w:rPr>
          <w:szCs w:val="24"/>
        </w:rPr>
        <w:t>OOP costs up to the ICL</w:t>
      </w:r>
      <w:r w:rsidRPr="001569FB">
        <w:rPr>
          <w:szCs w:val="24"/>
        </w:rPr>
        <w:t>)</w:t>
      </w:r>
      <w:r w:rsidR="001839E1" w:rsidRPr="001569FB">
        <w:rPr>
          <w:spacing w:val="140"/>
          <w:szCs w:val="24"/>
        </w:rPr>
        <w:t xml:space="preserve"> </w:t>
      </w:r>
      <w:r w:rsidR="001839E1" w:rsidRPr="001569FB">
        <w:rPr>
          <w:i/>
          <w:szCs w:val="24"/>
        </w:rPr>
        <w:t>or</w:t>
      </w:r>
      <w:r w:rsidR="00E42E9E" w:rsidRPr="001569FB">
        <w:rPr>
          <w:spacing w:val="140"/>
          <w:szCs w:val="24"/>
        </w:rPr>
        <w:t xml:space="preserve"> </w:t>
      </w:r>
      <w:r w:rsidR="009171BA" w:rsidRPr="001569FB">
        <w:rPr>
          <w:szCs w:val="24"/>
        </w:rPr>
        <w:t>$</w:t>
      </w:r>
      <w:r w:rsidR="003640D5" w:rsidRPr="001569FB">
        <w:rPr>
          <w:szCs w:val="24"/>
        </w:rPr>
        <w:t>5,100</w:t>
      </w:r>
      <w:r w:rsidR="009171BA" w:rsidRPr="001569FB">
        <w:rPr>
          <w:szCs w:val="24"/>
        </w:rPr>
        <w:t xml:space="preserve"> − $</w:t>
      </w:r>
      <w:r w:rsidR="003640D5" w:rsidRPr="001569FB">
        <w:rPr>
          <w:szCs w:val="24"/>
        </w:rPr>
        <w:t>1,266.25</w:t>
      </w:r>
      <w:r w:rsidR="009171BA" w:rsidRPr="001569FB">
        <w:rPr>
          <w:szCs w:val="24"/>
        </w:rPr>
        <w:t>= $</w:t>
      </w:r>
      <w:r w:rsidR="003640D5" w:rsidRPr="001569FB">
        <w:rPr>
          <w:szCs w:val="24"/>
        </w:rPr>
        <w:t>3,833.75</w:t>
      </w:r>
    </w:p>
    <w:p w14:paraId="6597036F" w14:textId="77777777" w:rsidR="00D43FAD" w:rsidRPr="001569FB" w:rsidRDefault="00D43FAD" w:rsidP="002707EC">
      <w:pPr>
        <w:pStyle w:val="ListBullet"/>
        <w:spacing w:before="200" w:after="200"/>
        <w:rPr>
          <w:szCs w:val="24"/>
        </w:rPr>
      </w:pPr>
      <w:r w:rsidRPr="001569FB">
        <w:rPr>
          <w:i/>
          <w:szCs w:val="24"/>
        </w:rPr>
        <w:t>Weighted gap coinsurance factor</w:t>
      </w:r>
      <w:r w:rsidRPr="001569FB">
        <w:rPr>
          <w:szCs w:val="24"/>
        </w:rPr>
        <w:t xml:space="preserve"> is calculated as follows: </w:t>
      </w:r>
    </w:p>
    <w:p w14:paraId="6D6B9389" w14:textId="77777777" w:rsidR="00D43FAD" w:rsidRPr="001569FB" w:rsidRDefault="00D43FAD" w:rsidP="002707EC">
      <w:pPr>
        <w:autoSpaceDE w:val="0"/>
        <w:autoSpaceDN w:val="0"/>
        <w:adjustRightInd w:val="0"/>
        <w:spacing w:before="200" w:after="200"/>
        <w:ind w:left="720"/>
        <w:rPr>
          <w:color w:val="000000"/>
          <w:szCs w:val="24"/>
        </w:rPr>
      </w:pPr>
      <w:r w:rsidRPr="001569FB">
        <w:rPr>
          <w:color w:val="000000"/>
          <w:szCs w:val="24"/>
        </w:rPr>
        <w:t xml:space="preserve">(Brand </w:t>
      </w:r>
      <w:r w:rsidR="00337324" w:rsidRPr="001569FB">
        <w:rPr>
          <w:color w:val="000000"/>
          <w:szCs w:val="24"/>
        </w:rPr>
        <w:t xml:space="preserve">Gross Drug Cost Below </w:t>
      </w:r>
      <w:r w:rsidR="00CE2E6A" w:rsidRPr="001569FB">
        <w:rPr>
          <w:color w:val="000000"/>
          <w:szCs w:val="24"/>
        </w:rPr>
        <w:t>C</w:t>
      </w:r>
      <w:r w:rsidR="00337324" w:rsidRPr="001569FB">
        <w:rPr>
          <w:color w:val="000000"/>
          <w:szCs w:val="24"/>
        </w:rPr>
        <w:t>atastrophic [</w:t>
      </w:r>
      <w:r w:rsidRPr="001569FB">
        <w:rPr>
          <w:color w:val="000000"/>
          <w:szCs w:val="24"/>
        </w:rPr>
        <w:t>GDCB</w:t>
      </w:r>
      <w:r w:rsidR="00337324" w:rsidRPr="001569FB">
        <w:rPr>
          <w:color w:val="000000"/>
          <w:szCs w:val="24"/>
        </w:rPr>
        <w:t>]</w:t>
      </w:r>
      <w:r w:rsidRPr="001569FB">
        <w:rPr>
          <w:color w:val="000000"/>
          <w:szCs w:val="24"/>
        </w:rPr>
        <w:t xml:space="preserve"> % for non-LIS </w:t>
      </w:r>
      <w:r w:rsidR="00E42E9E" w:rsidRPr="001569FB">
        <w:rPr>
          <w:color w:val="000000"/>
          <w:szCs w:val="24"/>
        </w:rPr>
        <w:t>×</w:t>
      </w:r>
      <w:r w:rsidR="003051E2" w:rsidRPr="001569FB">
        <w:rPr>
          <w:color w:val="000000"/>
          <w:szCs w:val="24"/>
        </w:rPr>
        <w:t xml:space="preserve"> </w:t>
      </w:r>
      <w:r w:rsidR="003640D5" w:rsidRPr="001569FB">
        <w:rPr>
          <w:szCs w:val="24"/>
        </w:rPr>
        <w:t>79.96</w:t>
      </w:r>
      <w:r w:rsidR="003051E2" w:rsidRPr="001569FB">
        <w:rPr>
          <w:szCs w:val="24"/>
        </w:rPr>
        <w:t xml:space="preserve">% </w:t>
      </w:r>
      <w:r w:rsidR="000E06D3" w:rsidRPr="001569FB">
        <w:rPr>
          <w:szCs w:val="24"/>
        </w:rPr>
        <w:t xml:space="preserve">gap </w:t>
      </w:r>
      <w:r w:rsidR="003051E2" w:rsidRPr="001569FB">
        <w:rPr>
          <w:szCs w:val="24"/>
        </w:rPr>
        <w:t>cost</w:t>
      </w:r>
      <w:r w:rsidR="00972F0F" w:rsidRPr="001569FB">
        <w:rPr>
          <w:szCs w:val="24"/>
        </w:rPr>
        <w:t>-</w:t>
      </w:r>
      <w:r w:rsidR="003051E2" w:rsidRPr="001569FB">
        <w:rPr>
          <w:szCs w:val="24"/>
        </w:rPr>
        <w:t xml:space="preserve">sharing </w:t>
      </w:r>
      <w:r w:rsidRPr="001569FB">
        <w:rPr>
          <w:color w:val="000000"/>
          <w:szCs w:val="24"/>
        </w:rPr>
        <w:t xml:space="preserve">for applicable drugs) + (Generic GDCB % for non-LIS </w:t>
      </w:r>
      <w:r w:rsidR="00E42E9E" w:rsidRPr="001569FB">
        <w:rPr>
          <w:color w:val="000000"/>
          <w:szCs w:val="24"/>
        </w:rPr>
        <w:t>×</w:t>
      </w:r>
      <w:r w:rsidRPr="001569FB">
        <w:rPr>
          <w:color w:val="000000"/>
          <w:szCs w:val="24"/>
        </w:rPr>
        <w:t xml:space="preserve"> </w:t>
      </w:r>
      <w:r w:rsidR="00E726AC" w:rsidRPr="001569FB">
        <w:rPr>
          <w:szCs w:val="24"/>
        </w:rPr>
        <w:t>37</w:t>
      </w:r>
      <w:r w:rsidRPr="001569FB">
        <w:rPr>
          <w:color w:val="000000"/>
          <w:szCs w:val="24"/>
        </w:rPr>
        <w:t xml:space="preserve">% </w:t>
      </w:r>
      <w:r w:rsidR="000E06D3" w:rsidRPr="001569FB">
        <w:rPr>
          <w:color w:val="000000"/>
          <w:szCs w:val="24"/>
        </w:rPr>
        <w:t xml:space="preserve">gap </w:t>
      </w:r>
      <w:r w:rsidRPr="001569FB">
        <w:rPr>
          <w:color w:val="000000"/>
          <w:szCs w:val="24"/>
        </w:rPr>
        <w:t>cost</w:t>
      </w:r>
      <w:r w:rsidR="00972F0F" w:rsidRPr="001569FB">
        <w:rPr>
          <w:color w:val="000000"/>
          <w:szCs w:val="24"/>
        </w:rPr>
        <w:t>-</w:t>
      </w:r>
      <w:r w:rsidRPr="001569FB">
        <w:rPr>
          <w:color w:val="000000"/>
          <w:szCs w:val="24"/>
        </w:rPr>
        <w:t xml:space="preserve">sharing for non-applicable drugs) </w:t>
      </w:r>
    </w:p>
    <w:p w14:paraId="5307E348" w14:textId="77777777" w:rsidR="00AE47E2" w:rsidRPr="001569FB" w:rsidRDefault="00D43FAD" w:rsidP="002707EC">
      <w:pPr>
        <w:autoSpaceDE w:val="0"/>
        <w:autoSpaceDN w:val="0"/>
        <w:adjustRightInd w:val="0"/>
        <w:spacing w:before="200" w:after="200"/>
        <w:ind w:left="720" w:firstLine="720"/>
        <w:rPr>
          <w:i/>
          <w:iCs/>
          <w:color w:val="000000"/>
          <w:szCs w:val="24"/>
        </w:rPr>
      </w:pPr>
      <w:r w:rsidRPr="001569FB">
        <w:rPr>
          <w:i/>
          <w:iCs/>
          <w:color w:val="000000"/>
          <w:szCs w:val="24"/>
        </w:rPr>
        <w:t>or</w:t>
      </w:r>
    </w:p>
    <w:p w14:paraId="70A72C60" w14:textId="78A3ABDB" w:rsidR="00407F40" w:rsidRPr="001569FB" w:rsidRDefault="00407F40" w:rsidP="002707EC">
      <w:pPr>
        <w:spacing w:before="200" w:after="200"/>
        <w:ind w:firstLine="720"/>
        <w:rPr>
          <w:szCs w:val="24"/>
        </w:rPr>
      </w:pPr>
      <w:r w:rsidRPr="001569FB">
        <w:rPr>
          <w:szCs w:val="24"/>
        </w:rPr>
        <w:t>(</w:t>
      </w:r>
      <w:r w:rsidR="003640D5" w:rsidRPr="001569FB">
        <w:rPr>
          <w:szCs w:val="24"/>
        </w:rPr>
        <w:t>89.31</w:t>
      </w:r>
      <w:r w:rsidRPr="001569FB">
        <w:rPr>
          <w:szCs w:val="24"/>
        </w:rPr>
        <w:t xml:space="preserve">% × </w:t>
      </w:r>
      <w:r w:rsidR="003640D5" w:rsidRPr="001569FB">
        <w:rPr>
          <w:szCs w:val="24"/>
        </w:rPr>
        <w:t>79.96</w:t>
      </w:r>
      <w:r w:rsidRPr="001569FB">
        <w:rPr>
          <w:szCs w:val="24"/>
        </w:rPr>
        <w:t>%) + (</w:t>
      </w:r>
      <w:r w:rsidR="003640D5" w:rsidRPr="001569FB">
        <w:rPr>
          <w:szCs w:val="24"/>
        </w:rPr>
        <w:t>10.69</w:t>
      </w:r>
      <w:r w:rsidRPr="001569FB">
        <w:rPr>
          <w:szCs w:val="24"/>
        </w:rPr>
        <w:t xml:space="preserve">% × </w:t>
      </w:r>
      <w:r w:rsidR="00E726AC" w:rsidRPr="001569FB">
        <w:rPr>
          <w:szCs w:val="24"/>
        </w:rPr>
        <w:t>37</w:t>
      </w:r>
      <w:r w:rsidRPr="001569FB">
        <w:rPr>
          <w:szCs w:val="24"/>
        </w:rPr>
        <w:t xml:space="preserve">%) = </w:t>
      </w:r>
      <w:r w:rsidR="003640D5" w:rsidRPr="001569FB">
        <w:rPr>
          <w:szCs w:val="24"/>
        </w:rPr>
        <w:t>75.3704</w:t>
      </w:r>
      <w:r w:rsidRPr="001569FB">
        <w:rPr>
          <w:szCs w:val="24"/>
        </w:rPr>
        <w:t>%</w:t>
      </w:r>
    </w:p>
    <w:p w14:paraId="585E5C4E" w14:textId="77777777" w:rsidR="00D43FAD" w:rsidRPr="001569FB" w:rsidRDefault="00D43FAD" w:rsidP="00AC78D9">
      <w:pPr>
        <w:pStyle w:val="ListBullet"/>
        <w:numPr>
          <w:ilvl w:val="0"/>
          <w:numId w:val="15"/>
        </w:numPr>
        <w:spacing w:before="200" w:after="200"/>
        <w:rPr>
          <w:szCs w:val="24"/>
        </w:rPr>
      </w:pPr>
      <w:r w:rsidRPr="001569FB">
        <w:rPr>
          <w:i/>
          <w:szCs w:val="24"/>
        </w:rPr>
        <w:t>Brand GDCB % for non-LIS</w:t>
      </w:r>
      <w:r w:rsidRPr="001569FB">
        <w:rPr>
          <w:szCs w:val="24"/>
        </w:rPr>
        <w:t xml:space="preserve"> is the percentage of gross covered drug costs below the </w:t>
      </w:r>
      <w:r w:rsidR="00890FE9" w:rsidRPr="001569FB">
        <w:rPr>
          <w:szCs w:val="24"/>
        </w:rPr>
        <w:t>OOP</w:t>
      </w:r>
      <w:r w:rsidRPr="001569FB">
        <w:rPr>
          <w:szCs w:val="24"/>
        </w:rPr>
        <w:t xml:space="preserve"> threshold for applicable beneficiaries </w:t>
      </w:r>
      <w:r w:rsidR="000E06D3" w:rsidRPr="001569FB">
        <w:rPr>
          <w:szCs w:val="24"/>
        </w:rPr>
        <w:t xml:space="preserve">(i.e., non-LIS) </w:t>
      </w:r>
      <w:r w:rsidRPr="001569FB">
        <w:rPr>
          <w:szCs w:val="24"/>
        </w:rPr>
        <w:t>attributable to applicable drugs</w:t>
      </w:r>
      <w:r w:rsidR="000E06D3" w:rsidRPr="001569FB">
        <w:rPr>
          <w:szCs w:val="24"/>
        </w:rPr>
        <w:t>,</w:t>
      </w:r>
      <w:r w:rsidRPr="001569FB">
        <w:rPr>
          <w:szCs w:val="24"/>
        </w:rPr>
        <w:t xml:space="preserve"> as reported on the </w:t>
      </w:r>
      <w:r w:rsidR="00E726AC" w:rsidRPr="001569FB">
        <w:rPr>
          <w:szCs w:val="24"/>
        </w:rPr>
        <w:t xml:space="preserve">2017 </w:t>
      </w:r>
      <w:r w:rsidRPr="001569FB">
        <w:rPr>
          <w:szCs w:val="24"/>
        </w:rPr>
        <w:t xml:space="preserve">PDEs. </w:t>
      </w:r>
    </w:p>
    <w:p w14:paraId="3707F8E0" w14:textId="3A04D975" w:rsidR="00D43FAD" w:rsidRPr="001569FB" w:rsidRDefault="00D43FAD" w:rsidP="00AC78D9">
      <w:pPr>
        <w:pStyle w:val="ListBullet"/>
        <w:numPr>
          <w:ilvl w:val="0"/>
          <w:numId w:val="15"/>
        </w:numPr>
        <w:spacing w:before="200" w:after="200"/>
        <w:rPr>
          <w:szCs w:val="24"/>
        </w:rPr>
      </w:pPr>
      <w:r w:rsidRPr="001569FB">
        <w:rPr>
          <w:i/>
          <w:szCs w:val="24"/>
        </w:rPr>
        <w:t>Gap cost</w:t>
      </w:r>
      <w:r w:rsidR="00972F0F" w:rsidRPr="001569FB">
        <w:rPr>
          <w:i/>
          <w:szCs w:val="24"/>
        </w:rPr>
        <w:t>-</w:t>
      </w:r>
      <w:r w:rsidRPr="001569FB">
        <w:rPr>
          <w:i/>
          <w:szCs w:val="24"/>
        </w:rPr>
        <w:t>sharing for applicable drugs</w:t>
      </w:r>
      <w:r w:rsidRPr="001569FB">
        <w:rPr>
          <w:szCs w:val="24"/>
        </w:rPr>
        <w:t xml:space="preserve"> is the </w:t>
      </w:r>
      <w:r w:rsidR="003051E2" w:rsidRPr="001569FB">
        <w:rPr>
          <w:szCs w:val="24"/>
        </w:rPr>
        <w:t xml:space="preserve">coinsurance </w:t>
      </w:r>
      <w:r w:rsidRPr="001569FB">
        <w:rPr>
          <w:szCs w:val="24"/>
        </w:rPr>
        <w:t xml:space="preserve">incurred by applicable beneficiaries </w:t>
      </w:r>
      <w:r w:rsidR="000E06D3" w:rsidRPr="001569FB">
        <w:rPr>
          <w:szCs w:val="24"/>
        </w:rPr>
        <w:t xml:space="preserve">(i.e., non-LIS) </w:t>
      </w:r>
      <w:r w:rsidRPr="001569FB">
        <w:rPr>
          <w:szCs w:val="24"/>
        </w:rPr>
        <w:t>for applicable</w:t>
      </w:r>
      <w:r w:rsidR="00972F0F" w:rsidRPr="001569FB">
        <w:rPr>
          <w:szCs w:val="24"/>
        </w:rPr>
        <w:t xml:space="preserve"> </w:t>
      </w:r>
      <w:r w:rsidRPr="001569FB">
        <w:rPr>
          <w:szCs w:val="24"/>
        </w:rPr>
        <w:t>drugs in the coverage gap</w:t>
      </w:r>
      <w:r w:rsidR="003051E2" w:rsidRPr="001569FB">
        <w:rPr>
          <w:szCs w:val="24"/>
        </w:rPr>
        <w:t>, where:</w:t>
      </w:r>
      <w:r w:rsidRPr="001569FB">
        <w:rPr>
          <w:szCs w:val="24"/>
        </w:rPr>
        <w:t xml:space="preserve"> </w:t>
      </w:r>
    </w:p>
    <w:p w14:paraId="47E3695D" w14:textId="77777777" w:rsidR="00A43CF0" w:rsidRPr="001569FB" w:rsidRDefault="003051E2" w:rsidP="00AC78D9">
      <w:pPr>
        <w:pStyle w:val="ListBullet3"/>
        <w:numPr>
          <w:ilvl w:val="0"/>
          <w:numId w:val="16"/>
        </w:numPr>
        <w:spacing w:after="120"/>
        <w:ind w:left="2160"/>
        <w:rPr>
          <w:szCs w:val="24"/>
        </w:rPr>
      </w:pPr>
      <w:r w:rsidRPr="001569FB">
        <w:rPr>
          <w:i/>
          <w:szCs w:val="24"/>
        </w:rPr>
        <w:t>Coinsurance for applicable drugs</w:t>
      </w:r>
      <w:r w:rsidRPr="001569FB">
        <w:rPr>
          <w:szCs w:val="24"/>
        </w:rPr>
        <w:t xml:space="preserve"> = </w:t>
      </w:r>
      <w:r w:rsidR="00A43CF0" w:rsidRPr="001569FB">
        <w:rPr>
          <w:szCs w:val="24"/>
        </w:rPr>
        <w:t>is calculated as follows:</w:t>
      </w:r>
    </w:p>
    <w:p w14:paraId="7A4DF344" w14:textId="77777777" w:rsidR="003051E2" w:rsidRPr="001569FB" w:rsidRDefault="003051E2" w:rsidP="002707EC">
      <w:pPr>
        <w:pStyle w:val="ListBullet3"/>
        <w:tabs>
          <w:tab w:val="clear" w:pos="1080"/>
        </w:tabs>
        <w:spacing w:after="120"/>
        <w:ind w:left="2160" w:firstLine="0"/>
        <w:rPr>
          <w:szCs w:val="24"/>
        </w:rPr>
      </w:pPr>
      <w:r w:rsidRPr="001569FB">
        <w:rPr>
          <w:szCs w:val="24"/>
        </w:rPr>
        <w:t>[(percentage of gross covered brand drug costs attributable to ingredient cost</w:t>
      </w:r>
      <w:r w:rsidR="000E06D3" w:rsidRPr="001569FB">
        <w:rPr>
          <w:szCs w:val="24"/>
        </w:rPr>
        <w:t xml:space="preserve"> and </w:t>
      </w:r>
      <w:r w:rsidRPr="001569FB">
        <w:rPr>
          <w:szCs w:val="24"/>
        </w:rPr>
        <w:t xml:space="preserve">sales tax) </w:t>
      </w:r>
      <w:r w:rsidR="00E42E9E" w:rsidRPr="001569FB">
        <w:rPr>
          <w:szCs w:val="24"/>
        </w:rPr>
        <w:t>×</w:t>
      </w:r>
      <w:r w:rsidRPr="001569FB">
        <w:rPr>
          <w:szCs w:val="24"/>
        </w:rPr>
        <w:t xml:space="preserve"> (cost</w:t>
      </w:r>
      <w:r w:rsidR="00972F0F" w:rsidRPr="001569FB">
        <w:rPr>
          <w:szCs w:val="24"/>
        </w:rPr>
        <w:t>-</w:t>
      </w:r>
      <w:r w:rsidRPr="001569FB">
        <w:rPr>
          <w:szCs w:val="24"/>
        </w:rPr>
        <w:t>sharing percentage)</w:t>
      </w:r>
      <w:r w:rsidR="00245019" w:rsidRPr="001569FB">
        <w:rPr>
          <w:szCs w:val="24"/>
        </w:rPr>
        <w:t>]</w:t>
      </w:r>
      <w:r w:rsidRPr="001569FB">
        <w:rPr>
          <w:szCs w:val="24"/>
        </w:rPr>
        <w:t xml:space="preserve"> + </w:t>
      </w:r>
      <w:r w:rsidR="00245019" w:rsidRPr="001569FB">
        <w:rPr>
          <w:szCs w:val="24"/>
        </w:rPr>
        <w:t>[</w:t>
      </w:r>
      <w:r w:rsidRPr="001569FB">
        <w:rPr>
          <w:szCs w:val="24"/>
        </w:rPr>
        <w:t xml:space="preserve">(percentage of gross covered brand drug costs attributable to dispensing </w:t>
      </w:r>
      <w:r w:rsidR="000E06D3" w:rsidRPr="001569FB">
        <w:rPr>
          <w:szCs w:val="24"/>
        </w:rPr>
        <w:t xml:space="preserve">and </w:t>
      </w:r>
      <w:r w:rsidRPr="001569FB">
        <w:rPr>
          <w:szCs w:val="24"/>
        </w:rPr>
        <w:t xml:space="preserve">vaccine administration fees) </w:t>
      </w:r>
      <w:r w:rsidR="00E42E9E" w:rsidRPr="001569FB">
        <w:rPr>
          <w:szCs w:val="24"/>
        </w:rPr>
        <w:t>×</w:t>
      </w:r>
      <w:r w:rsidRPr="001569FB">
        <w:rPr>
          <w:szCs w:val="24"/>
        </w:rPr>
        <w:t xml:space="preserve"> (cost</w:t>
      </w:r>
      <w:r w:rsidR="00972F0F" w:rsidRPr="001569FB">
        <w:rPr>
          <w:szCs w:val="24"/>
        </w:rPr>
        <w:t>-</w:t>
      </w:r>
      <w:r w:rsidRPr="001569FB">
        <w:rPr>
          <w:szCs w:val="24"/>
        </w:rPr>
        <w:t>sharing coinsurance percentage)]</w:t>
      </w:r>
    </w:p>
    <w:p w14:paraId="1B7A79C8" w14:textId="77777777" w:rsidR="003051E2" w:rsidRPr="001569FB" w:rsidRDefault="003051E2" w:rsidP="002707EC">
      <w:pPr>
        <w:autoSpaceDE w:val="0"/>
        <w:autoSpaceDN w:val="0"/>
        <w:adjustRightInd w:val="0"/>
        <w:spacing w:after="120"/>
        <w:ind w:left="2160" w:firstLine="720"/>
        <w:rPr>
          <w:i/>
          <w:iCs/>
          <w:color w:val="000000"/>
          <w:szCs w:val="24"/>
        </w:rPr>
      </w:pPr>
      <w:r w:rsidRPr="001569FB">
        <w:rPr>
          <w:i/>
          <w:szCs w:val="24"/>
        </w:rPr>
        <w:t>or</w:t>
      </w:r>
    </w:p>
    <w:p w14:paraId="449EADB8" w14:textId="7570FF4C" w:rsidR="00407F40" w:rsidRPr="001569FB" w:rsidRDefault="003640D5" w:rsidP="002707EC">
      <w:pPr>
        <w:spacing w:after="200"/>
        <w:ind w:left="1440" w:firstLine="720"/>
        <w:rPr>
          <w:szCs w:val="24"/>
        </w:rPr>
      </w:pPr>
      <w:r w:rsidRPr="001569FB">
        <w:rPr>
          <w:szCs w:val="24"/>
        </w:rPr>
        <w:t>79.96</w:t>
      </w:r>
      <w:r w:rsidR="00E726AC" w:rsidRPr="001569FB" w:rsidDel="00E726AC">
        <w:rPr>
          <w:szCs w:val="24"/>
        </w:rPr>
        <w:t xml:space="preserve"> </w:t>
      </w:r>
      <w:r w:rsidR="00407F40" w:rsidRPr="001569FB">
        <w:rPr>
          <w:szCs w:val="24"/>
        </w:rPr>
        <w:t>% = [(</w:t>
      </w:r>
      <w:r w:rsidRPr="001569FB">
        <w:rPr>
          <w:szCs w:val="24"/>
        </w:rPr>
        <w:t xml:space="preserve">99.928% </w:t>
      </w:r>
      <w:r w:rsidR="00407F40" w:rsidRPr="001569FB">
        <w:rPr>
          <w:szCs w:val="24"/>
        </w:rPr>
        <w:t xml:space="preserve">× </w:t>
      </w:r>
      <w:r w:rsidR="00E726AC" w:rsidRPr="001569FB">
        <w:rPr>
          <w:szCs w:val="24"/>
        </w:rPr>
        <w:t>80</w:t>
      </w:r>
      <w:r w:rsidR="00407F40" w:rsidRPr="001569FB">
        <w:rPr>
          <w:szCs w:val="24"/>
        </w:rPr>
        <w:t>%) + (</w:t>
      </w:r>
      <w:r w:rsidRPr="001569FB">
        <w:rPr>
          <w:szCs w:val="24"/>
        </w:rPr>
        <w:t>0.072</w:t>
      </w:r>
      <w:r w:rsidR="00407F40" w:rsidRPr="001569FB">
        <w:rPr>
          <w:szCs w:val="24"/>
        </w:rPr>
        <w:t xml:space="preserve">% × </w:t>
      </w:r>
      <w:r w:rsidR="00E726AC" w:rsidRPr="001569FB">
        <w:rPr>
          <w:szCs w:val="24"/>
        </w:rPr>
        <w:t>30</w:t>
      </w:r>
      <w:r w:rsidR="00407F40" w:rsidRPr="001569FB">
        <w:rPr>
          <w:szCs w:val="24"/>
        </w:rPr>
        <w:t>%)]</w:t>
      </w:r>
    </w:p>
    <w:p w14:paraId="167B514D" w14:textId="0267E8FD" w:rsidR="00D43FAD" w:rsidRPr="001569FB" w:rsidRDefault="00D43FAD" w:rsidP="00AC78D9">
      <w:pPr>
        <w:pStyle w:val="ListBullet"/>
        <w:numPr>
          <w:ilvl w:val="0"/>
          <w:numId w:val="17"/>
        </w:numPr>
        <w:spacing w:before="200" w:after="200"/>
        <w:rPr>
          <w:szCs w:val="24"/>
        </w:rPr>
      </w:pPr>
      <w:r w:rsidRPr="001569FB">
        <w:rPr>
          <w:i/>
          <w:szCs w:val="24"/>
        </w:rPr>
        <w:t>Generic GDCB % for non-LIS</w:t>
      </w:r>
      <w:r w:rsidRPr="001569FB">
        <w:rPr>
          <w:szCs w:val="24"/>
        </w:rPr>
        <w:t xml:space="preserve"> is the percentage of gross covered drug costs below the </w:t>
      </w:r>
      <w:r w:rsidR="00210091" w:rsidRPr="001569FB">
        <w:rPr>
          <w:szCs w:val="24"/>
        </w:rPr>
        <w:t>OOP</w:t>
      </w:r>
      <w:r w:rsidRPr="001569FB">
        <w:rPr>
          <w:szCs w:val="24"/>
        </w:rPr>
        <w:t xml:space="preserve"> threshold for applicable beneficiaries </w:t>
      </w:r>
      <w:r w:rsidR="008F723F" w:rsidRPr="001569FB">
        <w:rPr>
          <w:szCs w:val="24"/>
        </w:rPr>
        <w:t xml:space="preserve">(i.e., non-LIS) </w:t>
      </w:r>
      <w:r w:rsidRPr="001569FB">
        <w:rPr>
          <w:szCs w:val="24"/>
        </w:rPr>
        <w:t xml:space="preserve">attributable to non-applicable drugs as reported on the </w:t>
      </w:r>
      <w:r w:rsidR="00E726AC" w:rsidRPr="001569FB">
        <w:rPr>
          <w:szCs w:val="24"/>
        </w:rPr>
        <w:t xml:space="preserve">2017 </w:t>
      </w:r>
      <w:r w:rsidRPr="001569FB">
        <w:rPr>
          <w:szCs w:val="24"/>
        </w:rPr>
        <w:t xml:space="preserve">PDEs. </w:t>
      </w:r>
    </w:p>
    <w:p w14:paraId="13EAA834" w14:textId="77777777" w:rsidR="009A6EBC" w:rsidRPr="001569FB" w:rsidRDefault="00D43FAD" w:rsidP="00AC78D9">
      <w:pPr>
        <w:pStyle w:val="ListBullet"/>
        <w:numPr>
          <w:ilvl w:val="0"/>
          <w:numId w:val="17"/>
        </w:numPr>
        <w:spacing w:before="200" w:after="200"/>
        <w:rPr>
          <w:bCs/>
          <w:szCs w:val="24"/>
        </w:rPr>
      </w:pPr>
      <w:r w:rsidRPr="001569FB">
        <w:rPr>
          <w:i/>
          <w:szCs w:val="24"/>
        </w:rPr>
        <w:t>Gap cost</w:t>
      </w:r>
      <w:r w:rsidR="00972F0F" w:rsidRPr="001569FB">
        <w:rPr>
          <w:i/>
          <w:szCs w:val="24"/>
        </w:rPr>
        <w:t>-</w:t>
      </w:r>
      <w:r w:rsidRPr="001569FB">
        <w:rPr>
          <w:i/>
          <w:szCs w:val="24"/>
        </w:rPr>
        <w:t>sharing for non-applicable drugs</w:t>
      </w:r>
      <w:r w:rsidRPr="001569FB">
        <w:rPr>
          <w:szCs w:val="24"/>
        </w:rPr>
        <w:t xml:space="preserve"> is the coinsurance incurred by applicable beneficiaries </w:t>
      </w:r>
      <w:r w:rsidR="008F723F" w:rsidRPr="001569FB">
        <w:rPr>
          <w:szCs w:val="24"/>
        </w:rPr>
        <w:t xml:space="preserve">(i.e., non-LIS) </w:t>
      </w:r>
      <w:r w:rsidRPr="001569FB">
        <w:rPr>
          <w:szCs w:val="24"/>
        </w:rPr>
        <w:t>for non-applicable drugs in the coverage gap.</w:t>
      </w:r>
    </w:p>
    <w:p w14:paraId="3777DF73" w14:textId="7215F893" w:rsidR="00E27585" w:rsidRPr="001569FB" w:rsidRDefault="001074CE" w:rsidP="00E97F49">
      <w:pPr>
        <w:pStyle w:val="Heading1"/>
        <w:spacing w:before="0"/>
      </w:pPr>
      <w:bookmarkStart w:id="470" w:name="How_to_Use_This_Call_Letter"/>
      <w:bookmarkStart w:id="471" w:name="Section_I_–_Parts_C_and_D"/>
      <w:bookmarkStart w:id="472" w:name="Annual_Calendar"/>
      <w:bookmarkStart w:id="473" w:name="Incomplete_and_Inaccurate_Bid_Submission"/>
      <w:bookmarkStart w:id="474" w:name="Incomplete_Submissions"/>
      <w:bookmarkStart w:id="475" w:name="Inaccurate_Submissions"/>
      <w:bookmarkStart w:id="476" w:name="Plan_Corrections"/>
      <w:bookmarkStart w:id="477" w:name="Formulary_Submissions"/>
      <w:bookmarkStart w:id="478" w:name="CY_2016_Formulary_Submission_Window"/>
      <w:bookmarkStart w:id="479" w:name="CY_2016_Formulary_Reference_File"/>
      <w:bookmarkStart w:id="480" w:name="Submission_of_Formulary_Quantity_Limits"/>
      <w:bookmarkStart w:id="481" w:name="Midyear_Formulary_Changes"/>
      <w:bookmarkStart w:id="482" w:name="Revisions_to_Good_Cause_Processes"/>
      <w:bookmarkStart w:id="483" w:name="Enrollment_Eligibility_for_Individuals_N"/>
      <w:bookmarkStart w:id="484" w:name="Making_the_Exceptions_and_Appeals_Proces"/>
      <w:bookmarkStart w:id="485" w:name="Coverage_Denial_Notices_and_Requests_for"/>
      <w:bookmarkStart w:id="486" w:name="Denial_Notices"/>
      <w:bookmarkStart w:id="487" w:name="Denial_Notices_–_Next_Steps"/>
      <w:bookmarkStart w:id="488" w:name="Requesting_Clinical_Documentation"/>
      <w:bookmarkStart w:id="489" w:name="Requesting_Clinical_Documentation_–_Next"/>
      <w:bookmarkStart w:id="490" w:name="Improved_Information_at_the_Point_of_Sal"/>
      <w:bookmarkStart w:id="491" w:name="Expanded_Data_Collection_for_Part_D_Appe"/>
      <w:bookmarkStart w:id="492" w:name="Contracting_Organizations_with_Ratings_o"/>
      <w:bookmarkStart w:id="493" w:name="Enhancements_to_the_2016_Star_Ratings_an"/>
      <w:bookmarkStart w:id="494" w:name="Audit_&amp;_Oversight"/>
      <w:bookmarkStart w:id="495" w:name="New_Program_Audit_Modules"/>
      <w:bookmarkStart w:id="496" w:name="Integrated_Dual-Eligible_Special_Needs_P"/>
      <w:bookmarkStart w:id="497" w:name="Seamless_Conversion_Enrollment_Option"/>
      <w:bookmarkStart w:id="498" w:name="Benefit_Flexibility_for_Highly_Integrate"/>
      <w:bookmarkStart w:id="499" w:name="Value-Based_Contracting_to_Reduce_Costs_"/>
      <w:bookmarkStart w:id="500" w:name="Innovations_in_Health_Plan_Design"/>
      <w:bookmarkStart w:id="501" w:name="Section_II_–_Part_C"/>
      <w:bookmarkStart w:id="502" w:name="Overview_of_CY_2016_Benefits_and_Bid_Rev"/>
      <w:bookmarkStart w:id="503" w:name="Plans_with_Low_Enrollment"/>
      <w:bookmarkStart w:id="504" w:name="Meaningful_Difference_(Substantially_Dup"/>
      <w:bookmarkStart w:id="505" w:name="Total_Beneficiary_Cost_(TBC)"/>
      <w:bookmarkStart w:id="506" w:name="Maximum_Out-of-Pocket_(MOOP)_Limits"/>
      <w:bookmarkStart w:id="507" w:name="Per_Member_Per_Month_(PMPM)_Actuarial_Eq"/>
      <w:bookmarkStart w:id="508" w:name="Part_C_Cost_Sharing_Standards"/>
      <w:bookmarkStart w:id="509" w:name="Part_C_Optional_Supplemental_Benefits"/>
      <w:bookmarkStart w:id="510" w:name="PBP_Updates_and_Guidance"/>
      <w:bookmarkStart w:id="511" w:name="Medical_Services_Performed_in_Multiple_H"/>
      <w:bookmarkStart w:id="512" w:name="Service_Category_Titles"/>
      <w:bookmarkStart w:id="513" w:name="Tiered_Cost_Sharing_of_Medical_Benefits"/>
      <w:bookmarkStart w:id="514" w:name="Policy_Updates"/>
      <w:bookmarkStart w:id="515" w:name="Part_C_Emergency/Urgently_Needed_Service"/>
      <w:bookmarkStart w:id="516" w:name="Annual_Physical_Exam_Supplemental_Benefi"/>
      <w:bookmarkStart w:id="517" w:name="Exceptions_to_Policies_Permitting_Plans_"/>
      <w:bookmarkStart w:id="518" w:name="Contract_Consolidations"/>
      <w:bookmarkStart w:id="519" w:name="Limiting_Applications"/>
      <w:bookmarkStart w:id="520" w:name="MA/MA-PD_Application_Change"/>
      <w:bookmarkStart w:id="521" w:name="Two-Year_Prohibition"/>
      <w:bookmarkStart w:id="522" w:name="Guidance_to_Verify_that_Networks_are_Ade"/>
      <w:bookmarkStart w:id="523" w:name="Guidance_for_Off-cycle_Submission_of_Sum"/>
      <w:bookmarkStart w:id="524" w:name="Waiver_of_the_Three_Day_Qualifying_Inpat"/>
      <w:bookmarkStart w:id="525" w:name="Standardizing_the_Health_Risk_Assessment"/>
      <w:bookmarkStart w:id="526" w:name="Guidance_for_In-Home_Enrollee_Risk_Asses"/>
      <w:bookmarkStart w:id="527" w:name="Section_1876_Cost_Contract_Provisions"/>
      <w:bookmarkStart w:id="528" w:name="Cost_Plan_Application"/>
      <w:bookmarkStart w:id="529" w:name="Closing_Cost_Plans_to_New_Enrollment_whe"/>
      <w:bookmarkStart w:id="530" w:name="Cost_Contract_Plan_Competition_Requireme"/>
      <w:bookmarkStart w:id="531" w:name="Section_III_–_Part_D"/>
      <w:bookmarkStart w:id="532" w:name="Improving_Drug_Utilization_Review_Contro"/>
      <w:bookmarkStart w:id="533" w:name="bookmark3"/>
      <w:bookmarkStart w:id="534" w:name="bookmark4"/>
      <w:bookmarkStart w:id="535" w:name="Background"/>
      <w:bookmarkStart w:id="536" w:name="Results"/>
      <w:bookmarkStart w:id="537" w:name="Acetaminophen_(APAP)"/>
      <w:bookmarkStart w:id="538" w:name="Opioids"/>
      <w:bookmarkStart w:id="539" w:name="Revisions_to_the_Overutilization_Monitor"/>
      <w:bookmarkStart w:id="540" w:name="Improved_Drug_Utilization_Controls_for_O"/>
      <w:bookmarkStart w:id="541" w:name="Research,_Guidelines,_and_Training_Mater"/>
      <w:bookmarkStart w:id="542" w:name="Part_D_Benefit_Parameters_for_Non-Define"/>
      <w:bookmarkStart w:id="543" w:name="Threshold_Calculations_and_Inflation_Fac"/>
      <w:bookmarkStart w:id="544" w:name="Tier_Labeling_and_Composition"/>
      <w:bookmarkStart w:id="545" w:name="Benefit_Review"/>
      <w:bookmarkStart w:id="546" w:name="Specialty_Tiers_&amp;_Deductible"/>
      <w:bookmarkStart w:id="547" w:name="Maximum_Allowable_Cost_(MAC)_Pricing"/>
      <w:bookmarkStart w:id="548" w:name="Mail_Order_and_Changes_to_Applying_for_E"/>
      <w:bookmarkStart w:id="549" w:name="_bookmark87"/>
      <w:bookmarkStart w:id="550" w:name="Current_Policy:"/>
      <w:bookmarkStart w:id="551" w:name="2016_Policy:"/>
      <w:bookmarkStart w:id="552" w:name="Review_of_Exception_Requirements:"/>
      <w:bookmarkStart w:id="553" w:name="12/12/2013_Exception_Conditions_for_New_"/>
      <w:bookmarkStart w:id="554" w:name="10/28/2013_Exception_Condition_for_Refil"/>
      <w:bookmarkStart w:id="555" w:name="Coordination_of_Benefits_(COB)_User_Fee"/>
      <w:bookmarkStart w:id="556" w:name="Part_D_Low_Enrollment"/>
      <w:bookmarkStart w:id="557" w:name="Appendix_1_–_Contract_Year_2016_Guidance"/>
      <w:bookmarkStart w:id="558" w:name="1.__New_Plan_Added"/>
      <w:bookmarkStart w:id="559" w:name="2.__Renewal_Plan"/>
      <w:bookmarkStart w:id="560" w:name="3.__Consolidated_Renewal_Plan"/>
      <w:bookmarkStart w:id="561" w:name="4.__Renewal_Plan_with_a_Service_Area_Exp"/>
      <w:bookmarkStart w:id="562" w:name="5.__Terminated_Plan_(Non-Renewal)"/>
      <w:bookmarkStart w:id="563" w:name="_Toc438116450"/>
      <w:bookmarkStart w:id="564" w:name="6.__Consolidated_Plans_under_a_Parent_Or"/>
      <w:bookmarkStart w:id="565" w:name="Appendix_2_–_Contract_Year_2016_Guidance"/>
      <w:bookmarkEnd w:id="3"/>
      <w:bookmarkEnd w:id="421"/>
      <w:bookmarkEnd w:id="422"/>
      <w:bookmarkEnd w:id="423"/>
      <w:bookmarkEnd w:id="424"/>
      <w:bookmarkEnd w:id="439"/>
      <w:bookmarkEnd w:id="440"/>
      <w:bookmarkEnd w:id="441"/>
      <w:bookmarkEnd w:id="442"/>
      <w:bookmarkEnd w:id="443"/>
      <w:bookmarkEnd w:id="444"/>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1569FB">
        <w:br w:type="page"/>
      </w:r>
      <w:bookmarkStart w:id="566" w:name="_Toc505253803"/>
      <w:bookmarkStart w:id="567" w:name="_Toc503950404"/>
      <w:r w:rsidR="008D4E91" w:rsidRPr="001569FB">
        <w:lastRenderedPageBreak/>
        <w:t xml:space="preserve">Attachment V. </w:t>
      </w:r>
      <w:r w:rsidR="007A6384" w:rsidRPr="001569FB">
        <w:t xml:space="preserve"> </w:t>
      </w:r>
      <w:r w:rsidR="00FF03D5" w:rsidRPr="001569FB">
        <w:t xml:space="preserve">RxHCC and ESRD </w:t>
      </w:r>
      <w:r w:rsidR="008D4E91" w:rsidRPr="001569FB">
        <w:t>Risk Adjustment Factors</w:t>
      </w:r>
      <w:bookmarkEnd w:id="566"/>
    </w:p>
    <w:p w14:paraId="5FEECFD8" w14:textId="63AB4F6E" w:rsidR="00C669E3" w:rsidRPr="001569FB" w:rsidRDefault="00E177CD">
      <w:pPr>
        <w:pStyle w:val="TOC1"/>
        <w:rPr>
          <w:rFonts w:asciiTheme="minorHAnsi" w:eastAsiaTheme="minorEastAsia" w:hAnsiTheme="minorHAnsi" w:cstheme="minorBidi"/>
          <w:bCs w:val="0"/>
          <w:noProof/>
          <w:sz w:val="22"/>
        </w:rPr>
      </w:pPr>
      <w:r w:rsidRPr="001569FB">
        <w:rPr>
          <w:bCs w:val="0"/>
          <w:color w:val="000000" w:themeColor="text1"/>
        </w:rPr>
        <w:fldChar w:fldCharType="begin"/>
      </w:r>
      <w:r w:rsidRPr="001569FB">
        <w:rPr>
          <w:bCs w:val="0"/>
          <w:color w:val="000000" w:themeColor="text1"/>
        </w:rPr>
        <w:instrText xml:space="preserve"> TOC \h \z \u \t "Heading A,1" </w:instrText>
      </w:r>
      <w:r w:rsidRPr="001569FB">
        <w:rPr>
          <w:bCs w:val="0"/>
          <w:color w:val="000000" w:themeColor="text1"/>
        </w:rPr>
        <w:fldChar w:fldCharType="separate"/>
      </w:r>
      <w:hyperlink w:anchor="_Toc505253813" w:history="1">
        <w:r w:rsidR="00C669E3" w:rsidRPr="001569FB">
          <w:rPr>
            <w:rStyle w:val="Hyperlink"/>
            <w:noProof/>
          </w:rPr>
          <w:t>Table V-1. RxHCC Model Relative Factors for Continuing Enrollees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_Toc505253813 \h </w:instrText>
        </w:r>
        <w:r w:rsidR="00C669E3" w:rsidRPr="001569FB">
          <w:rPr>
            <w:noProof/>
            <w:webHidden/>
          </w:rPr>
        </w:r>
        <w:r w:rsidR="00C669E3" w:rsidRPr="001569FB">
          <w:rPr>
            <w:noProof/>
            <w:webHidden/>
          </w:rPr>
          <w:fldChar w:fldCharType="separate"/>
        </w:r>
        <w:r w:rsidR="00A216EC">
          <w:rPr>
            <w:noProof/>
            <w:webHidden/>
          </w:rPr>
          <w:t>66</w:t>
        </w:r>
        <w:r w:rsidR="00C669E3" w:rsidRPr="001569FB">
          <w:rPr>
            <w:noProof/>
            <w:webHidden/>
          </w:rPr>
          <w:fldChar w:fldCharType="end"/>
        </w:r>
      </w:hyperlink>
    </w:p>
    <w:p w14:paraId="67A8890D" w14:textId="3E1C53AE" w:rsidR="00C669E3" w:rsidRPr="001569FB" w:rsidRDefault="006B65AC">
      <w:pPr>
        <w:pStyle w:val="TOC1"/>
        <w:rPr>
          <w:rFonts w:asciiTheme="minorHAnsi" w:eastAsiaTheme="minorEastAsia" w:hAnsiTheme="minorHAnsi" w:cstheme="minorBidi"/>
          <w:bCs w:val="0"/>
          <w:noProof/>
          <w:sz w:val="22"/>
        </w:rPr>
      </w:pPr>
      <w:hyperlink w:anchor="_Toc505253814" w:history="1">
        <w:r w:rsidR="00C669E3" w:rsidRPr="001569FB">
          <w:rPr>
            <w:rStyle w:val="Hyperlink"/>
            <w:noProof/>
          </w:rPr>
          <w:t>Table V-2. RxHCC Model Relative Factors for New Enrollees, Non</w:t>
        </w:r>
        <w:r w:rsidR="00C669E3" w:rsidRPr="001569FB">
          <w:rPr>
            <w:rStyle w:val="Hyperlink"/>
            <w:rFonts w:ascii="Cambria Math" w:eastAsia="MS Mincho" w:hAnsi="Cambria Math" w:cs="Cambria Math"/>
            <w:noProof/>
          </w:rPr>
          <w:t>‑</w:t>
        </w:r>
        <w:r w:rsidR="00C669E3" w:rsidRPr="001569FB">
          <w:rPr>
            <w:rStyle w:val="Hyperlink"/>
            <w:noProof/>
          </w:rPr>
          <w:t>Low Income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_Toc505253814 \h </w:instrText>
        </w:r>
        <w:r w:rsidR="00C669E3" w:rsidRPr="001569FB">
          <w:rPr>
            <w:noProof/>
            <w:webHidden/>
          </w:rPr>
        </w:r>
        <w:r w:rsidR="00C669E3" w:rsidRPr="001569FB">
          <w:rPr>
            <w:noProof/>
            <w:webHidden/>
          </w:rPr>
          <w:fldChar w:fldCharType="separate"/>
        </w:r>
        <w:r w:rsidR="00A216EC">
          <w:rPr>
            <w:noProof/>
            <w:webHidden/>
          </w:rPr>
          <w:t>72</w:t>
        </w:r>
        <w:r w:rsidR="00C669E3" w:rsidRPr="001569FB">
          <w:rPr>
            <w:noProof/>
            <w:webHidden/>
          </w:rPr>
          <w:fldChar w:fldCharType="end"/>
        </w:r>
      </w:hyperlink>
    </w:p>
    <w:p w14:paraId="479EB407" w14:textId="5BED50FC" w:rsidR="00C669E3" w:rsidRPr="001569FB" w:rsidRDefault="006B65AC">
      <w:pPr>
        <w:pStyle w:val="TOC1"/>
        <w:rPr>
          <w:rFonts w:asciiTheme="minorHAnsi" w:eastAsiaTheme="minorEastAsia" w:hAnsiTheme="minorHAnsi" w:cstheme="minorBidi"/>
          <w:bCs w:val="0"/>
          <w:noProof/>
          <w:sz w:val="22"/>
        </w:rPr>
      </w:pPr>
      <w:hyperlink w:anchor="_Toc505253815" w:history="1">
        <w:r w:rsidR="00C669E3" w:rsidRPr="001569FB">
          <w:rPr>
            <w:rStyle w:val="Hyperlink"/>
            <w:noProof/>
          </w:rPr>
          <w:t>Table V-3. RxHCC Model Relative Factors for New Enrollees, Low Income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_Toc505253815 \h </w:instrText>
        </w:r>
        <w:r w:rsidR="00C669E3" w:rsidRPr="001569FB">
          <w:rPr>
            <w:noProof/>
            <w:webHidden/>
          </w:rPr>
        </w:r>
        <w:r w:rsidR="00C669E3" w:rsidRPr="001569FB">
          <w:rPr>
            <w:noProof/>
            <w:webHidden/>
          </w:rPr>
          <w:fldChar w:fldCharType="separate"/>
        </w:r>
        <w:r w:rsidR="00A216EC">
          <w:rPr>
            <w:noProof/>
            <w:webHidden/>
          </w:rPr>
          <w:t>73</w:t>
        </w:r>
        <w:r w:rsidR="00C669E3" w:rsidRPr="001569FB">
          <w:rPr>
            <w:noProof/>
            <w:webHidden/>
          </w:rPr>
          <w:fldChar w:fldCharType="end"/>
        </w:r>
      </w:hyperlink>
    </w:p>
    <w:p w14:paraId="2E6D577F" w14:textId="14527C8F" w:rsidR="00C669E3" w:rsidRPr="001569FB" w:rsidRDefault="006B65AC">
      <w:pPr>
        <w:pStyle w:val="TOC1"/>
        <w:rPr>
          <w:rFonts w:asciiTheme="minorHAnsi" w:eastAsiaTheme="minorEastAsia" w:hAnsiTheme="minorHAnsi" w:cstheme="minorBidi"/>
          <w:bCs w:val="0"/>
          <w:noProof/>
          <w:sz w:val="22"/>
        </w:rPr>
      </w:pPr>
      <w:hyperlink w:anchor="_Toc505253816" w:history="1">
        <w:r w:rsidR="00C669E3" w:rsidRPr="001569FB">
          <w:rPr>
            <w:rStyle w:val="Hyperlink"/>
            <w:noProof/>
          </w:rPr>
          <w:t>Table V-4. RxHCC Model Relative Factors for New Enrollees, Institutional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_Toc505253816 \h </w:instrText>
        </w:r>
        <w:r w:rsidR="00C669E3" w:rsidRPr="001569FB">
          <w:rPr>
            <w:noProof/>
            <w:webHidden/>
          </w:rPr>
        </w:r>
        <w:r w:rsidR="00C669E3" w:rsidRPr="001569FB">
          <w:rPr>
            <w:noProof/>
            <w:webHidden/>
          </w:rPr>
          <w:fldChar w:fldCharType="separate"/>
        </w:r>
        <w:r w:rsidR="00A216EC">
          <w:rPr>
            <w:noProof/>
            <w:webHidden/>
          </w:rPr>
          <w:t>74</w:t>
        </w:r>
        <w:r w:rsidR="00C669E3" w:rsidRPr="001569FB">
          <w:rPr>
            <w:noProof/>
            <w:webHidden/>
          </w:rPr>
          <w:fldChar w:fldCharType="end"/>
        </w:r>
      </w:hyperlink>
    </w:p>
    <w:p w14:paraId="33C26CA4" w14:textId="65D25F1B" w:rsidR="00C669E3" w:rsidRPr="001569FB" w:rsidRDefault="006B65AC">
      <w:pPr>
        <w:pStyle w:val="TOC1"/>
        <w:rPr>
          <w:rFonts w:asciiTheme="minorHAnsi" w:eastAsiaTheme="minorEastAsia" w:hAnsiTheme="minorHAnsi" w:cstheme="minorBidi"/>
          <w:bCs w:val="0"/>
          <w:noProof/>
          <w:sz w:val="22"/>
        </w:rPr>
      </w:pPr>
      <w:hyperlink w:anchor="_Toc505253817" w:history="1">
        <w:r w:rsidR="00C669E3" w:rsidRPr="001569FB">
          <w:rPr>
            <w:rStyle w:val="Hyperlink"/>
            <w:noProof/>
          </w:rPr>
          <w:t>Table V-5. List of Disease Hierarchies for RxHCC Model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_Toc505253817 \h </w:instrText>
        </w:r>
        <w:r w:rsidR="00C669E3" w:rsidRPr="001569FB">
          <w:rPr>
            <w:noProof/>
            <w:webHidden/>
          </w:rPr>
        </w:r>
        <w:r w:rsidR="00C669E3" w:rsidRPr="001569FB">
          <w:rPr>
            <w:noProof/>
            <w:webHidden/>
          </w:rPr>
          <w:fldChar w:fldCharType="separate"/>
        </w:r>
        <w:r w:rsidR="00A216EC">
          <w:rPr>
            <w:noProof/>
            <w:webHidden/>
          </w:rPr>
          <w:t>75</w:t>
        </w:r>
        <w:r w:rsidR="00C669E3" w:rsidRPr="001569FB">
          <w:rPr>
            <w:noProof/>
            <w:webHidden/>
          </w:rPr>
          <w:fldChar w:fldCharType="end"/>
        </w:r>
      </w:hyperlink>
    </w:p>
    <w:p w14:paraId="44CEB0AF" w14:textId="15B6188F" w:rsidR="00C669E3" w:rsidRPr="001569FB" w:rsidRDefault="006B65AC">
      <w:pPr>
        <w:pStyle w:val="TOC1"/>
        <w:rPr>
          <w:rFonts w:asciiTheme="minorHAnsi" w:eastAsiaTheme="minorEastAsia" w:hAnsiTheme="minorHAnsi" w:cstheme="minorBidi"/>
          <w:bCs w:val="0"/>
          <w:noProof/>
          <w:sz w:val="22"/>
        </w:rPr>
      </w:pPr>
      <w:hyperlink w:anchor="_Toc505253818" w:history="1">
        <w:r w:rsidR="00C669E3" w:rsidRPr="001569FB">
          <w:rPr>
            <w:rStyle w:val="Hyperlink"/>
            <w:noProof/>
          </w:rPr>
          <w:t>Table V-6. ESRD Model Continuing Enrollee Dialysis Relative Factors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_Toc505253818 \h </w:instrText>
        </w:r>
        <w:r w:rsidR="00C669E3" w:rsidRPr="001569FB">
          <w:rPr>
            <w:noProof/>
            <w:webHidden/>
          </w:rPr>
        </w:r>
        <w:r w:rsidR="00C669E3" w:rsidRPr="001569FB">
          <w:rPr>
            <w:noProof/>
            <w:webHidden/>
          </w:rPr>
          <w:fldChar w:fldCharType="separate"/>
        </w:r>
        <w:r w:rsidR="00A216EC">
          <w:rPr>
            <w:noProof/>
            <w:webHidden/>
          </w:rPr>
          <w:t>76</w:t>
        </w:r>
        <w:r w:rsidR="00C669E3" w:rsidRPr="001569FB">
          <w:rPr>
            <w:noProof/>
            <w:webHidden/>
          </w:rPr>
          <w:fldChar w:fldCharType="end"/>
        </w:r>
      </w:hyperlink>
    </w:p>
    <w:p w14:paraId="485D1300" w14:textId="69FD6912" w:rsidR="00C669E3" w:rsidRPr="001569FB" w:rsidRDefault="006B65AC">
      <w:pPr>
        <w:pStyle w:val="TOC1"/>
        <w:rPr>
          <w:rFonts w:asciiTheme="minorHAnsi" w:eastAsiaTheme="minorEastAsia" w:hAnsiTheme="minorHAnsi" w:cstheme="minorBidi"/>
          <w:bCs w:val="0"/>
          <w:noProof/>
          <w:sz w:val="22"/>
        </w:rPr>
      </w:pPr>
      <w:hyperlink w:anchor="_Toc505253819" w:history="1">
        <w:r w:rsidR="00C669E3" w:rsidRPr="001569FB">
          <w:rPr>
            <w:rStyle w:val="Hyperlink"/>
            <w:noProof/>
          </w:rPr>
          <w:t>Table V-7. ESRD Model Demographic Relative Factors for New Enrollees in Dialysis Status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_Toc505253819 \h </w:instrText>
        </w:r>
        <w:r w:rsidR="00C669E3" w:rsidRPr="001569FB">
          <w:rPr>
            <w:noProof/>
            <w:webHidden/>
          </w:rPr>
        </w:r>
        <w:r w:rsidR="00C669E3" w:rsidRPr="001569FB">
          <w:rPr>
            <w:noProof/>
            <w:webHidden/>
          </w:rPr>
          <w:fldChar w:fldCharType="separate"/>
        </w:r>
        <w:r w:rsidR="00A216EC">
          <w:rPr>
            <w:noProof/>
            <w:webHidden/>
          </w:rPr>
          <w:t>80</w:t>
        </w:r>
        <w:r w:rsidR="00C669E3" w:rsidRPr="001569FB">
          <w:rPr>
            <w:noProof/>
            <w:webHidden/>
          </w:rPr>
          <w:fldChar w:fldCharType="end"/>
        </w:r>
      </w:hyperlink>
    </w:p>
    <w:p w14:paraId="35AEB048" w14:textId="679A9EA7" w:rsidR="00C669E3" w:rsidRPr="001569FB" w:rsidRDefault="006B65AC">
      <w:pPr>
        <w:pStyle w:val="TOC1"/>
        <w:rPr>
          <w:rFonts w:asciiTheme="minorHAnsi" w:eastAsiaTheme="minorEastAsia" w:hAnsiTheme="minorHAnsi" w:cstheme="minorBidi"/>
          <w:bCs w:val="0"/>
          <w:noProof/>
          <w:sz w:val="22"/>
        </w:rPr>
      </w:pPr>
      <w:hyperlink w:anchor="_Toc505253820" w:history="1">
        <w:r w:rsidR="00C669E3" w:rsidRPr="001569FB">
          <w:rPr>
            <w:rStyle w:val="Hyperlink"/>
            <w:noProof/>
          </w:rPr>
          <w:t>Table V-8. ESRD Kidney Transplant CMS-HCC Model Relative Factors for Transplant Beneficiaries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_Toc505253820 \h </w:instrText>
        </w:r>
        <w:r w:rsidR="00C669E3" w:rsidRPr="001569FB">
          <w:rPr>
            <w:noProof/>
            <w:webHidden/>
          </w:rPr>
        </w:r>
        <w:r w:rsidR="00C669E3" w:rsidRPr="001569FB">
          <w:rPr>
            <w:noProof/>
            <w:webHidden/>
          </w:rPr>
          <w:fldChar w:fldCharType="separate"/>
        </w:r>
        <w:r w:rsidR="00A216EC">
          <w:rPr>
            <w:noProof/>
            <w:webHidden/>
          </w:rPr>
          <w:t>81</w:t>
        </w:r>
        <w:r w:rsidR="00C669E3" w:rsidRPr="001569FB">
          <w:rPr>
            <w:noProof/>
            <w:webHidden/>
          </w:rPr>
          <w:fldChar w:fldCharType="end"/>
        </w:r>
      </w:hyperlink>
    </w:p>
    <w:p w14:paraId="09AD865D" w14:textId="7C536B2C" w:rsidR="00C669E3" w:rsidRPr="001569FB" w:rsidRDefault="006B65AC">
      <w:pPr>
        <w:pStyle w:val="TOC1"/>
        <w:rPr>
          <w:rFonts w:asciiTheme="minorHAnsi" w:eastAsiaTheme="minorEastAsia" w:hAnsiTheme="minorHAnsi" w:cstheme="minorBidi"/>
          <w:bCs w:val="0"/>
          <w:noProof/>
          <w:sz w:val="22"/>
        </w:rPr>
      </w:pPr>
      <w:hyperlink w:anchor="_Toc505253821" w:history="1">
        <w:r w:rsidR="00C669E3" w:rsidRPr="001569FB">
          <w:rPr>
            <w:rStyle w:val="Hyperlink"/>
            <w:noProof/>
          </w:rPr>
          <w:t>Table V-9. ESRD Model Functioning Graft Relative Factors for Community Population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_Toc505253821 \h </w:instrText>
        </w:r>
        <w:r w:rsidR="00C669E3" w:rsidRPr="001569FB">
          <w:rPr>
            <w:noProof/>
            <w:webHidden/>
          </w:rPr>
        </w:r>
        <w:r w:rsidR="00C669E3" w:rsidRPr="001569FB">
          <w:rPr>
            <w:noProof/>
            <w:webHidden/>
          </w:rPr>
          <w:fldChar w:fldCharType="separate"/>
        </w:r>
        <w:r w:rsidR="00A216EC">
          <w:rPr>
            <w:noProof/>
            <w:webHidden/>
          </w:rPr>
          <w:t>82</w:t>
        </w:r>
        <w:r w:rsidR="00C669E3" w:rsidRPr="001569FB">
          <w:rPr>
            <w:noProof/>
            <w:webHidden/>
          </w:rPr>
          <w:fldChar w:fldCharType="end"/>
        </w:r>
      </w:hyperlink>
    </w:p>
    <w:p w14:paraId="610846D8" w14:textId="6442C71C" w:rsidR="00C669E3" w:rsidRPr="001569FB" w:rsidRDefault="006B65AC">
      <w:pPr>
        <w:pStyle w:val="TOC1"/>
        <w:rPr>
          <w:rFonts w:asciiTheme="minorHAnsi" w:eastAsiaTheme="minorEastAsia" w:hAnsiTheme="minorHAnsi" w:cstheme="minorBidi"/>
          <w:bCs w:val="0"/>
          <w:noProof/>
          <w:sz w:val="22"/>
        </w:rPr>
      </w:pPr>
      <w:hyperlink w:anchor="_Toc505253822" w:history="1">
        <w:r w:rsidR="00C669E3" w:rsidRPr="001569FB">
          <w:rPr>
            <w:rStyle w:val="Hyperlink"/>
            <w:noProof/>
          </w:rPr>
          <w:t>Table V-10. ESRD Model Functioning Graft Relative Factors for Institutionalized Population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_Toc505253822 \h </w:instrText>
        </w:r>
        <w:r w:rsidR="00C669E3" w:rsidRPr="001569FB">
          <w:rPr>
            <w:noProof/>
            <w:webHidden/>
          </w:rPr>
        </w:r>
        <w:r w:rsidR="00C669E3" w:rsidRPr="001569FB">
          <w:rPr>
            <w:noProof/>
            <w:webHidden/>
          </w:rPr>
          <w:fldChar w:fldCharType="separate"/>
        </w:r>
        <w:r w:rsidR="00A216EC">
          <w:rPr>
            <w:noProof/>
            <w:webHidden/>
          </w:rPr>
          <w:t>87</w:t>
        </w:r>
        <w:r w:rsidR="00C669E3" w:rsidRPr="001569FB">
          <w:rPr>
            <w:noProof/>
            <w:webHidden/>
          </w:rPr>
          <w:fldChar w:fldCharType="end"/>
        </w:r>
      </w:hyperlink>
    </w:p>
    <w:p w14:paraId="1592BAFE" w14:textId="7714F79C" w:rsidR="00C669E3" w:rsidRPr="001569FB" w:rsidRDefault="006B65AC">
      <w:pPr>
        <w:pStyle w:val="TOC1"/>
        <w:rPr>
          <w:rFonts w:asciiTheme="minorHAnsi" w:eastAsiaTheme="minorEastAsia" w:hAnsiTheme="minorHAnsi" w:cstheme="minorBidi"/>
          <w:bCs w:val="0"/>
          <w:noProof/>
          <w:sz w:val="22"/>
        </w:rPr>
      </w:pPr>
      <w:hyperlink w:anchor="_Toc505253823" w:history="1">
        <w:r w:rsidR="00C669E3" w:rsidRPr="001569FB">
          <w:rPr>
            <w:rStyle w:val="Hyperlink"/>
            <w:noProof/>
          </w:rPr>
          <w:t>Table V-11. ESRD Model Demographic Relative Factors for Functioning Graft New Enrollees Duration Since Transplant of 4-9 Months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_Toc505253823 \h </w:instrText>
        </w:r>
        <w:r w:rsidR="00C669E3" w:rsidRPr="001569FB">
          <w:rPr>
            <w:noProof/>
            <w:webHidden/>
          </w:rPr>
        </w:r>
        <w:r w:rsidR="00C669E3" w:rsidRPr="001569FB">
          <w:rPr>
            <w:noProof/>
            <w:webHidden/>
          </w:rPr>
          <w:fldChar w:fldCharType="separate"/>
        </w:r>
        <w:r w:rsidR="00A216EC">
          <w:rPr>
            <w:noProof/>
            <w:webHidden/>
          </w:rPr>
          <w:t>93</w:t>
        </w:r>
        <w:r w:rsidR="00C669E3" w:rsidRPr="001569FB">
          <w:rPr>
            <w:noProof/>
            <w:webHidden/>
          </w:rPr>
          <w:fldChar w:fldCharType="end"/>
        </w:r>
      </w:hyperlink>
    </w:p>
    <w:p w14:paraId="391C52AE" w14:textId="21BDE361" w:rsidR="00C669E3" w:rsidRPr="001569FB" w:rsidRDefault="006B65AC">
      <w:pPr>
        <w:pStyle w:val="TOC1"/>
        <w:rPr>
          <w:rFonts w:asciiTheme="minorHAnsi" w:eastAsiaTheme="minorEastAsia" w:hAnsiTheme="minorHAnsi" w:cstheme="minorBidi"/>
          <w:bCs w:val="0"/>
          <w:noProof/>
          <w:sz w:val="22"/>
        </w:rPr>
      </w:pPr>
      <w:hyperlink w:anchor="_Toc505253824" w:history="1">
        <w:r w:rsidR="00C669E3" w:rsidRPr="001569FB">
          <w:rPr>
            <w:rStyle w:val="Hyperlink"/>
            <w:noProof/>
          </w:rPr>
          <w:t>Table V-12. ESRD Model Demographic Relative Factors for Functioning Graft New Enrollees Duration Since Transplant of 10 Months or More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_Toc505253824 \h </w:instrText>
        </w:r>
        <w:r w:rsidR="00C669E3" w:rsidRPr="001569FB">
          <w:rPr>
            <w:noProof/>
            <w:webHidden/>
          </w:rPr>
        </w:r>
        <w:r w:rsidR="00C669E3" w:rsidRPr="001569FB">
          <w:rPr>
            <w:noProof/>
            <w:webHidden/>
          </w:rPr>
          <w:fldChar w:fldCharType="separate"/>
        </w:r>
        <w:r w:rsidR="00A216EC">
          <w:rPr>
            <w:noProof/>
            <w:webHidden/>
          </w:rPr>
          <w:t>94</w:t>
        </w:r>
        <w:r w:rsidR="00C669E3" w:rsidRPr="001569FB">
          <w:rPr>
            <w:noProof/>
            <w:webHidden/>
          </w:rPr>
          <w:fldChar w:fldCharType="end"/>
        </w:r>
      </w:hyperlink>
    </w:p>
    <w:p w14:paraId="0E9C9DBA" w14:textId="0FF5C7DB" w:rsidR="00C669E3" w:rsidRPr="001569FB" w:rsidRDefault="006B65AC">
      <w:pPr>
        <w:pStyle w:val="TOC1"/>
        <w:rPr>
          <w:rFonts w:asciiTheme="minorHAnsi" w:eastAsiaTheme="minorEastAsia" w:hAnsiTheme="minorHAnsi" w:cstheme="minorBidi"/>
          <w:bCs w:val="0"/>
          <w:noProof/>
          <w:sz w:val="22"/>
        </w:rPr>
      </w:pPr>
      <w:hyperlink w:anchor="_Toc505253825" w:history="1">
        <w:r w:rsidR="00C669E3" w:rsidRPr="001569FB">
          <w:rPr>
            <w:rStyle w:val="Hyperlink"/>
            <w:noProof/>
          </w:rPr>
          <w:t>Table V-13. List of Disease Hierarchies for the ESRD Model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_Toc505253825 \h </w:instrText>
        </w:r>
        <w:r w:rsidR="00C669E3" w:rsidRPr="001569FB">
          <w:rPr>
            <w:noProof/>
            <w:webHidden/>
          </w:rPr>
        </w:r>
        <w:r w:rsidR="00C669E3" w:rsidRPr="001569FB">
          <w:rPr>
            <w:noProof/>
            <w:webHidden/>
          </w:rPr>
          <w:fldChar w:fldCharType="separate"/>
        </w:r>
        <w:r w:rsidR="00A216EC">
          <w:rPr>
            <w:noProof/>
            <w:webHidden/>
          </w:rPr>
          <w:t>95</w:t>
        </w:r>
        <w:r w:rsidR="00C669E3" w:rsidRPr="001569FB">
          <w:rPr>
            <w:noProof/>
            <w:webHidden/>
          </w:rPr>
          <w:fldChar w:fldCharType="end"/>
        </w:r>
      </w:hyperlink>
    </w:p>
    <w:p w14:paraId="3778CDD6" w14:textId="2F2A18DB" w:rsidR="009E7DD9" w:rsidRPr="001569FB" w:rsidRDefault="00E177CD" w:rsidP="002707EC">
      <w:pPr>
        <w:sectPr w:rsidR="009E7DD9" w:rsidRPr="001569FB" w:rsidSect="00BF4CE0">
          <w:headerReference w:type="default" r:id="rId31"/>
          <w:pgSz w:w="12240" w:h="15840"/>
          <w:pgMar w:top="1440" w:right="1440" w:bottom="1440" w:left="1440" w:header="720" w:footer="720" w:gutter="0"/>
          <w:cols w:space="720"/>
          <w:docGrid w:linePitch="360"/>
        </w:sectPr>
      </w:pPr>
      <w:r w:rsidRPr="001569FB">
        <w:rPr>
          <w:rFonts w:cs="Arial"/>
          <w:bCs/>
          <w:color w:val="000000" w:themeColor="text1"/>
        </w:rPr>
        <w:fldChar w:fldCharType="end"/>
      </w:r>
    </w:p>
    <w:p w14:paraId="2D96A214" w14:textId="77777777" w:rsidR="006F3A1A" w:rsidRPr="001569FB" w:rsidRDefault="007717E9" w:rsidP="007C3604">
      <w:pPr>
        <w:pStyle w:val="HeadingA"/>
      </w:pPr>
      <w:bookmarkStart w:id="568" w:name="_Toc503980152"/>
      <w:bookmarkStart w:id="569" w:name="_Toc505253813"/>
      <w:r w:rsidRPr="001569FB">
        <w:lastRenderedPageBreak/>
        <w:t>T</w:t>
      </w:r>
      <w:r w:rsidR="006F3A1A" w:rsidRPr="001569FB">
        <w:t xml:space="preserve">able </w:t>
      </w:r>
      <w:r w:rsidR="00440F3D" w:rsidRPr="001569FB">
        <w:t>V-</w:t>
      </w:r>
      <w:r w:rsidR="00C54680" w:rsidRPr="001569FB">
        <w:t>1</w:t>
      </w:r>
      <w:r w:rsidR="006F3A1A" w:rsidRPr="001569FB">
        <w:t>. RxHCC Model Relative Factors for Continuing Enrollees</w:t>
      </w:r>
      <w:bookmarkEnd w:id="567"/>
      <w:bookmarkEnd w:id="568"/>
      <w:bookmarkEnd w:id="569"/>
    </w:p>
    <w:tbl>
      <w:tblPr>
        <w:tblW w:w="5288" w:type="pct"/>
        <w:tblLayout w:type="fixed"/>
        <w:tblLook w:val="04A0" w:firstRow="1" w:lastRow="0" w:firstColumn="1" w:lastColumn="0" w:noHBand="0" w:noVBand="1"/>
      </w:tblPr>
      <w:tblGrid>
        <w:gridCol w:w="1616"/>
        <w:gridCol w:w="1800"/>
        <w:gridCol w:w="1259"/>
        <w:gridCol w:w="1350"/>
        <w:gridCol w:w="1261"/>
        <w:gridCol w:w="1439"/>
        <w:gridCol w:w="1174"/>
      </w:tblGrid>
      <w:tr w:rsidR="00EC34A7" w:rsidRPr="001569FB" w14:paraId="7A519250" w14:textId="77777777" w:rsidTr="007C3604">
        <w:trPr>
          <w:cantSplit/>
          <w:trHeight w:val="251"/>
          <w:tblHeader/>
        </w:trPr>
        <w:tc>
          <w:tcPr>
            <w:tcW w:w="816" w:type="pct"/>
            <w:tcBorders>
              <w:bottom w:val="single" w:sz="4" w:space="0" w:color="auto"/>
            </w:tcBorders>
            <w:shd w:val="clear" w:color="000000" w:fill="FFFFFF"/>
            <w:noWrap/>
            <w:vAlign w:val="center"/>
          </w:tcPr>
          <w:p w14:paraId="06D4B2CF" w14:textId="77777777" w:rsidR="006F3A1A" w:rsidRPr="001569FB" w:rsidRDefault="006F3A1A" w:rsidP="008D4E91">
            <w:pPr>
              <w:spacing w:line="240" w:lineRule="auto"/>
              <w:jc w:val="center"/>
              <w:rPr>
                <w:b/>
                <w:bCs/>
                <w:color w:val="000000"/>
                <w:sz w:val="16"/>
                <w:szCs w:val="16"/>
              </w:rPr>
            </w:pPr>
          </w:p>
        </w:tc>
        <w:tc>
          <w:tcPr>
            <w:tcW w:w="909" w:type="pct"/>
            <w:tcBorders>
              <w:bottom w:val="single" w:sz="4" w:space="0" w:color="auto"/>
            </w:tcBorders>
            <w:shd w:val="clear" w:color="000000" w:fill="FFFFFF"/>
            <w:noWrap/>
            <w:vAlign w:val="center"/>
          </w:tcPr>
          <w:p w14:paraId="28DC6500" w14:textId="77777777" w:rsidR="006F3A1A" w:rsidRPr="001569FB" w:rsidRDefault="006F3A1A" w:rsidP="008D4E91">
            <w:pPr>
              <w:spacing w:line="240" w:lineRule="auto"/>
              <w:jc w:val="center"/>
              <w:rPr>
                <w:b/>
                <w:bCs/>
                <w:color w:val="000000"/>
                <w:sz w:val="16"/>
                <w:szCs w:val="16"/>
              </w:rPr>
            </w:pPr>
          </w:p>
        </w:tc>
        <w:tc>
          <w:tcPr>
            <w:tcW w:w="3275" w:type="pct"/>
            <w:gridSpan w:val="5"/>
            <w:tcBorders>
              <w:bottom w:val="single" w:sz="4" w:space="0" w:color="auto"/>
            </w:tcBorders>
            <w:shd w:val="clear" w:color="000000" w:fill="FFFFFF"/>
            <w:vAlign w:val="center"/>
          </w:tcPr>
          <w:p w14:paraId="2A1B7483" w14:textId="77777777" w:rsidR="006F3A1A" w:rsidRPr="001569FB" w:rsidRDefault="006F3A1A" w:rsidP="008D4E91">
            <w:pPr>
              <w:pStyle w:val="TOC1"/>
              <w:jc w:val="center"/>
              <w:rPr>
                <w:sz w:val="23"/>
                <w:szCs w:val="23"/>
              </w:rPr>
            </w:pPr>
            <w:r w:rsidRPr="001569FB">
              <w:rPr>
                <w:b/>
                <w:sz w:val="23"/>
                <w:szCs w:val="23"/>
              </w:rPr>
              <w:t xml:space="preserve">Continuing Enrollees (CE) RxHCC Model Segments </w:t>
            </w:r>
          </w:p>
        </w:tc>
      </w:tr>
      <w:tr w:rsidR="00EC34A7" w:rsidRPr="001569FB" w14:paraId="4CB68223" w14:textId="77777777" w:rsidTr="007C3604">
        <w:trPr>
          <w:cantSplit/>
          <w:trHeight w:val="945"/>
          <w:tblHeader/>
        </w:trPr>
        <w:tc>
          <w:tcPr>
            <w:tcW w:w="81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670744"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Variable</w:t>
            </w:r>
          </w:p>
        </w:tc>
        <w:tc>
          <w:tcPr>
            <w:tcW w:w="909" w:type="pct"/>
            <w:tcBorders>
              <w:top w:val="single" w:sz="4" w:space="0" w:color="auto"/>
              <w:left w:val="nil"/>
              <w:bottom w:val="single" w:sz="4" w:space="0" w:color="auto"/>
              <w:right w:val="single" w:sz="4" w:space="0" w:color="auto"/>
            </w:tcBorders>
            <w:shd w:val="clear" w:color="000000" w:fill="FFFFFF"/>
            <w:noWrap/>
            <w:vAlign w:val="center"/>
            <w:hideMark/>
          </w:tcPr>
          <w:p w14:paraId="598E8D7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Disease Group</w:t>
            </w:r>
          </w:p>
        </w:tc>
        <w:tc>
          <w:tcPr>
            <w:tcW w:w="636" w:type="pct"/>
            <w:tcBorders>
              <w:top w:val="single" w:sz="4" w:space="0" w:color="auto"/>
              <w:left w:val="nil"/>
              <w:bottom w:val="single" w:sz="4" w:space="0" w:color="auto"/>
              <w:right w:val="single" w:sz="4" w:space="0" w:color="auto"/>
            </w:tcBorders>
            <w:shd w:val="clear" w:color="000000" w:fill="FFFFFF"/>
            <w:vAlign w:val="center"/>
            <w:hideMark/>
          </w:tcPr>
          <w:p w14:paraId="4CD5552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Age≥65</w:t>
            </w:r>
          </w:p>
        </w:tc>
        <w:tc>
          <w:tcPr>
            <w:tcW w:w="682" w:type="pct"/>
            <w:tcBorders>
              <w:top w:val="single" w:sz="4" w:space="0" w:color="auto"/>
              <w:left w:val="nil"/>
              <w:bottom w:val="single" w:sz="4" w:space="0" w:color="auto"/>
              <w:right w:val="single" w:sz="4" w:space="0" w:color="auto"/>
            </w:tcBorders>
            <w:shd w:val="clear" w:color="000000" w:fill="FFFFFF"/>
            <w:vAlign w:val="center"/>
            <w:hideMark/>
          </w:tcPr>
          <w:p w14:paraId="2F2FE9D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Age&lt;65</w:t>
            </w:r>
          </w:p>
        </w:tc>
        <w:tc>
          <w:tcPr>
            <w:tcW w:w="637" w:type="pct"/>
            <w:tcBorders>
              <w:top w:val="single" w:sz="4" w:space="0" w:color="auto"/>
              <w:left w:val="nil"/>
              <w:bottom w:val="single" w:sz="4" w:space="0" w:color="auto"/>
              <w:right w:val="single" w:sz="4" w:space="0" w:color="auto"/>
            </w:tcBorders>
            <w:shd w:val="clear" w:color="000000" w:fill="FFFFFF"/>
            <w:vAlign w:val="center"/>
            <w:hideMark/>
          </w:tcPr>
          <w:p w14:paraId="5C29E96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Age≥65</w:t>
            </w:r>
          </w:p>
        </w:tc>
        <w:tc>
          <w:tcPr>
            <w:tcW w:w="727" w:type="pct"/>
            <w:tcBorders>
              <w:top w:val="single" w:sz="4" w:space="0" w:color="auto"/>
              <w:left w:val="nil"/>
              <w:bottom w:val="single" w:sz="4" w:space="0" w:color="auto"/>
              <w:right w:val="single" w:sz="4" w:space="0" w:color="auto"/>
            </w:tcBorders>
            <w:shd w:val="clear" w:color="000000" w:fill="FFFFFF"/>
            <w:vAlign w:val="center"/>
            <w:hideMark/>
          </w:tcPr>
          <w:p w14:paraId="4EEC765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Age&lt;65</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08440C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Institutional</w:t>
            </w:r>
          </w:p>
        </w:tc>
      </w:tr>
      <w:tr w:rsidR="006F3A1A" w:rsidRPr="001569FB" w14:paraId="1A0626AE"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AB631E" w14:textId="77777777" w:rsidR="006F3A1A" w:rsidRPr="001569FB" w:rsidRDefault="006F3A1A" w:rsidP="008D4E91">
            <w:pPr>
              <w:spacing w:line="240" w:lineRule="auto"/>
              <w:rPr>
                <w:b/>
                <w:bCs/>
                <w:color w:val="000000"/>
                <w:sz w:val="18"/>
                <w:szCs w:val="18"/>
              </w:rPr>
            </w:pPr>
            <w:r w:rsidRPr="001569FB">
              <w:rPr>
                <w:b/>
                <w:bCs/>
                <w:color w:val="000000"/>
                <w:sz w:val="18"/>
                <w:szCs w:val="18"/>
              </w:rPr>
              <w:t>Female</w:t>
            </w:r>
          </w:p>
        </w:tc>
      </w:tr>
      <w:tr w:rsidR="00EC34A7" w:rsidRPr="001569FB" w14:paraId="5C89BC0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069E33"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0DF00530"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4C03C34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47664CA9"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637" w:type="pct"/>
            <w:tcBorders>
              <w:top w:val="nil"/>
              <w:left w:val="nil"/>
              <w:bottom w:val="single" w:sz="4" w:space="0" w:color="auto"/>
              <w:right w:val="single" w:sz="4" w:space="0" w:color="auto"/>
            </w:tcBorders>
            <w:shd w:val="clear" w:color="000000" w:fill="FFFFFF"/>
            <w:noWrap/>
            <w:vAlign w:val="center"/>
            <w:hideMark/>
          </w:tcPr>
          <w:p w14:paraId="3A97C42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6B4C5D43" w14:textId="77777777" w:rsidR="006F3A1A" w:rsidRPr="001569FB" w:rsidRDefault="006F3A1A" w:rsidP="008D4E91">
            <w:pPr>
              <w:spacing w:line="240" w:lineRule="auto"/>
              <w:jc w:val="center"/>
              <w:rPr>
                <w:color w:val="000000"/>
                <w:sz w:val="18"/>
                <w:szCs w:val="18"/>
              </w:rPr>
            </w:pPr>
            <w:r w:rsidRPr="001569FB">
              <w:rPr>
                <w:color w:val="000000"/>
                <w:sz w:val="18"/>
                <w:szCs w:val="18"/>
              </w:rPr>
              <w:t>0.429</w:t>
            </w:r>
          </w:p>
        </w:tc>
        <w:tc>
          <w:tcPr>
            <w:tcW w:w="592" w:type="pct"/>
            <w:tcBorders>
              <w:top w:val="nil"/>
              <w:left w:val="nil"/>
              <w:bottom w:val="single" w:sz="4" w:space="0" w:color="auto"/>
              <w:right w:val="single" w:sz="4" w:space="0" w:color="auto"/>
            </w:tcBorders>
            <w:shd w:val="clear" w:color="000000" w:fill="FFFFFF"/>
            <w:vAlign w:val="center"/>
            <w:hideMark/>
          </w:tcPr>
          <w:p w14:paraId="6BA2B86A" w14:textId="77777777" w:rsidR="006F3A1A" w:rsidRPr="001569FB" w:rsidRDefault="006F3A1A" w:rsidP="008D4E91">
            <w:pPr>
              <w:spacing w:line="240" w:lineRule="auto"/>
              <w:jc w:val="center"/>
              <w:rPr>
                <w:color w:val="000000"/>
                <w:sz w:val="18"/>
                <w:szCs w:val="18"/>
              </w:rPr>
            </w:pPr>
            <w:r w:rsidRPr="001569FB">
              <w:rPr>
                <w:color w:val="000000"/>
                <w:sz w:val="18"/>
                <w:szCs w:val="18"/>
              </w:rPr>
              <w:t>1.765</w:t>
            </w:r>
          </w:p>
        </w:tc>
      </w:tr>
      <w:tr w:rsidR="00EC34A7" w:rsidRPr="001569FB" w14:paraId="4B10962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00678A"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990D5A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54621EB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3406C21" w14:textId="77777777" w:rsidR="006F3A1A" w:rsidRPr="001569FB" w:rsidRDefault="006F3A1A" w:rsidP="008D4E91">
            <w:pPr>
              <w:spacing w:line="240" w:lineRule="auto"/>
              <w:jc w:val="center"/>
              <w:rPr>
                <w:color w:val="000000"/>
                <w:sz w:val="18"/>
                <w:szCs w:val="18"/>
              </w:rPr>
            </w:pPr>
            <w:r w:rsidRPr="001569FB">
              <w:rPr>
                <w:color w:val="000000"/>
                <w:sz w:val="18"/>
                <w:szCs w:val="18"/>
              </w:rPr>
              <w:t>0.452</w:t>
            </w:r>
          </w:p>
        </w:tc>
        <w:tc>
          <w:tcPr>
            <w:tcW w:w="637" w:type="pct"/>
            <w:tcBorders>
              <w:top w:val="nil"/>
              <w:left w:val="nil"/>
              <w:bottom w:val="single" w:sz="4" w:space="0" w:color="auto"/>
              <w:right w:val="single" w:sz="4" w:space="0" w:color="auto"/>
            </w:tcBorders>
            <w:shd w:val="clear" w:color="000000" w:fill="FFFFFF"/>
            <w:noWrap/>
            <w:vAlign w:val="center"/>
            <w:hideMark/>
          </w:tcPr>
          <w:p w14:paraId="6981032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63E9B5" w14:textId="77777777" w:rsidR="006F3A1A" w:rsidRPr="001569FB" w:rsidRDefault="006F3A1A" w:rsidP="008D4E91">
            <w:pPr>
              <w:spacing w:line="240" w:lineRule="auto"/>
              <w:jc w:val="center"/>
              <w:rPr>
                <w:color w:val="000000"/>
                <w:sz w:val="18"/>
                <w:szCs w:val="18"/>
              </w:rPr>
            </w:pPr>
            <w:r w:rsidRPr="001569FB">
              <w:rPr>
                <w:color w:val="000000"/>
                <w:sz w:val="18"/>
                <w:szCs w:val="18"/>
              </w:rPr>
              <w:t>0.617</w:t>
            </w:r>
          </w:p>
        </w:tc>
        <w:tc>
          <w:tcPr>
            <w:tcW w:w="592" w:type="pct"/>
            <w:tcBorders>
              <w:top w:val="nil"/>
              <w:left w:val="nil"/>
              <w:bottom w:val="single" w:sz="4" w:space="0" w:color="auto"/>
              <w:right w:val="single" w:sz="4" w:space="0" w:color="auto"/>
            </w:tcBorders>
            <w:shd w:val="clear" w:color="000000" w:fill="FFFFFF"/>
            <w:vAlign w:val="center"/>
            <w:hideMark/>
          </w:tcPr>
          <w:p w14:paraId="3509911B" w14:textId="77777777" w:rsidR="006F3A1A" w:rsidRPr="001569FB" w:rsidRDefault="006F3A1A" w:rsidP="008D4E91">
            <w:pPr>
              <w:spacing w:line="240" w:lineRule="auto"/>
              <w:jc w:val="center"/>
              <w:rPr>
                <w:color w:val="000000"/>
                <w:sz w:val="18"/>
                <w:szCs w:val="18"/>
              </w:rPr>
            </w:pPr>
            <w:r w:rsidRPr="001569FB">
              <w:rPr>
                <w:color w:val="000000"/>
                <w:sz w:val="18"/>
                <w:szCs w:val="18"/>
              </w:rPr>
              <w:t>2.005</w:t>
            </w:r>
          </w:p>
        </w:tc>
      </w:tr>
      <w:tr w:rsidR="00EC34A7" w:rsidRPr="001569FB" w14:paraId="65834B2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5DD5E6"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68E3B012"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01E6826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03245C91" w14:textId="77777777" w:rsidR="006F3A1A" w:rsidRPr="001569FB" w:rsidRDefault="006F3A1A" w:rsidP="008D4E91">
            <w:pPr>
              <w:spacing w:line="240" w:lineRule="auto"/>
              <w:jc w:val="center"/>
              <w:rPr>
                <w:color w:val="000000"/>
                <w:sz w:val="18"/>
                <w:szCs w:val="18"/>
              </w:rPr>
            </w:pPr>
            <w:r w:rsidRPr="001569FB">
              <w:rPr>
                <w:color w:val="000000"/>
                <w:sz w:val="18"/>
                <w:szCs w:val="18"/>
              </w:rPr>
              <w:t>0.555</w:t>
            </w:r>
          </w:p>
        </w:tc>
        <w:tc>
          <w:tcPr>
            <w:tcW w:w="637" w:type="pct"/>
            <w:tcBorders>
              <w:top w:val="nil"/>
              <w:left w:val="nil"/>
              <w:bottom w:val="single" w:sz="4" w:space="0" w:color="auto"/>
              <w:right w:val="single" w:sz="4" w:space="0" w:color="auto"/>
            </w:tcBorders>
            <w:shd w:val="clear" w:color="000000" w:fill="FFFFFF"/>
            <w:noWrap/>
            <w:vAlign w:val="center"/>
            <w:hideMark/>
          </w:tcPr>
          <w:p w14:paraId="24FFE9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08A598B8" w14:textId="77777777" w:rsidR="006F3A1A" w:rsidRPr="001569FB" w:rsidRDefault="006F3A1A" w:rsidP="008D4E91">
            <w:pPr>
              <w:spacing w:line="240" w:lineRule="auto"/>
              <w:jc w:val="center"/>
              <w:rPr>
                <w:color w:val="000000"/>
                <w:sz w:val="18"/>
                <w:szCs w:val="18"/>
              </w:rPr>
            </w:pPr>
            <w:r w:rsidRPr="001569FB">
              <w:rPr>
                <w:color w:val="000000"/>
                <w:sz w:val="18"/>
                <w:szCs w:val="18"/>
              </w:rPr>
              <w:t>0.716</w:t>
            </w:r>
          </w:p>
        </w:tc>
        <w:tc>
          <w:tcPr>
            <w:tcW w:w="592" w:type="pct"/>
            <w:tcBorders>
              <w:top w:val="nil"/>
              <w:left w:val="nil"/>
              <w:bottom w:val="single" w:sz="4" w:space="0" w:color="auto"/>
              <w:right w:val="single" w:sz="4" w:space="0" w:color="auto"/>
            </w:tcBorders>
            <w:shd w:val="clear" w:color="000000" w:fill="FFFFFF"/>
            <w:vAlign w:val="center"/>
            <w:hideMark/>
          </w:tcPr>
          <w:p w14:paraId="53E078B3" w14:textId="77777777" w:rsidR="006F3A1A" w:rsidRPr="001569FB" w:rsidRDefault="006F3A1A" w:rsidP="008D4E91">
            <w:pPr>
              <w:spacing w:line="240" w:lineRule="auto"/>
              <w:jc w:val="center"/>
              <w:rPr>
                <w:color w:val="000000"/>
                <w:sz w:val="18"/>
                <w:szCs w:val="18"/>
              </w:rPr>
            </w:pPr>
            <w:r w:rsidRPr="001569FB">
              <w:rPr>
                <w:color w:val="000000"/>
                <w:sz w:val="18"/>
                <w:szCs w:val="18"/>
              </w:rPr>
              <w:t>1.691</w:t>
            </w:r>
          </w:p>
        </w:tc>
      </w:tr>
      <w:tr w:rsidR="00EC34A7" w:rsidRPr="001569FB" w14:paraId="21C40DF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8E73F74"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7A43F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F8F550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8BE64CE" w14:textId="77777777" w:rsidR="006F3A1A" w:rsidRPr="001569FB" w:rsidRDefault="006F3A1A" w:rsidP="008D4E91">
            <w:pPr>
              <w:spacing w:line="240" w:lineRule="auto"/>
              <w:jc w:val="center"/>
              <w:rPr>
                <w:color w:val="000000"/>
                <w:sz w:val="18"/>
                <w:szCs w:val="18"/>
              </w:rPr>
            </w:pPr>
            <w:r w:rsidRPr="001569FB">
              <w:rPr>
                <w:color w:val="000000"/>
                <w:sz w:val="18"/>
                <w:szCs w:val="18"/>
              </w:rPr>
              <w:t>0.525</w:t>
            </w:r>
          </w:p>
        </w:tc>
        <w:tc>
          <w:tcPr>
            <w:tcW w:w="637" w:type="pct"/>
            <w:tcBorders>
              <w:top w:val="nil"/>
              <w:left w:val="nil"/>
              <w:bottom w:val="single" w:sz="4" w:space="0" w:color="auto"/>
              <w:right w:val="single" w:sz="4" w:space="0" w:color="auto"/>
            </w:tcBorders>
            <w:shd w:val="clear" w:color="000000" w:fill="FFFFFF"/>
            <w:noWrap/>
            <w:vAlign w:val="center"/>
            <w:hideMark/>
          </w:tcPr>
          <w:p w14:paraId="1B2E1C9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30A7F1A" w14:textId="77777777" w:rsidR="006F3A1A" w:rsidRPr="001569FB" w:rsidRDefault="006F3A1A" w:rsidP="008D4E91">
            <w:pPr>
              <w:spacing w:line="240" w:lineRule="auto"/>
              <w:jc w:val="center"/>
              <w:rPr>
                <w:color w:val="000000"/>
                <w:sz w:val="18"/>
                <w:szCs w:val="18"/>
              </w:rPr>
            </w:pPr>
            <w:r w:rsidRPr="001569FB">
              <w:rPr>
                <w:color w:val="000000"/>
                <w:sz w:val="18"/>
                <w:szCs w:val="18"/>
              </w:rPr>
              <w:t>0.694</w:t>
            </w:r>
          </w:p>
        </w:tc>
        <w:tc>
          <w:tcPr>
            <w:tcW w:w="592" w:type="pct"/>
            <w:tcBorders>
              <w:top w:val="nil"/>
              <w:left w:val="nil"/>
              <w:bottom w:val="single" w:sz="4" w:space="0" w:color="auto"/>
              <w:right w:val="single" w:sz="4" w:space="0" w:color="auto"/>
            </w:tcBorders>
            <w:shd w:val="clear" w:color="000000" w:fill="FFFFFF"/>
            <w:vAlign w:val="center"/>
            <w:hideMark/>
          </w:tcPr>
          <w:p w14:paraId="54BAEA87" w14:textId="77777777" w:rsidR="006F3A1A" w:rsidRPr="001569FB" w:rsidRDefault="006F3A1A" w:rsidP="008D4E91">
            <w:pPr>
              <w:spacing w:line="240" w:lineRule="auto"/>
              <w:jc w:val="center"/>
              <w:rPr>
                <w:color w:val="000000"/>
                <w:sz w:val="18"/>
                <w:szCs w:val="18"/>
              </w:rPr>
            </w:pPr>
            <w:r w:rsidRPr="001569FB">
              <w:rPr>
                <w:color w:val="000000"/>
                <w:sz w:val="18"/>
                <w:szCs w:val="18"/>
              </w:rPr>
              <w:t>1.542</w:t>
            </w:r>
          </w:p>
        </w:tc>
      </w:tr>
      <w:tr w:rsidR="00EC34A7" w:rsidRPr="001569FB" w14:paraId="1C21F65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589D29"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7922554"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CAEF60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7F218E08" w14:textId="77777777" w:rsidR="006F3A1A" w:rsidRPr="001569FB" w:rsidRDefault="006F3A1A" w:rsidP="008D4E91">
            <w:pPr>
              <w:spacing w:line="240" w:lineRule="auto"/>
              <w:jc w:val="center"/>
              <w:rPr>
                <w:color w:val="000000"/>
                <w:sz w:val="18"/>
                <w:szCs w:val="18"/>
              </w:rPr>
            </w:pPr>
            <w:r w:rsidRPr="001569FB">
              <w:rPr>
                <w:color w:val="000000"/>
                <w:sz w:val="18"/>
                <w:szCs w:val="18"/>
              </w:rPr>
              <w:t>0.487</w:t>
            </w:r>
          </w:p>
        </w:tc>
        <w:tc>
          <w:tcPr>
            <w:tcW w:w="637" w:type="pct"/>
            <w:tcBorders>
              <w:top w:val="nil"/>
              <w:left w:val="nil"/>
              <w:bottom w:val="single" w:sz="4" w:space="0" w:color="auto"/>
              <w:right w:val="single" w:sz="4" w:space="0" w:color="auto"/>
            </w:tcBorders>
            <w:shd w:val="clear" w:color="000000" w:fill="FFFFFF"/>
            <w:noWrap/>
            <w:vAlign w:val="center"/>
            <w:hideMark/>
          </w:tcPr>
          <w:p w14:paraId="4552D62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EE326B" w14:textId="77777777" w:rsidR="006F3A1A" w:rsidRPr="001569FB" w:rsidRDefault="006F3A1A" w:rsidP="008D4E91">
            <w:pPr>
              <w:spacing w:line="240" w:lineRule="auto"/>
              <w:jc w:val="center"/>
              <w:rPr>
                <w:color w:val="000000"/>
                <w:sz w:val="18"/>
                <w:szCs w:val="18"/>
              </w:rPr>
            </w:pPr>
            <w:r w:rsidRPr="001569FB">
              <w:rPr>
                <w:color w:val="000000"/>
                <w:sz w:val="18"/>
                <w:szCs w:val="18"/>
              </w:rPr>
              <w:t>0.630</w:t>
            </w:r>
          </w:p>
        </w:tc>
        <w:tc>
          <w:tcPr>
            <w:tcW w:w="592" w:type="pct"/>
            <w:tcBorders>
              <w:top w:val="nil"/>
              <w:left w:val="nil"/>
              <w:bottom w:val="single" w:sz="4" w:space="0" w:color="auto"/>
              <w:right w:val="single" w:sz="4" w:space="0" w:color="auto"/>
            </w:tcBorders>
            <w:shd w:val="clear" w:color="000000" w:fill="FFFFFF"/>
            <w:vAlign w:val="center"/>
            <w:hideMark/>
          </w:tcPr>
          <w:p w14:paraId="6E10F8B4" w14:textId="77777777" w:rsidR="006F3A1A" w:rsidRPr="001569FB" w:rsidRDefault="006F3A1A" w:rsidP="008D4E91">
            <w:pPr>
              <w:spacing w:line="240" w:lineRule="auto"/>
              <w:jc w:val="center"/>
              <w:rPr>
                <w:color w:val="000000"/>
                <w:sz w:val="18"/>
                <w:szCs w:val="18"/>
              </w:rPr>
            </w:pPr>
            <w:r w:rsidRPr="001569FB">
              <w:rPr>
                <w:color w:val="000000"/>
                <w:sz w:val="18"/>
                <w:szCs w:val="18"/>
              </w:rPr>
              <w:t>1.404</w:t>
            </w:r>
          </w:p>
        </w:tc>
      </w:tr>
      <w:tr w:rsidR="00EC34A7" w:rsidRPr="001569FB" w14:paraId="0B21038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F3750A"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FDDE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A2B3A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22D2E9A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5B9427"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727" w:type="pct"/>
            <w:tcBorders>
              <w:top w:val="nil"/>
              <w:left w:val="nil"/>
              <w:bottom w:val="single" w:sz="4" w:space="0" w:color="auto"/>
              <w:right w:val="single" w:sz="4" w:space="0" w:color="auto"/>
            </w:tcBorders>
            <w:shd w:val="clear" w:color="000000" w:fill="FFFFFF"/>
            <w:noWrap/>
            <w:vAlign w:val="center"/>
            <w:hideMark/>
          </w:tcPr>
          <w:p w14:paraId="244F4A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0F46706" w14:textId="77777777" w:rsidR="006F3A1A" w:rsidRPr="001569FB" w:rsidRDefault="006F3A1A" w:rsidP="008D4E91">
            <w:pPr>
              <w:spacing w:line="240" w:lineRule="auto"/>
              <w:jc w:val="center"/>
              <w:rPr>
                <w:color w:val="000000"/>
                <w:sz w:val="18"/>
                <w:szCs w:val="18"/>
              </w:rPr>
            </w:pPr>
            <w:r w:rsidRPr="001569FB">
              <w:rPr>
                <w:color w:val="000000"/>
                <w:sz w:val="18"/>
                <w:szCs w:val="18"/>
              </w:rPr>
              <w:t>1.474</w:t>
            </w:r>
          </w:p>
        </w:tc>
      </w:tr>
      <w:tr w:rsidR="00EC34A7" w:rsidRPr="001569FB" w14:paraId="52B8BAD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C9154A5"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E69086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74DFD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44BC15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E8AB8F0"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noWrap/>
            <w:vAlign w:val="center"/>
            <w:hideMark/>
          </w:tcPr>
          <w:p w14:paraId="2AE5BA5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A2A457D" w14:textId="77777777" w:rsidR="006F3A1A" w:rsidRPr="001569FB" w:rsidRDefault="006F3A1A" w:rsidP="008D4E91">
            <w:pPr>
              <w:spacing w:line="240" w:lineRule="auto"/>
              <w:jc w:val="center"/>
              <w:rPr>
                <w:color w:val="000000"/>
                <w:sz w:val="18"/>
                <w:szCs w:val="18"/>
              </w:rPr>
            </w:pPr>
            <w:r w:rsidRPr="001569FB">
              <w:rPr>
                <w:color w:val="000000"/>
                <w:sz w:val="18"/>
                <w:szCs w:val="18"/>
              </w:rPr>
              <w:t>1.350</w:t>
            </w:r>
          </w:p>
        </w:tc>
      </w:tr>
      <w:tr w:rsidR="00EC34A7" w:rsidRPr="001569FB" w14:paraId="66C296F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3E5335C"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F0150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764A29C" w14:textId="77777777" w:rsidR="006F3A1A" w:rsidRPr="001569FB" w:rsidRDefault="006F3A1A" w:rsidP="008D4E91">
            <w:pPr>
              <w:spacing w:line="240" w:lineRule="auto"/>
              <w:jc w:val="center"/>
              <w:rPr>
                <w:color w:val="000000"/>
                <w:sz w:val="18"/>
                <w:szCs w:val="18"/>
              </w:rPr>
            </w:pPr>
            <w:r w:rsidRPr="001569FB">
              <w:rPr>
                <w:color w:val="000000"/>
                <w:sz w:val="18"/>
                <w:szCs w:val="18"/>
              </w:rPr>
              <w:t>0.222</w:t>
            </w:r>
          </w:p>
        </w:tc>
        <w:tc>
          <w:tcPr>
            <w:tcW w:w="682" w:type="pct"/>
            <w:tcBorders>
              <w:top w:val="nil"/>
              <w:left w:val="nil"/>
              <w:bottom w:val="single" w:sz="4" w:space="0" w:color="auto"/>
              <w:right w:val="single" w:sz="4" w:space="0" w:color="auto"/>
            </w:tcBorders>
            <w:shd w:val="clear" w:color="000000" w:fill="FFFFFF"/>
            <w:vAlign w:val="center"/>
            <w:hideMark/>
          </w:tcPr>
          <w:p w14:paraId="7ABF236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1BEBD87" w14:textId="77777777" w:rsidR="006F3A1A" w:rsidRPr="001569FB" w:rsidRDefault="006F3A1A" w:rsidP="008D4E91">
            <w:pPr>
              <w:spacing w:line="240" w:lineRule="auto"/>
              <w:jc w:val="center"/>
              <w:rPr>
                <w:color w:val="000000"/>
                <w:sz w:val="18"/>
                <w:szCs w:val="18"/>
              </w:rPr>
            </w:pPr>
            <w:r w:rsidRPr="001569FB">
              <w:rPr>
                <w:color w:val="000000"/>
                <w:sz w:val="18"/>
                <w:szCs w:val="18"/>
              </w:rPr>
              <w:t>0.350</w:t>
            </w:r>
          </w:p>
        </w:tc>
        <w:tc>
          <w:tcPr>
            <w:tcW w:w="727" w:type="pct"/>
            <w:tcBorders>
              <w:top w:val="nil"/>
              <w:left w:val="nil"/>
              <w:bottom w:val="single" w:sz="4" w:space="0" w:color="auto"/>
              <w:right w:val="single" w:sz="4" w:space="0" w:color="auto"/>
            </w:tcBorders>
            <w:shd w:val="clear" w:color="000000" w:fill="FFFFFF"/>
            <w:noWrap/>
            <w:vAlign w:val="center"/>
            <w:hideMark/>
          </w:tcPr>
          <w:p w14:paraId="5D79AF0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03D3262" w14:textId="77777777" w:rsidR="006F3A1A" w:rsidRPr="001569FB" w:rsidRDefault="006F3A1A" w:rsidP="008D4E91">
            <w:pPr>
              <w:spacing w:line="240" w:lineRule="auto"/>
              <w:jc w:val="center"/>
              <w:rPr>
                <w:color w:val="000000"/>
                <w:sz w:val="18"/>
                <w:szCs w:val="18"/>
              </w:rPr>
            </w:pPr>
            <w:r w:rsidRPr="001569FB">
              <w:rPr>
                <w:color w:val="000000"/>
                <w:sz w:val="18"/>
                <w:szCs w:val="18"/>
              </w:rPr>
              <w:t>1.243</w:t>
            </w:r>
          </w:p>
        </w:tc>
      </w:tr>
      <w:tr w:rsidR="00EC34A7" w:rsidRPr="001569FB" w14:paraId="3D48DB5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2678DE"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28F7AF25"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106F7C2" w14:textId="77777777" w:rsidR="006F3A1A" w:rsidRPr="001569FB" w:rsidRDefault="006F3A1A" w:rsidP="008D4E91">
            <w:pPr>
              <w:spacing w:line="240" w:lineRule="auto"/>
              <w:jc w:val="center"/>
              <w:rPr>
                <w:color w:val="000000"/>
                <w:sz w:val="18"/>
                <w:szCs w:val="18"/>
              </w:rPr>
            </w:pPr>
            <w:r w:rsidRPr="001569FB">
              <w:rPr>
                <w:color w:val="000000"/>
                <w:sz w:val="18"/>
                <w:szCs w:val="18"/>
              </w:rPr>
              <w:t>0.202</w:t>
            </w:r>
          </w:p>
        </w:tc>
        <w:tc>
          <w:tcPr>
            <w:tcW w:w="682" w:type="pct"/>
            <w:tcBorders>
              <w:top w:val="nil"/>
              <w:left w:val="nil"/>
              <w:bottom w:val="single" w:sz="4" w:space="0" w:color="auto"/>
              <w:right w:val="single" w:sz="4" w:space="0" w:color="auto"/>
            </w:tcBorders>
            <w:shd w:val="clear" w:color="000000" w:fill="FFFFFF"/>
            <w:vAlign w:val="center"/>
            <w:hideMark/>
          </w:tcPr>
          <w:p w14:paraId="435B94B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B65C02C"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727" w:type="pct"/>
            <w:tcBorders>
              <w:top w:val="nil"/>
              <w:left w:val="nil"/>
              <w:bottom w:val="single" w:sz="4" w:space="0" w:color="auto"/>
              <w:right w:val="single" w:sz="4" w:space="0" w:color="auto"/>
            </w:tcBorders>
            <w:shd w:val="clear" w:color="000000" w:fill="FFFFFF"/>
            <w:noWrap/>
            <w:vAlign w:val="center"/>
            <w:hideMark/>
          </w:tcPr>
          <w:p w14:paraId="798A239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8415E5" w14:textId="77777777" w:rsidR="006F3A1A" w:rsidRPr="001569FB" w:rsidRDefault="006F3A1A" w:rsidP="008D4E91">
            <w:pPr>
              <w:spacing w:line="240" w:lineRule="auto"/>
              <w:jc w:val="center"/>
              <w:rPr>
                <w:color w:val="000000"/>
                <w:sz w:val="18"/>
                <w:szCs w:val="18"/>
              </w:rPr>
            </w:pPr>
            <w:r w:rsidRPr="001569FB">
              <w:rPr>
                <w:color w:val="000000"/>
                <w:sz w:val="18"/>
                <w:szCs w:val="18"/>
              </w:rPr>
              <w:t>1.151</w:t>
            </w:r>
          </w:p>
        </w:tc>
      </w:tr>
      <w:tr w:rsidR="00EC34A7" w:rsidRPr="001569FB" w14:paraId="37DCBC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F128632"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4B308D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13676120" w14:textId="77777777" w:rsidR="006F3A1A" w:rsidRPr="001569FB" w:rsidRDefault="006F3A1A" w:rsidP="008D4E91">
            <w:pPr>
              <w:spacing w:line="240" w:lineRule="auto"/>
              <w:jc w:val="center"/>
              <w:rPr>
                <w:color w:val="000000"/>
                <w:sz w:val="18"/>
                <w:szCs w:val="18"/>
              </w:rPr>
            </w:pPr>
            <w:r w:rsidRPr="001569FB">
              <w:rPr>
                <w:color w:val="000000"/>
                <w:sz w:val="18"/>
                <w:szCs w:val="18"/>
              </w:rPr>
              <w:t>0.178</w:t>
            </w:r>
          </w:p>
        </w:tc>
        <w:tc>
          <w:tcPr>
            <w:tcW w:w="682" w:type="pct"/>
            <w:tcBorders>
              <w:top w:val="nil"/>
              <w:left w:val="nil"/>
              <w:bottom w:val="single" w:sz="4" w:space="0" w:color="auto"/>
              <w:right w:val="single" w:sz="4" w:space="0" w:color="auto"/>
            </w:tcBorders>
            <w:shd w:val="clear" w:color="000000" w:fill="FFFFFF"/>
            <w:vAlign w:val="center"/>
            <w:hideMark/>
          </w:tcPr>
          <w:p w14:paraId="0005B88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6840952" w14:textId="77777777" w:rsidR="006F3A1A" w:rsidRPr="001569FB" w:rsidRDefault="006F3A1A" w:rsidP="008D4E91">
            <w:pPr>
              <w:spacing w:line="240" w:lineRule="auto"/>
              <w:jc w:val="center"/>
              <w:rPr>
                <w:color w:val="000000"/>
                <w:sz w:val="18"/>
                <w:szCs w:val="18"/>
              </w:rPr>
            </w:pPr>
            <w:r w:rsidRPr="001569FB">
              <w:rPr>
                <w:color w:val="000000"/>
                <w:sz w:val="18"/>
                <w:szCs w:val="18"/>
              </w:rPr>
              <w:t>0.278</w:t>
            </w:r>
          </w:p>
        </w:tc>
        <w:tc>
          <w:tcPr>
            <w:tcW w:w="727" w:type="pct"/>
            <w:tcBorders>
              <w:top w:val="nil"/>
              <w:left w:val="nil"/>
              <w:bottom w:val="single" w:sz="4" w:space="0" w:color="auto"/>
              <w:right w:val="single" w:sz="4" w:space="0" w:color="auto"/>
            </w:tcBorders>
            <w:shd w:val="clear" w:color="000000" w:fill="FFFFFF"/>
            <w:noWrap/>
            <w:vAlign w:val="center"/>
            <w:hideMark/>
          </w:tcPr>
          <w:p w14:paraId="426694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45D3C3C" w14:textId="77777777" w:rsidR="006F3A1A" w:rsidRPr="001569FB" w:rsidRDefault="006F3A1A" w:rsidP="008D4E91">
            <w:pPr>
              <w:spacing w:line="240" w:lineRule="auto"/>
              <w:jc w:val="center"/>
              <w:rPr>
                <w:color w:val="000000"/>
                <w:sz w:val="18"/>
                <w:szCs w:val="18"/>
              </w:rPr>
            </w:pPr>
            <w:r w:rsidRPr="001569FB">
              <w:rPr>
                <w:color w:val="000000"/>
                <w:sz w:val="18"/>
                <w:szCs w:val="18"/>
              </w:rPr>
              <w:t>1.061</w:t>
            </w:r>
          </w:p>
        </w:tc>
      </w:tr>
      <w:tr w:rsidR="00EC34A7" w:rsidRPr="001569FB" w14:paraId="29ED898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A302B57"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FB7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DBFD87F"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noWrap/>
            <w:vAlign w:val="center"/>
            <w:hideMark/>
          </w:tcPr>
          <w:p w14:paraId="13E144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4012320"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727" w:type="pct"/>
            <w:tcBorders>
              <w:top w:val="nil"/>
              <w:left w:val="nil"/>
              <w:bottom w:val="single" w:sz="4" w:space="0" w:color="auto"/>
              <w:right w:val="single" w:sz="4" w:space="0" w:color="auto"/>
            </w:tcBorders>
            <w:shd w:val="clear" w:color="000000" w:fill="FFFFFF"/>
            <w:noWrap/>
            <w:vAlign w:val="center"/>
            <w:hideMark/>
          </w:tcPr>
          <w:p w14:paraId="7AAD65F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92E227A" w14:textId="77777777" w:rsidR="006F3A1A" w:rsidRPr="001569FB" w:rsidRDefault="006F3A1A" w:rsidP="008D4E91">
            <w:pPr>
              <w:spacing w:line="240" w:lineRule="auto"/>
              <w:jc w:val="center"/>
              <w:rPr>
                <w:color w:val="000000"/>
                <w:sz w:val="18"/>
                <w:szCs w:val="18"/>
              </w:rPr>
            </w:pPr>
            <w:r w:rsidRPr="001569FB">
              <w:rPr>
                <w:color w:val="000000"/>
                <w:sz w:val="18"/>
                <w:szCs w:val="18"/>
              </w:rPr>
              <w:t>0.944</w:t>
            </w:r>
          </w:p>
        </w:tc>
      </w:tr>
      <w:tr w:rsidR="00EC34A7" w:rsidRPr="001569FB" w14:paraId="3F013A6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C0AB8D"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281EE9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DAB747E" w14:textId="77777777" w:rsidR="006F3A1A" w:rsidRPr="001569FB" w:rsidRDefault="006F3A1A" w:rsidP="008D4E91">
            <w:pPr>
              <w:spacing w:line="240" w:lineRule="auto"/>
              <w:jc w:val="center"/>
              <w:rPr>
                <w:color w:val="000000"/>
                <w:sz w:val="18"/>
                <w:szCs w:val="18"/>
              </w:rPr>
            </w:pPr>
            <w:r w:rsidRPr="001569FB">
              <w:rPr>
                <w:color w:val="000000"/>
                <w:sz w:val="18"/>
                <w:szCs w:val="18"/>
              </w:rPr>
              <w:t>0.064</w:t>
            </w:r>
          </w:p>
        </w:tc>
        <w:tc>
          <w:tcPr>
            <w:tcW w:w="682" w:type="pct"/>
            <w:tcBorders>
              <w:top w:val="nil"/>
              <w:left w:val="nil"/>
              <w:bottom w:val="single" w:sz="4" w:space="0" w:color="auto"/>
              <w:right w:val="single" w:sz="4" w:space="0" w:color="auto"/>
            </w:tcBorders>
            <w:shd w:val="clear" w:color="000000" w:fill="FFFFFF"/>
            <w:noWrap/>
            <w:vAlign w:val="center"/>
            <w:hideMark/>
          </w:tcPr>
          <w:p w14:paraId="75A0EAD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95E884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noWrap/>
            <w:vAlign w:val="center"/>
            <w:hideMark/>
          </w:tcPr>
          <w:p w14:paraId="7AA013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A224014" w14:textId="77777777" w:rsidR="006F3A1A" w:rsidRPr="001569FB" w:rsidRDefault="006F3A1A" w:rsidP="008D4E91">
            <w:pPr>
              <w:spacing w:line="240" w:lineRule="auto"/>
              <w:jc w:val="center"/>
              <w:rPr>
                <w:color w:val="000000"/>
                <w:sz w:val="18"/>
                <w:szCs w:val="18"/>
              </w:rPr>
            </w:pPr>
            <w:r w:rsidRPr="001569FB">
              <w:rPr>
                <w:color w:val="000000"/>
                <w:sz w:val="18"/>
                <w:szCs w:val="18"/>
              </w:rPr>
              <w:t>0.752</w:t>
            </w:r>
          </w:p>
        </w:tc>
      </w:tr>
      <w:tr w:rsidR="006F3A1A" w:rsidRPr="001569FB" w14:paraId="217ED988"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293910" w14:textId="77777777" w:rsidR="006F3A1A" w:rsidRPr="001569FB" w:rsidRDefault="006F3A1A" w:rsidP="008D4E91">
            <w:pPr>
              <w:spacing w:line="240" w:lineRule="auto"/>
              <w:rPr>
                <w:b/>
                <w:bCs/>
                <w:color w:val="000000"/>
                <w:sz w:val="18"/>
                <w:szCs w:val="18"/>
              </w:rPr>
            </w:pPr>
            <w:r w:rsidRPr="001569FB">
              <w:rPr>
                <w:b/>
                <w:bCs/>
                <w:color w:val="000000"/>
                <w:sz w:val="18"/>
                <w:szCs w:val="18"/>
              </w:rPr>
              <w:t>Male</w:t>
            </w:r>
          </w:p>
        </w:tc>
      </w:tr>
      <w:tr w:rsidR="00EC34A7" w:rsidRPr="001569FB" w14:paraId="744DE6D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6BEB29"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3929329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7C86117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E58B076" w14:textId="77777777" w:rsidR="006F3A1A" w:rsidRPr="001569FB" w:rsidRDefault="006F3A1A" w:rsidP="008D4E91">
            <w:pPr>
              <w:spacing w:line="240" w:lineRule="auto"/>
              <w:jc w:val="center"/>
              <w:rPr>
                <w:color w:val="000000"/>
                <w:sz w:val="18"/>
                <w:szCs w:val="18"/>
              </w:rPr>
            </w:pPr>
            <w:r w:rsidRPr="001569FB">
              <w:rPr>
                <w:color w:val="000000"/>
                <w:sz w:val="18"/>
                <w:szCs w:val="18"/>
              </w:rPr>
              <w:t>0.272</w:t>
            </w:r>
          </w:p>
        </w:tc>
        <w:tc>
          <w:tcPr>
            <w:tcW w:w="637" w:type="pct"/>
            <w:tcBorders>
              <w:top w:val="nil"/>
              <w:left w:val="nil"/>
              <w:bottom w:val="single" w:sz="4" w:space="0" w:color="auto"/>
              <w:right w:val="single" w:sz="4" w:space="0" w:color="auto"/>
            </w:tcBorders>
            <w:shd w:val="clear" w:color="000000" w:fill="FFFFFF"/>
            <w:noWrap/>
            <w:vAlign w:val="center"/>
            <w:hideMark/>
          </w:tcPr>
          <w:p w14:paraId="6B767B8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3B6EC483" w14:textId="77777777" w:rsidR="006F3A1A" w:rsidRPr="001569FB" w:rsidRDefault="006F3A1A" w:rsidP="008D4E91">
            <w:pPr>
              <w:spacing w:line="240" w:lineRule="auto"/>
              <w:jc w:val="center"/>
              <w:rPr>
                <w:color w:val="000000"/>
                <w:sz w:val="18"/>
                <w:szCs w:val="18"/>
              </w:rPr>
            </w:pPr>
            <w:r w:rsidRPr="001569FB">
              <w:rPr>
                <w:color w:val="000000"/>
                <w:sz w:val="18"/>
                <w:szCs w:val="18"/>
              </w:rPr>
              <w:t>0.468</w:t>
            </w:r>
          </w:p>
        </w:tc>
        <w:tc>
          <w:tcPr>
            <w:tcW w:w="592" w:type="pct"/>
            <w:tcBorders>
              <w:top w:val="nil"/>
              <w:left w:val="nil"/>
              <w:bottom w:val="single" w:sz="4" w:space="0" w:color="auto"/>
              <w:right w:val="single" w:sz="4" w:space="0" w:color="auto"/>
            </w:tcBorders>
            <w:shd w:val="clear" w:color="000000" w:fill="FFFFFF"/>
            <w:vAlign w:val="center"/>
            <w:hideMark/>
          </w:tcPr>
          <w:p w14:paraId="2375ABD6" w14:textId="77777777" w:rsidR="006F3A1A" w:rsidRPr="001569FB" w:rsidRDefault="006F3A1A" w:rsidP="008D4E91">
            <w:pPr>
              <w:spacing w:line="240" w:lineRule="auto"/>
              <w:jc w:val="center"/>
              <w:rPr>
                <w:color w:val="000000"/>
                <w:sz w:val="18"/>
                <w:szCs w:val="18"/>
              </w:rPr>
            </w:pPr>
            <w:r w:rsidRPr="001569FB">
              <w:rPr>
                <w:color w:val="000000"/>
                <w:sz w:val="18"/>
                <w:szCs w:val="18"/>
              </w:rPr>
              <w:t>1.800</w:t>
            </w:r>
          </w:p>
        </w:tc>
      </w:tr>
      <w:tr w:rsidR="00EC34A7" w:rsidRPr="001569FB" w14:paraId="033CF9A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B9DA57D"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9E28F18"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39847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404E418" w14:textId="77777777" w:rsidR="006F3A1A" w:rsidRPr="001569FB" w:rsidRDefault="006F3A1A" w:rsidP="008D4E91">
            <w:pPr>
              <w:spacing w:line="240" w:lineRule="auto"/>
              <w:jc w:val="center"/>
              <w:rPr>
                <w:color w:val="000000"/>
                <w:sz w:val="18"/>
                <w:szCs w:val="18"/>
              </w:rPr>
            </w:pPr>
            <w:r w:rsidRPr="001569FB">
              <w:rPr>
                <w:color w:val="000000"/>
                <w:sz w:val="18"/>
                <w:szCs w:val="18"/>
              </w:rPr>
              <w:t>0.390</w:t>
            </w:r>
          </w:p>
        </w:tc>
        <w:tc>
          <w:tcPr>
            <w:tcW w:w="637" w:type="pct"/>
            <w:tcBorders>
              <w:top w:val="nil"/>
              <w:left w:val="nil"/>
              <w:bottom w:val="single" w:sz="4" w:space="0" w:color="auto"/>
              <w:right w:val="single" w:sz="4" w:space="0" w:color="auto"/>
            </w:tcBorders>
            <w:shd w:val="clear" w:color="000000" w:fill="FFFFFF"/>
            <w:noWrap/>
            <w:vAlign w:val="center"/>
            <w:hideMark/>
          </w:tcPr>
          <w:p w14:paraId="6AAF3CA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FB73EB1" w14:textId="77777777" w:rsidR="006F3A1A" w:rsidRPr="001569FB" w:rsidRDefault="006F3A1A" w:rsidP="008D4E91">
            <w:pPr>
              <w:spacing w:line="240" w:lineRule="auto"/>
              <w:jc w:val="center"/>
              <w:rPr>
                <w:color w:val="000000"/>
                <w:sz w:val="18"/>
                <w:szCs w:val="18"/>
              </w:rPr>
            </w:pPr>
            <w:r w:rsidRPr="001569FB">
              <w:rPr>
                <w:color w:val="000000"/>
                <w:sz w:val="18"/>
                <w:szCs w:val="18"/>
              </w:rPr>
              <w:t>0.592</w:t>
            </w:r>
          </w:p>
        </w:tc>
        <w:tc>
          <w:tcPr>
            <w:tcW w:w="592" w:type="pct"/>
            <w:tcBorders>
              <w:top w:val="nil"/>
              <w:left w:val="nil"/>
              <w:bottom w:val="single" w:sz="4" w:space="0" w:color="auto"/>
              <w:right w:val="single" w:sz="4" w:space="0" w:color="auto"/>
            </w:tcBorders>
            <w:shd w:val="clear" w:color="000000" w:fill="FFFFFF"/>
            <w:vAlign w:val="center"/>
            <w:hideMark/>
          </w:tcPr>
          <w:p w14:paraId="13ECEC96" w14:textId="77777777" w:rsidR="006F3A1A" w:rsidRPr="001569FB" w:rsidRDefault="006F3A1A" w:rsidP="008D4E91">
            <w:pPr>
              <w:spacing w:line="240" w:lineRule="auto"/>
              <w:jc w:val="center"/>
              <w:rPr>
                <w:color w:val="000000"/>
                <w:sz w:val="18"/>
                <w:szCs w:val="18"/>
              </w:rPr>
            </w:pPr>
            <w:r w:rsidRPr="001569FB">
              <w:rPr>
                <w:color w:val="000000"/>
                <w:sz w:val="18"/>
                <w:szCs w:val="18"/>
              </w:rPr>
              <w:t>1.792</w:t>
            </w:r>
          </w:p>
        </w:tc>
      </w:tr>
      <w:tr w:rsidR="00EC34A7" w:rsidRPr="001569FB" w14:paraId="7277E1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54165BC"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E8CBB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5DD1ED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EF46696" w14:textId="77777777" w:rsidR="006F3A1A" w:rsidRPr="001569FB" w:rsidRDefault="006F3A1A" w:rsidP="008D4E91">
            <w:pPr>
              <w:spacing w:line="240" w:lineRule="auto"/>
              <w:jc w:val="center"/>
              <w:rPr>
                <w:color w:val="000000"/>
                <w:sz w:val="18"/>
                <w:szCs w:val="18"/>
              </w:rPr>
            </w:pPr>
            <w:r w:rsidRPr="001569FB">
              <w:rPr>
                <w:color w:val="000000"/>
                <w:sz w:val="18"/>
                <w:szCs w:val="18"/>
              </w:rPr>
              <w:t>0.491</w:t>
            </w:r>
          </w:p>
        </w:tc>
        <w:tc>
          <w:tcPr>
            <w:tcW w:w="637" w:type="pct"/>
            <w:tcBorders>
              <w:top w:val="nil"/>
              <w:left w:val="nil"/>
              <w:bottom w:val="single" w:sz="4" w:space="0" w:color="auto"/>
              <w:right w:val="single" w:sz="4" w:space="0" w:color="auto"/>
            </w:tcBorders>
            <w:shd w:val="clear" w:color="000000" w:fill="FFFFFF"/>
            <w:noWrap/>
            <w:vAlign w:val="center"/>
            <w:hideMark/>
          </w:tcPr>
          <w:p w14:paraId="71104B7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92C6FFF" w14:textId="77777777" w:rsidR="006F3A1A" w:rsidRPr="001569FB" w:rsidRDefault="006F3A1A" w:rsidP="008D4E91">
            <w:pPr>
              <w:spacing w:line="240" w:lineRule="auto"/>
              <w:jc w:val="center"/>
              <w:rPr>
                <w:color w:val="000000"/>
                <w:sz w:val="18"/>
                <w:szCs w:val="18"/>
              </w:rPr>
            </w:pPr>
            <w:r w:rsidRPr="001569FB">
              <w:rPr>
                <w:color w:val="000000"/>
                <w:sz w:val="18"/>
                <w:szCs w:val="18"/>
              </w:rPr>
              <w:t>0.658</w:t>
            </w:r>
          </w:p>
        </w:tc>
        <w:tc>
          <w:tcPr>
            <w:tcW w:w="592" w:type="pct"/>
            <w:tcBorders>
              <w:top w:val="nil"/>
              <w:left w:val="nil"/>
              <w:bottom w:val="single" w:sz="4" w:space="0" w:color="auto"/>
              <w:right w:val="single" w:sz="4" w:space="0" w:color="auto"/>
            </w:tcBorders>
            <w:shd w:val="clear" w:color="000000" w:fill="FFFFFF"/>
            <w:vAlign w:val="center"/>
            <w:hideMark/>
          </w:tcPr>
          <w:p w14:paraId="58D15A09" w14:textId="77777777" w:rsidR="006F3A1A" w:rsidRPr="001569FB" w:rsidRDefault="006F3A1A" w:rsidP="008D4E91">
            <w:pPr>
              <w:spacing w:line="240" w:lineRule="auto"/>
              <w:jc w:val="center"/>
              <w:rPr>
                <w:color w:val="000000"/>
                <w:sz w:val="18"/>
                <w:szCs w:val="18"/>
              </w:rPr>
            </w:pPr>
            <w:r w:rsidRPr="001569FB">
              <w:rPr>
                <w:color w:val="000000"/>
                <w:sz w:val="18"/>
                <w:szCs w:val="18"/>
              </w:rPr>
              <w:t>1.654</w:t>
            </w:r>
          </w:p>
        </w:tc>
      </w:tr>
      <w:tr w:rsidR="00EC34A7" w:rsidRPr="001569FB" w14:paraId="0876B66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0A9B70"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DFA038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3B657AC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F230080"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637" w:type="pct"/>
            <w:tcBorders>
              <w:top w:val="nil"/>
              <w:left w:val="nil"/>
              <w:bottom w:val="single" w:sz="4" w:space="0" w:color="auto"/>
              <w:right w:val="single" w:sz="4" w:space="0" w:color="auto"/>
            </w:tcBorders>
            <w:shd w:val="clear" w:color="000000" w:fill="FFFFFF"/>
            <w:noWrap/>
            <w:vAlign w:val="center"/>
            <w:hideMark/>
          </w:tcPr>
          <w:p w14:paraId="3CD705C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200607AD" w14:textId="77777777" w:rsidR="006F3A1A" w:rsidRPr="001569FB" w:rsidRDefault="006F3A1A" w:rsidP="008D4E91">
            <w:pPr>
              <w:spacing w:line="240" w:lineRule="auto"/>
              <w:jc w:val="center"/>
              <w:rPr>
                <w:color w:val="000000"/>
                <w:sz w:val="18"/>
                <w:szCs w:val="18"/>
              </w:rPr>
            </w:pPr>
            <w:r w:rsidRPr="001569FB">
              <w:rPr>
                <w:color w:val="000000"/>
                <w:sz w:val="18"/>
                <w:szCs w:val="18"/>
              </w:rPr>
              <w:t>0.665</w:t>
            </w:r>
          </w:p>
        </w:tc>
        <w:tc>
          <w:tcPr>
            <w:tcW w:w="592" w:type="pct"/>
            <w:tcBorders>
              <w:top w:val="nil"/>
              <w:left w:val="nil"/>
              <w:bottom w:val="single" w:sz="4" w:space="0" w:color="auto"/>
              <w:right w:val="single" w:sz="4" w:space="0" w:color="auto"/>
            </w:tcBorders>
            <w:shd w:val="clear" w:color="000000" w:fill="FFFFFF"/>
            <w:vAlign w:val="center"/>
            <w:hideMark/>
          </w:tcPr>
          <w:p w14:paraId="226143E7" w14:textId="77777777" w:rsidR="006F3A1A" w:rsidRPr="001569FB" w:rsidRDefault="006F3A1A" w:rsidP="008D4E91">
            <w:pPr>
              <w:spacing w:line="240" w:lineRule="auto"/>
              <w:jc w:val="center"/>
              <w:rPr>
                <w:color w:val="000000"/>
                <w:sz w:val="18"/>
                <w:szCs w:val="18"/>
              </w:rPr>
            </w:pPr>
            <w:r w:rsidRPr="001569FB">
              <w:rPr>
                <w:color w:val="000000"/>
                <w:sz w:val="18"/>
                <w:szCs w:val="18"/>
              </w:rPr>
              <w:t>1.472</w:t>
            </w:r>
          </w:p>
        </w:tc>
      </w:tr>
      <w:tr w:rsidR="00EC34A7" w:rsidRPr="001569FB" w14:paraId="70B8C02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40842E"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F1BAEB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40B037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591BE28" w14:textId="77777777" w:rsidR="006F3A1A" w:rsidRPr="001569FB" w:rsidRDefault="006F3A1A" w:rsidP="008D4E91">
            <w:pPr>
              <w:spacing w:line="240" w:lineRule="auto"/>
              <w:jc w:val="center"/>
              <w:rPr>
                <w:color w:val="000000"/>
                <w:sz w:val="18"/>
                <w:szCs w:val="18"/>
              </w:rPr>
            </w:pPr>
            <w:r w:rsidRPr="001569FB">
              <w:rPr>
                <w:color w:val="000000"/>
                <w:sz w:val="18"/>
                <w:szCs w:val="18"/>
              </w:rPr>
              <w:t>0.504</w:t>
            </w:r>
          </w:p>
        </w:tc>
        <w:tc>
          <w:tcPr>
            <w:tcW w:w="637" w:type="pct"/>
            <w:tcBorders>
              <w:top w:val="nil"/>
              <w:left w:val="nil"/>
              <w:bottom w:val="single" w:sz="4" w:space="0" w:color="auto"/>
              <w:right w:val="single" w:sz="4" w:space="0" w:color="auto"/>
            </w:tcBorders>
            <w:shd w:val="clear" w:color="000000" w:fill="FFFFFF"/>
            <w:noWrap/>
            <w:vAlign w:val="center"/>
            <w:hideMark/>
          </w:tcPr>
          <w:p w14:paraId="5338E60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48DCE6FE" w14:textId="77777777" w:rsidR="006F3A1A" w:rsidRPr="001569FB" w:rsidRDefault="006F3A1A" w:rsidP="008D4E91">
            <w:pPr>
              <w:spacing w:line="240" w:lineRule="auto"/>
              <w:jc w:val="center"/>
              <w:rPr>
                <w:color w:val="000000"/>
                <w:sz w:val="18"/>
                <w:szCs w:val="18"/>
              </w:rPr>
            </w:pPr>
            <w:r w:rsidRPr="001569FB">
              <w:rPr>
                <w:color w:val="000000"/>
                <w:sz w:val="18"/>
                <w:szCs w:val="18"/>
              </w:rPr>
              <w:t>0.613</w:t>
            </w:r>
          </w:p>
        </w:tc>
        <w:tc>
          <w:tcPr>
            <w:tcW w:w="592" w:type="pct"/>
            <w:tcBorders>
              <w:top w:val="nil"/>
              <w:left w:val="nil"/>
              <w:bottom w:val="single" w:sz="4" w:space="0" w:color="auto"/>
              <w:right w:val="single" w:sz="4" w:space="0" w:color="auto"/>
            </w:tcBorders>
            <w:shd w:val="clear" w:color="000000" w:fill="FFFFFF"/>
            <w:vAlign w:val="center"/>
            <w:hideMark/>
          </w:tcPr>
          <w:p w14:paraId="5D96794F" w14:textId="77777777" w:rsidR="006F3A1A" w:rsidRPr="001569FB" w:rsidRDefault="006F3A1A" w:rsidP="008D4E91">
            <w:pPr>
              <w:spacing w:line="240" w:lineRule="auto"/>
              <w:jc w:val="center"/>
              <w:rPr>
                <w:color w:val="000000"/>
                <w:sz w:val="18"/>
                <w:szCs w:val="18"/>
              </w:rPr>
            </w:pPr>
            <w:r w:rsidRPr="001569FB">
              <w:rPr>
                <w:color w:val="000000"/>
                <w:sz w:val="18"/>
                <w:szCs w:val="18"/>
              </w:rPr>
              <w:t>1.348</w:t>
            </w:r>
          </w:p>
        </w:tc>
      </w:tr>
      <w:tr w:rsidR="00EC34A7" w:rsidRPr="001569FB" w14:paraId="5B65676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AFE2E4"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A03F7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6B05F39" w14:textId="77777777" w:rsidR="006F3A1A" w:rsidRPr="001569FB" w:rsidRDefault="006F3A1A" w:rsidP="008D4E91">
            <w:pPr>
              <w:spacing w:line="240" w:lineRule="auto"/>
              <w:jc w:val="center"/>
              <w:rPr>
                <w:color w:val="000000"/>
                <w:sz w:val="18"/>
                <w:szCs w:val="18"/>
              </w:rPr>
            </w:pPr>
            <w:r w:rsidRPr="001569FB">
              <w:rPr>
                <w:color w:val="000000"/>
                <w:sz w:val="18"/>
                <w:szCs w:val="18"/>
              </w:rPr>
              <w:t>0.263</w:t>
            </w:r>
          </w:p>
        </w:tc>
        <w:tc>
          <w:tcPr>
            <w:tcW w:w="682" w:type="pct"/>
            <w:tcBorders>
              <w:top w:val="nil"/>
              <w:left w:val="nil"/>
              <w:bottom w:val="single" w:sz="4" w:space="0" w:color="auto"/>
              <w:right w:val="single" w:sz="4" w:space="0" w:color="auto"/>
            </w:tcBorders>
            <w:shd w:val="clear" w:color="000000" w:fill="FFFFFF"/>
            <w:vAlign w:val="center"/>
            <w:hideMark/>
          </w:tcPr>
          <w:p w14:paraId="7741EC1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70C0FA5" w14:textId="77777777" w:rsidR="006F3A1A" w:rsidRPr="001569FB" w:rsidRDefault="006F3A1A" w:rsidP="008D4E91">
            <w:pPr>
              <w:spacing w:line="240" w:lineRule="auto"/>
              <w:jc w:val="center"/>
              <w:rPr>
                <w:color w:val="000000"/>
                <w:sz w:val="18"/>
                <w:szCs w:val="18"/>
              </w:rPr>
            </w:pPr>
            <w:r w:rsidRPr="001569FB">
              <w:rPr>
                <w:color w:val="000000"/>
                <w:sz w:val="18"/>
                <w:szCs w:val="18"/>
              </w:rPr>
              <w:t>0.362</w:t>
            </w:r>
          </w:p>
        </w:tc>
        <w:tc>
          <w:tcPr>
            <w:tcW w:w="727" w:type="pct"/>
            <w:tcBorders>
              <w:top w:val="nil"/>
              <w:left w:val="nil"/>
              <w:bottom w:val="single" w:sz="4" w:space="0" w:color="auto"/>
              <w:right w:val="single" w:sz="4" w:space="0" w:color="auto"/>
            </w:tcBorders>
            <w:shd w:val="clear" w:color="000000" w:fill="FFFFFF"/>
            <w:noWrap/>
            <w:vAlign w:val="center"/>
            <w:hideMark/>
          </w:tcPr>
          <w:p w14:paraId="64C0F13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8F21D93" w14:textId="77777777" w:rsidR="006F3A1A" w:rsidRPr="001569FB" w:rsidRDefault="006F3A1A" w:rsidP="008D4E91">
            <w:pPr>
              <w:spacing w:line="240" w:lineRule="auto"/>
              <w:jc w:val="center"/>
              <w:rPr>
                <w:color w:val="000000"/>
                <w:sz w:val="18"/>
                <w:szCs w:val="18"/>
              </w:rPr>
            </w:pPr>
            <w:r w:rsidRPr="001569FB">
              <w:rPr>
                <w:color w:val="000000"/>
                <w:sz w:val="18"/>
                <w:szCs w:val="18"/>
              </w:rPr>
              <w:t>1.307</w:t>
            </w:r>
          </w:p>
        </w:tc>
      </w:tr>
      <w:tr w:rsidR="00EC34A7" w:rsidRPr="001569FB" w14:paraId="4E3AC91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3C631C"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3B305B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5EED71B"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82" w:type="pct"/>
            <w:tcBorders>
              <w:top w:val="nil"/>
              <w:left w:val="nil"/>
              <w:bottom w:val="single" w:sz="4" w:space="0" w:color="auto"/>
              <w:right w:val="single" w:sz="4" w:space="0" w:color="auto"/>
            </w:tcBorders>
            <w:shd w:val="clear" w:color="000000" w:fill="FFFFFF"/>
            <w:vAlign w:val="center"/>
            <w:hideMark/>
          </w:tcPr>
          <w:p w14:paraId="46BF05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93AE9F6" w14:textId="77777777" w:rsidR="006F3A1A" w:rsidRPr="001569FB" w:rsidRDefault="006F3A1A" w:rsidP="008D4E91">
            <w:pPr>
              <w:spacing w:line="240" w:lineRule="auto"/>
              <w:jc w:val="center"/>
              <w:rPr>
                <w:color w:val="000000"/>
                <w:sz w:val="18"/>
                <w:szCs w:val="18"/>
              </w:rPr>
            </w:pPr>
            <w:r w:rsidRPr="001569FB">
              <w:rPr>
                <w:color w:val="000000"/>
                <w:sz w:val="18"/>
                <w:szCs w:val="18"/>
              </w:rPr>
              <w:t>0.338</w:t>
            </w:r>
          </w:p>
        </w:tc>
        <w:tc>
          <w:tcPr>
            <w:tcW w:w="727" w:type="pct"/>
            <w:tcBorders>
              <w:top w:val="nil"/>
              <w:left w:val="nil"/>
              <w:bottom w:val="single" w:sz="4" w:space="0" w:color="auto"/>
              <w:right w:val="single" w:sz="4" w:space="0" w:color="auto"/>
            </w:tcBorders>
            <w:shd w:val="clear" w:color="000000" w:fill="FFFFFF"/>
            <w:noWrap/>
            <w:vAlign w:val="center"/>
            <w:hideMark/>
          </w:tcPr>
          <w:p w14:paraId="542E42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DB75B6B" w14:textId="77777777" w:rsidR="006F3A1A" w:rsidRPr="001569FB" w:rsidRDefault="006F3A1A" w:rsidP="008D4E91">
            <w:pPr>
              <w:spacing w:line="240" w:lineRule="auto"/>
              <w:jc w:val="center"/>
              <w:rPr>
                <w:color w:val="000000"/>
                <w:sz w:val="18"/>
                <w:szCs w:val="18"/>
              </w:rPr>
            </w:pPr>
            <w:r w:rsidRPr="001569FB">
              <w:rPr>
                <w:color w:val="000000"/>
                <w:sz w:val="18"/>
                <w:szCs w:val="18"/>
              </w:rPr>
              <w:t>1.260</w:t>
            </w:r>
          </w:p>
        </w:tc>
      </w:tr>
      <w:tr w:rsidR="00EC34A7" w:rsidRPr="001569FB" w14:paraId="5AA5D1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041AAE2"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245820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9A5642" w14:textId="77777777" w:rsidR="006F3A1A" w:rsidRPr="001569FB" w:rsidRDefault="006F3A1A" w:rsidP="008D4E91">
            <w:pPr>
              <w:spacing w:line="240" w:lineRule="auto"/>
              <w:jc w:val="center"/>
              <w:rPr>
                <w:color w:val="000000"/>
                <w:sz w:val="18"/>
                <w:szCs w:val="18"/>
              </w:rPr>
            </w:pPr>
            <w:r w:rsidRPr="001569FB">
              <w:rPr>
                <w:color w:val="000000"/>
                <w:sz w:val="18"/>
                <w:szCs w:val="18"/>
              </w:rPr>
              <w:t>0.242</w:t>
            </w:r>
          </w:p>
        </w:tc>
        <w:tc>
          <w:tcPr>
            <w:tcW w:w="682" w:type="pct"/>
            <w:tcBorders>
              <w:top w:val="nil"/>
              <w:left w:val="nil"/>
              <w:bottom w:val="single" w:sz="4" w:space="0" w:color="auto"/>
              <w:right w:val="single" w:sz="4" w:space="0" w:color="auto"/>
            </w:tcBorders>
            <w:shd w:val="clear" w:color="000000" w:fill="FFFFFF"/>
            <w:vAlign w:val="center"/>
            <w:hideMark/>
          </w:tcPr>
          <w:p w14:paraId="4EEBE44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AA1BB35" w14:textId="77777777" w:rsidR="006F3A1A" w:rsidRPr="001569FB" w:rsidRDefault="006F3A1A" w:rsidP="008D4E91">
            <w:pPr>
              <w:spacing w:line="240" w:lineRule="auto"/>
              <w:jc w:val="center"/>
              <w:rPr>
                <w:color w:val="000000"/>
                <w:sz w:val="18"/>
                <w:szCs w:val="18"/>
              </w:rPr>
            </w:pPr>
            <w:r w:rsidRPr="001569FB">
              <w:rPr>
                <w:color w:val="000000"/>
                <w:sz w:val="18"/>
                <w:szCs w:val="18"/>
              </w:rPr>
              <w:t>0.337</w:t>
            </w:r>
          </w:p>
        </w:tc>
        <w:tc>
          <w:tcPr>
            <w:tcW w:w="727" w:type="pct"/>
            <w:tcBorders>
              <w:top w:val="nil"/>
              <w:left w:val="nil"/>
              <w:bottom w:val="single" w:sz="4" w:space="0" w:color="auto"/>
              <w:right w:val="single" w:sz="4" w:space="0" w:color="auto"/>
            </w:tcBorders>
            <w:shd w:val="clear" w:color="000000" w:fill="FFFFFF"/>
            <w:noWrap/>
            <w:vAlign w:val="center"/>
            <w:hideMark/>
          </w:tcPr>
          <w:p w14:paraId="3997AF4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B2D0F04" w14:textId="77777777" w:rsidR="006F3A1A" w:rsidRPr="001569FB" w:rsidRDefault="006F3A1A" w:rsidP="008D4E91">
            <w:pPr>
              <w:spacing w:line="240" w:lineRule="auto"/>
              <w:jc w:val="center"/>
              <w:rPr>
                <w:color w:val="000000"/>
                <w:sz w:val="18"/>
                <w:szCs w:val="18"/>
              </w:rPr>
            </w:pPr>
            <w:r w:rsidRPr="001569FB">
              <w:rPr>
                <w:color w:val="000000"/>
                <w:sz w:val="18"/>
                <w:szCs w:val="18"/>
              </w:rPr>
              <w:t>1.190</w:t>
            </w:r>
          </w:p>
        </w:tc>
      </w:tr>
      <w:tr w:rsidR="00EC34A7" w:rsidRPr="001569FB" w14:paraId="1E2DA6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6180DF"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0599BF2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76473AB1"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82" w:type="pct"/>
            <w:tcBorders>
              <w:top w:val="nil"/>
              <w:left w:val="nil"/>
              <w:bottom w:val="single" w:sz="4" w:space="0" w:color="auto"/>
              <w:right w:val="single" w:sz="4" w:space="0" w:color="auto"/>
            </w:tcBorders>
            <w:shd w:val="clear" w:color="000000" w:fill="FFFFFF"/>
            <w:vAlign w:val="center"/>
            <w:hideMark/>
          </w:tcPr>
          <w:p w14:paraId="25A39E5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FE9487" w14:textId="77777777" w:rsidR="006F3A1A" w:rsidRPr="001569FB" w:rsidRDefault="006F3A1A" w:rsidP="008D4E91">
            <w:pPr>
              <w:spacing w:line="240" w:lineRule="auto"/>
              <w:jc w:val="center"/>
              <w:rPr>
                <w:color w:val="000000"/>
                <w:sz w:val="18"/>
                <w:szCs w:val="18"/>
              </w:rPr>
            </w:pPr>
            <w:r w:rsidRPr="001569FB">
              <w:rPr>
                <w:color w:val="000000"/>
                <w:sz w:val="18"/>
                <w:szCs w:val="18"/>
              </w:rPr>
              <w:t>0.300</w:t>
            </w:r>
          </w:p>
        </w:tc>
        <w:tc>
          <w:tcPr>
            <w:tcW w:w="727" w:type="pct"/>
            <w:tcBorders>
              <w:top w:val="nil"/>
              <w:left w:val="nil"/>
              <w:bottom w:val="single" w:sz="4" w:space="0" w:color="auto"/>
              <w:right w:val="single" w:sz="4" w:space="0" w:color="auto"/>
            </w:tcBorders>
            <w:shd w:val="clear" w:color="000000" w:fill="FFFFFF"/>
            <w:noWrap/>
            <w:vAlign w:val="center"/>
            <w:hideMark/>
          </w:tcPr>
          <w:p w14:paraId="1194AA8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F5DD7D4"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55DCF89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461A80"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738BC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C6EF25" w14:textId="77777777" w:rsidR="006F3A1A" w:rsidRPr="001569FB" w:rsidRDefault="006F3A1A" w:rsidP="008D4E91">
            <w:pPr>
              <w:spacing w:line="240" w:lineRule="auto"/>
              <w:jc w:val="center"/>
              <w:rPr>
                <w:color w:val="000000"/>
                <w:sz w:val="18"/>
                <w:szCs w:val="18"/>
              </w:rPr>
            </w:pPr>
            <w:r w:rsidRPr="001569FB">
              <w:rPr>
                <w:color w:val="000000"/>
                <w:sz w:val="18"/>
                <w:szCs w:val="18"/>
              </w:rPr>
              <w:t>0.134</w:t>
            </w:r>
          </w:p>
        </w:tc>
        <w:tc>
          <w:tcPr>
            <w:tcW w:w="682" w:type="pct"/>
            <w:tcBorders>
              <w:top w:val="nil"/>
              <w:left w:val="nil"/>
              <w:bottom w:val="single" w:sz="4" w:space="0" w:color="auto"/>
              <w:right w:val="single" w:sz="4" w:space="0" w:color="auto"/>
            </w:tcBorders>
            <w:shd w:val="clear" w:color="000000" w:fill="FFFFFF"/>
            <w:vAlign w:val="center"/>
            <w:hideMark/>
          </w:tcPr>
          <w:p w14:paraId="7DD136B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E2C968B" w14:textId="77777777" w:rsidR="006F3A1A" w:rsidRPr="001569FB" w:rsidRDefault="006F3A1A" w:rsidP="008D4E91">
            <w:pPr>
              <w:spacing w:line="240" w:lineRule="auto"/>
              <w:jc w:val="center"/>
              <w:rPr>
                <w:color w:val="000000"/>
                <w:sz w:val="18"/>
                <w:szCs w:val="18"/>
              </w:rPr>
            </w:pPr>
            <w:r w:rsidRPr="001569FB">
              <w:rPr>
                <w:color w:val="000000"/>
                <w:sz w:val="18"/>
                <w:szCs w:val="18"/>
              </w:rPr>
              <w:t>0.283</w:t>
            </w:r>
          </w:p>
        </w:tc>
        <w:tc>
          <w:tcPr>
            <w:tcW w:w="727" w:type="pct"/>
            <w:tcBorders>
              <w:top w:val="nil"/>
              <w:left w:val="nil"/>
              <w:bottom w:val="single" w:sz="4" w:space="0" w:color="auto"/>
              <w:right w:val="single" w:sz="4" w:space="0" w:color="auto"/>
            </w:tcBorders>
            <w:shd w:val="clear" w:color="000000" w:fill="FFFFFF"/>
            <w:noWrap/>
            <w:vAlign w:val="center"/>
            <w:hideMark/>
          </w:tcPr>
          <w:p w14:paraId="6F9835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D53E09F" w14:textId="77777777" w:rsidR="006F3A1A" w:rsidRPr="001569FB" w:rsidRDefault="006F3A1A" w:rsidP="008D4E91">
            <w:pPr>
              <w:spacing w:line="240" w:lineRule="auto"/>
              <w:jc w:val="center"/>
              <w:rPr>
                <w:color w:val="000000"/>
                <w:sz w:val="18"/>
                <w:szCs w:val="18"/>
              </w:rPr>
            </w:pPr>
            <w:r w:rsidRPr="001569FB">
              <w:rPr>
                <w:color w:val="000000"/>
                <w:sz w:val="18"/>
                <w:szCs w:val="18"/>
              </w:rPr>
              <w:t>1.075</w:t>
            </w:r>
          </w:p>
        </w:tc>
      </w:tr>
      <w:tr w:rsidR="00EC34A7" w:rsidRPr="001569FB" w14:paraId="2C78EAE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93AC2D5"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E511B6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89516D6" w14:textId="77777777" w:rsidR="006F3A1A" w:rsidRPr="001569FB" w:rsidRDefault="006F3A1A" w:rsidP="008D4E91">
            <w:pPr>
              <w:spacing w:line="240" w:lineRule="auto"/>
              <w:jc w:val="center"/>
              <w:rPr>
                <w:color w:val="000000"/>
                <w:sz w:val="18"/>
                <w:szCs w:val="18"/>
              </w:rPr>
            </w:pPr>
            <w:r w:rsidRPr="001569FB">
              <w:rPr>
                <w:color w:val="000000"/>
                <w:sz w:val="18"/>
                <w:szCs w:val="18"/>
              </w:rPr>
              <w:t>0.076</w:t>
            </w:r>
          </w:p>
        </w:tc>
        <w:tc>
          <w:tcPr>
            <w:tcW w:w="682" w:type="pct"/>
            <w:tcBorders>
              <w:top w:val="nil"/>
              <w:left w:val="nil"/>
              <w:bottom w:val="single" w:sz="4" w:space="0" w:color="auto"/>
              <w:right w:val="single" w:sz="4" w:space="0" w:color="auto"/>
            </w:tcBorders>
            <w:shd w:val="clear" w:color="000000" w:fill="FFFFFF"/>
            <w:noWrap/>
            <w:vAlign w:val="center"/>
            <w:hideMark/>
          </w:tcPr>
          <w:p w14:paraId="5A99D01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9D176C5"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noWrap/>
            <w:vAlign w:val="center"/>
            <w:hideMark/>
          </w:tcPr>
          <w:p w14:paraId="53C651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A1FAE91" w14:textId="77777777" w:rsidR="006F3A1A" w:rsidRPr="001569FB" w:rsidRDefault="006F3A1A" w:rsidP="008D4E91">
            <w:pPr>
              <w:spacing w:line="240" w:lineRule="auto"/>
              <w:jc w:val="center"/>
              <w:rPr>
                <w:color w:val="000000"/>
                <w:sz w:val="18"/>
                <w:szCs w:val="18"/>
              </w:rPr>
            </w:pPr>
            <w:r w:rsidRPr="001569FB">
              <w:rPr>
                <w:color w:val="000000"/>
                <w:sz w:val="18"/>
                <w:szCs w:val="18"/>
              </w:rPr>
              <w:t>0.985</w:t>
            </w:r>
          </w:p>
        </w:tc>
      </w:tr>
      <w:tr w:rsidR="00EC34A7" w:rsidRPr="001569FB" w14:paraId="1C98F70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5D7C3D5"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1809327"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C9A11AA"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682" w:type="pct"/>
            <w:tcBorders>
              <w:top w:val="nil"/>
              <w:left w:val="nil"/>
              <w:bottom w:val="single" w:sz="4" w:space="0" w:color="auto"/>
              <w:right w:val="single" w:sz="4" w:space="0" w:color="auto"/>
            </w:tcBorders>
            <w:shd w:val="clear" w:color="000000" w:fill="FFFFFF"/>
            <w:noWrap/>
            <w:vAlign w:val="center"/>
            <w:hideMark/>
          </w:tcPr>
          <w:p w14:paraId="2DA4801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AD22029"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noWrap/>
            <w:vAlign w:val="center"/>
            <w:hideMark/>
          </w:tcPr>
          <w:p w14:paraId="0A2894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1E0152B" w14:textId="77777777" w:rsidR="006F3A1A" w:rsidRPr="001569FB" w:rsidRDefault="006F3A1A" w:rsidP="008D4E91">
            <w:pPr>
              <w:spacing w:line="240" w:lineRule="auto"/>
              <w:jc w:val="center"/>
              <w:rPr>
                <w:color w:val="000000"/>
                <w:sz w:val="18"/>
                <w:szCs w:val="18"/>
              </w:rPr>
            </w:pPr>
            <w:r w:rsidRPr="001569FB">
              <w:rPr>
                <w:color w:val="000000"/>
                <w:sz w:val="18"/>
                <w:szCs w:val="18"/>
              </w:rPr>
              <w:t>0.865</w:t>
            </w:r>
          </w:p>
        </w:tc>
      </w:tr>
      <w:tr w:rsidR="006F3A1A" w:rsidRPr="001569FB" w14:paraId="274BA61C"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498A4E" w14:textId="77777777" w:rsidR="006F3A1A" w:rsidRPr="001569FB" w:rsidRDefault="006F3A1A" w:rsidP="008D4E91">
            <w:pPr>
              <w:spacing w:line="240" w:lineRule="auto"/>
              <w:rPr>
                <w:b/>
                <w:bCs/>
                <w:color w:val="000000"/>
                <w:sz w:val="18"/>
                <w:szCs w:val="18"/>
              </w:rPr>
            </w:pPr>
            <w:r w:rsidRPr="001569FB">
              <w:rPr>
                <w:b/>
                <w:bCs/>
                <w:color w:val="000000"/>
                <w:sz w:val="18"/>
                <w:szCs w:val="18"/>
              </w:rPr>
              <w:t>Originally Disabled Interactions with Sex</w:t>
            </w:r>
          </w:p>
        </w:tc>
      </w:tr>
      <w:tr w:rsidR="00EC34A7" w:rsidRPr="001569FB" w14:paraId="088D9B2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C30367F" w14:textId="77777777" w:rsidR="006F3A1A" w:rsidRPr="001569FB" w:rsidRDefault="006F3A1A" w:rsidP="008D4E91">
            <w:pPr>
              <w:spacing w:line="240" w:lineRule="auto"/>
              <w:rPr>
                <w:color w:val="000000"/>
                <w:sz w:val="18"/>
                <w:szCs w:val="18"/>
              </w:rPr>
            </w:pPr>
            <w:r w:rsidRPr="001569FB">
              <w:rPr>
                <w:color w:val="000000"/>
                <w:sz w:val="18"/>
                <w:szCs w:val="18"/>
              </w:rPr>
              <w:t>Originally Disabled_Female</w:t>
            </w:r>
          </w:p>
        </w:tc>
        <w:tc>
          <w:tcPr>
            <w:tcW w:w="909" w:type="pct"/>
            <w:tcBorders>
              <w:top w:val="nil"/>
              <w:left w:val="nil"/>
              <w:bottom w:val="single" w:sz="4" w:space="0" w:color="auto"/>
              <w:right w:val="single" w:sz="4" w:space="0" w:color="auto"/>
            </w:tcBorders>
            <w:shd w:val="clear" w:color="000000" w:fill="FFFFFF"/>
            <w:noWrap/>
            <w:vAlign w:val="center"/>
            <w:hideMark/>
          </w:tcPr>
          <w:p w14:paraId="00A77411"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31C600E"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noWrap/>
            <w:vAlign w:val="center"/>
            <w:hideMark/>
          </w:tcPr>
          <w:p w14:paraId="629DD58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C1646BE" w14:textId="77777777" w:rsidR="006F3A1A" w:rsidRPr="001569FB" w:rsidRDefault="006F3A1A" w:rsidP="008D4E91">
            <w:pPr>
              <w:spacing w:line="240" w:lineRule="auto"/>
              <w:jc w:val="center"/>
              <w:rPr>
                <w:color w:val="000000"/>
                <w:sz w:val="18"/>
                <w:szCs w:val="18"/>
              </w:rPr>
            </w:pPr>
            <w:r w:rsidRPr="001569FB">
              <w:rPr>
                <w:color w:val="000000"/>
                <w:sz w:val="18"/>
                <w:szCs w:val="18"/>
              </w:rPr>
              <w:t>0.196</w:t>
            </w:r>
          </w:p>
        </w:tc>
        <w:tc>
          <w:tcPr>
            <w:tcW w:w="727" w:type="pct"/>
            <w:tcBorders>
              <w:top w:val="nil"/>
              <w:left w:val="nil"/>
              <w:bottom w:val="single" w:sz="4" w:space="0" w:color="auto"/>
              <w:right w:val="single" w:sz="4" w:space="0" w:color="auto"/>
            </w:tcBorders>
            <w:shd w:val="clear" w:color="000000" w:fill="FFFFFF"/>
            <w:noWrap/>
            <w:vAlign w:val="center"/>
            <w:hideMark/>
          </w:tcPr>
          <w:p w14:paraId="5DA4D85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80B677B"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029149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86B762" w14:textId="77777777" w:rsidR="006F3A1A" w:rsidRPr="001569FB" w:rsidRDefault="006F3A1A" w:rsidP="008D4E91">
            <w:pPr>
              <w:spacing w:line="240" w:lineRule="auto"/>
              <w:rPr>
                <w:color w:val="000000"/>
                <w:sz w:val="18"/>
                <w:szCs w:val="18"/>
              </w:rPr>
            </w:pPr>
            <w:r w:rsidRPr="001569FB">
              <w:rPr>
                <w:color w:val="000000"/>
                <w:sz w:val="18"/>
                <w:szCs w:val="18"/>
              </w:rPr>
              <w:t>Originally Disabled_Male</w:t>
            </w:r>
          </w:p>
        </w:tc>
        <w:tc>
          <w:tcPr>
            <w:tcW w:w="909" w:type="pct"/>
            <w:tcBorders>
              <w:top w:val="nil"/>
              <w:left w:val="nil"/>
              <w:bottom w:val="single" w:sz="4" w:space="0" w:color="auto"/>
              <w:right w:val="single" w:sz="4" w:space="0" w:color="auto"/>
            </w:tcBorders>
            <w:shd w:val="clear" w:color="000000" w:fill="FFFFFF"/>
            <w:noWrap/>
            <w:vAlign w:val="center"/>
            <w:hideMark/>
          </w:tcPr>
          <w:p w14:paraId="3A36009F"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4C29B5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noWrap/>
            <w:vAlign w:val="center"/>
            <w:hideMark/>
          </w:tcPr>
          <w:p w14:paraId="78CD5E2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9A29F77" w14:textId="77777777" w:rsidR="006F3A1A" w:rsidRPr="001569FB" w:rsidRDefault="006F3A1A" w:rsidP="008D4E91">
            <w:pPr>
              <w:spacing w:line="240" w:lineRule="auto"/>
              <w:jc w:val="center"/>
              <w:rPr>
                <w:color w:val="000000"/>
                <w:sz w:val="18"/>
                <w:szCs w:val="18"/>
              </w:rPr>
            </w:pPr>
            <w:r w:rsidRPr="001569FB">
              <w:rPr>
                <w:color w:val="000000"/>
                <w:sz w:val="18"/>
                <w:szCs w:val="18"/>
              </w:rPr>
              <w:t>0.133</w:t>
            </w:r>
          </w:p>
        </w:tc>
        <w:tc>
          <w:tcPr>
            <w:tcW w:w="727" w:type="pct"/>
            <w:tcBorders>
              <w:top w:val="nil"/>
              <w:left w:val="nil"/>
              <w:bottom w:val="single" w:sz="4" w:space="0" w:color="auto"/>
              <w:right w:val="single" w:sz="4" w:space="0" w:color="auto"/>
            </w:tcBorders>
            <w:shd w:val="clear" w:color="000000" w:fill="FFFFFF"/>
            <w:noWrap/>
            <w:vAlign w:val="center"/>
            <w:hideMark/>
          </w:tcPr>
          <w:p w14:paraId="6ECC7E3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6129956"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6B6DF7AC" w14:textId="77777777" w:rsidTr="0044443A">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B39090" w14:textId="77777777" w:rsidR="006F3A1A" w:rsidRPr="001569FB" w:rsidRDefault="006F3A1A" w:rsidP="008D4E91">
            <w:pPr>
              <w:spacing w:line="240" w:lineRule="auto"/>
              <w:rPr>
                <w:b/>
                <w:bCs/>
                <w:color w:val="000000"/>
                <w:sz w:val="18"/>
                <w:szCs w:val="18"/>
              </w:rPr>
            </w:pPr>
            <w:r w:rsidRPr="001569FB">
              <w:rPr>
                <w:b/>
                <w:bCs/>
                <w:color w:val="000000"/>
                <w:sz w:val="18"/>
                <w:szCs w:val="18"/>
              </w:rPr>
              <w:t>Disease Coefficients</w:t>
            </w:r>
          </w:p>
        </w:tc>
        <w:tc>
          <w:tcPr>
            <w:tcW w:w="909" w:type="pct"/>
            <w:tcBorders>
              <w:top w:val="nil"/>
              <w:left w:val="nil"/>
              <w:bottom w:val="single" w:sz="4" w:space="0" w:color="auto"/>
              <w:right w:val="single" w:sz="4" w:space="0" w:color="auto"/>
            </w:tcBorders>
            <w:shd w:val="clear" w:color="000000" w:fill="FFFFFF"/>
            <w:vAlign w:val="center"/>
            <w:hideMark/>
          </w:tcPr>
          <w:p w14:paraId="75BDB143" w14:textId="77777777" w:rsidR="006F3A1A" w:rsidRPr="001569FB" w:rsidRDefault="006F3A1A" w:rsidP="008D4E91">
            <w:pPr>
              <w:spacing w:line="240" w:lineRule="auto"/>
              <w:jc w:val="center"/>
              <w:rPr>
                <w:b/>
                <w:bCs/>
                <w:color w:val="000000"/>
                <w:sz w:val="18"/>
                <w:szCs w:val="18"/>
              </w:rPr>
            </w:pPr>
            <w:r w:rsidRPr="001569FB">
              <w:rPr>
                <w:b/>
                <w:bCs/>
                <w:color w:val="000000"/>
                <w:sz w:val="18"/>
                <w:szCs w:val="18"/>
              </w:rPr>
              <w:t>Description Label</w:t>
            </w:r>
          </w:p>
        </w:tc>
        <w:tc>
          <w:tcPr>
            <w:tcW w:w="3275" w:type="pct"/>
            <w:gridSpan w:val="5"/>
            <w:tcBorders>
              <w:top w:val="nil"/>
              <w:left w:val="nil"/>
              <w:bottom w:val="single" w:sz="4" w:space="0" w:color="auto"/>
              <w:right w:val="single" w:sz="4" w:space="0" w:color="auto"/>
            </w:tcBorders>
            <w:shd w:val="clear" w:color="000000" w:fill="FFFFFF"/>
            <w:noWrap/>
            <w:vAlign w:val="center"/>
            <w:hideMark/>
          </w:tcPr>
          <w:p w14:paraId="09465D1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r>
      <w:tr w:rsidR="00EC34A7" w:rsidRPr="001569FB" w14:paraId="15F6DF6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C363CA" w14:textId="77777777" w:rsidR="006F3A1A" w:rsidRPr="001569FB" w:rsidRDefault="006F3A1A" w:rsidP="008D4E91">
            <w:pPr>
              <w:spacing w:line="240" w:lineRule="auto"/>
              <w:rPr>
                <w:color w:val="000000"/>
                <w:sz w:val="18"/>
                <w:szCs w:val="18"/>
              </w:rPr>
            </w:pPr>
            <w:r w:rsidRPr="001569FB">
              <w:rPr>
                <w:color w:val="000000"/>
                <w:sz w:val="18"/>
                <w:szCs w:val="18"/>
              </w:rPr>
              <w:t>RXHCC1</w:t>
            </w:r>
          </w:p>
        </w:tc>
        <w:tc>
          <w:tcPr>
            <w:tcW w:w="909" w:type="pct"/>
            <w:tcBorders>
              <w:top w:val="nil"/>
              <w:left w:val="nil"/>
              <w:bottom w:val="single" w:sz="4" w:space="0" w:color="auto"/>
              <w:right w:val="single" w:sz="4" w:space="0" w:color="auto"/>
            </w:tcBorders>
            <w:shd w:val="clear" w:color="000000" w:fill="FFFFFF"/>
            <w:vAlign w:val="center"/>
            <w:hideMark/>
          </w:tcPr>
          <w:p w14:paraId="06D82237" w14:textId="77777777" w:rsidR="006F3A1A" w:rsidRPr="001569FB" w:rsidRDefault="006F3A1A" w:rsidP="008D4E91">
            <w:pPr>
              <w:spacing w:line="240" w:lineRule="auto"/>
              <w:rPr>
                <w:color w:val="000000"/>
                <w:sz w:val="18"/>
                <w:szCs w:val="18"/>
              </w:rPr>
            </w:pPr>
            <w:r w:rsidRPr="001569FB">
              <w:rPr>
                <w:color w:val="000000"/>
                <w:sz w:val="18"/>
                <w:szCs w:val="18"/>
              </w:rPr>
              <w:t>HIV/AIDS</w:t>
            </w:r>
          </w:p>
        </w:tc>
        <w:tc>
          <w:tcPr>
            <w:tcW w:w="636" w:type="pct"/>
            <w:tcBorders>
              <w:top w:val="nil"/>
              <w:left w:val="nil"/>
              <w:bottom w:val="single" w:sz="4" w:space="0" w:color="auto"/>
              <w:right w:val="single" w:sz="4" w:space="0" w:color="auto"/>
            </w:tcBorders>
            <w:shd w:val="clear" w:color="000000" w:fill="FFFFFF"/>
            <w:vAlign w:val="center"/>
            <w:hideMark/>
          </w:tcPr>
          <w:p w14:paraId="2CA545C3" w14:textId="77777777" w:rsidR="006F3A1A" w:rsidRPr="001569FB" w:rsidRDefault="006F3A1A" w:rsidP="008D4E91">
            <w:pPr>
              <w:spacing w:line="240" w:lineRule="auto"/>
              <w:jc w:val="center"/>
              <w:rPr>
                <w:color w:val="000000"/>
                <w:sz w:val="18"/>
                <w:szCs w:val="18"/>
              </w:rPr>
            </w:pPr>
            <w:r w:rsidRPr="001569FB">
              <w:rPr>
                <w:color w:val="000000"/>
                <w:sz w:val="18"/>
                <w:szCs w:val="18"/>
              </w:rPr>
              <w:t>3.287</w:t>
            </w:r>
          </w:p>
        </w:tc>
        <w:tc>
          <w:tcPr>
            <w:tcW w:w="682" w:type="pct"/>
            <w:tcBorders>
              <w:top w:val="nil"/>
              <w:left w:val="nil"/>
              <w:bottom w:val="single" w:sz="4" w:space="0" w:color="auto"/>
              <w:right w:val="single" w:sz="4" w:space="0" w:color="auto"/>
            </w:tcBorders>
            <w:shd w:val="clear" w:color="000000" w:fill="FFFFFF"/>
            <w:vAlign w:val="center"/>
            <w:hideMark/>
          </w:tcPr>
          <w:p w14:paraId="5B722301" w14:textId="77777777" w:rsidR="006F3A1A" w:rsidRPr="001569FB" w:rsidRDefault="006F3A1A" w:rsidP="008D4E91">
            <w:pPr>
              <w:spacing w:line="240" w:lineRule="auto"/>
              <w:jc w:val="center"/>
              <w:rPr>
                <w:color w:val="000000"/>
                <w:sz w:val="18"/>
                <w:szCs w:val="18"/>
              </w:rPr>
            </w:pPr>
            <w:r w:rsidRPr="001569FB">
              <w:rPr>
                <w:color w:val="000000"/>
                <w:sz w:val="18"/>
                <w:szCs w:val="18"/>
              </w:rPr>
              <w:t>3.969</w:t>
            </w:r>
          </w:p>
        </w:tc>
        <w:tc>
          <w:tcPr>
            <w:tcW w:w="637" w:type="pct"/>
            <w:tcBorders>
              <w:top w:val="nil"/>
              <w:left w:val="nil"/>
              <w:bottom w:val="single" w:sz="4" w:space="0" w:color="auto"/>
              <w:right w:val="single" w:sz="4" w:space="0" w:color="auto"/>
            </w:tcBorders>
            <w:shd w:val="clear" w:color="000000" w:fill="FFFFFF"/>
            <w:vAlign w:val="center"/>
            <w:hideMark/>
          </w:tcPr>
          <w:p w14:paraId="44B5BD0C" w14:textId="77777777" w:rsidR="006F3A1A" w:rsidRPr="001569FB" w:rsidRDefault="006F3A1A" w:rsidP="008D4E91">
            <w:pPr>
              <w:spacing w:line="240" w:lineRule="auto"/>
              <w:jc w:val="center"/>
              <w:rPr>
                <w:color w:val="000000"/>
                <w:sz w:val="18"/>
                <w:szCs w:val="18"/>
              </w:rPr>
            </w:pPr>
            <w:r w:rsidRPr="001569FB">
              <w:rPr>
                <w:color w:val="000000"/>
                <w:sz w:val="18"/>
                <w:szCs w:val="18"/>
              </w:rPr>
              <w:t>3.732</w:t>
            </w:r>
          </w:p>
        </w:tc>
        <w:tc>
          <w:tcPr>
            <w:tcW w:w="727" w:type="pct"/>
            <w:tcBorders>
              <w:top w:val="nil"/>
              <w:left w:val="nil"/>
              <w:bottom w:val="single" w:sz="4" w:space="0" w:color="auto"/>
              <w:right w:val="single" w:sz="4" w:space="0" w:color="auto"/>
            </w:tcBorders>
            <w:shd w:val="clear" w:color="000000" w:fill="FFFFFF"/>
            <w:vAlign w:val="center"/>
            <w:hideMark/>
          </w:tcPr>
          <w:p w14:paraId="0B224D7B" w14:textId="77777777" w:rsidR="006F3A1A" w:rsidRPr="001569FB" w:rsidRDefault="006F3A1A" w:rsidP="008D4E91">
            <w:pPr>
              <w:spacing w:line="240" w:lineRule="auto"/>
              <w:jc w:val="center"/>
              <w:rPr>
                <w:color w:val="000000"/>
                <w:sz w:val="18"/>
                <w:szCs w:val="18"/>
              </w:rPr>
            </w:pPr>
            <w:r w:rsidRPr="001569FB">
              <w:rPr>
                <w:color w:val="000000"/>
                <w:sz w:val="18"/>
                <w:szCs w:val="18"/>
              </w:rPr>
              <w:t>4.071</w:t>
            </w:r>
          </w:p>
        </w:tc>
        <w:tc>
          <w:tcPr>
            <w:tcW w:w="592" w:type="pct"/>
            <w:tcBorders>
              <w:top w:val="nil"/>
              <w:left w:val="nil"/>
              <w:bottom w:val="single" w:sz="4" w:space="0" w:color="auto"/>
              <w:right w:val="single" w:sz="4" w:space="0" w:color="auto"/>
            </w:tcBorders>
            <w:shd w:val="clear" w:color="000000" w:fill="FFFFFF"/>
            <w:vAlign w:val="center"/>
            <w:hideMark/>
          </w:tcPr>
          <w:p w14:paraId="3E030C2D" w14:textId="77777777" w:rsidR="006F3A1A" w:rsidRPr="001569FB" w:rsidRDefault="006F3A1A" w:rsidP="008D4E91">
            <w:pPr>
              <w:spacing w:line="240" w:lineRule="auto"/>
              <w:jc w:val="center"/>
              <w:rPr>
                <w:color w:val="000000"/>
                <w:sz w:val="18"/>
                <w:szCs w:val="18"/>
              </w:rPr>
            </w:pPr>
            <w:r w:rsidRPr="001569FB">
              <w:rPr>
                <w:color w:val="000000"/>
                <w:sz w:val="18"/>
                <w:szCs w:val="18"/>
              </w:rPr>
              <w:t>2.538</w:t>
            </w:r>
          </w:p>
        </w:tc>
      </w:tr>
      <w:tr w:rsidR="00EC34A7" w:rsidRPr="001569FB" w14:paraId="748E309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E66AEF" w14:textId="77777777" w:rsidR="006F3A1A" w:rsidRPr="001569FB" w:rsidRDefault="006F3A1A" w:rsidP="008D4E91">
            <w:pPr>
              <w:spacing w:line="240" w:lineRule="auto"/>
              <w:rPr>
                <w:color w:val="000000"/>
                <w:sz w:val="18"/>
                <w:szCs w:val="18"/>
              </w:rPr>
            </w:pPr>
            <w:r w:rsidRPr="001569FB">
              <w:rPr>
                <w:color w:val="000000"/>
                <w:sz w:val="18"/>
                <w:szCs w:val="18"/>
              </w:rPr>
              <w:t>RXHCC5</w:t>
            </w:r>
          </w:p>
        </w:tc>
        <w:tc>
          <w:tcPr>
            <w:tcW w:w="909" w:type="pct"/>
            <w:tcBorders>
              <w:top w:val="nil"/>
              <w:left w:val="nil"/>
              <w:bottom w:val="single" w:sz="4" w:space="0" w:color="auto"/>
              <w:right w:val="single" w:sz="4" w:space="0" w:color="auto"/>
            </w:tcBorders>
            <w:shd w:val="clear" w:color="000000" w:fill="FFFFFF"/>
            <w:vAlign w:val="center"/>
            <w:hideMark/>
          </w:tcPr>
          <w:p w14:paraId="34A122D9" w14:textId="77777777" w:rsidR="006F3A1A" w:rsidRPr="001569FB" w:rsidRDefault="006F3A1A" w:rsidP="008D4E91">
            <w:pPr>
              <w:spacing w:line="240" w:lineRule="auto"/>
              <w:rPr>
                <w:color w:val="000000"/>
                <w:sz w:val="18"/>
                <w:szCs w:val="18"/>
              </w:rPr>
            </w:pPr>
            <w:r w:rsidRPr="001569FB">
              <w:rPr>
                <w:color w:val="000000"/>
                <w:sz w:val="18"/>
                <w:szCs w:val="18"/>
              </w:rPr>
              <w:t>Opportunistic Infections</w:t>
            </w:r>
          </w:p>
        </w:tc>
        <w:tc>
          <w:tcPr>
            <w:tcW w:w="636" w:type="pct"/>
            <w:tcBorders>
              <w:top w:val="nil"/>
              <w:left w:val="nil"/>
              <w:bottom w:val="single" w:sz="4" w:space="0" w:color="auto"/>
              <w:right w:val="single" w:sz="4" w:space="0" w:color="auto"/>
            </w:tcBorders>
            <w:shd w:val="clear" w:color="000000" w:fill="FFFFFF"/>
            <w:vAlign w:val="center"/>
            <w:hideMark/>
          </w:tcPr>
          <w:p w14:paraId="24C2B860"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c>
          <w:tcPr>
            <w:tcW w:w="682" w:type="pct"/>
            <w:tcBorders>
              <w:top w:val="nil"/>
              <w:left w:val="nil"/>
              <w:bottom w:val="single" w:sz="4" w:space="0" w:color="auto"/>
              <w:right w:val="single" w:sz="4" w:space="0" w:color="auto"/>
            </w:tcBorders>
            <w:shd w:val="clear" w:color="000000" w:fill="FFFFFF"/>
            <w:vAlign w:val="center"/>
            <w:hideMark/>
          </w:tcPr>
          <w:p w14:paraId="5D27F0AC" w14:textId="77777777" w:rsidR="006F3A1A" w:rsidRPr="001569FB" w:rsidRDefault="006F3A1A" w:rsidP="008D4E91">
            <w:pPr>
              <w:spacing w:line="240" w:lineRule="auto"/>
              <w:jc w:val="center"/>
              <w:rPr>
                <w:color w:val="000000"/>
                <w:sz w:val="18"/>
                <w:szCs w:val="18"/>
              </w:rPr>
            </w:pPr>
            <w:r w:rsidRPr="001569FB">
              <w:rPr>
                <w:color w:val="000000"/>
                <w:sz w:val="18"/>
                <w:szCs w:val="18"/>
              </w:rPr>
              <w:t>0.115</w:t>
            </w:r>
          </w:p>
        </w:tc>
        <w:tc>
          <w:tcPr>
            <w:tcW w:w="637" w:type="pct"/>
            <w:tcBorders>
              <w:top w:val="nil"/>
              <w:left w:val="nil"/>
              <w:bottom w:val="single" w:sz="4" w:space="0" w:color="auto"/>
              <w:right w:val="single" w:sz="4" w:space="0" w:color="auto"/>
            </w:tcBorders>
            <w:shd w:val="clear" w:color="000000" w:fill="FFFFFF"/>
            <w:vAlign w:val="center"/>
            <w:hideMark/>
          </w:tcPr>
          <w:p w14:paraId="6048E05B"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c>
          <w:tcPr>
            <w:tcW w:w="727" w:type="pct"/>
            <w:tcBorders>
              <w:top w:val="nil"/>
              <w:left w:val="nil"/>
              <w:bottom w:val="single" w:sz="4" w:space="0" w:color="auto"/>
              <w:right w:val="single" w:sz="4" w:space="0" w:color="auto"/>
            </w:tcBorders>
            <w:shd w:val="clear" w:color="000000" w:fill="FFFFFF"/>
            <w:vAlign w:val="center"/>
            <w:hideMark/>
          </w:tcPr>
          <w:p w14:paraId="66D3F625"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592" w:type="pct"/>
            <w:tcBorders>
              <w:top w:val="nil"/>
              <w:left w:val="nil"/>
              <w:bottom w:val="single" w:sz="4" w:space="0" w:color="auto"/>
              <w:right w:val="single" w:sz="4" w:space="0" w:color="auto"/>
            </w:tcBorders>
            <w:shd w:val="clear" w:color="000000" w:fill="FFFFFF"/>
            <w:vAlign w:val="center"/>
            <w:hideMark/>
          </w:tcPr>
          <w:p w14:paraId="6C96E9A4" w14:textId="77777777" w:rsidR="006F3A1A" w:rsidRPr="001569FB" w:rsidRDefault="006F3A1A" w:rsidP="008D4E91">
            <w:pPr>
              <w:spacing w:line="240" w:lineRule="auto"/>
              <w:jc w:val="center"/>
              <w:rPr>
                <w:color w:val="000000"/>
                <w:sz w:val="18"/>
                <w:szCs w:val="18"/>
              </w:rPr>
            </w:pPr>
            <w:r w:rsidRPr="001569FB">
              <w:rPr>
                <w:color w:val="000000"/>
                <w:sz w:val="18"/>
                <w:szCs w:val="18"/>
              </w:rPr>
              <w:t>0.180</w:t>
            </w:r>
          </w:p>
        </w:tc>
      </w:tr>
      <w:tr w:rsidR="00EC34A7" w:rsidRPr="001569FB" w14:paraId="62937C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DEBD094"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RXHCC15</w:t>
            </w:r>
          </w:p>
        </w:tc>
        <w:tc>
          <w:tcPr>
            <w:tcW w:w="909" w:type="pct"/>
            <w:tcBorders>
              <w:top w:val="nil"/>
              <w:left w:val="nil"/>
              <w:bottom w:val="single" w:sz="4" w:space="0" w:color="auto"/>
              <w:right w:val="single" w:sz="4" w:space="0" w:color="auto"/>
            </w:tcBorders>
            <w:shd w:val="clear" w:color="000000" w:fill="FFFFFF"/>
            <w:vAlign w:val="center"/>
            <w:hideMark/>
          </w:tcPr>
          <w:p w14:paraId="2AAD73A4" w14:textId="77777777" w:rsidR="006F3A1A" w:rsidRPr="001569FB" w:rsidRDefault="006F3A1A" w:rsidP="008D4E91">
            <w:pPr>
              <w:spacing w:line="240" w:lineRule="auto"/>
              <w:rPr>
                <w:color w:val="000000"/>
                <w:sz w:val="18"/>
                <w:szCs w:val="18"/>
              </w:rPr>
            </w:pPr>
            <w:r w:rsidRPr="001569FB">
              <w:rPr>
                <w:color w:val="000000"/>
                <w:sz w:val="18"/>
                <w:szCs w:val="18"/>
              </w:rPr>
              <w:t>Chronic Myeloid Leukemia</w:t>
            </w:r>
          </w:p>
        </w:tc>
        <w:tc>
          <w:tcPr>
            <w:tcW w:w="636" w:type="pct"/>
            <w:tcBorders>
              <w:top w:val="nil"/>
              <w:left w:val="nil"/>
              <w:bottom w:val="single" w:sz="4" w:space="0" w:color="auto"/>
              <w:right w:val="single" w:sz="4" w:space="0" w:color="auto"/>
            </w:tcBorders>
            <w:shd w:val="clear" w:color="000000" w:fill="FFFFFF"/>
            <w:vAlign w:val="center"/>
            <w:hideMark/>
          </w:tcPr>
          <w:p w14:paraId="5B3A250E" w14:textId="77777777" w:rsidR="006F3A1A" w:rsidRPr="001569FB" w:rsidRDefault="006F3A1A" w:rsidP="008D4E91">
            <w:pPr>
              <w:spacing w:line="240" w:lineRule="auto"/>
              <w:jc w:val="center"/>
              <w:rPr>
                <w:color w:val="000000"/>
                <w:sz w:val="18"/>
                <w:szCs w:val="18"/>
              </w:rPr>
            </w:pPr>
            <w:r w:rsidRPr="001569FB">
              <w:rPr>
                <w:color w:val="000000"/>
                <w:sz w:val="18"/>
                <w:szCs w:val="18"/>
              </w:rPr>
              <w:t>7.391</w:t>
            </w:r>
          </w:p>
        </w:tc>
        <w:tc>
          <w:tcPr>
            <w:tcW w:w="682" w:type="pct"/>
            <w:tcBorders>
              <w:top w:val="nil"/>
              <w:left w:val="nil"/>
              <w:bottom w:val="single" w:sz="4" w:space="0" w:color="auto"/>
              <w:right w:val="single" w:sz="4" w:space="0" w:color="auto"/>
            </w:tcBorders>
            <w:shd w:val="clear" w:color="000000" w:fill="FFFFFF"/>
            <w:vAlign w:val="center"/>
            <w:hideMark/>
          </w:tcPr>
          <w:p w14:paraId="60AC790E" w14:textId="77777777" w:rsidR="006F3A1A" w:rsidRPr="001569FB" w:rsidRDefault="006F3A1A" w:rsidP="008D4E91">
            <w:pPr>
              <w:spacing w:line="240" w:lineRule="auto"/>
              <w:jc w:val="center"/>
              <w:rPr>
                <w:color w:val="000000"/>
                <w:sz w:val="18"/>
                <w:szCs w:val="18"/>
              </w:rPr>
            </w:pPr>
            <w:r w:rsidRPr="001569FB">
              <w:rPr>
                <w:color w:val="000000"/>
                <w:sz w:val="18"/>
                <w:szCs w:val="18"/>
              </w:rPr>
              <w:t>7.515</w:t>
            </w:r>
          </w:p>
        </w:tc>
        <w:tc>
          <w:tcPr>
            <w:tcW w:w="637" w:type="pct"/>
            <w:tcBorders>
              <w:top w:val="nil"/>
              <w:left w:val="nil"/>
              <w:bottom w:val="single" w:sz="4" w:space="0" w:color="auto"/>
              <w:right w:val="single" w:sz="4" w:space="0" w:color="auto"/>
            </w:tcBorders>
            <w:shd w:val="clear" w:color="000000" w:fill="FFFFFF"/>
            <w:vAlign w:val="center"/>
            <w:hideMark/>
          </w:tcPr>
          <w:p w14:paraId="53ACE84C" w14:textId="77777777" w:rsidR="006F3A1A" w:rsidRPr="001569FB" w:rsidRDefault="006F3A1A" w:rsidP="008D4E91">
            <w:pPr>
              <w:spacing w:line="240" w:lineRule="auto"/>
              <w:jc w:val="center"/>
              <w:rPr>
                <w:color w:val="000000"/>
                <w:sz w:val="18"/>
                <w:szCs w:val="18"/>
              </w:rPr>
            </w:pPr>
            <w:r w:rsidRPr="001569FB">
              <w:rPr>
                <w:color w:val="000000"/>
                <w:sz w:val="18"/>
                <w:szCs w:val="18"/>
              </w:rPr>
              <w:t>8.032</w:t>
            </w:r>
          </w:p>
        </w:tc>
        <w:tc>
          <w:tcPr>
            <w:tcW w:w="727" w:type="pct"/>
            <w:tcBorders>
              <w:top w:val="nil"/>
              <w:left w:val="nil"/>
              <w:bottom w:val="single" w:sz="4" w:space="0" w:color="auto"/>
              <w:right w:val="single" w:sz="4" w:space="0" w:color="auto"/>
            </w:tcBorders>
            <w:shd w:val="clear" w:color="000000" w:fill="FFFFFF"/>
            <w:vAlign w:val="center"/>
            <w:hideMark/>
          </w:tcPr>
          <w:p w14:paraId="2B58A020" w14:textId="77777777" w:rsidR="006F3A1A" w:rsidRPr="001569FB" w:rsidRDefault="006F3A1A" w:rsidP="008D4E91">
            <w:pPr>
              <w:spacing w:line="240" w:lineRule="auto"/>
              <w:jc w:val="center"/>
              <w:rPr>
                <w:color w:val="000000"/>
                <w:sz w:val="18"/>
                <w:szCs w:val="18"/>
              </w:rPr>
            </w:pPr>
            <w:r w:rsidRPr="001569FB">
              <w:rPr>
                <w:color w:val="000000"/>
                <w:sz w:val="18"/>
                <w:szCs w:val="18"/>
              </w:rPr>
              <w:t>9.772</w:t>
            </w:r>
          </w:p>
        </w:tc>
        <w:tc>
          <w:tcPr>
            <w:tcW w:w="592" w:type="pct"/>
            <w:tcBorders>
              <w:top w:val="nil"/>
              <w:left w:val="nil"/>
              <w:bottom w:val="single" w:sz="4" w:space="0" w:color="auto"/>
              <w:right w:val="single" w:sz="4" w:space="0" w:color="auto"/>
            </w:tcBorders>
            <w:shd w:val="clear" w:color="000000" w:fill="FFFFFF"/>
            <w:vAlign w:val="center"/>
            <w:hideMark/>
          </w:tcPr>
          <w:p w14:paraId="0203B06A" w14:textId="77777777" w:rsidR="006F3A1A" w:rsidRPr="001569FB" w:rsidRDefault="006F3A1A" w:rsidP="008D4E91">
            <w:pPr>
              <w:spacing w:line="240" w:lineRule="auto"/>
              <w:jc w:val="center"/>
              <w:rPr>
                <w:color w:val="000000"/>
                <w:sz w:val="18"/>
                <w:szCs w:val="18"/>
              </w:rPr>
            </w:pPr>
            <w:r w:rsidRPr="001569FB">
              <w:rPr>
                <w:color w:val="000000"/>
                <w:sz w:val="18"/>
                <w:szCs w:val="18"/>
              </w:rPr>
              <w:t>4.846</w:t>
            </w:r>
          </w:p>
        </w:tc>
      </w:tr>
      <w:tr w:rsidR="00EC34A7" w:rsidRPr="001569FB" w14:paraId="3930659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123708" w14:textId="77777777" w:rsidR="006F3A1A" w:rsidRPr="001569FB" w:rsidRDefault="006F3A1A" w:rsidP="008D4E91">
            <w:pPr>
              <w:spacing w:line="240" w:lineRule="auto"/>
              <w:rPr>
                <w:color w:val="000000"/>
                <w:sz w:val="18"/>
                <w:szCs w:val="18"/>
              </w:rPr>
            </w:pPr>
            <w:r w:rsidRPr="001569FB">
              <w:rPr>
                <w:color w:val="000000"/>
                <w:sz w:val="18"/>
                <w:szCs w:val="18"/>
              </w:rPr>
              <w:t>RXHCC16</w:t>
            </w:r>
          </w:p>
        </w:tc>
        <w:tc>
          <w:tcPr>
            <w:tcW w:w="909" w:type="pct"/>
            <w:tcBorders>
              <w:top w:val="nil"/>
              <w:left w:val="nil"/>
              <w:bottom w:val="single" w:sz="4" w:space="0" w:color="auto"/>
              <w:right w:val="single" w:sz="4" w:space="0" w:color="auto"/>
            </w:tcBorders>
            <w:shd w:val="clear" w:color="000000" w:fill="FFFFFF"/>
            <w:vAlign w:val="center"/>
            <w:hideMark/>
          </w:tcPr>
          <w:p w14:paraId="08D61CF4" w14:textId="77777777" w:rsidR="006F3A1A" w:rsidRPr="001569FB" w:rsidRDefault="006F3A1A" w:rsidP="008D4E91">
            <w:pPr>
              <w:spacing w:line="240" w:lineRule="auto"/>
              <w:rPr>
                <w:color w:val="000000"/>
                <w:sz w:val="18"/>
                <w:szCs w:val="18"/>
              </w:rPr>
            </w:pPr>
            <w:r w:rsidRPr="001569FB">
              <w:rPr>
                <w:color w:val="000000"/>
                <w:sz w:val="18"/>
                <w:szCs w:val="18"/>
              </w:rPr>
              <w:t>Multiple Myeloma and Other Neoplastic Disorders</w:t>
            </w:r>
          </w:p>
        </w:tc>
        <w:tc>
          <w:tcPr>
            <w:tcW w:w="636" w:type="pct"/>
            <w:tcBorders>
              <w:top w:val="nil"/>
              <w:left w:val="nil"/>
              <w:bottom w:val="single" w:sz="4" w:space="0" w:color="auto"/>
              <w:right w:val="single" w:sz="4" w:space="0" w:color="auto"/>
            </w:tcBorders>
            <w:shd w:val="clear" w:color="000000" w:fill="FFFFFF"/>
            <w:vAlign w:val="center"/>
            <w:hideMark/>
          </w:tcPr>
          <w:p w14:paraId="19217776" w14:textId="77777777" w:rsidR="006F3A1A" w:rsidRPr="001569FB" w:rsidRDefault="006F3A1A" w:rsidP="008D4E91">
            <w:pPr>
              <w:spacing w:line="240" w:lineRule="auto"/>
              <w:jc w:val="center"/>
              <w:rPr>
                <w:color w:val="000000"/>
                <w:sz w:val="18"/>
                <w:szCs w:val="18"/>
              </w:rPr>
            </w:pPr>
            <w:r w:rsidRPr="001569FB">
              <w:rPr>
                <w:color w:val="000000"/>
                <w:sz w:val="18"/>
                <w:szCs w:val="18"/>
              </w:rPr>
              <w:t>3.955</w:t>
            </w:r>
          </w:p>
        </w:tc>
        <w:tc>
          <w:tcPr>
            <w:tcW w:w="682" w:type="pct"/>
            <w:tcBorders>
              <w:top w:val="nil"/>
              <w:left w:val="nil"/>
              <w:bottom w:val="single" w:sz="4" w:space="0" w:color="auto"/>
              <w:right w:val="single" w:sz="4" w:space="0" w:color="auto"/>
            </w:tcBorders>
            <w:shd w:val="clear" w:color="000000" w:fill="FFFFFF"/>
            <w:vAlign w:val="center"/>
            <w:hideMark/>
          </w:tcPr>
          <w:p w14:paraId="33F0B3E6" w14:textId="77777777" w:rsidR="006F3A1A" w:rsidRPr="001569FB" w:rsidRDefault="006F3A1A" w:rsidP="008D4E91">
            <w:pPr>
              <w:spacing w:line="240" w:lineRule="auto"/>
              <w:jc w:val="center"/>
              <w:rPr>
                <w:color w:val="000000"/>
                <w:sz w:val="18"/>
                <w:szCs w:val="18"/>
              </w:rPr>
            </w:pPr>
            <w:r w:rsidRPr="001569FB">
              <w:rPr>
                <w:color w:val="000000"/>
                <w:sz w:val="18"/>
                <w:szCs w:val="18"/>
              </w:rPr>
              <w:t>4.178</w:t>
            </w:r>
          </w:p>
        </w:tc>
        <w:tc>
          <w:tcPr>
            <w:tcW w:w="637" w:type="pct"/>
            <w:tcBorders>
              <w:top w:val="nil"/>
              <w:left w:val="nil"/>
              <w:bottom w:val="single" w:sz="4" w:space="0" w:color="auto"/>
              <w:right w:val="single" w:sz="4" w:space="0" w:color="auto"/>
            </w:tcBorders>
            <w:shd w:val="clear" w:color="000000" w:fill="FFFFFF"/>
            <w:vAlign w:val="center"/>
            <w:hideMark/>
          </w:tcPr>
          <w:p w14:paraId="343243B7" w14:textId="77777777" w:rsidR="006F3A1A" w:rsidRPr="001569FB" w:rsidRDefault="006F3A1A" w:rsidP="008D4E91">
            <w:pPr>
              <w:spacing w:line="240" w:lineRule="auto"/>
              <w:jc w:val="center"/>
              <w:rPr>
                <w:color w:val="000000"/>
                <w:sz w:val="18"/>
                <w:szCs w:val="18"/>
              </w:rPr>
            </w:pPr>
            <w:r w:rsidRPr="001569FB">
              <w:rPr>
                <w:color w:val="000000"/>
                <w:sz w:val="18"/>
                <w:szCs w:val="18"/>
              </w:rPr>
              <w:t>3.184</w:t>
            </w:r>
          </w:p>
        </w:tc>
        <w:tc>
          <w:tcPr>
            <w:tcW w:w="727" w:type="pct"/>
            <w:tcBorders>
              <w:top w:val="nil"/>
              <w:left w:val="nil"/>
              <w:bottom w:val="single" w:sz="4" w:space="0" w:color="auto"/>
              <w:right w:val="single" w:sz="4" w:space="0" w:color="auto"/>
            </w:tcBorders>
            <w:shd w:val="clear" w:color="000000" w:fill="FFFFFF"/>
            <w:vAlign w:val="center"/>
            <w:hideMark/>
          </w:tcPr>
          <w:p w14:paraId="075C9010" w14:textId="77777777" w:rsidR="006F3A1A" w:rsidRPr="001569FB" w:rsidRDefault="006F3A1A" w:rsidP="008D4E91">
            <w:pPr>
              <w:spacing w:line="240" w:lineRule="auto"/>
              <w:jc w:val="center"/>
              <w:rPr>
                <w:color w:val="000000"/>
                <w:sz w:val="18"/>
                <w:szCs w:val="18"/>
              </w:rPr>
            </w:pPr>
            <w:r w:rsidRPr="001569FB">
              <w:rPr>
                <w:color w:val="000000"/>
                <w:sz w:val="18"/>
                <w:szCs w:val="18"/>
              </w:rPr>
              <w:t>3.614</w:t>
            </w:r>
          </w:p>
        </w:tc>
        <w:tc>
          <w:tcPr>
            <w:tcW w:w="592" w:type="pct"/>
            <w:tcBorders>
              <w:top w:val="nil"/>
              <w:left w:val="nil"/>
              <w:bottom w:val="single" w:sz="4" w:space="0" w:color="auto"/>
              <w:right w:val="single" w:sz="4" w:space="0" w:color="auto"/>
            </w:tcBorders>
            <w:shd w:val="clear" w:color="000000" w:fill="FFFFFF"/>
            <w:vAlign w:val="center"/>
            <w:hideMark/>
          </w:tcPr>
          <w:p w14:paraId="050F5B5B" w14:textId="77777777" w:rsidR="006F3A1A" w:rsidRPr="001569FB" w:rsidRDefault="006F3A1A" w:rsidP="008D4E91">
            <w:pPr>
              <w:spacing w:line="240" w:lineRule="auto"/>
              <w:jc w:val="center"/>
              <w:rPr>
                <w:color w:val="000000"/>
                <w:sz w:val="18"/>
                <w:szCs w:val="18"/>
              </w:rPr>
            </w:pPr>
            <w:r w:rsidRPr="001569FB">
              <w:rPr>
                <w:color w:val="000000"/>
                <w:sz w:val="18"/>
                <w:szCs w:val="18"/>
              </w:rPr>
              <w:t>1.081</w:t>
            </w:r>
          </w:p>
        </w:tc>
      </w:tr>
      <w:tr w:rsidR="00EC34A7" w:rsidRPr="001569FB" w14:paraId="3729DD3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0B6EA51" w14:textId="77777777" w:rsidR="006F3A1A" w:rsidRPr="001569FB" w:rsidRDefault="006F3A1A" w:rsidP="008D4E91">
            <w:pPr>
              <w:spacing w:line="240" w:lineRule="auto"/>
              <w:rPr>
                <w:color w:val="000000"/>
                <w:sz w:val="18"/>
                <w:szCs w:val="18"/>
              </w:rPr>
            </w:pPr>
            <w:r w:rsidRPr="001569FB">
              <w:rPr>
                <w:color w:val="000000"/>
                <w:sz w:val="18"/>
                <w:szCs w:val="18"/>
              </w:rPr>
              <w:t>RXHCC17</w:t>
            </w:r>
          </w:p>
        </w:tc>
        <w:tc>
          <w:tcPr>
            <w:tcW w:w="909" w:type="pct"/>
            <w:tcBorders>
              <w:top w:val="nil"/>
              <w:left w:val="nil"/>
              <w:bottom w:val="single" w:sz="4" w:space="0" w:color="auto"/>
              <w:right w:val="single" w:sz="4" w:space="0" w:color="auto"/>
            </w:tcBorders>
            <w:shd w:val="clear" w:color="000000" w:fill="FFFFFF"/>
            <w:vAlign w:val="center"/>
            <w:hideMark/>
          </w:tcPr>
          <w:p w14:paraId="5447D454" w14:textId="77777777" w:rsidR="006F3A1A" w:rsidRPr="001569FB" w:rsidRDefault="006F3A1A" w:rsidP="008D4E91">
            <w:pPr>
              <w:spacing w:line="240" w:lineRule="auto"/>
              <w:rPr>
                <w:color w:val="000000"/>
                <w:sz w:val="18"/>
                <w:szCs w:val="18"/>
              </w:rPr>
            </w:pPr>
            <w:r w:rsidRPr="001569FB">
              <w:rPr>
                <w:color w:val="000000"/>
                <w:sz w:val="18"/>
                <w:szCs w:val="18"/>
              </w:rPr>
              <w:t>Secondary Cancers of Bone, Lung, Brain, and Other Specified Sites; Liver Cancer</w:t>
            </w:r>
          </w:p>
        </w:tc>
        <w:tc>
          <w:tcPr>
            <w:tcW w:w="636" w:type="pct"/>
            <w:tcBorders>
              <w:top w:val="nil"/>
              <w:left w:val="nil"/>
              <w:bottom w:val="single" w:sz="4" w:space="0" w:color="auto"/>
              <w:right w:val="single" w:sz="4" w:space="0" w:color="auto"/>
            </w:tcBorders>
            <w:shd w:val="clear" w:color="000000" w:fill="FFFFFF"/>
            <w:vAlign w:val="center"/>
            <w:hideMark/>
          </w:tcPr>
          <w:p w14:paraId="62A98F7A" w14:textId="77777777" w:rsidR="006F3A1A" w:rsidRPr="001569FB" w:rsidRDefault="006F3A1A" w:rsidP="008D4E91">
            <w:pPr>
              <w:spacing w:line="240" w:lineRule="auto"/>
              <w:jc w:val="center"/>
              <w:rPr>
                <w:color w:val="000000"/>
                <w:sz w:val="18"/>
                <w:szCs w:val="18"/>
              </w:rPr>
            </w:pPr>
            <w:r w:rsidRPr="001569FB">
              <w:rPr>
                <w:color w:val="000000"/>
                <w:sz w:val="18"/>
                <w:szCs w:val="18"/>
              </w:rPr>
              <w:t>1.791</w:t>
            </w:r>
          </w:p>
        </w:tc>
        <w:tc>
          <w:tcPr>
            <w:tcW w:w="682" w:type="pct"/>
            <w:tcBorders>
              <w:top w:val="nil"/>
              <w:left w:val="nil"/>
              <w:bottom w:val="single" w:sz="4" w:space="0" w:color="auto"/>
              <w:right w:val="single" w:sz="4" w:space="0" w:color="auto"/>
            </w:tcBorders>
            <w:shd w:val="clear" w:color="000000" w:fill="FFFFFF"/>
            <w:vAlign w:val="center"/>
            <w:hideMark/>
          </w:tcPr>
          <w:p w14:paraId="1DF229EB" w14:textId="77777777" w:rsidR="006F3A1A" w:rsidRPr="001569FB" w:rsidRDefault="006F3A1A" w:rsidP="008D4E91">
            <w:pPr>
              <w:spacing w:line="240" w:lineRule="auto"/>
              <w:jc w:val="center"/>
              <w:rPr>
                <w:color w:val="000000"/>
                <w:sz w:val="18"/>
                <w:szCs w:val="18"/>
              </w:rPr>
            </w:pPr>
            <w:r w:rsidRPr="001569FB">
              <w:rPr>
                <w:color w:val="000000"/>
                <w:sz w:val="18"/>
                <w:szCs w:val="18"/>
              </w:rPr>
              <w:t>1.723</w:t>
            </w:r>
          </w:p>
        </w:tc>
        <w:tc>
          <w:tcPr>
            <w:tcW w:w="637" w:type="pct"/>
            <w:tcBorders>
              <w:top w:val="nil"/>
              <w:left w:val="nil"/>
              <w:bottom w:val="single" w:sz="4" w:space="0" w:color="auto"/>
              <w:right w:val="single" w:sz="4" w:space="0" w:color="auto"/>
            </w:tcBorders>
            <w:shd w:val="clear" w:color="000000" w:fill="FFFFFF"/>
            <w:vAlign w:val="center"/>
            <w:hideMark/>
          </w:tcPr>
          <w:p w14:paraId="6E3ED3BE" w14:textId="77777777" w:rsidR="006F3A1A" w:rsidRPr="001569FB" w:rsidRDefault="006F3A1A" w:rsidP="008D4E91">
            <w:pPr>
              <w:spacing w:line="240" w:lineRule="auto"/>
              <w:jc w:val="center"/>
              <w:rPr>
                <w:color w:val="000000"/>
                <w:sz w:val="18"/>
                <w:szCs w:val="18"/>
              </w:rPr>
            </w:pPr>
            <w:r w:rsidRPr="001569FB">
              <w:rPr>
                <w:color w:val="000000"/>
                <w:sz w:val="18"/>
                <w:szCs w:val="18"/>
              </w:rPr>
              <w:t>1.579</w:t>
            </w:r>
          </w:p>
        </w:tc>
        <w:tc>
          <w:tcPr>
            <w:tcW w:w="727" w:type="pct"/>
            <w:tcBorders>
              <w:top w:val="nil"/>
              <w:left w:val="nil"/>
              <w:bottom w:val="single" w:sz="4" w:space="0" w:color="auto"/>
              <w:right w:val="single" w:sz="4" w:space="0" w:color="auto"/>
            </w:tcBorders>
            <w:shd w:val="clear" w:color="000000" w:fill="FFFFFF"/>
            <w:vAlign w:val="center"/>
            <w:hideMark/>
          </w:tcPr>
          <w:p w14:paraId="7B4E02C7" w14:textId="77777777" w:rsidR="006F3A1A" w:rsidRPr="001569FB" w:rsidRDefault="006F3A1A" w:rsidP="008D4E91">
            <w:pPr>
              <w:spacing w:line="240" w:lineRule="auto"/>
              <w:jc w:val="center"/>
              <w:rPr>
                <w:color w:val="000000"/>
                <w:sz w:val="18"/>
                <w:szCs w:val="18"/>
              </w:rPr>
            </w:pPr>
            <w:r w:rsidRPr="001569FB">
              <w:rPr>
                <w:color w:val="000000"/>
                <w:sz w:val="18"/>
                <w:szCs w:val="18"/>
              </w:rPr>
              <w:t>1.566</w:t>
            </w:r>
          </w:p>
        </w:tc>
        <w:tc>
          <w:tcPr>
            <w:tcW w:w="592" w:type="pct"/>
            <w:tcBorders>
              <w:top w:val="nil"/>
              <w:left w:val="nil"/>
              <w:bottom w:val="single" w:sz="4" w:space="0" w:color="auto"/>
              <w:right w:val="single" w:sz="4" w:space="0" w:color="auto"/>
            </w:tcBorders>
            <w:shd w:val="clear" w:color="000000" w:fill="FFFFFF"/>
            <w:vAlign w:val="center"/>
            <w:hideMark/>
          </w:tcPr>
          <w:p w14:paraId="7ACD75B7" w14:textId="77777777" w:rsidR="006F3A1A" w:rsidRPr="001569FB" w:rsidRDefault="006F3A1A" w:rsidP="008D4E91">
            <w:pPr>
              <w:spacing w:line="240" w:lineRule="auto"/>
              <w:jc w:val="center"/>
              <w:rPr>
                <w:color w:val="000000"/>
                <w:sz w:val="18"/>
                <w:szCs w:val="18"/>
              </w:rPr>
            </w:pPr>
            <w:r w:rsidRPr="001569FB">
              <w:rPr>
                <w:color w:val="000000"/>
                <w:sz w:val="18"/>
                <w:szCs w:val="18"/>
              </w:rPr>
              <w:t>0.575</w:t>
            </w:r>
          </w:p>
        </w:tc>
      </w:tr>
      <w:tr w:rsidR="00EC34A7" w:rsidRPr="001569FB" w14:paraId="2E0618E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17C0C5" w14:textId="77777777" w:rsidR="006F3A1A" w:rsidRPr="001569FB" w:rsidRDefault="006F3A1A" w:rsidP="008D4E91">
            <w:pPr>
              <w:spacing w:line="240" w:lineRule="auto"/>
              <w:rPr>
                <w:color w:val="000000"/>
                <w:sz w:val="18"/>
                <w:szCs w:val="18"/>
              </w:rPr>
            </w:pPr>
            <w:r w:rsidRPr="001569FB">
              <w:rPr>
                <w:color w:val="000000"/>
                <w:sz w:val="18"/>
                <w:szCs w:val="18"/>
              </w:rPr>
              <w:t>RXHCC18</w:t>
            </w:r>
          </w:p>
        </w:tc>
        <w:tc>
          <w:tcPr>
            <w:tcW w:w="909" w:type="pct"/>
            <w:tcBorders>
              <w:top w:val="nil"/>
              <w:left w:val="nil"/>
              <w:bottom w:val="single" w:sz="4" w:space="0" w:color="auto"/>
              <w:right w:val="single" w:sz="4" w:space="0" w:color="auto"/>
            </w:tcBorders>
            <w:shd w:val="clear" w:color="000000" w:fill="FFFFFF"/>
            <w:vAlign w:val="center"/>
            <w:hideMark/>
          </w:tcPr>
          <w:p w14:paraId="164B3E34" w14:textId="77777777" w:rsidR="006F3A1A" w:rsidRPr="001569FB" w:rsidRDefault="006F3A1A" w:rsidP="008D4E91">
            <w:pPr>
              <w:spacing w:line="240" w:lineRule="auto"/>
              <w:rPr>
                <w:color w:val="000000"/>
                <w:sz w:val="18"/>
                <w:szCs w:val="18"/>
              </w:rPr>
            </w:pPr>
            <w:r w:rsidRPr="001569FB">
              <w:rPr>
                <w:color w:val="000000"/>
                <w:sz w:val="18"/>
                <w:szCs w:val="18"/>
              </w:rPr>
              <w:t>Lung, Kidney, and Other Cancers</w:t>
            </w:r>
          </w:p>
        </w:tc>
        <w:tc>
          <w:tcPr>
            <w:tcW w:w="636" w:type="pct"/>
            <w:tcBorders>
              <w:top w:val="nil"/>
              <w:left w:val="nil"/>
              <w:bottom w:val="single" w:sz="4" w:space="0" w:color="auto"/>
              <w:right w:val="single" w:sz="4" w:space="0" w:color="auto"/>
            </w:tcBorders>
            <w:shd w:val="clear" w:color="000000" w:fill="FFFFFF"/>
            <w:vAlign w:val="center"/>
            <w:hideMark/>
          </w:tcPr>
          <w:p w14:paraId="5F9E154C" w14:textId="77777777" w:rsidR="006F3A1A" w:rsidRPr="001569FB" w:rsidRDefault="006F3A1A" w:rsidP="008D4E91">
            <w:pPr>
              <w:spacing w:line="240" w:lineRule="auto"/>
              <w:jc w:val="center"/>
              <w:rPr>
                <w:color w:val="000000"/>
                <w:sz w:val="18"/>
                <w:szCs w:val="18"/>
              </w:rPr>
            </w:pPr>
            <w:r w:rsidRPr="001569FB">
              <w:rPr>
                <w:color w:val="000000"/>
                <w:sz w:val="18"/>
                <w:szCs w:val="18"/>
              </w:rPr>
              <w:t>0.299</w:t>
            </w:r>
          </w:p>
        </w:tc>
        <w:tc>
          <w:tcPr>
            <w:tcW w:w="682" w:type="pct"/>
            <w:tcBorders>
              <w:top w:val="nil"/>
              <w:left w:val="nil"/>
              <w:bottom w:val="single" w:sz="4" w:space="0" w:color="auto"/>
              <w:right w:val="single" w:sz="4" w:space="0" w:color="auto"/>
            </w:tcBorders>
            <w:shd w:val="clear" w:color="000000" w:fill="FFFFFF"/>
            <w:vAlign w:val="center"/>
            <w:hideMark/>
          </w:tcPr>
          <w:p w14:paraId="4EA3FE98"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37" w:type="pct"/>
            <w:tcBorders>
              <w:top w:val="nil"/>
              <w:left w:val="nil"/>
              <w:bottom w:val="single" w:sz="4" w:space="0" w:color="auto"/>
              <w:right w:val="single" w:sz="4" w:space="0" w:color="auto"/>
            </w:tcBorders>
            <w:shd w:val="clear" w:color="000000" w:fill="FFFFFF"/>
            <w:vAlign w:val="center"/>
            <w:hideMark/>
          </w:tcPr>
          <w:p w14:paraId="046ADBF9" w14:textId="77777777" w:rsidR="006F3A1A" w:rsidRPr="001569FB" w:rsidRDefault="006F3A1A" w:rsidP="008D4E91">
            <w:pPr>
              <w:spacing w:line="240" w:lineRule="auto"/>
              <w:jc w:val="center"/>
              <w:rPr>
                <w:color w:val="000000"/>
                <w:sz w:val="18"/>
                <w:szCs w:val="18"/>
              </w:rPr>
            </w:pPr>
            <w:r w:rsidRPr="001569FB">
              <w:rPr>
                <w:color w:val="000000"/>
                <w:sz w:val="18"/>
                <w:szCs w:val="18"/>
              </w:rPr>
              <w:t>0.320</w:t>
            </w:r>
          </w:p>
        </w:tc>
        <w:tc>
          <w:tcPr>
            <w:tcW w:w="727" w:type="pct"/>
            <w:tcBorders>
              <w:top w:val="nil"/>
              <w:left w:val="nil"/>
              <w:bottom w:val="single" w:sz="4" w:space="0" w:color="auto"/>
              <w:right w:val="single" w:sz="4" w:space="0" w:color="auto"/>
            </w:tcBorders>
            <w:shd w:val="clear" w:color="000000" w:fill="FFFFFF"/>
            <w:vAlign w:val="center"/>
            <w:hideMark/>
          </w:tcPr>
          <w:p w14:paraId="12858F44"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592" w:type="pct"/>
            <w:tcBorders>
              <w:top w:val="nil"/>
              <w:left w:val="nil"/>
              <w:bottom w:val="single" w:sz="4" w:space="0" w:color="auto"/>
              <w:right w:val="single" w:sz="4" w:space="0" w:color="auto"/>
            </w:tcBorders>
            <w:shd w:val="clear" w:color="000000" w:fill="FFFFFF"/>
            <w:vAlign w:val="center"/>
            <w:hideMark/>
          </w:tcPr>
          <w:p w14:paraId="28D5D2D6"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5C9D19CD"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F57855" w14:textId="77777777" w:rsidR="006F3A1A" w:rsidRPr="001569FB" w:rsidRDefault="006F3A1A" w:rsidP="008D4E91">
            <w:pPr>
              <w:spacing w:line="240" w:lineRule="auto"/>
              <w:rPr>
                <w:color w:val="000000"/>
                <w:sz w:val="18"/>
                <w:szCs w:val="18"/>
              </w:rPr>
            </w:pPr>
            <w:r w:rsidRPr="001569FB">
              <w:rPr>
                <w:color w:val="000000"/>
                <w:sz w:val="18"/>
                <w:szCs w:val="18"/>
              </w:rPr>
              <w:t>RXHCC19</w:t>
            </w:r>
          </w:p>
        </w:tc>
        <w:tc>
          <w:tcPr>
            <w:tcW w:w="909" w:type="pct"/>
            <w:tcBorders>
              <w:top w:val="nil"/>
              <w:left w:val="nil"/>
              <w:bottom w:val="single" w:sz="4" w:space="0" w:color="auto"/>
              <w:right w:val="single" w:sz="4" w:space="0" w:color="auto"/>
            </w:tcBorders>
            <w:shd w:val="clear" w:color="000000" w:fill="FFFFFF"/>
            <w:vAlign w:val="center"/>
            <w:hideMark/>
          </w:tcPr>
          <w:p w14:paraId="761633BC" w14:textId="77777777" w:rsidR="006F3A1A" w:rsidRPr="001569FB" w:rsidRDefault="006F3A1A" w:rsidP="008D4E91">
            <w:pPr>
              <w:spacing w:line="240" w:lineRule="auto"/>
              <w:rPr>
                <w:color w:val="000000"/>
                <w:sz w:val="18"/>
                <w:szCs w:val="18"/>
              </w:rPr>
            </w:pPr>
            <w:r w:rsidRPr="001569FB">
              <w:rPr>
                <w:color w:val="000000"/>
                <w:sz w:val="18"/>
                <w:szCs w:val="18"/>
              </w:rPr>
              <w:t>Breast and Other Cancers and Tumors</w:t>
            </w:r>
          </w:p>
        </w:tc>
        <w:tc>
          <w:tcPr>
            <w:tcW w:w="636" w:type="pct"/>
            <w:tcBorders>
              <w:top w:val="nil"/>
              <w:left w:val="nil"/>
              <w:bottom w:val="single" w:sz="4" w:space="0" w:color="auto"/>
              <w:right w:val="single" w:sz="4" w:space="0" w:color="auto"/>
            </w:tcBorders>
            <w:shd w:val="clear" w:color="000000" w:fill="FFFFFF"/>
            <w:vAlign w:val="center"/>
            <w:hideMark/>
          </w:tcPr>
          <w:p w14:paraId="4CCBB1DA"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682" w:type="pct"/>
            <w:tcBorders>
              <w:top w:val="nil"/>
              <w:left w:val="nil"/>
              <w:bottom w:val="single" w:sz="4" w:space="0" w:color="auto"/>
              <w:right w:val="single" w:sz="4" w:space="0" w:color="auto"/>
            </w:tcBorders>
            <w:shd w:val="clear" w:color="000000" w:fill="FFFFFF"/>
            <w:vAlign w:val="center"/>
            <w:hideMark/>
          </w:tcPr>
          <w:p w14:paraId="3D72CA18" w14:textId="77777777" w:rsidR="006F3A1A" w:rsidRPr="001569FB" w:rsidRDefault="006F3A1A" w:rsidP="008D4E91">
            <w:pPr>
              <w:spacing w:line="240" w:lineRule="auto"/>
              <w:jc w:val="center"/>
              <w:rPr>
                <w:color w:val="000000"/>
                <w:sz w:val="18"/>
                <w:szCs w:val="18"/>
              </w:rPr>
            </w:pPr>
            <w:r w:rsidRPr="001569FB">
              <w:rPr>
                <w:color w:val="000000"/>
                <w:sz w:val="18"/>
                <w:szCs w:val="18"/>
              </w:rPr>
              <w:t>0.088</w:t>
            </w:r>
          </w:p>
        </w:tc>
        <w:tc>
          <w:tcPr>
            <w:tcW w:w="637" w:type="pct"/>
            <w:tcBorders>
              <w:top w:val="nil"/>
              <w:left w:val="nil"/>
              <w:bottom w:val="single" w:sz="4" w:space="0" w:color="auto"/>
              <w:right w:val="single" w:sz="4" w:space="0" w:color="auto"/>
            </w:tcBorders>
            <w:shd w:val="clear" w:color="000000" w:fill="FFFFFF"/>
            <w:vAlign w:val="center"/>
            <w:hideMark/>
          </w:tcPr>
          <w:p w14:paraId="77BFC2A6"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727" w:type="pct"/>
            <w:tcBorders>
              <w:top w:val="nil"/>
              <w:left w:val="nil"/>
              <w:bottom w:val="single" w:sz="4" w:space="0" w:color="auto"/>
              <w:right w:val="single" w:sz="4" w:space="0" w:color="auto"/>
            </w:tcBorders>
            <w:shd w:val="clear" w:color="000000" w:fill="FFFFFF"/>
            <w:vAlign w:val="center"/>
            <w:hideMark/>
          </w:tcPr>
          <w:p w14:paraId="129B4288" w14:textId="77777777" w:rsidR="006F3A1A" w:rsidRPr="001569FB" w:rsidRDefault="006F3A1A" w:rsidP="008D4E91">
            <w:pPr>
              <w:spacing w:line="240" w:lineRule="auto"/>
              <w:jc w:val="center"/>
              <w:rPr>
                <w:color w:val="000000"/>
                <w:sz w:val="18"/>
                <w:szCs w:val="18"/>
              </w:rPr>
            </w:pPr>
            <w:r w:rsidRPr="001569FB">
              <w:rPr>
                <w:color w:val="000000"/>
                <w:sz w:val="18"/>
                <w:szCs w:val="18"/>
              </w:rPr>
              <w:t>0.113</w:t>
            </w:r>
          </w:p>
        </w:tc>
        <w:tc>
          <w:tcPr>
            <w:tcW w:w="592" w:type="pct"/>
            <w:tcBorders>
              <w:top w:val="nil"/>
              <w:left w:val="nil"/>
              <w:bottom w:val="single" w:sz="4" w:space="0" w:color="auto"/>
              <w:right w:val="single" w:sz="4" w:space="0" w:color="auto"/>
            </w:tcBorders>
            <w:shd w:val="clear" w:color="000000" w:fill="FFFFFF"/>
            <w:vAlign w:val="center"/>
            <w:hideMark/>
          </w:tcPr>
          <w:p w14:paraId="6954285B"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44215AAB"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1F3B926" w14:textId="77777777" w:rsidR="006F3A1A" w:rsidRPr="001569FB" w:rsidRDefault="006F3A1A" w:rsidP="008D4E91">
            <w:pPr>
              <w:spacing w:line="240" w:lineRule="auto"/>
              <w:rPr>
                <w:color w:val="000000"/>
                <w:sz w:val="18"/>
                <w:szCs w:val="18"/>
              </w:rPr>
            </w:pPr>
            <w:r w:rsidRPr="001569FB">
              <w:rPr>
                <w:color w:val="000000"/>
                <w:sz w:val="18"/>
                <w:szCs w:val="18"/>
              </w:rPr>
              <w:t>RXHCC30</w:t>
            </w:r>
          </w:p>
        </w:tc>
        <w:tc>
          <w:tcPr>
            <w:tcW w:w="909" w:type="pct"/>
            <w:tcBorders>
              <w:top w:val="nil"/>
              <w:left w:val="nil"/>
              <w:bottom w:val="single" w:sz="4" w:space="0" w:color="auto"/>
              <w:right w:val="single" w:sz="4" w:space="0" w:color="auto"/>
            </w:tcBorders>
            <w:shd w:val="clear" w:color="000000" w:fill="FFFFFF"/>
            <w:vAlign w:val="center"/>
            <w:hideMark/>
          </w:tcPr>
          <w:p w14:paraId="4E129AF4" w14:textId="77777777" w:rsidR="006F3A1A" w:rsidRPr="001569FB" w:rsidRDefault="006F3A1A" w:rsidP="008D4E91">
            <w:pPr>
              <w:spacing w:line="240" w:lineRule="auto"/>
              <w:rPr>
                <w:color w:val="000000"/>
                <w:sz w:val="18"/>
                <w:szCs w:val="18"/>
              </w:rPr>
            </w:pPr>
            <w:r w:rsidRPr="001569FB">
              <w:rPr>
                <w:color w:val="000000"/>
                <w:sz w:val="18"/>
                <w:szCs w:val="18"/>
              </w:rPr>
              <w:t>Diabetes with Complications</w:t>
            </w:r>
          </w:p>
        </w:tc>
        <w:tc>
          <w:tcPr>
            <w:tcW w:w="636" w:type="pct"/>
            <w:tcBorders>
              <w:top w:val="nil"/>
              <w:left w:val="nil"/>
              <w:bottom w:val="single" w:sz="4" w:space="0" w:color="auto"/>
              <w:right w:val="single" w:sz="4" w:space="0" w:color="auto"/>
            </w:tcBorders>
            <w:shd w:val="clear" w:color="000000" w:fill="FFFFFF"/>
            <w:vAlign w:val="center"/>
            <w:hideMark/>
          </w:tcPr>
          <w:p w14:paraId="3ACF6CAA" w14:textId="77777777" w:rsidR="006F3A1A" w:rsidRPr="001569FB" w:rsidRDefault="006F3A1A" w:rsidP="008D4E91">
            <w:pPr>
              <w:spacing w:line="240" w:lineRule="auto"/>
              <w:jc w:val="center"/>
              <w:rPr>
                <w:color w:val="000000"/>
                <w:sz w:val="18"/>
                <w:szCs w:val="18"/>
              </w:rPr>
            </w:pPr>
            <w:r w:rsidRPr="001569FB">
              <w:rPr>
                <w:color w:val="000000"/>
                <w:sz w:val="18"/>
                <w:szCs w:val="18"/>
              </w:rPr>
              <w:t>0.442</w:t>
            </w:r>
          </w:p>
        </w:tc>
        <w:tc>
          <w:tcPr>
            <w:tcW w:w="682" w:type="pct"/>
            <w:tcBorders>
              <w:top w:val="nil"/>
              <w:left w:val="nil"/>
              <w:bottom w:val="single" w:sz="4" w:space="0" w:color="auto"/>
              <w:right w:val="single" w:sz="4" w:space="0" w:color="auto"/>
            </w:tcBorders>
            <w:shd w:val="clear" w:color="000000" w:fill="FFFFFF"/>
            <w:vAlign w:val="center"/>
            <w:hideMark/>
          </w:tcPr>
          <w:p w14:paraId="4288906C"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637" w:type="pct"/>
            <w:tcBorders>
              <w:top w:val="nil"/>
              <w:left w:val="nil"/>
              <w:bottom w:val="single" w:sz="4" w:space="0" w:color="auto"/>
              <w:right w:val="single" w:sz="4" w:space="0" w:color="auto"/>
            </w:tcBorders>
            <w:shd w:val="clear" w:color="000000" w:fill="FFFFFF"/>
            <w:vAlign w:val="center"/>
            <w:hideMark/>
          </w:tcPr>
          <w:p w14:paraId="0C1950D6" w14:textId="77777777" w:rsidR="006F3A1A" w:rsidRPr="001569FB" w:rsidRDefault="006F3A1A" w:rsidP="008D4E91">
            <w:pPr>
              <w:spacing w:line="240" w:lineRule="auto"/>
              <w:jc w:val="center"/>
              <w:rPr>
                <w:color w:val="000000"/>
                <w:sz w:val="18"/>
                <w:szCs w:val="18"/>
              </w:rPr>
            </w:pPr>
            <w:r w:rsidRPr="001569FB">
              <w:rPr>
                <w:color w:val="000000"/>
                <w:sz w:val="18"/>
                <w:szCs w:val="18"/>
              </w:rPr>
              <w:t>0.495</w:t>
            </w:r>
          </w:p>
        </w:tc>
        <w:tc>
          <w:tcPr>
            <w:tcW w:w="727" w:type="pct"/>
            <w:tcBorders>
              <w:top w:val="nil"/>
              <w:left w:val="nil"/>
              <w:bottom w:val="single" w:sz="4" w:space="0" w:color="auto"/>
              <w:right w:val="single" w:sz="4" w:space="0" w:color="auto"/>
            </w:tcBorders>
            <w:shd w:val="clear" w:color="000000" w:fill="FFFFFF"/>
            <w:vAlign w:val="center"/>
            <w:hideMark/>
          </w:tcPr>
          <w:p w14:paraId="423ECDCD" w14:textId="77777777" w:rsidR="006F3A1A" w:rsidRPr="001569FB" w:rsidRDefault="006F3A1A" w:rsidP="008D4E91">
            <w:pPr>
              <w:spacing w:line="240" w:lineRule="auto"/>
              <w:jc w:val="center"/>
              <w:rPr>
                <w:color w:val="000000"/>
                <w:sz w:val="18"/>
                <w:szCs w:val="18"/>
              </w:rPr>
            </w:pPr>
            <w:r w:rsidRPr="001569FB">
              <w:rPr>
                <w:color w:val="000000"/>
                <w:sz w:val="18"/>
                <w:szCs w:val="18"/>
              </w:rPr>
              <w:t>0.685</w:t>
            </w:r>
          </w:p>
        </w:tc>
        <w:tc>
          <w:tcPr>
            <w:tcW w:w="592" w:type="pct"/>
            <w:tcBorders>
              <w:top w:val="nil"/>
              <w:left w:val="nil"/>
              <w:bottom w:val="single" w:sz="4" w:space="0" w:color="auto"/>
              <w:right w:val="single" w:sz="4" w:space="0" w:color="auto"/>
            </w:tcBorders>
            <w:shd w:val="clear" w:color="000000" w:fill="FFFFFF"/>
            <w:vAlign w:val="center"/>
            <w:hideMark/>
          </w:tcPr>
          <w:p w14:paraId="7E6A03D1" w14:textId="77777777" w:rsidR="006F3A1A" w:rsidRPr="001569FB" w:rsidRDefault="006F3A1A" w:rsidP="008D4E91">
            <w:pPr>
              <w:spacing w:line="240" w:lineRule="auto"/>
              <w:jc w:val="center"/>
              <w:rPr>
                <w:color w:val="000000"/>
                <w:sz w:val="18"/>
                <w:szCs w:val="18"/>
              </w:rPr>
            </w:pPr>
            <w:r w:rsidRPr="001569FB">
              <w:rPr>
                <w:color w:val="000000"/>
                <w:sz w:val="18"/>
                <w:szCs w:val="18"/>
              </w:rPr>
              <w:t>0.469</w:t>
            </w:r>
          </w:p>
        </w:tc>
      </w:tr>
      <w:tr w:rsidR="00EC34A7" w:rsidRPr="001569FB" w14:paraId="41F1AC6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EA021C5" w14:textId="77777777" w:rsidR="006F3A1A" w:rsidRPr="001569FB" w:rsidRDefault="006F3A1A" w:rsidP="008D4E91">
            <w:pPr>
              <w:spacing w:line="240" w:lineRule="auto"/>
              <w:rPr>
                <w:color w:val="000000"/>
                <w:sz w:val="18"/>
                <w:szCs w:val="18"/>
              </w:rPr>
            </w:pPr>
            <w:r w:rsidRPr="001569FB">
              <w:rPr>
                <w:color w:val="000000"/>
                <w:sz w:val="18"/>
                <w:szCs w:val="18"/>
              </w:rPr>
              <w:t>RXHCC31</w:t>
            </w:r>
          </w:p>
        </w:tc>
        <w:tc>
          <w:tcPr>
            <w:tcW w:w="909" w:type="pct"/>
            <w:tcBorders>
              <w:top w:val="nil"/>
              <w:left w:val="nil"/>
              <w:bottom w:val="single" w:sz="4" w:space="0" w:color="auto"/>
              <w:right w:val="single" w:sz="4" w:space="0" w:color="auto"/>
            </w:tcBorders>
            <w:shd w:val="clear" w:color="000000" w:fill="FFFFFF"/>
            <w:vAlign w:val="center"/>
            <w:hideMark/>
          </w:tcPr>
          <w:p w14:paraId="703C5FA0" w14:textId="77777777" w:rsidR="006F3A1A" w:rsidRPr="001569FB" w:rsidRDefault="006F3A1A" w:rsidP="008D4E91">
            <w:pPr>
              <w:spacing w:line="240" w:lineRule="auto"/>
              <w:rPr>
                <w:color w:val="000000"/>
                <w:sz w:val="18"/>
                <w:szCs w:val="18"/>
              </w:rPr>
            </w:pPr>
            <w:r w:rsidRPr="001569FB">
              <w:rPr>
                <w:color w:val="000000"/>
                <w:sz w:val="18"/>
                <w:szCs w:val="18"/>
              </w:rPr>
              <w:t>Diabetes without Complication</w:t>
            </w:r>
          </w:p>
        </w:tc>
        <w:tc>
          <w:tcPr>
            <w:tcW w:w="636" w:type="pct"/>
            <w:tcBorders>
              <w:top w:val="nil"/>
              <w:left w:val="nil"/>
              <w:bottom w:val="single" w:sz="4" w:space="0" w:color="auto"/>
              <w:right w:val="single" w:sz="4" w:space="0" w:color="auto"/>
            </w:tcBorders>
            <w:shd w:val="clear" w:color="000000" w:fill="FFFFFF"/>
            <w:vAlign w:val="center"/>
            <w:hideMark/>
          </w:tcPr>
          <w:p w14:paraId="572D6DE4" w14:textId="77777777" w:rsidR="006F3A1A" w:rsidRPr="001569FB" w:rsidRDefault="006F3A1A" w:rsidP="008D4E91">
            <w:pPr>
              <w:spacing w:line="240" w:lineRule="auto"/>
              <w:jc w:val="center"/>
              <w:rPr>
                <w:color w:val="000000"/>
                <w:sz w:val="18"/>
                <w:szCs w:val="18"/>
              </w:rPr>
            </w:pPr>
            <w:r w:rsidRPr="001569FB">
              <w:rPr>
                <w:color w:val="000000"/>
                <w:sz w:val="18"/>
                <w:szCs w:val="18"/>
              </w:rPr>
              <w:t>0.289</w:t>
            </w:r>
          </w:p>
        </w:tc>
        <w:tc>
          <w:tcPr>
            <w:tcW w:w="682" w:type="pct"/>
            <w:tcBorders>
              <w:top w:val="nil"/>
              <w:left w:val="nil"/>
              <w:bottom w:val="single" w:sz="4" w:space="0" w:color="auto"/>
              <w:right w:val="single" w:sz="4" w:space="0" w:color="auto"/>
            </w:tcBorders>
            <w:shd w:val="clear" w:color="000000" w:fill="FFFFFF"/>
            <w:vAlign w:val="center"/>
            <w:hideMark/>
          </w:tcPr>
          <w:p w14:paraId="04DDABE8"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37" w:type="pct"/>
            <w:tcBorders>
              <w:top w:val="nil"/>
              <w:left w:val="nil"/>
              <w:bottom w:val="single" w:sz="4" w:space="0" w:color="auto"/>
              <w:right w:val="single" w:sz="4" w:space="0" w:color="auto"/>
            </w:tcBorders>
            <w:shd w:val="clear" w:color="000000" w:fill="FFFFFF"/>
            <w:vAlign w:val="center"/>
            <w:hideMark/>
          </w:tcPr>
          <w:p w14:paraId="4718A239"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17142E5D"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592" w:type="pct"/>
            <w:tcBorders>
              <w:top w:val="nil"/>
              <w:left w:val="nil"/>
              <w:bottom w:val="single" w:sz="4" w:space="0" w:color="auto"/>
              <w:right w:val="single" w:sz="4" w:space="0" w:color="auto"/>
            </w:tcBorders>
            <w:shd w:val="clear" w:color="000000" w:fill="FFFFFF"/>
            <w:vAlign w:val="center"/>
            <w:hideMark/>
          </w:tcPr>
          <w:p w14:paraId="7C436E76" w14:textId="77777777" w:rsidR="006F3A1A" w:rsidRPr="001569FB" w:rsidRDefault="006F3A1A" w:rsidP="008D4E91">
            <w:pPr>
              <w:spacing w:line="240" w:lineRule="auto"/>
              <w:jc w:val="center"/>
              <w:rPr>
                <w:color w:val="000000"/>
                <w:sz w:val="18"/>
                <w:szCs w:val="18"/>
              </w:rPr>
            </w:pPr>
            <w:r w:rsidRPr="001569FB">
              <w:rPr>
                <w:color w:val="000000"/>
                <w:sz w:val="18"/>
                <w:szCs w:val="18"/>
              </w:rPr>
              <w:t>0.318</w:t>
            </w:r>
          </w:p>
        </w:tc>
      </w:tr>
      <w:tr w:rsidR="00EC34A7" w:rsidRPr="001569FB" w14:paraId="136AF25C"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70289C" w14:textId="77777777" w:rsidR="006F3A1A" w:rsidRPr="001569FB" w:rsidRDefault="006F3A1A" w:rsidP="008D4E91">
            <w:pPr>
              <w:spacing w:line="240" w:lineRule="auto"/>
              <w:rPr>
                <w:color w:val="000000"/>
                <w:sz w:val="18"/>
                <w:szCs w:val="18"/>
              </w:rPr>
            </w:pPr>
            <w:r w:rsidRPr="001569FB">
              <w:rPr>
                <w:color w:val="000000"/>
                <w:sz w:val="18"/>
                <w:szCs w:val="18"/>
              </w:rPr>
              <w:t>RXHCC40</w:t>
            </w:r>
          </w:p>
        </w:tc>
        <w:tc>
          <w:tcPr>
            <w:tcW w:w="909" w:type="pct"/>
            <w:tcBorders>
              <w:top w:val="nil"/>
              <w:left w:val="nil"/>
              <w:bottom w:val="single" w:sz="4" w:space="0" w:color="auto"/>
              <w:right w:val="single" w:sz="4" w:space="0" w:color="auto"/>
            </w:tcBorders>
            <w:shd w:val="clear" w:color="000000" w:fill="FFFFFF"/>
            <w:vAlign w:val="center"/>
            <w:hideMark/>
          </w:tcPr>
          <w:p w14:paraId="3CD2DB2A" w14:textId="77777777" w:rsidR="006F3A1A" w:rsidRPr="001569FB" w:rsidRDefault="006F3A1A" w:rsidP="008D4E91">
            <w:pPr>
              <w:spacing w:line="240" w:lineRule="auto"/>
              <w:rPr>
                <w:color w:val="000000"/>
                <w:sz w:val="18"/>
                <w:szCs w:val="18"/>
              </w:rPr>
            </w:pPr>
            <w:r w:rsidRPr="001569FB">
              <w:rPr>
                <w:color w:val="000000"/>
                <w:sz w:val="18"/>
                <w:szCs w:val="18"/>
              </w:rPr>
              <w:t>Specified Hereditary Metabolic/Immune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002EA2B8" w14:textId="77777777" w:rsidR="006F3A1A" w:rsidRPr="001569FB" w:rsidRDefault="006F3A1A" w:rsidP="008D4E91">
            <w:pPr>
              <w:spacing w:line="240" w:lineRule="auto"/>
              <w:jc w:val="center"/>
              <w:rPr>
                <w:color w:val="000000"/>
                <w:sz w:val="18"/>
                <w:szCs w:val="18"/>
              </w:rPr>
            </w:pPr>
            <w:r w:rsidRPr="001569FB">
              <w:rPr>
                <w:color w:val="000000"/>
                <w:sz w:val="18"/>
                <w:szCs w:val="18"/>
              </w:rPr>
              <w:t>2.988</w:t>
            </w:r>
          </w:p>
        </w:tc>
        <w:tc>
          <w:tcPr>
            <w:tcW w:w="682" w:type="pct"/>
            <w:tcBorders>
              <w:top w:val="nil"/>
              <w:left w:val="nil"/>
              <w:bottom w:val="single" w:sz="4" w:space="0" w:color="auto"/>
              <w:right w:val="single" w:sz="4" w:space="0" w:color="auto"/>
            </w:tcBorders>
            <w:shd w:val="clear" w:color="000000" w:fill="FFFFFF"/>
            <w:vAlign w:val="center"/>
            <w:hideMark/>
          </w:tcPr>
          <w:p w14:paraId="182512C3" w14:textId="77777777" w:rsidR="006F3A1A" w:rsidRPr="001569FB" w:rsidRDefault="006F3A1A" w:rsidP="008D4E91">
            <w:pPr>
              <w:spacing w:line="240" w:lineRule="auto"/>
              <w:jc w:val="center"/>
              <w:rPr>
                <w:color w:val="000000"/>
                <w:sz w:val="18"/>
                <w:szCs w:val="18"/>
              </w:rPr>
            </w:pPr>
            <w:r w:rsidRPr="001569FB">
              <w:rPr>
                <w:color w:val="000000"/>
                <w:sz w:val="18"/>
                <w:szCs w:val="18"/>
              </w:rPr>
              <w:t>10.419</w:t>
            </w:r>
          </w:p>
        </w:tc>
        <w:tc>
          <w:tcPr>
            <w:tcW w:w="637" w:type="pct"/>
            <w:tcBorders>
              <w:top w:val="nil"/>
              <w:left w:val="nil"/>
              <w:bottom w:val="single" w:sz="4" w:space="0" w:color="auto"/>
              <w:right w:val="single" w:sz="4" w:space="0" w:color="auto"/>
            </w:tcBorders>
            <w:shd w:val="clear" w:color="000000" w:fill="FFFFFF"/>
            <w:vAlign w:val="center"/>
            <w:hideMark/>
          </w:tcPr>
          <w:p w14:paraId="614D72DE" w14:textId="77777777" w:rsidR="006F3A1A" w:rsidRPr="001569FB" w:rsidRDefault="006F3A1A" w:rsidP="008D4E91">
            <w:pPr>
              <w:spacing w:line="240" w:lineRule="auto"/>
              <w:jc w:val="center"/>
              <w:rPr>
                <w:color w:val="000000"/>
                <w:sz w:val="18"/>
                <w:szCs w:val="18"/>
              </w:rPr>
            </w:pPr>
            <w:r w:rsidRPr="001569FB">
              <w:rPr>
                <w:color w:val="000000"/>
                <w:sz w:val="18"/>
                <w:szCs w:val="18"/>
              </w:rPr>
              <w:t>3.071</w:t>
            </w:r>
          </w:p>
        </w:tc>
        <w:tc>
          <w:tcPr>
            <w:tcW w:w="727" w:type="pct"/>
            <w:tcBorders>
              <w:top w:val="nil"/>
              <w:left w:val="nil"/>
              <w:bottom w:val="single" w:sz="4" w:space="0" w:color="auto"/>
              <w:right w:val="single" w:sz="4" w:space="0" w:color="auto"/>
            </w:tcBorders>
            <w:shd w:val="clear" w:color="000000" w:fill="FFFFFF"/>
            <w:vAlign w:val="center"/>
            <w:hideMark/>
          </w:tcPr>
          <w:p w14:paraId="733CA769" w14:textId="77777777" w:rsidR="006F3A1A" w:rsidRPr="001569FB" w:rsidRDefault="006F3A1A" w:rsidP="008D4E91">
            <w:pPr>
              <w:spacing w:line="240" w:lineRule="auto"/>
              <w:jc w:val="center"/>
              <w:rPr>
                <w:color w:val="000000"/>
                <w:sz w:val="18"/>
                <w:szCs w:val="18"/>
              </w:rPr>
            </w:pPr>
            <w:r w:rsidRPr="001569FB">
              <w:rPr>
                <w:color w:val="000000"/>
                <w:sz w:val="18"/>
                <w:szCs w:val="18"/>
              </w:rPr>
              <w:t>10.310</w:t>
            </w:r>
          </w:p>
        </w:tc>
        <w:tc>
          <w:tcPr>
            <w:tcW w:w="592" w:type="pct"/>
            <w:tcBorders>
              <w:top w:val="nil"/>
              <w:left w:val="nil"/>
              <w:bottom w:val="single" w:sz="4" w:space="0" w:color="auto"/>
              <w:right w:val="single" w:sz="4" w:space="0" w:color="auto"/>
            </w:tcBorders>
            <w:shd w:val="clear" w:color="000000" w:fill="FFFFFF"/>
            <w:vAlign w:val="center"/>
            <w:hideMark/>
          </w:tcPr>
          <w:p w14:paraId="78EF67B8" w14:textId="77777777" w:rsidR="006F3A1A" w:rsidRPr="001569FB" w:rsidRDefault="006F3A1A" w:rsidP="008D4E91">
            <w:pPr>
              <w:spacing w:line="240" w:lineRule="auto"/>
              <w:jc w:val="center"/>
              <w:rPr>
                <w:color w:val="000000"/>
                <w:sz w:val="18"/>
                <w:szCs w:val="18"/>
              </w:rPr>
            </w:pPr>
            <w:r w:rsidRPr="001569FB">
              <w:rPr>
                <w:color w:val="000000"/>
                <w:sz w:val="18"/>
                <w:szCs w:val="18"/>
              </w:rPr>
              <w:t>0.465</w:t>
            </w:r>
          </w:p>
        </w:tc>
      </w:tr>
      <w:tr w:rsidR="00EC34A7" w:rsidRPr="001569FB" w14:paraId="234E4E6F"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8E07849" w14:textId="77777777" w:rsidR="006F3A1A" w:rsidRPr="001569FB" w:rsidRDefault="006F3A1A" w:rsidP="008D4E91">
            <w:pPr>
              <w:spacing w:line="240" w:lineRule="auto"/>
              <w:rPr>
                <w:color w:val="000000"/>
                <w:sz w:val="18"/>
                <w:szCs w:val="18"/>
              </w:rPr>
            </w:pPr>
            <w:r w:rsidRPr="001569FB">
              <w:rPr>
                <w:color w:val="000000"/>
                <w:sz w:val="18"/>
                <w:szCs w:val="18"/>
              </w:rPr>
              <w:t>RXHCC41</w:t>
            </w:r>
          </w:p>
        </w:tc>
        <w:tc>
          <w:tcPr>
            <w:tcW w:w="909" w:type="pct"/>
            <w:tcBorders>
              <w:top w:val="nil"/>
              <w:left w:val="nil"/>
              <w:bottom w:val="single" w:sz="4" w:space="0" w:color="auto"/>
              <w:right w:val="single" w:sz="4" w:space="0" w:color="auto"/>
            </w:tcBorders>
            <w:shd w:val="clear" w:color="000000" w:fill="FFFFFF"/>
            <w:vAlign w:val="center"/>
            <w:hideMark/>
          </w:tcPr>
          <w:p w14:paraId="2673393A" w14:textId="77777777" w:rsidR="006F3A1A" w:rsidRPr="001569FB" w:rsidRDefault="006F3A1A" w:rsidP="008D4E91">
            <w:pPr>
              <w:spacing w:line="240" w:lineRule="auto"/>
              <w:rPr>
                <w:color w:val="000000"/>
                <w:sz w:val="18"/>
                <w:szCs w:val="18"/>
              </w:rPr>
            </w:pPr>
            <w:r w:rsidRPr="001569FB">
              <w:rPr>
                <w:color w:val="000000"/>
                <w:sz w:val="18"/>
                <w:szCs w:val="18"/>
              </w:rPr>
              <w:t>Pituitary, Adrenal Gland, and Other Endocrine and Metabolic Disorders</w:t>
            </w:r>
          </w:p>
        </w:tc>
        <w:tc>
          <w:tcPr>
            <w:tcW w:w="636" w:type="pct"/>
            <w:tcBorders>
              <w:top w:val="nil"/>
              <w:left w:val="nil"/>
              <w:bottom w:val="single" w:sz="4" w:space="0" w:color="auto"/>
              <w:right w:val="single" w:sz="4" w:space="0" w:color="auto"/>
            </w:tcBorders>
            <w:shd w:val="clear" w:color="000000" w:fill="FFFFFF"/>
            <w:vAlign w:val="center"/>
            <w:hideMark/>
          </w:tcPr>
          <w:p w14:paraId="2D671C18"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82" w:type="pct"/>
            <w:tcBorders>
              <w:top w:val="nil"/>
              <w:left w:val="nil"/>
              <w:bottom w:val="single" w:sz="4" w:space="0" w:color="auto"/>
              <w:right w:val="single" w:sz="4" w:space="0" w:color="auto"/>
            </w:tcBorders>
            <w:shd w:val="clear" w:color="000000" w:fill="FFFFFF"/>
            <w:vAlign w:val="center"/>
            <w:hideMark/>
          </w:tcPr>
          <w:p w14:paraId="67AD9D22" w14:textId="77777777" w:rsidR="006F3A1A" w:rsidRPr="001569FB" w:rsidRDefault="006F3A1A" w:rsidP="008D4E91">
            <w:pPr>
              <w:spacing w:line="240" w:lineRule="auto"/>
              <w:jc w:val="center"/>
              <w:rPr>
                <w:color w:val="000000"/>
                <w:sz w:val="18"/>
                <w:szCs w:val="18"/>
              </w:rPr>
            </w:pPr>
            <w:r w:rsidRPr="001569FB">
              <w:rPr>
                <w:color w:val="000000"/>
                <w:sz w:val="18"/>
                <w:szCs w:val="18"/>
              </w:rPr>
              <w:t>0.207</w:t>
            </w:r>
          </w:p>
        </w:tc>
        <w:tc>
          <w:tcPr>
            <w:tcW w:w="637" w:type="pct"/>
            <w:tcBorders>
              <w:top w:val="nil"/>
              <w:left w:val="nil"/>
              <w:bottom w:val="single" w:sz="4" w:space="0" w:color="auto"/>
              <w:right w:val="single" w:sz="4" w:space="0" w:color="auto"/>
            </w:tcBorders>
            <w:shd w:val="clear" w:color="000000" w:fill="FFFFFF"/>
            <w:vAlign w:val="center"/>
            <w:hideMark/>
          </w:tcPr>
          <w:p w14:paraId="0A720815" w14:textId="77777777" w:rsidR="006F3A1A" w:rsidRPr="001569FB" w:rsidRDefault="006F3A1A" w:rsidP="008D4E91">
            <w:pPr>
              <w:spacing w:line="240" w:lineRule="auto"/>
              <w:jc w:val="center"/>
              <w:rPr>
                <w:color w:val="000000"/>
                <w:sz w:val="18"/>
                <w:szCs w:val="18"/>
              </w:rPr>
            </w:pPr>
            <w:r w:rsidRPr="001569FB">
              <w:rPr>
                <w:color w:val="000000"/>
                <w:sz w:val="18"/>
                <w:szCs w:val="18"/>
              </w:rPr>
              <w:t>0.059</w:t>
            </w:r>
          </w:p>
        </w:tc>
        <w:tc>
          <w:tcPr>
            <w:tcW w:w="727" w:type="pct"/>
            <w:tcBorders>
              <w:top w:val="nil"/>
              <w:left w:val="nil"/>
              <w:bottom w:val="single" w:sz="4" w:space="0" w:color="auto"/>
              <w:right w:val="single" w:sz="4" w:space="0" w:color="auto"/>
            </w:tcBorders>
            <w:shd w:val="clear" w:color="000000" w:fill="FFFFFF"/>
            <w:vAlign w:val="center"/>
            <w:hideMark/>
          </w:tcPr>
          <w:p w14:paraId="53ACC23A"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592" w:type="pct"/>
            <w:tcBorders>
              <w:top w:val="nil"/>
              <w:left w:val="nil"/>
              <w:bottom w:val="single" w:sz="4" w:space="0" w:color="auto"/>
              <w:right w:val="single" w:sz="4" w:space="0" w:color="auto"/>
            </w:tcBorders>
            <w:shd w:val="clear" w:color="000000" w:fill="FFFFFF"/>
            <w:vAlign w:val="center"/>
            <w:hideMark/>
          </w:tcPr>
          <w:p w14:paraId="25A4188B"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r>
      <w:tr w:rsidR="00EC34A7" w:rsidRPr="001569FB" w14:paraId="6AD557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E23CC2C" w14:textId="77777777" w:rsidR="006F3A1A" w:rsidRPr="001569FB" w:rsidRDefault="006F3A1A" w:rsidP="008D4E91">
            <w:pPr>
              <w:spacing w:line="240" w:lineRule="auto"/>
              <w:rPr>
                <w:color w:val="000000"/>
                <w:sz w:val="18"/>
                <w:szCs w:val="18"/>
              </w:rPr>
            </w:pPr>
            <w:r w:rsidRPr="001569FB">
              <w:rPr>
                <w:color w:val="000000"/>
                <w:sz w:val="18"/>
                <w:szCs w:val="18"/>
              </w:rPr>
              <w:t>RXHCC42</w:t>
            </w:r>
          </w:p>
        </w:tc>
        <w:tc>
          <w:tcPr>
            <w:tcW w:w="909" w:type="pct"/>
            <w:tcBorders>
              <w:top w:val="nil"/>
              <w:left w:val="nil"/>
              <w:bottom w:val="single" w:sz="4" w:space="0" w:color="auto"/>
              <w:right w:val="single" w:sz="4" w:space="0" w:color="auto"/>
            </w:tcBorders>
            <w:shd w:val="clear" w:color="000000" w:fill="FFFFFF"/>
            <w:vAlign w:val="center"/>
            <w:hideMark/>
          </w:tcPr>
          <w:p w14:paraId="0E5C7147" w14:textId="77777777" w:rsidR="006F3A1A" w:rsidRPr="001569FB" w:rsidRDefault="006F3A1A" w:rsidP="008D4E91">
            <w:pPr>
              <w:spacing w:line="240" w:lineRule="auto"/>
              <w:rPr>
                <w:color w:val="000000"/>
                <w:sz w:val="18"/>
                <w:szCs w:val="18"/>
              </w:rPr>
            </w:pPr>
            <w:r w:rsidRPr="001569FB">
              <w:rPr>
                <w:color w:val="000000"/>
                <w:sz w:val="18"/>
                <w:szCs w:val="18"/>
              </w:rPr>
              <w:t>Thyroid Disorders</w:t>
            </w:r>
          </w:p>
        </w:tc>
        <w:tc>
          <w:tcPr>
            <w:tcW w:w="636" w:type="pct"/>
            <w:tcBorders>
              <w:top w:val="nil"/>
              <w:left w:val="nil"/>
              <w:bottom w:val="single" w:sz="4" w:space="0" w:color="auto"/>
              <w:right w:val="single" w:sz="4" w:space="0" w:color="auto"/>
            </w:tcBorders>
            <w:shd w:val="clear" w:color="000000" w:fill="FFFFFF"/>
            <w:vAlign w:val="center"/>
            <w:hideMark/>
          </w:tcPr>
          <w:p w14:paraId="0B727A9A"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vAlign w:val="center"/>
            <w:hideMark/>
          </w:tcPr>
          <w:p w14:paraId="41D61633" w14:textId="77777777" w:rsidR="006F3A1A" w:rsidRPr="001569FB" w:rsidRDefault="006F3A1A" w:rsidP="008D4E91">
            <w:pPr>
              <w:spacing w:line="240" w:lineRule="auto"/>
              <w:jc w:val="center"/>
              <w:rPr>
                <w:color w:val="000000"/>
                <w:sz w:val="18"/>
                <w:szCs w:val="18"/>
              </w:rPr>
            </w:pPr>
            <w:r w:rsidRPr="001569FB">
              <w:rPr>
                <w:color w:val="000000"/>
                <w:sz w:val="18"/>
                <w:szCs w:val="18"/>
              </w:rPr>
              <w:t>0.182</w:t>
            </w:r>
          </w:p>
        </w:tc>
        <w:tc>
          <w:tcPr>
            <w:tcW w:w="637" w:type="pct"/>
            <w:tcBorders>
              <w:top w:val="nil"/>
              <w:left w:val="nil"/>
              <w:bottom w:val="single" w:sz="4" w:space="0" w:color="auto"/>
              <w:right w:val="single" w:sz="4" w:space="0" w:color="auto"/>
            </w:tcBorders>
            <w:shd w:val="clear" w:color="000000" w:fill="FFFFFF"/>
            <w:vAlign w:val="center"/>
            <w:hideMark/>
          </w:tcPr>
          <w:p w14:paraId="4D1E7B77"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727" w:type="pct"/>
            <w:tcBorders>
              <w:top w:val="nil"/>
              <w:left w:val="nil"/>
              <w:bottom w:val="single" w:sz="4" w:space="0" w:color="auto"/>
              <w:right w:val="single" w:sz="4" w:space="0" w:color="auto"/>
            </w:tcBorders>
            <w:shd w:val="clear" w:color="000000" w:fill="FFFFFF"/>
            <w:vAlign w:val="center"/>
            <w:hideMark/>
          </w:tcPr>
          <w:p w14:paraId="25737560"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c>
          <w:tcPr>
            <w:tcW w:w="592" w:type="pct"/>
            <w:tcBorders>
              <w:top w:val="nil"/>
              <w:left w:val="nil"/>
              <w:bottom w:val="single" w:sz="4" w:space="0" w:color="auto"/>
              <w:right w:val="single" w:sz="4" w:space="0" w:color="auto"/>
            </w:tcBorders>
            <w:shd w:val="clear" w:color="000000" w:fill="FFFFFF"/>
            <w:vAlign w:val="center"/>
            <w:hideMark/>
          </w:tcPr>
          <w:p w14:paraId="596AA1F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r>
      <w:tr w:rsidR="00EC34A7" w:rsidRPr="001569FB" w14:paraId="0E65D7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779104" w14:textId="77777777" w:rsidR="006F3A1A" w:rsidRPr="001569FB" w:rsidRDefault="006F3A1A" w:rsidP="008D4E91">
            <w:pPr>
              <w:spacing w:line="240" w:lineRule="auto"/>
              <w:rPr>
                <w:color w:val="000000"/>
                <w:sz w:val="18"/>
                <w:szCs w:val="18"/>
              </w:rPr>
            </w:pPr>
            <w:r w:rsidRPr="001569FB">
              <w:rPr>
                <w:color w:val="000000"/>
                <w:sz w:val="18"/>
                <w:szCs w:val="18"/>
              </w:rPr>
              <w:t>RXHCC43</w:t>
            </w:r>
          </w:p>
        </w:tc>
        <w:tc>
          <w:tcPr>
            <w:tcW w:w="909" w:type="pct"/>
            <w:tcBorders>
              <w:top w:val="nil"/>
              <w:left w:val="nil"/>
              <w:bottom w:val="single" w:sz="4" w:space="0" w:color="auto"/>
              <w:right w:val="single" w:sz="4" w:space="0" w:color="auto"/>
            </w:tcBorders>
            <w:shd w:val="clear" w:color="000000" w:fill="FFFFFF"/>
            <w:vAlign w:val="center"/>
            <w:hideMark/>
          </w:tcPr>
          <w:p w14:paraId="2702FD3A" w14:textId="77777777" w:rsidR="006F3A1A" w:rsidRPr="001569FB" w:rsidRDefault="006F3A1A" w:rsidP="008D4E91">
            <w:pPr>
              <w:spacing w:line="240" w:lineRule="auto"/>
              <w:rPr>
                <w:color w:val="000000"/>
                <w:sz w:val="18"/>
                <w:szCs w:val="18"/>
              </w:rPr>
            </w:pPr>
            <w:r w:rsidRPr="001569FB">
              <w:rPr>
                <w:color w:val="000000"/>
                <w:sz w:val="18"/>
                <w:szCs w:val="18"/>
              </w:rPr>
              <w:t>Morbid Obesity</w:t>
            </w:r>
          </w:p>
        </w:tc>
        <w:tc>
          <w:tcPr>
            <w:tcW w:w="636" w:type="pct"/>
            <w:tcBorders>
              <w:top w:val="nil"/>
              <w:left w:val="nil"/>
              <w:bottom w:val="single" w:sz="4" w:space="0" w:color="auto"/>
              <w:right w:val="single" w:sz="4" w:space="0" w:color="auto"/>
            </w:tcBorders>
            <w:shd w:val="clear" w:color="000000" w:fill="FFFFFF"/>
            <w:vAlign w:val="center"/>
            <w:hideMark/>
          </w:tcPr>
          <w:p w14:paraId="38B96B71" w14:textId="77777777" w:rsidR="006F3A1A" w:rsidRPr="001569FB" w:rsidRDefault="006F3A1A" w:rsidP="008D4E91">
            <w:pPr>
              <w:spacing w:line="240" w:lineRule="auto"/>
              <w:jc w:val="center"/>
              <w:rPr>
                <w:color w:val="000000"/>
                <w:sz w:val="18"/>
                <w:szCs w:val="18"/>
              </w:rPr>
            </w:pPr>
            <w:r w:rsidRPr="001569FB">
              <w:rPr>
                <w:color w:val="000000"/>
                <w:sz w:val="18"/>
                <w:szCs w:val="18"/>
              </w:rPr>
              <w:t>0.060</w:t>
            </w:r>
          </w:p>
        </w:tc>
        <w:tc>
          <w:tcPr>
            <w:tcW w:w="682" w:type="pct"/>
            <w:tcBorders>
              <w:top w:val="nil"/>
              <w:left w:val="nil"/>
              <w:bottom w:val="single" w:sz="4" w:space="0" w:color="auto"/>
              <w:right w:val="single" w:sz="4" w:space="0" w:color="auto"/>
            </w:tcBorders>
            <w:shd w:val="clear" w:color="000000" w:fill="FFFFFF"/>
            <w:vAlign w:val="center"/>
            <w:hideMark/>
          </w:tcPr>
          <w:p w14:paraId="3C5BB1E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4C5D62C" w14:textId="77777777" w:rsidR="006F3A1A" w:rsidRPr="001569FB" w:rsidRDefault="006F3A1A" w:rsidP="008D4E91">
            <w:pPr>
              <w:spacing w:line="240" w:lineRule="auto"/>
              <w:jc w:val="center"/>
              <w:rPr>
                <w:color w:val="000000"/>
                <w:sz w:val="18"/>
                <w:szCs w:val="18"/>
              </w:rPr>
            </w:pPr>
            <w:r w:rsidRPr="001569FB">
              <w:rPr>
                <w:color w:val="000000"/>
                <w:sz w:val="18"/>
                <w:szCs w:val="18"/>
              </w:rPr>
              <w:t>0.073</w:t>
            </w:r>
          </w:p>
        </w:tc>
        <w:tc>
          <w:tcPr>
            <w:tcW w:w="727" w:type="pct"/>
            <w:tcBorders>
              <w:top w:val="nil"/>
              <w:left w:val="nil"/>
              <w:bottom w:val="single" w:sz="4" w:space="0" w:color="auto"/>
              <w:right w:val="single" w:sz="4" w:space="0" w:color="auto"/>
            </w:tcBorders>
            <w:shd w:val="clear" w:color="000000" w:fill="FFFFFF"/>
            <w:vAlign w:val="center"/>
            <w:hideMark/>
          </w:tcPr>
          <w:p w14:paraId="54B6203D"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69FF9E39" w14:textId="77777777" w:rsidR="006F3A1A" w:rsidRPr="001569FB" w:rsidRDefault="006F3A1A" w:rsidP="008D4E91">
            <w:pPr>
              <w:spacing w:line="240" w:lineRule="auto"/>
              <w:jc w:val="center"/>
              <w:rPr>
                <w:color w:val="000000"/>
                <w:sz w:val="18"/>
                <w:szCs w:val="18"/>
              </w:rPr>
            </w:pPr>
            <w:r w:rsidRPr="001569FB">
              <w:rPr>
                <w:color w:val="000000"/>
                <w:sz w:val="18"/>
                <w:szCs w:val="18"/>
              </w:rPr>
              <w:t>0.170</w:t>
            </w:r>
          </w:p>
        </w:tc>
      </w:tr>
      <w:tr w:rsidR="00EC34A7" w:rsidRPr="001569FB" w14:paraId="21FE8CE7"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00D88B" w14:textId="77777777" w:rsidR="006F3A1A" w:rsidRPr="001569FB" w:rsidRDefault="006F3A1A" w:rsidP="008D4E91">
            <w:pPr>
              <w:spacing w:line="240" w:lineRule="auto"/>
              <w:rPr>
                <w:color w:val="000000"/>
                <w:sz w:val="18"/>
                <w:szCs w:val="18"/>
              </w:rPr>
            </w:pPr>
            <w:r w:rsidRPr="001569FB">
              <w:rPr>
                <w:color w:val="000000"/>
                <w:sz w:val="18"/>
                <w:szCs w:val="18"/>
              </w:rPr>
              <w:t>RXHCC45</w:t>
            </w:r>
          </w:p>
        </w:tc>
        <w:tc>
          <w:tcPr>
            <w:tcW w:w="909" w:type="pct"/>
            <w:tcBorders>
              <w:top w:val="nil"/>
              <w:left w:val="nil"/>
              <w:bottom w:val="single" w:sz="4" w:space="0" w:color="auto"/>
              <w:right w:val="single" w:sz="4" w:space="0" w:color="auto"/>
            </w:tcBorders>
            <w:shd w:val="clear" w:color="000000" w:fill="FFFFFF"/>
            <w:vAlign w:val="center"/>
            <w:hideMark/>
          </w:tcPr>
          <w:p w14:paraId="5F804235" w14:textId="77777777" w:rsidR="006F3A1A" w:rsidRPr="001569FB" w:rsidRDefault="006F3A1A" w:rsidP="008D4E91">
            <w:pPr>
              <w:spacing w:line="240" w:lineRule="auto"/>
              <w:rPr>
                <w:color w:val="000000"/>
                <w:sz w:val="18"/>
                <w:szCs w:val="18"/>
              </w:rPr>
            </w:pPr>
            <w:r w:rsidRPr="001569FB">
              <w:rPr>
                <w:color w:val="000000"/>
                <w:sz w:val="18"/>
                <w:szCs w:val="18"/>
              </w:rPr>
              <w:t>Disorders of Lipoid Metabolism</w:t>
            </w:r>
          </w:p>
        </w:tc>
        <w:tc>
          <w:tcPr>
            <w:tcW w:w="636" w:type="pct"/>
            <w:tcBorders>
              <w:top w:val="nil"/>
              <w:left w:val="nil"/>
              <w:bottom w:val="single" w:sz="4" w:space="0" w:color="auto"/>
              <w:right w:val="single" w:sz="4" w:space="0" w:color="auto"/>
            </w:tcBorders>
            <w:shd w:val="clear" w:color="000000" w:fill="FFFFFF"/>
            <w:vAlign w:val="center"/>
            <w:hideMark/>
          </w:tcPr>
          <w:p w14:paraId="5678D2E1" w14:textId="77777777" w:rsidR="006F3A1A" w:rsidRPr="001569FB" w:rsidRDefault="006F3A1A" w:rsidP="008D4E91">
            <w:pPr>
              <w:spacing w:line="240" w:lineRule="auto"/>
              <w:jc w:val="center"/>
              <w:rPr>
                <w:color w:val="000000"/>
                <w:sz w:val="18"/>
                <w:szCs w:val="18"/>
              </w:rPr>
            </w:pPr>
            <w:r w:rsidRPr="001569FB">
              <w:rPr>
                <w:color w:val="000000"/>
                <w:sz w:val="18"/>
                <w:szCs w:val="18"/>
              </w:rPr>
              <w:t>0.037</w:t>
            </w:r>
          </w:p>
        </w:tc>
        <w:tc>
          <w:tcPr>
            <w:tcW w:w="682" w:type="pct"/>
            <w:tcBorders>
              <w:top w:val="nil"/>
              <w:left w:val="nil"/>
              <w:bottom w:val="single" w:sz="4" w:space="0" w:color="auto"/>
              <w:right w:val="single" w:sz="4" w:space="0" w:color="auto"/>
            </w:tcBorders>
            <w:shd w:val="clear" w:color="000000" w:fill="FFFFFF"/>
            <w:vAlign w:val="center"/>
            <w:hideMark/>
          </w:tcPr>
          <w:p w14:paraId="743EE397"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BAE209A" w14:textId="77777777" w:rsidR="006F3A1A" w:rsidRPr="001569FB" w:rsidRDefault="006F3A1A" w:rsidP="008D4E91">
            <w:pPr>
              <w:spacing w:line="240" w:lineRule="auto"/>
              <w:jc w:val="center"/>
              <w:rPr>
                <w:color w:val="000000"/>
                <w:sz w:val="18"/>
                <w:szCs w:val="18"/>
              </w:rPr>
            </w:pPr>
            <w:r w:rsidRPr="001569FB">
              <w:rPr>
                <w:color w:val="000000"/>
                <w:sz w:val="18"/>
                <w:szCs w:val="18"/>
              </w:rPr>
              <w:t>0.068</w:t>
            </w:r>
          </w:p>
        </w:tc>
        <w:tc>
          <w:tcPr>
            <w:tcW w:w="727" w:type="pct"/>
            <w:tcBorders>
              <w:top w:val="nil"/>
              <w:left w:val="nil"/>
              <w:bottom w:val="single" w:sz="4" w:space="0" w:color="auto"/>
              <w:right w:val="single" w:sz="4" w:space="0" w:color="auto"/>
            </w:tcBorders>
            <w:shd w:val="clear" w:color="000000" w:fill="FFFFFF"/>
            <w:vAlign w:val="center"/>
            <w:hideMark/>
          </w:tcPr>
          <w:p w14:paraId="52257A74"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592" w:type="pct"/>
            <w:tcBorders>
              <w:top w:val="nil"/>
              <w:left w:val="nil"/>
              <w:bottom w:val="single" w:sz="4" w:space="0" w:color="auto"/>
              <w:right w:val="single" w:sz="4" w:space="0" w:color="auto"/>
            </w:tcBorders>
            <w:shd w:val="clear" w:color="000000" w:fill="FFFFFF"/>
            <w:vAlign w:val="center"/>
            <w:hideMark/>
          </w:tcPr>
          <w:p w14:paraId="02D78B10" w14:textId="77777777" w:rsidR="006F3A1A" w:rsidRPr="001569FB" w:rsidRDefault="006F3A1A" w:rsidP="008D4E91">
            <w:pPr>
              <w:spacing w:line="240" w:lineRule="auto"/>
              <w:jc w:val="center"/>
              <w:rPr>
                <w:color w:val="000000"/>
                <w:sz w:val="18"/>
                <w:szCs w:val="18"/>
              </w:rPr>
            </w:pPr>
            <w:r w:rsidRPr="001569FB">
              <w:rPr>
                <w:color w:val="000000"/>
                <w:sz w:val="18"/>
                <w:szCs w:val="18"/>
              </w:rPr>
              <w:t>0.055</w:t>
            </w:r>
          </w:p>
        </w:tc>
      </w:tr>
      <w:tr w:rsidR="00EC34A7" w:rsidRPr="001569FB" w14:paraId="30B399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D703437" w14:textId="77777777" w:rsidR="006F3A1A" w:rsidRPr="001569FB" w:rsidRDefault="006F3A1A" w:rsidP="008D4E91">
            <w:pPr>
              <w:spacing w:line="240" w:lineRule="auto"/>
              <w:rPr>
                <w:color w:val="000000"/>
                <w:sz w:val="18"/>
                <w:szCs w:val="18"/>
              </w:rPr>
            </w:pPr>
            <w:r w:rsidRPr="001569FB">
              <w:rPr>
                <w:color w:val="000000"/>
                <w:sz w:val="18"/>
                <w:szCs w:val="18"/>
              </w:rPr>
              <w:t>RXHCC54</w:t>
            </w:r>
          </w:p>
        </w:tc>
        <w:tc>
          <w:tcPr>
            <w:tcW w:w="909" w:type="pct"/>
            <w:tcBorders>
              <w:top w:val="nil"/>
              <w:left w:val="nil"/>
              <w:bottom w:val="single" w:sz="4" w:space="0" w:color="auto"/>
              <w:right w:val="single" w:sz="4" w:space="0" w:color="auto"/>
            </w:tcBorders>
            <w:shd w:val="clear" w:color="000000" w:fill="FFFFFF"/>
            <w:vAlign w:val="center"/>
            <w:hideMark/>
          </w:tcPr>
          <w:p w14:paraId="148FF89A"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C</w:t>
            </w:r>
          </w:p>
        </w:tc>
        <w:tc>
          <w:tcPr>
            <w:tcW w:w="636" w:type="pct"/>
            <w:tcBorders>
              <w:top w:val="nil"/>
              <w:left w:val="nil"/>
              <w:bottom w:val="single" w:sz="4" w:space="0" w:color="auto"/>
              <w:right w:val="single" w:sz="4" w:space="0" w:color="auto"/>
            </w:tcBorders>
            <w:shd w:val="clear" w:color="000000" w:fill="FFFFFF"/>
            <w:vAlign w:val="center"/>
            <w:hideMark/>
          </w:tcPr>
          <w:p w14:paraId="7240DE85" w14:textId="77777777" w:rsidR="006F3A1A" w:rsidRPr="001569FB" w:rsidRDefault="006F3A1A" w:rsidP="008D4E91">
            <w:pPr>
              <w:spacing w:line="240" w:lineRule="auto"/>
              <w:jc w:val="center"/>
              <w:rPr>
                <w:color w:val="000000"/>
                <w:sz w:val="18"/>
                <w:szCs w:val="18"/>
              </w:rPr>
            </w:pPr>
            <w:r w:rsidRPr="001569FB">
              <w:rPr>
                <w:color w:val="000000"/>
                <w:sz w:val="18"/>
                <w:szCs w:val="18"/>
              </w:rPr>
              <w:t>3.198</w:t>
            </w:r>
          </w:p>
        </w:tc>
        <w:tc>
          <w:tcPr>
            <w:tcW w:w="682" w:type="pct"/>
            <w:tcBorders>
              <w:top w:val="nil"/>
              <w:left w:val="nil"/>
              <w:bottom w:val="single" w:sz="4" w:space="0" w:color="auto"/>
              <w:right w:val="single" w:sz="4" w:space="0" w:color="auto"/>
            </w:tcBorders>
            <w:shd w:val="clear" w:color="000000" w:fill="FFFFFF"/>
            <w:vAlign w:val="center"/>
            <w:hideMark/>
          </w:tcPr>
          <w:p w14:paraId="3DA58575" w14:textId="77777777" w:rsidR="006F3A1A" w:rsidRPr="001569FB" w:rsidRDefault="006F3A1A" w:rsidP="008D4E91">
            <w:pPr>
              <w:spacing w:line="240" w:lineRule="auto"/>
              <w:jc w:val="center"/>
              <w:rPr>
                <w:color w:val="000000"/>
                <w:sz w:val="18"/>
                <w:szCs w:val="18"/>
              </w:rPr>
            </w:pPr>
            <w:r w:rsidRPr="001569FB">
              <w:rPr>
                <w:color w:val="000000"/>
                <w:sz w:val="18"/>
                <w:szCs w:val="18"/>
              </w:rPr>
              <w:t>3.675</w:t>
            </w:r>
          </w:p>
        </w:tc>
        <w:tc>
          <w:tcPr>
            <w:tcW w:w="637" w:type="pct"/>
            <w:tcBorders>
              <w:top w:val="nil"/>
              <w:left w:val="nil"/>
              <w:bottom w:val="single" w:sz="4" w:space="0" w:color="auto"/>
              <w:right w:val="single" w:sz="4" w:space="0" w:color="auto"/>
            </w:tcBorders>
            <w:shd w:val="clear" w:color="000000" w:fill="FFFFFF"/>
            <w:vAlign w:val="center"/>
            <w:hideMark/>
          </w:tcPr>
          <w:p w14:paraId="11FDBE23" w14:textId="77777777" w:rsidR="006F3A1A" w:rsidRPr="001569FB" w:rsidRDefault="006F3A1A" w:rsidP="008D4E91">
            <w:pPr>
              <w:spacing w:line="240" w:lineRule="auto"/>
              <w:jc w:val="center"/>
              <w:rPr>
                <w:color w:val="000000"/>
                <w:sz w:val="18"/>
                <w:szCs w:val="18"/>
              </w:rPr>
            </w:pPr>
            <w:r w:rsidRPr="001569FB">
              <w:rPr>
                <w:color w:val="000000"/>
                <w:sz w:val="18"/>
                <w:szCs w:val="18"/>
              </w:rPr>
              <w:t>2.882</w:t>
            </w:r>
          </w:p>
        </w:tc>
        <w:tc>
          <w:tcPr>
            <w:tcW w:w="727" w:type="pct"/>
            <w:tcBorders>
              <w:top w:val="nil"/>
              <w:left w:val="nil"/>
              <w:bottom w:val="single" w:sz="4" w:space="0" w:color="auto"/>
              <w:right w:val="single" w:sz="4" w:space="0" w:color="auto"/>
            </w:tcBorders>
            <w:shd w:val="clear" w:color="000000" w:fill="FFFFFF"/>
            <w:vAlign w:val="center"/>
            <w:hideMark/>
          </w:tcPr>
          <w:p w14:paraId="4E73F604" w14:textId="77777777" w:rsidR="006F3A1A" w:rsidRPr="001569FB" w:rsidRDefault="006F3A1A" w:rsidP="008D4E91">
            <w:pPr>
              <w:spacing w:line="240" w:lineRule="auto"/>
              <w:jc w:val="center"/>
              <w:rPr>
                <w:color w:val="000000"/>
                <w:sz w:val="18"/>
                <w:szCs w:val="18"/>
              </w:rPr>
            </w:pPr>
            <w:r w:rsidRPr="001569FB">
              <w:rPr>
                <w:color w:val="000000"/>
                <w:sz w:val="18"/>
                <w:szCs w:val="18"/>
              </w:rPr>
              <w:t>2.907</w:t>
            </w:r>
          </w:p>
        </w:tc>
        <w:tc>
          <w:tcPr>
            <w:tcW w:w="592" w:type="pct"/>
            <w:tcBorders>
              <w:top w:val="nil"/>
              <w:left w:val="nil"/>
              <w:bottom w:val="single" w:sz="4" w:space="0" w:color="auto"/>
              <w:right w:val="single" w:sz="4" w:space="0" w:color="auto"/>
            </w:tcBorders>
            <w:shd w:val="clear" w:color="000000" w:fill="FFFFFF"/>
            <w:vAlign w:val="center"/>
            <w:hideMark/>
          </w:tcPr>
          <w:p w14:paraId="51B1E539" w14:textId="77777777" w:rsidR="006F3A1A" w:rsidRPr="001569FB" w:rsidRDefault="006F3A1A" w:rsidP="008D4E91">
            <w:pPr>
              <w:spacing w:line="240" w:lineRule="auto"/>
              <w:jc w:val="center"/>
              <w:rPr>
                <w:color w:val="000000"/>
                <w:sz w:val="18"/>
                <w:szCs w:val="18"/>
              </w:rPr>
            </w:pPr>
            <w:r w:rsidRPr="001569FB">
              <w:rPr>
                <w:color w:val="000000"/>
                <w:sz w:val="18"/>
                <w:szCs w:val="18"/>
              </w:rPr>
              <w:t>0.929</w:t>
            </w:r>
          </w:p>
        </w:tc>
      </w:tr>
      <w:tr w:rsidR="00EC34A7" w:rsidRPr="001569FB" w14:paraId="22DE0A92"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1546AD" w14:textId="77777777" w:rsidR="006F3A1A" w:rsidRPr="001569FB" w:rsidRDefault="006F3A1A" w:rsidP="008D4E91">
            <w:pPr>
              <w:spacing w:line="240" w:lineRule="auto"/>
              <w:rPr>
                <w:color w:val="000000"/>
                <w:sz w:val="18"/>
                <w:szCs w:val="18"/>
              </w:rPr>
            </w:pPr>
            <w:r w:rsidRPr="001569FB">
              <w:rPr>
                <w:color w:val="000000"/>
                <w:sz w:val="18"/>
                <w:szCs w:val="18"/>
              </w:rPr>
              <w:t>RXHCC55</w:t>
            </w:r>
          </w:p>
        </w:tc>
        <w:tc>
          <w:tcPr>
            <w:tcW w:w="909" w:type="pct"/>
            <w:tcBorders>
              <w:top w:val="nil"/>
              <w:left w:val="nil"/>
              <w:bottom w:val="single" w:sz="4" w:space="0" w:color="auto"/>
              <w:right w:val="single" w:sz="4" w:space="0" w:color="auto"/>
            </w:tcBorders>
            <w:shd w:val="clear" w:color="000000" w:fill="FFFFFF"/>
            <w:vAlign w:val="center"/>
            <w:hideMark/>
          </w:tcPr>
          <w:p w14:paraId="4C454000"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Except Hepatitis C</w:t>
            </w:r>
          </w:p>
        </w:tc>
        <w:tc>
          <w:tcPr>
            <w:tcW w:w="636" w:type="pct"/>
            <w:tcBorders>
              <w:top w:val="nil"/>
              <w:left w:val="nil"/>
              <w:bottom w:val="single" w:sz="4" w:space="0" w:color="auto"/>
              <w:right w:val="single" w:sz="4" w:space="0" w:color="auto"/>
            </w:tcBorders>
            <w:shd w:val="clear" w:color="000000" w:fill="FFFFFF"/>
            <w:vAlign w:val="center"/>
            <w:hideMark/>
          </w:tcPr>
          <w:p w14:paraId="17B5223C" w14:textId="77777777" w:rsidR="006F3A1A" w:rsidRPr="001569FB" w:rsidRDefault="006F3A1A" w:rsidP="008D4E91">
            <w:pPr>
              <w:spacing w:line="240" w:lineRule="auto"/>
              <w:jc w:val="center"/>
              <w:rPr>
                <w:color w:val="000000"/>
                <w:sz w:val="18"/>
                <w:szCs w:val="18"/>
              </w:rPr>
            </w:pPr>
            <w:r w:rsidRPr="001569FB">
              <w:rPr>
                <w:color w:val="000000"/>
                <w:sz w:val="18"/>
                <w:szCs w:val="18"/>
              </w:rPr>
              <w:t>0.561</w:t>
            </w:r>
          </w:p>
        </w:tc>
        <w:tc>
          <w:tcPr>
            <w:tcW w:w="682" w:type="pct"/>
            <w:tcBorders>
              <w:top w:val="nil"/>
              <w:left w:val="nil"/>
              <w:bottom w:val="single" w:sz="4" w:space="0" w:color="auto"/>
              <w:right w:val="single" w:sz="4" w:space="0" w:color="auto"/>
            </w:tcBorders>
            <w:shd w:val="clear" w:color="000000" w:fill="FFFFFF"/>
            <w:vAlign w:val="center"/>
            <w:hideMark/>
          </w:tcPr>
          <w:p w14:paraId="1AEF104C"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637" w:type="pct"/>
            <w:tcBorders>
              <w:top w:val="nil"/>
              <w:left w:val="nil"/>
              <w:bottom w:val="single" w:sz="4" w:space="0" w:color="auto"/>
              <w:right w:val="single" w:sz="4" w:space="0" w:color="auto"/>
            </w:tcBorders>
            <w:shd w:val="clear" w:color="000000" w:fill="FFFFFF"/>
            <w:vAlign w:val="center"/>
            <w:hideMark/>
          </w:tcPr>
          <w:p w14:paraId="6050E56F" w14:textId="77777777" w:rsidR="006F3A1A" w:rsidRPr="001569FB" w:rsidRDefault="006F3A1A" w:rsidP="008D4E91">
            <w:pPr>
              <w:spacing w:line="240" w:lineRule="auto"/>
              <w:jc w:val="center"/>
              <w:rPr>
                <w:color w:val="000000"/>
                <w:sz w:val="18"/>
                <w:szCs w:val="18"/>
              </w:rPr>
            </w:pPr>
            <w:r w:rsidRPr="001569FB">
              <w:rPr>
                <w:color w:val="000000"/>
                <w:sz w:val="18"/>
                <w:szCs w:val="18"/>
              </w:rPr>
              <w:t>0.847</w:t>
            </w:r>
          </w:p>
        </w:tc>
        <w:tc>
          <w:tcPr>
            <w:tcW w:w="727" w:type="pct"/>
            <w:tcBorders>
              <w:top w:val="nil"/>
              <w:left w:val="nil"/>
              <w:bottom w:val="single" w:sz="4" w:space="0" w:color="auto"/>
              <w:right w:val="single" w:sz="4" w:space="0" w:color="auto"/>
            </w:tcBorders>
            <w:shd w:val="clear" w:color="000000" w:fill="FFFFFF"/>
            <w:vAlign w:val="center"/>
            <w:hideMark/>
          </w:tcPr>
          <w:p w14:paraId="1A7ECB83"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592" w:type="pct"/>
            <w:tcBorders>
              <w:top w:val="nil"/>
              <w:left w:val="nil"/>
              <w:bottom w:val="single" w:sz="4" w:space="0" w:color="auto"/>
              <w:right w:val="single" w:sz="4" w:space="0" w:color="auto"/>
            </w:tcBorders>
            <w:shd w:val="clear" w:color="000000" w:fill="FFFFFF"/>
            <w:vAlign w:val="center"/>
            <w:hideMark/>
          </w:tcPr>
          <w:p w14:paraId="0D52218E" w14:textId="77777777" w:rsidR="006F3A1A" w:rsidRPr="001569FB" w:rsidRDefault="006F3A1A" w:rsidP="008D4E91">
            <w:pPr>
              <w:spacing w:line="240" w:lineRule="auto"/>
              <w:jc w:val="center"/>
              <w:rPr>
                <w:color w:val="000000"/>
                <w:sz w:val="18"/>
                <w:szCs w:val="18"/>
              </w:rPr>
            </w:pPr>
            <w:r w:rsidRPr="001569FB">
              <w:rPr>
                <w:color w:val="000000"/>
                <w:sz w:val="18"/>
                <w:szCs w:val="18"/>
              </w:rPr>
              <w:t>0.361</w:t>
            </w:r>
          </w:p>
        </w:tc>
      </w:tr>
      <w:tr w:rsidR="00EC34A7" w:rsidRPr="001569FB" w14:paraId="5422FE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484F8B" w14:textId="77777777" w:rsidR="006F3A1A" w:rsidRPr="001569FB" w:rsidRDefault="006F3A1A" w:rsidP="008D4E91">
            <w:pPr>
              <w:spacing w:line="240" w:lineRule="auto"/>
              <w:rPr>
                <w:color w:val="000000"/>
                <w:sz w:val="18"/>
                <w:szCs w:val="18"/>
              </w:rPr>
            </w:pPr>
            <w:r w:rsidRPr="001569FB">
              <w:rPr>
                <w:color w:val="000000"/>
                <w:sz w:val="18"/>
                <w:szCs w:val="18"/>
              </w:rPr>
              <w:t>RXHCC65</w:t>
            </w:r>
          </w:p>
        </w:tc>
        <w:tc>
          <w:tcPr>
            <w:tcW w:w="909" w:type="pct"/>
            <w:tcBorders>
              <w:top w:val="nil"/>
              <w:left w:val="nil"/>
              <w:bottom w:val="single" w:sz="4" w:space="0" w:color="auto"/>
              <w:right w:val="single" w:sz="4" w:space="0" w:color="auto"/>
            </w:tcBorders>
            <w:shd w:val="clear" w:color="000000" w:fill="FFFFFF"/>
            <w:vAlign w:val="center"/>
            <w:hideMark/>
          </w:tcPr>
          <w:p w14:paraId="60204C6E" w14:textId="77777777" w:rsidR="006F3A1A" w:rsidRPr="001569FB" w:rsidRDefault="006F3A1A" w:rsidP="008D4E91">
            <w:pPr>
              <w:spacing w:line="240" w:lineRule="auto"/>
              <w:rPr>
                <w:color w:val="000000"/>
                <w:sz w:val="18"/>
                <w:szCs w:val="18"/>
              </w:rPr>
            </w:pPr>
            <w:r w:rsidRPr="001569FB">
              <w:rPr>
                <w:color w:val="000000"/>
                <w:sz w:val="18"/>
                <w:szCs w:val="18"/>
              </w:rPr>
              <w:t>Chronic Pancreatitis</w:t>
            </w:r>
          </w:p>
        </w:tc>
        <w:tc>
          <w:tcPr>
            <w:tcW w:w="636" w:type="pct"/>
            <w:tcBorders>
              <w:top w:val="nil"/>
              <w:left w:val="nil"/>
              <w:bottom w:val="single" w:sz="4" w:space="0" w:color="auto"/>
              <w:right w:val="single" w:sz="4" w:space="0" w:color="auto"/>
            </w:tcBorders>
            <w:shd w:val="clear" w:color="000000" w:fill="FFFFFF"/>
            <w:vAlign w:val="center"/>
            <w:hideMark/>
          </w:tcPr>
          <w:p w14:paraId="5220F5FF" w14:textId="77777777" w:rsidR="006F3A1A" w:rsidRPr="001569FB" w:rsidRDefault="006F3A1A" w:rsidP="008D4E91">
            <w:pPr>
              <w:spacing w:line="240" w:lineRule="auto"/>
              <w:jc w:val="center"/>
              <w:rPr>
                <w:color w:val="000000"/>
                <w:sz w:val="18"/>
                <w:szCs w:val="18"/>
              </w:rPr>
            </w:pPr>
            <w:r w:rsidRPr="001569FB">
              <w:rPr>
                <w:color w:val="000000"/>
                <w:sz w:val="18"/>
                <w:szCs w:val="18"/>
              </w:rPr>
              <w:t>0.279</w:t>
            </w:r>
          </w:p>
        </w:tc>
        <w:tc>
          <w:tcPr>
            <w:tcW w:w="682" w:type="pct"/>
            <w:tcBorders>
              <w:top w:val="nil"/>
              <w:left w:val="nil"/>
              <w:bottom w:val="single" w:sz="4" w:space="0" w:color="auto"/>
              <w:right w:val="single" w:sz="4" w:space="0" w:color="auto"/>
            </w:tcBorders>
            <w:shd w:val="clear" w:color="000000" w:fill="FFFFFF"/>
            <w:vAlign w:val="center"/>
            <w:hideMark/>
          </w:tcPr>
          <w:p w14:paraId="558A0FE7"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2C90E9B6"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727" w:type="pct"/>
            <w:tcBorders>
              <w:top w:val="nil"/>
              <w:left w:val="nil"/>
              <w:bottom w:val="single" w:sz="4" w:space="0" w:color="auto"/>
              <w:right w:val="single" w:sz="4" w:space="0" w:color="auto"/>
            </w:tcBorders>
            <w:shd w:val="clear" w:color="000000" w:fill="FFFFFF"/>
            <w:vAlign w:val="center"/>
            <w:hideMark/>
          </w:tcPr>
          <w:p w14:paraId="4E62A7F5"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39D24EBA" w14:textId="77777777" w:rsidR="006F3A1A" w:rsidRPr="001569FB" w:rsidRDefault="006F3A1A" w:rsidP="008D4E91">
            <w:pPr>
              <w:spacing w:line="240" w:lineRule="auto"/>
              <w:jc w:val="center"/>
              <w:rPr>
                <w:color w:val="000000"/>
                <w:sz w:val="18"/>
                <w:szCs w:val="18"/>
              </w:rPr>
            </w:pPr>
            <w:r w:rsidRPr="001569FB">
              <w:rPr>
                <w:color w:val="000000"/>
                <w:sz w:val="18"/>
                <w:szCs w:val="18"/>
              </w:rPr>
              <w:t>0.171</w:t>
            </w:r>
          </w:p>
        </w:tc>
      </w:tr>
      <w:tr w:rsidR="00EC34A7" w:rsidRPr="001569FB" w14:paraId="15F3206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8C3DEA" w14:textId="77777777" w:rsidR="006F3A1A" w:rsidRPr="001569FB" w:rsidRDefault="006F3A1A" w:rsidP="008D4E91">
            <w:pPr>
              <w:spacing w:line="240" w:lineRule="auto"/>
              <w:rPr>
                <w:color w:val="000000"/>
                <w:sz w:val="18"/>
                <w:szCs w:val="18"/>
              </w:rPr>
            </w:pPr>
            <w:r w:rsidRPr="001569FB">
              <w:rPr>
                <w:color w:val="000000"/>
                <w:sz w:val="18"/>
                <w:szCs w:val="18"/>
              </w:rPr>
              <w:t>RXHCC66</w:t>
            </w:r>
          </w:p>
        </w:tc>
        <w:tc>
          <w:tcPr>
            <w:tcW w:w="909" w:type="pct"/>
            <w:tcBorders>
              <w:top w:val="nil"/>
              <w:left w:val="nil"/>
              <w:bottom w:val="single" w:sz="4" w:space="0" w:color="auto"/>
              <w:right w:val="single" w:sz="4" w:space="0" w:color="auto"/>
            </w:tcBorders>
            <w:shd w:val="clear" w:color="000000" w:fill="FFFFFF"/>
            <w:vAlign w:val="center"/>
            <w:hideMark/>
          </w:tcPr>
          <w:p w14:paraId="683019EA" w14:textId="77777777" w:rsidR="006F3A1A" w:rsidRPr="001569FB" w:rsidRDefault="006F3A1A" w:rsidP="008D4E91">
            <w:pPr>
              <w:spacing w:line="240" w:lineRule="auto"/>
              <w:rPr>
                <w:color w:val="000000"/>
                <w:sz w:val="18"/>
                <w:szCs w:val="18"/>
              </w:rPr>
            </w:pPr>
            <w:r w:rsidRPr="001569FB">
              <w:rPr>
                <w:color w:val="000000"/>
                <w:sz w:val="18"/>
                <w:szCs w:val="18"/>
              </w:rPr>
              <w:t>Pancreatic Disorders and Intestinal Malabsorption, Except Pancreatitis</w:t>
            </w:r>
          </w:p>
        </w:tc>
        <w:tc>
          <w:tcPr>
            <w:tcW w:w="636" w:type="pct"/>
            <w:tcBorders>
              <w:top w:val="nil"/>
              <w:left w:val="nil"/>
              <w:bottom w:val="single" w:sz="4" w:space="0" w:color="auto"/>
              <w:right w:val="single" w:sz="4" w:space="0" w:color="auto"/>
            </w:tcBorders>
            <w:shd w:val="clear" w:color="000000" w:fill="FFFFFF"/>
            <w:vAlign w:val="center"/>
            <w:hideMark/>
          </w:tcPr>
          <w:p w14:paraId="185F1308"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c>
          <w:tcPr>
            <w:tcW w:w="682" w:type="pct"/>
            <w:tcBorders>
              <w:top w:val="nil"/>
              <w:left w:val="nil"/>
              <w:bottom w:val="single" w:sz="4" w:space="0" w:color="auto"/>
              <w:right w:val="single" w:sz="4" w:space="0" w:color="auto"/>
            </w:tcBorders>
            <w:shd w:val="clear" w:color="000000" w:fill="FFFFFF"/>
            <w:vAlign w:val="center"/>
            <w:hideMark/>
          </w:tcPr>
          <w:p w14:paraId="1269D866"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019F874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727" w:type="pct"/>
            <w:tcBorders>
              <w:top w:val="nil"/>
              <w:left w:val="nil"/>
              <w:bottom w:val="single" w:sz="4" w:space="0" w:color="auto"/>
              <w:right w:val="single" w:sz="4" w:space="0" w:color="auto"/>
            </w:tcBorders>
            <w:shd w:val="clear" w:color="000000" w:fill="FFFFFF"/>
            <w:vAlign w:val="center"/>
            <w:hideMark/>
          </w:tcPr>
          <w:p w14:paraId="6014F6BF"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1F4ADC53"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r>
      <w:tr w:rsidR="00EC34A7" w:rsidRPr="001569FB" w14:paraId="155F0FC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2F4831" w14:textId="77777777" w:rsidR="006F3A1A" w:rsidRPr="001569FB" w:rsidRDefault="006F3A1A" w:rsidP="008D4E91">
            <w:pPr>
              <w:spacing w:line="240" w:lineRule="auto"/>
              <w:rPr>
                <w:color w:val="000000"/>
                <w:sz w:val="18"/>
                <w:szCs w:val="18"/>
              </w:rPr>
            </w:pPr>
            <w:r w:rsidRPr="001569FB">
              <w:rPr>
                <w:color w:val="000000"/>
                <w:sz w:val="18"/>
                <w:szCs w:val="18"/>
              </w:rPr>
              <w:t>RXHCC67</w:t>
            </w:r>
          </w:p>
        </w:tc>
        <w:tc>
          <w:tcPr>
            <w:tcW w:w="909" w:type="pct"/>
            <w:tcBorders>
              <w:top w:val="nil"/>
              <w:left w:val="nil"/>
              <w:bottom w:val="single" w:sz="4" w:space="0" w:color="auto"/>
              <w:right w:val="single" w:sz="4" w:space="0" w:color="auto"/>
            </w:tcBorders>
            <w:shd w:val="clear" w:color="000000" w:fill="FFFFFF"/>
            <w:vAlign w:val="center"/>
            <w:hideMark/>
          </w:tcPr>
          <w:p w14:paraId="4FF156CB" w14:textId="77777777" w:rsidR="006F3A1A" w:rsidRPr="001569FB" w:rsidRDefault="006F3A1A" w:rsidP="008D4E91">
            <w:pPr>
              <w:spacing w:line="240" w:lineRule="auto"/>
              <w:rPr>
                <w:color w:val="000000"/>
                <w:sz w:val="18"/>
                <w:szCs w:val="18"/>
              </w:rPr>
            </w:pPr>
            <w:r w:rsidRPr="001569FB">
              <w:rPr>
                <w:color w:val="000000"/>
                <w:sz w:val="18"/>
                <w:szCs w:val="18"/>
              </w:rPr>
              <w:t>Inflammatory Bowel Disease</w:t>
            </w:r>
          </w:p>
        </w:tc>
        <w:tc>
          <w:tcPr>
            <w:tcW w:w="636" w:type="pct"/>
            <w:tcBorders>
              <w:top w:val="nil"/>
              <w:left w:val="nil"/>
              <w:bottom w:val="single" w:sz="4" w:space="0" w:color="auto"/>
              <w:right w:val="single" w:sz="4" w:space="0" w:color="auto"/>
            </w:tcBorders>
            <w:shd w:val="clear" w:color="000000" w:fill="FFFFFF"/>
            <w:vAlign w:val="center"/>
            <w:hideMark/>
          </w:tcPr>
          <w:p w14:paraId="789B7F29" w14:textId="77777777" w:rsidR="006F3A1A" w:rsidRPr="001569FB" w:rsidRDefault="006F3A1A" w:rsidP="008D4E91">
            <w:pPr>
              <w:spacing w:line="240" w:lineRule="auto"/>
              <w:jc w:val="center"/>
              <w:rPr>
                <w:color w:val="000000"/>
                <w:sz w:val="18"/>
                <w:szCs w:val="18"/>
              </w:rPr>
            </w:pPr>
            <w:r w:rsidRPr="001569FB">
              <w:rPr>
                <w:color w:val="000000"/>
                <w:sz w:val="18"/>
                <w:szCs w:val="18"/>
              </w:rPr>
              <w:t>0.547</w:t>
            </w:r>
          </w:p>
        </w:tc>
        <w:tc>
          <w:tcPr>
            <w:tcW w:w="682" w:type="pct"/>
            <w:tcBorders>
              <w:top w:val="nil"/>
              <w:left w:val="nil"/>
              <w:bottom w:val="single" w:sz="4" w:space="0" w:color="auto"/>
              <w:right w:val="single" w:sz="4" w:space="0" w:color="auto"/>
            </w:tcBorders>
            <w:shd w:val="clear" w:color="000000" w:fill="FFFFFF"/>
            <w:vAlign w:val="center"/>
            <w:hideMark/>
          </w:tcPr>
          <w:p w14:paraId="006A4ACC" w14:textId="77777777" w:rsidR="006F3A1A" w:rsidRPr="001569FB" w:rsidRDefault="006F3A1A" w:rsidP="008D4E91">
            <w:pPr>
              <w:spacing w:line="240" w:lineRule="auto"/>
              <w:jc w:val="center"/>
              <w:rPr>
                <w:color w:val="000000"/>
                <w:sz w:val="18"/>
                <w:szCs w:val="18"/>
              </w:rPr>
            </w:pPr>
            <w:r w:rsidRPr="001569FB">
              <w:rPr>
                <w:color w:val="000000"/>
                <w:sz w:val="18"/>
                <w:szCs w:val="18"/>
              </w:rPr>
              <w:t>0.472</w:t>
            </w:r>
          </w:p>
        </w:tc>
        <w:tc>
          <w:tcPr>
            <w:tcW w:w="637" w:type="pct"/>
            <w:tcBorders>
              <w:top w:val="nil"/>
              <w:left w:val="nil"/>
              <w:bottom w:val="single" w:sz="4" w:space="0" w:color="auto"/>
              <w:right w:val="single" w:sz="4" w:space="0" w:color="auto"/>
            </w:tcBorders>
            <w:shd w:val="clear" w:color="000000" w:fill="FFFFFF"/>
            <w:vAlign w:val="center"/>
            <w:hideMark/>
          </w:tcPr>
          <w:p w14:paraId="08C4342D" w14:textId="77777777" w:rsidR="006F3A1A" w:rsidRPr="001569FB" w:rsidRDefault="006F3A1A" w:rsidP="008D4E91">
            <w:pPr>
              <w:spacing w:line="240" w:lineRule="auto"/>
              <w:jc w:val="center"/>
              <w:rPr>
                <w:color w:val="000000"/>
                <w:sz w:val="18"/>
                <w:szCs w:val="18"/>
              </w:rPr>
            </w:pPr>
            <w:r w:rsidRPr="001569FB">
              <w:rPr>
                <w:color w:val="000000"/>
                <w:sz w:val="18"/>
                <w:szCs w:val="18"/>
              </w:rPr>
              <w:t>0.451</w:t>
            </w:r>
          </w:p>
        </w:tc>
        <w:tc>
          <w:tcPr>
            <w:tcW w:w="727" w:type="pct"/>
            <w:tcBorders>
              <w:top w:val="nil"/>
              <w:left w:val="nil"/>
              <w:bottom w:val="single" w:sz="4" w:space="0" w:color="auto"/>
              <w:right w:val="single" w:sz="4" w:space="0" w:color="auto"/>
            </w:tcBorders>
            <w:shd w:val="clear" w:color="000000" w:fill="FFFFFF"/>
            <w:vAlign w:val="center"/>
            <w:hideMark/>
          </w:tcPr>
          <w:p w14:paraId="6A126170" w14:textId="77777777" w:rsidR="006F3A1A" w:rsidRPr="001569FB" w:rsidRDefault="006F3A1A" w:rsidP="008D4E91">
            <w:pPr>
              <w:spacing w:line="240" w:lineRule="auto"/>
              <w:jc w:val="center"/>
              <w:rPr>
                <w:color w:val="000000"/>
                <w:sz w:val="18"/>
                <w:szCs w:val="18"/>
              </w:rPr>
            </w:pPr>
            <w:r w:rsidRPr="001569FB">
              <w:rPr>
                <w:color w:val="000000"/>
                <w:sz w:val="18"/>
                <w:szCs w:val="18"/>
              </w:rPr>
              <w:t>0.819</w:t>
            </w:r>
          </w:p>
        </w:tc>
        <w:tc>
          <w:tcPr>
            <w:tcW w:w="592" w:type="pct"/>
            <w:tcBorders>
              <w:top w:val="nil"/>
              <w:left w:val="nil"/>
              <w:bottom w:val="single" w:sz="4" w:space="0" w:color="auto"/>
              <w:right w:val="single" w:sz="4" w:space="0" w:color="auto"/>
            </w:tcBorders>
            <w:shd w:val="clear" w:color="000000" w:fill="FFFFFF"/>
            <w:vAlign w:val="center"/>
            <w:hideMark/>
          </w:tcPr>
          <w:p w14:paraId="5E30E8C7"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r>
      <w:tr w:rsidR="00EC34A7" w:rsidRPr="001569FB" w14:paraId="4F1E149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ED3E4D"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RXHCC68</w:t>
            </w:r>
          </w:p>
        </w:tc>
        <w:tc>
          <w:tcPr>
            <w:tcW w:w="909" w:type="pct"/>
            <w:tcBorders>
              <w:top w:val="nil"/>
              <w:left w:val="nil"/>
              <w:bottom w:val="single" w:sz="4" w:space="0" w:color="auto"/>
              <w:right w:val="single" w:sz="4" w:space="0" w:color="auto"/>
            </w:tcBorders>
            <w:shd w:val="clear" w:color="000000" w:fill="FFFFFF"/>
            <w:vAlign w:val="center"/>
            <w:hideMark/>
          </w:tcPr>
          <w:p w14:paraId="7A7BF738" w14:textId="77777777" w:rsidR="006F3A1A" w:rsidRPr="001569FB" w:rsidRDefault="006F3A1A" w:rsidP="008D4E91">
            <w:pPr>
              <w:spacing w:line="240" w:lineRule="auto"/>
              <w:rPr>
                <w:color w:val="000000"/>
                <w:sz w:val="18"/>
                <w:szCs w:val="18"/>
              </w:rPr>
            </w:pPr>
            <w:r w:rsidRPr="001569FB">
              <w:rPr>
                <w:color w:val="000000"/>
                <w:sz w:val="18"/>
                <w:szCs w:val="18"/>
              </w:rPr>
              <w:t>Esophageal Reflux and Other Disorders of Esophagus</w:t>
            </w:r>
          </w:p>
        </w:tc>
        <w:tc>
          <w:tcPr>
            <w:tcW w:w="636" w:type="pct"/>
            <w:tcBorders>
              <w:top w:val="nil"/>
              <w:left w:val="nil"/>
              <w:bottom w:val="single" w:sz="4" w:space="0" w:color="auto"/>
              <w:right w:val="single" w:sz="4" w:space="0" w:color="auto"/>
            </w:tcBorders>
            <w:shd w:val="clear" w:color="000000" w:fill="FFFFFF"/>
            <w:vAlign w:val="center"/>
            <w:hideMark/>
          </w:tcPr>
          <w:p w14:paraId="00C82B3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c>
          <w:tcPr>
            <w:tcW w:w="682" w:type="pct"/>
            <w:tcBorders>
              <w:top w:val="nil"/>
              <w:left w:val="nil"/>
              <w:bottom w:val="single" w:sz="4" w:space="0" w:color="auto"/>
              <w:right w:val="single" w:sz="4" w:space="0" w:color="auto"/>
            </w:tcBorders>
            <w:shd w:val="clear" w:color="000000" w:fill="FFFFFF"/>
            <w:vAlign w:val="center"/>
            <w:hideMark/>
          </w:tcPr>
          <w:p w14:paraId="1A2F7B6F" w14:textId="77777777" w:rsidR="006F3A1A" w:rsidRPr="001569FB" w:rsidRDefault="006F3A1A" w:rsidP="008D4E91">
            <w:pPr>
              <w:spacing w:line="240" w:lineRule="auto"/>
              <w:jc w:val="center"/>
              <w:rPr>
                <w:color w:val="000000"/>
                <w:sz w:val="18"/>
                <w:szCs w:val="18"/>
              </w:rPr>
            </w:pPr>
            <w:r w:rsidRPr="001569FB">
              <w:rPr>
                <w:color w:val="000000"/>
                <w:sz w:val="18"/>
                <w:szCs w:val="18"/>
              </w:rPr>
              <w:t>0.061</w:t>
            </w:r>
          </w:p>
        </w:tc>
        <w:tc>
          <w:tcPr>
            <w:tcW w:w="637" w:type="pct"/>
            <w:tcBorders>
              <w:top w:val="nil"/>
              <w:left w:val="nil"/>
              <w:bottom w:val="single" w:sz="4" w:space="0" w:color="auto"/>
              <w:right w:val="single" w:sz="4" w:space="0" w:color="auto"/>
            </w:tcBorders>
            <w:shd w:val="clear" w:color="000000" w:fill="FFFFFF"/>
            <w:vAlign w:val="center"/>
            <w:hideMark/>
          </w:tcPr>
          <w:p w14:paraId="2A9F149D"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33E68E5C"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592" w:type="pct"/>
            <w:tcBorders>
              <w:top w:val="nil"/>
              <w:left w:val="nil"/>
              <w:bottom w:val="single" w:sz="4" w:space="0" w:color="auto"/>
              <w:right w:val="single" w:sz="4" w:space="0" w:color="auto"/>
            </w:tcBorders>
            <w:shd w:val="clear" w:color="000000" w:fill="FFFFFF"/>
            <w:vAlign w:val="center"/>
            <w:hideMark/>
          </w:tcPr>
          <w:p w14:paraId="2EF02DE9" w14:textId="77777777" w:rsidR="006F3A1A" w:rsidRPr="001569FB" w:rsidRDefault="006F3A1A" w:rsidP="008D4E91">
            <w:pPr>
              <w:spacing w:line="240" w:lineRule="auto"/>
              <w:jc w:val="center"/>
              <w:rPr>
                <w:color w:val="000000"/>
                <w:sz w:val="18"/>
                <w:szCs w:val="18"/>
              </w:rPr>
            </w:pPr>
            <w:r w:rsidRPr="001569FB">
              <w:rPr>
                <w:color w:val="000000"/>
                <w:sz w:val="18"/>
                <w:szCs w:val="18"/>
              </w:rPr>
              <w:t>0.075</w:t>
            </w:r>
          </w:p>
        </w:tc>
      </w:tr>
      <w:tr w:rsidR="00EC34A7" w:rsidRPr="001569FB" w14:paraId="5872F00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0094F0B" w14:textId="77777777" w:rsidR="006F3A1A" w:rsidRPr="001569FB" w:rsidRDefault="006F3A1A" w:rsidP="008D4E91">
            <w:pPr>
              <w:spacing w:line="240" w:lineRule="auto"/>
              <w:rPr>
                <w:color w:val="000000"/>
                <w:sz w:val="18"/>
                <w:szCs w:val="18"/>
              </w:rPr>
            </w:pPr>
            <w:r w:rsidRPr="001569FB">
              <w:rPr>
                <w:color w:val="000000"/>
                <w:sz w:val="18"/>
                <w:szCs w:val="18"/>
              </w:rPr>
              <w:t>RXHCC80</w:t>
            </w:r>
          </w:p>
        </w:tc>
        <w:tc>
          <w:tcPr>
            <w:tcW w:w="909" w:type="pct"/>
            <w:tcBorders>
              <w:top w:val="nil"/>
              <w:left w:val="nil"/>
              <w:bottom w:val="single" w:sz="4" w:space="0" w:color="auto"/>
              <w:right w:val="single" w:sz="4" w:space="0" w:color="auto"/>
            </w:tcBorders>
            <w:shd w:val="clear" w:color="000000" w:fill="FFFFFF"/>
            <w:vAlign w:val="center"/>
            <w:hideMark/>
          </w:tcPr>
          <w:p w14:paraId="102A3B28" w14:textId="77777777" w:rsidR="006F3A1A" w:rsidRPr="001569FB" w:rsidRDefault="006F3A1A" w:rsidP="008D4E91">
            <w:pPr>
              <w:spacing w:line="240" w:lineRule="auto"/>
              <w:rPr>
                <w:color w:val="000000"/>
                <w:sz w:val="18"/>
                <w:szCs w:val="18"/>
              </w:rPr>
            </w:pPr>
            <w:r w:rsidRPr="001569FB">
              <w:rPr>
                <w:color w:val="000000"/>
                <w:sz w:val="18"/>
                <w:szCs w:val="18"/>
              </w:rPr>
              <w:t>Aseptic Necrosis of Bone</w:t>
            </w:r>
          </w:p>
        </w:tc>
        <w:tc>
          <w:tcPr>
            <w:tcW w:w="636" w:type="pct"/>
            <w:tcBorders>
              <w:top w:val="nil"/>
              <w:left w:val="nil"/>
              <w:bottom w:val="single" w:sz="4" w:space="0" w:color="auto"/>
              <w:right w:val="single" w:sz="4" w:space="0" w:color="auto"/>
            </w:tcBorders>
            <w:shd w:val="clear" w:color="000000" w:fill="FFFFFF"/>
            <w:vAlign w:val="center"/>
            <w:hideMark/>
          </w:tcPr>
          <w:p w14:paraId="3F2C1F0F" w14:textId="77777777" w:rsidR="006F3A1A" w:rsidRPr="001569FB" w:rsidRDefault="006F3A1A" w:rsidP="008D4E91">
            <w:pPr>
              <w:spacing w:line="240" w:lineRule="auto"/>
              <w:jc w:val="center"/>
              <w:rPr>
                <w:color w:val="000000"/>
                <w:sz w:val="18"/>
                <w:szCs w:val="18"/>
              </w:rPr>
            </w:pPr>
            <w:r w:rsidRPr="001569FB">
              <w:rPr>
                <w:color w:val="000000"/>
                <w:sz w:val="18"/>
                <w:szCs w:val="18"/>
              </w:rPr>
              <w:t>0.179</w:t>
            </w:r>
          </w:p>
        </w:tc>
        <w:tc>
          <w:tcPr>
            <w:tcW w:w="682" w:type="pct"/>
            <w:tcBorders>
              <w:top w:val="nil"/>
              <w:left w:val="nil"/>
              <w:bottom w:val="single" w:sz="4" w:space="0" w:color="auto"/>
              <w:right w:val="single" w:sz="4" w:space="0" w:color="auto"/>
            </w:tcBorders>
            <w:shd w:val="clear" w:color="000000" w:fill="FFFFFF"/>
            <w:vAlign w:val="center"/>
            <w:hideMark/>
          </w:tcPr>
          <w:p w14:paraId="1AB05EC3"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c>
          <w:tcPr>
            <w:tcW w:w="637" w:type="pct"/>
            <w:tcBorders>
              <w:top w:val="nil"/>
              <w:left w:val="nil"/>
              <w:bottom w:val="single" w:sz="4" w:space="0" w:color="auto"/>
              <w:right w:val="single" w:sz="4" w:space="0" w:color="auto"/>
            </w:tcBorders>
            <w:shd w:val="clear" w:color="000000" w:fill="FFFFFF"/>
            <w:vAlign w:val="center"/>
            <w:hideMark/>
          </w:tcPr>
          <w:p w14:paraId="7B303049" w14:textId="77777777" w:rsidR="006F3A1A" w:rsidRPr="001569FB" w:rsidRDefault="006F3A1A" w:rsidP="008D4E91">
            <w:pPr>
              <w:spacing w:line="240" w:lineRule="auto"/>
              <w:jc w:val="center"/>
              <w:rPr>
                <w:color w:val="000000"/>
                <w:sz w:val="18"/>
                <w:szCs w:val="18"/>
              </w:rPr>
            </w:pPr>
            <w:r w:rsidRPr="001569FB">
              <w:rPr>
                <w:color w:val="000000"/>
                <w:sz w:val="18"/>
                <w:szCs w:val="18"/>
              </w:rPr>
              <w:t>0.108</w:t>
            </w:r>
          </w:p>
        </w:tc>
        <w:tc>
          <w:tcPr>
            <w:tcW w:w="727" w:type="pct"/>
            <w:tcBorders>
              <w:top w:val="nil"/>
              <w:left w:val="nil"/>
              <w:bottom w:val="single" w:sz="4" w:space="0" w:color="auto"/>
              <w:right w:val="single" w:sz="4" w:space="0" w:color="auto"/>
            </w:tcBorders>
            <w:shd w:val="clear" w:color="000000" w:fill="FFFFFF"/>
            <w:vAlign w:val="center"/>
            <w:hideMark/>
          </w:tcPr>
          <w:p w14:paraId="02B94B5F"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592" w:type="pct"/>
            <w:tcBorders>
              <w:top w:val="nil"/>
              <w:left w:val="nil"/>
              <w:bottom w:val="single" w:sz="4" w:space="0" w:color="auto"/>
              <w:right w:val="single" w:sz="4" w:space="0" w:color="auto"/>
            </w:tcBorders>
            <w:shd w:val="clear" w:color="000000" w:fill="FFFFFF"/>
            <w:vAlign w:val="center"/>
            <w:hideMark/>
          </w:tcPr>
          <w:p w14:paraId="198D2FE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r>
      <w:tr w:rsidR="00EC34A7" w:rsidRPr="001569FB" w14:paraId="48F9C38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C6F4835" w14:textId="77777777" w:rsidR="006F3A1A" w:rsidRPr="001569FB" w:rsidRDefault="006F3A1A" w:rsidP="008D4E91">
            <w:pPr>
              <w:spacing w:line="240" w:lineRule="auto"/>
              <w:rPr>
                <w:color w:val="000000"/>
                <w:sz w:val="18"/>
                <w:szCs w:val="18"/>
              </w:rPr>
            </w:pPr>
            <w:r w:rsidRPr="001569FB">
              <w:rPr>
                <w:color w:val="000000"/>
                <w:sz w:val="18"/>
                <w:szCs w:val="18"/>
              </w:rPr>
              <w:t>RXHCC82</w:t>
            </w:r>
          </w:p>
        </w:tc>
        <w:tc>
          <w:tcPr>
            <w:tcW w:w="909" w:type="pct"/>
            <w:tcBorders>
              <w:top w:val="nil"/>
              <w:left w:val="nil"/>
              <w:bottom w:val="single" w:sz="4" w:space="0" w:color="auto"/>
              <w:right w:val="single" w:sz="4" w:space="0" w:color="auto"/>
            </w:tcBorders>
            <w:shd w:val="clear" w:color="000000" w:fill="FFFFFF"/>
            <w:vAlign w:val="center"/>
            <w:hideMark/>
          </w:tcPr>
          <w:p w14:paraId="64320945" w14:textId="77777777" w:rsidR="006F3A1A" w:rsidRPr="001569FB" w:rsidRDefault="006F3A1A" w:rsidP="008D4E91">
            <w:pPr>
              <w:spacing w:line="240" w:lineRule="auto"/>
              <w:rPr>
                <w:color w:val="000000"/>
                <w:sz w:val="18"/>
                <w:szCs w:val="18"/>
              </w:rPr>
            </w:pPr>
            <w:r w:rsidRPr="001569FB">
              <w:rPr>
                <w:color w:val="000000"/>
                <w:sz w:val="18"/>
                <w:szCs w:val="18"/>
              </w:rPr>
              <w:t>Psoriatic Arthropathy and Systemic Sclerosis</w:t>
            </w:r>
          </w:p>
        </w:tc>
        <w:tc>
          <w:tcPr>
            <w:tcW w:w="636" w:type="pct"/>
            <w:tcBorders>
              <w:top w:val="nil"/>
              <w:left w:val="nil"/>
              <w:bottom w:val="single" w:sz="4" w:space="0" w:color="auto"/>
              <w:right w:val="single" w:sz="4" w:space="0" w:color="auto"/>
            </w:tcBorders>
            <w:shd w:val="clear" w:color="000000" w:fill="FFFFFF"/>
            <w:vAlign w:val="center"/>
            <w:hideMark/>
          </w:tcPr>
          <w:p w14:paraId="6E9A8B1C" w14:textId="77777777" w:rsidR="006F3A1A" w:rsidRPr="001569FB" w:rsidRDefault="006F3A1A" w:rsidP="008D4E91">
            <w:pPr>
              <w:spacing w:line="240" w:lineRule="auto"/>
              <w:jc w:val="center"/>
              <w:rPr>
                <w:color w:val="000000"/>
                <w:sz w:val="18"/>
                <w:szCs w:val="18"/>
              </w:rPr>
            </w:pPr>
            <w:r w:rsidRPr="001569FB">
              <w:rPr>
                <w:color w:val="000000"/>
                <w:sz w:val="18"/>
                <w:szCs w:val="18"/>
              </w:rPr>
              <w:t>0.780</w:t>
            </w:r>
          </w:p>
        </w:tc>
        <w:tc>
          <w:tcPr>
            <w:tcW w:w="682" w:type="pct"/>
            <w:tcBorders>
              <w:top w:val="nil"/>
              <w:left w:val="nil"/>
              <w:bottom w:val="single" w:sz="4" w:space="0" w:color="auto"/>
              <w:right w:val="single" w:sz="4" w:space="0" w:color="auto"/>
            </w:tcBorders>
            <w:shd w:val="clear" w:color="000000" w:fill="FFFFFF"/>
            <w:vAlign w:val="center"/>
            <w:hideMark/>
          </w:tcPr>
          <w:p w14:paraId="39D7925B" w14:textId="77777777" w:rsidR="006F3A1A" w:rsidRPr="001569FB" w:rsidRDefault="006F3A1A" w:rsidP="008D4E91">
            <w:pPr>
              <w:spacing w:line="240" w:lineRule="auto"/>
              <w:jc w:val="center"/>
              <w:rPr>
                <w:color w:val="000000"/>
                <w:sz w:val="18"/>
                <w:szCs w:val="18"/>
              </w:rPr>
            </w:pPr>
            <w:r w:rsidRPr="001569FB">
              <w:rPr>
                <w:color w:val="000000"/>
                <w:sz w:val="18"/>
                <w:szCs w:val="18"/>
              </w:rPr>
              <w:t>0.751</w:t>
            </w:r>
          </w:p>
        </w:tc>
        <w:tc>
          <w:tcPr>
            <w:tcW w:w="637" w:type="pct"/>
            <w:tcBorders>
              <w:top w:val="nil"/>
              <w:left w:val="nil"/>
              <w:bottom w:val="single" w:sz="4" w:space="0" w:color="auto"/>
              <w:right w:val="single" w:sz="4" w:space="0" w:color="auto"/>
            </w:tcBorders>
            <w:shd w:val="clear" w:color="000000" w:fill="FFFFFF"/>
            <w:vAlign w:val="center"/>
            <w:hideMark/>
          </w:tcPr>
          <w:p w14:paraId="1E16772A" w14:textId="77777777" w:rsidR="006F3A1A" w:rsidRPr="001569FB" w:rsidRDefault="006F3A1A" w:rsidP="008D4E91">
            <w:pPr>
              <w:spacing w:line="240" w:lineRule="auto"/>
              <w:jc w:val="center"/>
              <w:rPr>
                <w:color w:val="000000"/>
                <w:sz w:val="18"/>
                <w:szCs w:val="18"/>
              </w:rPr>
            </w:pPr>
            <w:r w:rsidRPr="001569FB">
              <w:rPr>
                <w:color w:val="000000"/>
                <w:sz w:val="18"/>
                <w:szCs w:val="18"/>
              </w:rPr>
              <w:t>1.277</w:t>
            </w:r>
          </w:p>
        </w:tc>
        <w:tc>
          <w:tcPr>
            <w:tcW w:w="727" w:type="pct"/>
            <w:tcBorders>
              <w:top w:val="nil"/>
              <w:left w:val="nil"/>
              <w:bottom w:val="single" w:sz="4" w:space="0" w:color="auto"/>
              <w:right w:val="single" w:sz="4" w:space="0" w:color="auto"/>
            </w:tcBorders>
            <w:shd w:val="clear" w:color="000000" w:fill="FFFFFF"/>
            <w:vAlign w:val="center"/>
            <w:hideMark/>
          </w:tcPr>
          <w:p w14:paraId="5EE65262" w14:textId="77777777" w:rsidR="006F3A1A" w:rsidRPr="001569FB" w:rsidRDefault="006F3A1A" w:rsidP="008D4E91">
            <w:pPr>
              <w:spacing w:line="240" w:lineRule="auto"/>
              <w:jc w:val="center"/>
              <w:rPr>
                <w:color w:val="000000"/>
                <w:sz w:val="18"/>
                <w:szCs w:val="18"/>
              </w:rPr>
            </w:pPr>
            <w:r w:rsidRPr="001569FB">
              <w:rPr>
                <w:color w:val="000000"/>
                <w:sz w:val="18"/>
                <w:szCs w:val="18"/>
              </w:rPr>
              <w:t>2.037</w:t>
            </w:r>
          </w:p>
        </w:tc>
        <w:tc>
          <w:tcPr>
            <w:tcW w:w="592" w:type="pct"/>
            <w:tcBorders>
              <w:top w:val="nil"/>
              <w:left w:val="nil"/>
              <w:bottom w:val="single" w:sz="4" w:space="0" w:color="auto"/>
              <w:right w:val="single" w:sz="4" w:space="0" w:color="auto"/>
            </w:tcBorders>
            <w:shd w:val="clear" w:color="000000" w:fill="FFFFFF"/>
            <w:vAlign w:val="center"/>
            <w:hideMark/>
          </w:tcPr>
          <w:p w14:paraId="44F3686C" w14:textId="77777777" w:rsidR="006F3A1A" w:rsidRPr="001569FB" w:rsidRDefault="006F3A1A" w:rsidP="008D4E91">
            <w:pPr>
              <w:spacing w:line="240" w:lineRule="auto"/>
              <w:jc w:val="center"/>
              <w:rPr>
                <w:color w:val="000000"/>
                <w:sz w:val="18"/>
                <w:szCs w:val="18"/>
              </w:rPr>
            </w:pPr>
            <w:r w:rsidRPr="001569FB">
              <w:rPr>
                <w:color w:val="000000"/>
                <w:sz w:val="18"/>
                <w:szCs w:val="18"/>
              </w:rPr>
              <w:t>0.653</w:t>
            </w:r>
          </w:p>
        </w:tc>
      </w:tr>
      <w:tr w:rsidR="00EC34A7" w:rsidRPr="001569FB" w14:paraId="41A97B44"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0CE4EFC" w14:textId="77777777" w:rsidR="006F3A1A" w:rsidRPr="001569FB" w:rsidRDefault="006F3A1A" w:rsidP="008D4E91">
            <w:pPr>
              <w:spacing w:line="240" w:lineRule="auto"/>
              <w:rPr>
                <w:color w:val="000000"/>
                <w:sz w:val="18"/>
                <w:szCs w:val="18"/>
              </w:rPr>
            </w:pPr>
            <w:r w:rsidRPr="001569FB">
              <w:rPr>
                <w:color w:val="000000"/>
                <w:sz w:val="18"/>
                <w:szCs w:val="18"/>
              </w:rPr>
              <w:t>RXHCC83</w:t>
            </w:r>
          </w:p>
        </w:tc>
        <w:tc>
          <w:tcPr>
            <w:tcW w:w="909" w:type="pct"/>
            <w:tcBorders>
              <w:top w:val="nil"/>
              <w:left w:val="nil"/>
              <w:bottom w:val="single" w:sz="4" w:space="0" w:color="auto"/>
              <w:right w:val="single" w:sz="4" w:space="0" w:color="auto"/>
            </w:tcBorders>
            <w:shd w:val="clear" w:color="000000" w:fill="FFFFFF"/>
            <w:vAlign w:val="center"/>
            <w:hideMark/>
          </w:tcPr>
          <w:p w14:paraId="75B8DD94" w14:textId="77777777" w:rsidR="006F3A1A" w:rsidRPr="001569FB" w:rsidRDefault="006F3A1A" w:rsidP="008D4E91">
            <w:pPr>
              <w:spacing w:line="240" w:lineRule="auto"/>
              <w:rPr>
                <w:color w:val="000000"/>
                <w:sz w:val="18"/>
                <w:szCs w:val="18"/>
              </w:rPr>
            </w:pPr>
            <w:r w:rsidRPr="001569FB">
              <w:rPr>
                <w:color w:val="000000"/>
                <w:sz w:val="18"/>
                <w:szCs w:val="18"/>
              </w:rPr>
              <w:t>Rheumatoid Arthritis and Other Inflammatory Polyarthropathy</w:t>
            </w:r>
          </w:p>
        </w:tc>
        <w:tc>
          <w:tcPr>
            <w:tcW w:w="636" w:type="pct"/>
            <w:tcBorders>
              <w:top w:val="nil"/>
              <w:left w:val="nil"/>
              <w:bottom w:val="single" w:sz="4" w:space="0" w:color="auto"/>
              <w:right w:val="single" w:sz="4" w:space="0" w:color="auto"/>
            </w:tcBorders>
            <w:shd w:val="clear" w:color="000000" w:fill="FFFFFF"/>
            <w:vAlign w:val="center"/>
            <w:hideMark/>
          </w:tcPr>
          <w:p w14:paraId="50197445" w14:textId="77777777" w:rsidR="006F3A1A" w:rsidRPr="001569FB" w:rsidRDefault="006F3A1A" w:rsidP="008D4E91">
            <w:pPr>
              <w:spacing w:line="240" w:lineRule="auto"/>
              <w:jc w:val="center"/>
              <w:rPr>
                <w:color w:val="000000"/>
                <w:sz w:val="18"/>
                <w:szCs w:val="18"/>
              </w:rPr>
            </w:pPr>
            <w:r w:rsidRPr="001569FB">
              <w:rPr>
                <w:color w:val="000000"/>
                <w:sz w:val="18"/>
                <w:szCs w:val="18"/>
              </w:rPr>
              <w:t>0.382</w:t>
            </w:r>
          </w:p>
        </w:tc>
        <w:tc>
          <w:tcPr>
            <w:tcW w:w="682" w:type="pct"/>
            <w:tcBorders>
              <w:top w:val="nil"/>
              <w:left w:val="nil"/>
              <w:bottom w:val="single" w:sz="4" w:space="0" w:color="auto"/>
              <w:right w:val="single" w:sz="4" w:space="0" w:color="auto"/>
            </w:tcBorders>
            <w:shd w:val="clear" w:color="000000" w:fill="FFFFFF"/>
            <w:vAlign w:val="center"/>
            <w:hideMark/>
          </w:tcPr>
          <w:p w14:paraId="7B8E5E7E" w14:textId="77777777" w:rsidR="006F3A1A" w:rsidRPr="001569FB" w:rsidRDefault="006F3A1A" w:rsidP="008D4E91">
            <w:pPr>
              <w:spacing w:line="240" w:lineRule="auto"/>
              <w:jc w:val="center"/>
              <w:rPr>
                <w:color w:val="000000"/>
                <w:sz w:val="18"/>
                <w:szCs w:val="18"/>
              </w:rPr>
            </w:pPr>
            <w:r w:rsidRPr="001569FB">
              <w:rPr>
                <w:color w:val="000000"/>
                <w:sz w:val="18"/>
                <w:szCs w:val="18"/>
              </w:rPr>
              <w:t>0.415</w:t>
            </w:r>
          </w:p>
        </w:tc>
        <w:tc>
          <w:tcPr>
            <w:tcW w:w="637" w:type="pct"/>
            <w:tcBorders>
              <w:top w:val="nil"/>
              <w:left w:val="nil"/>
              <w:bottom w:val="single" w:sz="4" w:space="0" w:color="auto"/>
              <w:right w:val="single" w:sz="4" w:space="0" w:color="auto"/>
            </w:tcBorders>
            <w:shd w:val="clear" w:color="000000" w:fill="FFFFFF"/>
            <w:vAlign w:val="center"/>
            <w:hideMark/>
          </w:tcPr>
          <w:p w14:paraId="1FCC0967"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727" w:type="pct"/>
            <w:tcBorders>
              <w:top w:val="nil"/>
              <w:left w:val="nil"/>
              <w:bottom w:val="single" w:sz="4" w:space="0" w:color="auto"/>
              <w:right w:val="single" w:sz="4" w:space="0" w:color="auto"/>
            </w:tcBorders>
            <w:shd w:val="clear" w:color="000000" w:fill="FFFFFF"/>
            <w:vAlign w:val="center"/>
            <w:hideMark/>
          </w:tcPr>
          <w:p w14:paraId="7191712F" w14:textId="77777777" w:rsidR="006F3A1A" w:rsidRPr="001569FB" w:rsidRDefault="006F3A1A" w:rsidP="008D4E91">
            <w:pPr>
              <w:spacing w:line="240" w:lineRule="auto"/>
              <w:jc w:val="center"/>
              <w:rPr>
                <w:color w:val="000000"/>
                <w:sz w:val="18"/>
                <w:szCs w:val="18"/>
              </w:rPr>
            </w:pPr>
            <w:r w:rsidRPr="001569FB">
              <w:rPr>
                <w:color w:val="000000"/>
                <w:sz w:val="18"/>
                <w:szCs w:val="18"/>
              </w:rPr>
              <w:t>0.794</w:t>
            </w:r>
          </w:p>
        </w:tc>
        <w:tc>
          <w:tcPr>
            <w:tcW w:w="592" w:type="pct"/>
            <w:tcBorders>
              <w:top w:val="nil"/>
              <w:left w:val="nil"/>
              <w:bottom w:val="single" w:sz="4" w:space="0" w:color="auto"/>
              <w:right w:val="single" w:sz="4" w:space="0" w:color="auto"/>
            </w:tcBorders>
            <w:shd w:val="clear" w:color="000000" w:fill="FFFFFF"/>
            <w:vAlign w:val="center"/>
            <w:hideMark/>
          </w:tcPr>
          <w:p w14:paraId="73AFFDD3" w14:textId="77777777" w:rsidR="006F3A1A" w:rsidRPr="001569FB" w:rsidRDefault="006F3A1A" w:rsidP="008D4E91">
            <w:pPr>
              <w:spacing w:line="240" w:lineRule="auto"/>
              <w:jc w:val="center"/>
              <w:rPr>
                <w:color w:val="000000"/>
                <w:sz w:val="18"/>
                <w:szCs w:val="18"/>
              </w:rPr>
            </w:pPr>
            <w:r w:rsidRPr="001569FB">
              <w:rPr>
                <w:color w:val="000000"/>
                <w:sz w:val="18"/>
                <w:szCs w:val="18"/>
              </w:rPr>
              <w:t>0.185</w:t>
            </w:r>
          </w:p>
        </w:tc>
      </w:tr>
      <w:tr w:rsidR="00EC34A7" w:rsidRPr="001569FB" w14:paraId="5285DC1E" w14:textId="77777777" w:rsidTr="00EC34A7">
        <w:trPr>
          <w:trHeight w:val="189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DEAC409" w14:textId="77777777" w:rsidR="006F3A1A" w:rsidRPr="001569FB" w:rsidRDefault="006F3A1A" w:rsidP="008D4E91">
            <w:pPr>
              <w:spacing w:line="240" w:lineRule="auto"/>
              <w:rPr>
                <w:color w:val="000000"/>
                <w:sz w:val="18"/>
                <w:szCs w:val="18"/>
              </w:rPr>
            </w:pPr>
            <w:r w:rsidRPr="001569FB">
              <w:rPr>
                <w:color w:val="000000"/>
                <w:sz w:val="18"/>
                <w:szCs w:val="18"/>
              </w:rPr>
              <w:t>RXHCC84</w:t>
            </w:r>
          </w:p>
        </w:tc>
        <w:tc>
          <w:tcPr>
            <w:tcW w:w="909" w:type="pct"/>
            <w:tcBorders>
              <w:top w:val="nil"/>
              <w:left w:val="nil"/>
              <w:bottom w:val="single" w:sz="4" w:space="0" w:color="auto"/>
              <w:right w:val="single" w:sz="4" w:space="0" w:color="auto"/>
            </w:tcBorders>
            <w:shd w:val="clear" w:color="000000" w:fill="FFFFFF"/>
            <w:vAlign w:val="center"/>
            <w:hideMark/>
          </w:tcPr>
          <w:p w14:paraId="526F4910" w14:textId="77777777" w:rsidR="006F3A1A" w:rsidRPr="001569FB" w:rsidRDefault="006F3A1A" w:rsidP="008D4E91">
            <w:pPr>
              <w:spacing w:line="240" w:lineRule="auto"/>
              <w:rPr>
                <w:color w:val="000000"/>
                <w:sz w:val="18"/>
                <w:szCs w:val="18"/>
              </w:rPr>
            </w:pPr>
            <w:r w:rsidRPr="001569FB">
              <w:rPr>
                <w:color w:val="000000"/>
                <w:sz w:val="18"/>
                <w:szCs w:val="18"/>
              </w:rPr>
              <w:t>Systemic Lupus Erythematosus, Other Connective Tissue Disorders, and Inflammatory Spondylopathies</w:t>
            </w:r>
          </w:p>
        </w:tc>
        <w:tc>
          <w:tcPr>
            <w:tcW w:w="636" w:type="pct"/>
            <w:tcBorders>
              <w:top w:val="nil"/>
              <w:left w:val="nil"/>
              <w:bottom w:val="single" w:sz="4" w:space="0" w:color="auto"/>
              <w:right w:val="single" w:sz="4" w:space="0" w:color="auto"/>
            </w:tcBorders>
            <w:shd w:val="clear" w:color="000000" w:fill="FFFFFF"/>
            <w:vAlign w:val="center"/>
            <w:hideMark/>
          </w:tcPr>
          <w:p w14:paraId="1252C2B5" w14:textId="77777777" w:rsidR="006F3A1A" w:rsidRPr="001569FB" w:rsidRDefault="006F3A1A" w:rsidP="008D4E91">
            <w:pPr>
              <w:spacing w:line="240" w:lineRule="auto"/>
              <w:jc w:val="center"/>
              <w:rPr>
                <w:color w:val="000000"/>
                <w:sz w:val="18"/>
                <w:szCs w:val="18"/>
              </w:rPr>
            </w:pPr>
            <w:r w:rsidRPr="001569FB">
              <w:rPr>
                <w:color w:val="000000"/>
                <w:sz w:val="18"/>
                <w:szCs w:val="18"/>
              </w:rPr>
              <w:t>0.216</w:t>
            </w:r>
          </w:p>
        </w:tc>
        <w:tc>
          <w:tcPr>
            <w:tcW w:w="682" w:type="pct"/>
            <w:tcBorders>
              <w:top w:val="nil"/>
              <w:left w:val="nil"/>
              <w:bottom w:val="single" w:sz="4" w:space="0" w:color="auto"/>
              <w:right w:val="single" w:sz="4" w:space="0" w:color="auto"/>
            </w:tcBorders>
            <w:shd w:val="clear" w:color="000000" w:fill="FFFFFF"/>
            <w:vAlign w:val="center"/>
            <w:hideMark/>
          </w:tcPr>
          <w:p w14:paraId="0C044FB5" w14:textId="77777777" w:rsidR="006F3A1A" w:rsidRPr="001569FB" w:rsidRDefault="006F3A1A" w:rsidP="008D4E91">
            <w:pPr>
              <w:spacing w:line="240" w:lineRule="auto"/>
              <w:jc w:val="center"/>
              <w:rPr>
                <w:color w:val="000000"/>
                <w:sz w:val="18"/>
                <w:szCs w:val="18"/>
              </w:rPr>
            </w:pPr>
            <w:r w:rsidRPr="001569FB">
              <w:rPr>
                <w:color w:val="000000"/>
                <w:sz w:val="18"/>
                <w:szCs w:val="18"/>
              </w:rPr>
              <w:t>0.339</w:t>
            </w:r>
          </w:p>
        </w:tc>
        <w:tc>
          <w:tcPr>
            <w:tcW w:w="637" w:type="pct"/>
            <w:tcBorders>
              <w:top w:val="nil"/>
              <w:left w:val="nil"/>
              <w:bottom w:val="single" w:sz="4" w:space="0" w:color="auto"/>
              <w:right w:val="single" w:sz="4" w:space="0" w:color="auto"/>
            </w:tcBorders>
            <w:shd w:val="clear" w:color="000000" w:fill="FFFFFF"/>
            <w:vAlign w:val="center"/>
            <w:hideMark/>
          </w:tcPr>
          <w:p w14:paraId="1C727DD7" w14:textId="77777777" w:rsidR="006F3A1A" w:rsidRPr="001569FB" w:rsidRDefault="006F3A1A" w:rsidP="008D4E91">
            <w:pPr>
              <w:spacing w:line="240" w:lineRule="auto"/>
              <w:jc w:val="center"/>
              <w:rPr>
                <w:color w:val="000000"/>
                <w:sz w:val="18"/>
                <w:szCs w:val="18"/>
              </w:rPr>
            </w:pPr>
            <w:r w:rsidRPr="001569FB">
              <w:rPr>
                <w:color w:val="000000"/>
                <w:sz w:val="18"/>
                <w:szCs w:val="18"/>
              </w:rPr>
              <w:t>0.236</w:t>
            </w:r>
          </w:p>
        </w:tc>
        <w:tc>
          <w:tcPr>
            <w:tcW w:w="727" w:type="pct"/>
            <w:tcBorders>
              <w:top w:val="nil"/>
              <w:left w:val="nil"/>
              <w:bottom w:val="single" w:sz="4" w:space="0" w:color="auto"/>
              <w:right w:val="single" w:sz="4" w:space="0" w:color="auto"/>
            </w:tcBorders>
            <w:shd w:val="clear" w:color="000000" w:fill="FFFFFF"/>
            <w:vAlign w:val="center"/>
            <w:hideMark/>
          </w:tcPr>
          <w:p w14:paraId="6F526596" w14:textId="77777777" w:rsidR="006F3A1A" w:rsidRPr="001569FB" w:rsidRDefault="006F3A1A" w:rsidP="008D4E91">
            <w:pPr>
              <w:spacing w:line="240" w:lineRule="auto"/>
              <w:jc w:val="center"/>
              <w:rPr>
                <w:color w:val="000000"/>
                <w:sz w:val="18"/>
                <w:szCs w:val="18"/>
              </w:rPr>
            </w:pPr>
            <w:r w:rsidRPr="001569FB">
              <w:rPr>
                <w:color w:val="000000"/>
                <w:sz w:val="18"/>
                <w:szCs w:val="18"/>
              </w:rPr>
              <w:t>0.349</w:t>
            </w:r>
          </w:p>
        </w:tc>
        <w:tc>
          <w:tcPr>
            <w:tcW w:w="592" w:type="pct"/>
            <w:tcBorders>
              <w:top w:val="nil"/>
              <w:left w:val="nil"/>
              <w:bottom w:val="single" w:sz="4" w:space="0" w:color="auto"/>
              <w:right w:val="single" w:sz="4" w:space="0" w:color="auto"/>
            </w:tcBorders>
            <w:shd w:val="clear" w:color="000000" w:fill="FFFFFF"/>
            <w:vAlign w:val="center"/>
            <w:hideMark/>
          </w:tcPr>
          <w:p w14:paraId="47102C72"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r>
      <w:tr w:rsidR="00EC34A7" w:rsidRPr="001569FB" w14:paraId="110D2088"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5A4868" w14:textId="77777777" w:rsidR="006F3A1A" w:rsidRPr="001569FB" w:rsidRDefault="006F3A1A" w:rsidP="008D4E91">
            <w:pPr>
              <w:spacing w:line="240" w:lineRule="auto"/>
              <w:rPr>
                <w:color w:val="000000"/>
                <w:sz w:val="18"/>
                <w:szCs w:val="18"/>
              </w:rPr>
            </w:pPr>
            <w:r w:rsidRPr="001569FB">
              <w:rPr>
                <w:color w:val="000000"/>
                <w:sz w:val="18"/>
                <w:szCs w:val="18"/>
              </w:rPr>
              <w:t>RXHCC87</w:t>
            </w:r>
          </w:p>
        </w:tc>
        <w:tc>
          <w:tcPr>
            <w:tcW w:w="909" w:type="pct"/>
            <w:tcBorders>
              <w:top w:val="nil"/>
              <w:left w:val="nil"/>
              <w:bottom w:val="single" w:sz="4" w:space="0" w:color="auto"/>
              <w:right w:val="single" w:sz="4" w:space="0" w:color="auto"/>
            </w:tcBorders>
            <w:shd w:val="clear" w:color="000000" w:fill="FFFFFF"/>
            <w:vAlign w:val="center"/>
            <w:hideMark/>
          </w:tcPr>
          <w:p w14:paraId="4698B1FF" w14:textId="77777777" w:rsidR="006F3A1A" w:rsidRPr="001569FB" w:rsidRDefault="006F3A1A" w:rsidP="008D4E91">
            <w:pPr>
              <w:spacing w:line="240" w:lineRule="auto"/>
              <w:rPr>
                <w:color w:val="000000"/>
                <w:sz w:val="18"/>
                <w:szCs w:val="18"/>
              </w:rPr>
            </w:pPr>
            <w:r w:rsidRPr="001569FB">
              <w:rPr>
                <w:color w:val="000000"/>
                <w:sz w:val="18"/>
                <w:szCs w:val="18"/>
              </w:rPr>
              <w:t>Osteoporosis, Vertebral and Pathological Fractures</w:t>
            </w:r>
          </w:p>
        </w:tc>
        <w:tc>
          <w:tcPr>
            <w:tcW w:w="636" w:type="pct"/>
            <w:tcBorders>
              <w:top w:val="nil"/>
              <w:left w:val="nil"/>
              <w:bottom w:val="single" w:sz="4" w:space="0" w:color="auto"/>
              <w:right w:val="single" w:sz="4" w:space="0" w:color="auto"/>
            </w:tcBorders>
            <w:shd w:val="clear" w:color="000000" w:fill="FFFFFF"/>
            <w:vAlign w:val="center"/>
            <w:hideMark/>
          </w:tcPr>
          <w:p w14:paraId="6AF152FC" w14:textId="77777777" w:rsidR="006F3A1A" w:rsidRPr="001569FB" w:rsidRDefault="006F3A1A" w:rsidP="008D4E91">
            <w:pPr>
              <w:spacing w:line="240" w:lineRule="auto"/>
              <w:jc w:val="center"/>
              <w:rPr>
                <w:color w:val="000000"/>
                <w:sz w:val="18"/>
                <w:szCs w:val="18"/>
              </w:rPr>
            </w:pPr>
            <w:r w:rsidRPr="001569FB">
              <w:rPr>
                <w:color w:val="000000"/>
                <w:sz w:val="18"/>
                <w:szCs w:val="18"/>
              </w:rPr>
              <w:t>0.053</w:t>
            </w:r>
          </w:p>
        </w:tc>
        <w:tc>
          <w:tcPr>
            <w:tcW w:w="682" w:type="pct"/>
            <w:tcBorders>
              <w:top w:val="nil"/>
              <w:left w:val="nil"/>
              <w:bottom w:val="single" w:sz="4" w:space="0" w:color="auto"/>
              <w:right w:val="single" w:sz="4" w:space="0" w:color="auto"/>
            </w:tcBorders>
            <w:shd w:val="clear" w:color="000000" w:fill="FFFFFF"/>
            <w:vAlign w:val="center"/>
            <w:hideMark/>
          </w:tcPr>
          <w:p w14:paraId="47097519"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c>
          <w:tcPr>
            <w:tcW w:w="637" w:type="pct"/>
            <w:tcBorders>
              <w:top w:val="nil"/>
              <w:left w:val="nil"/>
              <w:bottom w:val="single" w:sz="4" w:space="0" w:color="auto"/>
              <w:right w:val="single" w:sz="4" w:space="0" w:color="auto"/>
            </w:tcBorders>
            <w:shd w:val="clear" w:color="000000" w:fill="FFFFFF"/>
            <w:vAlign w:val="center"/>
            <w:hideMark/>
          </w:tcPr>
          <w:p w14:paraId="50DE1B1F"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c>
          <w:tcPr>
            <w:tcW w:w="727" w:type="pct"/>
            <w:tcBorders>
              <w:top w:val="nil"/>
              <w:left w:val="nil"/>
              <w:bottom w:val="single" w:sz="4" w:space="0" w:color="auto"/>
              <w:right w:val="single" w:sz="4" w:space="0" w:color="auto"/>
            </w:tcBorders>
            <w:shd w:val="clear" w:color="000000" w:fill="FFFFFF"/>
            <w:vAlign w:val="center"/>
            <w:hideMark/>
          </w:tcPr>
          <w:p w14:paraId="73C34256"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24D4C16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E30515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FA5C225" w14:textId="77777777" w:rsidR="006F3A1A" w:rsidRPr="001569FB" w:rsidRDefault="006F3A1A" w:rsidP="008D4E91">
            <w:pPr>
              <w:spacing w:line="240" w:lineRule="auto"/>
              <w:rPr>
                <w:color w:val="000000"/>
                <w:sz w:val="18"/>
                <w:szCs w:val="18"/>
              </w:rPr>
            </w:pPr>
            <w:r w:rsidRPr="001569FB">
              <w:rPr>
                <w:color w:val="000000"/>
                <w:sz w:val="18"/>
                <w:szCs w:val="18"/>
              </w:rPr>
              <w:t>RXHCC95</w:t>
            </w:r>
          </w:p>
        </w:tc>
        <w:tc>
          <w:tcPr>
            <w:tcW w:w="909" w:type="pct"/>
            <w:tcBorders>
              <w:top w:val="nil"/>
              <w:left w:val="nil"/>
              <w:bottom w:val="single" w:sz="4" w:space="0" w:color="auto"/>
              <w:right w:val="single" w:sz="4" w:space="0" w:color="auto"/>
            </w:tcBorders>
            <w:shd w:val="clear" w:color="000000" w:fill="FFFFFF"/>
            <w:vAlign w:val="center"/>
            <w:hideMark/>
          </w:tcPr>
          <w:p w14:paraId="5515DCE2" w14:textId="77777777" w:rsidR="006F3A1A" w:rsidRPr="001569FB" w:rsidRDefault="006F3A1A" w:rsidP="008D4E91">
            <w:pPr>
              <w:spacing w:line="240" w:lineRule="auto"/>
              <w:rPr>
                <w:color w:val="000000"/>
                <w:sz w:val="18"/>
                <w:szCs w:val="18"/>
              </w:rPr>
            </w:pPr>
            <w:r w:rsidRPr="001569FB">
              <w:rPr>
                <w:color w:val="000000"/>
                <w:sz w:val="18"/>
                <w:szCs w:val="18"/>
              </w:rPr>
              <w:t>Sickle Cell Anemia</w:t>
            </w:r>
          </w:p>
        </w:tc>
        <w:tc>
          <w:tcPr>
            <w:tcW w:w="636" w:type="pct"/>
            <w:tcBorders>
              <w:top w:val="nil"/>
              <w:left w:val="nil"/>
              <w:bottom w:val="single" w:sz="4" w:space="0" w:color="auto"/>
              <w:right w:val="single" w:sz="4" w:space="0" w:color="auto"/>
            </w:tcBorders>
            <w:shd w:val="clear" w:color="000000" w:fill="FFFFFF"/>
            <w:vAlign w:val="center"/>
            <w:hideMark/>
          </w:tcPr>
          <w:p w14:paraId="42C7A2F7"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7FC3C7E6" w14:textId="77777777" w:rsidR="006F3A1A" w:rsidRPr="001569FB" w:rsidRDefault="006F3A1A" w:rsidP="008D4E91">
            <w:pPr>
              <w:spacing w:line="240" w:lineRule="auto"/>
              <w:jc w:val="center"/>
              <w:rPr>
                <w:color w:val="000000"/>
                <w:sz w:val="18"/>
                <w:szCs w:val="18"/>
              </w:rPr>
            </w:pPr>
            <w:r w:rsidRPr="001569FB">
              <w:rPr>
                <w:color w:val="000000"/>
                <w:sz w:val="18"/>
                <w:szCs w:val="18"/>
              </w:rPr>
              <w:t>0.293</w:t>
            </w:r>
          </w:p>
        </w:tc>
        <w:tc>
          <w:tcPr>
            <w:tcW w:w="637" w:type="pct"/>
            <w:tcBorders>
              <w:top w:val="nil"/>
              <w:left w:val="nil"/>
              <w:bottom w:val="single" w:sz="4" w:space="0" w:color="auto"/>
              <w:right w:val="single" w:sz="4" w:space="0" w:color="auto"/>
            </w:tcBorders>
            <w:shd w:val="clear" w:color="000000" w:fill="FFFFFF"/>
            <w:vAlign w:val="center"/>
            <w:hideMark/>
          </w:tcPr>
          <w:p w14:paraId="14D8D185"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5CEAA4AB" w14:textId="77777777" w:rsidR="006F3A1A" w:rsidRPr="001569FB" w:rsidRDefault="006F3A1A" w:rsidP="008D4E91">
            <w:pPr>
              <w:spacing w:line="240" w:lineRule="auto"/>
              <w:jc w:val="center"/>
              <w:rPr>
                <w:color w:val="000000"/>
                <w:sz w:val="18"/>
                <w:szCs w:val="18"/>
              </w:rPr>
            </w:pPr>
            <w:r w:rsidRPr="001569FB">
              <w:rPr>
                <w:color w:val="000000"/>
                <w:sz w:val="18"/>
                <w:szCs w:val="18"/>
              </w:rPr>
              <w:t>0.778</w:t>
            </w:r>
          </w:p>
        </w:tc>
        <w:tc>
          <w:tcPr>
            <w:tcW w:w="592" w:type="pct"/>
            <w:tcBorders>
              <w:top w:val="nil"/>
              <w:left w:val="nil"/>
              <w:bottom w:val="single" w:sz="4" w:space="0" w:color="auto"/>
              <w:right w:val="single" w:sz="4" w:space="0" w:color="auto"/>
            </w:tcBorders>
            <w:shd w:val="clear" w:color="000000" w:fill="FFFFFF"/>
            <w:vAlign w:val="center"/>
            <w:hideMark/>
          </w:tcPr>
          <w:p w14:paraId="30BC2DA8" w14:textId="77777777" w:rsidR="006F3A1A" w:rsidRPr="001569FB" w:rsidRDefault="006F3A1A" w:rsidP="008D4E91">
            <w:pPr>
              <w:spacing w:line="240" w:lineRule="auto"/>
              <w:jc w:val="center"/>
              <w:rPr>
                <w:color w:val="000000"/>
                <w:sz w:val="18"/>
                <w:szCs w:val="18"/>
              </w:rPr>
            </w:pPr>
            <w:r w:rsidRPr="001569FB">
              <w:rPr>
                <w:color w:val="000000"/>
                <w:sz w:val="18"/>
                <w:szCs w:val="18"/>
              </w:rPr>
              <w:t>0.333</w:t>
            </w:r>
          </w:p>
        </w:tc>
      </w:tr>
      <w:tr w:rsidR="00EC34A7" w:rsidRPr="001569FB" w14:paraId="3A7C12E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AD18C5" w14:textId="77777777" w:rsidR="006F3A1A" w:rsidRPr="001569FB" w:rsidRDefault="006F3A1A" w:rsidP="008D4E91">
            <w:pPr>
              <w:spacing w:line="240" w:lineRule="auto"/>
              <w:rPr>
                <w:color w:val="000000"/>
                <w:sz w:val="18"/>
                <w:szCs w:val="18"/>
              </w:rPr>
            </w:pPr>
            <w:r w:rsidRPr="001569FB">
              <w:rPr>
                <w:color w:val="000000"/>
                <w:sz w:val="18"/>
                <w:szCs w:val="18"/>
              </w:rPr>
              <w:t>RXHCC96</w:t>
            </w:r>
          </w:p>
        </w:tc>
        <w:tc>
          <w:tcPr>
            <w:tcW w:w="909" w:type="pct"/>
            <w:tcBorders>
              <w:top w:val="nil"/>
              <w:left w:val="nil"/>
              <w:bottom w:val="single" w:sz="4" w:space="0" w:color="auto"/>
              <w:right w:val="single" w:sz="4" w:space="0" w:color="auto"/>
            </w:tcBorders>
            <w:shd w:val="clear" w:color="000000" w:fill="FFFFFF"/>
            <w:vAlign w:val="center"/>
            <w:hideMark/>
          </w:tcPr>
          <w:p w14:paraId="319C372D" w14:textId="77777777" w:rsidR="006F3A1A" w:rsidRPr="001569FB" w:rsidRDefault="006F3A1A" w:rsidP="008D4E91">
            <w:pPr>
              <w:spacing w:line="240" w:lineRule="auto"/>
              <w:rPr>
                <w:color w:val="000000"/>
                <w:sz w:val="18"/>
                <w:szCs w:val="18"/>
              </w:rPr>
            </w:pPr>
            <w:r w:rsidRPr="001569FB">
              <w:rPr>
                <w:color w:val="000000"/>
                <w:sz w:val="18"/>
                <w:szCs w:val="18"/>
              </w:rPr>
              <w:t>Myelodysplastic Syndromes and Myelofibrosis</w:t>
            </w:r>
          </w:p>
        </w:tc>
        <w:tc>
          <w:tcPr>
            <w:tcW w:w="636" w:type="pct"/>
            <w:tcBorders>
              <w:top w:val="nil"/>
              <w:left w:val="nil"/>
              <w:bottom w:val="single" w:sz="4" w:space="0" w:color="auto"/>
              <w:right w:val="single" w:sz="4" w:space="0" w:color="auto"/>
            </w:tcBorders>
            <w:shd w:val="clear" w:color="000000" w:fill="FFFFFF"/>
            <w:vAlign w:val="center"/>
            <w:hideMark/>
          </w:tcPr>
          <w:p w14:paraId="50FD8B9E" w14:textId="77777777" w:rsidR="006F3A1A" w:rsidRPr="001569FB" w:rsidRDefault="006F3A1A" w:rsidP="008D4E91">
            <w:pPr>
              <w:spacing w:line="240" w:lineRule="auto"/>
              <w:jc w:val="center"/>
              <w:rPr>
                <w:color w:val="000000"/>
                <w:sz w:val="18"/>
                <w:szCs w:val="18"/>
              </w:rPr>
            </w:pPr>
            <w:r w:rsidRPr="001569FB">
              <w:rPr>
                <w:color w:val="000000"/>
                <w:sz w:val="18"/>
                <w:szCs w:val="18"/>
              </w:rPr>
              <w:t>0.966</w:t>
            </w:r>
          </w:p>
        </w:tc>
        <w:tc>
          <w:tcPr>
            <w:tcW w:w="682" w:type="pct"/>
            <w:tcBorders>
              <w:top w:val="nil"/>
              <w:left w:val="nil"/>
              <w:bottom w:val="single" w:sz="4" w:space="0" w:color="auto"/>
              <w:right w:val="single" w:sz="4" w:space="0" w:color="auto"/>
            </w:tcBorders>
            <w:shd w:val="clear" w:color="000000" w:fill="FFFFFF"/>
            <w:vAlign w:val="center"/>
            <w:hideMark/>
          </w:tcPr>
          <w:p w14:paraId="29E2172C" w14:textId="77777777" w:rsidR="006F3A1A" w:rsidRPr="001569FB" w:rsidRDefault="006F3A1A" w:rsidP="008D4E91">
            <w:pPr>
              <w:spacing w:line="240" w:lineRule="auto"/>
              <w:jc w:val="center"/>
              <w:rPr>
                <w:color w:val="000000"/>
                <w:sz w:val="18"/>
                <w:szCs w:val="18"/>
              </w:rPr>
            </w:pPr>
            <w:r w:rsidRPr="001569FB">
              <w:rPr>
                <w:color w:val="000000"/>
                <w:sz w:val="18"/>
                <w:szCs w:val="18"/>
              </w:rPr>
              <w:t>1.144</w:t>
            </w:r>
          </w:p>
        </w:tc>
        <w:tc>
          <w:tcPr>
            <w:tcW w:w="637" w:type="pct"/>
            <w:tcBorders>
              <w:top w:val="nil"/>
              <w:left w:val="nil"/>
              <w:bottom w:val="single" w:sz="4" w:space="0" w:color="auto"/>
              <w:right w:val="single" w:sz="4" w:space="0" w:color="auto"/>
            </w:tcBorders>
            <w:shd w:val="clear" w:color="000000" w:fill="FFFFFF"/>
            <w:vAlign w:val="center"/>
            <w:hideMark/>
          </w:tcPr>
          <w:p w14:paraId="619FC69A" w14:textId="77777777" w:rsidR="006F3A1A" w:rsidRPr="001569FB" w:rsidRDefault="006F3A1A" w:rsidP="008D4E91">
            <w:pPr>
              <w:spacing w:line="240" w:lineRule="auto"/>
              <w:jc w:val="center"/>
              <w:rPr>
                <w:color w:val="000000"/>
                <w:sz w:val="18"/>
                <w:szCs w:val="18"/>
              </w:rPr>
            </w:pPr>
            <w:r w:rsidRPr="001569FB">
              <w:rPr>
                <w:color w:val="000000"/>
                <w:sz w:val="18"/>
                <w:szCs w:val="18"/>
              </w:rPr>
              <w:t>0.761</w:t>
            </w:r>
          </w:p>
        </w:tc>
        <w:tc>
          <w:tcPr>
            <w:tcW w:w="727" w:type="pct"/>
            <w:tcBorders>
              <w:top w:val="nil"/>
              <w:left w:val="nil"/>
              <w:bottom w:val="single" w:sz="4" w:space="0" w:color="auto"/>
              <w:right w:val="single" w:sz="4" w:space="0" w:color="auto"/>
            </w:tcBorders>
            <w:shd w:val="clear" w:color="000000" w:fill="FFFFFF"/>
            <w:vAlign w:val="center"/>
            <w:hideMark/>
          </w:tcPr>
          <w:p w14:paraId="4992F70F" w14:textId="77777777" w:rsidR="006F3A1A" w:rsidRPr="001569FB" w:rsidRDefault="006F3A1A" w:rsidP="008D4E91">
            <w:pPr>
              <w:spacing w:line="240" w:lineRule="auto"/>
              <w:jc w:val="center"/>
              <w:rPr>
                <w:color w:val="000000"/>
                <w:sz w:val="18"/>
                <w:szCs w:val="18"/>
              </w:rPr>
            </w:pPr>
            <w:r w:rsidRPr="001569FB">
              <w:rPr>
                <w:color w:val="000000"/>
                <w:sz w:val="18"/>
                <w:szCs w:val="18"/>
              </w:rPr>
              <w:t>0.700</w:t>
            </w:r>
          </w:p>
        </w:tc>
        <w:tc>
          <w:tcPr>
            <w:tcW w:w="592" w:type="pct"/>
            <w:tcBorders>
              <w:top w:val="nil"/>
              <w:left w:val="nil"/>
              <w:bottom w:val="single" w:sz="4" w:space="0" w:color="auto"/>
              <w:right w:val="single" w:sz="4" w:space="0" w:color="auto"/>
            </w:tcBorders>
            <w:shd w:val="clear" w:color="000000" w:fill="FFFFFF"/>
            <w:vAlign w:val="center"/>
            <w:hideMark/>
          </w:tcPr>
          <w:p w14:paraId="261CD09E" w14:textId="77777777" w:rsidR="006F3A1A" w:rsidRPr="001569FB" w:rsidRDefault="006F3A1A" w:rsidP="008D4E91">
            <w:pPr>
              <w:spacing w:line="240" w:lineRule="auto"/>
              <w:jc w:val="center"/>
              <w:rPr>
                <w:color w:val="000000"/>
                <w:sz w:val="18"/>
                <w:szCs w:val="18"/>
              </w:rPr>
            </w:pPr>
            <w:r w:rsidRPr="001569FB">
              <w:rPr>
                <w:color w:val="000000"/>
                <w:sz w:val="18"/>
                <w:szCs w:val="18"/>
              </w:rPr>
              <w:t>0.544</w:t>
            </w:r>
          </w:p>
        </w:tc>
      </w:tr>
      <w:tr w:rsidR="00EC34A7" w:rsidRPr="001569FB" w14:paraId="5BD9C98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4ED9855" w14:textId="77777777" w:rsidR="006F3A1A" w:rsidRPr="001569FB" w:rsidRDefault="006F3A1A" w:rsidP="008D4E91">
            <w:pPr>
              <w:spacing w:line="240" w:lineRule="auto"/>
              <w:rPr>
                <w:color w:val="000000"/>
                <w:sz w:val="18"/>
                <w:szCs w:val="18"/>
              </w:rPr>
            </w:pPr>
            <w:r w:rsidRPr="001569FB">
              <w:rPr>
                <w:color w:val="000000"/>
                <w:sz w:val="18"/>
                <w:szCs w:val="18"/>
              </w:rPr>
              <w:t>RXHCC97</w:t>
            </w:r>
          </w:p>
        </w:tc>
        <w:tc>
          <w:tcPr>
            <w:tcW w:w="909" w:type="pct"/>
            <w:tcBorders>
              <w:top w:val="nil"/>
              <w:left w:val="nil"/>
              <w:bottom w:val="single" w:sz="4" w:space="0" w:color="auto"/>
              <w:right w:val="single" w:sz="4" w:space="0" w:color="auto"/>
            </w:tcBorders>
            <w:shd w:val="clear" w:color="000000" w:fill="FFFFFF"/>
            <w:vAlign w:val="center"/>
            <w:hideMark/>
          </w:tcPr>
          <w:p w14:paraId="69F9D71C" w14:textId="77777777" w:rsidR="006F3A1A" w:rsidRPr="001569FB" w:rsidRDefault="006F3A1A" w:rsidP="008D4E91">
            <w:pPr>
              <w:spacing w:line="240" w:lineRule="auto"/>
              <w:rPr>
                <w:color w:val="000000"/>
                <w:sz w:val="18"/>
                <w:szCs w:val="18"/>
              </w:rPr>
            </w:pPr>
            <w:r w:rsidRPr="001569FB">
              <w:rPr>
                <w:color w:val="000000"/>
                <w:sz w:val="18"/>
                <w:szCs w:val="18"/>
              </w:rPr>
              <w:t>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30BE2C08" w14:textId="77777777" w:rsidR="006F3A1A" w:rsidRPr="001569FB" w:rsidRDefault="006F3A1A" w:rsidP="008D4E91">
            <w:pPr>
              <w:spacing w:line="240" w:lineRule="auto"/>
              <w:jc w:val="center"/>
              <w:rPr>
                <w:color w:val="000000"/>
                <w:sz w:val="18"/>
                <w:szCs w:val="18"/>
              </w:rPr>
            </w:pPr>
            <w:r w:rsidRPr="001569FB">
              <w:rPr>
                <w:color w:val="000000"/>
                <w:sz w:val="18"/>
                <w:szCs w:val="18"/>
              </w:rPr>
              <w:t>0.565</w:t>
            </w:r>
          </w:p>
        </w:tc>
        <w:tc>
          <w:tcPr>
            <w:tcW w:w="682" w:type="pct"/>
            <w:tcBorders>
              <w:top w:val="nil"/>
              <w:left w:val="nil"/>
              <w:bottom w:val="single" w:sz="4" w:space="0" w:color="auto"/>
              <w:right w:val="single" w:sz="4" w:space="0" w:color="auto"/>
            </w:tcBorders>
            <w:shd w:val="clear" w:color="000000" w:fill="FFFFFF"/>
            <w:vAlign w:val="center"/>
            <w:hideMark/>
          </w:tcPr>
          <w:p w14:paraId="0AAC071A" w14:textId="77777777" w:rsidR="006F3A1A" w:rsidRPr="001569FB" w:rsidRDefault="006F3A1A" w:rsidP="008D4E91">
            <w:pPr>
              <w:spacing w:line="240" w:lineRule="auto"/>
              <w:jc w:val="center"/>
              <w:rPr>
                <w:color w:val="000000"/>
                <w:sz w:val="18"/>
                <w:szCs w:val="18"/>
              </w:rPr>
            </w:pPr>
            <w:r w:rsidRPr="001569FB">
              <w:rPr>
                <w:color w:val="000000"/>
                <w:sz w:val="18"/>
                <w:szCs w:val="18"/>
              </w:rPr>
              <w:t>0.521</w:t>
            </w:r>
          </w:p>
        </w:tc>
        <w:tc>
          <w:tcPr>
            <w:tcW w:w="637" w:type="pct"/>
            <w:tcBorders>
              <w:top w:val="nil"/>
              <w:left w:val="nil"/>
              <w:bottom w:val="single" w:sz="4" w:space="0" w:color="auto"/>
              <w:right w:val="single" w:sz="4" w:space="0" w:color="auto"/>
            </w:tcBorders>
            <w:shd w:val="clear" w:color="000000" w:fill="FFFFFF"/>
            <w:vAlign w:val="center"/>
            <w:hideMark/>
          </w:tcPr>
          <w:p w14:paraId="04991BE8" w14:textId="77777777" w:rsidR="006F3A1A" w:rsidRPr="001569FB" w:rsidRDefault="006F3A1A" w:rsidP="008D4E91">
            <w:pPr>
              <w:spacing w:line="240" w:lineRule="auto"/>
              <w:jc w:val="center"/>
              <w:rPr>
                <w:color w:val="000000"/>
                <w:sz w:val="18"/>
                <w:szCs w:val="18"/>
              </w:rPr>
            </w:pPr>
            <w:r w:rsidRPr="001569FB">
              <w:rPr>
                <w:color w:val="000000"/>
                <w:sz w:val="18"/>
                <w:szCs w:val="18"/>
              </w:rPr>
              <w:t>0.481</w:t>
            </w:r>
          </w:p>
        </w:tc>
        <w:tc>
          <w:tcPr>
            <w:tcW w:w="727" w:type="pct"/>
            <w:tcBorders>
              <w:top w:val="nil"/>
              <w:left w:val="nil"/>
              <w:bottom w:val="single" w:sz="4" w:space="0" w:color="auto"/>
              <w:right w:val="single" w:sz="4" w:space="0" w:color="auto"/>
            </w:tcBorders>
            <w:shd w:val="clear" w:color="000000" w:fill="FFFFFF"/>
            <w:vAlign w:val="center"/>
            <w:hideMark/>
          </w:tcPr>
          <w:p w14:paraId="00D05440" w14:textId="77777777" w:rsidR="006F3A1A" w:rsidRPr="001569FB" w:rsidRDefault="006F3A1A" w:rsidP="008D4E91">
            <w:pPr>
              <w:spacing w:line="240" w:lineRule="auto"/>
              <w:jc w:val="center"/>
              <w:rPr>
                <w:color w:val="000000"/>
                <w:sz w:val="18"/>
                <w:szCs w:val="18"/>
              </w:rPr>
            </w:pPr>
            <w:r w:rsidRPr="001569FB">
              <w:rPr>
                <w:color w:val="000000"/>
                <w:sz w:val="18"/>
                <w:szCs w:val="18"/>
              </w:rPr>
              <w:t>0.448</w:t>
            </w:r>
          </w:p>
        </w:tc>
        <w:tc>
          <w:tcPr>
            <w:tcW w:w="592" w:type="pct"/>
            <w:tcBorders>
              <w:top w:val="nil"/>
              <w:left w:val="nil"/>
              <w:bottom w:val="single" w:sz="4" w:space="0" w:color="auto"/>
              <w:right w:val="single" w:sz="4" w:space="0" w:color="auto"/>
            </w:tcBorders>
            <w:shd w:val="clear" w:color="000000" w:fill="FFFFFF"/>
            <w:vAlign w:val="center"/>
            <w:hideMark/>
          </w:tcPr>
          <w:p w14:paraId="533CBADE" w14:textId="77777777" w:rsidR="006F3A1A" w:rsidRPr="001569FB" w:rsidRDefault="006F3A1A" w:rsidP="008D4E91">
            <w:pPr>
              <w:spacing w:line="240" w:lineRule="auto"/>
              <w:jc w:val="center"/>
              <w:rPr>
                <w:color w:val="000000"/>
                <w:sz w:val="18"/>
                <w:szCs w:val="18"/>
              </w:rPr>
            </w:pPr>
            <w:r w:rsidRPr="001569FB">
              <w:rPr>
                <w:color w:val="000000"/>
                <w:sz w:val="18"/>
                <w:szCs w:val="18"/>
              </w:rPr>
              <w:t>0.347</w:t>
            </w:r>
          </w:p>
        </w:tc>
      </w:tr>
      <w:tr w:rsidR="00EC34A7" w:rsidRPr="001569FB" w14:paraId="02E364C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149D5A" w14:textId="77777777" w:rsidR="006F3A1A" w:rsidRPr="001569FB" w:rsidRDefault="006F3A1A" w:rsidP="008D4E91">
            <w:pPr>
              <w:spacing w:line="240" w:lineRule="auto"/>
              <w:rPr>
                <w:color w:val="000000"/>
                <w:sz w:val="18"/>
                <w:szCs w:val="18"/>
              </w:rPr>
            </w:pPr>
            <w:r w:rsidRPr="001569FB">
              <w:rPr>
                <w:color w:val="000000"/>
                <w:sz w:val="18"/>
                <w:szCs w:val="18"/>
              </w:rPr>
              <w:t>RXHCC98</w:t>
            </w:r>
          </w:p>
        </w:tc>
        <w:tc>
          <w:tcPr>
            <w:tcW w:w="909" w:type="pct"/>
            <w:tcBorders>
              <w:top w:val="nil"/>
              <w:left w:val="nil"/>
              <w:bottom w:val="single" w:sz="4" w:space="0" w:color="auto"/>
              <w:right w:val="single" w:sz="4" w:space="0" w:color="auto"/>
            </w:tcBorders>
            <w:shd w:val="clear" w:color="000000" w:fill="FFFFFF"/>
            <w:vAlign w:val="center"/>
            <w:hideMark/>
          </w:tcPr>
          <w:p w14:paraId="2AE55BB7" w14:textId="77777777" w:rsidR="006F3A1A" w:rsidRPr="001569FB" w:rsidRDefault="006F3A1A" w:rsidP="008D4E91">
            <w:pPr>
              <w:spacing w:line="240" w:lineRule="auto"/>
              <w:rPr>
                <w:color w:val="000000"/>
                <w:sz w:val="18"/>
                <w:szCs w:val="18"/>
              </w:rPr>
            </w:pPr>
            <w:r w:rsidRPr="001569FB">
              <w:rPr>
                <w:color w:val="000000"/>
                <w:sz w:val="18"/>
                <w:szCs w:val="18"/>
              </w:rPr>
              <w:t>Aplastic Anemia and Other Significant Blood Disorders</w:t>
            </w:r>
          </w:p>
        </w:tc>
        <w:tc>
          <w:tcPr>
            <w:tcW w:w="636" w:type="pct"/>
            <w:tcBorders>
              <w:top w:val="nil"/>
              <w:left w:val="nil"/>
              <w:bottom w:val="single" w:sz="4" w:space="0" w:color="auto"/>
              <w:right w:val="single" w:sz="4" w:space="0" w:color="auto"/>
            </w:tcBorders>
            <w:shd w:val="clear" w:color="000000" w:fill="FFFFFF"/>
            <w:vAlign w:val="center"/>
            <w:hideMark/>
          </w:tcPr>
          <w:p w14:paraId="3BFC430A"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57A49C04"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637" w:type="pct"/>
            <w:tcBorders>
              <w:top w:val="nil"/>
              <w:left w:val="nil"/>
              <w:bottom w:val="single" w:sz="4" w:space="0" w:color="auto"/>
              <w:right w:val="single" w:sz="4" w:space="0" w:color="auto"/>
            </w:tcBorders>
            <w:shd w:val="clear" w:color="000000" w:fill="FFFFFF"/>
            <w:vAlign w:val="center"/>
            <w:hideMark/>
          </w:tcPr>
          <w:p w14:paraId="610226EF"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2A9C84BA" w14:textId="77777777" w:rsidR="006F3A1A" w:rsidRPr="001569FB" w:rsidRDefault="006F3A1A" w:rsidP="008D4E91">
            <w:pPr>
              <w:spacing w:line="240" w:lineRule="auto"/>
              <w:jc w:val="center"/>
              <w:rPr>
                <w:color w:val="000000"/>
                <w:sz w:val="18"/>
                <w:szCs w:val="18"/>
              </w:rPr>
            </w:pPr>
            <w:r w:rsidRPr="001569FB">
              <w:rPr>
                <w:color w:val="000000"/>
                <w:sz w:val="18"/>
                <w:szCs w:val="18"/>
              </w:rPr>
              <w:t>0.217</w:t>
            </w:r>
          </w:p>
        </w:tc>
        <w:tc>
          <w:tcPr>
            <w:tcW w:w="592" w:type="pct"/>
            <w:tcBorders>
              <w:top w:val="nil"/>
              <w:left w:val="nil"/>
              <w:bottom w:val="single" w:sz="4" w:space="0" w:color="auto"/>
              <w:right w:val="single" w:sz="4" w:space="0" w:color="auto"/>
            </w:tcBorders>
            <w:shd w:val="clear" w:color="000000" w:fill="FFFFFF"/>
            <w:vAlign w:val="center"/>
            <w:hideMark/>
          </w:tcPr>
          <w:p w14:paraId="519CAE9C" w14:textId="77777777" w:rsidR="006F3A1A" w:rsidRPr="001569FB" w:rsidRDefault="006F3A1A" w:rsidP="008D4E91">
            <w:pPr>
              <w:spacing w:line="240" w:lineRule="auto"/>
              <w:jc w:val="center"/>
              <w:rPr>
                <w:color w:val="000000"/>
                <w:sz w:val="18"/>
                <w:szCs w:val="18"/>
              </w:rPr>
            </w:pPr>
            <w:r w:rsidRPr="001569FB">
              <w:rPr>
                <w:color w:val="000000"/>
                <w:sz w:val="18"/>
                <w:szCs w:val="18"/>
              </w:rPr>
              <w:t>0.044</w:t>
            </w:r>
          </w:p>
        </w:tc>
      </w:tr>
      <w:tr w:rsidR="00EC34A7" w:rsidRPr="001569FB" w14:paraId="0583AD0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89CD790" w14:textId="77777777" w:rsidR="006F3A1A" w:rsidRPr="001569FB" w:rsidRDefault="006F3A1A" w:rsidP="008D4E91">
            <w:pPr>
              <w:spacing w:line="240" w:lineRule="auto"/>
              <w:rPr>
                <w:color w:val="000000"/>
                <w:sz w:val="18"/>
                <w:szCs w:val="18"/>
              </w:rPr>
            </w:pPr>
            <w:r w:rsidRPr="001569FB">
              <w:rPr>
                <w:color w:val="000000"/>
                <w:sz w:val="18"/>
                <w:szCs w:val="18"/>
              </w:rPr>
              <w:t>RXHCC111</w:t>
            </w:r>
          </w:p>
        </w:tc>
        <w:tc>
          <w:tcPr>
            <w:tcW w:w="909" w:type="pct"/>
            <w:tcBorders>
              <w:top w:val="nil"/>
              <w:left w:val="nil"/>
              <w:bottom w:val="single" w:sz="4" w:space="0" w:color="auto"/>
              <w:right w:val="single" w:sz="4" w:space="0" w:color="auto"/>
            </w:tcBorders>
            <w:shd w:val="clear" w:color="000000" w:fill="FFFFFF"/>
            <w:vAlign w:val="center"/>
            <w:hideMark/>
          </w:tcPr>
          <w:p w14:paraId="6406A9E5" w14:textId="77777777" w:rsidR="006F3A1A" w:rsidRPr="001569FB" w:rsidRDefault="006F3A1A" w:rsidP="008D4E91">
            <w:pPr>
              <w:spacing w:line="240" w:lineRule="auto"/>
              <w:rPr>
                <w:color w:val="000000"/>
                <w:sz w:val="18"/>
                <w:szCs w:val="18"/>
              </w:rPr>
            </w:pPr>
            <w:r w:rsidRPr="001569FB">
              <w:rPr>
                <w:color w:val="000000"/>
                <w:sz w:val="18"/>
                <w:szCs w:val="18"/>
              </w:rPr>
              <w:t>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6EB0AD53" w14:textId="77777777" w:rsidR="006F3A1A" w:rsidRPr="001569FB" w:rsidRDefault="006F3A1A" w:rsidP="008D4E91">
            <w:pPr>
              <w:spacing w:line="240" w:lineRule="auto"/>
              <w:jc w:val="center"/>
              <w:rPr>
                <w:color w:val="000000"/>
                <w:sz w:val="18"/>
                <w:szCs w:val="18"/>
              </w:rPr>
            </w:pPr>
            <w:r w:rsidRPr="001569FB">
              <w:rPr>
                <w:color w:val="000000"/>
                <w:sz w:val="18"/>
                <w:szCs w:val="18"/>
              </w:rPr>
              <w:t>0.496</w:t>
            </w:r>
          </w:p>
        </w:tc>
        <w:tc>
          <w:tcPr>
            <w:tcW w:w="682" w:type="pct"/>
            <w:tcBorders>
              <w:top w:val="nil"/>
              <w:left w:val="nil"/>
              <w:bottom w:val="single" w:sz="4" w:space="0" w:color="auto"/>
              <w:right w:val="single" w:sz="4" w:space="0" w:color="auto"/>
            </w:tcBorders>
            <w:shd w:val="clear" w:color="000000" w:fill="FFFFFF"/>
            <w:vAlign w:val="center"/>
            <w:hideMark/>
          </w:tcPr>
          <w:p w14:paraId="0AF64204"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244F467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727" w:type="pct"/>
            <w:tcBorders>
              <w:top w:val="nil"/>
              <w:left w:val="nil"/>
              <w:bottom w:val="single" w:sz="4" w:space="0" w:color="auto"/>
              <w:right w:val="single" w:sz="4" w:space="0" w:color="auto"/>
            </w:tcBorders>
            <w:shd w:val="clear" w:color="000000" w:fill="FFFFFF"/>
            <w:vAlign w:val="center"/>
            <w:hideMark/>
          </w:tcPr>
          <w:p w14:paraId="104FAAE9" w14:textId="77777777" w:rsidR="006F3A1A" w:rsidRPr="001569FB" w:rsidRDefault="006F3A1A" w:rsidP="008D4E91">
            <w:pPr>
              <w:spacing w:line="240" w:lineRule="auto"/>
              <w:jc w:val="center"/>
              <w:rPr>
                <w:color w:val="000000"/>
                <w:sz w:val="18"/>
                <w:szCs w:val="18"/>
              </w:rPr>
            </w:pPr>
            <w:r w:rsidRPr="001569FB">
              <w:rPr>
                <w:color w:val="000000"/>
                <w:sz w:val="18"/>
                <w:szCs w:val="18"/>
              </w:rPr>
              <w:t>0.034</w:t>
            </w:r>
          </w:p>
        </w:tc>
        <w:tc>
          <w:tcPr>
            <w:tcW w:w="592" w:type="pct"/>
            <w:tcBorders>
              <w:top w:val="nil"/>
              <w:left w:val="nil"/>
              <w:bottom w:val="single" w:sz="4" w:space="0" w:color="auto"/>
              <w:right w:val="single" w:sz="4" w:space="0" w:color="auto"/>
            </w:tcBorders>
            <w:shd w:val="clear" w:color="000000" w:fill="FFFFFF"/>
            <w:vAlign w:val="center"/>
            <w:hideMark/>
          </w:tcPr>
          <w:p w14:paraId="5B5C786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50F75D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791ECCA" w14:textId="77777777" w:rsidR="006F3A1A" w:rsidRPr="001569FB" w:rsidRDefault="006F3A1A" w:rsidP="008D4E91">
            <w:pPr>
              <w:spacing w:line="240" w:lineRule="auto"/>
              <w:rPr>
                <w:color w:val="000000"/>
                <w:sz w:val="18"/>
                <w:szCs w:val="18"/>
              </w:rPr>
            </w:pPr>
            <w:r w:rsidRPr="001569FB">
              <w:rPr>
                <w:color w:val="000000"/>
                <w:sz w:val="18"/>
                <w:szCs w:val="18"/>
              </w:rPr>
              <w:t>RXHCC112</w:t>
            </w:r>
          </w:p>
        </w:tc>
        <w:tc>
          <w:tcPr>
            <w:tcW w:w="909" w:type="pct"/>
            <w:tcBorders>
              <w:top w:val="nil"/>
              <w:left w:val="nil"/>
              <w:bottom w:val="single" w:sz="4" w:space="0" w:color="auto"/>
              <w:right w:val="single" w:sz="4" w:space="0" w:color="auto"/>
            </w:tcBorders>
            <w:shd w:val="clear" w:color="000000" w:fill="FFFFFF"/>
            <w:vAlign w:val="center"/>
            <w:hideMark/>
          </w:tcPr>
          <w:p w14:paraId="2435D5E7" w14:textId="77777777" w:rsidR="006F3A1A" w:rsidRPr="001569FB" w:rsidRDefault="006F3A1A" w:rsidP="008D4E91">
            <w:pPr>
              <w:spacing w:line="240" w:lineRule="auto"/>
              <w:rPr>
                <w:color w:val="000000"/>
                <w:sz w:val="18"/>
                <w:szCs w:val="18"/>
              </w:rPr>
            </w:pPr>
            <w:r w:rsidRPr="001569FB">
              <w:rPr>
                <w:color w:val="000000"/>
                <w:sz w:val="18"/>
                <w:szCs w:val="18"/>
              </w:rPr>
              <w:t>Dementia, Except 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405BD490" w14:textId="77777777" w:rsidR="006F3A1A" w:rsidRPr="001569FB" w:rsidRDefault="006F3A1A" w:rsidP="008D4E91">
            <w:pPr>
              <w:spacing w:line="240" w:lineRule="auto"/>
              <w:jc w:val="center"/>
              <w:rPr>
                <w:color w:val="000000"/>
                <w:sz w:val="18"/>
                <w:szCs w:val="18"/>
              </w:rPr>
            </w:pPr>
            <w:r w:rsidRPr="001569FB">
              <w:rPr>
                <w:color w:val="000000"/>
                <w:sz w:val="18"/>
                <w:szCs w:val="18"/>
              </w:rPr>
              <w:t>0.205</w:t>
            </w:r>
          </w:p>
        </w:tc>
        <w:tc>
          <w:tcPr>
            <w:tcW w:w="682" w:type="pct"/>
            <w:tcBorders>
              <w:top w:val="nil"/>
              <w:left w:val="nil"/>
              <w:bottom w:val="single" w:sz="4" w:space="0" w:color="auto"/>
              <w:right w:val="single" w:sz="4" w:space="0" w:color="auto"/>
            </w:tcBorders>
            <w:shd w:val="clear" w:color="000000" w:fill="FFFFFF"/>
            <w:vAlign w:val="center"/>
            <w:hideMark/>
          </w:tcPr>
          <w:p w14:paraId="1DF66365"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c>
          <w:tcPr>
            <w:tcW w:w="637" w:type="pct"/>
            <w:tcBorders>
              <w:top w:val="nil"/>
              <w:left w:val="nil"/>
              <w:bottom w:val="single" w:sz="4" w:space="0" w:color="auto"/>
              <w:right w:val="single" w:sz="4" w:space="0" w:color="auto"/>
            </w:tcBorders>
            <w:shd w:val="clear" w:color="000000" w:fill="FFFFFF"/>
            <w:vAlign w:val="center"/>
            <w:hideMark/>
          </w:tcPr>
          <w:p w14:paraId="104FCD52" w14:textId="77777777" w:rsidR="006F3A1A" w:rsidRPr="001569FB" w:rsidRDefault="006F3A1A" w:rsidP="008D4E91">
            <w:pPr>
              <w:spacing w:line="240" w:lineRule="auto"/>
              <w:jc w:val="center"/>
              <w:rPr>
                <w:color w:val="000000"/>
                <w:sz w:val="18"/>
                <w:szCs w:val="18"/>
              </w:rPr>
            </w:pPr>
            <w:r w:rsidRPr="001569FB">
              <w:rPr>
                <w:color w:val="000000"/>
                <w:sz w:val="18"/>
                <w:szCs w:val="18"/>
              </w:rPr>
              <w:t>0.040</w:t>
            </w:r>
          </w:p>
        </w:tc>
        <w:tc>
          <w:tcPr>
            <w:tcW w:w="727" w:type="pct"/>
            <w:tcBorders>
              <w:top w:val="nil"/>
              <w:left w:val="nil"/>
              <w:bottom w:val="single" w:sz="4" w:space="0" w:color="auto"/>
              <w:right w:val="single" w:sz="4" w:space="0" w:color="auto"/>
            </w:tcBorders>
            <w:shd w:val="clear" w:color="000000" w:fill="FFFFFF"/>
            <w:vAlign w:val="center"/>
            <w:hideMark/>
          </w:tcPr>
          <w:p w14:paraId="60847C0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5597366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9F45D6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28CA8A" w14:textId="77777777" w:rsidR="006F3A1A" w:rsidRPr="001569FB" w:rsidRDefault="006F3A1A" w:rsidP="008D4E91">
            <w:pPr>
              <w:spacing w:line="240" w:lineRule="auto"/>
              <w:rPr>
                <w:color w:val="000000"/>
                <w:sz w:val="18"/>
                <w:szCs w:val="18"/>
              </w:rPr>
            </w:pPr>
            <w:r w:rsidRPr="001569FB">
              <w:rPr>
                <w:color w:val="000000"/>
                <w:sz w:val="18"/>
                <w:szCs w:val="18"/>
              </w:rPr>
              <w:t>RXHCC130</w:t>
            </w:r>
          </w:p>
        </w:tc>
        <w:tc>
          <w:tcPr>
            <w:tcW w:w="909" w:type="pct"/>
            <w:tcBorders>
              <w:top w:val="nil"/>
              <w:left w:val="nil"/>
              <w:bottom w:val="single" w:sz="4" w:space="0" w:color="auto"/>
              <w:right w:val="single" w:sz="4" w:space="0" w:color="auto"/>
            </w:tcBorders>
            <w:shd w:val="clear" w:color="000000" w:fill="FFFFFF"/>
            <w:vAlign w:val="center"/>
            <w:hideMark/>
          </w:tcPr>
          <w:p w14:paraId="00EEFFA1" w14:textId="77777777" w:rsidR="006F3A1A" w:rsidRPr="001569FB" w:rsidRDefault="006F3A1A" w:rsidP="008D4E91">
            <w:pPr>
              <w:spacing w:line="240" w:lineRule="auto"/>
              <w:rPr>
                <w:color w:val="000000"/>
                <w:sz w:val="18"/>
                <w:szCs w:val="18"/>
              </w:rPr>
            </w:pPr>
            <w:r w:rsidRPr="001569FB">
              <w:rPr>
                <w:color w:val="000000"/>
                <w:sz w:val="18"/>
                <w:szCs w:val="18"/>
              </w:rPr>
              <w:t>Schizophrenia</w:t>
            </w:r>
          </w:p>
        </w:tc>
        <w:tc>
          <w:tcPr>
            <w:tcW w:w="636" w:type="pct"/>
            <w:tcBorders>
              <w:top w:val="nil"/>
              <w:left w:val="nil"/>
              <w:bottom w:val="single" w:sz="4" w:space="0" w:color="auto"/>
              <w:right w:val="single" w:sz="4" w:space="0" w:color="auto"/>
            </w:tcBorders>
            <w:shd w:val="clear" w:color="000000" w:fill="FFFFFF"/>
            <w:vAlign w:val="center"/>
            <w:hideMark/>
          </w:tcPr>
          <w:p w14:paraId="6BD181C0"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c>
          <w:tcPr>
            <w:tcW w:w="682" w:type="pct"/>
            <w:tcBorders>
              <w:top w:val="nil"/>
              <w:left w:val="nil"/>
              <w:bottom w:val="single" w:sz="4" w:space="0" w:color="auto"/>
              <w:right w:val="single" w:sz="4" w:space="0" w:color="auto"/>
            </w:tcBorders>
            <w:shd w:val="clear" w:color="000000" w:fill="FFFFFF"/>
            <w:vAlign w:val="center"/>
            <w:hideMark/>
          </w:tcPr>
          <w:p w14:paraId="5F6BA0C7" w14:textId="77777777" w:rsidR="006F3A1A" w:rsidRPr="001569FB" w:rsidRDefault="006F3A1A" w:rsidP="008D4E91">
            <w:pPr>
              <w:spacing w:line="240" w:lineRule="auto"/>
              <w:jc w:val="center"/>
              <w:rPr>
                <w:color w:val="000000"/>
                <w:sz w:val="18"/>
                <w:szCs w:val="18"/>
              </w:rPr>
            </w:pPr>
            <w:r w:rsidRPr="001569FB">
              <w:rPr>
                <w:color w:val="000000"/>
                <w:sz w:val="18"/>
                <w:szCs w:val="18"/>
              </w:rPr>
              <w:t>0.305</w:t>
            </w:r>
          </w:p>
        </w:tc>
        <w:tc>
          <w:tcPr>
            <w:tcW w:w="637" w:type="pct"/>
            <w:tcBorders>
              <w:top w:val="nil"/>
              <w:left w:val="nil"/>
              <w:bottom w:val="single" w:sz="4" w:space="0" w:color="auto"/>
              <w:right w:val="single" w:sz="4" w:space="0" w:color="auto"/>
            </w:tcBorders>
            <w:shd w:val="clear" w:color="000000" w:fill="FFFFFF"/>
            <w:vAlign w:val="center"/>
            <w:hideMark/>
          </w:tcPr>
          <w:p w14:paraId="3F03EB9A" w14:textId="77777777" w:rsidR="006F3A1A" w:rsidRPr="001569FB" w:rsidRDefault="006F3A1A" w:rsidP="008D4E91">
            <w:pPr>
              <w:spacing w:line="240" w:lineRule="auto"/>
              <w:jc w:val="center"/>
              <w:rPr>
                <w:color w:val="000000"/>
                <w:sz w:val="18"/>
                <w:szCs w:val="18"/>
              </w:rPr>
            </w:pPr>
            <w:r w:rsidRPr="001569FB">
              <w:rPr>
                <w:color w:val="000000"/>
                <w:sz w:val="18"/>
                <w:szCs w:val="18"/>
              </w:rPr>
              <w:t>0.399</w:t>
            </w:r>
          </w:p>
        </w:tc>
        <w:tc>
          <w:tcPr>
            <w:tcW w:w="727" w:type="pct"/>
            <w:tcBorders>
              <w:top w:val="nil"/>
              <w:left w:val="nil"/>
              <w:bottom w:val="single" w:sz="4" w:space="0" w:color="auto"/>
              <w:right w:val="single" w:sz="4" w:space="0" w:color="auto"/>
            </w:tcBorders>
            <w:shd w:val="clear" w:color="000000" w:fill="FFFFFF"/>
            <w:vAlign w:val="center"/>
            <w:hideMark/>
          </w:tcPr>
          <w:p w14:paraId="14724FB6" w14:textId="77777777" w:rsidR="006F3A1A" w:rsidRPr="001569FB" w:rsidRDefault="006F3A1A" w:rsidP="008D4E91">
            <w:pPr>
              <w:spacing w:line="240" w:lineRule="auto"/>
              <w:jc w:val="center"/>
              <w:rPr>
                <w:color w:val="000000"/>
                <w:sz w:val="18"/>
                <w:szCs w:val="18"/>
              </w:rPr>
            </w:pPr>
            <w:r w:rsidRPr="001569FB">
              <w:rPr>
                <w:color w:val="000000"/>
                <w:sz w:val="18"/>
                <w:szCs w:val="18"/>
              </w:rPr>
              <w:t>0.691</w:t>
            </w:r>
          </w:p>
        </w:tc>
        <w:tc>
          <w:tcPr>
            <w:tcW w:w="592" w:type="pct"/>
            <w:tcBorders>
              <w:top w:val="nil"/>
              <w:left w:val="nil"/>
              <w:bottom w:val="single" w:sz="4" w:space="0" w:color="auto"/>
              <w:right w:val="single" w:sz="4" w:space="0" w:color="auto"/>
            </w:tcBorders>
            <w:shd w:val="clear" w:color="000000" w:fill="FFFFFF"/>
            <w:vAlign w:val="center"/>
            <w:hideMark/>
          </w:tcPr>
          <w:p w14:paraId="0068A7A7"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4D22413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B0FB70" w14:textId="77777777" w:rsidR="006F3A1A" w:rsidRPr="001569FB" w:rsidRDefault="006F3A1A" w:rsidP="008D4E91">
            <w:pPr>
              <w:spacing w:line="240" w:lineRule="auto"/>
              <w:rPr>
                <w:color w:val="000000"/>
                <w:sz w:val="18"/>
                <w:szCs w:val="18"/>
              </w:rPr>
            </w:pPr>
            <w:r w:rsidRPr="001569FB">
              <w:rPr>
                <w:color w:val="000000"/>
                <w:sz w:val="18"/>
                <w:szCs w:val="18"/>
              </w:rPr>
              <w:t>RXHCC131</w:t>
            </w:r>
          </w:p>
        </w:tc>
        <w:tc>
          <w:tcPr>
            <w:tcW w:w="909" w:type="pct"/>
            <w:tcBorders>
              <w:top w:val="nil"/>
              <w:left w:val="nil"/>
              <w:bottom w:val="single" w:sz="4" w:space="0" w:color="auto"/>
              <w:right w:val="single" w:sz="4" w:space="0" w:color="auto"/>
            </w:tcBorders>
            <w:shd w:val="clear" w:color="000000" w:fill="FFFFFF"/>
            <w:vAlign w:val="center"/>
            <w:hideMark/>
          </w:tcPr>
          <w:p w14:paraId="26AABB93" w14:textId="77777777" w:rsidR="006F3A1A" w:rsidRPr="001569FB" w:rsidRDefault="006F3A1A" w:rsidP="008D4E91">
            <w:pPr>
              <w:spacing w:line="240" w:lineRule="auto"/>
              <w:rPr>
                <w:color w:val="000000"/>
                <w:sz w:val="18"/>
                <w:szCs w:val="18"/>
              </w:rPr>
            </w:pPr>
            <w:r w:rsidRPr="001569FB">
              <w:rPr>
                <w:color w:val="000000"/>
                <w:sz w:val="18"/>
                <w:szCs w:val="18"/>
              </w:rPr>
              <w:t>Bipolar Disorders</w:t>
            </w:r>
          </w:p>
        </w:tc>
        <w:tc>
          <w:tcPr>
            <w:tcW w:w="636" w:type="pct"/>
            <w:tcBorders>
              <w:top w:val="nil"/>
              <w:left w:val="nil"/>
              <w:bottom w:val="single" w:sz="4" w:space="0" w:color="auto"/>
              <w:right w:val="single" w:sz="4" w:space="0" w:color="auto"/>
            </w:tcBorders>
            <w:shd w:val="clear" w:color="000000" w:fill="FFFFFF"/>
            <w:vAlign w:val="center"/>
            <w:hideMark/>
          </w:tcPr>
          <w:p w14:paraId="7EEABF9B"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82" w:type="pct"/>
            <w:tcBorders>
              <w:top w:val="nil"/>
              <w:left w:val="nil"/>
              <w:bottom w:val="single" w:sz="4" w:space="0" w:color="auto"/>
              <w:right w:val="single" w:sz="4" w:space="0" w:color="auto"/>
            </w:tcBorders>
            <w:shd w:val="clear" w:color="000000" w:fill="FFFFFF"/>
            <w:vAlign w:val="center"/>
            <w:hideMark/>
          </w:tcPr>
          <w:p w14:paraId="0EC588E9" w14:textId="77777777" w:rsidR="006F3A1A" w:rsidRPr="001569FB" w:rsidRDefault="006F3A1A" w:rsidP="008D4E91">
            <w:pPr>
              <w:spacing w:line="240" w:lineRule="auto"/>
              <w:jc w:val="center"/>
              <w:rPr>
                <w:color w:val="000000"/>
                <w:sz w:val="18"/>
                <w:szCs w:val="18"/>
              </w:rPr>
            </w:pPr>
            <w:r w:rsidRPr="001569FB">
              <w:rPr>
                <w:color w:val="000000"/>
                <w:sz w:val="18"/>
                <w:szCs w:val="18"/>
              </w:rPr>
              <w:t>0.285</w:t>
            </w:r>
          </w:p>
        </w:tc>
        <w:tc>
          <w:tcPr>
            <w:tcW w:w="637" w:type="pct"/>
            <w:tcBorders>
              <w:top w:val="nil"/>
              <w:left w:val="nil"/>
              <w:bottom w:val="single" w:sz="4" w:space="0" w:color="auto"/>
              <w:right w:val="single" w:sz="4" w:space="0" w:color="auto"/>
            </w:tcBorders>
            <w:shd w:val="clear" w:color="000000" w:fill="FFFFFF"/>
            <w:vAlign w:val="center"/>
            <w:hideMark/>
          </w:tcPr>
          <w:p w14:paraId="4B21FFD3" w14:textId="77777777" w:rsidR="006F3A1A" w:rsidRPr="001569FB" w:rsidRDefault="006F3A1A" w:rsidP="008D4E91">
            <w:pPr>
              <w:spacing w:line="240" w:lineRule="auto"/>
              <w:jc w:val="center"/>
              <w:rPr>
                <w:color w:val="000000"/>
                <w:sz w:val="18"/>
                <w:szCs w:val="18"/>
              </w:rPr>
            </w:pPr>
            <w:r w:rsidRPr="001569FB">
              <w:rPr>
                <w:color w:val="000000"/>
                <w:sz w:val="18"/>
                <w:szCs w:val="18"/>
              </w:rPr>
              <w:t>0.280</w:t>
            </w:r>
          </w:p>
        </w:tc>
        <w:tc>
          <w:tcPr>
            <w:tcW w:w="727" w:type="pct"/>
            <w:tcBorders>
              <w:top w:val="nil"/>
              <w:left w:val="nil"/>
              <w:bottom w:val="single" w:sz="4" w:space="0" w:color="auto"/>
              <w:right w:val="single" w:sz="4" w:space="0" w:color="auto"/>
            </w:tcBorders>
            <w:shd w:val="clear" w:color="000000" w:fill="FFFFFF"/>
            <w:vAlign w:val="center"/>
            <w:hideMark/>
          </w:tcPr>
          <w:p w14:paraId="72602FCB" w14:textId="77777777" w:rsidR="006F3A1A" w:rsidRPr="001569FB" w:rsidRDefault="006F3A1A" w:rsidP="008D4E91">
            <w:pPr>
              <w:spacing w:line="240" w:lineRule="auto"/>
              <w:jc w:val="center"/>
              <w:rPr>
                <w:color w:val="000000"/>
                <w:sz w:val="18"/>
                <w:szCs w:val="18"/>
              </w:rPr>
            </w:pPr>
            <w:r w:rsidRPr="001569FB">
              <w:rPr>
                <w:color w:val="000000"/>
                <w:sz w:val="18"/>
                <w:szCs w:val="18"/>
              </w:rPr>
              <w:t>0.438</w:t>
            </w:r>
          </w:p>
        </w:tc>
        <w:tc>
          <w:tcPr>
            <w:tcW w:w="592" w:type="pct"/>
            <w:tcBorders>
              <w:top w:val="nil"/>
              <w:left w:val="nil"/>
              <w:bottom w:val="single" w:sz="4" w:space="0" w:color="auto"/>
              <w:right w:val="single" w:sz="4" w:space="0" w:color="auto"/>
            </w:tcBorders>
            <w:shd w:val="clear" w:color="000000" w:fill="FFFFFF"/>
            <w:vAlign w:val="center"/>
            <w:hideMark/>
          </w:tcPr>
          <w:p w14:paraId="6F167F65"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360560C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2DFBF5" w14:textId="77777777" w:rsidR="006F3A1A" w:rsidRPr="001569FB" w:rsidRDefault="006F3A1A" w:rsidP="008D4E91">
            <w:pPr>
              <w:spacing w:line="240" w:lineRule="auto"/>
              <w:rPr>
                <w:color w:val="000000"/>
                <w:sz w:val="18"/>
                <w:szCs w:val="18"/>
              </w:rPr>
            </w:pPr>
            <w:r w:rsidRPr="001569FB">
              <w:rPr>
                <w:color w:val="000000"/>
                <w:sz w:val="18"/>
                <w:szCs w:val="18"/>
              </w:rPr>
              <w:t>RXHCC132</w:t>
            </w:r>
          </w:p>
        </w:tc>
        <w:tc>
          <w:tcPr>
            <w:tcW w:w="909" w:type="pct"/>
            <w:tcBorders>
              <w:top w:val="nil"/>
              <w:left w:val="nil"/>
              <w:bottom w:val="single" w:sz="4" w:space="0" w:color="auto"/>
              <w:right w:val="single" w:sz="4" w:space="0" w:color="auto"/>
            </w:tcBorders>
            <w:shd w:val="clear" w:color="000000" w:fill="FFFFFF"/>
            <w:vAlign w:val="center"/>
            <w:hideMark/>
          </w:tcPr>
          <w:p w14:paraId="1D27B954" w14:textId="77777777" w:rsidR="006F3A1A" w:rsidRPr="001569FB" w:rsidRDefault="006F3A1A" w:rsidP="008D4E91">
            <w:pPr>
              <w:spacing w:line="240" w:lineRule="auto"/>
              <w:rPr>
                <w:color w:val="000000"/>
                <w:sz w:val="18"/>
                <w:szCs w:val="18"/>
              </w:rPr>
            </w:pPr>
            <w:r w:rsidRPr="001569FB">
              <w:rPr>
                <w:color w:val="000000"/>
                <w:sz w:val="18"/>
                <w:szCs w:val="18"/>
              </w:rPr>
              <w:t>Major Depression</w:t>
            </w:r>
          </w:p>
        </w:tc>
        <w:tc>
          <w:tcPr>
            <w:tcW w:w="636" w:type="pct"/>
            <w:tcBorders>
              <w:top w:val="nil"/>
              <w:left w:val="nil"/>
              <w:bottom w:val="single" w:sz="4" w:space="0" w:color="auto"/>
              <w:right w:val="single" w:sz="4" w:space="0" w:color="auto"/>
            </w:tcBorders>
            <w:shd w:val="clear" w:color="000000" w:fill="FFFFFF"/>
            <w:vAlign w:val="center"/>
            <w:hideMark/>
          </w:tcPr>
          <w:p w14:paraId="17FD7E65"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2E6A8FA"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5ED792E"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524EA50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2E1D52FC"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r>
      <w:tr w:rsidR="00EC34A7" w:rsidRPr="001569FB" w14:paraId="0528537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75F1E05" w14:textId="77777777" w:rsidR="006F3A1A" w:rsidRPr="001569FB" w:rsidRDefault="006F3A1A" w:rsidP="008D4E91">
            <w:pPr>
              <w:spacing w:line="240" w:lineRule="auto"/>
              <w:rPr>
                <w:color w:val="000000"/>
                <w:sz w:val="18"/>
                <w:szCs w:val="18"/>
              </w:rPr>
            </w:pPr>
            <w:r w:rsidRPr="001569FB">
              <w:rPr>
                <w:color w:val="000000"/>
                <w:sz w:val="18"/>
                <w:szCs w:val="18"/>
              </w:rPr>
              <w:t>RXHCC133</w:t>
            </w:r>
          </w:p>
        </w:tc>
        <w:tc>
          <w:tcPr>
            <w:tcW w:w="909" w:type="pct"/>
            <w:tcBorders>
              <w:top w:val="nil"/>
              <w:left w:val="nil"/>
              <w:bottom w:val="single" w:sz="4" w:space="0" w:color="auto"/>
              <w:right w:val="single" w:sz="4" w:space="0" w:color="auto"/>
            </w:tcBorders>
            <w:shd w:val="clear" w:color="000000" w:fill="FFFFFF"/>
            <w:vAlign w:val="center"/>
            <w:hideMark/>
          </w:tcPr>
          <w:p w14:paraId="670F6A39" w14:textId="77777777" w:rsidR="006F3A1A" w:rsidRPr="001569FB" w:rsidRDefault="006F3A1A" w:rsidP="008D4E91">
            <w:pPr>
              <w:spacing w:line="240" w:lineRule="auto"/>
              <w:rPr>
                <w:color w:val="000000"/>
                <w:sz w:val="18"/>
                <w:szCs w:val="18"/>
              </w:rPr>
            </w:pPr>
            <w:r w:rsidRPr="001569FB">
              <w:rPr>
                <w:color w:val="000000"/>
                <w:sz w:val="18"/>
                <w:szCs w:val="18"/>
              </w:rPr>
              <w:t>Specified Anxiety, Personality, and Behavior Disorders</w:t>
            </w:r>
          </w:p>
        </w:tc>
        <w:tc>
          <w:tcPr>
            <w:tcW w:w="636" w:type="pct"/>
            <w:tcBorders>
              <w:top w:val="nil"/>
              <w:left w:val="nil"/>
              <w:bottom w:val="single" w:sz="4" w:space="0" w:color="auto"/>
              <w:right w:val="single" w:sz="4" w:space="0" w:color="auto"/>
            </w:tcBorders>
            <w:shd w:val="clear" w:color="000000" w:fill="FFFFFF"/>
            <w:vAlign w:val="center"/>
            <w:hideMark/>
          </w:tcPr>
          <w:p w14:paraId="556B06B0"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05EC83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5D6C5FE4"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21A7835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3265C44C"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4FB6A3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7174E2D" w14:textId="77777777" w:rsidR="006F3A1A" w:rsidRPr="001569FB" w:rsidRDefault="006F3A1A" w:rsidP="008D4E91">
            <w:pPr>
              <w:spacing w:line="240" w:lineRule="auto"/>
              <w:rPr>
                <w:color w:val="000000"/>
                <w:sz w:val="18"/>
                <w:szCs w:val="18"/>
              </w:rPr>
            </w:pPr>
            <w:r w:rsidRPr="001569FB">
              <w:rPr>
                <w:color w:val="000000"/>
                <w:sz w:val="18"/>
                <w:szCs w:val="18"/>
              </w:rPr>
              <w:t>RXHCC134</w:t>
            </w:r>
          </w:p>
        </w:tc>
        <w:tc>
          <w:tcPr>
            <w:tcW w:w="909" w:type="pct"/>
            <w:tcBorders>
              <w:top w:val="nil"/>
              <w:left w:val="nil"/>
              <w:bottom w:val="single" w:sz="4" w:space="0" w:color="auto"/>
              <w:right w:val="single" w:sz="4" w:space="0" w:color="auto"/>
            </w:tcBorders>
            <w:shd w:val="clear" w:color="000000" w:fill="FFFFFF"/>
            <w:vAlign w:val="center"/>
            <w:hideMark/>
          </w:tcPr>
          <w:p w14:paraId="541F12E7" w14:textId="77777777" w:rsidR="006F3A1A" w:rsidRPr="001569FB" w:rsidRDefault="006F3A1A" w:rsidP="008D4E91">
            <w:pPr>
              <w:spacing w:line="240" w:lineRule="auto"/>
              <w:rPr>
                <w:color w:val="000000"/>
                <w:sz w:val="18"/>
                <w:szCs w:val="18"/>
              </w:rPr>
            </w:pPr>
            <w:r w:rsidRPr="001569FB">
              <w:rPr>
                <w:color w:val="000000"/>
                <w:sz w:val="18"/>
                <w:szCs w:val="18"/>
              </w:rPr>
              <w:t>Depression</w:t>
            </w:r>
          </w:p>
        </w:tc>
        <w:tc>
          <w:tcPr>
            <w:tcW w:w="636" w:type="pct"/>
            <w:tcBorders>
              <w:top w:val="nil"/>
              <w:left w:val="nil"/>
              <w:bottom w:val="single" w:sz="4" w:space="0" w:color="auto"/>
              <w:right w:val="single" w:sz="4" w:space="0" w:color="auto"/>
            </w:tcBorders>
            <w:shd w:val="clear" w:color="000000" w:fill="FFFFFF"/>
            <w:vAlign w:val="center"/>
            <w:hideMark/>
          </w:tcPr>
          <w:p w14:paraId="4724F9D1"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0908ED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74C54FC8"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727" w:type="pct"/>
            <w:tcBorders>
              <w:top w:val="nil"/>
              <w:left w:val="nil"/>
              <w:bottom w:val="single" w:sz="4" w:space="0" w:color="auto"/>
              <w:right w:val="single" w:sz="4" w:space="0" w:color="auto"/>
            </w:tcBorders>
            <w:shd w:val="clear" w:color="000000" w:fill="FFFFFF"/>
            <w:vAlign w:val="center"/>
            <w:hideMark/>
          </w:tcPr>
          <w:p w14:paraId="50929EF8" w14:textId="77777777" w:rsidR="006F3A1A" w:rsidRPr="001569FB" w:rsidRDefault="006F3A1A" w:rsidP="008D4E91">
            <w:pPr>
              <w:spacing w:line="240" w:lineRule="auto"/>
              <w:jc w:val="center"/>
              <w:rPr>
                <w:color w:val="000000"/>
                <w:sz w:val="18"/>
                <w:szCs w:val="18"/>
              </w:rPr>
            </w:pPr>
            <w:r w:rsidRPr="001569FB">
              <w:rPr>
                <w:color w:val="000000"/>
                <w:sz w:val="18"/>
                <w:szCs w:val="18"/>
              </w:rPr>
              <w:t>0.203</w:t>
            </w:r>
          </w:p>
        </w:tc>
        <w:tc>
          <w:tcPr>
            <w:tcW w:w="592" w:type="pct"/>
            <w:tcBorders>
              <w:top w:val="nil"/>
              <w:left w:val="nil"/>
              <w:bottom w:val="single" w:sz="4" w:space="0" w:color="auto"/>
              <w:right w:val="single" w:sz="4" w:space="0" w:color="auto"/>
            </w:tcBorders>
            <w:shd w:val="clear" w:color="000000" w:fill="FFFFFF"/>
            <w:vAlign w:val="center"/>
            <w:hideMark/>
          </w:tcPr>
          <w:p w14:paraId="23E97EEA"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3DE99B7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CA2FDEA" w14:textId="77777777" w:rsidR="006F3A1A" w:rsidRPr="001569FB" w:rsidRDefault="006F3A1A" w:rsidP="008D4E91">
            <w:pPr>
              <w:spacing w:line="240" w:lineRule="auto"/>
              <w:rPr>
                <w:color w:val="000000"/>
                <w:sz w:val="18"/>
                <w:szCs w:val="18"/>
              </w:rPr>
            </w:pPr>
            <w:r w:rsidRPr="001569FB">
              <w:rPr>
                <w:color w:val="000000"/>
                <w:sz w:val="18"/>
                <w:szCs w:val="18"/>
              </w:rPr>
              <w:t>RXHCC135</w:t>
            </w:r>
          </w:p>
        </w:tc>
        <w:tc>
          <w:tcPr>
            <w:tcW w:w="909" w:type="pct"/>
            <w:tcBorders>
              <w:top w:val="nil"/>
              <w:left w:val="nil"/>
              <w:bottom w:val="single" w:sz="4" w:space="0" w:color="auto"/>
              <w:right w:val="single" w:sz="4" w:space="0" w:color="auto"/>
            </w:tcBorders>
            <w:shd w:val="clear" w:color="000000" w:fill="FFFFFF"/>
            <w:vAlign w:val="center"/>
            <w:hideMark/>
          </w:tcPr>
          <w:p w14:paraId="03F3BE0C" w14:textId="77777777" w:rsidR="006F3A1A" w:rsidRPr="001569FB" w:rsidRDefault="006F3A1A" w:rsidP="008D4E91">
            <w:pPr>
              <w:spacing w:line="240" w:lineRule="auto"/>
              <w:rPr>
                <w:color w:val="000000"/>
                <w:sz w:val="18"/>
                <w:szCs w:val="18"/>
              </w:rPr>
            </w:pPr>
            <w:r w:rsidRPr="001569FB">
              <w:rPr>
                <w:color w:val="000000"/>
                <w:sz w:val="18"/>
                <w:szCs w:val="18"/>
              </w:rPr>
              <w:t>Anxiety Disorders</w:t>
            </w:r>
          </w:p>
        </w:tc>
        <w:tc>
          <w:tcPr>
            <w:tcW w:w="636" w:type="pct"/>
            <w:tcBorders>
              <w:top w:val="nil"/>
              <w:left w:val="nil"/>
              <w:bottom w:val="single" w:sz="4" w:space="0" w:color="auto"/>
              <w:right w:val="single" w:sz="4" w:space="0" w:color="auto"/>
            </w:tcBorders>
            <w:shd w:val="clear" w:color="000000" w:fill="FFFFFF"/>
            <w:vAlign w:val="center"/>
            <w:hideMark/>
          </w:tcPr>
          <w:p w14:paraId="38CE8323" w14:textId="77777777" w:rsidR="006F3A1A" w:rsidRPr="001569FB" w:rsidRDefault="006F3A1A" w:rsidP="008D4E91">
            <w:pPr>
              <w:spacing w:line="240" w:lineRule="auto"/>
              <w:jc w:val="center"/>
              <w:rPr>
                <w:color w:val="000000"/>
                <w:sz w:val="18"/>
                <w:szCs w:val="18"/>
              </w:rPr>
            </w:pPr>
            <w:r w:rsidRPr="001569FB">
              <w:rPr>
                <w:color w:val="000000"/>
                <w:sz w:val="18"/>
                <w:szCs w:val="18"/>
              </w:rPr>
              <w:t>0.050</w:t>
            </w:r>
          </w:p>
        </w:tc>
        <w:tc>
          <w:tcPr>
            <w:tcW w:w="682" w:type="pct"/>
            <w:tcBorders>
              <w:top w:val="nil"/>
              <w:left w:val="nil"/>
              <w:bottom w:val="single" w:sz="4" w:space="0" w:color="auto"/>
              <w:right w:val="single" w:sz="4" w:space="0" w:color="auto"/>
            </w:tcBorders>
            <w:shd w:val="clear" w:color="000000" w:fill="FFFFFF"/>
            <w:vAlign w:val="center"/>
            <w:hideMark/>
          </w:tcPr>
          <w:p w14:paraId="6589B911"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637" w:type="pct"/>
            <w:tcBorders>
              <w:top w:val="nil"/>
              <w:left w:val="nil"/>
              <w:bottom w:val="single" w:sz="4" w:space="0" w:color="auto"/>
              <w:right w:val="single" w:sz="4" w:space="0" w:color="auto"/>
            </w:tcBorders>
            <w:shd w:val="clear" w:color="000000" w:fill="FFFFFF"/>
            <w:vAlign w:val="center"/>
            <w:hideMark/>
          </w:tcPr>
          <w:p w14:paraId="6F8DBBD5" w14:textId="77777777" w:rsidR="006F3A1A" w:rsidRPr="001569FB" w:rsidRDefault="006F3A1A" w:rsidP="008D4E91">
            <w:pPr>
              <w:spacing w:line="240" w:lineRule="auto"/>
              <w:jc w:val="center"/>
              <w:rPr>
                <w:color w:val="000000"/>
                <w:sz w:val="18"/>
                <w:szCs w:val="18"/>
              </w:rPr>
            </w:pPr>
            <w:r w:rsidRPr="001569FB">
              <w:rPr>
                <w:color w:val="000000"/>
                <w:sz w:val="18"/>
                <w:szCs w:val="18"/>
              </w:rPr>
              <w:t>0.084</w:t>
            </w:r>
          </w:p>
        </w:tc>
        <w:tc>
          <w:tcPr>
            <w:tcW w:w="727" w:type="pct"/>
            <w:tcBorders>
              <w:top w:val="nil"/>
              <w:left w:val="nil"/>
              <w:bottom w:val="single" w:sz="4" w:space="0" w:color="auto"/>
              <w:right w:val="single" w:sz="4" w:space="0" w:color="auto"/>
            </w:tcBorders>
            <w:shd w:val="clear" w:color="000000" w:fill="FFFFFF"/>
            <w:vAlign w:val="center"/>
            <w:hideMark/>
          </w:tcPr>
          <w:p w14:paraId="2B6BC17B" w14:textId="77777777" w:rsidR="006F3A1A" w:rsidRPr="001569FB" w:rsidRDefault="006F3A1A" w:rsidP="008D4E91">
            <w:pPr>
              <w:spacing w:line="240" w:lineRule="auto"/>
              <w:jc w:val="center"/>
              <w:rPr>
                <w:color w:val="000000"/>
                <w:sz w:val="18"/>
                <w:szCs w:val="18"/>
              </w:rPr>
            </w:pPr>
            <w:r w:rsidRPr="001569FB">
              <w:rPr>
                <w:color w:val="000000"/>
                <w:sz w:val="18"/>
                <w:szCs w:val="18"/>
              </w:rPr>
              <w:t>0.169</w:t>
            </w:r>
          </w:p>
        </w:tc>
        <w:tc>
          <w:tcPr>
            <w:tcW w:w="592" w:type="pct"/>
            <w:tcBorders>
              <w:top w:val="nil"/>
              <w:left w:val="nil"/>
              <w:bottom w:val="single" w:sz="4" w:space="0" w:color="auto"/>
              <w:right w:val="single" w:sz="4" w:space="0" w:color="auto"/>
            </w:tcBorders>
            <w:shd w:val="clear" w:color="000000" w:fill="FFFFFF"/>
            <w:vAlign w:val="center"/>
            <w:hideMark/>
          </w:tcPr>
          <w:p w14:paraId="5FEA6320"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123A884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5FEF495" w14:textId="77777777" w:rsidR="006F3A1A" w:rsidRPr="001569FB" w:rsidRDefault="006F3A1A" w:rsidP="008D4E91">
            <w:pPr>
              <w:spacing w:line="240" w:lineRule="auto"/>
              <w:rPr>
                <w:color w:val="000000"/>
                <w:sz w:val="18"/>
                <w:szCs w:val="18"/>
              </w:rPr>
            </w:pPr>
            <w:r w:rsidRPr="001569FB">
              <w:rPr>
                <w:color w:val="000000"/>
                <w:sz w:val="18"/>
                <w:szCs w:val="18"/>
              </w:rPr>
              <w:t>RXHCC145</w:t>
            </w:r>
          </w:p>
        </w:tc>
        <w:tc>
          <w:tcPr>
            <w:tcW w:w="909" w:type="pct"/>
            <w:tcBorders>
              <w:top w:val="nil"/>
              <w:left w:val="nil"/>
              <w:bottom w:val="single" w:sz="4" w:space="0" w:color="auto"/>
              <w:right w:val="single" w:sz="4" w:space="0" w:color="auto"/>
            </w:tcBorders>
            <w:shd w:val="clear" w:color="000000" w:fill="FFFFFF"/>
            <w:vAlign w:val="center"/>
            <w:hideMark/>
          </w:tcPr>
          <w:p w14:paraId="60F9E0BA" w14:textId="77777777" w:rsidR="006F3A1A" w:rsidRPr="001569FB" w:rsidRDefault="006F3A1A" w:rsidP="008D4E91">
            <w:pPr>
              <w:spacing w:line="240" w:lineRule="auto"/>
              <w:rPr>
                <w:color w:val="000000"/>
                <w:sz w:val="18"/>
                <w:szCs w:val="18"/>
              </w:rPr>
            </w:pPr>
            <w:r w:rsidRPr="001569FB">
              <w:rPr>
                <w:color w:val="000000"/>
                <w:sz w:val="18"/>
                <w:szCs w:val="18"/>
              </w:rPr>
              <w:t>Autism</w:t>
            </w:r>
          </w:p>
        </w:tc>
        <w:tc>
          <w:tcPr>
            <w:tcW w:w="636" w:type="pct"/>
            <w:tcBorders>
              <w:top w:val="nil"/>
              <w:left w:val="nil"/>
              <w:bottom w:val="single" w:sz="4" w:space="0" w:color="auto"/>
              <w:right w:val="single" w:sz="4" w:space="0" w:color="auto"/>
            </w:tcBorders>
            <w:shd w:val="clear" w:color="000000" w:fill="FFFFFF"/>
            <w:vAlign w:val="center"/>
            <w:hideMark/>
          </w:tcPr>
          <w:p w14:paraId="6D2F2F49"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4635FD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039CD8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648EFD99" w14:textId="77777777" w:rsidR="006F3A1A" w:rsidRPr="001569FB" w:rsidRDefault="006F3A1A" w:rsidP="008D4E91">
            <w:pPr>
              <w:spacing w:line="240" w:lineRule="auto"/>
              <w:jc w:val="center"/>
              <w:rPr>
                <w:color w:val="000000"/>
                <w:sz w:val="18"/>
                <w:szCs w:val="18"/>
              </w:rPr>
            </w:pPr>
            <w:r w:rsidRPr="001569FB">
              <w:rPr>
                <w:color w:val="000000"/>
                <w:sz w:val="18"/>
                <w:szCs w:val="18"/>
              </w:rPr>
              <w:t>0.369</w:t>
            </w:r>
          </w:p>
        </w:tc>
        <w:tc>
          <w:tcPr>
            <w:tcW w:w="592" w:type="pct"/>
            <w:tcBorders>
              <w:top w:val="nil"/>
              <w:left w:val="nil"/>
              <w:bottom w:val="single" w:sz="4" w:space="0" w:color="auto"/>
              <w:right w:val="single" w:sz="4" w:space="0" w:color="auto"/>
            </w:tcBorders>
            <w:shd w:val="clear" w:color="000000" w:fill="FFFFFF"/>
            <w:vAlign w:val="center"/>
            <w:hideMark/>
          </w:tcPr>
          <w:p w14:paraId="5CA3C7F2"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764ED094"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8BAF56"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RXHCC146</w:t>
            </w:r>
          </w:p>
        </w:tc>
        <w:tc>
          <w:tcPr>
            <w:tcW w:w="909" w:type="pct"/>
            <w:tcBorders>
              <w:top w:val="nil"/>
              <w:left w:val="nil"/>
              <w:bottom w:val="single" w:sz="4" w:space="0" w:color="auto"/>
              <w:right w:val="single" w:sz="4" w:space="0" w:color="auto"/>
            </w:tcBorders>
            <w:shd w:val="clear" w:color="000000" w:fill="FFFFFF"/>
            <w:vAlign w:val="center"/>
            <w:hideMark/>
          </w:tcPr>
          <w:p w14:paraId="0BD26D62" w14:textId="77777777" w:rsidR="006F3A1A" w:rsidRPr="001569FB" w:rsidRDefault="006F3A1A" w:rsidP="008D4E91">
            <w:pPr>
              <w:spacing w:line="240" w:lineRule="auto"/>
              <w:rPr>
                <w:color w:val="000000"/>
                <w:sz w:val="18"/>
                <w:szCs w:val="18"/>
              </w:rPr>
            </w:pPr>
            <w:r w:rsidRPr="001569FB">
              <w:rPr>
                <w:color w:val="000000"/>
                <w:sz w:val="18"/>
                <w:szCs w:val="18"/>
              </w:rPr>
              <w:t>Profound or Severe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22BAF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794BA99C"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66B6B34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0A091433"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592" w:type="pct"/>
            <w:tcBorders>
              <w:top w:val="nil"/>
              <w:left w:val="nil"/>
              <w:bottom w:val="single" w:sz="4" w:space="0" w:color="auto"/>
              <w:right w:val="single" w:sz="4" w:space="0" w:color="auto"/>
            </w:tcBorders>
            <w:shd w:val="clear" w:color="000000" w:fill="FFFFFF"/>
            <w:vAlign w:val="center"/>
            <w:hideMark/>
          </w:tcPr>
          <w:p w14:paraId="19589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0FC74DC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8A4A744" w14:textId="77777777" w:rsidR="006F3A1A" w:rsidRPr="001569FB" w:rsidRDefault="006F3A1A" w:rsidP="008D4E91">
            <w:pPr>
              <w:spacing w:line="240" w:lineRule="auto"/>
              <w:rPr>
                <w:color w:val="000000"/>
                <w:sz w:val="18"/>
                <w:szCs w:val="18"/>
              </w:rPr>
            </w:pPr>
            <w:r w:rsidRPr="001569FB">
              <w:rPr>
                <w:color w:val="000000"/>
                <w:sz w:val="18"/>
                <w:szCs w:val="18"/>
              </w:rPr>
              <w:t>RXHCC147</w:t>
            </w:r>
          </w:p>
        </w:tc>
        <w:tc>
          <w:tcPr>
            <w:tcW w:w="909" w:type="pct"/>
            <w:tcBorders>
              <w:top w:val="nil"/>
              <w:left w:val="nil"/>
              <w:bottom w:val="single" w:sz="4" w:space="0" w:color="auto"/>
              <w:right w:val="single" w:sz="4" w:space="0" w:color="auto"/>
            </w:tcBorders>
            <w:shd w:val="clear" w:color="000000" w:fill="FFFFFF"/>
            <w:vAlign w:val="center"/>
            <w:hideMark/>
          </w:tcPr>
          <w:p w14:paraId="6FB1ABF3" w14:textId="77777777" w:rsidR="006F3A1A" w:rsidRPr="001569FB" w:rsidRDefault="006F3A1A" w:rsidP="008D4E91">
            <w:pPr>
              <w:spacing w:line="240" w:lineRule="auto"/>
              <w:rPr>
                <w:color w:val="000000"/>
                <w:sz w:val="18"/>
                <w:szCs w:val="18"/>
              </w:rPr>
            </w:pPr>
            <w:r w:rsidRPr="001569FB">
              <w:rPr>
                <w:color w:val="000000"/>
                <w:sz w:val="18"/>
                <w:szCs w:val="18"/>
              </w:rPr>
              <w:t>Moderate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0E1E77B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41E3C42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59E9051A"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vAlign w:val="center"/>
            <w:hideMark/>
          </w:tcPr>
          <w:p w14:paraId="5B7596BA"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592" w:type="pct"/>
            <w:tcBorders>
              <w:top w:val="nil"/>
              <w:left w:val="nil"/>
              <w:bottom w:val="single" w:sz="4" w:space="0" w:color="auto"/>
              <w:right w:val="single" w:sz="4" w:space="0" w:color="auto"/>
            </w:tcBorders>
            <w:shd w:val="clear" w:color="000000" w:fill="FFFFFF"/>
            <w:vAlign w:val="center"/>
            <w:hideMark/>
          </w:tcPr>
          <w:p w14:paraId="49244712"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5CEED36"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000676" w14:textId="77777777" w:rsidR="006F3A1A" w:rsidRPr="001569FB" w:rsidRDefault="006F3A1A" w:rsidP="008D4E91">
            <w:pPr>
              <w:spacing w:line="240" w:lineRule="auto"/>
              <w:rPr>
                <w:color w:val="000000"/>
                <w:sz w:val="18"/>
                <w:szCs w:val="18"/>
              </w:rPr>
            </w:pPr>
            <w:r w:rsidRPr="001569FB">
              <w:rPr>
                <w:color w:val="000000"/>
                <w:sz w:val="18"/>
                <w:szCs w:val="18"/>
              </w:rPr>
              <w:t>RXHCC148</w:t>
            </w:r>
          </w:p>
        </w:tc>
        <w:tc>
          <w:tcPr>
            <w:tcW w:w="909" w:type="pct"/>
            <w:tcBorders>
              <w:top w:val="nil"/>
              <w:left w:val="nil"/>
              <w:bottom w:val="single" w:sz="4" w:space="0" w:color="auto"/>
              <w:right w:val="single" w:sz="4" w:space="0" w:color="auto"/>
            </w:tcBorders>
            <w:shd w:val="clear" w:color="000000" w:fill="FFFFFF"/>
            <w:vAlign w:val="center"/>
            <w:hideMark/>
          </w:tcPr>
          <w:p w14:paraId="5804D307" w14:textId="77777777" w:rsidR="006F3A1A" w:rsidRPr="001569FB" w:rsidRDefault="006F3A1A" w:rsidP="008D4E91">
            <w:pPr>
              <w:spacing w:line="240" w:lineRule="auto"/>
              <w:rPr>
                <w:color w:val="000000"/>
                <w:sz w:val="18"/>
                <w:szCs w:val="18"/>
              </w:rPr>
            </w:pPr>
            <w:r w:rsidRPr="001569FB">
              <w:rPr>
                <w:color w:val="000000"/>
                <w:sz w:val="18"/>
                <w:szCs w:val="18"/>
              </w:rPr>
              <w:t>Mild or Unspecified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4C209E9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1A71DC8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1D260BAD" w14:textId="77777777" w:rsidR="006F3A1A" w:rsidRPr="001569FB" w:rsidRDefault="006F3A1A" w:rsidP="008D4E91">
            <w:pPr>
              <w:spacing w:line="240" w:lineRule="auto"/>
              <w:jc w:val="center"/>
              <w:rPr>
                <w:color w:val="000000"/>
                <w:sz w:val="18"/>
                <w:szCs w:val="18"/>
              </w:rPr>
            </w:pPr>
            <w:r w:rsidRPr="001569FB">
              <w:rPr>
                <w:color w:val="000000"/>
                <w:sz w:val="18"/>
                <w:szCs w:val="18"/>
              </w:rPr>
              <w:t>0.094</w:t>
            </w:r>
          </w:p>
        </w:tc>
        <w:tc>
          <w:tcPr>
            <w:tcW w:w="727" w:type="pct"/>
            <w:tcBorders>
              <w:top w:val="nil"/>
              <w:left w:val="nil"/>
              <w:bottom w:val="single" w:sz="4" w:space="0" w:color="auto"/>
              <w:right w:val="single" w:sz="4" w:space="0" w:color="auto"/>
            </w:tcBorders>
            <w:shd w:val="clear" w:color="000000" w:fill="FFFFFF"/>
            <w:vAlign w:val="center"/>
            <w:hideMark/>
          </w:tcPr>
          <w:p w14:paraId="579A9D2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592" w:type="pct"/>
            <w:tcBorders>
              <w:top w:val="nil"/>
              <w:left w:val="nil"/>
              <w:bottom w:val="single" w:sz="4" w:space="0" w:color="auto"/>
              <w:right w:val="single" w:sz="4" w:space="0" w:color="auto"/>
            </w:tcBorders>
            <w:shd w:val="clear" w:color="000000" w:fill="FFFFFF"/>
            <w:vAlign w:val="center"/>
            <w:hideMark/>
          </w:tcPr>
          <w:p w14:paraId="618BA89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4622F1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E6F1A58" w14:textId="77777777" w:rsidR="006F3A1A" w:rsidRPr="001569FB" w:rsidRDefault="006F3A1A" w:rsidP="008D4E91">
            <w:pPr>
              <w:spacing w:line="240" w:lineRule="auto"/>
              <w:rPr>
                <w:color w:val="000000"/>
                <w:sz w:val="18"/>
                <w:szCs w:val="18"/>
              </w:rPr>
            </w:pPr>
            <w:r w:rsidRPr="001569FB">
              <w:rPr>
                <w:color w:val="000000"/>
                <w:sz w:val="18"/>
                <w:szCs w:val="18"/>
              </w:rPr>
              <w:t>RXHCC156</w:t>
            </w:r>
          </w:p>
        </w:tc>
        <w:tc>
          <w:tcPr>
            <w:tcW w:w="909" w:type="pct"/>
            <w:tcBorders>
              <w:top w:val="nil"/>
              <w:left w:val="nil"/>
              <w:bottom w:val="single" w:sz="4" w:space="0" w:color="auto"/>
              <w:right w:val="single" w:sz="4" w:space="0" w:color="auto"/>
            </w:tcBorders>
            <w:shd w:val="clear" w:color="000000" w:fill="FFFFFF"/>
            <w:vAlign w:val="center"/>
            <w:hideMark/>
          </w:tcPr>
          <w:p w14:paraId="775260C1" w14:textId="77777777" w:rsidR="006F3A1A" w:rsidRPr="001569FB" w:rsidRDefault="006F3A1A" w:rsidP="008D4E91">
            <w:pPr>
              <w:spacing w:line="240" w:lineRule="auto"/>
              <w:rPr>
                <w:color w:val="000000"/>
                <w:sz w:val="18"/>
                <w:szCs w:val="18"/>
              </w:rPr>
            </w:pPr>
            <w:r w:rsidRPr="001569FB">
              <w:rPr>
                <w:color w:val="000000"/>
                <w:sz w:val="18"/>
                <w:szCs w:val="18"/>
              </w:rPr>
              <w:t>Myasthenia Gravis, Amyotrophic Lateral Sclerosis and Other Motor Neuron Disease</w:t>
            </w:r>
          </w:p>
        </w:tc>
        <w:tc>
          <w:tcPr>
            <w:tcW w:w="636" w:type="pct"/>
            <w:tcBorders>
              <w:top w:val="nil"/>
              <w:left w:val="nil"/>
              <w:bottom w:val="single" w:sz="4" w:space="0" w:color="auto"/>
              <w:right w:val="single" w:sz="4" w:space="0" w:color="auto"/>
            </w:tcBorders>
            <w:shd w:val="clear" w:color="000000" w:fill="FFFFFF"/>
            <w:vAlign w:val="center"/>
            <w:hideMark/>
          </w:tcPr>
          <w:p w14:paraId="2E56D48F" w14:textId="77777777" w:rsidR="006F3A1A" w:rsidRPr="001569FB" w:rsidRDefault="006F3A1A" w:rsidP="008D4E91">
            <w:pPr>
              <w:spacing w:line="240" w:lineRule="auto"/>
              <w:jc w:val="center"/>
              <w:rPr>
                <w:color w:val="000000"/>
                <w:sz w:val="18"/>
                <w:szCs w:val="18"/>
              </w:rPr>
            </w:pPr>
            <w:r w:rsidRPr="001569FB">
              <w:rPr>
                <w:color w:val="000000"/>
                <w:sz w:val="18"/>
                <w:szCs w:val="18"/>
              </w:rPr>
              <w:t>0.370</w:t>
            </w:r>
          </w:p>
        </w:tc>
        <w:tc>
          <w:tcPr>
            <w:tcW w:w="682" w:type="pct"/>
            <w:tcBorders>
              <w:top w:val="nil"/>
              <w:left w:val="nil"/>
              <w:bottom w:val="single" w:sz="4" w:space="0" w:color="auto"/>
              <w:right w:val="single" w:sz="4" w:space="0" w:color="auto"/>
            </w:tcBorders>
            <w:shd w:val="clear" w:color="000000" w:fill="FFFFFF"/>
            <w:vAlign w:val="center"/>
            <w:hideMark/>
          </w:tcPr>
          <w:p w14:paraId="542542F2" w14:textId="77777777" w:rsidR="006F3A1A" w:rsidRPr="001569FB" w:rsidRDefault="006F3A1A" w:rsidP="008D4E91">
            <w:pPr>
              <w:spacing w:line="240" w:lineRule="auto"/>
              <w:jc w:val="center"/>
              <w:rPr>
                <w:color w:val="000000"/>
                <w:sz w:val="18"/>
                <w:szCs w:val="18"/>
              </w:rPr>
            </w:pPr>
            <w:r w:rsidRPr="001569FB">
              <w:rPr>
                <w:color w:val="000000"/>
                <w:sz w:val="18"/>
                <w:szCs w:val="18"/>
              </w:rPr>
              <w:t>0.574</w:t>
            </w:r>
          </w:p>
        </w:tc>
        <w:tc>
          <w:tcPr>
            <w:tcW w:w="637" w:type="pct"/>
            <w:tcBorders>
              <w:top w:val="nil"/>
              <w:left w:val="nil"/>
              <w:bottom w:val="single" w:sz="4" w:space="0" w:color="auto"/>
              <w:right w:val="single" w:sz="4" w:space="0" w:color="auto"/>
            </w:tcBorders>
            <w:shd w:val="clear" w:color="000000" w:fill="FFFFFF"/>
            <w:vAlign w:val="center"/>
            <w:hideMark/>
          </w:tcPr>
          <w:p w14:paraId="34862551" w14:textId="77777777" w:rsidR="006F3A1A" w:rsidRPr="001569FB" w:rsidRDefault="006F3A1A" w:rsidP="008D4E91">
            <w:pPr>
              <w:spacing w:line="240" w:lineRule="auto"/>
              <w:jc w:val="center"/>
              <w:rPr>
                <w:color w:val="000000"/>
                <w:sz w:val="18"/>
                <w:szCs w:val="18"/>
              </w:rPr>
            </w:pPr>
            <w:r w:rsidRPr="001569FB">
              <w:rPr>
                <w:color w:val="000000"/>
                <w:sz w:val="18"/>
                <w:szCs w:val="18"/>
              </w:rPr>
              <w:t>0.383</w:t>
            </w:r>
          </w:p>
        </w:tc>
        <w:tc>
          <w:tcPr>
            <w:tcW w:w="727" w:type="pct"/>
            <w:tcBorders>
              <w:top w:val="nil"/>
              <w:left w:val="nil"/>
              <w:bottom w:val="single" w:sz="4" w:space="0" w:color="auto"/>
              <w:right w:val="single" w:sz="4" w:space="0" w:color="auto"/>
            </w:tcBorders>
            <w:shd w:val="clear" w:color="000000" w:fill="FFFFFF"/>
            <w:vAlign w:val="center"/>
            <w:hideMark/>
          </w:tcPr>
          <w:p w14:paraId="19526161" w14:textId="77777777" w:rsidR="006F3A1A" w:rsidRPr="001569FB" w:rsidRDefault="006F3A1A" w:rsidP="008D4E91">
            <w:pPr>
              <w:spacing w:line="240" w:lineRule="auto"/>
              <w:jc w:val="center"/>
              <w:rPr>
                <w:color w:val="000000"/>
                <w:sz w:val="18"/>
                <w:szCs w:val="18"/>
              </w:rPr>
            </w:pPr>
            <w:r w:rsidRPr="001569FB">
              <w:rPr>
                <w:color w:val="000000"/>
                <w:sz w:val="18"/>
                <w:szCs w:val="18"/>
              </w:rPr>
              <w:t>0.566</w:t>
            </w:r>
          </w:p>
        </w:tc>
        <w:tc>
          <w:tcPr>
            <w:tcW w:w="592" w:type="pct"/>
            <w:tcBorders>
              <w:top w:val="nil"/>
              <w:left w:val="nil"/>
              <w:bottom w:val="single" w:sz="4" w:space="0" w:color="auto"/>
              <w:right w:val="single" w:sz="4" w:space="0" w:color="auto"/>
            </w:tcBorders>
            <w:shd w:val="clear" w:color="000000" w:fill="FFFFFF"/>
            <w:vAlign w:val="center"/>
            <w:hideMark/>
          </w:tcPr>
          <w:p w14:paraId="086E8E9F" w14:textId="77777777" w:rsidR="006F3A1A" w:rsidRPr="001569FB" w:rsidRDefault="006F3A1A" w:rsidP="008D4E91">
            <w:pPr>
              <w:spacing w:line="240" w:lineRule="auto"/>
              <w:jc w:val="center"/>
              <w:rPr>
                <w:color w:val="000000"/>
                <w:sz w:val="18"/>
                <w:szCs w:val="18"/>
              </w:rPr>
            </w:pPr>
            <w:r w:rsidRPr="001569FB">
              <w:rPr>
                <w:color w:val="000000"/>
                <w:sz w:val="18"/>
                <w:szCs w:val="18"/>
              </w:rPr>
              <w:t>0.183</w:t>
            </w:r>
          </w:p>
        </w:tc>
      </w:tr>
      <w:tr w:rsidR="00EC34A7" w:rsidRPr="001569FB" w14:paraId="3C00238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B4A00E" w14:textId="77777777" w:rsidR="006F3A1A" w:rsidRPr="001569FB" w:rsidRDefault="006F3A1A" w:rsidP="008D4E91">
            <w:pPr>
              <w:spacing w:line="240" w:lineRule="auto"/>
              <w:rPr>
                <w:color w:val="000000"/>
                <w:sz w:val="18"/>
                <w:szCs w:val="18"/>
              </w:rPr>
            </w:pPr>
            <w:r w:rsidRPr="001569FB">
              <w:rPr>
                <w:color w:val="000000"/>
                <w:sz w:val="18"/>
                <w:szCs w:val="18"/>
              </w:rPr>
              <w:t>RXHCC157</w:t>
            </w:r>
          </w:p>
        </w:tc>
        <w:tc>
          <w:tcPr>
            <w:tcW w:w="909" w:type="pct"/>
            <w:tcBorders>
              <w:top w:val="nil"/>
              <w:left w:val="nil"/>
              <w:bottom w:val="single" w:sz="4" w:space="0" w:color="auto"/>
              <w:right w:val="single" w:sz="4" w:space="0" w:color="auto"/>
            </w:tcBorders>
            <w:shd w:val="clear" w:color="000000" w:fill="FFFFFF"/>
            <w:vAlign w:val="center"/>
            <w:hideMark/>
          </w:tcPr>
          <w:p w14:paraId="4D6CFCBF" w14:textId="77777777" w:rsidR="006F3A1A" w:rsidRPr="001569FB" w:rsidRDefault="006F3A1A" w:rsidP="008D4E91">
            <w:pPr>
              <w:spacing w:line="240" w:lineRule="auto"/>
              <w:rPr>
                <w:color w:val="000000"/>
                <w:sz w:val="18"/>
                <w:szCs w:val="18"/>
              </w:rPr>
            </w:pPr>
            <w:r w:rsidRPr="001569FB">
              <w:rPr>
                <w:color w:val="000000"/>
                <w:sz w:val="18"/>
                <w:szCs w:val="18"/>
              </w:rPr>
              <w:t>Spinal Cord Disorders</w:t>
            </w:r>
          </w:p>
        </w:tc>
        <w:tc>
          <w:tcPr>
            <w:tcW w:w="636" w:type="pct"/>
            <w:tcBorders>
              <w:top w:val="nil"/>
              <w:left w:val="nil"/>
              <w:bottom w:val="single" w:sz="4" w:space="0" w:color="auto"/>
              <w:right w:val="single" w:sz="4" w:space="0" w:color="auto"/>
            </w:tcBorders>
            <w:shd w:val="clear" w:color="000000" w:fill="FFFFFF"/>
            <w:vAlign w:val="center"/>
            <w:hideMark/>
          </w:tcPr>
          <w:p w14:paraId="6929060C" w14:textId="77777777" w:rsidR="006F3A1A" w:rsidRPr="001569FB" w:rsidRDefault="006F3A1A" w:rsidP="008D4E91">
            <w:pPr>
              <w:spacing w:line="240" w:lineRule="auto"/>
              <w:jc w:val="center"/>
              <w:rPr>
                <w:color w:val="000000"/>
                <w:sz w:val="18"/>
                <w:szCs w:val="18"/>
              </w:rPr>
            </w:pPr>
            <w:r w:rsidRPr="001569FB">
              <w:rPr>
                <w:color w:val="000000"/>
                <w:sz w:val="18"/>
                <w:szCs w:val="18"/>
              </w:rPr>
              <w:t>0.118</w:t>
            </w:r>
          </w:p>
        </w:tc>
        <w:tc>
          <w:tcPr>
            <w:tcW w:w="682" w:type="pct"/>
            <w:tcBorders>
              <w:top w:val="nil"/>
              <w:left w:val="nil"/>
              <w:bottom w:val="single" w:sz="4" w:space="0" w:color="auto"/>
              <w:right w:val="single" w:sz="4" w:space="0" w:color="auto"/>
            </w:tcBorders>
            <w:shd w:val="clear" w:color="000000" w:fill="FFFFFF"/>
            <w:vAlign w:val="center"/>
            <w:hideMark/>
          </w:tcPr>
          <w:p w14:paraId="65D9F251"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637" w:type="pct"/>
            <w:tcBorders>
              <w:top w:val="nil"/>
              <w:left w:val="nil"/>
              <w:bottom w:val="single" w:sz="4" w:space="0" w:color="auto"/>
              <w:right w:val="single" w:sz="4" w:space="0" w:color="auto"/>
            </w:tcBorders>
            <w:shd w:val="clear" w:color="000000" w:fill="FFFFFF"/>
            <w:vAlign w:val="center"/>
            <w:hideMark/>
          </w:tcPr>
          <w:p w14:paraId="75320635"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1B2517F7"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c>
          <w:tcPr>
            <w:tcW w:w="592" w:type="pct"/>
            <w:tcBorders>
              <w:top w:val="nil"/>
              <w:left w:val="nil"/>
              <w:bottom w:val="single" w:sz="4" w:space="0" w:color="auto"/>
              <w:right w:val="single" w:sz="4" w:space="0" w:color="auto"/>
            </w:tcBorders>
            <w:shd w:val="clear" w:color="000000" w:fill="FFFFFF"/>
            <w:vAlign w:val="center"/>
            <w:hideMark/>
          </w:tcPr>
          <w:p w14:paraId="79152A2E"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0D82C8C1"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6056A6" w14:textId="77777777" w:rsidR="006F3A1A" w:rsidRPr="001569FB" w:rsidRDefault="006F3A1A" w:rsidP="008D4E91">
            <w:pPr>
              <w:spacing w:line="240" w:lineRule="auto"/>
              <w:rPr>
                <w:color w:val="000000"/>
                <w:sz w:val="18"/>
                <w:szCs w:val="18"/>
              </w:rPr>
            </w:pPr>
            <w:r w:rsidRPr="001569FB">
              <w:rPr>
                <w:color w:val="000000"/>
                <w:sz w:val="18"/>
                <w:szCs w:val="18"/>
              </w:rPr>
              <w:t>RXHCC159</w:t>
            </w:r>
          </w:p>
        </w:tc>
        <w:tc>
          <w:tcPr>
            <w:tcW w:w="909" w:type="pct"/>
            <w:tcBorders>
              <w:top w:val="nil"/>
              <w:left w:val="nil"/>
              <w:bottom w:val="single" w:sz="4" w:space="0" w:color="auto"/>
              <w:right w:val="single" w:sz="4" w:space="0" w:color="auto"/>
            </w:tcBorders>
            <w:shd w:val="clear" w:color="000000" w:fill="FFFFFF"/>
            <w:vAlign w:val="center"/>
            <w:hideMark/>
          </w:tcPr>
          <w:p w14:paraId="46E8FF43" w14:textId="77777777" w:rsidR="006F3A1A" w:rsidRPr="001569FB" w:rsidRDefault="006F3A1A" w:rsidP="008D4E91">
            <w:pPr>
              <w:spacing w:line="240" w:lineRule="auto"/>
              <w:rPr>
                <w:color w:val="000000"/>
                <w:sz w:val="18"/>
                <w:szCs w:val="18"/>
              </w:rPr>
            </w:pPr>
            <w:r w:rsidRPr="001569FB">
              <w:rPr>
                <w:color w:val="000000"/>
                <w:sz w:val="18"/>
                <w:szCs w:val="18"/>
              </w:rPr>
              <w:t>Inflammatory and Toxic Neuropathy</w:t>
            </w:r>
          </w:p>
        </w:tc>
        <w:tc>
          <w:tcPr>
            <w:tcW w:w="636" w:type="pct"/>
            <w:tcBorders>
              <w:top w:val="nil"/>
              <w:left w:val="nil"/>
              <w:bottom w:val="single" w:sz="4" w:space="0" w:color="auto"/>
              <w:right w:val="single" w:sz="4" w:space="0" w:color="auto"/>
            </w:tcBorders>
            <w:shd w:val="clear" w:color="000000" w:fill="FFFFFF"/>
            <w:vAlign w:val="center"/>
            <w:hideMark/>
          </w:tcPr>
          <w:p w14:paraId="739588F9"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682" w:type="pct"/>
            <w:tcBorders>
              <w:top w:val="nil"/>
              <w:left w:val="nil"/>
              <w:bottom w:val="single" w:sz="4" w:space="0" w:color="auto"/>
              <w:right w:val="single" w:sz="4" w:space="0" w:color="auto"/>
            </w:tcBorders>
            <w:shd w:val="clear" w:color="000000" w:fill="FFFFFF"/>
            <w:vAlign w:val="center"/>
            <w:hideMark/>
          </w:tcPr>
          <w:p w14:paraId="4AB4BE47" w14:textId="77777777" w:rsidR="006F3A1A" w:rsidRPr="001569FB" w:rsidRDefault="006F3A1A" w:rsidP="008D4E91">
            <w:pPr>
              <w:spacing w:line="240" w:lineRule="auto"/>
              <w:jc w:val="center"/>
              <w:rPr>
                <w:color w:val="000000"/>
                <w:sz w:val="18"/>
                <w:szCs w:val="18"/>
              </w:rPr>
            </w:pPr>
            <w:r w:rsidRPr="001569FB">
              <w:rPr>
                <w:color w:val="000000"/>
                <w:sz w:val="18"/>
                <w:szCs w:val="18"/>
              </w:rPr>
              <w:t>0.386</w:t>
            </w:r>
          </w:p>
        </w:tc>
        <w:tc>
          <w:tcPr>
            <w:tcW w:w="637" w:type="pct"/>
            <w:tcBorders>
              <w:top w:val="nil"/>
              <w:left w:val="nil"/>
              <w:bottom w:val="single" w:sz="4" w:space="0" w:color="auto"/>
              <w:right w:val="single" w:sz="4" w:space="0" w:color="auto"/>
            </w:tcBorders>
            <w:shd w:val="clear" w:color="000000" w:fill="FFFFFF"/>
            <w:vAlign w:val="center"/>
            <w:hideMark/>
          </w:tcPr>
          <w:p w14:paraId="12F49385"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727" w:type="pct"/>
            <w:tcBorders>
              <w:top w:val="nil"/>
              <w:left w:val="nil"/>
              <w:bottom w:val="single" w:sz="4" w:space="0" w:color="auto"/>
              <w:right w:val="single" w:sz="4" w:space="0" w:color="auto"/>
            </w:tcBorders>
            <w:shd w:val="clear" w:color="000000" w:fill="FFFFFF"/>
            <w:vAlign w:val="center"/>
            <w:hideMark/>
          </w:tcPr>
          <w:p w14:paraId="4BCC141B" w14:textId="77777777" w:rsidR="006F3A1A" w:rsidRPr="001569FB" w:rsidRDefault="006F3A1A" w:rsidP="008D4E91">
            <w:pPr>
              <w:spacing w:line="240" w:lineRule="auto"/>
              <w:jc w:val="center"/>
              <w:rPr>
                <w:color w:val="000000"/>
                <w:sz w:val="18"/>
                <w:szCs w:val="18"/>
              </w:rPr>
            </w:pPr>
            <w:r w:rsidRPr="001569FB">
              <w:rPr>
                <w:color w:val="000000"/>
                <w:sz w:val="18"/>
                <w:szCs w:val="18"/>
              </w:rPr>
              <w:t>0.326</w:t>
            </w:r>
          </w:p>
        </w:tc>
        <w:tc>
          <w:tcPr>
            <w:tcW w:w="592" w:type="pct"/>
            <w:tcBorders>
              <w:top w:val="nil"/>
              <w:left w:val="nil"/>
              <w:bottom w:val="single" w:sz="4" w:space="0" w:color="auto"/>
              <w:right w:val="single" w:sz="4" w:space="0" w:color="auto"/>
            </w:tcBorders>
            <w:shd w:val="clear" w:color="000000" w:fill="FFFFFF"/>
            <w:vAlign w:val="center"/>
            <w:hideMark/>
          </w:tcPr>
          <w:p w14:paraId="6F2C31E3" w14:textId="77777777" w:rsidR="006F3A1A" w:rsidRPr="001569FB" w:rsidRDefault="006F3A1A" w:rsidP="008D4E91">
            <w:pPr>
              <w:spacing w:line="240" w:lineRule="auto"/>
              <w:jc w:val="center"/>
              <w:rPr>
                <w:color w:val="000000"/>
                <w:sz w:val="18"/>
                <w:szCs w:val="18"/>
              </w:rPr>
            </w:pPr>
            <w:r w:rsidRPr="001569FB">
              <w:rPr>
                <w:color w:val="000000"/>
                <w:sz w:val="18"/>
                <w:szCs w:val="18"/>
              </w:rPr>
              <w:t>0.079</w:t>
            </w:r>
          </w:p>
        </w:tc>
      </w:tr>
      <w:tr w:rsidR="00EC34A7" w:rsidRPr="001569FB" w14:paraId="25499CD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D5C4E2E" w14:textId="77777777" w:rsidR="006F3A1A" w:rsidRPr="001569FB" w:rsidRDefault="006F3A1A" w:rsidP="008D4E91">
            <w:pPr>
              <w:spacing w:line="240" w:lineRule="auto"/>
              <w:rPr>
                <w:color w:val="000000"/>
                <w:sz w:val="18"/>
                <w:szCs w:val="18"/>
              </w:rPr>
            </w:pPr>
            <w:r w:rsidRPr="001569FB">
              <w:rPr>
                <w:color w:val="000000"/>
                <w:sz w:val="18"/>
                <w:szCs w:val="18"/>
              </w:rPr>
              <w:t>RXHCC160</w:t>
            </w:r>
          </w:p>
        </w:tc>
        <w:tc>
          <w:tcPr>
            <w:tcW w:w="909" w:type="pct"/>
            <w:tcBorders>
              <w:top w:val="nil"/>
              <w:left w:val="nil"/>
              <w:bottom w:val="single" w:sz="4" w:space="0" w:color="auto"/>
              <w:right w:val="single" w:sz="4" w:space="0" w:color="auto"/>
            </w:tcBorders>
            <w:shd w:val="clear" w:color="000000" w:fill="FFFFFF"/>
            <w:vAlign w:val="center"/>
            <w:hideMark/>
          </w:tcPr>
          <w:p w14:paraId="09303226" w14:textId="77777777" w:rsidR="006F3A1A" w:rsidRPr="001569FB" w:rsidRDefault="006F3A1A" w:rsidP="008D4E91">
            <w:pPr>
              <w:spacing w:line="240" w:lineRule="auto"/>
              <w:rPr>
                <w:color w:val="000000"/>
                <w:sz w:val="18"/>
                <w:szCs w:val="18"/>
              </w:rPr>
            </w:pPr>
            <w:r w:rsidRPr="001569FB">
              <w:rPr>
                <w:color w:val="000000"/>
                <w:sz w:val="18"/>
                <w:szCs w:val="18"/>
              </w:rPr>
              <w:t>Multiple Sclerosis</w:t>
            </w:r>
          </w:p>
        </w:tc>
        <w:tc>
          <w:tcPr>
            <w:tcW w:w="636" w:type="pct"/>
            <w:tcBorders>
              <w:top w:val="nil"/>
              <w:left w:val="nil"/>
              <w:bottom w:val="single" w:sz="4" w:space="0" w:color="auto"/>
              <w:right w:val="single" w:sz="4" w:space="0" w:color="auto"/>
            </w:tcBorders>
            <w:shd w:val="clear" w:color="000000" w:fill="FFFFFF"/>
            <w:vAlign w:val="center"/>
            <w:hideMark/>
          </w:tcPr>
          <w:p w14:paraId="1900A3F7" w14:textId="77777777" w:rsidR="006F3A1A" w:rsidRPr="001569FB" w:rsidRDefault="006F3A1A" w:rsidP="008D4E91">
            <w:pPr>
              <w:spacing w:line="240" w:lineRule="auto"/>
              <w:jc w:val="center"/>
              <w:rPr>
                <w:color w:val="000000"/>
                <w:sz w:val="18"/>
                <w:szCs w:val="18"/>
              </w:rPr>
            </w:pPr>
            <w:r w:rsidRPr="001569FB">
              <w:rPr>
                <w:color w:val="000000"/>
                <w:sz w:val="18"/>
                <w:szCs w:val="18"/>
              </w:rPr>
              <w:t>2.371</w:t>
            </w:r>
          </w:p>
        </w:tc>
        <w:tc>
          <w:tcPr>
            <w:tcW w:w="682" w:type="pct"/>
            <w:tcBorders>
              <w:top w:val="nil"/>
              <w:left w:val="nil"/>
              <w:bottom w:val="single" w:sz="4" w:space="0" w:color="auto"/>
              <w:right w:val="single" w:sz="4" w:space="0" w:color="auto"/>
            </w:tcBorders>
            <w:shd w:val="clear" w:color="000000" w:fill="FFFFFF"/>
            <w:vAlign w:val="center"/>
            <w:hideMark/>
          </w:tcPr>
          <w:p w14:paraId="489EEB22" w14:textId="77777777" w:rsidR="006F3A1A" w:rsidRPr="001569FB" w:rsidRDefault="006F3A1A" w:rsidP="008D4E91">
            <w:pPr>
              <w:spacing w:line="240" w:lineRule="auto"/>
              <w:jc w:val="center"/>
              <w:rPr>
                <w:color w:val="000000"/>
                <w:sz w:val="18"/>
                <w:szCs w:val="18"/>
              </w:rPr>
            </w:pPr>
            <w:r w:rsidRPr="001569FB">
              <w:rPr>
                <w:color w:val="000000"/>
                <w:sz w:val="18"/>
                <w:szCs w:val="18"/>
              </w:rPr>
              <w:t>3.986</w:t>
            </w:r>
          </w:p>
        </w:tc>
        <w:tc>
          <w:tcPr>
            <w:tcW w:w="637" w:type="pct"/>
            <w:tcBorders>
              <w:top w:val="nil"/>
              <w:left w:val="nil"/>
              <w:bottom w:val="single" w:sz="4" w:space="0" w:color="auto"/>
              <w:right w:val="single" w:sz="4" w:space="0" w:color="auto"/>
            </w:tcBorders>
            <w:shd w:val="clear" w:color="000000" w:fill="FFFFFF"/>
            <w:vAlign w:val="center"/>
            <w:hideMark/>
          </w:tcPr>
          <w:p w14:paraId="13AF5E3B" w14:textId="77777777" w:rsidR="006F3A1A" w:rsidRPr="001569FB" w:rsidRDefault="006F3A1A" w:rsidP="008D4E91">
            <w:pPr>
              <w:spacing w:line="240" w:lineRule="auto"/>
              <w:jc w:val="center"/>
              <w:rPr>
                <w:color w:val="000000"/>
                <w:sz w:val="18"/>
                <w:szCs w:val="18"/>
              </w:rPr>
            </w:pPr>
            <w:r w:rsidRPr="001569FB">
              <w:rPr>
                <w:color w:val="000000"/>
                <w:sz w:val="18"/>
                <w:szCs w:val="18"/>
              </w:rPr>
              <w:t>1.985</w:t>
            </w:r>
          </w:p>
        </w:tc>
        <w:tc>
          <w:tcPr>
            <w:tcW w:w="727" w:type="pct"/>
            <w:tcBorders>
              <w:top w:val="nil"/>
              <w:left w:val="nil"/>
              <w:bottom w:val="single" w:sz="4" w:space="0" w:color="auto"/>
              <w:right w:val="single" w:sz="4" w:space="0" w:color="auto"/>
            </w:tcBorders>
            <w:shd w:val="clear" w:color="000000" w:fill="FFFFFF"/>
            <w:vAlign w:val="center"/>
            <w:hideMark/>
          </w:tcPr>
          <w:p w14:paraId="49BEBFF8" w14:textId="77777777" w:rsidR="006F3A1A" w:rsidRPr="001569FB" w:rsidRDefault="006F3A1A" w:rsidP="008D4E91">
            <w:pPr>
              <w:spacing w:line="240" w:lineRule="auto"/>
              <w:jc w:val="center"/>
              <w:rPr>
                <w:color w:val="000000"/>
                <w:sz w:val="18"/>
                <w:szCs w:val="18"/>
              </w:rPr>
            </w:pPr>
            <w:r w:rsidRPr="001569FB">
              <w:rPr>
                <w:color w:val="000000"/>
                <w:sz w:val="18"/>
                <w:szCs w:val="18"/>
              </w:rPr>
              <w:t>4.012</w:t>
            </w:r>
          </w:p>
        </w:tc>
        <w:tc>
          <w:tcPr>
            <w:tcW w:w="592" w:type="pct"/>
            <w:tcBorders>
              <w:top w:val="nil"/>
              <w:left w:val="nil"/>
              <w:bottom w:val="single" w:sz="4" w:space="0" w:color="auto"/>
              <w:right w:val="single" w:sz="4" w:space="0" w:color="auto"/>
            </w:tcBorders>
            <w:shd w:val="clear" w:color="000000" w:fill="FFFFFF"/>
            <w:vAlign w:val="center"/>
            <w:hideMark/>
          </w:tcPr>
          <w:p w14:paraId="35D77253" w14:textId="77777777" w:rsidR="006F3A1A" w:rsidRPr="001569FB" w:rsidRDefault="006F3A1A" w:rsidP="008D4E91">
            <w:pPr>
              <w:spacing w:line="240" w:lineRule="auto"/>
              <w:jc w:val="center"/>
              <w:rPr>
                <w:color w:val="000000"/>
                <w:sz w:val="18"/>
                <w:szCs w:val="18"/>
              </w:rPr>
            </w:pPr>
            <w:r w:rsidRPr="001569FB">
              <w:rPr>
                <w:color w:val="000000"/>
                <w:sz w:val="18"/>
                <w:szCs w:val="18"/>
              </w:rPr>
              <w:t>0.960</w:t>
            </w:r>
          </w:p>
        </w:tc>
      </w:tr>
      <w:tr w:rsidR="00EC34A7" w:rsidRPr="001569FB" w14:paraId="050E47C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412B0E9" w14:textId="77777777" w:rsidR="006F3A1A" w:rsidRPr="001569FB" w:rsidRDefault="006F3A1A" w:rsidP="008D4E91">
            <w:pPr>
              <w:spacing w:line="240" w:lineRule="auto"/>
              <w:rPr>
                <w:color w:val="000000"/>
                <w:sz w:val="18"/>
                <w:szCs w:val="18"/>
              </w:rPr>
            </w:pPr>
            <w:r w:rsidRPr="001569FB">
              <w:rPr>
                <w:color w:val="000000"/>
                <w:sz w:val="18"/>
                <w:szCs w:val="18"/>
              </w:rPr>
              <w:t>RXHCC161</w:t>
            </w:r>
          </w:p>
        </w:tc>
        <w:tc>
          <w:tcPr>
            <w:tcW w:w="909" w:type="pct"/>
            <w:tcBorders>
              <w:top w:val="nil"/>
              <w:left w:val="nil"/>
              <w:bottom w:val="single" w:sz="4" w:space="0" w:color="auto"/>
              <w:right w:val="single" w:sz="4" w:space="0" w:color="auto"/>
            </w:tcBorders>
            <w:shd w:val="clear" w:color="000000" w:fill="FFFFFF"/>
            <w:vAlign w:val="center"/>
            <w:hideMark/>
          </w:tcPr>
          <w:p w14:paraId="2C199517" w14:textId="77777777" w:rsidR="006F3A1A" w:rsidRPr="001569FB" w:rsidRDefault="006F3A1A" w:rsidP="008D4E91">
            <w:pPr>
              <w:spacing w:line="240" w:lineRule="auto"/>
              <w:rPr>
                <w:color w:val="000000"/>
                <w:sz w:val="18"/>
                <w:szCs w:val="18"/>
              </w:rPr>
            </w:pPr>
            <w:r w:rsidRPr="001569FB">
              <w:rPr>
                <w:color w:val="000000"/>
                <w:sz w:val="18"/>
                <w:szCs w:val="18"/>
              </w:rPr>
              <w:t>Parkinson`s and Huntington`s Diseases</w:t>
            </w:r>
          </w:p>
        </w:tc>
        <w:tc>
          <w:tcPr>
            <w:tcW w:w="636" w:type="pct"/>
            <w:tcBorders>
              <w:top w:val="nil"/>
              <w:left w:val="nil"/>
              <w:bottom w:val="single" w:sz="4" w:space="0" w:color="auto"/>
              <w:right w:val="single" w:sz="4" w:space="0" w:color="auto"/>
            </w:tcBorders>
            <w:shd w:val="clear" w:color="000000" w:fill="FFFFFF"/>
            <w:vAlign w:val="center"/>
            <w:hideMark/>
          </w:tcPr>
          <w:p w14:paraId="6C7960E7" w14:textId="77777777" w:rsidR="006F3A1A" w:rsidRPr="001569FB" w:rsidRDefault="006F3A1A" w:rsidP="008D4E91">
            <w:pPr>
              <w:spacing w:line="240" w:lineRule="auto"/>
              <w:jc w:val="center"/>
              <w:rPr>
                <w:color w:val="000000"/>
                <w:sz w:val="18"/>
                <w:szCs w:val="18"/>
              </w:rPr>
            </w:pPr>
            <w:r w:rsidRPr="001569FB">
              <w:rPr>
                <w:color w:val="000000"/>
                <w:sz w:val="18"/>
                <w:szCs w:val="18"/>
              </w:rPr>
              <w:t>0.524</w:t>
            </w:r>
          </w:p>
        </w:tc>
        <w:tc>
          <w:tcPr>
            <w:tcW w:w="682" w:type="pct"/>
            <w:tcBorders>
              <w:top w:val="nil"/>
              <w:left w:val="nil"/>
              <w:bottom w:val="single" w:sz="4" w:space="0" w:color="auto"/>
              <w:right w:val="single" w:sz="4" w:space="0" w:color="auto"/>
            </w:tcBorders>
            <w:shd w:val="clear" w:color="000000" w:fill="FFFFFF"/>
            <w:vAlign w:val="center"/>
            <w:hideMark/>
          </w:tcPr>
          <w:p w14:paraId="07877E0D" w14:textId="77777777" w:rsidR="006F3A1A" w:rsidRPr="001569FB" w:rsidRDefault="006F3A1A" w:rsidP="008D4E91">
            <w:pPr>
              <w:spacing w:line="240" w:lineRule="auto"/>
              <w:jc w:val="center"/>
              <w:rPr>
                <w:color w:val="000000"/>
                <w:sz w:val="18"/>
                <w:szCs w:val="18"/>
              </w:rPr>
            </w:pPr>
            <w:r w:rsidRPr="001569FB">
              <w:rPr>
                <w:color w:val="000000"/>
                <w:sz w:val="18"/>
                <w:szCs w:val="18"/>
              </w:rPr>
              <w:t>0.720</w:t>
            </w:r>
          </w:p>
        </w:tc>
        <w:tc>
          <w:tcPr>
            <w:tcW w:w="637" w:type="pct"/>
            <w:tcBorders>
              <w:top w:val="nil"/>
              <w:left w:val="nil"/>
              <w:bottom w:val="single" w:sz="4" w:space="0" w:color="auto"/>
              <w:right w:val="single" w:sz="4" w:space="0" w:color="auto"/>
            </w:tcBorders>
            <w:shd w:val="clear" w:color="000000" w:fill="FFFFFF"/>
            <w:vAlign w:val="center"/>
            <w:hideMark/>
          </w:tcPr>
          <w:p w14:paraId="73FB5D36"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0D33CC11" w14:textId="77777777" w:rsidR="006F3A1A" w:rsidRPr="001569FB" w:rsidRDefault="006F3A1A" w:rsidP="008D4E91">
            <w:pPr>
              <w:spacing w:line="240" w:lineRule="auto"/>
              <w:jc w:val="center"/>
              <w:rPr>
                <w:color w:val="000000"/>
                <w:sz w:val="18"/>
                <w:szCs w:val="18"/>
              </w:rPr>
            </w:pPr>
            <w:r w:rsidRPr="001569FB">
              <w:rPr>
                <w:color w:val="000000"/>
                <w:sz w:val="18"/>
                <w:szCs w:val="18"/>
              </w:rPr>
              <w:t>0.430</w:t>
            </w:r>
          </w:p>
        </w:tc>
        <w:tc>
          <w:tcPr>
            <w:tcW w:w="592" w:type="pct"/>
            <w:tcBorders>
              <w:top w:val="nil"/>
              <w:left w:val="nil"/>
              <w:bottom w:val="single" w:sz="4" w:space="0" w:color="auto"/>
              <w:right w:val="single" w:sz="4" w:space="0" w:color="auto"/>
            </w:tcBorders>
            <w:shd w:val="clear" w:color="000000" w:fill="FFFFFF"/>
            <w:vAlign w:val="center"/>
            <w:hideMark/>
          </w:tcPr>
          <w:p w14:paraId="17286DF0" w14:textId="77777777" w:rsidR="006F3A1A" w:rsidRPr="001569FB" w:rsidRDefault="006F3A1A" w:rsidP="008D4E91">
            <w:pPr>
              <w:spacing w:line="240" w:lineRule="auto"/>
              <w:jc w:val="center"/>
              <w:rPr>
                <w:color w:val="000000"/>
                <w:sz w:val="18"/>
                <w:szCs w:val="18"/>
              </w:rPr>
            </w:pPr>
            <w:r w:rsidRPr="001569FB">
              <w:rPr>
                <w:color w:val="000000"/>
                <w:sz w:val="18"/>
                <w:szCs w:val="18"/>
              </w:rPr>
              <w:t>0.226</w:t>
            </w:r>
          </w:p>
        </w:tc>
      </w:tr>
      <w:tr w:rsidR="00EC34A7" w:rsidRPr="001569FB" w14:paraId="7D2A213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E4BB52" w14:textId="77777777" w:rsidR="006F3A1A" w:rsidRPr="001569FB" w:rsidRDefault="006F3A1A" w:rsidP="008D4E91">
            <w:pPr>
              <w:spacing w:line="240" w:lineRule="auto"/>
              <w:rPr>
                <w:color w:val="000000"/>
                <w:sz w:val="18"/>
                <w:szCs w:val="18"/>
              </w:rPr>
            </w:pPr>
            <w:r w:rsidRPr="001569FB">
              <w:rPr>
                <w:color w:val="000000"/>
                <w:sz w:val="18"/>
                <w:szCs w:val="18"/>
              </w:rPr>
              <w:t>RXHCC163</w:t>
            </w:r>
          </w:p>
        </w:tc>
        <w:tc>
          <w:tcPr>
            <w:tcW w:w="909" w:type="pct"/>
            <w:tcBorders>
              <w:top w:val="nil"/>
              <w:left w:val="nil"/>
              <w:bottom w:val="single" w:sz="4" w:space="0" w:color="auto"/>
              <w:right w:val="single" w:sz="4" w:space="0" w:color="auto"/>
            </w:tcBorders>
            <w:shd w:val="clear" w:color="000000" w:fill="FFFFFF"/>
            <w:vAlign w:val="center"/>
            <w:hideMark/>
          </w:tcPr>
          <w:p w14:paraId="54F2EF56" w14:textId="77777777" w:rsidR="006F3A1A" w:rsidRPr="001569FB" w:rsidRDefault="006F3A1A" w:rsidP="008D4E91">
            <w:pPr>
              <w:spacing w:line="240" w:lineRule="auto"/>
              <w:rPr>
                <w:color w:val="000000"/>
                <w:sz w:val="18"/>
                <w:szCs w:val="18"/>
              </w:rPr>
            </w:pPr>
            <w:r w:rsidRPr="001569FB">
              <w:rPr>
                <w:color w:val="000000"/>
                <w:sz w:val="18"/>
                <w:szCs w:val="18"/>
              </w:rPr>
              <w:t>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06D49914" w14:textId="77777777" w:rsidR="006F3A1A" w:rsidRPr="001569FB" w:rsidRDefault="006F3A1A" w:rsidP="008D4E91">
            <w:pPr>
              <w:spacing w:line="240" w:lineRule="auto"/>
              <w:jc w:val="center"/>
              <w:rPr>
                <w:color w:val="000000"/>
                <w:sz w:val="18"/>
                <w:szCs w:val="18"/>
              </w:rPr>
            </w:pPr>
            <w:r w:rsidRPr="001569FB">
              <w:rPr>
                <w:color w:val="000000"/>
                <w:sz w:val="18"/>
                <w:szCs w:val="18"/>
              </w:rPr>
              <w:t>0.310</w:t>
            </w:r>
          </w:p>
        </w:tc>
        <w:tc>
          <w:tcPr>
            <w:tcW w:w="682" w:type="pct"/>
            <w:tcBorders>
              <w:top w:val="nil"/>
              <w:left w:val="nil"/>
              <w:bottom w:val="single" w:sz="4" w:space="0" w:color="auto"/>
              <w:right w:val="single" w:sz="4" w:space="0" w:color="auto"/>
            </w:tcBorders>
            <w:shd w:val="clear" w:color="000000" w:fill="FFFFFF"/>
            <w:vAlign w:val="center"/>
            <w:hideMark/>
          </w:tcPr>
          <w:p w14:paraId="250137C9" w14:textId="77777777" w:rsidR="006F3A1A" w:rsidRPr="001569FB" w:rsidRDefault="006F3A1A" w:rsidP="008D4E91">
            <w:pPr>
              <w:spacing w:line="240" w:lineRule="auto"/>
              <w:jc w:val="center"/>
              <w:rPr>
                <w:color w:val="000000"/>
                <w:sz w:val="18"/>
                <w:szCs w:val="18"/>
              </w:rPr>
            </w:pPr>
            <w:r w:rsidRPr="001569FB">
              <w:rPr>
                <w:color w:val="000000"/>
                <w:sz w:val="18"/>
                <w:szCs w:val="18"/>
              </w:rPr>
              <w:t>0.570</w:t>
            </w:r>
          </w:p>
        </w:tc>
        <w:tc>
          <w:tcPr>
            <w:tcW w:w="637" w:type="pct"/>
            <w:tcBorders>
              <w:top w:val="nil"/>
              <w:left w:val="nil"/>
              <w:bottom w:val="single" w:sz="4" w:space="0" w:color="auto"/>
              <w:right w:val="single" w:sz="4" w:space="0" w:color="auto"/>
            </w:tcBorders>
            <w:shd w:val="clear" w:color="000000" w:fill="FFFFFF"/>
            <w:vAlign w:val="center"/>
            <w:hideMark/>
          </w:tcPr>
          <w:p w14:paraId="3AC5D13E" w14:textId="77777777" w:rsidR="006F3A1A" w:rsidRPr="001569FB" w:rsidRDefault="006F3A1A" w:rsidP="008D4E91">
            <w:pPr>
              <w:spacing w:line="240" w:lineRule="auto"/>
              <w:jc w:val="center"/>
              <w:rPr>
                <w:color w:val="000000"/>
                <w:sz w:val="18"/>
                <w:szCs w:val="18"/>
              </w:rPr>
            </w:pPr>
            <w:r w:rsidRPr="001569FB">
              <w:rPr>
                <w:color w:val="000000"/>
                <w:sz w:val="18"/>
                <w:szCs w:val="18"/>
              </w:rPr>
              <w:t>0.307</w:t>
            </w:r>
          </w:p>
        </w:tc>
        <w:tc>
          <w:tcPr>
            <w:tcW w:w="727" w:type="pct"/>
            <w:tcBorders>
              <w:top w:val="nil"/>
              <w:left w:val="nil"/>
              <w:bottom w:val="single" w:sz="4" w:space="0" w:color="auto"/>
              <w:right w:val="single" w:sz="4" w:space="0" w:color="auto"/>
            </w:tcBorders>
            <w:shd w:val="clear" w:color="000000" w:fill="FFFFFF"/>
            <w:vAlign w:val="center"/>
            <w:hideMark/>
          </w:tcPr>
          <w:p w14:paraId="51F90C57" w14:textId="77777777" w:rsidR="006F3A1A" w:rsidRPr="001569FB" w:rsidRDefault="006F3A1A" w:rsidP="008D4E91">
            <w:pPr>
              <w:spacing w:line="240" w:lineRule="auto"/>
              <w:jc w:val="center"/>
              <w:rPr>
                <w:color w:val="000000"/>
                <w:sz w:val="18"/>
                <w:szCs w:val="18"/>
              </w:rPr>
            </w:pPr>
            <w:r w:rsidRPr="001569FB">
              <w:rPr>
                <w:color w:val="000000"/>
                <w:sz w:val="18"/>
                <w:szCs w:val="18"/>
              </w:rPr>
              <w:t>1.017</w:t>
            </w:r>
          </w:p>
        </w:tc>
        <w:tc>
          <w:tcPr>
            <w:tcW w:w="592" w:type="pct"/>
            <w:tcBorders>
              <w:top w:val="nil"/>
              <w:left w:val="nil"/>
              <w:bottom w:val="single" w:sz="4" w:space="0" w:color="auto"/>
              <w:right w:val="single" w:sz="4" w:space="0" w:color="auto"/>
            </w:tcBorders>
            <w:shd w:val="clear" w:color="000000" w:fill="FFFFFF"/>
            <w:vAlign w:val="center"/>
            <w:hideMark/>
          </w:tcPr>
          <w:p w14:paraId="5A5B571F"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r>
      <w:tr w:rsidR="00EC34A7" w:rsidRPr="001569FB" w14:paraId="6A2325B9"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4493CD5" w14:textId="77777777" w:rsidR="006F3A1A" w:rsidRPr="001569FB" w:rsidRDefault="006F3A1A" w:rsidP="008D4E91">
            <w:pPr>
              <w:spacing w:line="240" w:lineRule="auto"/>
              <w:rPr>
                <w:color w:val="000000"/>
                <w:sz w:val="18"/>
                <w:szCs w:val="18"/>
              </w:rPr>
            </w:pPr>
            <w:r w:rsidRPr="001569FB">
              <w:rPr>
                <w:color w:val="000000"/>
                <w:sz w:val="18"/>
                <w:szCs w:val="18"/>
              </w:rPr>
              <w:t>RXHCC164</w:t>
            </w:r>
          </w:p>
        </w:tc>
        <w:tc>
          <w:tcPr>
            <w:tcW w:w="909" w:type="pct"/>
            <w:tcBorders>
              <w:top w:val="nil"/>
              <w:left w:val="nil"/>
              <w:bottom w:val="single" w:sz="4" w:space="0" w:color="auto"/>
              <w:right w:val="single" w:sz="4" w:space="0" w:color="auto"/>
            </w:tcBorders>
            <w:shd w:val="clear" w:color="000000" w:fill="FFFFFF"/>
            <w:vAlign w:val="center"/>
            <w:hideMark/>
          </w:tcPr>
          <w:p w14:paraId="18AF88FB" w14:textId="77777777" w:rsidR="006F3A1A" w:rsidRPr="001569FB" w:rsidRDefault="006F3A1A" w:rsidP="008D4E91">
            <w:pPr>
              <w:spacing w:line="240" w:lineRule="auto"/>
              <w:rPr>
                <w:color w:val="000000"/>
                <w:sz w:val="18"/>
                <w:szCs w:val="18"/>
              </w:rPr>
            </w:pPr>
            <w:r w:rsidRPr="001569FB">
              <w:rPr>
                <w:color w:val="000000"/>
                <w:sz w:val="18"/>
                <w:szCs w:val="18"/>
              </w:rPr>
              <w:t>Epilepsy and Other Seizure Disorders, Except 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2126B13E" w14:textId="77777777" w:rsidR="006F3A1A" w:rsidRPr="001569FB" w:rsidRDefault="006F3A1A" w:rsidP="008D4E91">
            <w:pPr>
              <w:spacing w:line="240" w:lineRule="auto"/>
              <w:jc w:val="center"/>
              <w:rPr>
                <w:color w:val="000000"/>
                <w:sz w:val="18"/>
                <w:szCs w:val="18"/>
              </w:rPr>
            </w:pPr>
            <w:r w:rsidRPr="001569FB">
              <w:rPr>
                <w:color w:val="000000"/>
                <w:sz w:val="18"/>
                <w:szCs w:val="18"/>
              </w:rPr>
              <w:t>0.124</w:t>
            </w:r>
          </w:p>
        </w:tc>
        <w:tc>
          <w:tcPr>
            <w:tcW w:w="682" w:type="pct"/>
            <w:tcBorders>
              <w:top w:val="nil"/>
              <w:left w:val="nil"/>
              <w:bottom w:val="single" w:sz="4" w:space="0" w:color="auto"/>
              <w:right w:val="single" w:sz="4" w:space="0" w:color="auto"/>
            </w:tcBorders>
            <w:shd w:val="clear" w:color="000000" w:fill="FFFFFF"/>
            <w:vAlign w:val="center"/>
            <w:hideMark/>
          </w:tcPr>
          <w:p w14:paraId="646A69DE"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637" w:type="pct"/>
            <w:tcBorders>
              <w:top w:val="nil"/>
              <w:left w:val="nil"/>
              <w:bottom w:val="single" w:sz="4" w:space="0" w:color="auto"/>
              <w:right w:val="single" w:sz="4" w:space="0" w:color="auto"/>
            </w:tcBorders>
            <w:shd w:val="clear" w:color="000000" w:fill="FFFFFF"/>
            <w:vAlign w:val="center"/>
            <w:hideMark/>
          </w:tcPr>
          <w:p w14:paraId="616C5B63"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14FADAD4" w14:textId="77777777" w:rsidR="006F3A1A" w:rsidRPr="001569FB" w:rsidRDefault="006F3A1A" w:rsidP="008D4E91">
            <w:pPr>
              <w:spacing w:line="240" w:lineRule="auto"/>
              <w:jc w:val="center"/>
              <w:rPr>
                <w:color w:val="000000"/>
                <w:sz w:val="18"/>
                <w:szCs w:val="18"/>
              </w:rPr>
            </w:pPr>
            <w:r w:rsidRPr="001569FB">
              <w:rPr>
                <w:color w:val="000000"/>
                <w:sz w:val="18"/>
                <w:szCs w:val="18"/>
              </w:rPr>
              <w:t>0.146</w:t>
            </w:r>
          </w:p>
        </w:tc>
        <w:tc>
          <w:tcPr>
            <w:tcW w:w="592" w:type="pct"/>
            <w:tcBorders>
              <w:top w:val="nil"/>
              <w:left w:val="nil"/>
              <w:bottom w:val="single" w:sz="4" w:space="0" w:color="auto"/>
              <w:right w:val="single" w:sz="4" w:space="0" w:color="auto"/>
            </w:tcBorders>
            <w:shd w:val="clear" w:color="000000" w:fill="FFFFFF"/>
            <w:vAlign w:val="center"/>
            <w:hideMark/>
          </w:tcPr>
          <w:p w14:paraId="76A9C62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6FCCC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6B1188" w14:textId="77777777" w:rsidR="006F3A1A" w:rsidRPr="001569FB" w:rsidRDefault="006F3A1A" w:rsidP="008D4E91">
            <w:pPr>
              <w:spacing w:line="240" w:lineRule="auto"/>
              <w:rPr>
                <w:color w:val="000000"/>
                <w:sz w:val="18"/>
                <w:szCs w:val="18"/>
              </w:rPr>
            </w:pPr>
            <w:r w:rsidRPr="001569FB">
              <w:rPr>
                <w:color w:val="000000"/>
                <w:sz w:val="18"/>
                <w:szCs w:val="18"/>
              </w:rPr>
              <w:t>RXHCC165</w:t>
            </w:r>
          </w:p>
        </w:tc>
        <w:tc>
          <w:tcPr>
            <w:tcW w:w="909" w:type="pct"/>
            <w:tcBorders>
              <w:top w:val="nil"/>
              <w:left w:val="nil"/>
              <w:bottom w:val="single" w:sz="4" w:space="0" w:color="auto"/>
              <w:right w:val="single" w:sz="4" w:space="0" w:color="auto"/>
            </w:tcBorders>
            <w:shd w:val="clear" w:color="000000" w:fill="FFFFFF"/>
            <w:vAlign w:val="center"/>
            <w:hideMark/>
          </w:tcPr>
          <w:p w14:paraId="638C7AC0" w14:textId="77777777" w:rsidR="006F3A1A" w:rsidRPr="001569FB" w:rsidRDefault="006F3A1A" w:rsidP="008D4E91">
            <w:pPr>
              <w:spacing w:line="240" w:lineRule="auto"/>
              <w:rPr>
                <w:color w:val="000000"/>
                <w:sz w:val="18"/>
                <w:szCs w:val="18"/>
              </w:rPr>
            </w:pPr>
            <w:r w:rsidRPr="001569FB">
              <w:rPr>
                <w:color w:val="000000"/>
                <w:sz w:val="18"/>
                <w:szCs w:val="18"/>
              </w:rPr>
              <w:t>Convulsions</w:t>
            </w:r>
          </w:p>
        </w:tc>
        <w:tc>
          <w:tcPr>
            <w:tcW w:w="636" w:type="pct"/>
            <w:tcBorders>
              <w:top w:val="nil"/>
              <w:left w:val="nil"/>
              <w:bottom w:val="single" w:sz="4" w:space="0" w:color="auto"/>
              <w:right w:val="single" w:sz="4" w:space="0" w:color="auto"/>
            </w:tcBorders>
            <w:shd w:val="clear" w:color="000000" w:fill="FFFFFF"/>
            <w:vAlign w:val="center"/>
            <w:hideMark/>
          </w:tcPr>
          <w:p w14:paraId="1F4E0A9E" w14:textId="77777777" w:rsidR="006F3A1A" w:rsidRPr="001569FB" w:rsidRDefault="006F3A1A" w:rsidP="008D4E91">
            <w:pPr>
              <w:spacing w:line="240" w:lineRule="auto"/>
              <w:jc w:val="center"/>
              <w:rPr>
                <w:color w:val="000000"/>
                <w:sz w:val="18"/>
                <w:szCs w:val="18"/>
              </w:rPr>
            </w:pPr>
            <w:r w:rsidRPr="001569FB">
              <w:rPr>
                <w:color w:val="000000"/>
                <w:sz w:val="18"/>
                <w:szCs w:val="18"/>
              </w:rPr>
              <w:t>0.054</w:t>
            </w:r>
          </w:p>
        </w:tc>
        <w:tc>
          <w:tcPr>
            <w:tcW w:w="682" w:type="pct"/>
            <w:tcBorders>
              <w:top w:val="nil"/>
              <w:left w:val="nil"/>
              <w:bottom w:val="single" w:sz="4" w:space="0" w:color="auto"/>
              <w:right w:val="single" w:sz="4" w:space="0" w:color="auto"/>
            </w:tcBorders>
            <w:shd w:val="clear" w:color="000000" w:fill="FFFFFF"/>
            <w:vAlign w:val="center"/>
            <w:hideMark/>
          </w:tcPr>
          <w:p w14:paraId="0FFA1456" w14:textId="77777777" w:rsidR="006F3A1A" w:rsidRPr="001569FB" w:rsidRDefault="006F3A1A" w:rsidP="008D4E91">
            <w:pPr>
              <w:spacing w:line="240" w:lineRule="auto"/>
              <w:jc w:val="center"/>
              <w:rPr>
                <w:color w:val="000000"/>
                <w:sz w:val="18"/>
                <w:szCs w:val="18"/>
              </w:rPr>
            </w:pPr>
            <w:r w:rsidRPr="001569FB">
              <w:rPr>
                <w:color w:val="000000"/>
                <w:sz w:val="18"/>
                <w:szCs w:val="18"/>
              </w:rPr>
              <w:t>0.026</w:t>
            </w:r>
          </w:p>
        </w:tc>
        <w:tc>
          <w:tcPr>
            <w:tcW w:w="637" w:type="pct"/>
            <w:tcBorders>
              <w:top w:val="nil"/>
              <w:left w:val="nil"/>
              <w:bottom w:val="single" w:sz="4" w:space="0" w:color="auto"/>
              <w:right w:val="single" w:sz="4" w:space="0" w:color="auto"/>
            </w:tcBorders>
            <w:shd w:val="clear" w:color="000000" w:fill="FFFFFF"/>
            <w:vAlign w:val="center"/>
            <w:hideMark/>
          </w:tcPr>
          <w:p w14:paraId="07EADEEB" w14:textId="77777777" w:rsidR="006F3A1A" w:rsidRPr="001569FB" w:rsidRDefault="006F3A1A" w:rsidP="008D4E91">
            <w:pPr>
              <w:spacing w:line="240" w:lineRule="auto"/>
              <w:jc w:val="center"/>
              <w:rPr>
                <w:color w:val="000000"/>
                <w:sz w:val="18"/>
                <w:szCs w:val="18"/>
              </w:rPr>
            </w:pPr>
            <w:r w:rsidRPr="001569FB">
              <w:rPr>
                <w:color w:val="000000"/>
                <w:sz w:val="18"/>
                <w:szCs w:val="18"/>
              </w:rPr>
              <w:t>0.029</w:t>
            </w:r>
          </w:p>
        </w:tc>
        <w:tc>
          <w:tcPr>
            <w:tcW w:w="727" w:type="pct"/>
            <w:tcBorders>
              <w:top w:val="nil"/>
              <w:left w:val="nil"/>
              <w:bottom w:val="single" w:sz="4" w:space="0" w:color="auto"/>
              <w:right w:val="single" w:sz="4" w:space="0" w:color="auto"/>
            </w:tcBorders>
            <w:shd w:val="clear" w:color="000000" w:fill="FFFFFF"/>
            <w:vAlign w:val="center"/>
            <w:hideMark/>
          </w:tcPr>
          <w:p w14:paraId="58768F46"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5763493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0C987E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B400394" w14:textId="77777777" w:rsidR="006F3A1A" w:rsidRPr="001569FB" w:rsidRDefault="006F3A1A" w:rsidP="008D4E91">
            <w:pPr>
              <w:spacing w:line="240" w:lineRule="auto"/>
              <w:rPr>
                <w:color w:val="000000"/>
                <w:sz w:val="18"/>
                <w:szCs w:val="18"/>
              </w:rPr>
            </w:pPr>
            <w:r w:rsidRPr="001569FB">
              <w:rPr>
                <w:color w:val="000000"/>
                <w:sz w:val="18"/>
                <w:szCs w:val="18"/>
              </w:rPr>
              <w:t>RXHCC166</w:t>
            </w:r>
          </w:p>
        </w:tc>
        <w:tc>
          <w:tcPr>
            <w:tcW w:w="909" w:type="pct"/>
            <w:tcBorders>
              <w:top w:val="nil"/>
              <w:left w:val="nil"/>
              <w:bottom w:val="single" w:sz="4" w:space="0" w:color="auto"/>
              <w:right w:val="single" w:sz="4" w:space="0" w:color="auto"/>
            </w:tcBorders>
            <w:shd w:val="clear" w:color="000000" w:fill="FFFFFF"/>
            <w:vAlign w:val="center"/>
            <w:hideMark/>
          </w:tcPr>
          <w:p w14:paraId="61D6341B" w14:textId="77777777" w:rsidR="006F3A1A" w:rsidRPr="001569FB" w:rsidRDefault="006F3A1A" w:rsidP="008D4E91">
            <w:pPr>
              <w:spacing w:line="240" w:lineRule="auto"/>
              <w:rPr>
                <w:color w:val="000000"/>
                <w:sz w:val="18"/>
                <w:szCs w:val="18"/>
              </w:rPr>
            </w:pPr>
            <w:r w:rsidRPr="001569FB">
              <w:rPr>
                <w:color w:val="000000"/>
                <w:sz w:val="18"/>
                <w:szCs w:val="18"/>
              </w:rPr>
              <w:t>Migraine Headaches</w:t>
            </w:r>
          </w:p>
        </w:tc>
        <w:tc>
          <w:tcPr>
            <w:tcW w:w="636" w:type="pct"/>
            <w:tcBorders>
              <w:top w:val="nil"/>
              <w:left w:val="nil"/>
              <w:bottom w:val="single" w:sz="4" w:space="0" w:color="auto"/>
              <w:right w:val="single" w:sz="4" w:space="0" w:color="auto"/>
            </w:tcBorders>
            <w:shd w:val="clear" w:color="000000" w:fill="FFFFFF"/>
            <w:vAlign w:val="center"/>
            <w:hideMark/>
          </w:tcPr>
          <w:p w14:paraId="7199ED03"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682" w:type="pct"/>
            <w:tcBorders>
              <w:top w:val="nil"/>
              <w:left w:val="nil"/>
              <w:bottom w:val="single" w:sz="4" w:space="0" w:color="auto"/>
              <w:right w:val="single" w:sz="4" w:space="0" w:color="auto"/>
            </w:tcBorders>
            <w:shd w:val="clear" w:color="000000" w:fill="FFFFFF"/>
            <w:vAlign w:val="center"/>
            <w:hideMark/>
          </w:tcPr>
          <w:p w14:paraId="392679EF"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420AAC1" w14:textId="77777777" w:rsidR="006F3A1A" w:rsidRPr="001569FB" w:rsidRDefault="006F3A1A" w:rsidP="008D4E91">
            <w:pPr>
              <w:spacing w:line="240" w:lineRule="auto"/>
              <w:jc w:val="center"/>
              <w:rPr>
                <w:color w:val="000000"/>
                <w:sz w:val="18"/>
                <w:szCs w:val="18"/>
              </w:rPr>
            </w:pPr>
            <w:r w:rsidRPr="001569FB">
              <w:rPr>
                <w:color w:val="000000"/>
                <w:sz w:val="18"/>
                <w:szCs w:val="18"/>
              </w:rPr>
              <w:t>0.126</w:t>
            </w:r>
          </w:p>
        </w:tc>
        <w:tc>
          <w:tcPr>
            <w:tcW w:w="727" w:type="pct"/>
            <w:tcBorders>
              <w:top w:val="nil"/>
              <w:left w:val="nil"/>
              <w:bottom w:val="single" w:sz="4" w:space="0" w:color="auto"/>
              <w:right w:val="single" w:sz="4" w:space="0" w:color="auto"/>
            </w:tcBorders>
            <w:shd w:val="clear" w:color="000000" w:fill="FFFFFF"/>
            <w:vAlign w:val="center"/>
            <w:hideMark/>
          </w:tcPr>
          <w:p w14:paraId="44437B4A" w14:textId="77777777" w:rsidR="006F3A1A" w:rsidRPr="001569FB" w:rsidRDefault="006F3A1A" w:rsidP="008D4E91">
            <w:pPr>
              <w:spacing w:line="240" w:lineRule="auto"/>
              <w:jc w:val="center"/>
              <w:rPr>
                <w:color w:val="000000"/>
                <w:sz w:val="18"/>
                <w:szCs w:val="18"/>
              </w:rPr>
            </w:pPr>
            <w:r w:rsidRPr="001569FB">
              <w:rPr>
                <w:color w:val="000000"/>
                <w:sz w:val="18"/>
                <w:szCs w:val="18"/>
              </w:rPr>
              <w:t>0.139</w:t>
            </w:r>
          </w:p>
        </w:tc>
        <w:tc>
          <w:tcPr>
            <w:tcW w:w="592" w:type="pct"/>
            <w:tcBorders>
              <w:top w:val="nil"/>
              <w:left w:val="nil"/>
              <w:bottom w:val="single" w:sz="4" w:space="0" w:color="auto"/>
              <w:right w:val="single" w:sz="4" w:space="0" w:color="auto"/>
            </w:tcBorders>
            <w:shd w:val="clear" w:color="000000" w:fill="FFFFFF"/>
            <w:vAlign w:val="center"/>
            <w:hideMark/>
          </w:tcPr>
          <w:p w14:paraId="6BDDA32B"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r>
      <w:tr w:rsidR="00EC34A7" w:rsidRPr="001569FB" w14:paraId="40FDBF65"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709119" w14:textId="77777777" w:rsidR="006F3A1A" w:rsidRPr="001569FB" w:rsidRDefault="006F3A1A" w:rsidP="008D4E91">
            <w:pPr>
              <w:spacing w:line="240" w:lineRule="auto"/>
              <w:rPr>
                <w:color w:val="000000"/>
                <w:sz w:val="18"/>
                <w:szCs w:val="18"/>
              </w:rPr>
            </w:pPr>
            <w:r w:rsidRPr="001569FB">
              <w:rPr>
                <w:color w:val="000000"/>
                <w:sz w:val="18"/>
                <w:szCs w:val="18"/>
              </w:rPr>
              <w:t>RXHCC168</w:t>
            </w:r>
          </w:p>
        </w:tc>
        <w:tc>
          <w:tcPr>
            <w:tcW w:w="909" w:type="pct"/>
            <w:tcBorders>
              <w:top w:val="nil"/>
              <w:left w:val="nil"/>
              <w:bottom w:val="single" w:sz="4" w:space="0" w:color="auto"/>
              <w:right w:val="single" w:sz="4" w:space="0" w:color="auto"/>
            </w:tcBorders>
            <w:shd w:val="clear" w:color="000000" w:fill="FFFFFF"/>
            <w:vAlign w:val="center"/>
            <w:hideMark/>
          </w:tcPr>
          <w:p w14:paraId="7F7B4B8A" w14:textId="77777777" w:rsidR="006F3A1A" w:rsidRPr="001569FB" w:rsidRDefault="006F3A1A" w:rsidP="008D4E91">
            <w:pPr>
              <w:spacing w:line="240" w:lineRule="auto"/>
              <w:rPr>
                <w:color w:val="000000"/>
                <w:sz w:val="18"/>
                <w:szCs w:val="18"/>
              </w:rPr>
            </w:pPr>
            <w:r w:rsidRPr="001569FB">
              <w:rPr>
                <w:color w:val="000000"/>
                <w:sz w:val="18"/>
                <w:szCs w:val="18"/>
              </w:rPr>
              <w:t>Trigeminal and Postherpetic Neuralgia</w:t>
            </w:r>
          </w:p>
        </w:tc>
        <w:tc>
          <w:tcPr>
            <w:tcW w:w="636" w:type="pct"/>
            <w:tcBorders>
              <w:top w:val="nil"/>
              <w:left w:val="nil"/>
              <w:bottom w:val="single" w:sz="4" w:space="0" w:color="auto"/>
              <w:right w:val="single" w:sz="4" w:space="0" w:color="auto"/>
            </w:tcBorders>
            <w:shd w:val="clear" w:color="000000" w:fill="FFFFFF"/>
            <w:vAlign w:val="center"/>
            <w:hideMark/>
          </w:tcPr>
          <w:p w14:paraId="380DD6B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682" w:type="pct"/>
            <w:tcBorders>
              <w:top w:val="nil"/>
              <w:left w:val="nil"/>
              <w:bottom w:val="single" w:sz="4" w:space="0" w:color="auto"/>
              <w:right w:val="single" w:sz="4" w:space="0" w:color="auto"/>
            </w:tcBorders>
            <w:shd w:val="clear" w:color="000000" w:fill="FFFFFF"/>
            <w:vAlign w:val="center"/>
            <w:hideMark/>
          </w:tcPr>
          <w:p w14:paraId="05F2B50D" w14:textId="77777777" w:rsidR="006F3A1A" w:rsidRPr="001569FB" w:rsidRDefault="006F3A1A" w:rsidP="008D4E91">
            <w:pPr>
              <w:spacing w:line="240" w:lineRule="auto"/>
              <w:jc w:val="center"/>
              <w:rPr>
                <w:color w:val="000000"/>
                <w:sz w:val="18"/>
                <w:szCs w:val="18"/>
              </w:rPr>
            </w:pPr>
            <w:r w:rsidRPr="001569FB">
              <w:rPr>
                <w:color w:val="000000"/>
                <w:sz w:val="18"/>
                <w:szCs w:val="18"/>
              </w:rPr>
              <w:t>0.302</w:t>
            </w:r>
          </w:p>
        </w:tc>
        <w:tc>
          <w:tcPr>
            <w:tcW w:w="637" w:type="pct"/>
            <w:tcBorders>
              <w:top w:val="nil"/>
              <w:left w:val="nil"/>
              <w:bottom w:val="single" w:sz="4" w:space="0" w:color="auto"/>
              <w:right w:val="single" w:sz="4" w:space="0" w:color="auto"/>
            </w:tcBorders>
            <w:shd w:val="clear" w:color="000000" w:fill="FFFFFF"/>
            <w:vAlign w:val="center"/>
            <w:hideMark/>
          </w:tcPr>
          <w:p w14:paraId="4B18584A" w14:textId="77777777" w:rsidR="006F3A1A" w:rsidRPr="001569FB" w:rsidRDefault="006F3A1A" w:rsidP="008D4E91">
            <w:pPr>
              <w:spacing w:line="240" w:lineRule="auto"/>
              <w:jc w:val="center"/>
              <w:rPr>
                <w:color w:val="000000"/>
                <w:sz w:val="18"/>
                <w:szCs w:val="18"/>
              </w:rPr>
            </w:pPr>
            <w:r w:rsidRPr="001569FB">
              <w:rPr>
                <w:color w:val="000000"/>
                <w:sz w:val="18"/>
                <w:szCs w:val="18"/>
              </w:rPr>
              <w:t>0.155</w:t>
            </w:r>
          </w:p>
        </w:tc>
        <w:tc>
          <w:tcPr>
            <w:tcW w:w="727" w:type="pct"/>
            <w:tcBorders>
              <w:top w:val="nil"/>
              <w:left w:val="nil"/>
              <w:bottom w:val="single" w:sz="4" w:space="0" w:color="auto"/>
              <w:right w:val="single" w:sz="4" w:space="0" w:color="auto"/>
            </w:tcBorders>
            <w:shd w:val="clear" w:color="000000" w:fill="FFFFFF"/>
            <w:vAlign w:val="center"/>
            <w:hideMark/>
          </w:tcPr>
          <w:p w14:paraId="7FFFDAEE"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592" w:type="pct"/>
            <w:tcBorders>
              <w:top w:val="nil"/>
              <w:left w:val="nil"/>
              <w:bottom w:val="single" w:sz="4" w:space="0" w:color="auto"/>
              <w:right w:val="single" w:sz="4" w:space="0" w:color="auto"/>
            </w:tcBorders>
            <w:shd w:val="clear" w:color="000000" w:fill="FFFFFF"/>
            <w:vAlign w:val="center"/>
            <w:hideMark/>
          </w:tcPr>
          <w:p w14:paraId="157EEAAE"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r>
      <w:tr w:rsidR="00EC34A7" w:rsidRPr="001569FB" w14:paraId="3A7D3C2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A469A5" w14:textId="77777777" w:rsidR="006F3A1A" w:rsidRPr="001569FB" w:rsidRDefault="006F3A1A" w:rsidP="008D4E91">
            <w:pPr>
              <w:spacing w:line="240" w:lineRule="auto"/>
              <w:rPr>
                <w:color w:val="000000"/>
                <w:sz w:val="18"/>
                <w:szCs w:val="18"/>
              </w:rPr>
            </w:pPr>
            <w:r w:rsidRPr="001569FB">
              <w:rPr>
                <w:color w:val="000000"/>
                <w:sz w:val="18"/>
                <w:szCs w:val="18"/>
              </w:rPr>
              <w:t>RXHCC185</w:t>
            </w:r>
          </w:p>
        </w:tc>
        <w:tc>
          <w:tcPr>
            <w:tcW w:w="909" w:type="pct"/>
            <w:tcBorders>
              <w:top w:val="nil"/>
              <w:left w:val="nil"/>
              <w:bottom w:val="single" w:sz="4" w:space="0" w:color="auto"/>
              <w:right w:val="single" w:sz="4" w:space="0" w:color="auto"/>
            </w:tcBorders>
            <w:shd w:val="clear" w:color="000000" w:fill="FFFFFF"/>
            <w:vAlign w:val="center"/>
            <w:hideMark/>
          </w:tcPr>
          <w:p w14:paraId="7B75C49E" w14:textId="77777777" w:rsidR="006F3A1A" w:rsidRPr="001569FB" w:rsidRDefault="006F3A1A" w:rsidP="008D4E91">
            <w:pPr>
              <w:spacing w:line="240" w:lineRule="auto"/>
              <w:rPr>
                <w:color w:val="000000"/>
                <w:sz w:val="18"/>
                <w:szCs w:val="18"/>
              </w:rPr>
            </w:pPr>
            <w:r w:rsidRPr="001569FB">
              <w:rPr>
                <w:color w:val="000000"/>
                <w:sz w:val="18"/>
                <w:szCs w:val="18"/>
              </w:rPr>
              <w:t>Primary Pulmonary Hypertension</w:t>
            </w:r>
          </w:p>
        </w:tc>
        <w:tc>
          <w:tcPr>
            <w:tcW w:w="636" w:type="pct"/>
            <w:tcBorders>
              <w:top w:val="nil"/>
              <w:left w:val="nil"/>
              <w:bottom w:val="single" w:sz="4" w:space="0" w:color="auto"/>
              <w:right w:val="single" w:sz="4" w:space="0" w:color="auto"/>
            </w:tcBorders>
            <w:shd w:val="clear" w:color="000000" w:fill="FFFFFF"/>
            <w:vAlign w:val="center"/>
            <w:hideMark/>
          </w:tcPr>
          <w:p w14:paraId="7004CDE4" w14:textId="77777777" w:rsidR="006F3A1A" w:rsidRPr="001569FB" w:rsidRDefault="006F3A1A" w:rsidP="008D4E91">
            <w:pPr>
              <w:spacing w:line="240" w:lineRule="auto"/>
              <w:jc w:val="center"/>
              <w:rPr>
                <w:color w:val="000000"/>
                <w:sz w:val="18"/>
                <w:szCs w:val="18"/>
              </w:rPr>
            </w:pPr>
            <w:r w:rsidRPr="001569FB">
              <w:rPr>
                <w:color w:val="000000"/>
                <w:sz w:val="18"/>
                <w:szCs w:val="18"/>
              </w:rPr>
              <w:t>0.746</w:t>
            </w:r>
          </w:p>
        </w:tc>
        <w:tc>
          <w:tcPr>
            <w:tcW w:w="682" w:type="pct"/>
            <w:tcBorders>
              <w:top w:val="nil"/>
              <w:left w:val="nil"/>
              <w:bottom w:val="single" w:sz="4" w:space="0" w:color="auto"/>
              <w:right w:val="single" w:sz="4" w:space="0" w:color="auto"/>
            </w:tcBorders>
            <w:shd w:val="clear" w:color="000000" w:fill="FFFFFF"/>
            <w:vAlign w:val="center"/>
            <w:hideMark/>
          </w:tcPr>
          <w:p w14:paraId="035BA4A2" w14:textId="77777777" w:rsidR="006F3A1A" w:rsidRPr="001569FB" w:rsidRDefault="006F3A1A" w:rsidP="008D4E91">
            <w:pPr>
              <w:spacing w:line="240" w:lineRule="auto"/>
              <w:jc w:val="center"/>
              <w:rPr>
                <w:color w:val="000000"/>
                <w:sz w:val="18"/>
                <w:szCs w:val="18"/>
              </w:rPr>
            </w:pPr>
            <w:r w:rsidRPr="001569FB">
              <w:rPr>
                <w:color w:val="000000"/>
                <w:sz w:val="18"/>
                <w:szCs w:val="18"/>
              </w:rPr>
              <w:t>2.210</w:t>
            </w:r>
          </w:p>
        </w:tc>
        <w:tc>
          <w:tcPr>
            <w:tcW w:w="637" w:type="pct"/>
            <w:tcBorders>
              <w:top w:val="nil"/>
              <w:left w:val="nil"/>
              <w:bottom w:val="single" w:sz="4" w:space="0" w:color="auto"/>
              <w:right w:val="single" w:sz="4" w:space="0" w:color="auto"/>
            </w:tcBorders>
            <w:shd w:val="clear" w:color="000000" w:fill="FFFFFF"/>
            <w:vAlign w:val="center"/>
            <w:hideMark/>
          </w:tcPr>
          <w:p w14:paraId="6DC7979E" w14:textId="77777777" w:rsidR="006F3A1A" w:rsidRPr="001569FB" w:rsidRDefault="006F3A1A" w:rsidP="008D4E91">
            <w:pPr>
              <w:spacing w:line="240" w:lineRule="auto"/>
              <w:jc w:val="center"/>
              <w:rPr>
                <w:color w:val="000000"/>
                <w:sz w:val="18"/>
                <w:szCs w:val="18"/>
              </w:rPr>
            </w:pPr>
            <w:r w:rsidRPr="001569FB">
              <w:rPr>
                <w:color w:val="000000"/>
                <w:sz w:val="18"/>
                <w:szCs w:val="18"/>
              </w:rPr>
              <w:t>0.624</w:t>
            </w:r>
          </w:p>
        </w:tc>
        <w:tc>
          <w:tcPr>
            <w:tcW w:w="727" w:type="pct"/>
            <w:tcBorders>
              <w:top w:val="nil"/>
              <w:left w:val="nil"/>
              <w:bottom w:val="single" w:sz="4" w:space="0" w:color="auto"/>
              <w:right w:val="single" w:sz="4" w:space="0" w:color="auto"/>
            </w:tcBorders>
            <w:shd w:val="clear" w:color="000000" w:fill="FFFFFF"/>
            <w:vAlign w:val="center"/>
            <w:hideMark/>
          </w:tcPr>
          <w:p w14:paraId="1D106E27" w14:textId="77777777" w:rsidR="006F3A1A" w:rsidRPr="001569FB" w:rsidRDefault="006F3A1A" w:rsidP="008D4E91">
            <w:pPr>
              <w:spacing w:line="240" w:lineRule="auto"/>
              <w:jc w:val="center"/>
              <w:rPr>
                <w:color w:val="000000"/>
                <w:sz w:val="18"/>
                <w:szCs w:val="18"/>
              </w:rPr>
            </w:pPr>
            <w:r w:rsidRPr="001569FB">
              <w:rPr>
                <w:color w:val="000000"/>
                <w:sz w:val="18"/>
                <w:szCs w:val="18"/>
              </w:rPr>
              <w:t>1.775</w:t>
            </w:r>
          </w:p>
        </w:tc>
        <w:tc>
          <w:tcPr>
            <w:tcW w:w="592" w:type="pct"/>
            <w:tcBorders>
              <w:top w:val="nil"/>
              <w:left w:val="nil"/>
              <w:bottom w:val="single" w:sz="4" w:space="0" w:color="auto"/>
              <w:right w:val="single" w:sz="4" w:space="0" w:color="auto"/>
            </w:tcBorders>
            <w:shd w:val="clear" w:color="000000" w:fill="FFFFFF"/>
            <w:vAlign w:val="center"/>
            <w:hideMark/>
          </w:tcPr>
          <w:p w14:paraId="1A5E9B6C"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r>
      <w:tr w:rsidR="00EC34A7" w:rsidRPr="001569FB" w14:paraId="53B5C7A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17872CF" w14:textId="77777777" w:rsidR="006F3A1A" w:rsidRPr="001569FB" w:rsidRDefault="006F3A1A" w:rsidP="008D4E91">
            <w:pPr>
              <w:spacing w:line="240" w:lineRule="auto"/>
              <w:rPr>
                <w:color w:val="000000"/>
                <w:sz w:val="18"/>
                <w:szCs w:val="18"/>
              </w:rPr>
            </w:pPr>
            <w:r w:rsidRPr="001569FB">
              <w:rPr>
                <w:color w:val="000000"/>
                <w:sz w:val="18"/>
                <w:szCs w:val="18"/>
              </w:rPr>
              <w:t>RXHCC186</w:t>
            </w:r>
          </w:p>
        </w:tc>
        <w:tc>
          <w:tcPr>
            <w:tcW w:w="909" w:type="pct"/>
            <w:tcBorders>
              <w:top w:val="nil"/>
              <w:left w:val="nil"/>
              <w:bottom w:val="single" w:sz="4" w:space="0" w:color="auto"/>
              <w:right w:val="single" w:sz="4" w:space="0" w:color="auto"/>
            </w:tcBorders>
            <w:shd w:val="clear" w:color="000000" w:fill="FFFFFF"/>
            <w:vAlign w:val="center"/>
            <w:hideMark/>
          </w:tcPr>
          <w:p w14:paraId="34D97193" w14:textId="77777777" w:rsidR="006F3A1A" w:rsidRPr="001569FB" w:rsidRDefault="006F3A1A" w:rsidP="008D4E91">
            <w:pPr>
              <w:spacing w:line="240" w:lineRule="auto"/>
              <w:rPr>
                <w:color w:val="000000"/>
                <w:sz w:val="18"/>
                <w:szCs w:val="18"/>
              </w:rPr>
            </w:pPr>
            <w:r w:rsidRPr="001569FB">
              <w:rPr>
                <w:color w:val="000000"/>
                <w:sz w:val="18"/>
                <w:szCs w:val="18"/>
              </w:rPr>
              <w:t>Congestive Heart Failure</w:t>
            </w:r>
          </w:p>
        </w:tc>
        <w:tc>
          <w:tcPr>
            <w:tcW w:w="636" w:type="pct"/>
            <w:tcBorders>
              <w:top w:val="nil"/>
              <w:left w:val="nil"/>
              <w:bottom w:val="single" w:sz="4" w:space="0" w:color="auto"/>
              <w:right w:val="single" w:sz="4" w:space="0" w:color="auto"/>
            </w:tcBorders>
            <w:shd w:val="clear" w:color="000000" w:fill="FFFFFF"/>
            <w:vAlign w:val="center"/>
            <w:hideMark/>
          </w:tcPr>
          <w:p w14:paraId="14E6F058"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7A9F0E92" w14:textId="77777777" w:rsidR="006F3A1A" w:rsidRPr="001569FB" w:rsidRDefault="006F3A1A" w:rsidP="008D4E91">
            <w:pPr>
              <w:spacing w:line="240" w:lineRule="auto"/>
              <w:jc w:val="center"/>
              <w:rPr>
                <w:color w:val="000000"/>
                <w:sz w:val="18"/>
                <w:szCs w:val="18"/>
              </w:rPr>
            </w:pPr>
            <w:r w:rsidRPr="001569FB">
              <w:rPr>
                <w:color w:val="000000"/>
                <w:sz w:val="18"/>
                <w:szCs w:val="18"/>
              </w:rPr>
              <w:t>0.147</w:t>
            </w:r>
          </w:p>
        </w:tc>
        <w:tc>
          <w:tcPr>
            <w:tcW w:w="637" w:type="pct"/>
            <w:tcBorders>
              <w:top w:val="nil"/>
              <w:left w:val="nil"/>
              <w:bottom w:val="single" w:sz="4" w:space="0" w:color="auto"/>
              <w:right w:val="single" w:sz="4" w:space="0" w:color="auto"/>
            </w:tcBorders>
            <w:shd w:val="clear" w:color="000000" w:fill="FFFFFF"/>
            <w:vAlign w:val="center"/>
            <w:hideMark/>
          </w:tcPr>
          <w:p w14:paraId="42FEF67E"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vAlign w:val="center"/>
            <w:hideMark/>
          </w:tcPr>
          <w:p w14:paraId="4A431890"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592" w:type="pct"/>
            <w:tcBorders>
              <w:top w:val="nil"/>
              <w:left w:val="nil"/>
              <w:bottom w:val="single" w:sz="4" w:space="0" w:color="auto"/>
              <w:right w:val="single" w:sz="4" w:space="0" w:color="auto"/>
            </w:tcBorders>
            <w:shd w:val="clear" w:color="000000" w:fill="FFFFFF"/>
            <w:vAlign w:val="center"/>
            <w:hideMark/>
          </w:tcPr>
          <w:p w14:paraId="0B122F8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r>
      <w:tr w:rsidR="00EC34A7" w:rsidRPr="001569FB" w14:paraId="174DF7C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FBA00D3" w14:textId="77777777" w:rsidR="006F3A1A" w:rsidRPr="001569FB" w:rsidRDefault="006F3A1A" w:rsidP="008D4E91">
            <w:pPr>
              <w:spacing w:line="240" w:lineRule="auto"/>
              <w:rPr>
                <w:color w:val="000000"/>
                <w:sz w:val="18"/>
                <w:szCs w:val="18"/>
              </w:rPr>
            </w:pPr>
            <w:r w:rsidRPr="001569FB">
              <w:rPr>
                <w:color w:val="000000"/>
                <w:sz w:val="18"/>
                <w:szCs w:val="18"/>
              </w:rPr>
              <w:t>RXHCC187</w:t>
            </w:r>
          </w:p>
        </w:tc>
        <w:tc>
          <w:tcPr>
            <w:tcW w:w="909" w:type="pct"/>
            <w:tcBorders>
              <w:top w:val="nil"/>
              <w:left w:val="nil"/>
              <w:bottom w:val="single" w:sz="4" w:space="0" w:color="auto"/>
              <w:right w:val="single" w:sz="4" w:space="0" w:color="auto"/>
            </w:tcBorders>
            <w:shd w:val="clear" w:color="000000" w:fill="FFFFFF"/>
            <w:vAlign w:val="center"/>
            <w:hideMark/>
          </w:tcPr>
          <w:p w14:paraId="1DBE9BB6" w14:textId="77777777" w:rsidR="006F3A1A" w:rsidRPr="001569FB" w:rsidRDefault="006F3A1A" w:rsidP="008D4E91">
            <w:pPr>
              <w:spacing w:line="240" w:lineRule="auto"/>
              <w:rPr>
                <w:color w:val="000000"/>
                <w:sz w:val="18"/>
                <w:szCs w:val="18"/>
              </w:rPr>
            </w:pPr>
            <w:r w:rsidRPr="001569FB">
              <w:rPr>
                <w:color w:val="000000"/>
                <w:sz w:val="18"/>
                <w:szCs w:val="18"/>
              </w:rPr>
              <w:t>Hypertension</w:t>
            </w:r>
          </w:p>
        </w:tc>
        <w:tc>
          <w:tcPr>
            <w:tcW w:w="636" w:type="pct"/>
            <w:tcBorders>
              <w:top w:val="nil"/>
              <w:left w:val="nil"/>
              <w:bottom w:val="single" w:sz="4" w:space="0" w:color="auto"/>
              <w:right w:val="single" w:sz="4" w:space="0" w:color="auto"/>
            </w:tcBorders>
            <w:shd w:val="clear" w:color="000000" w:fill="FFFFFF"/>
            <w:vAlign w:val="center"/>
            <w:hideMark/>
          </w:tcPr>
          <w:p w14:paraId="34684EBD" w14:textId="77777777" w:rsidR="006F3A1A" w:rsidRPr="001569FB" w:rsidRDefault="006F3A1A" w:rsidP="008D4E91">
            <w:pPr>
              <w:spacing w:line="240" w:lineRule="auto"/>
              <w:jc w:val="center"/>
              <w:rPr>
                <w:color w:val="000000"/>
                <w:sz w:val="18"/>
                <w:szCs w:val="18"/>
              </w:rPr>
            </w:pPr>
            <w:r w:rsidRPr="001569FB">
              <w:rPr>
                <w:color w:val="000000"/>
                <w:sz w:val="18"/>
                <w:szCs w:val="18"/>
              </w:rPr>
              <w:t>0.123</w:t>
            </w:r>
          </w:p>
        </w:tc>
        <w:tc>
          <w:tcPr>
            <w:tcW w:w="682" w:type="pct"/>
            <w:tcBorders>
              <w:top w:val="nil"/>
              <w:left w:val="nil"/>
              <w:bottom w:val="single" w:sz="4" w:space="0" w:color="auto"/>
              <w:right w:val="single" w:sz="4" w:space="0" w:color="auto"/>
            </w:tcBorders>
            <w:shd w:val="clear" w:color="000000" w:fill="FFFFFF"/>
            <w:vAlign w:val="center"/>
            <w:hideMark/>
          </w:tcPr>
          <w:p w14:paraId="20A1764A" w14:textId="77777777" w:rsidR="006F3A1A" w:rsidRPr="001569FB" w:rsidRDefault="006F3A1A" w:rsidP="008D4E91">
            <w:pPr>
              <w:spacing w:line="240" w:lineRule="auto"/>
              <w:jc w:val="center"/>
              <w:rPr>
                <w:color w:val="000000"/>
                <w:sz w:val="18"/>
                <w:szCs w:val="18"/>
              </w:rPr>
            </w:pPr>
            <w:r w:rsidRPr="001569FB">
              <w:rPr>
                <w:color w:val="000000"/>
                <w:sz w:val="18"/>
                <w:szCs w:val="18"/>
              </w:rPr>
              <w:t>0.071</w:t>
            </w:r>
          </w:p>
        </w:tc>
        <w:tc>
          <w:tcPr>
            <w:tcW w:w="637" w:type="pct"/>
            <w:tcBorders>
              <w:top w:val="nil"/>
              <w:left w:val="nil"/>
              <w:bottom w:val="single" w:sz="4" w:space="0" w:color="auto"/>
              <w:right w:val="single" w:sz="4" w:space="0" w:color="auto"/>
            </w:tcBorders>
            <w:shd w:val="clear" w:color="000000" w:fill="FFFFFF"/>
            <w:vAlign w:val="center"/>
            <w:hideMark/>
          </w:tcPr>
          <w:p w14:paraId="6D43AF40" w14:textId="77777777" w:rsidR="006F3A1A" w:rsidRPr="001569FB" w:rsidRDefault="006F3A1A" w:rsidP="008D4E91">
            <w:pPr>
              <w:spacing w:line="240" w:lineRule="auto"/>
              <w:jc w:val="center"/>
              <w:rPr>
                <w:color w:val="000000"/>
                <w:sz w:val="18"/>
                <w:szCs w:val="18"/>
              </w:rPr>
            </w:pPr>
            <w:r w:rsidRPr="001569FB">
              <w:rPr>
                <w:color w:val="000000"/>
                <w:sz w:val="18"/>
                <w:szCs w:val="18"/>
              </w:rPr>
              <w:t>0.187</w:t>
            </w:r>
          </w:p>
        </w:tc>
        <w:tc>
          <w:tcPr>
            <w:tcW w:w="727" w:type="pct"/>
            <w:tcBorders>
              <w:top w:val="nil"/>
              <w:left w:val="nil"/>
              <w:bottom w:val="single" w:sz="4" w:space="0" w:color="auto"/>
              <w:right w:val="single" w:sz="4" w:space="0" w:color="auto"/>
            </w:tcBorders>
            <w:shd w:val="clear" w:color="000000" w:fill="FFFFFF"/>
            <w:vAlign w:val="center"/>
            <w:hideMark/>
          </w:tcPr>
          <w:p w14:paraId="58A71732" w14:textId="77777777" w:rsidR="006F3A1A" w:rsidRPr="001569FB" w:rsidRDefault="006F3A1A" w:rsidP="008D4E91">
            <w:pPr>
              <w:spacing w:line="240" w:lineRule="auto"/>
              <w:jc w:val="center"/>
              <w:rPr>
                <w:color w:val="000000"/>
                <w:sz w:val="18"/>
                <w:szCs w:val="18"/>
              </w:rPr>
            </w:pPr>
            <w:r w:rsidRPr="001569FB">
              <w:rPr>
                <w:color w:val="000000"/>
                <w:sz w:val="18"/>
                <w:szCs w:val="18"/>
              </w:rPr>
              <w:t>0.106</w:t>
            </w:r>
          </w:p>
        </w:tc>
        <w:tc>
          <w:tcPr>
            <w:tcW w:w="592" w:type="pct"/>
            <w:tcBorders>
              <w:top w:val="nil"/>
              <w:left w:val="nil"/>
              <w:bottom w:val="single" w:sz="4" w:space="0" w:color="auto"/>
              <w:right w:val="single" w:sz="4" w:space="0" w:color="auto"/>
            </w:tcBorders>
            <w:shd w:val="clear" w:color="000000" w:fill="FFFFFF"/>
            <w:vAlign w:val="center"/>
            <w:hideMark/>
          </w:tcPr>
          <w:p w14:paraId="1D31B734" w14:textId="77777777" w:rsidR="006F3A1A" w:rsidRPr="001569FB" w:rsidRDefault="006F3A1A" w:rsidP="008D4E91">
            <w:pPr>
              <w:spacing w:line="240" w:lineRule="auto"/>
              <w:jc w:val="center"/>
              <w:rPr>
                <w:color w:val="000000"/>
                <w:sz w:val="18"/>
                <w:szCs w:val="18"/>
              </w:rPr>
            </w:pPr>
            <w:r w:rsidRPr="001569FB">
              <w:rPr>
                <w:color w:val="000000"/>
                <w:sz w:val="18"/>
                <w:szCs w:val="18"/>
              </w:rPr>
              <w:t>0.058</w:t>
            </w:r>
          </w:p>
        </w:tc>
      </w:tr>
      <w:tr w:rsidR="00EC34A7" w:rsidRPr="001569FB" w14:paraId="748B0EC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527FF8A" w14:textId="77777777" w:rsidR="006F3A1A" w:rsidRPr="001569FB" w:rsidRDefault="006F3A1A" w:rsidP="008D4E91">
            <w:pPr>
              <w:spacing w:line="240" w:lineRule="auto"/>
              <w:rPr>
                <w:color w:val="000000"/>
                <w:sz w:val="18"/>
                <w:szCs w:val="18"/>
              </w:rPr>
            </w:pPr>
            <w:r w:rsidRPr="001569FB">
              <w:rPr>
                <w:color w:val="000000"/>
                <w:sz w:val="18"/>
                <w:szCs w:val="18"/>
              </w:rPr>
              <w:t>RXHCC188</w:t>
            </w:r>
          </w:p>
        </w:tc>
        <w:tc>
          <w:tcPr>
            <w:tcW w:w="909" w:type="pct"/>
            <w:tcBorders>
              <w:top w:val="nil"/>
              <w:left w:val="nil"/>
              <w:bottom w:val="single" w:sz="4" w:space="0" w:color="auto"/>
              <w:right w:val="single" w:sz="4" w:space="0" w:color="auto"/>
            </w:tcBorders>
            <w:shd w:val="clear" w:color="000000" w:fill="FFFFFF"/>
            <w:vAlign w:val="center"/>
            <w:hideMark/>
          </w:tcPr>
          <w:p w14:paraId="0A830DFA" w14:textId="77777777" w:rsidR="006F3A1A" w:rsidRPr="001569FB" w:rsidRDefault="006F3A1A" w:rsidP="008D4E91">
            <w:pPr>
              <w:spacing w:line="240" w:lineRule="auto"/>
              <w:rPr>
                <w:color w:val="000000"/>
                <w:sz w:val="18"/>
                <w:szCs w:val="18"/>
              </w:rPr>
            </w:pPr>
            <w:r w:rsidRPr="001569FB">
              <w:rPr>
                <w:color w:val="000000"/>
                <w:sz w:val="18"/>
                <w:szCs w:val="18"/>
              </w:rPr>
              <w:t>Coronary Artery Disease</w:t>
            </w:r>
          </w:p>
        </w:tc>
        <w:tc>
          <w:tcPr>
            <w:tcW w:w="636" w:type="pct"/>
            <w:tcBorders>
              <w:top w:val="nil"/>
              <w:left w:val="nil"/>
              <w:bottom w:val="single" w:sz="4" w:space="0" w:color="auto"/>
              <w:right w:val="single" w:sz="4" w:space="0" w:color="auto"/>
            </w:tcBorders>
            <w:shd w:val="clear" w:color="000000" w:fill="FFFFFF"/>
            <w:vAlign w:val="center"/>
            <w:hideMark/>
          </w:tcPr>
          <w:p w14:paraId="60BBF62D" w14:textId="77777777" w:rsidR="006F3A1A" w:rsidRPr="001569FB" w:rsidRDefault="006F3A1A" w:rsidP="008D4E91">
            <w:pPr>
              <w:spacing w:line="240" w:lineRule="auto"/>
              <w:jc w:val="center"/>
              <w:rPr>
                <w:color w:val="000000"/>
                <w:sz w:val="18"/>
                <w:szCs w:val="18"/>
              </w:rPr>
            </w:pPr>
            <w:r w:rsidRPr="001569FB">
              <w:rPr>
                <w:color w:val="000000"/>
                <w:sz w:val="18"/>
                <w:szCs w:val="18"/>
              </w:rPr>
              <w:t>0.127</w:t>
            </w:r>
          </w:p>
        </w:tc>
        <w:tc>
          <w:tcPr>
            <w:tcW w:w="682" w:type="pct"/>
            <w:tcBorders>
              <w:top w:val="nil"/>
              <w:left w:val="nil"/>
              <w:bottom w:val="single" w:sz="4" w:space="0" w:color="auto"/>
              <w:right w:val="single" w:sz="4" w:space="0" w:color="auto"/>
            </w:tcBorders>
            <w:shd w:val="clear" w:color="000000" w:fill="FFFFFF"/>
            <w:vAlign w:val="center"/>
            <w:hideMark/>
          </w:tcPr>
          <w:p w14:paraId="25E00BB1" w14:textId="77777777" w:rsidR="006F3A1A" w:rsidRPr="001569FB" w:rsidRDefault="006F3A1A" w:rsidP="008D4E91">
            <w:pPr>
              <w:spacing w:line="240" w:lineRule="auto"/>
              <w:jc w:val="center"/>
              <w:rPr>
                <w:color w:val="000000"/>
                <w:sz w:val="18"/>
                <w:szCs w:val="18"/>
              </w:rPr>
            </w:pPr>
            <w:r w:rsidRPr="001569FB">
              <w:rPr>
                <w:color w:val="000000"/>
                <w:sz w:val="18"/>
                <w:szCs w:val="18"/>
              </w:rPr>
              <w:t>0.013</w:t>
            </w:r>
          </w:p>
        </w:tc>
        <w:tc>
          <w:tcPr>
            <w:tcW w:w="637" w:type="pct"/>
            <w:tcBorders>
              <w:top w:val="nil"/>
              <w:left w:val="nil"/>
              <w:bottom w:val="single" w:sz="4" w:space="0" w:color="auto"/>
              <w:right w:val="single" w:sz="4" w:space="0" w:color="auto"/>
            </w:tcBorders>
            <w:shd w:val="clear" w:color="000000" w:fill="FFFFFF"/>
            <w:vAlign w:val="center"/>
            <w:hideMark/>
          </w:tcPr>
          <w:p w14:paraId="1F2D5BF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2A2EFF2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80074BB"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r>
      <w:tr w:rsidR="00EC34A7" w:rsidRPr="001569FB" w14:paraId="2EFF31B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C32198" w14:textId="77777777" w:rsidR="006F3A1A" w:rsidRPr="001569FB" w:rsidRDefault="006F3A1A" w:rsidP="008D4E91">
            <w:pPr>
              <w:spacing w:line="240" w:lineRule="auto"/>
              <w:rPr>
                <w:color w:val="000000"/>
                <w:sz w:val="18"/>
                <w:szCs w:val="18"/>
              </w:rPr>
            </w:pPr>
            <w:r w:rsidRPr="001569FB">
              <w:rPr>
                <w:color w:val="000000"/>
                <w:sz w:val="18"/>
                <w:szCs w:val="18"/>
              </w:rPr>
              <w:t>RXHCC193</w:t>
            </w:r>
          </w:p>
        </w:tc>
        <w:tc>
          <w:tcPr>
            <w:tcW w:w="909" w:type="pct"/>
            <w:tcBorders>
              <w:top w:val="nil"/>
              <w:left w:val="nil"/>
              <w:bottom w:val="single" w:sz="4" w:space="0" w:color="auto"/>
              <w:right w:val="single" w:sz="4" w:space="0" w:color="auto"/>
            </w:tcBorders>
            <w:shd w:val="clear" w:color="000000" w:fill="FFFFFF"/>
            <w:vAlign w:val="center"/>
            <w:hideMark/>
          </w:tcPr>
          <w:p w14:paraId="79EC7F55" w14:textId="77777777" w:rsidR="006F3A1A" w:rsidRPr="001569FB" w:rsidRDefault="006F3A1A" w:rsidP="008D4E91">
            <w:pPr>
              <w:spacing w:line="240" w:lineRule="auto"/>
              <w:rPr>
                <w:color w:val="000000"/>
                <w:sz w:val="18"/>
                <w:szCs w:val="18"/>
              </w:rPr>
            </w:pPr>
            <w:r w:rsidRPr="001569FB">
              <w:rPr>
                <w:color w:val="000000"/>
                <w:sz w:val="18"/>
                <w:szCs w:val="18"/>
              </w:rPr>
              <w:t>Atrial Arrhythmias</w:t>
            </w:r>
          </w:p>
        </w:tc>
        <w:tc>
          <w:tcPr>
            <w:tcW w:w="636" w:type="pct"/>
            <w:tcBorders>
              <w:top w:val="nil"/>
              <w:left w:val="nil"/>
              <w:bottom w:val="single" w:sz="4" w:space="0" w:color="auto"/>
              <w:right w:val="single" w:sz="4" w:space="0" w:color="auto"/>
            </w:tcBorders>
            <w:shd w:val="clear" w:color="000000" w:fill="FFFFFF"/>
            <w:vAlign w:val="center"/>
            <w:hideMark/>
          </w:tcPr>
          <w:p w14:paraId="00DDEC26" w14:textId="77777777" w:rsidR="006F3A1A" w:rsidRPr="001569FB" w:rsidRDefault="006F3A1A" w:rsidP="008D4E91">
            <w:pPr>
              <w:spacing w:line="240" w:lineRule="auto"/>
              <w:jc w:val="center"/>
              <w:rPr>
                <w:color w:val="000000"/>
                <w:sz w:val="18"/>
                <w:szCs w:val="18"/>
              </w:rPr>
            </w:pPr>
            <w:r w:rsidRPr="001569FB">
              <w:rPr>
                <w:color w:val="000000"/>
                <w:sz w:val="18"/>
                <w:szCs w:val="18"/>
              </w:rPr>
              <w:t>0.296</w:t>
            </w:r>
          </w:p>
        </w:tc>
        <w:tc>
          <w:tcPr>
            <w:tcW w:w="682" w:type="pct"/>
            <w:tcBorders>
              <w:top w:val="nil"/>
              <w:left w:val="nil"/>
              <w:bottom w:val="single" w:sz="4" w:space="0" w:color="auto"/>
              <w:right w:val="single" w:sz="4" w:space="0" w:color="auto"/>
            </w:tcBorders>
            <w:shd w:val="clear" w:color="000000" w:fill="FFFFFF"/>
            <w:vAlign w:val="center"/>
            <w:hideMark/>
          </w:tcPr>
          <w:p w14:paraId="5CB9227A"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37" w:type="pct"/>
            <w:tcBorders>
              <w:top w:val="nil"/>
              <w:left w:val="nil"/>
              <w:bottom w:val="single" w:sz="4" w:space="0" w:color="auto"/>
              <w:right w:val="single" w:sz="4" w:space="0" w:color="auto"/>
            </w:tcBorders>
            <w:shd w:val="clear" w:color="000000" w:fill="FFFFFF"/>
            <w:vAlign w:val="center"/>
            <w:hideMark/>
          </w:tcPr>
          <w:p w14:paraId="456C96C3" w14:textId="77777777" w:rsidR="006F3A1A" w:rsidRPr="001569FB" w:rsidRDefault="006F3A1A" w:rsidP="008D4E91">
            <w:pPr>
              <w:spacing w:line="240" w:lineRule="auto"/>
              <w:jc w:val="center"/>
              <w:rPr>
                <w:color w:val="000000"/>
                <w:sz w:val="18"/>
                <w:szCs w:val="18"/>
              </w:rPr>
            </w:pPr>
            <w:r w:rsidRPr="001569FB">
              <w:rPr>
                <w:color w:val="000000"/>
                <w:sz w:val="18"/>
                <w:szCs w:val="18"/>
              </w:rPr>
              <w:t>0.138</w:t>
            </w:r>
          </w:p>
        </w:tc>
        <w:tc>
          <w:tcPr>
            <w:tcW w:w="727" w:type="pct"/>
            <w:tcBorders>
              <w:top w:val="nil"/>
              <w:left w:val="nil"/>
              <w:bottom w:val="single" w:sz="4" w:space="0" w:color="auto"/>
              <w:right w:val="single" w:sz="4" w:space="0" w:color="auto"/>
            </w:tcBorders>
            <w:shd w:val="clear" w:color="000000" w:fill="FFFFFF"/>
            <w:vAlign w:val="center"/>
            <w:hideMark/>
          </w:tcPr>
          <w:p w14:paraId="71E0801E"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c>
          <w:tcPr>
            <w:tcW w:w="592" w:type="pct"/>
            <w:tcBorders>
              <w:top w:val="nil"/>
              <w:left w:val="nil"/>
              <w:bottom w:val="single" w:sz="4" w:space="0" w:color="auto"/>
              <w:right w:val="single" w:sz="4" w:space="0" w:color="auto"/>
            </w:tcBorders>
            <w:shd w:val="clear" w:color="000000" w:fill="FFFFFF"/>
            <w:vAlign w:val="center"/>
            <w:hideMark/>
          </w:tcPr>
          <w:p w14:paraId="4C9FF177" w14:textId="77777777" w:rsidR="006F3A1A" w:rsidRPr="001569FB" w:rsidRDefault="006F3A1A" w:rsidP="008D4E91">
            <w:pPr>
              <w:spacing w:line="240" w:lineRule="auto"/>
              <w:jc w:val="center"/>
              <w:rPr>
                <w:color w:val="000000"/>
                <w:sz w:val="18"/>
                <w:szCs w:val="18"/>
              </w:rPr>
            </w:pPr>
            <w:r w:rsidRPr="001569FB">
              <w:rPr>
                <w:color w:val="000000"/>
                <w:sz w:val="18"/>
                <w:szCs w:val="18"/>
              </w:rPr>
              <w:t>0.090</w:t>
            </w:r>
          </w:p>
        </w:tc>
      </w:tr>
      <w:tr w:rsidR="00EC34A7" w:rsidRPr="001569FB" w14:paraId="456CDBA5"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23A210"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RXHCC206</w:t>
            </w:r>
          </w:p>
        </w:tc>
        <w:tc>
          <w:tcPr>
            <w:tcW w:w="909" w:type="pct"/>
            <w:tcBorders>
              <w:top w:val="nil"/>
              <w:left w:val="nil"/>
              <w:bottom w:val="single" w:sz="4" w:space="0" w:color="auto"/>
              <w:right w:val="single" w:sz="4" w:space="0" w:color="auto"/>
            </w:tcBorders>
            <w:shd w:val="clear" w:color="000000" w:fill="FFFFFF"/>
            <w:vAlign w:val="center"/>
            <w:hideMark/>
          </w:tcPr>
          <w:p w14:paraId="650CEC18" w14:textId="77777777" w:rsidR="006F3A1A" w:rsidRPr="001569FB" w:rsidRDefault="006F3A1A" w:rsidP="008D4E91">
            <w:pPr>
              <w:spacing w:line="240" w:lineRule="auto"/>
              <w:rPr>
                <w:color w:val="000000"/>
                <w:sz w:val="18"/>
                <w:szCs w:val="18"/>
              </w:rPr>
            </w:pPr>
            <w:r w:rsidRPr="001569FB">
              <w:rPr>
                <w:color w:val="000000"/>
                <w:sz w:val="18"/>
                <w:szCs w:val="18"/>
              </w:rPr>
              <w:t>Cerebrovascular Disease, Except Hemorrhage or Aneurysm</w:t>
            </w:r>
          </w:p>
        </w:tc>
        <w:tc>
          <w:tcPr>
            <w:tcW w:w="636" w:type="pct"/>
            <w:tcBorders>
              <w:top w:val="nil"/>
              <w:left w:val="nil"/>
              <w:bottom w:val="single" w:sz="4" w:space="0" w:color="auto"/>
              <w:right w:val="single" w:sz="4" w:space="0" w:color="auto"/>
            </w:tcBorders>
            <w:shd w:val="clear" w:color="000000" w:fill="FFFFFF"/>
            <w:vAlign w:val="center"/>
            <w:hideMark/>
          </w:tcPr>
          <w:p w14:paraId="3BCA3BF8" w14:textId="77777777" w:rsidR="006F3A1A" w:rsidRPr="001569FB" w:rsidRDefault="006F3A1A" w:rsidP="008D4E91">
            <w:pPr>
              <w:spacing w:line="240" w:lineRule="auto"/>
              <w:jc w:val="center"/>
              <w:rPr>
                <w:color w:val="000000"/>
                <w:sz w:val="18"/>
                <w:szCs w:val="18"/>
              </w:rPr>
            </w:pPr>
            <w:r w:rsidRPr="001569FB">
              <w:rPr>
                <w:color w:val="000000"/>
                <w:sz w:val="18"/>
                <w:szCs w:val="18"/>
              </w:rPr>
              <w:t>0.046</w:t>
            </w:r>
          </w:p>
        </w:tc>
        <w:tc>
          <w:tcPr>
            <w:tcW w:w="682" w:type="pct"/>
            <w:tcBorders>
              <w:top w:val="nil"/>
              <w:left w:val="nil"/>
              <w:bottom w:val="single" w:sz="4" w:space="0" w:color="auto"/>
              <w:right w:val="single" w:sz="4" w:space="0" w:color="auto"/>
            </w:tcBorders>
            <w:shd w:val="clear" w:color="000000" w:fill="FFFFFF"/>
            <w:vAlign w:val="center"/>
            <w:hideMark/>
          </w:tcPr>
          <w:p w14:paraId="586B7E7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EDFB895"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727" w:type="pct"/>
            <w:tcBorders>
              <w:top w:val="nil"/>
              <w:left w:val="nil"/>
              <w:bottom w:val="single" w:sz="4" w:space="0" w:color="auto"/>
              <w:right w:val="single" w:sz="4" w:space="0" w:color="auto"/>
            </w:tcBorders>
            <w:shd w:val="clear" w:color="000000" w:fill="FFFFFF"/>
            <w:vAlign w:val="center"/>
            <w:hideMark/>
          </w:tcPr>
          <w:p w14:paraId="57B8F0B0"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CF6717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98A14B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331FEE" w14:textId="77777777" w:rsidR="006F3A1A" w:rsidRPr="001569FB" w:rsidRDefault="006F3A1A" w:rsidP="008D4E91">
            <w:pPr>
              <w:spacing w:line="240" w:lineRule="auto"/>
              <w:rPr>
                <w:color w:val="000000"/>
                <w:sz w:val="18"/>
                <w:szCs w:val="18"/>
              </w:rPr>
            </w:pPr>
            <w:r w:rsidRPr="001569FB">
              <w:rPr>
                <w:color w:val="000000"/>
                <w:sz w:val="18"/>
                <w:szCs w:val="18"/>
              </w:rPr>
              <w:t>RXHCC207</w:t>
            </w:r>
          </w:p>
        </w:tc>
        <w:tc>
          <w:tcPr>
            <w:tcW w:w="909" w:type="pct"/>
            <w:tcBorders>
              <w:top w:val="nil"/>
              <w:left w:val="nil"/>
              <w:bottom w:val="single" w:sz="4" w:space="0" w:color="auto"/>
              <w:right w:val="single" w:sz="4" w:space="0" w:color="auto"/>
            </w:tcBorders>
            <w:shd w:val="clear" w:color="000000" w:fill="FFFFFF"/>
            <w:vAlign w:val="center"/>
            <w:hideMark/>
          </w:tcPr>
          <w:p w14:paraId="505CE93E" w14:textId="77777777" w:rsidR="006F3A1A" w:rsidRPr="001569FB" w:rsidRDefault="006F3A1A" w:rsidP="008D4E91">
            <w:pPr>
              <w:spacing w:line="240" w:lineRule="auto"/>
              <w:rPr>
                <w:color w:val="000000"/>
                <w:sz w:val="18"/>
                <w:szCs w:val="18"/>
              </w:rPr>
            </w:pPr>
            <w:r w:rsidRPr="001569FB">
              <w:rPr>
                <w:color w:val="000000"/>
                <w:sz w:val="18"/>
                <w:szCs w:val="18"/>
              </w:rPr>
              <w:t>Spastic Hemiplegia</w:t>
            </w:r>
          </w:p>
        </w:tc>
        <w:tc>
          <w:tcPr>
            <w:tcW w:w="636" w:type="pct"/>
            <w:tcBorders>
              <w:top w:val="nil"/>
              <w:left w:val="nil"/>
              <w:bottom w:val="single" w:sz="4" w:space="0" w:color="auto"/>
              <w:right w:val="single" w:sz="4" w:space="0" w:color="auto"/>
            </w:tcBorders>
            <w:shd w:val="clear" w:color="000000" w:fill="FFFFFF"/>
            <w:vAlign w:val="center"/>
            <w:hideMark/>
          </w:tcPr>
          <w:p w14:paraId="176CCC10" w14:textId="77777777" w:rsidR="006F3A1A" w:rsidRPr="001569FB" w:rsidRDefault="006F3A1A" w:rsidP="008D4E91">
            <w:pPr>
              <w:spacing w:line="240" w:lineRule="auto"/>
              <w:jc w:val="center"/>
              <w:rPr>
                <w:color w:val="000000"/>
                <w:sz w:val="18"/>
                <w:szCs w:val="18"/>
              </w:rPr>
            </w:pPr>
            <w:r w:rsidRPr="001569FB">
              <w:rPr>
                <w:color w:val="000000"/>
                <w:sz w:val="18"/>
                <w:szCs w:val="18"/>
              </w:rPr>
              <w:t>0.197</w:t>
            </w:r>
          </w:p>
        </w:tc>
        <w:tc>
          <w:tcPr>
            <w:tcW w:w="682" w:type="pct"/>
            <w:tcBorders>
              <w:top w:val="nil"/>
              <w:left w:val="nil"/>
              <w:bottom w:val="single" w:sz="4" w:space="0" w:color="auto"/>
              <w:right w:val="single" w:sz="4" w:space="0" w:color="auto"/>
            </w:tcBorders>
            <w:shd w:val="clear" w:color="000000" w:fill="FFFFFF"/>
            <w:vAlign w:val="center"/>
            <w:hideMark/>
          </w:tcPr>
          <w:p w14:paraId="43DD41CD" w14:textId="77777777" w:rsidR="006F3A1A" w:rsidRPr="001569FB" w:rsidRDefault="006F3A1A" w:rsidP="008D4E91">
            <w:pPr>
              <w:spacing w:line="240" w:lineRule="auto"/>
              <w:jc w:val="center"/>
              <w:rPr>
                <w:color w:val="000000"/>
                <w:sz w:val="18"/>
                <w:szCs w:val="18"/>
              </w:rPr>
            </w:pPr>
            <w:r w:rsidRPr="001569FB">
              <w:rPr>
                <w:color w:val="000000"/>
                <w:sz w:val="18"/>
                <w:szCs w:val="18"/>
              </w:rPr>
              <w:t>0.154</w:t>
            </w:r>
          </w:p>
        </w:tc>
        <w:tc>
          <w:tcPr>
            <w:tcW w:w="637" w:type="pct"/>
            <w:tcBorders>
              <w:top w:val="nil"/>
              <w:left w:val="nil"/>
              <w:bottom w:val="single" w:sz="4" w:space="0" w:color="auto"/>
              <w:right w:val="single" w:sz="4" w:space="0" w:color="auto"/>
            </w:tcBorders>
            <w:shd w:val="clear" w:color="000000" w:fill="FFFFFF"/>
            <w:vAlign w:val="center"/>
            <w:hideMark/>
          </w:tcPr>
          <w:p w14:paraId="1A3233F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727" w:type="pct"/>
            <w:tcBorders>
              <w:top w:val="nil"/>
              <w:left w:val="nil"/>
              <w:bottom w:val="single" w:sz="4" w:space="0" w:color="auto"/>
              <w:right w:val="single" w:sz="4" w:space="0" w:color="auto"/>
            </w:tcBorders>
            <w:shd w:val="clear" w:color="000000" w:fill="FFFFFF"/>
            <w:vAlign w:val="center"/>
            <w:hideMark/>
          </w:tcPr>
          <w:p w14:paraId="130019B8" w14:textId="77777777" w:rsidR="006F3A1A" w:rsidRPr="001569FB" w:rsidRDefault="006F3A1A" w:rsidP="008D4E91">
            <w:pPr>
              <w:spacing w:line="240" w:lineRule="auto"/>
              <w:jc w:val="center"/>
              <w:rPr>
                <w:color w:val="000000"/>
                <w:sz w:val="18"/>
                <w:szCs w:val="18"/>
              </w:rPr>
            </w:pPr>
            <w:r w:rsidRPr="001569FB">
              <w:rPr>
                <w:color w:val="000000"/>
                <w:sz w:val="18"/>
                <w:szCs w:val="18"/>
              </w:rPr>
              <w:t>0.158</w:t>
            </w:r>
          </w:p>
        </w:tc>
        <w:tc>
          <w:tcPr>
            <w:tcW w:w="592" w:type="pct"/>
            <w:tcBorders>
              <w:top w:val="nil"/>
              <w:left w:val="nil"/>
              <w:bottom w:val="single" w:sz="4" w:space="0" w:color="auto"/>
              <w:right w:val="single" w:sz="4" w:space="0" w:color="auto"/>
            </w:tcBorders>
            <w:shd w:val="clear" w:color="000000" w:fill="FFFFFF"/>
            <w:vAlign w:val="center"/>
            <w:hideMark/>
          </w:tcPr>
          <w:p w14:paraId="05E767E9"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933A2F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4A47E3" w14:textId="77777777" w:rsidR="006F3A1A" w:rsidRPr="001569FB" w:rsidRDefault="006F3A1A" w:rsidP="008D4E91">
            <w:pPr>
              <w:spacing w:line="240" w:lineRule="auto"/>
              <w:rPr>
                <w:color w:val="000000"/>
                <w:sz w:val="18"/>
                <w:szCs w:val="18"/>
              </w:rPr>
            </w:pPr>
            <w:r w:rsidRPr="001569FB">
              <w:rPr>
                <w:color w:val="000000"/>
                <w:sz w:val="18"/>
                <w:szCs w:val="18"/>
              </w:rPr>
              <w:t>RXHCC215</w:t>
            </w:r>
          </w:p>
        </w:tc>
        <w:tc>
          <w:tcPr>
            <w:tcW w:w="909" w:type="pct"/>
            <w:tcBorders>
              <w:top w:val="nil"/>
              <w:left w:val="nil"/>
              <w:bottom w:val="single" w:sz="4" w:space="0" w:color="auto"/>
              <w:right w:val="single" w:sz="4" w:space="0" w:color="auto"/>
            </w:tcBorders>
            <w:shd w:val="clear" w:color="000000" w:fill="FFFFFF"/>
            <w:vAlign w:val="center"/>
            <w:hideMark/>
          </w:tcPr>
          <w:p w14:paraId="79B4B643" w14:textId="77777777" w:rsidR="006F3A1A" w:rsidRPr="001569FB" w:rsidRDefault="006F3A1A" w:rsidP="008D4E91">
            <w:pPr>
              <w:spacing w:line="240" w:lineRule="auto"/>
              <w:rPr>
                <w:color w:val="000000"/>
                <w:sz w:val="18"/>
                <w:szCs w:val="18"/>
              </w:rPr>
            </w:pPr>
            <w:r w:rsidRPr="001569FB">
              <w:rPr>
                <w:color w:val="000000"/>
                <w:sz w:val="18"/>
                <w:szCs w:val="18"/>
              </w:rPr>
              <w:t>Venous Thromboembolism</w:t>
            </w:r>
          </w:p>
        </w:tc>
        <w:tc>
          <w:tcPr>
            <w:tcW w:w="636" w:type="pct"/>
            <w:tcBorders>
              <w:top w:val="nil"/>
              <w:left w:val="nil"/>
              <w:bottom w:val="single" w:sz="4" w:space="0" w:color="auto"/>
              <w:right w:val="single" w:sz="4" w:space="0" w:color="auto"/>
            </w:tcBorders>
            <w:shd w:val="clear" w:color="000000" w:fill="FFFFFF"/>
            <w:vAlign w:val="center"/>
            <w:hideMark/>
          </w:tcPr>
          <w:p w14:paraId="24C130A3" w14:textId="77777777" w:rsidR="006F3A1A" w:rsidRPr="001569FB" w:rsidRDefault="006F3A1A" w:rsidP="008D4E91">
            <w:pPr>
              <w:spacing w:line="240" w:lineRule="auto"/>
              <w:jc w:val="center"/>
              <w:rPr>
                <w:color w:val="000000"/>
                <w:sz w:val="18"/>
                <w:szCs w:val="18"/>
              </w:rPr>
            </w:pPr>
            <w:r w:rsidRPr="001569FB">
              <w:rPr>
                <w:color w:val="000000"/>
                <w:sz w:val="18"/>
                <w:szCs w:val="18"/>
              </w:rPr>
              <w:t>0.149</w:t>
            </w:r>
          </w:p>
        </w:tc>
        <w:tc>
          <w:tcPr>
            <w:tcW w:w="682" w:type="pct"/>
            <w:tcBorders>
              <w:top w:val="nil"/>
              <w:left w:val="nil"/>
              <w:bottom w:val="single" w:sz="4" w:space="0" w:color="auto"/>
              <w:right w:val="single" w:sz="4" w:space="0" w:color="auto"/>
            </w:tcBorders>
            <w:shd w:val="clear" w:color="000000" w:fill="FFFFFF"/>
            <w:vAlign w:val="center"/>
            <w:hideMark/>
          </w:tcPr>
          <w:p w14:paraId="2273A047" w14:textId="77777777" w:rsidR="006F3A1A" w:rsidRPr="001569FB" w:rsidRDefault="006F3A1A" w:rsidP="008D4E91">
            <w:pPr>
              <w:spacing w:line="240" w:lineRule="auto"/>
              <w:jc w:val="center"/>
              <w:rPr>
                <w:color w:val="000000"/>
                <w:sz w:val="18"/>
                <w:szCs w:val="18"/>
              </w:rPr>
            </w:pPr>
            <w:r w:rsidRPr="001569FB">
              <w:rPr>
                <w:color w:val="000000"/>
                <w:sz w:val="18"/>
                <w:szCs w:val="18"/>
              </w:rPr>
              <w:t>0.195</w:t>
            </w:r>
          </w:p>
        </w:tc>
        <w:tc>
          <w:tcPr>
            <w:tcW w:w="637" w:type="pct"/>
            <w:tcBorders>
              <w:top w:val="nil"/>
              <w:left w:val="nil"/>
              <w:bottom w:val="single" w:sz="4" w:space="0" w:color="auto"/>
              <w:right w:val="single" w:sz="4" w:space="0" w:color="auto"/>
            </w:tcBorders>
            <w:shd w:val="clear" w:color="000000" w:fill="FFFFFF"/>
            <w:vAlign w:val="center"/>
            <w:hideMark/>
          </w:tcPr>
          <w:p w14:paraId="48D88D13"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36A8DE1B" w14:textId="77777777" w:rsidR="006F3A1A" w:rsidRPr="001569FB" w:rsidRDefault="006F3A1A" w:rsidP="008D4E91">
            <w:pPr>
              <w:spacing w:line="240" w:lineRule="auto"/>
              <w:jc w:val="center"/>
              <w:rPr>
                <w:color w:val="000000"/>
                <w:sz w:val="18"/>
                <w:szCs w:val="18"/>
              </w:rPr>
            </w:pPr>
            <w:r w:rsidRPr="001569FB">
              <w:rPr>
                <w:color w:val="000000"/>
                <w:sz w:val="18"/>
                <w:szCs w:val="18"/>
              </w:rPr>
              <w:t>0.105</w:t>
            </w:r>
          </w:p>
        </w:tc>
        <w:tc>
          <w:tcPr>
            <w:tcW w:w="592" w:type="pct"/>
            <w:tcBorders>
              <w:top w:val="nil"/>
              <w:left w:val="nil"/>
              <w:bottom w:val="single" w:sz="4" w:space="0" w:color="auto"/>
              <w:right w:val="single" w:sz="4" w:space="0" w:color="auto"/>
            </w:tcBorders>
            <w:shd w:val="clear" w:color="000000" w:fill="FFFFFF"/>
            <w:vAlign w:val="center"/>
            <w:hideMark/>
          </w:tcPr>
          <w:p w14:paraId="075D813D" w14:textId="77777777" w:rsidR="006F3A1A" w:rsidRPr="001569FB" w:rsidRDefault="006F3A1A" w:rsidP="008D4E91">
            <w:pPr>
              <w:spacing w:line="240" w:lineRule="auto"/>
              <w:jc w:val="center"/>
              <w:rPr>
                <w:color w:val="000000"/>
                <w:sz w:val="18"/>
                <w:szCs w:val="18"/>
              </w:rPr>
            </w:pPr>
            <w:r w:rsidRPr="001569FB">
              <w:rPr>
                <w:color w:val="000000"/>
                <w:sz w:val="18"/>
                <w:szCs w:val="18"/>
              </w:rPr>
              <w:t>0.049</w:t>
            </w:r>
          </w:p>
        </w:tc>
      </w:tr>
      <w:tr w:rsidR="00EC34A7" w:rsidRPr="001569FB" w14:paraId="0C000EA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CFF4168" w14:textId="77777777" w:rsidR="006F3A1A" w:rsidRPr="001569FB" w:rsidRDefault="006F3A1A" w:rsidP="008D4E91">
            <w:pPr>
              <w:spacing w:line="240" w:lineRule="auto"/>
              <w:rPr>
                <w:color w:val="000000"/>
                <w:sz w:val="18"/>
                <w:szCs w:val="18"/>
              </w:rPr>
            </w:pPr>
            <w:r w:rsidRPr="001569FB">
              <w:rPr>
                <w:color w:val="000000"/>
                <w:sz w:val="18"/>
                <w:szCs w:val="18"/>
              </w:rPr>
              <w:t>RXHCC216</w:t>
            </w:r>
          </w:p>
        </w:tc>
        <w:tc>
          <w:tcPr>
            <w:tcW w:w="909" w:type="pct"/>
            <w:tcBorders>
              <w:top w:val="nil"/>
              <w:left w:val="nil"/>
              <w:bottom w:val="single" w:sz="4" w:space="0" w:color="auto"/>
              <w:right w:val="single" w:sz="4" w:space="0" w:color="auto"/>
            </w:tcBorders>
            <w:shd w:val="clear" w:color="000000" w:fill="FFFFFF"/>
            <w:vAlign w:val="center"/>
            <w:hideMark/>
          </w:tcPr>
          <w:p w14:paraId="277D19A9" w14:textId="77777777" w:rsidR="006F3A1A" w:rsidRPr="001569FB" w:rsidRDefault="006F3A1A" w:rsidP="008D4E91">
            <w:pPr>
              <w:spacing w:line="240" w:lineRule="auto"/>
              <w:rPr>
                <w:color w:val="000000"/>
                <w:sz w:val="18"/>
                <w:szCs w:val="18"/>
              </w:rPr>
            </w:pPr>
            <w:r w:rsidRPr="001569FB">
              <w:rPr>
                <w:color w:val="000000"/>
                <w:sz w:val="18"/>
                <w:szCs w:val="18"/>
              </w:rPr>
              <w:t>Peripheral Vascular Disease</w:t>
            </w:r>
          </w:p>
        </w:tc>
        <w:tc>
          <w:tcPr>
            <w:tcW w:w="636" w:type="pct"/>
            <w:tcBorders>
              <w:top w:val="nil"/>
              <w:left w:val="nil"/>
              <w:bottom w:val="single" w:sz="4" w:space="0" w:color="auto"/>
              <w:right w:val="single" w:sz="4" w:space="0" w:color="auto"/>
            </w:tcBorders>
            <w:shd w:val="clear" w:color="000000" w:fill="FFFFFF"/>
            <w:vAlign w:val="center"/>
            <w:hideMark/>
          </w:tcPr>
          <w:p w14:paraId="054E2AE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22D1D1B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666635FC" w14:textId="77777777" w:rsidR="006F3A1A" w:rsidRPr="001569FB" w:rsidRDefault="006F3A1A" w:rsidP="008D4E91">
            <w:pPr>
              <w:spacing w:line="240" w:lineRule="auto"/>
              <w:jc w:val="center"/>
              <w:rPr>
                <w:color w:val="000000"/>
                <w:sz w:val="18"/>
                <w:szCs w:val="18"/>
              </w:rPr>
            </w:pPr>
            <w:r w:rsidRPr="001569FB">
              <w:rPr>
                <w:color w:val="000000"/>
                <w:sz w:val="18"/>
                <w:szCs w:val="18"/>
              </w:rPr>
              <w:t>0.021</w:t>
            </w:r>
          </w:p>
        </w:tc>
        <w:tc>
          <w:tcPr>
            <w:tcW w:w="727" w:type="pct"/>
            <w:tcBorders>
              <w:top w:val="nil"/>
              <w:left w:val="nil"/>
              <w:bottom w:val="single" w:sz="4" w:space="0" w:color="auto"/>
              <w:right w:val="single" w:sz="4" w:space="0" w:color="auto"/>
            </w:tcBorders>
            <w:shd w:val="clear" w:color="000000" w:fill="FFFFFF"/>
            <w:vAlign w:val="center"/>
            <w:hideMark/>
          </w:tcPr>
          <w:p w14:paraId="7A31F7B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9F8E1E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51668F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3ED011" w14:textId="77777777" w:rsidR="006F3A1A" w:rsidRPr="001569FB" w:rsidRDefault="006F3A1A" w:rsidP="008D4E91">
            <w:pPr>
              <w:spacing w:line="240" w:lineRule="auto"/>
              <w:rPr>
                <w:color w:val="000000"/>
                <w:sz w:val="18"/>
                <w:szCs w:val="18"/>
              </w:rPr>
            </w:pPr>
            <w:r w:rsidRPr="001569FB">
              <w:rPr>
                <w:color w:val="000000"/>
                <w:sz w:val="18"/>
                <w:szCs w:val="18"/>
              </w:rPr>
              <w:t>RXHCC225</w:t>
            </w:r>
          </w:p>
        </w:tc>
        <w:tc>
          <w:tcPr>
            <w:tcW w:w="909" w:type="pct"/>
            <w:tcBorders>
              <w:top w:val="nil"/>
              <w:left w:val="nil"/>
              <w:bottom w:val="single" w:sz="4" w:space="0" w:color="auto"/>
              <w:right w:val="single" w:sz="4" w:space="0" w:color="auto"/>
            </w:tcBorders>
            <w:shd w:val="clear" w:color="000000" w:fill="FFFFFF"/>
            <w:vAlign w:val="center"/>
            <w:hideMark/>
          </w:tcPr>
          <w:p w14:paraId="79C10D3D" w14:textId="77777777" w:rsidR="006F3A1A" w:rsidRPr="001569FB" w:rsidRDefault="006F3A1A" w:rsidP="008D4E91">
            <w:pPr>
              <w:spacing w:line="240" w:lineRule="auto"/>
              <w:rPr>
                <w:color w:val="000000"/>
                <w:sz w:val="18"/>
                <w:szCs w:val="18"/>
              </w:rPr>
            </w:pPr>
            <w:r w:rsidRPr="001569FB">
              <w:rPr>
                <w:color w:val="000000"/>
                <w:sz w:val="18"/>
                <w:szCs w:val="18"/>
              </w:rPr>
              <w:t>Cystic Fibrosis</w:t>
            </w:r>
          </w:p>
        </w:tc>
        <w:tc>
          <w:tcPr>
            <w:tcW w:w="636" w:type="pct"/>
            <w:tcBorders>
              <w:top w:val="nil"/>
              <w:left w:val="nil"/>
              <w:bottom w:val="single" w:sz="4" w:space="0" w:color="auto"/>
              <w:right w:val="single" w:sz="4" w:space="0" w:color="auto"/>
            </w:tcBorders>
            <w:shd w:val="clear" w:color="000000" w:fill="FFFFFF"/>
            <w:vAlign w:val="center"/>
            <w:hideMark/>
          </w:tcPr>
          <w:p w14:paraId="7E25E11B" w14:textId="77777777" w:rsidR="006F3A1A" w:rsidRPr="001569FB" w:rsidRDefault="006F3A1A" w:rsidP="008D4E91">
            <w:pPr>
              <w:spacing w:line="240" w:lineRule="auto"/>
              <w:jc w:val="center"/>
              <w:rPr>
                <w:color w:val="000000"/>
                <w:sz w:val="18"/>
                <w:szCs w:val="18"/>
              </w:rPr>
            </w:pPr>
            <w:r w:rsidRPr="001569FB">
              <w:rPr>
                <w:color w:val="000000"/>
                <w:sz w:val="18"/>
                <w:szCs w:val="18"/>
              </w:rPr>
              <w:t>0.756</w:t>
            </w:r>
          </w:p>
        </w:tc>
        <w:tc>
          <w:tcPr>
            <w:tcW w:w="682" w:type="pct"/>
            <w:tcBorders>
              <w:top w:val="nil"/>
              <w:left w:val="nil"/>
              <w:bottom w:val="single" w:sz="4" w:space="0" w:color="auto"/>
              <w:right w:val="single" w:sz="4" w:space="0" w:color="auto"/>
            </w:tcBorders>
            <w:shd w:val="clear" w:color="000000" w:fill="FFFFFF"/>
            <w:vAlign w:val="center"/>
            <w:hideMark/>
          </w:tcPr>
          <w:p w14:paraId="0E39C412" w14:textId="77777777" w:rsidR="006F3A1A" w:rsidRPr="001569FB" w:rsidRDefault="006F3A1A" w:rsidP="008D4E91">
            <w:pPr>
              <w:spacing w:line="240" w:lineRule="auto"/>
              <w:jc w:val="center"/>
              <w:rPr>
                <w:color w:val="000000"/>
                <w:sz w:val="18"/>
                <w:szCs w:val="18"/>
              </w:rPr>
            </w:pPr>
            <w:r w:rsidRPr="001569FB">
              <w:rPr>
                <w:color w:val="000000"/>
                <w:sz w:val="18"/>
                <w:szCs w:val="18"/>
              </w:rPr>
              <w:t>5.483</w:t>
            </w:r>
          </w:p>
        </w:tc>
        <w:tc>
          <w:tcPr>
            <w:tcW w:w="637" w:type="pct"/>
            <w:tcBorders>
              <w:top w:val="nil"/>
              <w:left w:val="nil"/>
              <w:bottom w:val="single" w:sz="4" w:space="0" w:color="auto"/>
              <w:right w:val="single" w:sz="4" w:space="0" w:color="auto"/>
            </w:tcBorders>
            <w:shd w:val="clear" w:color="000000" w:fill="FFFFFF"/>
            <w:vAlign w:val="center"/>
            <w:hideMark/>
          </w:tcPr>
          <w:p w14:paraId="5923925F"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44B32A51" w14:textId="77777777" w:rsidR="006F3A1A" w:rsidRPr="001569FB" w:rsidRDefault="006F3A1A" w:rsidP="008D4E91">
            <w:pPr>
              <w:spacing w:line="240" w:lineRule="auto"/>
              <w:jc w:val="center"/>
              <w:rPr>
                <w:color w:val="000000"/>
                <w:sz w:val="18"/>
                <w:szCs w:val="18"/>
              </w:rPr>
            </w:pPr>
            <w:r w:rsidRPr="001569FB">
              <w:rPr>
                <w:color w:val="000000"/>
                <w:sz w:val="18"/>
                <w:szCs w:val="18"/>
              </w:rPr>
              <w:t>5.191</w:t>
            </w:r>
          </w:p>
        </w:tc>
        <w:tc>
          <w:tcPr>
            <w:tcW w:w="592" w:type="pct"/>
            <w:tcBorders>
              <w:top w:val="nil"/>
              <w:left w:val="nil"/>
              <w:bottom w:val="single" w:sz="4" w:space="0" w:color="auto"/>
              <w:right w:val="single" w:sz="4" w:space="0" w:color="auto"/>
            </w:tcBorders>
            <w:shd w:val="clear" w:color="000000" w:fill="FFFFFF"/>
            <w:vAlign w:val="center"/>
            <w:hideMark/>
          </w:tcPr>
          <w:p w14:paraId="286B3D2B"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0186DBF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7C6D854" w14:textId="77777777" w:rsidR="006F3A1A" w:rsidRPr="001569FB" w:rsidRDefault="006F3A1A" w:rsidP="008D4E91">
            <w:pPr>
              <w:spacing w:line="240" w:lineRule="auto"/>
              <w:rPr>
                <w:color w:val="000000"/>
                <w:sz w:val="18"/>
                <w:szCs w:val="18"/>
              </w:rPr>
            </w:pPr>
            <w:r w:rsidRPr="001569FB">
              <w:rPr>
                <w:color w:val="000000"/>
                <w:sz w:val="18"/>
                <w:szCs w:val="18"/>
              </w:rPr>
              <w:t>RXHCC226</w:t>
            </w:r>
          </w:p>
        </w:tc>
        <w:tc>
          <w:tcPr>
            <w:tcW w:w="909" w:type="pct"/>
            <w:tcBorders>
              <w:top w:val="nil"/>
              <w:left w:val="nil"/>
              <w:bottom w:val="single" w:sz="4" w:space="0" w:color="auto"/>
              <w:right w:val="single" w:sz="4" w:space="0" w:color="auto"/>
            </w:tcBorders>
            <w:shd w:val="clear" w:color="000000" w:fill="FFFFFF"/>
            <w:vAlign w:val="center"/>
            <w:hideMark/>
          </w:tcPr>
          <w:p w14:paraId="6265D240" w14:textId="77777777" w:rsidR="006F3A1A" w:rsidRPr="001569FB" w:rsidRDefault="006F3A1A" w:rsidP="008D4E91">
            <w:pPr>
              <w:spacing w:line="240" w:lineRule="auto"/>
              <w:rPr>
                <w:color w:val="000000"/>
                <w:sz w:val="18"/>
                <w:szCs w:val="18"/>
              </w:rPr>
            </w:pPr>
            <w:r w:rsidRPr="001569FB">
              <w:rPr>
                <w:color w:val="000000"/>
                <w:sz w:val="18"/>
                <w:szCs w:val="18"/>
              </w:rPr>
              <w:t>Chronic Obstructive Pulmonary Disease and Asthma</w:t>
            </w:r>
          </w:p>
        </w:tc>
        <w:tc>
          <w:tcPr>
            <w:tcW w:w="636" w:type="pct"/>
            <w:tcBorders>
              <w:top w:val="nil"/>
              <w:left w:val="nil"/>
              <w:bottom w:val="single" w:sz="4" w:space="0" w:color="auto"/>
              <w:right w:val="single" w:sz="4" w:space="0" w:color="auto"/>
            </w:tcBorders>
            <w:shd w:val="clear" w:color="000000" w:fill="FFFFFF"/>
            <w:vAlign w:val="center"/>
            <w:hideMark/>
          </w:tcPr>
          <w:p w14:paraId="773FC2E1"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4242593"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59C271B6"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13912FE2"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43E69FA2" w14:textId="77777777" w:rsidR="006F3A1A" w:rsidRPr="001569FB" w:rsidRDefault="006F3A1A" w:rsidP="008D4E91">
            <w:pPr>
              <w:spacing w:line="240" w:lineRule="auto"/>
              <w:jc w:val="center"/>
              <w:rPr>
                <w:color w:val="000000"/>
                <w:sz w:val="18"/>
                <w:szCs w:val="18"/>
              </w:rPr>
            </w:pPr>
            <w:r w:rsidRPr="001569FB">
              <w:rPr>
                <w:color w:val="000000"/>
                <w:sz w:val="18"/>
                <w:szCs w:val="18"/>
              </w:rPr>
              <w:t>0.199</w:t>
            </w:r>
          </w:p>
        </w:tc>
      </w:tr>
      <w:tr w:rsidR="00EC34A7" w:rsidRPr="001569FB" w14:paraId="25D0CFC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DB1BC4B" w14:textId="77777777" w:rsidR="006F3A1A" w:rsidRPr="001569FB" w:rsidRDefault="006F3A1A" w:rsidP="008D4E91">
            <w:pPr>
              <w:spacing w:line="240" w:lineRule="auto"/>
              <w:rPr>
                <w:color w:val="000000"/>
                <w:sz w:val="18"/>
                <w:szCs w:val="18"/>
              </w:rPr>
            </w:pPr>
            <w:r w:rsidRPr="001569FB">
              <w:rPr>
                <w:color w:val="000000"/>
                <w:sz w:val="18"/>
                <w:szCs w:val="18"/>
              </w:rPr>
              <w:t>RXHCC227</w:t>
            </w:r>
          </w:p>
        </w:tc>
        <w:tc>
          <w:tcPr>
            <w:tcW w:w="909" w:type="pct"/>
            <w:tcBorders>
              <w:top w:val="nil"/>
              <w:left w:val="nil"/>
              <w:bottom w:val="single" w:sz="4" w:space="0" w:color="auto"/>
              <w:right w:val="single" w:sz="4" w:space="0" w:color="auto"/>
            </w:tcBorders>
            <w:shd w:val="clear" w:color="000000" w:fill="FFFFFF"/>
            <w:vAlign w:val="center"/>
            <w:hideMark/>
          </w:tcPr>
          <w:p w14:paraId="1691651D" w14:textId="77777777" w:rsidR="006F3A1A" w:rsidRPr="001569FB" w:rsidRDefault="006F3A1A" w:rsidP="008D4E91">
            <w:pPr>
              <w:spacing w:line="240" w:lineRule="auto"/>
              <w:rPr>
                <w:color w:val="000000"/>
                <w:sz w:val="18"/>
                <w:szCs w:val="18"/>
              </w:rPr>
            </w:pPr>
            <w:r w:rsidRPr="001569FB">
              <w:rPr>
                <w:color w:val="000000"/>
                <w:sz w:val="18"/>
                <w:szCs w:val="18"/>
              </w:rPr>
              <w:t>Pulmonary Fibrosis and Other Chronic Lung Disorders</w:t>
            </w:r>
          </w:p>
        </w:tc>
        <w:tc>
          <w:tcPr>
            <w:tcW w:w="636" w:type="pct"/>
            <w:tcBorders>
              <w:top w:val="nil"/>
              <w:left w:val="nil"/>
              <w:bottom w:val="single" w:sz="4" w:space="0" w:color="auto"/>
              <w:right w:val="single" w:sz="4" w:space="0" w:color="auto"/>
            </w:tcBorders>
            <w:shd w:val="clear" w:color="000000" w:fill="FFFFFF"/>
            <w:vAlign w:val="center"/>
            <w:hideMark/>
          </w:tcPr>
          <w:p w14:paraId="62E0BCAC"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2B2FE58"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07D44EB0"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727" w:type="pct"/>
            <w:tcBorders>
              <w:top w:val="nil"/>
              <w:left w:val="nil"/>
              <w:bottom w:val="single" w:sz="4" w:space="0" w:color="auto"/>
              <w:right w:val="single" w:sz="4" w:space="0" w:color="auto"/>
            </w:tcBorders>
            <w:shd w:val="clear" w:color="000000" w:fill="FFFFFF"/>
            <w:vAlign w:val="center"/>
            <w:hideMark/>
          </w:tcPr>
          <w:p w14:paraId="76DB6BCF"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5AC3D50A"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55C8F0F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BEE0E6" w14:textId="77777777" w:rsidR="006F3A1A" w:rsidRPr="001569FB" w:rsidRDefault="006F3A1A" w:rsidP="008D4E91">
            <w:pPr>
              <w:spacing w:line="240" w:lineRule="auto"/>
              <w:rPr>
                <w:color w:val="000000"/>
                <w:sz w:val="18"/>
                <w:szCs w:val="18"/>
              </w:rPr>
            </w:pPr>
            <w:r w:rsidRPr="001569FB">
              <w:rPr>
                <w:color w:val="000000"/>
                <w:sz w:val="18"/>
                <w:szCs w:val="18"/>
              </w:rPr>
              <w:t>RXHCC241</w:t>
            </w:r>
          </w:p>
        </w:tc>
        <w:tc>
          <w:tcPr>
            <w:tcW w:w="909" w:type="pct"/>
            <w:tcBorders>
              <w:top w:val="nil"/>
              <w:left w:val="nil"/>
              <w:bottom w:val="single" w:sz="4" w:space="0" w:color="auto"/>
              <w:right w:val="single" w:sz="4" w:space="0" w:color="auto"/>
            </w:tcBorders>
            <w:shd w:val="clear" w:color="000000" w:fill="FFFFFF"/>
            <w:vAlign w:val="center"/>
            <w:hideMark/>
          </w:tcPr>
          <w:p w14:paraId="73C6C3D3" w14:textId="77777777" w:rsidR="006F3A1A" w:rsidRPr="001569FB" w:rsidRDefault="006F3A1A" w:rsidP="008D4E91">
            <w:pPr>
              <w:spacing w:line="240" w:lineRule="auto"/>
              <w:rPr>
                <w:color w:val="000000"/>
                <w:sz w:val="18"/>
                <w:szCs w:val="18"/>
              </w:rPr>
            </w:pPr>
            <w:r w:rsidRPr="001569FB">
              <w:rPr>
                <w:color w:val="000000"/>
                <w:sz w:val="18"/>
                <w:szCs w:val="18"/>
              </w:rPr>
              <w:t>Diabetic Retinopathy</w:t>
            </w:r>
          </w:p>
        </w:tc>
        <w:tc>
          <w:tcPr>
            <w:tcW w:w="636" w:type="pct"/>
            <w:tcBorders>
              <w:top w:val="nil"/>
              <w:left w:val="nil"/>
              <w:bottom w:val="single" w:sz="4" w:space="0" w:color="auto"/>
              <w:right w:val="single" w:sz="4" w:space="0" w:color="auto"/>
            </w:tcBorders>
            <w:shd w:val="clear" w:color="000000" w:fill="FFFFFF"/>
            <w:vAlign w:val="center"/>
            <w:hideMark/>
          </w:tcPr>
          <w:p w14:paraId="2B53618D" w14:textId="77777777" w:rsidR="006F3A1A" w:rsidRPr="001569FB" w:rsidRDefault="006F3A1A" w:rsidP="008D4E91">
            <w:pPr>
              <w:spacing w:line="240" w:lineRule="auto"/>
              <w:jc w:val="center"/>
              <w:rPr>
                <w:color w:val="000000"/>
                <w:sz w:val="18"/>
                <w:szCs w:val="18"/>
              </w:rPr>
            </w:pPr>
            <w:r w:rsidRPr="001569FB">
              <w:rPr>
                <w:color w:val="000000"/>
                <w:sz w:val="18"/>
                <w:szCs w:val="18"/>
              </w:rPr>
              <w:t>0.321</w:t>
            </w:r>
          </w:p>
        </w:tc>
        <w:tc>
          <w:tcPr>
            <w:tcW w:w="682" w:type="pct"/>
            <w:tcBorders>
              <w:top w:val="nil"/>
              <w:left w:val="nil"/>
              <w:bottom w:val="single" w:sz="4" w:space="0" w:color="auto"/>
              <w:right w:val="single" w:sz="4" w:space="0" w:color="auto"/>
            </w:tcBorders>
            <w:shd w:val="clear" w:color="000000" w:fill="FFFFFF"/>
            <w:vAlign w:val="center"/>
            <w:hideMark/>
          </w:tcPr>
          <w:p w14:paraId="38D22747" w14:textId="77777777" w:rsidR="006F3A1A" w:rsidRPr="001569FB" w:rsidRDefault="006F3A1A" w:rsidP="008D4E91">
            <w:pPr>
              <w:spacing w:line="240" w:lineRule="auto"/>
              <w:jc w:val="center"/>
              <w:rPr>
                <w:color w:val="000000"/>
                <w:sz w:val="18"/>
                <w:szCs w:val="18"/>
              </w:rPr>
            </w:pPr>
            <w:r w:rsidRPr="001569FB">
              <w:rPr>
                <w:color w:val="000000"/>
                <w:sz w:val="18"/>
                <w:szCs w:val="18"/>
              </w:rPr>
              <w:t>0.240</w:t>
            </w:r>
          </w:p>
        </w:tc>
        <w:tc>
          <w:tcPr>
            <w:tcW w:w="637" w:type="pct"/>
            <w:tcBorders>
              <w:top w:val="nil"/>
              <w:left w:val="nil"/>
              <w:bottom w:val="single" w:sz="4" w:space="0" w:color="auto"/>
              <w:right w:val="single" w:sz="4" w:space="0" w:color="auto"/>
            </w:tcBorders>
            <w:shd w:val="clear" w:color="000000" w:fill="FFFFFF"/>
            <w:vAlign w:val="center"/>
            <w:hideMark/>
          </w:tcPr>
          <w:p w14:paraId="7139AC73" w14:textId="77777777" w:rsidR="006F3A1A" w:rsidRPr="001569FB" w:rsidRDefault="006F3A1A" w:rsidP="008D4E91">
            <w:pPr>
              <w:spacing w:line="240" w:lineRule="auto"/>
              <w:jc w:val="center"/>
              <w:rPr>
                <w:color w:val="000000"/>
                <w:sz w:val="18"/>
                <w:szCs w:val="18"/>
              </w:rPr>
            </w:pPr>
            <w:r w:rsidRPr="001569FB">
              <w:rPr>
                <w:color w:val="000000"/>
                <w:sz w:val="18"/>
                <w:szCs w:val="18"/>
              </w:rPr>
              <w:t>0.223</w:t>
            </w:r>
          </w:p>
        </w:tc>
        <w:tc>
          <w:tcPr>
            <w:tcW w:w="727" w:type="pct"/>
            <w:tcBorders>
              <w:top w:val="nil"/>
              <w:left w:val="nil"/>
              <w:bottom w:val="single" w:sz="4" w:space="0" w:color="auto"/>
              <w:right w:val="single" w:sz="4" w:space="0" w:color="auto"/>
            </w:tcBorders>
            <w:shd w:val="clear" w:color="000000" w:fill="FFFFFF"/>
            <w:vAlign w:val="center"/>
            <w:hideMark/>
          </w:tcPr>
          <w:p w14:paraId="4C99B9ED" w14:textId="77777777" w:rsidR="006F3A1A" w:rsidRPr="001569FB" w:rsidRDefault="006F3A1A" w:rsidP="008D4E91">
            <w:pPr>
              <w:spacing w:line="240" w:lineRule="auto"/>
              <w:jc w:val="center"/>
              <w:rPr>
                <w:color w:val="000000"/>
                <w:sz w:val="18"/>
                <w:szCs w:val="18"/>
              </w:rPr>
            </w:pPr>
            <w:r w:rsidRPr="001569FB">
              <w:rPr>
                <w:color w:val="000000"/>
                <w:sz w:val="18"/>
                <w:szCs w:val="18"/>
              </w:rPr>
              <w:t>0.148</w:t>
            </w:r>
          </w:p>
        </w:tc>
        <w:tc>
          <w:tcPr>
            <w:tcW w:w="592" w:type="pct"/>
            <w:tcBorders>
              <w:top w:val="nil"/>
              <w:left w:val="nil"/>
              <w:bottom w:val="single" w:sz="4" w:space="0" w:color="auto"/>
              <w:right w:val="single" w:sz="4" w:space="0" w:color="auto"/>
            </w:tcBorders>
            <w:shd w:val="clear" w:color="000000" w:fill="FFFFFF"/>
            <w:vAlign w:val="center"/>
            <w:hideMark/>
          </w:tcPr>
          <w:p w14:paraId="407EA691"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r>
      <w:tr w:rsidR="00EC34A7" w:rsidRPr="001569FB" w14:paraId="68B442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D17AAB" w14:textId="77777777" w:rsidR="006F3A1A" w:rsidRPr="001569FB" w:rsidRDefault="006F3A1A" w:rsidP="008D4E91">
            <w:pPr>
              <w:spacing w:line="240" w:lineRule="auto"/>
              <w:rPr>
                <w:color w:val="000000"/>
                <w:sz w:val="18"/>
                <w:szCs w:val="18"/>
              </w:rPr>
            </w:pPr>
            <w:r w:rsidRPr="001569FB">
              <w:rPr>
                <w:color w:val="000000"/>
                <w:sz w:val="18"/>
                <w:szCs w:val="18"/>
              </w:rPr>
              <w:t>RXHCC243</w:t>
            </w:r>
          </w:p>
        </w:tc>
        <w:tc>
          <w:tcPr>
            <w:tcW w:w="909" w:type="pct"/>
            <w:tcBorders>
              <w:top w:val="nil"/>
              <w:left w:val="nil"/>
              <w:bottom w:val="single" w:sz="4" w:space="0" w:color="auto"/>
              <w:right w:val="single" w:sz="4" w:space="0" w:color="auto"/>
            </w:tcBorders>
            <w:shd w:val="clear" w:color="000000" w:fill="FFFFFF"/>
            <w:vAlign w:val="center"/>
            <w:hideMark/>
          </w:tcPr>
          <w:p w14:paraId="375BAF6A" w14:textId="77777777" w:rsidR="006F3A1A" w:rsidRPr="001569FB" w:rsidRDefault="006F3A1A" w:rsidP="008D4E91">
            <w:pPr>
              <w:spacing w:line="240" w:lineRule="auto"/>
              <w:rPr>
                <w:color w:val="000000"/>
                <w:sz w:val="18"/>
                <w:szCs w:val="18"/>
              </w:rPr>
            </w:pPr>
            <w:r w:rsidRPr="001569FB">
              <w:rPr>
                <w:color w:val="000000"/>
                <w:sz w:val="18"/>
                <w:szCs w:val="18"/>
              </w:rPr>
              <w:t>Open-Angle Glaucoma</w:t>
            </w:r>
          </w:p>
        </w:tc>
        <w:tc>
          <w:tcPr>
            <w:tcW w:w="636" w:type="pct"/>
            <w:tcBorders>
              <w:top w:val="nil"/>
              <w:left w:val="nil"/>
              <w:bottom w:val="single" w:sz="4" w:space="0" w:color="auto"/>
              <w:right w:val="single" w:sz="4" w:space="0" w:color="auto"/>
            </w:tcBorders>
            <w:shd w:val="clear" w:color="000000" w:fill="FFFFFF"/>
            <w:vAlign w:val="center"/>
            <w:hideMark/>
          </w:tcPr>
          <w:p w14:paraId="53653F50" w14:textId="77777777" w:rsidR="006F3A1A" w:rsidRPr="001569FB" w:rsidRDefault="006F3A1A" w:rsidP="008D4E91">
            <w:pPr>
              <w:spacing w:line="240" w:lineRule="auto"/>
              <w:jc w:val="center"/>
              <w:rPr>
                <w:color w:val="000000"/>
                <w:sz w:val="18"/>
                <w:szCs w:val="18"/>
              </w:rPr>
            </w:pPr>
            <w:r w:rsidRPr="001569FB">
              <w:rPr>
                <w:color w:val="000000"/>
                <w:sz w:val="18"/>
                <w:szCs w:val="18"/>
              </w:rPr>
              <w:t>0.284</w:t>
            </w:r>
          </w:p>
        </w:tc>
        <w:tc>
          <w:tcPr>
            <w:tcW w:w="682" w:type="pct"/>
            <w:tcBorders>
              <w:top w:val="nil"/>
              <w:left w:val="nil"/>
              <w:bottom w:val="single" w:sz="4" w:space="0" w:color="auto"/>
              <w:right w:val="single" w:sz="4" w:space="0" w:color="auto"/>
            </w:tcBorders>
            <w:shd w:val="clear" w:color="000000" w:fill="FFFFFF"/>
            <w:vAlign w:val="center"/>
            <w:hideMark/>
          </w:tcPr>
          <w:p w14:paraId="6E3AB6AD" w14:textId="77777777" w:rsidR="006F3A1A" w:rsidRPr="001569FB" w:rsidRDefault="006F3A1A" w:rsidP="008D4E91">
            <w:pPr>
              <w:spacing w:line="240" w:lineRule="auto"/>
              <w:jc w:val="center"/>
              <w:rPr>
                <w:color w:val="000000"/>
                <w:sz w:val="18"/>
                <w:szCs w:val="18"/>
              </w:rPr>
            </w:pPr>
            <w:r w:rsidRPr="001569FB">
              <w:rPr>
                <w:color w:val="000000"/>
                <w:sz w:val="18"/>
                <w:szCs w:val="18"/>
              </w:rPr>
              <w:t>0.239</w:t>
            </w:r>
          </w:p>
        </w:tc>
        <w:tc>
          <w:tcPr>
            <w:tcW w:w="637" w:type="pct"/>
            <w:tcBorders>
              <w:top w:val="nil"/>
              <w:left w:val="nil"/>
              <w:bottom w:val="single" w:sz="4" w:space="0" w:color="auto"/>
              <w:right w:val="single" w:sz="4" w:space="0" w:color="auto"/>
            </w:tcBorders>
            <w:shd w:val="clear" w:color="000000" w:fill="FFFFFF"/>
            <w:vAlign w:val="center"/>
            <w:hideMark/>
          </w:tcPr>
          <w:p w14:paraId="5D7F0A26"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727" w:type="pct"/>
            <w:tcBorders>
              <w:top w:val="nil"/>
              <w:left w:val="nil"/>
              <w:bottom w:val="single" w:sz="4" w:space="0" w:color="auto"/>
              <w:right w:val="single" w:sz="4" w:space="0" w:color="auto"/>
            </w:tcBorders>
            <w:shd w:val="clear" w:color="000000" w:fill="FFFFFF"/>
            <w:vAlign w:val="center"/>
            <w:hideMark/>
          </w:tcPr>
          <w:p w14:paraId="6DB54505" w14:textId="77777777" w:rsidR="006F3A1A" w:rsidRPr="001569FB" w:rsidRDefault="006F3A1A" w:rsidP="008D4E91">
            <w:pPr>
              <w:spacing w:line="240" w:lineRule="auto"/>
              <w:jc w:val="center"/>
              <w:rPr>
                <w:color w:val="000000"/>
                <w:sz w:val="18"/>
                <w:szCs w:val="18"/>
              </w:rPr>
            </w:pPr>
            <w:r w:rsidRPr="001569FB">
              <w:rPr>
                <w:color w:val="000000"/>
                <w:sz w:val="18"/>
                <w:szCs w:val="18"/>
              </w:rPr>
              <w:t>0.267</w:t>
            </w:r>
          </w:p>
        </w:tc>
        <w:tc>
          <w:tcPr>
            <w:tcW w:w="592" w:type="pct"/>
            <w:tcBorders>
              <w:top w:val="nil"/>
              <w:left w:val="nil"/>
              <w:bottom w:val="single" w:sz="4" w:space="0" w:color="auto"/>
              <w:right w:val="single" w:sz="4" w:space="0" w:color="auto"/>
            </w:tcBorders>
            <w:shd w:val="clear" w:color="000000" w:fill="FFFFFF"/>
            <w:vAlign w:val="center"/>
            <w:hideMark/>
          </w:tcPr>
          <w:p w14:paraId="5E25BC43" w14:textId="77777777" w:rsidR="006F3A1A" w:rsidRPr="001569FB" w:rsidRDefault="006F3A1A" w:rsidP="008D4E91">
            <w:pPr>
              <w:spacing w:line="240" w:lineRule="auto"/>
              <w:jc w:val="center"/>
              <w:rPr>
                <w:color w:val="000000"/>
                <w:sz w:val="18"/>
                <w:szCs w:val="18"/>
              </w:rPr>
            </w:pPr>
            <w:r w:rsidRPr="001569FB">
              <w:rPr>
                <w:color w:val="000000"/>
                <w:sz w:val="18"/>
                <w:szCs w:val="18"/>
              </w:rPr>
              <w:t>0.227</w:t>
            </w:r>
          </w:p>
        </w:tc>
      </w:tr>
      <w:tr w:rsidR="00EC34A7" w:rsidRPr="001569FB" w14:paraId="5A8CE80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66686D3" w14:textId="77777777" w:rsidR="006F3A1A" w:rsidRPr="001569FB" w:rsidRDefault="006F3A1A" w:rsidP="008D4E91">
            <w:pPr>
              <w:spacing w:line="240" w:lineRule="auto"/>
              <w:rPr>
                <w:color w:val="000000"/>
                <w:sz w:val="18"/>
                <w:szCs w:val="18"/>
              </w:rPr>
            </w:pPr>
            <w:r w:rsidRPr="001569FB">
              <w:rPr>
                <w:color w:val="000000"/>
                <w:sz w:val="18"/>
                <w:szCs w:val="18"/>
              </w:rPr>
              <w:t>RXHCC260</w:t>
            </w:r>
          </w:p>
        </w:tc>
        <w:tc>
          <w:tcPr>
            <w:tcW w:w="909" w:type="pct"/>
            <w:tcBorders>
              <w:top w:val="nil"/>
              <w:left w:val="nil"/>
              <w:bottom w:val="single" w:sz="4" w:space="0" w:color="auto"/>
              <w:right w:val="single" w:sz="4" w:space="0" w:color="auto"/>
            </w:tcBorders>
            <w:shd w:val="clear" w:color="000000" w:fill="FFFFFF"/>
            <w:vAlign w:val="center"/>
            <w:hideMark/>
          </w:tcPr>
          <w:p w14:paraId="064F4451" w14:textId="77777777" w:rsidR="006F3A1A" w:rsidRPr="001569FB" w:rsidRDefault="006F3A1A" w:rsidP="008D4E91">
            <w:pPr>
              <w:spacing w:line="240" w:lineRule="auto"/>
              <w:rPr>
                <w:color w:val="000000"/>
                <w:sz w:val="18"/>
                <w:szCs w:val="18"/>
              </w:rPr>
            </w:pPr>
            <w:r w:rsidRPr="001569FB">
              <w:rPr>
                <w:color w:val="000000"/>
                <w:sz w:val="18"/>
                <w:szCs w:val="18"/>
              </w:rPr>
              <w:t>Kidney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29FC8DFA"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8DF6C4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0E4A1CC4"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4C3E426D" w14:textId="77777777" w:rsidR="006F3A1A" w:rsidRPr="001569FB" w:rsidRDefault="006F3A1A" w:rsidP="008D4E91">
            <w:pPr>
              <w:spacing w:line="240" w:lineRule="auto"/>
              <w:jc w:val="center"/>
              <w:rPr>
                <w:color w:val="000000"/>
                <w:sz w:val="18"/>
                <w:szCs w:val="18"/>
              </w:rPr>
            </w:pPr>
            <w:r w:rsidRPr="001569FB">
              <w:rPr>
                <w:color w:val="000000"/>
                <w:sz w:val="18"/>
                <w:szCs w:val="18"/>
              </w:rPr>
              <w:t>0.413</w:t>
            </w:r>
          </w:p>
        </w:tc>
        <w:tc>
          <w:tcPr>
            <w:tcW w:w="592" w:type="pct"/>
            <w:tcBorders>
              <w:top w:val="nil"/>
              <w:left w:val="nil"/>
              <w:bottom w:val="single" w:sz="4" w:space="0" w:color="auto"/>
              <w:right w:val="single" w:sz="4" w:space="0" w:color="auto"/>
            </w:tcBorders>
            <w:shd w:val="clear" w:color="000000" w:fill="FFFFFF"/>
            <w:vAlign w:val="center"/>
            <w:hideMark/>
          </w:tcPr>
          <w:p w14:paraId="0B87246C"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558E60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AE0F22" w14:textId="77777777" w:rsidR="006F3A1A" w:rsidRPr="001569FB" w:rsidRDefault="006F3A1A" w:rsidP="008D4E91">
            <w:pPr>
              <w:spacing w:line="240" w:lineRule="auto"/>
              <w:rPr>
                <w:color w:val="000000"/>
                <w:sz w:val="18"/>
                <w:szCs w:val="18"/>
              </w:rPr>
            </w:pPr>
            <w:r w:rsidRPr="001569FB">
              <w:rPr>
                <w:color w:val="000000"/>
                <w:sz w:val="18"/>
                <w:szCs w:val="18"/>
              </w:rPr>
              <w:t>RXHCC261</w:t>
            </w:r>
          </w:p>
        </w:tc>
        <w:tc>
          <w:tcPr>
            <w:tcW w:w="909" w:type="pct"/>
            <w:tcBorders>
              <w:top w:val="nil"/>
              <w:left w:val="nil"/>
              <w:bottom w:val="single" w:sz="4" w:space="0" w:color="auto"/>
              <w:right w:val="single" w:sz="4" w:space="0" w:color="auto"/>
            </w:tcBorders>
            <w:shd w:val="clear" w:color="000000" w:fill="FFFFFF"/>
            <w:vAlign w:val="center"/>
            <w:hideMark/>
          </w:tcPr>
          <w:p w14:paraId="32878D34" w14:textId="77777777" w:rsidR="006F3A1A" w:rsidRPr="001569FB" w:rsidRDefault="006F3A1A" w:rsidP="008D4E91">
            <w:pPr>
              <w:spacing w:line="240" w:lineRule="auto"/>
              <w:rPr>
                <w:color w:val="000000"/>
                <w:sz w:val="18"/>
                <w:szCs w:val="18"/>
              </w:rPr>
            </w:pPr>
            <w:r w:rsidRPr="001569FB">
              <w:rPr>
                <w:color w:val="000000"/>
                <w:sz w:val="18"/>
                <w:szCs w:val="18"/>
              </w:rPr>
              <w:t>Dialysis Status</w:t>
            </w:r>
          </w:p>
        </w:tc>
        <w:tc>
          <w:tcPr>
            <w:tcW w:w="636" w:type="pct"/>
            <w:tcBorders>
              <w:top w:val="nil"/>
              <w:left w:val="nil"/>
              <w:bottom w:val="single" w:sz="4" w:space="0" w:color="auto"/>
              <w:right w:val="single" w:sz="4" w:space="0" w:color="auto"/>
            </w:tcBorders>
            <w:shd w:val="clear" w:color="000000" w:fill="FFFFFF"/>
            <w:vAlign w:val="center"/>
            <w:hideMark/>
          </w:tcPr>
          <w:p w14:paraId="1540D56A" w14:textId="77777777" w:rsidR="006F3A1A" w:rsidRPr="001569FB" w:rsidRDefault="006F3A1A" w:rsidP="008D4E91">
            <w:pPr>
              <w:spacing w:line="240" w:lineRule="auto"/>
              <w:jc w:val="center"/>
              <w:rPr>
                <w:color w:val="000000"/>
                <w:sz w:val="18"/>
                <w:szCs w:val="18"/>
              </w:rPr>
            </w:pPr>
            <w:r w:rsidRPr="001569FB">
              <w:rPr>
                <w:color w:val="000000"/>
                <w:sz w:val="18"/>
                <w:szCs w:val="18"/>
              </w:rPr>
              <w:t>0.262</w:t>
            </w:r>
          </w:p>
        </w:tc>
        <w:tc>
          <w:tcPr>
            <w:tcW w:w="682" w:type="pct"/>
            <w:tcBorders>
              <w:top w:val="nil"/>
              <w:left w:val="nil"/>
              <w:bottom w:val="single" w:sz="4" w:space="0" w:color="auto"/>
              <w:right w:val="single" w:sz="4" w:space="0" w:color="auto"/>
            </w:tcBorders>
            <w:shd w:val="clear" w:color="000000" w:fill="FFFFFF"/>
            <w:vAlign w:val="center"/>
            <w:hideMark/>
          </w:tcPr>
          <w:p w14:paraId="73480EF5" w14:textId="77777777" w:rsidR="006F3A1A" w:rsidRPr="001569FB" w:rsidRDefault="006F3A1A" w:rsidP="008D4E91">
            <w:pPr>
              <w:spacing w:line="240" w:lineRule="auto"/>
              <w:jc w:val="center"/>
              <w:rPr>
                <w:color w:val="000000"/>
                <w:sz w:val="18"/>
                <w:szCs w:val="18"/>
              </w:rPr>
            </w:pPr>
            <w:r w:rsidRPr="001569FB">
              <w:rPr>
                <w:color w:val="000000"/>
                <w:sz w:val="18"/>
                <w:szCs w:val="18"/>
              </w:rPr>
              <w:t>0.542</w:t>
            </w:r>
          </w:p>
        </w:tc>
        <w:tc>
          <w:tcPr>
            <w:tcW w:w="637" w:type="pct"/>
            <w:tcBorders>
              <w:top w:val="nil"/>
              <w:left w:val="nil"/>
              <w:bottom w:val="single" w:sz="4" w:space="0" w:color="auto"/>
              <w:right w:val="single" w:sz="4" w:space="0" w:color="auto"/>
            </w:tcBorders>
            <w:shd w:val="clear" w:color="000000" w:fill="FFFFFF"/>
            <w:vAlign w:val="center"/>
            <w:hideMark/>
          </w:tcPr>
          <w:p w14:paraId="2E72C9D6" w14:textId="77777777" w:rsidR="006F3A1A" w:rsidRPr="001569FB" w:rsidRDefault="006F3A1A" w:rsidP="008D4E91">
            <w:pPr>
              <w:spacing w:line="240" w:lineRule="auto"/>
              <w:jc w:val="center"/>
              <w:rPr>
                <w:color w:val="000000"/>
                <w:sz w:val="18"/>
                <w:szCs w:val="18"/>
              </w:rPr>
            </w:pPr>
            <w:r w:rsidRPr="001569FB">
              <w:rPr>
                <w:color w:val="000000"/>
                <w:sz w:val="18"/>
                <w:szCs w:val="18"/>
              </w:rPr>
              <w:t>0.478</w:t>
            </w:r>
          </w:p>
        </w:tc>
        <w:tc>
          <w:tcPr>
            <w:tcW w:w="727" w:type="pct"/>
            <w:tcBorders>
              <w:top w:val="nil"/>
              <w:left w:val="nil"/>
              <w:bottom w:val="single" w:sz="4" w:space="0" w:color="auto"/>
              <w:right w:val="single" w:sz="4" w:space="0" w:color="auto"/>
            </w:tcBorders>
            <w:shd w:val="clear" w:color="000000" w:fill="FFFFFF"/>
            <w:vAlign w:val="center"/>
            <w:hideMark/>
          </w:tcPr>
          <w:p w14:paraId="04B5E1E6" w14:textId="77777777" w:rsidR="006F3A1A" w:rsidRPr="001569FB" w:rsidRDefault="006F3A1A" w:rsidP="008D4E91">
            <w:pPr>
              <w:spacing w:line="240" w:lineRule="auto"/>
              <w:jc w:val="center"/>
              <w:rPr>
                <w:color w:val="000000"/>
                <w:sz w:val="18"/>
                <w:szCs w:val="18"/>
              </w:rPr>
            </w:pPr>
            <w:r w:rsidRPr="001569FB">
              <w:rPr>
                <w:color w:val="000000"/>
                <w:sz w:val="18"/>
                <w:szCs w:val="18"/>
              </w:rPr>
              <w:t>0.916</w:t>
            </w:r>
          </w:p>
        </w:tc>
        <w:tc>
          <w:tcPr>
            <w:tcW w:w="592" w:type="pct"/>
            <w:tcBorders>
              <w:top w:val="nil"/>
              <w:left w:val="nil"/>
              <w:bottom w:val="single" w:sz="4" w:space="0" w:color="auto"/>
              <w:right w:val="single" w:sz="4" w:space="0" w:color="auto"/>
            </w:tcBorders>
            <w:shd w:val="clear" w:color="000000" w:fill="FFFFFF"/>
            <w:vAlign w:val="center"/>
            <w:hideMark/>
          </w:tcPr>
          <w:p w14:paraId="50A7EF26" w14:textId="77777777" w:rsidR="006F3A1A" w:rsidRPr="001569FB" w:rsidRDefault="006F3A1A" w:rsidP="008D4E91">
            <w:pPr>
              <w:spacing w:line="240" w:lineRule="auto"/>
              <w:jc w:val="center"/>
              <w:rPr>
                <w:color w:val="000000"/>
                <w:sz w:val="18"/>
                <w:szCs w:val="18"/>
              </w:rPr>
            </w:pPr>
            <w:r w:rsidRPr="001569FB">
              <w:rPr>
                <w:color w:val="000000"/>
                <w:sz w:val="18"/>
                <w:szCs w:val="18"/>
              </w:rPr>
              <w:t>0.401</w:t>
            </w:r>
          </w:p>
        </w:tc>
      </w:tr>
      <w:tr w:rsidR="00EC34A7" w:rsidRPr="001569FB" w14:paraId="4096C44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10EEC4" w14:textId="77777777" w:rsidR="006F3A1A" w:rsidRPr="001569FB" w:rsidRDefault="006F3A1A" w:rsidP="008D4E91">
            <w:pPr>
              <w:spacing w:line="240" w:lineRule="auto"/>
              <w:rPr>
                <w:color w:val="000000"/>
                <w:sz w:val="18"/>
                <w:szCs w:val="18"/>
              </w:rPr>
            </w:pPr>
            <w:r w:rsidRPr="001569FB">
              <w:rPr>
                <w:color w:val="000000"/>
                <w:sz w:val="18"/>
                <w:szCs w:val="18"/>
              </w:rPr>
              <w:t>RXHCC262</w:t>
            </w:r>
          </w:p>
        </w:tc>
        <w:tc>
          <w:tcPr>
            <w:tcW w:w="909" w:type="pct"/>
            <w:tcBorders>
              <w:top w:val="nil"/>
              <w:left w:val="nil"/>
              <w:bottom w:val="single" w:sz="4" w:space="0" w:color="auto"/>
              <w:right w:val="single" w:sz="4" w:space="0" w:color="auto"/>
            </w:tcBorders>
            <w:shd w:val="clear" w:color="000000" w:fill="FFFFFF"/>
            <w:vAlign w:val="center"/>
            <w:hideMark/>
          </w:tcPr>
          <w:p w14:paraId="6EA4C704"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5</w:t>
            </w:r>
          </w:p>
        </w:tc>
        <w:tc>
          <w:tcPr>
            <w:tcW w:w="636" w:type="pct"/>
            <w:tcBorders>
              <w:top w:val="nil"/>
              <w:left w:val="nil"/>
              <w:bottom w:val="single" w:sz="4" w:space="0" w:color="auto"/>
              <w:right w:val="single" w:sz="4" w:space="0" w:color="auto"/>
            </w:tcBorders>
            <w:shd w:val="clear" w:color="000000" w:fill="FFFFFF"/>
            <w:vAlign w:val="center"/>
            <w:hideMark/>
          </w:tcPr>
          <w:p w14:paraId="4273E149"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729678AB"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11A03F72"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4BAEADB0"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074A1866"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387A4AB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2F43BEB" w14:textId="77777777" w:rsidR="006F3A1A" w:rsidRPr="001569FB" w:rsidRDefault="006F3A1A" w:rsidP="008D4E91">
            <w:pPr>
              <w:spacing w:line="240" w:lineRule="auto"/>
              <w:rPr>
                <w:color w:val="000000"/>
                <w:sz w:val="18"/>
                <w:szCs w:val="18"/>
              </w:rPr>
            </w:pPr>
            <w:r w:rsidRPr="001569FB">
              <w:rPr>
                <w:color w:val="000000"/>
                <w:sz w:val="18"/>
                <w:szCs w:val="18"/>
              </w:rPr>
              <w:t>RXHCC263</w:t>
            </w:r>
          </w:p>
        </w:tc>
        <w:tc>
          <w:tcPr>
            <w:tcW w:w="909" w:type="pct"/>
            <w:tcBorders>
              <w:top w:val="nil"/>
              <w:left w:val="nil"/>
              <w:bottom w:val="single" w:sz="4" w:space="0" w:color="auto"/>
              <w:right w:val="single" w:sz="4" w:space="0" w:color="auto"/>
            </w:tcBorders>
            <w:shd w:val="clear" w:color="000000" w:fill="FFFFFF"/>
            <w:vAlign w:val="center"/>
            <w:hideMark/>
          </w:tcPr>
          <w:p w14:paraId="1EAB90B2"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4</w:t>
            </w:r>
          </w:p>
        </w:tc>
        <w:tc>
          <w:tcPr>
            <w:tcW w:w="636" w:type="pct"/>
            <w:tcBorders>
              <w:top w:val="nil"/>
              <w:left w:val="nil"/>
              <w:bottom w:val="single" w:sz="4" w:space="0" w:color="auto"/>
              <w:right w:val="single" w:sz="4" w:space="0" w:color="auto"/>
            </w:tcBorders>
            <w:shd w:val="clear" w:color="000000" w:fill="FFFFFF"/>
            <w:vAlign w:val="center"/>
            <w:hideMark/>
          </w:tcPr>
          <w:p w14:paraId="36DACCEA"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02F3F518"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640E4327"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12331A2C"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4D7FBCC9"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DD3B70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690B382" w14:textId="77777777" w:rsidR="006F3A1A" w:rsidRPr="001569FB" w:rsidRDefault="006F3A1A" w:rsidP="008D4E91">
            <w:pPr>
              <w:spacing w:line="240" w:lineRule="auto"/>
              <w:rPr>
                <w:color w:val="000000"/>
                <w:sz w:val="18"/>
                <w:szCs w:val="18"/>
              </w:rPr>
            </w:pPr>
            <w:r w:rsidRPr="001569FB">
              <w:rPr>
                <w:color w:val="000000"/>
                <w:sz w:val="18"/>
                <w:szCs w:val="18"/>
              </w:rPr>
              <w:t>RXHCC311</w:t>
            </w:r>
          </w:p>
        </w:tc>
        <w:tc>
          <w:tcPr>
            <w:tcW w:w="909" w:type="pct"/>
            <w:tcBorders>
              <w:top w:val="nil"/>
              <w:left w:val="nil"/>
              <w:bottom w:val="single" w:sz="4" w:space="0" w:color="auto"/>
              <w:right w:val="single" w:sz="4" w:space="0" w:color="auto"/>
            </w:tcBorders>
            <w:shd w:val="clear" w:color="000000" w:fill="FFFFFF"/>
            <w:vAlign w:val="center"/>
            <w:hideMark/>
          </w:tcPr>
          <w:p w14:paraId="38434D15" w14:textId="77777777" w:rsidR="006F3A1A" w:rsidRPr="001569FB" w:rsidRDefault="006F3A1A" w:rsidP="008D4E91">
            <w:pPr>
              <w:spacing w:line="240" w:lineRule="auto"/>
              <w:rPr>
                <w:color w:val="000000"/>
                <w:sz w:val="18"/>
                <w:szCs w:val="18"/>
              </w:rPr>
            </w:pPr>
            <w:r w:rsidRPr="001569FB">
              <w:rPr>
                <w:color w:val="000000"/>
                <w:sz w:val="18"/>
                <w:szCs w:val="18"/>
              </w:rPr>
              <w:t>Chronic Ulcer of Skin, Except Pressure</w:t>
            </w:r>
          </w:p>
        </w:tc>
        <w:tc>
          <w:tcPr>
            <w:tcW w:w="636" w:type="pct"/>
            <w:tcBorders>
              <w:top w:val="nil"/>
              <w:left w:val="nil"/>
              <w:bottom w:val="single" w:sz="4" w:space="0" w:color="auto"/>
              <w:right w:val="single" w:sz="4" w:space="0" w:color="auto"/>
            </w:tcBorders>
            <w:shd w:val="clear" w:color="000000" w:fill="FFFFFF"/>
            <w:vAlign w:val="center"/>
            <w:hideMark/>
          </w:tcPr>
          <w:p w14:paraId="08F0E3B7"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1C5CA917"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9CFA761" w14:textId="77777777" w:rsidR="006F3A1A" w:rsidRPr="001569FB" w:rsidRDefault="006F3A1A" w:rsidP="008D4E91">
            <w:pPr>
              <w:spacing w:line="240" w:lineRule="auto"/>
              <w:jc w:val="center"/>
              <w:rPr>
                <w:color w:val="000000"/>
                <w:sz w:val="18"/>
                <w:szCs w:val="18"/>
              </w:rPr>
            </w:pPr>
            <w:r w:rsidRPr="001569FB">
              <w:rPr>
                <w:color w:val="000000"/>
                <w:sz w:val="18"/>
                <w:szCs w:val="18"/>
              </w:rPr>
              <w:t>0.101</w:t>
            </w:r>
          </w:p>
        </w:tc>
        <w:tc>
          <w:tcPr>
            <w:tcW w:w="727" w:type="pct"/>
            <w:tcBorders>
              <w:top w:val="nil"/>
              <w:left w:val="nil"/>
              <w:bottom w:val="single" w:sz="4" w:space="0" w:color="auto"/>
              <w:right w:val="single" w:sz="4" w:space="0" w:color="auto"/>
            </w:tcBorders>
            <w:shd w:val="clear" w:color="000000" w:fill="FFFFFF"/>
            <w:vAlign w:val="center"/>
            <w:hideMark/>
          </w:tcPr>
          <w:p w14:paraId="1E550DC8"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592" w:type="pct"/>
            <w:tcBorders>
              <w:top w:val="nil"/>
              <w:left w:val="nil"/>
              <w:bottom w:val="single" w:sz="4" w:space="0" w:color="auto"/>
              <w:right w:val="single" w:sz="4" w:space="0" w:color="auto"/>
            </w:tcBorders>
            <w:shd w:val="clear" w:color="000000" w:fill="FFFFFF"/>
            <w:vAlign w:val="center"/>
            <w:hideMark/>
          </w:tcPr>
          <w:p w14:paraId="3FFE6775"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841F93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20E12E" w14:textId="77777777" w:rsidR="006F3A1A" w:rsidRPr="001569FB" w:rsidRDefault="006F3A1A" w:rsidP="008D4E91">
            <w:pPr>
              <w:spacing w:line="240" w:lineRule="auto"/>
              <w:rPr>
                <w:color w:val="000000"/>
                <w:sz w:val="18"/>
                <w:szCs w:val="18"/>
              </w:rPr>
            </w:pPr>
            <w:r w:rsidRPr="001569FB">
              <w:rPr>
                <w:color w:val="000000"/>
                <w:sz w:val="18"/>
                <w:szCs w:val="18"/>
              </w:rPr>
              <w:t>RXHCC314</w:t>
            </w:r>
          </w:p>
        </w:tc>
        <w:tc>
          <w:tcPr>
            <w:tcW w:w="909" w:type="pct"/>
            <w:tcBorders>
              <w:top w:val="nil"/>
              <w:left w:val="nil"/>
              <w:bottom w:val="single" w:sz="4" w:space="0" w:color="auto"/>
              <w:right w:val="single" w:sz="4" w:space="0" w:color="auto"/>
            </w:tcBorders>
            <w:shd w:val="clear" w:color="000000" w:fill="FFFFFF"/>
            <w:vAlign w:val="center"/>
            <w:hideMark/>
          </w:tcPr>
          <w:p w14:paraId="2E6B7B8D" w14:textId="77777777" w:rsidR="006F3A1A" w:rsidRPr="001569FB" w:rsidRDefault="006F3A1A" w:rsidP="008D4E91">
            <w:pPr>
              <w:spacing w:line="240" w:lineRule="auto"/>
              <w:rPr>
                <w:color w:val="000000"/>
                <w:sz w:val="18"/>
                <w:szCs w:val="18"/>
              </w:rPr>
            </w:pPr>
            <w:r w:rsidRPr="001569FB">
              <w:rPr>
                <w:color w:val="000000"/>
                <w:sz w:val="18"/>
                <w:szCs w:val="18"/>
              </w:rPr>
              <w:t>Pemphigus</w:t>
            </w:r>
          </w:p>
        </w:tc>
        <w:tc>
          <w:tcPr>
            <w:tcW w:w="636" w:type="pct"/>
            <w:tcBorders>
              <w:top w:val="nil"/>
              <w:left w:val="nil"/>
              <w:bottom w:val="single" w:sz="4" w:space="0" w:color="auto"/>
              <w:right w:val="single" w:sz="4" w:space="0" w:color="auto"/>
            </w:tcBorders>
            <w:shd w:val="clear" w:color="000000" w:fill="FFFFFF"/>
            <w:vAlign w:val="center"/>
            <w:hideMark/>
          </w:tcPr>
          <w:p w14:paraId="6C6FA1E4"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682" w:type="pct"/>
            <w:tcBorders>
              <w:top w:val="nil"/>
              <w:left w:val="nil"/>
              <w:bottom w:val="single" w:sz="4" w:space="0" w:color="auto"/>
              <w:right w:val="single" w:sz="4" w:space="0" w:color="auto"/>
            </w:tcBorders>
            <w:shd w:val="clear" w:color="000000" w:fill="FFFFFF"/>
            <w:vAlign w:val="center"/>
            <w:hideMark/>
          </w:tcPr>
          <w:p w14:paraId="11A2A796" w14:textId="77777777" w:rsidR="006F3A1A" w:rsidRPr="001569FB" w:rsidRDefault="006F3A1A" w:rsidP="008D4E91">
            <w:pPr>
              <w:spacing w:line="240" w:lineRule="auto"/>
              <w:jc w:val="center"/>
              <w:rPr>
                <w:color w:val="000000"/>
                <w:sz w:val="18"/>
                <w:szCs w:val="18"/>
              </w:rPr>
            </w:pPr>
            <w:r w:rsidRPr="001569FB">
              <w:rPr>
                <w:color w:val="000000"/>
                <w:sz w:val="18"/>
                <w:szCs w:val="18"/>
              </w:rPr>
              <w:t>0.647</w:t>
            </w:r>
          </w:p>
        </w:tc>
        <w:tc>
          <w:tcPr>
            <w:tcW w:w="637" w:type="pct"/>
            <w:tcBorders>
              <w:top w:val="nil"/>
              <w:left w:val="nil"/>
              <w:bottom w:val="single" w:sz="4" w:space="0" w:color="auto"/>
              <w:right w:val="single" w:sz="4" w:space="0" w:color="auto"/>
            </w:tcBorders>
            <w:shd w:val="clear" w:color="000000" w:fill="FFFFFF"/>
            <w:vAlign w:val="center"/>
            <w:hideMark/>
          </w:tcPr>
          <w:p w14:paraId="2803CD6E"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c>
          <w:tcPr>
            <w:tcW w:w="727" w:type="pct"/>
            <w:tcBorders>
              <w:top w:val="nil"/>
              <w:left w:val="nil"/>
              <w:bottom w:val="single" w:sz="4" w:space="0" w:color="auto"/>
              <w:right w:val="single" w:sz="4" w:space="0" w:color="auto"/>
            </w:tcBorders>
            <w:shd w:val="clear" w:color="000000" w:fill="FFFFFF"/>
            <w:vAlign w:val="center"/>
            <w:hideMark/>
          </w:tcPr>
          <w:p w14:paraId="34ECC7AF" w14:textId="77777777" w:rsidR="006F3A1A" w:rsidRPr="001569FB" w:rsidRDefault="006F3A1A" w:rsidP="008D4E91">
            <w:pPr>
              <w:spacing w:line="240" w:lineRule="auto"/>
              <w:jc w:val="center"/>
              <w:rPr>
                <w:color w:val="000000"/>
                <w:sz w:val="18"/>
                <w:szCs w:val="18"/>
              </w:rPr>
            </w:pPr>
            <w:r w:rsidRPr="001569FB">
              <w:rPr>
                <w:color w:val="000000"/>
                <w:sz w:val="18"/>
                <w:szCs w:val="18"/>
              </w:rPr>
              <w:t>0.121</w:t>
            </w:r>
          </w:p>
        </w:tc>
        <w:tc>
          <w:tcPr>
            <w:tcW w:w="592" w:type="pct"/>
            <w:tcBorders>
              <w:top w:val="nil"/>
              <w:left w:val="nil"/>
              <w:bottom w:val="single" w:sz="4" w:space="0" w:color="auto"/>
              <w:right w:val="single" w:sz="4" w:space="0" w:color="auto"/>
            </w:tcBorders>
            <w:shd w:val="clear" w:color="000000" w:fill="FFFFFF"/>
            <w:vAlign w:val="center"/>
            <w:hideMark/>
          </w:tcPr>
          <w:p w14:paraId="7AB54C6D"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38DA062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02AA7E" w14:textId="77777777" w:rsidR="006F3A1A" w:rsidRPr="001569FB" w:rsidRDefault="006F3A1A" w:rsidP="008D4E91">
            <w:pPr>
              <w:spacing w:line="240" w:lineRule="auto"/>
              <w:rPr>
                <w:color w:val="000000"/>
                <w:sz w:val="18"/>
                <w:szCs w:val="18"/>
              </w:rPr>
            </w:pPr>
            <w:r w:rsidRPr="001569FB">
              <w:rPr>
                <w:color w:val="000000"/>
                <w:sz w:val="18"/>
                <w:szCs w:val="18"/>
              </w:rPr>
              <w:t>RXHCC316</w:t>
            </w:r>
          </w:p>
        </w:tc>
        <w:tc>
          <w:tcPr>
            <w:tcW w:w="909" w:type="pct"/>
            <w:tcBorders>
              <w:top w:val="nil"/>
              <w:left w:val="nil"/>
              <w:bottom w:val="single" w:sz="4" w:space="0" w:color="auto"/>
              <w:right w:val="single" w:sz="4" w:space="0" w:color="auto"/>
            </w:tcBorders>
            <w:shd w:val="clear" w:color="000000" w:fill="FFFFFF"/>
            <w:vAlign w:val="center"/>
            <w:hideMark/>
          </w:tcPr>
          <w:p w14:paraId="1F5372C0" w14:textId="77777777" w:rsidR="006F3A1A" w:rsidRPr="001569FB" w:rsidRDefault="006F3A1A" w:rsidP="008D4E91">
            <w:pPr>
              <w:spacing w:line="240" w:lineRule="auto"/>
              <w:rPr>
                <w:color w:val="000000"/>
                <w:sz w:val="18"/>
                <w:szCs w:val="18"/>
              </w:rPr>
            </w:pPr>
            <w:r w:rsidRPr="001569FB">
              <w:rPr>
                <w:color w:val="000000"/>
                <w:sz w:val="18"/>
                <w:szCs w:val="18"/>
              </w:rPr>
              <w:t>Psoriasis, Except with Arthropathy</w:t>
            </w:r>
          </w:p>
        </w:tc>
        <w:tc>
          <w:tcPr>
            <w:tcW w:w="636" w:type="pct"/>
            <w:tcBorders>
              <w:top w:val="nil"/>
              <w:left w:val="nil"/>
              <w:bottom w:val="single" w:sz="4" w:space="0" w:color="auto"/>
              <w:right w:val="single" w:sz="4" w:space="0" w:color="auto"/>
            </w:tcBorders>
            <w:shd w:val="clear" w:color="000000" w:fill="FFFFFF"/>
            <w:vAlign w:val="center"/>
            <w:hideMark/>
          </w:tcPr>
          <w:p w14:paraId="5F65F475"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682" w:type="pct"/>
            <w:tcBorders>
              <w:top w:val="nil"/>
              <w:left w:val="nil"/>
              <w:bottom w:val="single" w:sz="4" w:space="0" w:color="auto"/>
              <w:right w:val="single" w:sz="4" w:space="0" w:color="auto"/>
            </w:tcBorders>
            <w:shd w:val="clear" w:color="000000" w:fill="FFFFFF"/>
            <w:vAlign w:val="center"/>
            <w:hideMark/>
          </w:tcPr>
          <w:p w14:paraId="65601BFF"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331EEA44" w14:textId="77777777" w:rsidR="006F3A1A" w:rsidRPr="001569FB" w:rsidRDefault="006F3A1A" w:rsidP="008D4E91">
            <w:pPr>
              <w:spacing w:line="240" w:lineRule="auto"/>
              <w:jc w:val="center"/>
              <w:rPr>
                <w:color w:val="000000"/>
                <w:sz w:val="18"/>
                <w:szCs w:val="18"/>
              </w:rPr>
            </w:pPr>
            <w:r w:rsidRPr="001569FB">
              <w:rPr>
                <w:color w:val="000000"/>
                <w:sz w:val="18"/>
                <w:szCs w:val="18"/>
              </w:rPr>
              <w:t>0.403</w:t>
            </w:r>
          </w:p>
        </w:tc>
        <w:tc>
          <w:tcPr>
            <w:tcW w:w="727" w:type="pct"/>
            <w:tcBorders>
              <w:top w:val="nil"/>
              <w:left w:val="nil"/>
              <w:bottom w:val="single" w:sz="4" w:space="0" w:color="auto"/>
              <w:right w:val="single" w:sz="4" w:space="0" w:color="auto"/>
            </w:tcBorders>
            <w:shd w:val="clear" w:color="000000" w:fill="FFFFFF"/>
            <w:vAlign w:val="center"/>
            <w:hideMark/>
          </w:tcPr>
          <w:p w14:paraId="440E0A5F" w14:textId="77777777" w:rsidR="006F3A1A" w:rsidRPr="001569FB" w:rsidRDefault="006F3A1A" w:rsidP="008D4E91">
            <w:pPr>
              <w:spacing w:line="240" w:lineRule="auto"/>
              <w:jc w:val="center"/>
              <w:rPr>
                <w:color w:val="000000"/>
                <w:sz w:val="18"/>
                <w:szCs w:val="18"/>
              </w:rPr>
            </w:pPr>
            <w:r w:rsidRPr="001569FB">
              <w:rPr>
                <w:color w:val="000000"/>
                <w:sz w:val="18"/>
                <w:szCs w:val="18"/>
              </w:rPr>
              <w:t>0.711</w:t>
            </w:r>
          </w:p>
        </w:tc>
        <w:tc>
          <w:tcPr>
            <w:tcW w:w="592" w:type="pct"/>
            <w:tcBorders>
              <w:top w:val="nil"/>
              <w:left w:val="nil"/>
              <w:bottom w:val="single" w:sz="4" w:space="0" w:color="auto"/>
              <w:right w:val="single" w:sz="4" w:space="0" w:color="auto"/>
            </w:tcBorders>
            <w:shd w:val="clear" w:color="000000" w:fill="FFFFFF"/>
            <w:vAlign w:val="center"/>
            <w:hideMark/>
          </w:tcPr>
          <w:p w14:paraId="69B0A5EB" w14:textId="77777777" w:rsidR="006F3A1A" w:rsidRPr="001569FB" w:rsidRDefault="006F3A1A" w:rsidP="008D4E91">
            <w:pPr>
              <w:spacing w:line="240" w:lineRule="auto"/>
              <w:jc w:val="center"/>
              <w:rPr>
                <w:color w:val="000000"/>
                <w:sz w:val="18"/>
                <w:szCs w:val="18"/>
              </w:rPr>
            </w:pPr>
            <w:r w:rsidRPr="001569FB">
              <w:rPr>
                <w:color w:val="000000"/>
                <w:sz w:val="18"/>
                <w:szCs w:val="18"/>
              </w:rPr>
              <w:t>0.276</w:t>
            </w:r>
          </w:p>
        </w:tc>
      </w:tr>
      <w:tr w:rsidR="00EC34A7" w:rsidRPr="001569FB" w14:paraId="01A6233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F2BFC70" w14:textId="77777777" w:rsidR="006F3A1A" w:rsidRPr="001569FB" w:rsidRDefault="006F3A1A" w:rsidP="008D4E91">
            <w:pPr>
              <w:spacing w:line="240" w:lineRule="auto"/>
              <w:rPr>
                <w:color w:val="000000"/>
                <w:sz w:val="18"/>
                <w:szCs w:val="18"/>
              </w:rPr>
            </w:pPr>
            <w:r w:rsidRPr="001569FB">
              <w:rPr>
                <w:color w:val="000000"/>
                <w:sz w:val="18"/>
                <w:szCs w:val="18"/>
              </w:rPr>
              <w:t>RXHCC355</w:t>
            </w:r>
          </w:p>
        </w:tc>
        <w:tc>
          <w:tcPr>
            <w:tcW w:w="909" w:type="pct"/>
            <w:tcBorders>
              <w:top w:val="nil"/>
              <w:left w:val="nil"/>
              <w:bottom w:val="single" w:sz="4" w:space="0" w:color="auto"/>
              <w:right w:val="single" w:sz="4" w:space="0" w:color="auto"/>
            </w:tcBorders>
            <w:shd w:val="clear" w:color="000000" w:fill="FFFFFF"/>
            <w:vAlign w:val="center"/>
            <w:hideMark/>
          </w:tcPr>
          <w:p w14:paraId="75801379" w14:textId="77777777" w:rsidR="006F3A1A" w:rsidRPr="001569FB" w:rsidRDefault="006F3A1A" w:rsidP="008D4E91">
            <w:pPr>
              <w:spacing w:line="240" w:lineRule="auto"/>
              <w:rPr>
                <w:color w:val="000000"/>
                <w:sz w:val="18"/>
                <w:szCs w:val="18"/>
              </w:rPr>
            </w:pPr>
            <w:r w:rsidRPr="001569FB">
              <w:rPr>
                <w:color w:val="000000"/>
                <w:sz w:val="18"/>
                <w:szCs w:val="18"/>
              </w:rPr>
              <w:t>Narcolepsy and Cataplexy</w:t>
            </w:r>
          </w:p>
        </w:tc>
        <w:tc>
          <w:tcPr>
            <w:tcW w:w="636" w:type="pct"/>
            <w:tcBorders>
              <w:top w:val="nil"/>
              <w:left w:val="nil"/>
              <w:bottom w:val="single" w:sz="4" w:space="0" w:color="auto"/>
              <w:right w:val="single" w:sz="4" w:space="0" w:color="auto"/>
            </w:tcBorders>
            <w:shd w:val="clear" w:color="000000" w:fill="FFFFFF"/>
            <w:vAlign w:val="center"/>
            <w:hideMark/>
          </w:tcPr>
          <w:p w14:paraId="4D781167" w14:textId="77777777" w:rsidR="006F3A1A" w:rsidRPr="001569FB" w:rsidRDefault="006F3A1A" w:rsidP="008D4E91">
            <w:pPr>
              <w:spacing w:line="240" w:lineRule="auto"/>
              <w:jc w:val="center"/>
              <w:rPr>
                <w:color w:val="000000"/>
                <w:sz w:val="18"/>
                <w:szCs w:val="18"/>
              </w:rPr>
            </w:pPr>
            <w:r w:rsidRPr="001569FB">
              <w:rPr>
                <w:color w:val="000000"/>
                <w:sz w:val="18"/>
                <w:szCs w:val="18"/>
              </w:rPr>
              <w:t>0.829</w:t>
            </w:r>
          </w:p>
        </w:tc>
        <w:tc>
          <w:tcPr>
            <w:tcW w:w="682" w:type="pct"/>
            <w:tcBorders>
              <w:top w:val="nil"/>
              <w:left w:val="nil"/>
              <w:bottom w:val="single" w:sz="4" w:space="0" w:color="auto"/>
              <w:right w:val="single" w:sz="4" w:space="0" w:color="auto"/>
            </w:tcBorders>
            <w:shd w:val="clear" w:color="000000" w:fill="FFFFFF"/>
            <w:vAlign w:val="center"/>
            <w:hideMark/>
          </w:tcPr>
          <w:p w14:paraId="12406D6B" w14:textId="77777777" w:rsidR="006F3A1A" w:rsidRPr="001569FB" w:rsidRDefault="006F3A1A" w:rsidP="008D4E91">
            <w:pPr>
              <w:spacing w:line="240" w:lineRule="auto"/>
              <w:jc w:val="center"/>
              <w:rPr>
                <w:color w:val="000000"/>
                <w:sz w:val="18"/>
                <w:szCs w:val="18"/>
              </w:rPr>
            </w:pPr>
            <w:r w:rsidRPr="001569FB">
              <w:rPr>
                <w:color w:val="000000"/>
                <w:sz w:val="18"/>
                <w:szCs w:val="18"/>
              </w:rPr>
              <w:t>1.355</w:t>
            </w:r>
          </w:p>
        </w:tc>
        <w:tc>
          <w:tcPr>
            <w:tcW w:w="637" w:type="pct"/>
            <w:tcBorders>
              <w:top w:val="nil"/>
              <w:left w:val="nil"/>
              <w:bottom w:val="single" w:sz="4" w:space="0" w:color="auto"/>
              <w:right w:val="single" w:sz="4" w:space="0" w:color="auto"/>
            </w:tcBorders>
            <w:shd w:val="clear" w:color="000000" w:fill="FFFFFF"/>
            <w:vAlign w:val="center"/>
            <w:hideMark/>
          </w:tcPr>
          <w:p w14:paraId="4CB262E9" w14:textId="77777777" w:rsidR="006F3A1A" w:rsidRPr="001569FB" w:rsidRDefault="006F3A1A" w:rsidP="008D4E91">
            <w:pPr>
              <w:spacing w:line="240" w:lineRule="auto"/>
              <w:jc w:val="center"/>
              <w:rPr>
                <w:color w:val="000000"/>
                <w:sz w:val="18"/>
                <w:szCs w:val="18"/>
              </w:rPr>
            </w:pPr>
            <w:r w:rsidRPr="001569FB">
              <w:rPr>
                <w:color w:val="000000"/>
                <w:sz w:val="18"/>
                <w:szCs w:val="18"/>
              </w:rPr>
              <w:t>0.640</w:t>
            </w:r>
          </w:p>
        </w:tc>
        <w:tc>
          <w:tcPr>
            <w:tcW w:w="727" w:type="pct"/>
            <w:tcBorders>
              <w:top w:val="nil"/>
              <w:left w:val="nil"/>
              <w:bottom w:val="single" w:sz="4" w:space="0" w:color="auto"/>
              <w:right w:val="single" w:sz="4" w:space="0" w:color="auto"/>
            </w:tcBorders>
            <w:shd w:val="clear" w:color="000000" w:fill="FFFFFF"/>
            <w:vAlign w:val="center"/>
            <w:hideMark/>
          </w:tcPr>
          <w:p w14:paraId="72895198" w14:textId="77777777" w:rsidR="006F3A1A" w:rsidRPr="001569FB" w:rsidRDefault="006F3A1A" w:rsidP="008D4E91">
            <w:pPr>
              <w:spacing w:line="240" w:lineRule="auto"/>
              <w:jc w:val="center"/>
              <w:rPr>
                <w:color w:val="000000"/>
                <w:sz w:val="18"/>
                <w:szCs w:val="18"/>
              </w:rPr>
            </w:pPr>
            <w:r w:rsidRPr="001569FB">
              <w:rPr>
                <w:color w:val="000000"/>
                <w:sz w:val="18"/>
                <w:szCs w:val="18"/>
              </w:rPr>
              <w:t>1.332</w:t>
            </w:r>
          </w:p>
        </w:tc>
        <w:tc>
          <w:tcPr>
            <w:tcW w:w="592" w:type="pct"/>
            <w:tcBorders>
              <w:top w:val="nil"/>
              <w:left w:val="nil"/>
              <w:bottom w:val="single" w:sz="4" w:space="0" w:color="auto"/>
              <w:right w:val="single" w:sz="4" w:space="0" w:color="auto"/>
            </w:tcBorders>
            <w:shd w:val="clear" w:color="000000" w:fill="FFFFFF"/>
            <w:vAlign w:val="center"/>
            <w:hideMark/>
          </w:tcPr>
          <w:p w14:paraId="190C22F7" w14:textId="77777777" w:rsidR="006F3A1A" w:rsidRPr="001569FB" w:rsidRDefault="006F3A1A" w:rsidP="008D4E91">
            <w:pPr>
              <w:spacing w:line="240" w:lineRule="auto"/>
              <w:jc w:val="center"/>
              <w:rPr>
                <w:color w:val="000000"/>
                <w:sz w:val="18"/>
                <w:szCs w:val="18"/>
              </w:rPr>
            </w:pPr>
            <w:r w:rsidRPr="001569FB">
              <w:rPr>
                <w:color w:val="000000"/>
                <w:sz w:val="18"/>
                <w:szCs w:val="18"/>
              </w:rPr>
              <w:t>0.250</w:t>
            </w:r>
          </w:p>
        </w:tc>
      </w:tr>
      <w:tr w:rsidR="00EC34A7" w:rsidRPr="001569FB" w14:paraId="1F4392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A0D0E3" w14:textId="77777777" w:rsidR="006F3A1A" w:rsidRPr="001569FB" w:rsidRDefault="006F3A1A" w:rsidP="008D4E91">
            <w:pPr>
              <w:spacing w:line="240" w:lineRule="auto"/>
              <w:rPr>
                <w:color w:val="000000"/>
                <w:sz w:val="18"/>
                <w:szCs w:val="18"/>
              </w:rPr>
            </w:pPr>
            <w:r w:rsidRPr="001569FB">
              <w:rPr>
                <w:color w:val="000000"/>
                <w:sz w:val="18"/>
                <w:szCs w:val="18"/>
              </w:rPr>
              <w:t>RXHCC395</w:t>
            </w:r>
          </w:p>
        </w:tc>
        <w:tc>
          <w:tcPr>
            <w:tcW w:w="909" w:type="pct"/>
            <w:tcBorders>
              <w:top w:val="nil"/>
              <w:left w:val="nil"/>
              <w:bottom w:val="single" w:sz="4" w:space="0" w:color="auto"/>
              <w:right w:val="single" w:sz="4" w:space="0" w:color="auto"/>
            </w:tcBorders>
            <w:shd w:val="clear" w:color="000000" w:fill="FFFFFF"/>
            <w:vAlign w:val="center"/>
            <w:hideMark/>
          </w:tcPr>
          <w:p w14:paraId="7D7A763E" w14:textId="77777777" w:rsidR="006F3A1A" w:rsidRPr="001569FB" w:rsidRDefault="006F3A1A" w:rsidP="008D4E91">
            <w:pPr>
              <w:spacing w:line="240" w:lineRule="auto"/>
              <w:rPr>
                <w:color w:val="000000"/>
                <w:sz w:val="18"/>
                <w:szCs w:val="18"/>
              </w:rPr>
            </w:pPr>
            <w:r w:rsidRPr="001569FB">
              <w:rPr>
                <w:color w:val="000000"/>
                <w:sz w:val="18"/>
                <w:szCs w:val="18"/>
              </w:rPr>
              <w:t>Lung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5E1735C3" w14:textId="77777777" w:rsidR="006F3A1A" w:rsidRPr="001569FB" w:rsidRDefault="006F3A1A" w:rsidP="008D4E91">
            <w:pPr>
              <w:spacing w:line="240" w:lineRule="auto"/>
              <w:jc w:val="center"/>
              <w:rPr>
                <w:color w:val="000000"/>
                <w:sz w:val="18"/>
                <w:szCs w:val="18"/>
              </w:rPr>
            </w:pPr>
            <w:r w:rsidRPr="001569FB">
              <w:rPr>
                <w:color w:val="000000"/>
                <w:sz w:val="18"/>
                <w:szCs w:val="18"/>
              </w:rPr>
              <w:t>1.298</w:t>
            </w:r>
          </w:p>
        </w:tc>
        <w:tc>
          <w:tcPr>
            <w:tcW w:w="682" w:type="pct"/>
            <w:tcBorders>
              <w:top w:val="nil"/>
              <w:left w:val="nil"/>
              <w:bottom w:val="single" w:sz="4" w:space="0" w:color="auto"/>
              <w:right w:val="single" w:sz="4" w:space="0" w:color="auto"/>
            </w:tcBorders>
            <w:shd w:val="clear" w:color="000000" w:fill="FFFFFF"/>
            <w:vAlign w:val="center"/>
            <w:hideMark/>
          </w:tcPr>
          <w:p w14:paraId="3B7662D1"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7B9B1C2"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39E54468"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2B7E16F5" w14:textId="77777777" w:rsidR="006F3A1A" w:rsidRPr="001569FB" w:rsidRDefault="006F3A1A" w:rsidP="008D4E91">
            <w:pPr>
              <w:spacing w:line="240" w:lineRule="auto"/>
              <w:jc w:val="center"/>
              <w:rPr>
                <w:color w:val="000000"/>
                <w:sz w:val="18"/>
                <w:szCs w:val="18"/>
              </w:rPr>
            </w:pPr>
            <w:r w:rsidRPr="001569FB">
              <w:rPr>
                <w:color w:val="000000"/>
                <w:sz w:val="18"/>
                <w:szCs w:val="18"/>
              </w:rPr>
              <w:t>0.879</w:t>
            </w:r>
          </w:p>
        </w:tc>
      </w:tr>
      <w:tr w:rsidR="00EC34A7" w:rsidRPr="001569FB" w14:paraId="123D67E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E500030" w14:textId="77777777" w:rsidR="006F3A1A" w:rsidRPr="001569FB" w:rsidRDefault="006F3A1A" w:rsidP="008D4E91">
            <w:pPr>
              <w:spacing w:line="240" w:lineRule="auto"/>
              <w:rPr>
                <w:color w:val="000000"/>
                <w:sz w:val="18"/>
                <w:szCs w:val="18"/>
              </w:rPr>
            </w:pPr>
            <w:r w:rsidRPr="001569FB">
              <w:rPr>
                <w:color w:val="000000"/>
                <w:sz w:val="18"/>
                <w:szCs w:val="18"/>
              </w:rPr>
              <w:t>RXHCC396</w:t>
            </w:r>
          </w:p>
        </w:tc>
        <w:tc>
          <w:tcPr>
            <w:tcW w:w="909" w:type="pct"/>
            <w:tcBorders>
              <w:top w:val="nil"/>
              <w:left w:val="nil"/>
              <w:bottom w:val="single" w:sz="4" w:space="0" w:color="auto"/>
              <w:right w:val="single" w:sz="4" w:space="0" w:color="auto"/>
            </w:tcBorders>
            <w:shd w:val="clear" w:color="000000" w:fill="FFFFFF"/>
            <w:vAlign w:val="center"/>
            <w:hideMark/>
          </w:tcPr>
          <w:p w14:paraId="5E243370" w14:textId="77777777" w:rsidR="006F3A1A" w:rsidRPr="001569FB" w:rsidRDefault="006F3A1A" w:rsidP="008D4E91">
            <w:pPr>
              <w:spacing w:line="240" w:lineRule="auto"/>
              <w:rPr>
                <w:color w:val="000000"/>
                <w:sz w:val="18"/>
                <w:szCs w:val="18"/>
              </w:rPr>
            </w:pPr>
            <w:r w:rsidRPr="001569FB">
              <w:rPr>
                <w:color w:val="000000"/>
                <w:sz w:val="18"/>
                <w:szCs w:val="18"/>
              </w:rPr>
              <w:t>Major Organ Transplant Status, Except Lung, Kidney, and Pancreas</w:t>
            </w:r>
          </w:p>
        </w:tc>
        <w:tc>
          <w:tcPr>
            <w:tcW w:w="636" w:type="pct"/>
            <w:tcBorders>
              <w:top w:val="nil"/>
              <w:left w:val="nil"/>
              <w:bottom w:val="single" w:sz="4" w:space="0" w:color="auto"/>
              <w:right w:val="single" w:sz="4" w:space="0" w:color="auto"/>
            </w:tcBorders>
            <w:shd w:val="clear" w:color="000000" w:fill="FFFFFF"/>
            <w:vAlign w:val="center"/>
            <w:hideMark/>
          </w:tcPr>
          <w:p w14:paraId="2DD62F39" w14:textId="77777777" w:rsidR="006F3A1A" w:rsidRPr="001569FB" w:rsidRDefault="006F3A1A" w:rsidP="008D4E91">
            <w:pPr>
              <w:spacing w:line="240" w:lineRule="auto"/>
              <w:jc w:val="center"/>
              <w:rPr>
                <w:color w:val="000000"/>
                <w:sz w:val="18"/>
                <w:szCs w:val="18"/>
              </w:rPr>
            </w:pPr>
            <w:r w:rsidRPr="001569FB">
              <w:rPr>
                <w:color w:val="000000"/>
                <w:sz w:val="18"/>
                <w:szCs w:val="18"/>
              </w:rPr>
              <w:t>1.059</w:t>
            </w:r>
          </w:p>
        </w:tc>
        <w:tc>
          <w:tcPr>
            <w:tcW w:w="682" w:type="pct"/>
            <w:tcBorders>
              <w:top w:val="nil"/>
              <w:left w:val="nil"/>
              <w:bottom w:val="single" w:sz="4" w:space="0" w:color="auto"/>
              <w:right w:val="single" w:sz="4" w:space="0" w:color="auto"/>
            </w:tcBorders>
            <w:shd w:val="clear" w:color="000000" w:fill="FFFFFF"/>
            <w:vAlign w:val="center"/>
            <w:hideMark/>
          </w:tcPr>
          <w:p w14:paraId="0CDE67E4"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B44428F"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14BA52A6"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4B0176F5"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1A24DF7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C6D22B" w14:textId="77777777" w:rsidR="006F3A1A" w:rsidRPr="001569FB" w:rsidRDefault="006F3A1A" w:rsidP="008D4E91">
            <w:pPr>
              <w:spacing w:line="240" w:lineRule="auto"/>
              <w:rPr>
                <w:color w:val="000000"/>
                <w:sz w:val="18"/>
                <w:szCs w:val="18"/>
              </w:rPr>
            </w:pPr>
            <w:r w:rsidRPr="001569FB">
              <w:rPr>
                <w:color w:val="000000"/>
                <w:sz w:val="18"/>
                <w:szCs w:val="18"/>
              </w:rPr>
              <w:t>RXHCC397</w:t>
            </w:r>
          </w:p>
        </w:tc>
        <w:tc>
          <w:tcPr>
            <w:tcW w:w="909" w:type="pct"/>
            <w:tcBorders>
              <w:top w:val="nil"/>
              <w:left w:val="nil"/>
              <w:bottom w:val="single" w:sz="4" w:space="0" w:color="auto"/>
              <w:right w:val="single" w:sz="4" w:space="0" w:color="auto"/>
            </w:tcBorders>
            <w:shd w:val="clear" w:color="000000" w:fill="FFFFFF"/>
            <w:vAlign w:val="center"/>
            <w:hideMark/>
          </w:tcPr>
          <w:p w14:paraId="5E7994A2" w14:textId="77777777" w:rsidR="006F3A1A" w:rsidRPr="001569FB" w:rsidRDefault="006F3A1A" w:rsidP="008D4E91">
            <w:pPr>
              <w:spacing w:line="240" w:lineRule="auto"/>
              <w:rPr>
                <w:color w:val="000000"/>
                <w:sz w:val="18"/>
                <w:szCs w:val="18"/>
              </w:rPr>
            </w:pPr>
            <w:r w:rsidRPr="001569FB">
              <w:rPr>
                <w:color w:val="000000"/>
                <w:sz w:val="18"/>
                <w:szCs w:val="18"/>
              </w:rPr>
              <w:t>Pancreas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794802F5"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AA677B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3F4BE4D3"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5D964CB7" w14:textId="77777777" w:rsidR="006F3A1A" w:rsidRPr="001569FB" w:rsidRDefault="006F3A1A" w:rsidP="008D4E91">
            <w:pPr>
              <w:spacing w:line="240" w:lineRule="auto"/>
              <w:jc w:val="center"/>
              <w:rPr>
                <w:color w:val="000000"/>
                <w:sz w:val="18"/>
                <w:szCs w:val="18"/>
              </w:rPr>
            </w:pPr>
            <w:r w:rsidRPr="001569FB">
              <w:rPr>
                <w:color w:val="000000"/>
                <w:sz w:val="18"/>
                <w:szCs w:val="18"/>
              </w:rPr>
              <w:t>0.229</w:t>
            </w:r>
          </w:p>
        </w:tc>
        <w:tc>
          <w:tcPr>
            <w:tcW w:w="592" w:type="pct"/>
            <w:tcBorders>
              <w:top w:val="nil"/>
              <w:left w:val="nil"/>
              <w:bottom w:val="single" w:sz="4" w:space="0" w:color="auto"/>
              <w:right w:val="single" w:sz="4" w:space="0" w:color="auto"/>
            </w:tcBorders>
            <w:shd w:val="clear" w:color="000000" w:fill="FFFFFF"/>
            <w:vAlign w:val="center"/>
            <w:hideMark/>
          </w:tcPr>
          <w:p w14:paraId="6A09EF0E"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6F3A1A" w:rsidRPr="001569FB" w14:paraId="3371F9AC" w14:textId="77777777" w:rsidTr="00264A3D">
        <w:trPr>
          <w:trHeight w:val="278"/>
        </w:trPr>
        <w:tc>
          <w:tcPr>
            <w:tcW w:w="5000" w:type="pct"/>
            <w:gridSpan w:val="7"/>
            <w:tcBorders>
              <w:top w:val="nil"/>
              <w:left w:val="single" w:sz="4" w:space="0" w:color="auto"/>
              <w:bottom w:val="single" w:sz="4" w:space="0" w:color="auto"/>
              <w:right w:val="single" w:sz="4" w:space="0" w:color="auto"/>
            </w:tcBorders>
            <w:shd w:val="clear" w:color="000000" w:fill="FFFFFF"/>
            <w:noWrap/>
            <w:vAlign w:val="center"/>
            <w:hideMark/>
          </w:tcPr>
          <w:p w14:paraId="139E1AAC" w14:textId="77777777" w:rsidR="006F3A1A" w:rsidRPr="001569FB" w:rsidRDefault="006F3A1A" w:rsidP="00772B25">
            <w:pPr>
              <w:keepNext/>
              <w:keepLines/>
              <w:spacing w:line="240" w:lineRule="auto"/>
              <w:rPr>
                <w:color w:val="000000"/>
                <w:sz w:val="18"/>
                <w:szCs w:val="18"/>
              </w:rPr>
            </w:pPr>
            <w:r w:rsidRPr="001569FB">
              <w:rPr>
                <w:b/>
                <w:bCs/>
                <w:color w:val="000000"/>
                <w:sz w:val="18"/>
                <w:szCs w:val="18"/>
              </w:rPr>
              <w:lastRenderedPageBreak/>
              <w:t>Non-Aged Disease Interactions</w:t>
            </w:r>
          </w:p>
        </w:tc>
      </w:tr>
      <w:tr w:rsidR="00EC34A7" w:rsidRPr="001569FB" w14:paraId="24B5FF2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841660" w14:textId="77777777" w:rsidR="006F3A1A" w:rsidRPr="001569FB" w:rsidRDefault="006F3A1A" w:rsidP="008D4E91">
            <w:pPr>
              <w:spacing w:line="240" w:lineRule="auto"/>
              <w:rPr>
                <w:color w:val="000000"/>
                <w:sz w:val="18"/>
                <w:szCs w:val="18"/>
              </w:rPr>
            </w:pPr>
            <w:r w:rsidRPr="001569FB">
              <w:rPr>
                <w:color w:val="000000"/>
                <w:sz w:val="18"/>
                <w:szCs w:val="18"/>
              </w:rPr>
              <w:t>NonAged_RXHCC1</w:t>
            </w:r>
          </w:p>
        </w:tc>
        <w:tc>
          <w:tcPr>
            <w:tcW w:w="909" w:type="pct"/>
            <w:tcBorders>
              <w:top w:val="nil"/>
              <w:left w:val="nil"/>
              <w:bottom w:val="single" w:sz="4" w:space="0" w:color="auto"/>
              <w:right w:val="single" w:sz="4" w:space="0" w:color="auto"/>
            </w:tcBorders>
            <w:shd w:val="clear" w:color="000000" w:fill="FFFFFF"/>
            <w:vAlign w:val="center"/>
            <w:hideMark/>
          </w:tcPr>
          <w:p w14:paraId="045B2105" w14:textId="77777777" w:rsidR="006F3A1A" w:rsidRPr="001569FB" w:rsidRDefault="006F3A1A" w:rsidP="008D4E91">
            <w:pPr>
              <w:spacing w:line="240" w:lineRule="auto"/>
              <w:rPr>
                <w:color w:val="000000"/>
                <w:sz w:val="18"/>
                <w:szCs w:val="18"/>
              </w:rPr>
            </w:pPr>
            <w:r w:rsidRPr="001569FB">
              <w:rPr>
                <w:color w:val="000000"/>
                <w:sz w:val="18"/>
                <w:szCs w:val="18"/>
              </w:rPr>
              <w:t>NonAged * HIV/AIDS</w:t>
            </w:r>
          </w:p>
        </w:tc>
        <w:tc>
          <w:tcPr>
            <w:tcW w:w="636" w:type="pct"/>
            <w:tcBorders>
              <w:top w:val="nil"/>
              <w:left w:val="nil"/>
              <w:bottom w:val="single" w:sz="4" w:space="0" w:color="auto"/>
              <w:right w:val="single" w:sz="4" w:space="0" w:color="auto"/>
            </w:tcBorders>
            <w:shd w:val="clear" w:color="000000" w:fill="FFFFFF"/>
            <w:noWrap/>
            <w:vAlign w:val="center"/>
            <w:hideMark/>
          </w:tcPr>
          <w:p w14:paraId="370E5C8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CFFE10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3F69E3A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C4E4F8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4E0F83" w14:textId="77777777" w:rsidR="006F3A1A" w:rsidRPr="001569FB" w:rsidRDefault="006F3A1A" w:rsidP="008D4E91">
            <w:pPr>
              <w:spacing w:line="240" w:lineRule="auto"/>
              <w:jc w:val="center"/>
              <w:rPr>
                <w:color w:val="000000"/>
                <w:sz w:val="18"/>
                <w:szCs w:val="18"/>
              </w:rPr>
            </w:pPr>
            <w:r w:rsidRPr="001569FB">
              <w:rPr>
                <w:color w:val="000000"/>
                <w:sz w:val="18"/>
                <w:szCs w:val="18"/>
              </w:rPr>
              <w:t>0.897</w:t>
            </w:r>
          </w:p>
        </w:tc>
      </w:tr>
      <w:tr w:rsidR="00EC34A7" w:rsidRPr="001569FB" w14:paraId="74CCCB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09C6CA" w14:textId="77777777" w:rsidR="006F3A1A" w:rsidRPr="001569FB" w:rsidRDefault="006F3A1A" w:rsidP="008D4E91">
            <w:pPr>
              <w:spacing w:line="240" w:lineRule="auto"/>
              <w:rPr>
                <w:color w:val="000000"/>
                <w:sz w:val="18"/>
                <w:szCs w:val="18"/>
              </w:rPr>
            </w:pPr>
            <w:r w:rsidRPr="001569FB">
              <w:rPr>
                <w:color w:val="000000"/>
                <w:sz w:val="18"/>
                <w:szCs w:val="18"/>
              </w:rPr>
              <w:t>NonAged_RXHCC130</w:t>
            </w:r>
          </w:p>
        </w:tc>
        <w:tc>
          <w:tcPr>
            <w:tcW w:w="909" w:type="pct"/>
            <w:tcBorders>
              <w:top w:val="nil"/>
              <w:left w:val="nil"/>
              <w:bottom w:val="single" w:sz="4" w:space="0" w:color="auto"/>
              <w:right w:val="single" w:sz="4" w:space="0" w:color="auto"/>
            </w:tcBorders>
            <w:shd w:val="clear" w:color="000000" w:fill="FFFFFF"/>
            <w:vAlign w:val="center"/>
            <w:hideMark/>
          </w:tcPr>
          <w:p w14:paraId="131C34DD" w14:textId="77777777" w:rsidR="006F3A1A" w:rsidRPr="001569FB" w:rsidRDefault="006F3A1A" w:rsidP="008D4E91">
            <w:pPr>
              <w:spacing w:line="240" w:lineRule="auto"/>
              <w:rPr>
                <w:color w:val="000000"/>
                <w:sz w:val="18"/>
                <w:szCs w:val="18"/>
              </w:rPr>
            </w:pPr>
            <w:r w:rsidRPr="001569FB">
              <w:rPr>
                <w:color w:val="000000"/>
                <w:sz w:val="18"/>
                <w:szCs w:val="18"/>
              </w:rPr>
              <w:t>NonAged * Schizophrenia</w:t>
            </w:r>
          </w:p>
        </w:tc>
        <w:tc>
          <w:tcPr>
            <w:tcW w:w="636" w:type="pct"/>
            <w:tcBorders>
              <w:top w:val="nil"/>
              <w:left w:val="nil"/>
              <w:bottom w:val="single" w:sz="4" w:space="0" w:color="auto"/>
              <w:right w:val="single" w:sz="4" w:space="0" w:color="auto"/>
            </w:tcBorders>
            <w:shd w:val="clear" w:color="000000" w:fill="FFFFFF"/>
            <w:noWrap/>
            <w:vAlign w:val="center"/>
            <w:hideMark/>
          </w:tcPr>
          <w:p w14:paraId="3C24B0F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6A5D3C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02BAC0F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18A13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9185049"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r>
      <w:tr w:rsidR="00EC34A7" w:rsidRPr="001569FB" w14:paraId="39A63F3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A8A6B3" w14:textId="77777777" w:rsidR="006F3A1A" w:rsidRPr="001569FB" w:rsidRDefault="006F3A1A" w:rsidP="008D4E91">
            <w:pPr>
              <w:spacing w:line="240" w:lineRule="auto"/>
              <w:rPr>
                <w:color w:val="000000"/>
                <w:sz w:val="18"/>
                <w:szCs w:val="18"/>
              </w:rPr>
            </w:pPr>
            <w:r w:rsidRPr="001569FB">
              <w:rPr>
                <w:color w:val="000000"/>
                <w:sz w:val="18"/>
                <w:szCs w:val="18"/>
              </w:rPr>
              <w:t>NonAged_RXHCC131</w:t>
            </w:r>
          </w:p>
        </w:tc>
        <w:tc>
          <w:tcPr>
            <w:tcW w:w="909" w:type="pct"/>
            <w:tcBorders>
              <w:top w:val="nil"/>
              <w:left w:val="nil"/>
              <w:bottom w:val="single" w:sz="4" w:space="0" w:color="auto"/>
              <w:right w:val="single" w:sz="4" w:space="0" w:color="auto"/>
            </w:tcBorders>
            <w:shd w:val="clear" w:color="000000" w:fill="FFFFFF"/>
            <w:vAlign w:val="center"/>
            <w:hideMark/>
          </w:tcPr>
          <w:p w14:paraId="341004C2" w14:textId="77777777" w:rsidR="006F3A1A" w:rsidRPr="001569FB" w:rsidRDefault="006F3A1A" w:rsidP="008D4E91">
            <w:pPr>
              <w:spacing w:line="240" w:lineRule="auto"/>
              <w:rPr>
                <w:color w:val="000000"/>
                <w:sz w:val="18"/>
                <w:szCs w:val="18"/>
              </w:rPr>
            </w:pPr>
            <w:r w:rsidRPr="001569FB">
              <w:rPr>
                <w:color w:val="000000"/>
                <w:sz w:val="18"/>
                <w:szCs w:val="18"/>
              </w:rPr>
              <w:t>NonAged * Bipolar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659357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089E49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14569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84ACCD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8A1938D"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r>
      <w:tr w:rsidR="00EC34A7" w:rsidRPr="001569FB" w14:paraId="593E887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9D42D9F" w14:textId="77777777" w:rsidR="006F3A1A" w:rsidRPr="001569FB" w:rsidRDefault="006F3A1A" w:rsidP="008D4E91">
            <w:pPr>
              <w:spacing w:line="240" w:lineRule="auto"/>
              <w:rPr>
                <w:color w:val="000000"/>
                <w:sz w:val="18"/>
                <w:szCs w:val="18"/>
              </w:rPr>
            </w:pPr>
            <w:r w:rsidRPr="001569FB">
              <w:rPr>
                <w:color w:val="000000"/>
                <w:sz w:val="18"/>
                <w:szCs w:val="18"/>
              </w:rPr>
              <w:t>NonAged_RXHCC132</w:t>
            </w:r>
          </w:p>
        </w:tc>
        <w:tc>
          <w:tcPr>
            <w:tcW w:w="909" w:type="pct"/>
            <w:tcBorders>
              <w:top w:val="nil"/>
              <w:left w:val="nil"/>
              <w:bottom w:val="single" w:sz="4" w:space="0" w:color="auto"/>
              <w:right w:val="single" w:sz="4" w:space="0" w:color="auto"/>
            </w:tcBorders>
            <w:shd w:val="clear" w:color="000000" w:fill="FFFFFF"/>
            <w:vAlign w:val="center"/>
            <w:hideMark/>
          </w:tcPr>
          <w:p w14:paraId="1BE70448" w14:textId="77777777" w:rsidR="006F3A1A" w:rsidRPr="001569FB" w:rsidRDefault="006F3A1A" w:rsidP="008D4E91">
            <w:pPr>
              <w:spacing w:line="240" w:lineRule="auto"/>
              <w:rPr>
                <w:color w:val="000000"/>
                <w:sz w:val="18"/>
                <w:szCs w:val="18"/>
              </w:rPr>
            </w:pPr>
            <w:r w:rsidRPr="001569FB">
              <w:rPr>
                <w:color w:val="000000"/>
                <w:sz w:val="18"/>
                <w:szCs w:val="18"/>
              </w:rPr>
              <w:t>NonAged * Major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089BF7A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2779B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188F65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E5E93F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D600F7A"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r>
      <w:tr w:rsidR="00EC34A7" w:rsidRPr="001569FB" w14:paraId="192E776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074D6C" w14:textId="77777777" w:rsidR="006F3A1A" w:rsidRPr="001569FB" w:rsidRDefault="006F3A1A" w:rsidP="008D4E91">
            <w:pPr>
              <w:spacing w:line="240" w:lineRule="auto"/>
              <w:rPr>
                <w:color w:val="000000"/>
                <w:sz w:val="18"/>
                <w:szCs w:val="18"/>
              </w:rPr>
            </w:pPr>
            <w:r w:rsidRPr="001569FB">
              <w:rPr>
                <w:color w:val="000000"/>
                <w:sz w:val="18"/>
                <w:szCs w:val="18"/>
              </w:rPr>
              <w:t>NonAged_RXHCC133</w:t>
            </w:r>
          </w:p>
        </w:tc>
        <w:tc>
          <w:tcPr>
            <w:tcW w:w="909" w:type="pct"/>
            <w:tcBorders>
              <w:top w:val="nil"/>
              <w:left w:val="nil"/>
              <w:bottom w:val="single" w:sz="4" w:space="0" w:color="auto"/>
              <w:right w:val="single" w:sz="4" w:space="0" w:color="auto"/>
            </w:tcBorders>
            <w:shd w:val="clear" w:color="000000" w:fill="FFFFFF"/>
            <w:vAlign w:val="center"/>
            <w:hideMark/>
          </w:tcPr>
          <w:p w14:paraId="6632078B" w14:textId="77777777" w:rsidR="006F3A1A" w:rsidRPr="001569FB" w:rsidRDefault="006F3A1A" w:rsidP="008D4E91">
            <w:pPr>
              <w:spacing w:line="240" w:lineRule="auto"/>
              <w:rPr>
                <w:color w:val="000000"/>
                <w:sz w:val="18"/>
                <w:szCs w:val="18"/>
              </w:rPr>
            </w:pPr>
            <w:r w:rsidRPr="001569FB">
              <w:rPr>
                <w:color w:val="000000"/>
                <w:sz w:val="18"/>
                <w:szCs w:val="18"/>
              </w:rPr>
              <w:t>NonAged * Specified Anxiety, Personality, and Behavior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28583B2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5BE166C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7131FCC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5BB0F2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440E8C5"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r>
      <w:tr w:rsidR="00EC34A7" w:rsidRPr="001569FB" w14:paraId="6C2E686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A6855A" w14:textId="77777777" w:rsidR="006F3A1A" w:rsidRPr="001569FB" w:rsidRDefault="006F3A1A" w:rsidP="008D4E91">
            <w:pPr>
              <w:spacing w:line="240" w:lineRule="auto"/>
              <w:rPr>
                <w:color w:val="000000"/>
                <w:sz w:val="18"/>
                <w:szCs w:val="18"/>
              </w:rPr>
            </w:pPr>
            <w:r w:rsidRPr="001569FB">
              <w:rPr>
                <w:color w:val="000000"/>
                <w:sz w:val="18"/>
                <w:szCs w:val="18"/>
              </w:rPr>
              <w:t>NonAged_RXHCC134</w:t>
            </w:r>
          </w:p>
        </w:tc>
        <w:tc>
          <w:tcPr>
            <w:tcW w:w="909" w:type="pct"/>
            <w:tcBorders>
              <w:top w:val="nil"/>
              <w:left w:val="nil"/>
              <w:bottom w:val="single" w:sz="4" w:space="0" w:color="auto"/>
              <w:right w:val="single" w:sz="4" w:space="0" w:color="auto"/>
            </w:tcBorders>
            <w:shd w:val="clear" w:color="000000" w:fill="FFFFFF"/>
            <w:vAlign w:val="center"/>
            <w:hideMark/>
          </w:tcPr>
          <w:p w14:paraId="5D56A19D" w14:textId="77777777" w:rsidR="006F3A1A" w:rsidRPr="001569FB" w:rsidRDefault="006F3A1A" w:rsidP="008D4E91">
            <w:pPr>
              <w:spacing w:line="240" w:lineRule="auto"/>
              <w:rPr>
                <w:color w:val="000000"/>
                <w:sz w:val="18"/>
                <w:szCs w:val="18"/>
              </w:rPr>
            </w:pPr>
            <w:r w:rsidRPr="001569FB">
              <w:rPr>
                <w:color w:val="000000"/>
                <w:sz w:val="18"/>
                <w:szCs w:val="18"/>
              </w:rPr>
              <w:t>NonAged *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5F82EEA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D0A8F1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91FC94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3378BE6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A2D053B"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r>
      <w:tr w:rsidR="00EC34A7" w:rsidRPr="001569FB" w14:paraId="22C0E24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B68D5B8" w14:textId="77777777" w:rsidR="006F3A1A" w:rsidRPr="001569FB" w:rsidRDefault="006F3A1A" w:rsidP="008D4E91">
            <w:pPr>
              <w:spacing w:line="240" w:lineRule="auto"/>
              <w:rPr>
                <w:color w:val="000000"/>
                <w:sz w:val="18"/>
                <w:szCs w:val="18"/>
              </w:rPr>
            </w:pPr>
            <w:r w:rsidRPr="001569FB">
              <w:rPr>
                <w:color w:val="000000"/>
                <w:sz w:val="18"/>
                <w:szCs w:val="18"/>
              </w:rPr>
              <w:t>NonAged_RXHCC135</w:t>
            </w:r>
          </w:p>
        </w:tc>
        <w:tc>
          <w:tcPr>
            <w:tcW w:w="909" w:type="pct"/>
            <w:tcBorders>
              <w:top w:val="nil"/>
              <w:left w:val="nil"/>
              <w:bottom w:val="single" w:sz="4" w:space="0" w:color="auto"/>
              <w:right w:val="single" w:sz="4" w:space="0" w:color="auto"/>
            </w:tcBorders>
            <w:shd w:val="clear" w:color="000000" w:fill="FFFFFF"/>
            <w:vAlign w:val="center"/>
            <w:hideMark/>
          </w:tcPr>
          <w:p w14:paraId="0FDBCFA2" w14:textId="77777777" w:rsidR="006F3A1A" w:rsidRPr="001569FB" w:rsidRDefault="006F3A1A" w:rsidP="008D4E91">
            <w:pPr>
              <w:spacing w:line="240" w:lineRule="auto"/>
              <w:rPr>
                <w:color w:val="000000"/>
                <w:sz w:val="18"/>
                <w:szCs w:val="18"/>
              </w:rPr>
            </w:pPr>
            <w:r w:rsidRPr="001569FB">
              <w:rPr>
                <w:color w:val="000000"/>
                <w:sz w:val="18"/>
                <w:szCs w:val="18"/>
              </w:rPr>
              <w:t>NonAged * Anxiety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7EB940E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23FAFF6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6F261D5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44163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B81199F" w14:textId="77777777" w:rsidR="006F3A1A" w:rsidRPr="001569FB" w:rsidRDefault="006F3A1A" w:rsidP="008D4E91">
            <w:pPr>
              <w:spacing w:line="240" w:lineRule="auto"/>
              <w:jc w:val="center"/>
              <w:rPr>
                <w:color w:val="000000"/>
                <w:sz w:val="18"/>
                <w:szCs w:val="18"/>
              </w:rPr>
            </w:pPr>
            <w:r w:rsidRPr="001569FB">
              <w:rPr>
                <w:color w:val="000000"/>
                <w:sz w:val="18"/>
                <w:szCs w:val="18"/>
              </w:rPr>
              <w:t>0.189</w:t>
            </w:r>
          </w:p>
        </w:tc>
      </w:tr>
      <w:tr w:rsidR="00EC34A7" w:rsidRPr="001569FB" w14:paraId="12A025AE"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B64910" w14:textId="77777777" w:rsidR="006F3A1A" w:rsidRPr="001569FB" w:rsidRDefault="006F3A1A" w:rsidP="008D4E91">
            <w:pPr>
              <w:spacing w:line="240" w:lineRule="auto"/>
              <w:rPr>
                <w:color w:val="000000"/>
                <w:sz w:val="18"/>
                <w:szCs w:val="18"/>
              </w:rPr>
            </w:pPr>
            <w:r w:rsidRPr="001569FB">
              <w:rPr>
                <w:color w:val="000000"/>
                <w:sz w:val="18"/>
                <w:szCs w:val="18"/>
              </w:rPr>
              <w:t>NonAged_RXHCC160</w:t>
            </w:r>
          </w:p>
        </w:tc>
        <w:tc>
          <w:tcPr>
            <w:tcW w:w="909" w:type="pct"/>
            <w:tcBorders>
              <w:top w:val="nil"/>
              <w:left w:val="nil"/>
              <w:bottom w:val="single" w:sz="4" w:space="0" w:color="auto"/>
              <w:right w:val="single" w:sz="4" w:space="0" w:color="auto"/>
            </w:tcBorders>
            <w:shd w:val="clear" w:color="000000" w:fill="FFFFFF"/>
            <w:vAlign w:val="center"/>
            <w:hideMark/>
          </w:tcPr>
          <w:p w14:paraId="581DC147" w14:textId="77777777" w:rsidR="006F3A1A" w:rsidRPr="001569FB" w:rsidRDefault="006F3A1A" w:rsidP="008D4E91">
            <w:pPr>
              <w:spacing w:line="240" w:lineRule="auto"/>
              <w:rPr>
                <w:color w:val="000000"/>
                <w:sz w:val="18"/>
                <w:szCs w:val="18"/>
              </w:rPr>
            </w:pPr>
            <w:r w:rsidRPr="001569FB">
              <w:rPr>
                <w:color w:val="000000"/>
                <w:sz w:val="18"/>
                <w:szCs w:val="18"/>
              </w:rPr>
              <w:t>NonAged * Multiple Sclerosis</w:t>
            </w:r>
          </w:p>
        </w:tc>
        <w:tc>
          <w:tcPr>
            <w:tcW w:w="636" w:type="pct"/>
            <w:tcBorders>
              <w:top w:val="nil"/>
              <w:left w:val="nil"/>
              <w:bottom w:val="single" w:sz="4" w:space="0" w:color="auto"/>
              <w:right w:val="single" w:sz="4" w:space="0" w:color="auto"/>
            </w:tcBorders>
            <w:shd w:val="clear" w:color="000000" w:fill="FFFFFF"/>
            <w:noWrap/>
            <w:vAlign w:val="center"/>
            <w:hideMark/>
          </w:tcPr>
          <w:p w14:paraId="088CB22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189BA1E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9F71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70DB30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3DDE4D3" w14:textId="77777777" w:rsidR="006F3A1A" w:rsidRPr="001569FB" w:rsidRDefault="006F3A1A" w:rsidP="008D4E91">
            <w:pPr>
              <w:spacing w:line="240" w:lineRule="auto"/>
              <w:jc w:val="center"/>
              <w:rPr>
                <w:color w:val="000000"/>
                <w:sz w:val="18"/>
                <w:szCs w:val="18"/>
              </w:rPr>
            </w:pPr>
            <w:r w:rsidRPr="001569FB">
              <w:rPr>
                <w:color w:val="000000"/>
                <w:sz w:val="18"/>
                <w:szCs w:val="18"/>
              </w:rPr>
              <w:t>1.308</w:t>
            </w:r>
          </w:p>
        </w:tc>
      </w:tr>
      <w:tr w:rsidR="00EC34A7" w:rsidRPr="001569FB" w14:paraId="733A346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4D25270" w14:textId="77777777" w:rsidR="006F3A1A" w:rsidRPr="001569FB" w:rsidRDefault="006F3A1A" w:rsidP="008D4E91">
            <w:pPr>
              <w:spacing w:line="240" w:lineRule="auto"/>
              <w:rPr>
                <w:color w:val="000000"/>
                <w:sz w:val="18"/>
                <w:szCs w:val="18"/>
              </w:rPr>
            </w:pPr>
            <w:r w:rsidRPr="001569FB">
              <w:rPr>
                <w:color w:val="000000"/>
                <w:sz w:val="18"/>
                <w:szCs w:val="18"/>
              </w:rPr>
              <w:t>NonAged_RXHCC163</w:t>
            </w:r>
          </w:p>
        </w:tc>
        <w:tc>
          <w:tcPr>
            <w:tcW w:w="909" w:type="pct"/>
            <w:tcBorders>
              <w:top w:val="nil"/>
              <w:left w:val="nil"/>
              <w:bottom w:val="single" w:sz="4" w:space="0" w:color="auto"/>
              <w:right w:val="single" w:sz="4" w:space="0" w:color="auto"/>
            </w:tcBorders>
            <w:shd w:val="clear" w:color="000000" w:fill="FFFFFF"/>
            <w:vAlign w:val="center"/>
            <w:hideMark/>
          </w:tcPr>
          <w:p w14:paraId="33B15E71" w14:textId="77777777" w:rsidR="006F3A1A" w:rsidRPr="001569FB" w:rsidRDefault="006F3A1A" w:rsidP="008D4E91">
            <w:pPr>
              <w:spacing w:line="240" w:lineRule="auto"/>
              <w:rPr>
                <w:color w:val="000000"/>
                <w:sz w:val="18"/>
                <w:szCs w:val="18"/>
              </w:rPr>
            </w:pPr>
            <w:r w:rsidRPr="001569FB">
              <w:rPr>
                <w:color w:val="000000"/>
                <w:sz w:val="18"/>
                <w:szCs w:val="18"/>
              </w:rPr>
              <w:t>NonAged * Intractable Epilepsy</w:t>
            </w:r>
          </w:p>
        </w:tc>
        <w:tc>
          <w:tcPr>
            <w:tcW w:w="636" w:type="pct"/>
            <w:tcBorders>
              <w:top w:val="nil"/>
              <w:left w:val="nil"/>
              <w:bottom w:val="single" w:sz="4" w:space="0" w:color="auto"/>
              <w:right w:val="single" w:sz="4" w:space="0" w:color="auto"/>
            </w:tcBorders>
            <w:shd w:val="clear" w:color="000000" w:fill="FFFFFF"/>
            <w:noWrap/>
            <w:vAlign w:val="center"/>
            <w:hideMark/>
          </w:tcPr>
          <w:p w14:paraId="3680E10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0945AA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0A7EC1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51A10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3F96F93" w14:textId="77777777" w:rsidR="006F3A1A" w:rsidRPr="001569FB" w:rsidRDefault="006F3A1A" w:rsidP="008D4E91">
            <w:pPr>
              <w:spacing w:line="240" w:lineRule="auto"/>
              <w:jc w:val="center"/>
              <w:rPr>
                <w:color w:val="000000"/>
                <w:sz w:val="18"/>
                <w:szCs w:val="18"/>
              </w:rPr>
            </w:pPr>
            <w:r w:rsidRPr="001569FB">
              <w:rPr>
                <w:color w:val="000000"/>
                <w:sz w:val="18"/>
                <w:szCs w:val="18"/>
              </w:rPr>
              <w:t>0.243</w:t>
            </w:r>
          </w:p>
        </w:tc>
      </w:tr>
    </w:tbl>
    <w:p w14:paraId="53E82B55" w14:textId="77777777" w:rsidR="006F3A1A" w:rsidRPr="001569FB" w:rsidRDefault="00EE73C0" w:rsidP="002707EC">
      <w:pPr>
        <w:spacing w:before="120"/>
        <w:rPr>
          <w:sz w:val="18"/>
          <w:szCs w:val="20"/>
        </w:rPr>
      </w:pPr>
      <w:r w:rsidRPr="001569FB">
        <w:rPr>
          <w:b/>
          <w:sz w:val="18"/>
          <w:szCs w:val="20"/>
        </w:rPr>
        <w:t>NOTE</w:t>
      </w:r>
      <w:r w:rsidR="006F3A1A" w:rsidRPr="001569FB">
        <w:rPr>
          <w:b/>
          <w:sz w:val="18"/>
          <w:szCs w:val="20"/>
        </w:rPr>
        <w:t>:</w:t>
      </w:r>
      <w:r w:rsidR="006F3A1A" w:rsidRPr="001569FB">
        <w:rPr>
          <w:sz w:val="18"/>
          <w:szCs w:val="20"/>
        </w:rPr>
        <w:t xml:space="preserve"> The Part D Denominator used to calculate relative factors is $1,062.31.  This Part D Denominator is based on the combined PDP and MA-PD populations.  </w:t>
      </w:r>
    </w:p>
    <w:p w14:paraId="0CD35138" w14:textId="77777777" w:rsidR="006F3A1A" w:rsidRPr="001569FB" w:rsidRDefault="00EE73C0" w:rsidP="002707EC">
      <w:pPr>
        <w:spacing w:before="60"/>
        <w:rPr>
          <w:sz w:val="18"/>
          <w:szCs w:val="20"/>
        </w:rPr>
      </w:pPr>
      <w:r w:rsidRPr="001569FB">
        <w:rPr>
          <w:b/>
          <w:sz w:val="18"/>
          <w:szCs w:val="20"/>
        </w:rPr>
        <w:t>SOURCE</w:t>
      </w:r>
      <w:r w:rsidR="006F3A1A" w:rsidRPr="001569FB">
        <w:rPr>
          <w:b/>
          <w:sz w:val="18"/>
          <w:szCs w:val="20"/>
        </w:rPr>
        <w:t xml:space="preserve">: </w:t>
      </w:r>
      <w:r w:rsidR="006F3A1A" w:rsidRPr="001569FB">
        <w:rPr>
          <w:sz w:val="18"/>
          <w:szCs w:val="20"/>
        </w:rPr>
        <w:t>RTI Analysis of 100% 2015 PDE, 2014 Carrier NCH, 2014 Inpatient SAF, 2014 Outpatient SAF, 2015 HPMS, 2015 CME, 2014-2015 Denominator, Part D Intermediate File, and 2014 Medicare Advantage Diagnoses File.</w:t>
      </w:r>
    </w:p>
    <w:p w14:paraId="5C0F2FAF" w14:textId="77777777" w:rsidR="007C3604" w:rsidRPr="001569FB" w:rsidRDefault="007C3604" w:rsidP="002707EC">
      <w:pPr>
        <w:spacing w:before="60"/>
        <w:rPr>
          <w:b/>
          <w:szCs w:val="24"/>
        </w:rPr>
        <w:sectPr w:rsidR="007C3604" w:rsidRPr="001569FB" w:rsidSect="002707EC">
          <w:headerReference w:type="default" r:id="rId32"/>
          <w:pgSz w:w="12240" w:h="15840"/>
          <w:pgMar w:top="1440" w:right="1440" w:bottom="1440" w:left="1440" w:header="720" w:footer="720" w:gutter="0"/>
          <w:cols w:space="720"/>
          <w:docGrid w:linePitch="360"/>
        </w:sectPr>
      </w:pPr>
    </w:p>
    <w:p w14:paraId="21DF960E" w14:textId="77777777" w:rsidR="006F3A1A" w:rsidRPr="001569FB" w:rsidRDefault="006F3A1A" w:rsidP="007C3604">
      <w:pPr>
        <w:pStyle w:val="HeadingA"/>
      </w:pPr>
      <w:bookmarkStart w:id="570" w:name="_Toc503950405"/>
      <w:bookmarkStart w:id="571" w:name="_Toc503980153"/>
      <w:bookmarkStart w:id="572" w:name="_Toc505253814"/>
      <w:r w:rsidRPr="001569FB">
        <w:lastRenderedPageBreak/>
        <w:t xml:space="preserve">Table </w:t>
      </w:r>
      <w:r w:rsidR="00440F3D" w:rsidRPr="001569FB">
        <w:t>V-</w:t>
      </w:r>
      <w:r w:rsidR="00C54680" w:rsidRPr="001569FB">
        <w:t>2</w:t>
      </w:r>
      <w:r w:rsidRPr="001569FB">
        <w:t>. RxHCC Model Relative Factors for New Enrollees, Non</w:t>
      </w:r>
      <w:r w:rsidRPr="001569FB">
        <w:rPr>
          <w:rFonts w:ascii="Cambria Math" w:eastAsia="MS Mincho" w:hAnsi="Cambria Math" w:cs="Cambria Math"/>
        </w:rPr>
        <w:t>‑</w:t>
      </w:r>
      <w:r w:rsidRPr="001569FB">
        <w:t>Low Income</w:t>
      </w:r>
      <w:bookmarkEnd w:id="570"/>
      <w:bookmarkEnd w:id="571"/>
      <w:bookmarkEnd w:id="572"/>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04504448" w14:textId="77777777" w:rsidTr="007C3604">
        <w:trPr>
          <w:cantSplit/>
          <w:trHeight w:hRule="exact" w:val="1045"/>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198C6038" w14:textId="77777777" w:rsidR="006F3A1A" w:rsidRPr="001569FB" w:rsidRDefault="006F3A1A" w:rsidP="008D4E91">
            <w:pPr>
              <w:spacing w:line="240" w:lineRule="auto"/>
              <w:rPr>
                <w:b/>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95402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66F4F256"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E01BB03"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03703FE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63E256DA"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6583CF3"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5226F1F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B1E948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1F361262"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86C0AAC"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4ED0497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2AD87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FBF1CF4" w14:textId="77777777" w:rsidR="006F3A1A" w:rsidRPr="001569FB" w:rsidRDefault="006F3A1A" w:rsidP="008D4E91">
            <w:pPr>
              <w:spacing w:line="240" w:lineRule="auto"/>
              <w:jc w:val="center"/>
              <w:rPr>
                <w:color w:val="000000"/>
                <w:sz w:val="20"/>
                <w:szCs w:val="20"/>
              </w:rPr>
            </w:pPr>
            <w:r w:rsidRPr="001569FB">
              <w:rPr>
                <w:color w:val="000000"/>
                <w:sz w:val="20"/>
                <w:szCs w:val="20"/>
              </w:rPr>
              <w:t>0.708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1C6A0AC" w14:textId="77777777" w:rsidR="006F3A1A" w:rsidRPr="001569FB" w:rsidRDefault="006F3A1A" w:rsidP="008D4E91">
            <w:pPr>
              <w:spacing w:line="240" w:lineRule="auto"/>
              <w:jc w:val="center"/>
              <w:rPr>
                <w:color w:val="000000"/>
                <w:sz w:val="20"/>
                <w:szCs w:val="20"/>
              </w:rPr>
            </w:pPr>
            <w:r w:rsidRPr="001569FB">
              <w:rPr>
                <w:color w:val="000000"/>
                <w:sz w:val="20"/>
                <w:szCs w:val="20"/>
              </w:rPr>
              <w:t>0.979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C0EACD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09A37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195D3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9F6081"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845FB86" w14:textId="77777777" w:rsidR="006F3A1A" w:rsidRPr="001569FB" w:rsidRDefault="006F3A1A" w:rsidP="008D4E91">
            <w:pPr>
              <w:spacing w:line="240" w:lineRule="auto"/>
              <w:jc w:val="center"/>
              <w:rPr>
                <w:color w:val="000000"/>
                <w:sz w:val="20"/>
                <w:szCs w:val="20"/>
              </w:rPr>
            </w:pPr>
            <w:r w:rsidRPr="001569FB">
              <w:rPr>
                <w:color w:val="000000"/>
                <w:sz w:val="20"/>
                <w:szCs w:val="20"/>
              </w:rPr>
              <w:t>1.223</w:t>
            </w:r>
          </w:p>
        </w:tc>
        <w:tc>
          <w:tcPr>
            <w:tcW w:w="0" w:type="auto"/>
            <w:tcBorders>
              <w:top w:val="nil"/>
              <w:left w:val="nil"/>
              <w:bottom w:val="single" w:sz="4" w:space="0" w:color="auto"/>
              <w:right w:val="single" w:sz="4" w:space="0" w:color="auto"/>
            </w:tcBorders>
            <w:shd w:val="clear" w:color="000000" w:fill="FFFFFF"/>
            <w:noWrap/>
            <w:vAlign w:val="center"/>
            <w:hideMark/>
          </w:tcPr>
          <w:p w14:paraId="1FCF022C" w14:textId="77777777" w:rsidR="006F3A1A" w:rsidRPr="001569FB" w:rsidRDefault="006F3A1A" w:rsidP="008D4E91">
            <w:pPr>
              <w:spacing w:line="240" w:lineRule="auto"/>
              <w:jc w:val="center"/>
              <w:rPr>
                <w:color w:val="000000"/>
                <w:sz w:val="20"/>
                <w:szCs w:val="20"/>
              </w:rPr>
            </w:pPr>
            <w:r w:rsidRPr="001569FB">
              <w:rPr>
                <w:color w:val="000000"/>
                <w:sz w:val="20"/>
                <w:szCs w:val="20"/>
              </w:rPr>
              <w:t>1.233</w:t>
            </w:r>
          </w:p>
        </w:tc>
        <w:tc>
          <w:tcPr>
            <w:tcW w:w="0" w:type="auto"/>
            <w:tcBorders>
              <w:top w:val="nil"/>
              <w:left w:val="nil"/>
              <w:bottom w:val="single" w:sz="4" w:space="0" w:color="auto"/>
              <w:right w:val="single" w:sz="4" w:space="0" w:color="auto"/>
            </w:tcBorders>
            <w:shd w:val="clear" w:color="000000" w:fill="FFFFFF"/>
            <w:noWrap/>
            <w:vAlign w:val="center"/>
            <w:hideMark/>
          </w:tcPr>
          <w:p w14:paraId="639318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D13F13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4DB2D1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18D998"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05609049" w14:textId="77777777" w:rsidR="006F3A1A" w:rsidRPr="001569FB" w:rsidRDefault="006F3A1A" w:rsidP="008D4E91">
            <w:pPr>
              <w:spacing w:line="240" w:lineRule="auto"/>
              <w:jc w:val="center"/>
              <w:rPr>
                <w:color w:val="000000"/>
                <w:sz w:val="20"/>
                <w:szCs w:val="20"/>
              </w:rPr>
            </w:pPr>
            <w:r w:rsidRPr="001569FB">
              <w:rPr>
                <w:color w:val="000000"/>
                <w:sz w:val="20"/>
                <w:szCs w:val="20"/>
              </w:rPr>
              <w:t>1.326</w:t>
            </w:r>
          </w:p>
        </w:tc>
        <w:tc>
          <w:tcPr>
            <w:tcW w:w="0" w:type="auto"/>
            <w:tcBorders>
              <w:top w:val="nil"/>
              <w:left w:val="nil"/>
              <w:bottom w:val="single" w:sz="4" w:space="0" w:color="auto"/>
              <w:right w:val="single" w:sz="4" w:space="0" w:color="auto"/>
            </w:tcBorders>
            <w:shd w:val="clear" w:color="000000" w:fill="FFFFFF"/>
            <w:noWrap/>
            <w:vAlign w:val="center"/>
            <w:hideMark/>
          </w:tcPr>
          <w:p w14:paraId="648C01DB" w14:textId="77777777" w:rsidR="006F3A1A" w:rsidRPr="001569FB" w:rsidRDefault="006F3A1A" w:rsidP="008D4E91">
            <w:pPr>
              <w:spacing w:line="240" w:lineRule="auto"/>
              <w:jc w:val="center"/>
              <w:rPr>
                <w:color w:val="000000"/>
                <w:sz w:val="20"/>
                <w:szCs w:val="20"/>
              </w:rPr>
            </w:pPr>
            <w:r w:rsidRPr="001569FB">
              <w:rPr>
                <w:color w:val="000000"/>
                <w:sz w:val="20"/>
                <w:szCs w:val="20"/>
              </w:rPr>
              <w:t>1.624</w:t>
            </w:r>
          </w:p>
        </w:tc>
        <w:tc>
          <w:tcPr>
            <w:tcW w:w="0" w:type="auto"/>
            <w:tcBorders>
              <w:top w:val="nil"/>
              <w:left w:val="nil"/>
              <w:bottom w:val="single" w:sz="4" w:space="0" w:color="auto"/>
              <w:right w:val="single" w:sz="4" w:space="0" w:color="auto"/>
            </w:tcBorders>
            <w:shd w:val="clear" w:color="000000" w:fill="FFFFFF"/>
            <w:noWrap/>
            <w:vAlign w:val="center"/>
            <w:hideMark/>
          </w:tcPr>
          <w:p w14:paraId="6A30176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1FDE8D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B5FA42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75DBE25"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225475C6" w14:textId="77777777" w:rsidR="006F3A1A" w:rsidRPr="001569FB" w:rsidRDefault="006F3A1A" w:rsidP="008D4E91">
            <w:pPr>
              <w:spacing w:line="240" w:lineRule="auto"/>
              <w:jc w:val="center"/>
              <w:rPr>
                <w:color w:val="000000"/>
                <w:sz w:val="20"/>
                <w:szCs w:val="20"/>
              </w:rPr>
            </w:pPr>
            <w:r w:rsidRPr="001569FB">
              <w:rPr>
                <w:color w:val="000000"/>
                <w:sz w:val="20"/>
                <w:szCs w:val="20"/>
              </w:rPr>
              <w:t>1.268</w:t>
            </w:r>
          </w:p>
        </w:tc>
        <w:tc>
          <w:tcPr>
            <w:tcW w:w="0" w:type="auto"/>
            <w:tcBorders>
              <w:top w:val="nil"/>
              <w:left w:val="nil"/>
              <w:bottom w:val="single" w:sz="4" w:space="0" w:color="auto"/>
              <w:right w:val="single" w:sz="4" w:space="0" w:color="auto"/>
            </w:tcBorders>
            <w:shd w:val="clear" w:color="000000" w:fill="FFFFFF"/>
            <w:noWrap/>
            <w:vAlign w:val="center"/>
            <w:hideMark/>
          </w:tcPr>
          <w:p w14:paraId="1D36E8BA" w14:textId="77777777" w:rsidR="006F3A1A" w:rsidRPr="001569FB" w:rsidRDefault="006F3A1A" w:rsidP="008D4E91">
            <w:pPr>
              <w:spacing w:line="240" w:lineRule="auto"/>
              <w:jc w:val="center"/>
              <w:rPr>
                <w:color w:val="000000"/>
                <w:sz w:val="20"/>
                <w:szCs w:val="20"/>
              </w:rPr>
            </w:pPr>
            <w:r w:rsidRPr="001569FB">
              <w:rPr>
                <w:color w:val="000000"/>
                <w:sz w:val="20"/>
                <w:szCs w:val="20"/>
              </w:rPr>
              <w:t>1.790</w:t>
            </w:r>
          </w:p>
        </w:tc>
        <w:tc>
          <w:tcPr>
            <w:tcW w:w="0" w:type="auto"/>
            <w:tcBorders>
              <w:top w:val="nil"/>
              <w:left w:val="nil"/>
              <w:bottom w:val="single" w:sz="4" w:space="0" w:color="auto"/>
              <w:right w:val="single" w:sz="4" w:space="0" w:color="auto"/>
            </w:tcBorders>
            <w:shd w:val="clear" w:color="000000" w:fill="FFFFFF"/>
            <w:noWrap/>
            <w:vAlign w:val="center"/>
            <w:hideMark/>
          </w:tcPr>
          <w:p w14:paraId="5E8AD919"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FB7706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139A06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28BD8F"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08FD17E8" w14:textId="77777777" w:rsidR="006F3A1A" w:rsidRPr="001569FB" w:rsidRDefault="006F3A1A" w:rsidP="008D4E91">
            <w:pPr>
              <w:spacing w:line="240" w:lineRule="auto"/>
              <w:jc w:val="center"/>
              <w:rPr>
                <w:color w:val="000000"/>
                <w:sz w:val="20"/>
                <w:szCs w:val="20"/>
              </w:rPr>
            </w:pPr>
            <w:r w:rsidRPr="001569FB">
              <w:rPr>
                <w:color w:val="000000"/>
                <w:sz w:val="20"/>
                <w:szCs w:val="20"/>
              </w:rPr>
              <w:t>1.259</w:t>
            </w:r>
          </w:p>
        </w:tc>
        <w:tc>
          <w:tcPr>
            <w:tcW w:w="0" w:type="auto"/>
            <w:tcBorders>
              <w:top w:val="nil"/>
              <w:left w:val="nil"/>
              <w:bottom w:val="single" w:sz="4" w:space="0" w:color="auto"/>
              <w:right w:val="single" w:sz="4" w:space="0" w:color="auto"/>
            </w:tcBorders>
            <w:shd w:val="clear" w:color="000000" w:fill="FFFFFF"/>
            <w:noWrap/>
            <w:vAlign w:val="center"/>
            <w:hideMark/>
          </w:tcPr>
          <w:p w14:paraId="708AC39E" w14:textId="77777777" w:rsidR="006F3A1A" w:rsidRPr="001569FB" w:rsidRDefault="006F3A1A" w:rsidP="008D4E91">
            <w:pPr>
              <w:spacing w:line="240" w:lineRule="auto"/>
              <w:jc w:val="center"/>
              <w:rPr>
                <w:color w:val="000000"/>
                <w:sz w:val="20"/>
                <w:szCs w:val="20"/>
              </w:rPr>
            </w:pPr>
            <w:r w:rsidRPr="001569FB">
              <w:rPr>
                <w:color w:val="000000"/>
                <w:sz w:val="20"/>
                <w:szCs w:val="20"/>
              </w:rPr>
              <w:t>1.978</w:t>
            </w:r>
          </w:p>
        </w:tc>
        <w:tc>
          <w:tcPr>
            <w:tcW w:w="0" w:type="auto"/>
            <w:tcBorders>
              <w:top w:val="nil"/>
              <w:left w:val="nil"/>
              <w:bottom w:val="single" w:sz="4" w:space="0" w:color="auto"/>
              <w:right w:val="single" w:sz="4" w:space="0" w:color="auto"/>
            </w:tcBorders>
            <w:shd w:val="clear" w:color="000000" w:fill="FFFFFF"/>
            <w:noWrap/>
            <w:vAlign w:val="center"/>
            <w:hideMark/>
          </w:tcPr>
          <w:p w14:paraId="167F884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59BB34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576D51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CC7C8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61D2BF81" w14:textId="77777777" w:rsidR="006F3A1A" w:rsidRPr="001569FB" w:rsidRDefault="006F3A1A" w:rsidP="008D4E91">
            <w:pPr>
              <w:spacing w:line="240" w:lineRule="auto"/>
              <w:jc w:val="center"/>
              <w:rPr>
                <w:color w:val="000000"/>
                <w:sz w:val="20"/>
                <w:szCs w:val="20"/>
              </w:rPr>
            </w:pPr>
            <w:r w:rsidRPr="001569FB">
              <w:rPr>
                <w:color w:val="000000"/>
                <w:sz w:val="20"/>
                <w:szCs w:val="20"/>
              </w:rPr>
              <w:t>0.534</w:t>
            </w:r>
          </w:p>
        </w:tc>
        <w:tc>
          <w:tcPr>
            <w:tcW w:w="0" w:type="auto"/>
            <w:tcBorders>
              <w:top w:val="nil"/>
              <w:left w:val="nil"/>
              <w:bottom w:val="single" w:sz="4" w:space="0" w:color="auto"/>
              <w:right w:val="single" w:sz="4" w:space="0" w:color="auto"/>
            </w:tcBorders>
            <w:shd w:val="clear" w:color="000000" w:fill="FFFFFF"/>
            <w:noWrap/>
            <w:vAlign w:val="center"/>
            <w:hideMark/>
          </w:tcPr>
          <w:p w14:paraId="6D099DF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4FEE2DB" w14:textId="77777777" w:rsidR="006F3A1A" w:rsidRPr="001569FB" w:rsidRDefault="006F3A1A" w:rsidP="008D4E91">
            <w:pPr>
              <w:spacing w:line="240" w:lineRule="auto"/>
              <w:jc w:val="center"/>
              <w:rPr>
                <w:color w:val="000000"/>
                <w:sz w:val="20"/>
                <w:szCs w:val="20"/>
              </w:rPr>
            </w:pPr>
            <w:r w:rsidRPr="001569FB">
              <w:rPr>
                <w:color w:val="000000"/>
                <w:sz w:val="20"/>
                <w:szCs w:val="20"/>
              </w:rPr>
              <w:t>1.158</w:t>
            </w:r>
          </w:p>
        </w:tc>
        <w:tc>
          <w:tcPr>
            <w:tcW w:w="0" w:type="auto"/>
            <w:tcBorders>
              <w:top w:val="nil"/>
              <w:left w:val="nil"/>
              <w:bottom w:val="single" w:sz="4" w:space="0" w:color="auto"/>
              <w:right w:val="single" w:sz="4" w:space="0" w:color="auto"/>
            </w:tcBorders>
            <w:shd w:val="clear" w:color="000000" w:fill="FFFFFF"/>
            <w:noWrap/>
            <w:vAlign w:val="center"/>
            <w:hideMark/>
          </w:tcPr>
          <w:p w14:paraId="6151AD6B"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53E1B4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DA7AF3"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AAB85B4" w14:textId="77777777" w:rsidR="006F3A1A" w:rsidRPr="001569FB" w:rsidRDefault="006F3A1A" w:rsidP="008D4E91">
            <w:pPr>
              <w:spacing w:line="240" w:lineRule="auto"/>
              <w:jc w:val="center"/>
              <w:rPr>
                <w:color w:val="000000"/>
                <w:sz w:val="20"/>
                <w:szCs w:val="20"/>
              </w:rPr>
            </w:pPr>
            <w:r w:rsidRPr="001569FB">
              <w:rPr>
                <w:color w:val="000000"/>
                <w:sz w:val="20"/>
                <w:szCs w:val="20"/>
              </w:rPr>
              <w:t>0.585</w:t>
            </w:r>
          </w:p>
        </w:tc>
        <w:tc>
          <w:tcPr>
            <w:tcW w:w="0" w:type="auto"/>
            <w:tcBorders>
              <w:top w:val="nil"/>
              <w:left w:val="nil"/>
              <w:bottom w:val="single" w:sz="4" w:space="0" w:color="auto"/>
              <w:right w:val="single" w:sz="4" w:space="0" w:color="auto"/>
            </w:tcBorders>
            <w:shd w:val="clear" w:color="000000" w:fill="FFFFFF"/>
            <w:noWrap/>
            <w:vAlign w:val="center"/>
            <w:hideMark/>
          </w:tcPr>
          <w:p w14:paraId="21354AE5"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486FA7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1942DDA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C2189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A90A79"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320386B8"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4C54149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0A7A7B9"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4ADA322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A40919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4365BAE"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74680197" w14:textId="77777777" w:rsidR="006F3A1A" w:rsidRPr="001569FB" w:rsidRDefault="006F3A1A" w:rsidP="008D4E91">
            <w:pPr>
              <w:spacing w:line="240" w:lineRule="auto"/>
              <w:jc w:val="center"/>
              <w:rPr>
                <w:color w:val="000000"/>
                <w:sz w:val="20"/>
                <w:szCs w:val="20"/>
              </w:rPr>
            </w:pPr>
            <w:r w:rsidRPr="001569FB">
              <w:rPr>
                <w:color w:val="000000"/>
                <w:sz w:val="20"/>
                <w:szCs w:val="20"/>
              </w:rPr>
              <w:t>0.616</w:t>
            </w:r>
          </w:p>
        </w:tc>
        <w:tc>
          <w:tcPr>
            <w:tcW w:w="0" w:type="auto"/>
            <w:tcBorders>
              <w:top w:val="nil"/>
              <w:left w:val="nil"/>
              <w:bottom w:val="single" w:sz="4" w:space="0" w:color="auto"/>
              <w:right w:val="single" w:sz="4" w:space="0" w:color="auto"/>
            </w:tcBorders>
            <w:shd w:val="clear" w:color="000000" w:fill="FFFFFF"/>
            <w:noWrap/>
            <w:vAlign w:val="center"/>
            <w:hideMark/>
          </w:tcPr>
          <w:p w14:paraId="551206D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F9CA7FE"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27E57EDC"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719BDA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1F301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985C0F1" w14:textId="77777777" w:rsidR="006F3A1A" w:rsidRPr="001569FB" w:rsidRDefault="006F3A1A" w:rsidP="008D4E91">
            <w:pPr>
              <w:spacing w:line="240" w:lineRule="auto"/>
              <w:jc w:val="center"/>
              <w:rPr>
                <w:color w:val="000000"/>
                <w:sz w:val="20"/>
                <w:szCs w:val="20"/>
              </w:rPr>
            </w:pPr>
            <w:r w:rsidRPr="001569FB">
              <w:rPr>
                <w:color w:val="000000"/>
                <w:sz w:val="20"/>
                <w:szCs w:val="20"/>
              </w:rPr>
              <w:t>0.642</w:t>
            </w:r>
          </w:p>
        </w:tc>
        <w:tc>
          <w:tcPr>
            <w:tcW w:w="0" w:type="auto"/>
            <w:tcBorders>
              <w:top w:val="nil"/>
              <w:left w:val="nil"/>
              <w:bottom w:val="single" w:sz="4" w:space="0" w:color="auto"/>
              <w:right w:val="single" w:sz="4" w:space="0" w:color="auto"/>
            </w:tcBorders>
            <w:shd w:val="clear" w:color="000000" w:fill="FFFFFF"/>
            <w:noWrap/>
            <w:vAlign w:val="center"/>
            <w:hideMark/>
          </w:tcPr>
          <w:p w14:paraId="4B47D9C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E7AADA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63643A34"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006CBEA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18C69B5"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12C022A4" w14:textId="77777777" w:rsidR="006F3A1A" w:rsidRPr="001569FB" w:rsidRDefault="006F3A1A" w:rsidP="008D4E91">
            <w:pPr>
              <w:spacing w:line="240" w:lineRule="auto"/>
              <w:jc w:val="center"/>
              <w:rPr>
                <w:color w:val="000000"/>
                <w:sz w:val="20"/>
                <w:szCs w:val="20"/>
              </w:rPr>
            </w:pPr>
            <w:r w:rsidRPr="001569FB">
              <w:rPr>
                <w:color w:val="000000"/>
                <w:sz w:val="20"/>
                <w:szCs w:val="20"/>
              </w:rPr>
              <w:t>0.671</w:t>
            </w:r>
          </w:p>
        </w:tc>
        <w:tc>
          <w:tcPr>
            <w:tcW w:w="0" w:type="auto"/>
            <w:tcBorders>
              <w:top w:val="nil"/>
              <w:left w:val="nil"/>
              <w:bottom w:val="single" w:sz="4" w:space="0" w:color="auto"/>
              <w:right w:val="single" w:sz="4" w:space="0" w:color="auto"/>
            </w:tcBorders>
            <w:shd w:val="clear" w:color="000000" w:fill="FFFFFF"/>
            <w:noWrap/>
            <w:vAlign w:val="center"/>
            <w:hideMark/>
          </w:tcPr>
          <w:p w14:paraId="6FFDB7E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73852050" w14:textId="77777777" w:rsidR="006F3A1A" w:rsidRPr="001569FB" w:rsidRDefault="006F3A1A" w:rsidP="008D4E91">
            <w:pPr>
              <w:spacing w:line="240" w:lineRule="auto"/>
              <w:jc w:val="center"/>
              <w:rPr>
                <w:color w:val="000000"/>
                <w:sz w:val="20"/>
                <w:szCs w:val="20"/>
              </w:rPr>
            </w:pPr>
            <w:r w:rsidRPr="001569FB">
              <w:rPr>
                <w:color w:val="000000"/>
                <w:sz w:val="20"/>
                <w:szCs w:val="20"/>
              </w:rPr>
              <w:t>1.074</w:t>
            </w:r>
          </w:p>
        </w:tc>
        <w:tc>
          <w:tcPr>
            <w:tcW w:w="0" w:type="auto"/>
            <w:tcBorders>
              <w:top w:val="nil"/>
              <w:left w:val="nil"/>
              <w:bottom w:val="single" w:sz="4" w:space="0" w:color="auto"/>
              <w:right w:val="single" w:sz="4" w:space="0" w:color="auto"/>
            </w:tcBorders>
            <w:shd w:val="clear" w:color="000000" w:fill="FFFFFF"/>
            <w:noWrap/>
            <w:vAlign w:val="center"/>
            <w:hideMark/>
          </w:tcPr>
          <w:p w14:paraId="55357F9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404F419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B4E6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065CC787" w14:textId="77777777" w:rsidR="006F3A1A" w:rsidRPr="001569FB" w:rsidRDefault="006F3A1A" w:rsidP="008D4E91">
            <w:pPr>
              <w:spacing w:line="240" w:lineRule="auto"/>
              <w:jc w:val="center"/>
              <w:rPr>
                <w:color w:val="000000"/>
                <w:sz w:val="20"/>
                <w:szCs w:val="20"/>
              </w:rPr>
            </w:pPr>
            <w:r w:rsidRPr="001569FB">
              <w:rPr>
                <w:color w:val="000000"/>
                <w:sz w:val="20"/>
                <w:szCs w:val="20"/>
              </w:rPr>
              <w:t>0.690</w:t>
            </w:r>
          </w:p>
        </w:tc>
        <w:tc>
          <w:tcPr>
            <w:tcW w:w="0" w:type="auto"/>
            <w:tcBorders>
              <w:top w:val="nil"/>
              <w:left w:val="nil"/>
              <w:bottom w:val="single" w:sz="4" w:space="0" w:color="auto"/>
              <w:right w:val="single" w:sz="4" w:space="0" w:color="auto"/>
            </w:tcBorders>
            <w:shd w:val="clear" w:color="000000" w:fill="FFFFFF"/>
            <w:noWrap/>
            <w:vAlign w:val="center"/>
            <w:hideMark/>
          </w:tcPr>
          <w:p w14:paraId="305F44C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1DDA197" w14:textId="77777777" w:rsidR="006F3A1A" w:rsidRPr="001569FB" w:rsidRDefault="006F3A1A" w:rsidP="008D4E91">
            <w:pPr>
              <w:spacing w:line="240" w:lineRule="auto"/>
              <w:jc w:val="center"/>
              <w:rPr>
                <w:color w:val="000000"/>
                <w:sz w:val="20"/>
                <w:szCs w:val="20"/>
              </w:rPr>
            </w:pPr>
            <w:r w:rsidRPr="001569FB">
              <w:rPr>
                <w:color w:val="000000"/>
                <w:sz w:val="20"/>
                <w:szCs w:val="20"/>
              </w:rPr>
              <w:t>0.821</w:t>
            </w:r>
          </w:p>
        </w:tc>
        <w:tc>
          <w:tcPr>
            <w:tcW w:w="0" w:type="auto"/>
            <w:tcBorders>
              <w:top w:val="nil"/>
              <w:left w:val="nil"/>
              <w:bottom w:val="single" w:sz="4" w:space="0" w:color="auto"/>
              <w:right w:val="single" w:sz="4" w:space="0" w:color="auto"/>
            </w:tcBorders>
            <w:shd w:val="clear" w:color="000000" w:fill="FFFFFF"/>
            <w:noWrap/>
            <w:vAlign w:val="center"/>
            <w:hideMark/>
          </w:tcPr>
          <w:p w14:paraId="3E8CF2E6"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30531EF"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B94F8A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D131519"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401D4D6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3F2F42C8"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1321CEBF"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DDF34B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959484F"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0137D82B"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66C987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F2161C7"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EB0C0BE"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63B5A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6BF81"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331D7BF9"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0D29DD9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A25E2EA"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A7ED950"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BC715E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3C3DC8"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51AD607"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5191C979"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60EAF541"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0CFB7B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7D8F07BA"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0F9F605D"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70407A6B"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74A54245"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02EC4463"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D082C0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761364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32857F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DC3800F" w14:textId="77777777" w:rsidR="006F3A1A" w:rsidRPr="001569FB" w:rsidRDefault="006F3A1A" w:rsidP="008D4E91">
            <w:pPr>
              <w:spacing w:line="240" w:lineRule="auto"/>
              <w:jc w:val="center"/>
              <w:rPr>
                <w:color w:val="000000"/>
                <w:sz w:val="20"/>
                <w:szCs w:val="20"/>
              </w:rPr>
            </w:pPr>
            <w:r w:rsidRPr="001569FB">
              <w:rPr>
                <w:color w:val="000000"/>
                <w:sz w:val="20"/>
                <w:szCs w:val="20"/>
              </w:rPr>
              <w:t>0.469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14BDDC" w14:textId="77777777" w:rsidR="006F3A1A" w:rsidRPr="001569FB" w:rsidRDefault="006F3A1A" w:rsidP="008D4E91">
            <w:pPr>
              <w:spacing w:line="240" w:lineRule="auto"/>
              <w:jc w:val="center"/>
              <w:rPr>
                <w:color w:val="000000"/>
                <w:sz w:val="20"/>
                <w:szCs w:val="20"/>
              </w:rPr>
            </w:pPr>
            <w:r w:rsidRPr="001569FB">
              <w:rPr>
                <w:color w:val="000000"/>
                <w:sz w:val="20"/>
                <w:szCs w:val="20"/>
              </w:rPr>
              <w:t>0.857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6C43E8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9F447E"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8C8EA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043ED8"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AEBE079" w14:textId="77777777" w:rsidR="006F3A1A" w:rsidRPr="001569FB" w:rsidRDefault="006F3A1A" w:rsidP="008D4E91">
            <w:pPr>
              <w:spacing w:line="240" w:lineRule="auto"/>
              <w:jc w:val="center"/>
              <w:rPr>
                <w:color w:val="000000"/>
                <w:sz w:val="20"/>
                <w:szCs w:val="20"/>
              </w:rPr>
            </w:pPr>
            <w:r w:rsidRPr="001569FB">
              <w:rPr>
                <w:color w:val="000000"/>
                <w:sz w:val="20"/>
                <w:szCs w:val="20"/>
              </w:rPr>
              <w:t>0.865</w:t>
            </w:r>
          </w:p>
        </w:tc>
        <w:tc>
          <w:tcPr>
            <w:tcW w:w="0" w:type="auto"/>
            <w:tcBorders>
              <w:top w:val="nil"/>
              <w:left w:val="nil"/>
              <w:bottom w:val="single" w:sz="4" w:space="0" w:color="auto"/>
              <w:right w:val="single" w:sz="4" w:space="0" w:color="auto"/>
            </w:tcBorders>
            <w:shd w:val="clear" w:color="000000" w:fill="FFFFFF"/>
            <w:noWrap/>
            <w:vAlign w:val="center"/>
            <w:hideMark/>
          </w:tcPr>
          <w:p w14:paraId="460F7366" w14:textId="77777777" w:rsidR="006F3A1A" w:rsidRPr="001569FB" w:rsidRDefault="006F3A1A" w:rsidP="008D4E91">
            <w:pPr>
              <w:spacing w:line="240" w:lineRule="auto"/>
              <w:jc w:val="center"/>
              <w:rPr>
                <w:color w:val="000000"/>
                <w:sz w:val="20"/>
                <w:szCs w:val="20"/>
              </w:rPr>
            </w:pPr>
            <w:r w:rsidRPr="001569FB">
              <w:rPr>
                <w:color w:val="000000"/>
                <w:sz w:val="20"/>
                <w:szCs w:val="20"/>
              </w:rPr>
              <w:t>1.284</w:t>
            </w:r>
          </w:p>
        </w:tc>
        <w:tc>
          <w:tcPr>
            <w:tcW w:w="0" w:type="auto"/>
            <w:tcBorders>
              <w:top w:val="nil"/>
              <w:left w:val="nil"/>
              <w:bottom w:val="single" w:sz="4" w:space="0" w:color="auto"/>
              <w:right w:val="single" w:sz="4" w:space="0" w:color="auto"/>
            </w:tcBorders>
            <w:shd w:val="clear" w:color="000000" w:fill="FFFFFF"/>
            <w:noWrap/>
            <w:vAlign w:val="center"/>
            <w:hideMark/>
          </w:tcPr>
          <w:p w14:paraId="59CAEA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887475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911ACA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ECEF5E3"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BBC321" w14:textId="77777777" w:rsidR="006F3A1A" w:rsidRPr="001569FB" w:rsidRDefault="006F3A1A" w:rsidP="008D4E91">
            <w:pPr>
              <w:spacing w:line="240" w:lineRule="auto"/>
              <w:jc w:val="center"/>
              <w:rPr>
                <w:color w:val="000000"/>
                <w:sz w:val="20"/>
                <w:szCs w:val="20"/>
              </w:rPr>
            </w:pPr>
            <w:r w:rsidRPr="001569FB">
              <w:rPr>
                <w:color w:val="000000"/>
                <w:sz w:val="20"/>
                <w:szCs w:val="20"/>
              </w:rPr>
              <w:t>1.163</w:t>
            </w:r>
          </w:p>
        </w:tc>
        <w:tc>
          <w:tcPr>
            <w:tcW w:w="0" w:type="auto"/>
            <w:tcBorders>
              <w:top w:val="nil"/>
              <w:left w:val="nil"/>
              <w:bottom w:val="single" w:sz="4" w:space="0" w:color="auto"/>
              <w:right w:val="single" w:sz="4" w:space="0" w:color="auto"/>
            </w:tcBorders>
            <w:shd w:val="clear" w:color="000000" w:fill="FFFFFF"/>
            <w:noWrap/>
            <w:vAlign w:val="center"/>
            <w:hideMark/>
          </w:tcPr>
          <w:p w14:paraId="4239B5A2" w14:textId="77777777" w:rsidR="006F3A1A" w:rsidRPr="001569FB" w:rsidRDefault="006F3A1A" w:rsidP="008D4E91">
            <w:pPr>
              <w:spacing w:line="240" w:lineRule="auto"/>
              <w:jc w:val="center"/>
              <w:rPr>
                <w:color w:val="000000"/>
                <w:sz w:val="20"/>
                <w:szCs w:val="20"/>
              </w:rPr>
            </w:pPr>
            <w:r w:rsidRPr="001569FB">
              <w:rPr>
                <w:color w:val="000000"/>
                <w:sz w:val="20"/>
                <w:szCs w:val="20"/>
              </w:rPr>
              <w:t>1.619</w:t>
            </w:r>
          </w:p>
        </w:tc>
        <w:tc>
          <w:tcPr>
            <w:tcW w:w="0" w:type="auto"/>
            <w:tcBorders>
              <w:top w:val="nil"/>
              <w:left w:val="nil"/>
              <w:bottom w:val="single" w:sz="4" w:space="0" w:color="auto"/>
              <w:right w:val="single" w:sz="4" w:space="0" w:color="auto"/>
            </w:tcBorders>
            <w:shd w:val="clear" w:color="000000" w:fill="FFFFFF"/>
            <w:noWrap/>
            <w:vAlign w:val="center"/>
            <w:hideMark/>
          </w:tcPr>
          <w:p w14:paraId="3AF9F03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81BBE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78E31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618B366"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7CA6FCC9" w14:textId="77777777" w:rsidR="006F3A1A" w:rsidRPr="001569FB" w:rsidRDefault="006F3A1A" w:rsidP="008D4E91">
            <w:pPr>
              <w:spacing w:line="240" w:lineRule="auto"/>
              <w:jc w:val="center"/>
              <w:rPr>
                <w:color w:val="000000"/>
                <w:sz w:val="20"/>
                <w:szCs w:val="20"/>
              </w:rPr>
            </w:pPr>
            <w:r w:rsidRPr="001569FB">
              <w:rPr>
                <w:color w:val="000000"/>
                <w:sz w:val="20"/>
                <w:szCs w:val="20"/>
              </w:rPr>
              <w:t>1.235</w:t>
            </w:r>
          </w:p>
        </w:tc>
        <w:tc>
          <w:tcPr>
            <w:tcW w:w="0" w:type="auto"/>
            <w:tcBorders>
              <w:top w:val="nil"/>
              <w:left w:val="nil"/>
              <w:bottom w:val="single" w:sz="4" w:space="0" w:color="auto"/>
              <w:right w:val="single" w:sz="4" w:space="0" w:color="auto"/>
            </w:tcBorders>
            <w:shd w:val="clear" w:color="000000" w:fill="FFFFFF"/>
            <w:noWrap/>
            <w:vAlign w:val="center"/>
            <w:hideMark/>
          </w:tcPr>
          <w:p w14:paraId="2D3C95B8" w14:textId="77777777" w:rsidR="006F3A1A" w:rsidRPr="001569FB" w:rsidRDefault="006F3A1A" w:rsidP="008D4E91">
            <w:pPr>
              <w:spacing w:line="240" w:lineRule="auto"/>
              <w:jc w:val="center"/>
              <w:rPr>
                <w:color w:val="000000"/>
                <w:sz w:val="20"/>
                <w:szCs w:val="20"/>
              </w:rPr>
            </w:pPr>
            <w:r w:rsidRPr="001569FB">
              <w:rPr>
                <w:color w:val="000000"/>
                <w:sz w:val="20"/>
                <w:szCs w:val="20"/>
              </w:rPr>
              <w:t>1.832</w:t>
            </w:r>
          </w:p>
        </w:tc>
        <w:tc>
          <w:tcPr>
            <w:tcW w:w="0" w:type="auto"/>
            <w:tcBorders>
              <w:top w:val="nil"/>
              <w:left w:val="nil"/>
              <w:bottom w:val="single" w:sz="4" w:space="0" w:color="auto"/>
              <w:right w:val="single" w:sz="4" w:space="0" w:color="auto"/>
            </w:tcBorders>
            <w:shd w:val="clear" w:color="000000" w:fill="FFFFFF"/>
            <w:noWrap/>
            <w:vAlign w:val="center"/>
            <w:hideMark/>
          </w:tcPr>
          <w:p w14:paraId="0848808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0765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ABD5ED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0E945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7B5D529F" w14:textId="77777777" w:rsidR="006F3A1A" w:rsidRPr="001569FB" w:rsidRDefault="006F3A1A" w:rsidP="008D4E91">
            <w:pPr>
              <w:spacing w:line="240" w:lineRule="auto"/>
              <w:jc w:val="center"/>
              <w:rPr>
                <w:color w:val="000000"/>
                <w:sz w:val="20"/>
                <w:szCs w:val="20"/>
              </w:rPr>
            </w:pPr>
            <w:r w:rsidRPr="001569FB">
              <w:rPr>
                <w:color w:val="000000"/>
                <w:sz w:val="20"/>
                <w:szCs w:val="20"/>
              </w:rPr>
              <w:t>1.207</w:t>
            </w:r>
          </w:p>
        </w:tc>
        <w:tc>
          <w:tcPr>
            <w:tcW w:w="0" w:type="auto"/>
            <w:tcBorders>
              <w:top w:val="nil"/>
              <w:left w:val="nil"/>
              <w:bottom w:val="single" w:sz="4" w:space="0" w:color="auto"/>
              <w:right w:val="single" w:sz="4" w:space="0" w:color="auto"/>
            </w:tcBorders>
            <w:shd w:val="clear" w:color="000000" w:fill="FFFFFF"/>
            <w:noWrap/>
            <w:vAlign w:val="center"/>
            <w:hideMark/>
          </w:tcPr>
          <w:p w14:paraId="4637A47C" w14:textId="77777777" w:rsidR="006F3A1A" w:rsidRPr="001569FB" w:rsidRDefault="006F3A1A" w:rsidP="008D4E91">
            <w:pPr>
              <w:spacing w:line="240" w:lineRule="auto"/>
              <w:jc w:val="center"/>
              <w:rPr>
                <w:color w:val="000000"/>
                <w:sz w:val="20"/>
                <w:szCs w:val="20"/>
              </w:rPr>
            </w:pPr>
            <w:r w:rsidRPr="001569FB">
              <w:rPr>
                <w:color w:val="000000"/>
                <w:sz w:val="20"/>
                <w:szCs w:val="20"/>
              </w:rPr>
              <w:t>2.146</w:t>
            </w:r>
          </w:p>
        </w:tc>
        <w:tc>
          <w:tcPr>
            <w:tcW w:w="0" w:type="auto"/>
            <w:tcBorders>
              <w:top w:val="nil"/>
              <w:left w:val="nil"/>
              <w:bottom w:val="single" w:sz="4" w:space="0" w:color="auto"/>
              <w:right w:val="single" w:sz="4" w:space="0" w:color="auto"/>
            </w:tcBorders>
            <w:shd w:val="clear" w:color="000000" w:fill="FFFFFF"/>
            <w:noWrap/>
            <w:vAlign w:val="center"/>
            <w:hideMark/>
          </w:tcPr>
          <w:p w14:paraId="5FADF34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F5BAB0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0ED385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EC77DB"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F0245"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01C6F8B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93F803B" w14:textId="77777777" w:rsidR="006F3A1A" w:rsidRPr="001569FB" w:rsidRDefault="006F3A1A" w:rsidP="008D4E91">
            <w:pPr>
              <w:spacing w:line="240" w:lineRule="auto"/>
              <w:jc w:val="center"/>
              <w:rPr>
                <w:color w:val="000000"/>
                <w:sz w:val="20"/>
                <w:szCs w:val="20"/>
              </w:rPr>
            </w:pPr>
            <w:r w:rsidRPr="001569FB">
              <w:rPr>
                <w:color w:val="000000"/>
                <w:sz w:val="20"/>
                <w:szCs w:val="20"/>
              </w:rPr>
              <w:t>1.042</w:t>
            </w:r>
          </w:p>
        </w:tc>
        <w:tc>
          <w:tcPr>
            <w:tcW w:w="0" w:type="auto"/>
            <w:tcBorders>
              <w:top w:val="nil"/>
              <w:left w:val="nil"/>
              <w:bottom w:val="single" w:sz="4" w:space="0" w:color="auto"/>
              <w:right w:val="single" w:sz="4" w:space="0" w:color="auto"/>
            </w:tcBorders>
            <w:shd w:val="clear" w:color="000000" w:fill="FFFFFF"/>
            <w:noWrap/>
            <w:vAlign w:val="center"/>
            <w:hideMark/>
          </w:tcPr>
          <w:p w14:paraId="242740CA"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2CA1EF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797027F"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747B85F" w14:textId="77777777" w:rsidR="006F3A1A" w:rsidRPr="001569FB" w:rsidRDefault="006F3A1A" w:rsidP="008D4E91">
            <w:pPr>
              <w:spacing w:line="240" w:lineRule="auto"/>
              <w:jc w:val="center"/>
              <w:rPr>
                <w:color w:val="000000"/>
                <w:sz w:val="20"/>
                <w:szCs w:val="20"/>
              </w:rPr>
            </w:pPr>
            <w:r w:rsidRPr="001569FB">
              <w:rPr>
                <w:color w:val="000000"/>
                <w:sz w:val="20"/>
                <w:szCs w:val="20"/>
              </w:rPr>
              <w:t>0.645</w:t>
            </w:r>
          </w:p>
        </w:tc>
        <w:tc>
          <w:tcPr>
            <w:tcW w:w="0" w:type="auto"/>
            <w:tcBorders>
              <w:top w:val="nil"/>
              <w:left w:val="nil"/>
              <w:bottom w:val="single" w:sz="4" w:space="0" w:color="auto"/>
              <w:right w:val="single" w:sz="4" w:space="0" w:color="auto"/>
            </w:tcBorders>
            <w:shd w:val="clear" w:color="000000" w:fill="FFFFFF"/>
            <w:noWrap/>
            <w:vAlign w:val="center"/>
            <w:hideMark/>
          </w:tcPr>
          <w:p w14:paraId="157906A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5F001A8A"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220707FC"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21E04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11FFEF"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0943B63" w14:textId="77777777" w:rsidR="006F3A1A" w:rsidRPr="001569FB" w:rsidRDefault="006F3A1A" w:rsidP="008D4E91">
            <w:pPr>
              <w:spacing w:line="240" w:lineRule="auto"/>
              <w:jc w:val="center"/>
              <w:rPr>
                <w:color w:val="000000"/>
                <w:sz w:val="20"/>
                <w:szCs w:val="20"/>
              </w:rPr>
            </w:pPr>
            <w:r w:rsidRPr="001569FB">
              <w:rPr>
                <w:color w:val="000000"/>
                <w:sz w:val="20"/>
                <w:szCs w:val="20"/>
              </w:rPr>
              <w:t>0.663</w:t>
            </w:r>
          </w:p>
        </w:tc>
        <w:tc>
          <w:tcPr>
            <w:tcW w:w="0" w:type="auto"/>
            <w:tcBorders>
              <w:top w:val="nil"/>
              <w:left w:val="nil"/>
              <w:bottom w:val="single" w:sz="4" w:space="0" w:color="auto"/>
              <w:right w:val="single" w:sz="4" w:space="0" w:color="auto"/>
            </w:tcBorders>
            <w:shd w:val="clear" w:color="000000" w:fill="FFFFFF"/>
            <w:noWrap/>
            <w:vAlign w:val="center"/>
            <w:hideMark/>
          </w:tcPr>
          <w:p w14:paraId="21B6FA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3C79454"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1A921AE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3C65BB6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A73480"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1D95D484" w14:textId="77777777" w:rsidR="006F3A1A" w:rsidRPr="001569FB" w:rsidRDefault="006F3A1A" w:rsidP="008D4E91">
            <w:pPr>
              <w:spacing w:line="240" w:lineRule="auto"/>
              <w:jc w:val="center"/>
              <w:rPr>
                <w:color w:val="000000"/>
                <w:sz w:val="20"/>
                <w:szCs w:val="20"/>
              </w:rPr>
            </w:pPr>
            <w:r w:rsidRPr="001569FB">
              <w:rPr>
                <w:color w:val="000000"/>
                <w:sz w:val="20"/>
                <w:szCs w:val="20"/>
              </w:rPr>
              <w:t>0.693</w:t>
            </w:r>
          </w:p>
        </w:tc>
        <w:tc>
          <w:tcPr>
            <w:tcW w:w="0" w:type="auto"/>
            <w:tcBorders>
              <w:top w:val="nil"/>
              <w:left w:val="nil"/>
              <w:bottom w:val="single" w:sz="4" w:space="0" w:color="auto"/>
              <w:right w:val="single" w:sz="4" w:space="0" w:color="auto"/>
            </w:tcBorders>
            <w:shd w:val="clear" w:color="000000" w:fill="FFFFFF"/>
            <w:noWrap/>
            <w:vAlign w:val="center"/>
            <w:hideMark/>
          </w:tcPr>
          <w:p w14:paraId="18068068"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78CEF3"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51A830D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1573F9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5D2894D"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8EA1BA1" w14:textId="77777777" w:rsidR="006F3A1A" w:rsidRPr="001569FB" w:rsidRDefault="006F3A1A" w:rsidP="008D4E91">
            <w:pPr>
              <w:spacing w:line="240" w:lineRule="auto"/>
              <w:jc w:val="center"/>
              <w:rPr>
                <w:color w:val="000000"/>
                <w:sz w:val="20"/>
                <w:szCs w:val="20"/>
              </w:rPr>
            </w:pPr>
            <w:r w:rsidRPr="001569FB">
              <w:rPr>
                <w:color w:val="000000"/>
                <w:sz w:val="20"/>
                <w:szCs w:val="20"/>
              </w:rPr>
              <w:t>0.713</w:t>
            </w:r>
          </w:p>
        </w:tc>
        <w:tc>
          <w:tcPr>
            <w:tcW w:w="0" w:type="auto"/>
            <w:tcBorders>
              <w:top w:val="nil"/>
              <w:left w:val="nil"/>
              <w:bottom w:val="single" w:sz="4" w:space="0" w:color="auto"/>
              <w:right w:val="single" w:sz="4" w:space="0" w:color="auto"/>
            </w:tcBorders>
            <w:shd w:val="clear" w:color="000000" w:fill="FFFFFF"/>
            <w:noWrap/>
            <w:vAlign w:val="center"/>
            <w:hideMark/>
          </w:tcPr>
          <w:p w14:paraId="68329B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78975B6D"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619B63F9"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519E471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B2E7E09"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31A5E960" w14:textId="77777777" w:rsidR="006F3A1A" w:rsidRPr="001569FB" w:rsidRDefault="006F3A1A" w:rsidP="008D4E91">
            <w:pPr>
              <w:spacing w:line="240" w:lineRule="auto"/>
              <w:jc w:val="center"/>
              <w:rPr>
                <w:color w:val="000000"/>
                <w:sz w:val="20"/>
                <w:szCs w:val="20"/>
              </w:rPr>
            </w:pPr>
            <w:r w:rsidRPr="001569FB">
              <w:rPr>
                <w:color w:val="000000"/>
                <w:sz w:val="20"/>
                <w:szCs w:val="20"/>
              </w:rPr>
              <w:t>0.759</w:t>
            </w:r>
          </w:p>
        </w:tc>
        <w:tc>
          <w:tcPr>
            <w:tcW w:w="0" w:type="auto"/>
            <w:tcBorders>
              <w:top w:val="nil"/>
              <w:left w:val="nil"/>
              <w:bottom w:val="single" w:sz="4" w:space="0" w:color="auto"/>
              <w:right w:val="single" w:sz="4" w:space="0" w:color="auto"/>
            </w:tcBorders>
            <w:shd w:val="clear" w:color="000000" w:fill="FFFFFF"/>
            <w:noWrap/>
            <w:vAlign w:val="center"/>
            <w:hideMark/>
          </w:tcPr>
          <w:p w14:paraId="44F6D40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2FF2D2" w14:textId="77777777" w:rsidR="006F3A1A" w:rsidRPr="001569FB" w:rsidRDefault="006F3A1A" w:rsidP="008D4E91">
            <w:pPr>
              <w:spacing w:line="240" w:lineRule="auto"/>
              <w:jc w:val="center"/>
              <w:rPr>
                <w:color w:val="000000"/>
                <w:sz w:val="20"/>
                <w:szCs w:val="20"/>
              </w:rPr>
            </w:pPr>
            <w:r w:rsidRPr="001569FB">
              <w:rPr>
                <w:color w:val="000000"/>
                <w:sz w:val="20"/>
                <w:szCs w:val="20"/>
              </w:rPr>
              <w:t>0.964</w:t>
            </w:r>
          </w:p>
        </w:tc>
        <w:tc>
          <w:tcPr>
            <w:tcW w:w="0" w:type="auto"/>
            <w:tcBorders>
              <w:top w:val="nil"/>
              <w:left w:val="nil"/>
              <w:bottom w:val="single" w:sz="4" w:space="0" w:color="auto"/>
              <w:right w:val="single" w:sz="4" w:space="0" w:color="auto"/>
            </w:tcBorders>
            <w:shd w:val="clear" w:color="000000" w:fill="FFFFFF"/>
            <w:noWrap/>
            <w:vAlign w:val="center"/>
            <w:hideMark/>
          </w:tcPr>
          <w:p w14:paraId="66832E90"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9AD080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0194193"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57B8C"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1B9166DB"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34238D7E"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52F7DB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66C0680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E19F3C5"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A9B6BD"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0DD4594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267128B2"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5E3307D5"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183CA8C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645CE3"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6B4C6A12"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6D8E2D3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26ABBB5"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53AFBEE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0BBD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A248002"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154FCE21"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31A3961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6BC0C7FD"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5DC52F7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CFD91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E3A3D7"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8116E1B"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7FB9FD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1D3F8686"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291886F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bl>
    <w:p w14:paraId="65B4F7CD"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6A935002"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071431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042734C1" w14:textId="77777777" w:rsidR="006F3A1A" w:rsidRPr="001569FB" w:rsidRDefault="006F3A1A" w:rsidP="002707EC">
      <w:pPr>
        <w:spacing w:before="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74FE64C" w14:textId="77777777" w:rsidR="006F3A1A" w:rsidRPr="001569FB" w:rsidRDefault="00EE73C0" w:rsidP="002707EC">
      <w:pPr>
        <w:spacing w:before="60" w:line="240" w:lineRule="auto"/>
        <w:rPr>
          <w:sz w:val="20"/>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3F42B0C6" w14:textId="77777777" w:rsidR="006F3A1A" w:rsidRPr="001569FB" w:rsidRDefault="006F3A1A" w:rsidP="008D4E91">
      <w:pPr>
        <w:spacing w:line="240" w:lineRule="auto"/>
        <w:jc w:val="center"/>
        <w:rPr>
          <w:b/>
          <w:szCs w:val="24"/>
        </w:rPr>
        <w:sectPr w:rsidR="006F3A1A" w:rsidRPr="001569FB">
          <w:pgSz w:w="12240" w:h="15840"/>
          <w:pgMar w:top="1440" w:right="1440" w:bottom="1440" w:left="1440" w:header="720" w:footer="720" w:gutter="0"/>
          <w:cols w:space="720"/>
          <w:docGrid w:linePitch="360"/>
        </w:sectPr>
      </w:pPr>
    </w:p>
    <w:p w14:paraId="7C847A7C" w14:textId="77777777" w:rsidR="006F3A1A" w:rsidRPr="001569FB" w:rsidRDefault="006F3A1A" w:rsidP="007C3604">
      <w:pPr>
        <w:pStyle w:val="HeadingA"/>
      </w:pPr>
      <w:bookmarkStart w:id="573" w:name="_Toc503950406"/>
      <w:bookmarkStart w:id="574" w:name="_Toc503980154"/>
      <w:bookmarkStart w:id="575" w:name="_Toc505253815"/>
      <w:r w:rsidRPr="001569FB">
        <w:lastRenderedPageBreak/>
        <w:t xml:space="preserve">Table </w:t>
      </w:r>
      <w:r w:rsidR="00440F3D" w:rsidRPr="001569FB">
        <w:t>V-</w:t>
      </w:r>
      <w:r w:rsidR="00C54680" w:rsidRPr="001569FB">
        <w:t>3</w:t>
      </w:r>
      <w:r w:rsidRPr="001569FB">
        <w:t>. RxHCC Model Relative Factors for New Enrollees, Low Income</w:t>
      </w:r>
      <w:bookmarkEnd w:id="573"/>
      <w:bookmarkEnd w:id="574"/>
      <w:bookmarkEnd w:id="575"/>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589D02DB" w14:textId="77777777" w:rsidTr="007C3604">
        <w:trPr>
          <w:cantSplit/>
          <w:trHeight w:hRule="exact" w:val="1072"/>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015BF018"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F1684BD"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DEF0D1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36D62D22"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518E3BE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14D2AB1E"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A8361A7"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3D461231"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4434C96D"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8203C74"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7BC1085"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552D558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FB477B"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2F2329D" w14:textId="77777777" w:rsidR="006F3A1A" w:rsidRPr="001569FB" w:rsidRDefault="006F3A1A" w:rsidP="008D4E91">
            <w:pPr>
              <w:spacing w:line="240" w:lineRule="auto"/>
              <w:jc w:val="center"/>
              <w:rPr>
                <w:color w:val="000000"/>
                <w:sz w:val="20"/>
                <w:szCs w:val="20"/>
              </w:rPr>
            </w:pPr>
            <w:r w:rsidRPr="001569FB">
              <w:rPr>
                <w:color w:val="000000"/>
                <w:sz w:val="20"/>
                <w:szCs w:val="20"/>
              </w:rPr>
              <w:t>1.010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08CB7D5" w14:textId="77777777" w:rsidR="006F3A1A" w:rsidRPr="001569FB" w:rsidRDefault="006F3A1A" w:rsidP="008D4E91">
            <w:pPr>
              <w:spacing w:line="240" w:lineRule="auto"/>
              <w:jc w:val="center"/>
              <w:rPr>
                <w:color w:val="000000"/>
                <w:sz w:val="20"/>
                <w:szCs w:val="20"/>
              </w:rPr>
            </w:pPr>
            <w:r w:rsidRPr="001569FB">
              <w:rPr>
                <w:color w:val="000000"/>
                <w:sz w:val="20"/>
                <w:szCs w:val="20"/>
              </w:rPr>
              <w:t>2.122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175378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48E0050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857471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736E52C"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002AD9E" w14:textId="77777777" w:rsidR="006F3A1A" w:rsidRPr="001569FB" w:rsidRDefault="006F3A1A" w:rsidP="008D4E91">
            <w:pPr>
              <w:spacing w:line="240" w:lineRule="auto"/>
              <w:jc w:val="center"/>
              <w:rPr>
                <w:color w:val="000000"/>
                <w:sz w:val="20"/>
                <w:szCs w:val="20"/>
              </w:rPr>
            </w:pPr>
            <w:r w:rsidRPr="001569FB">
              <w:rPr>
                <w:color w:val="000000"/>
                <w:sz w:val="20"/>
                <w:szCs w:val="20"/>
              </w:rPr>
              <w:t>1.510</w:t>
            </w:r>
          </w:p>
        </w:tc>
        <w:tc>
          <w:tcPr>
            <w:tcW w:w="0" w:type="auto"/>
            <w:tcBorders>
              <w:top w:val="nil"/>
              <w:left w:val="nil"/>
              <w:bottom w:val="single" w:sz="4" w:space="0" w:color="auto"/>
              <w:right w:val="single" w:sz="4" w:space="0" w:color="auto"/>
            </w:tcBorders>
            <w:shd w:val="clear" w:color="000000" w:fill="FFFFFF"/>
            <w:noWrap/>
            <w:vAlign w:val="center"/>
            <w:hideMark/>
          </w:tcPr>
          <w:p w14:paraId="21CB37B4" w14:textId="77777777" w:rsidR="006F3A1A" w:rsidRPr="001569FB" w:rsidRDefault="006F3A1A" w:rsidP="008D4E91">
            <w:pPr>
              <w:spacing w:line="240" w:lineRule="auto"/>
              <w:jc w:val="center"/>
              <w:rPr>
                <w:color w:val="000000"/>
                <w:sz w:val="20"/>
                <w:szCs w:val="20"/>
              </w:rPr>
            </w:pPr>
            <w:r w:rsidRPr="001569FB">
              <w:rPr>
                <w:color w:val="000000"/>
                <w:sz w:val="20"/>
                <w:szCs w:val="20"/>
              </w:rPr>
              <w:t>2.168</w:t>
            </w:r>
          </w:p>
        </w:tc>
        <w:tc>
          <w:tcPr>
            <w:tcW w:w="0" w:type="auto"/>
            <w:tcBorders>
              <w:top w:val="nil"/>
              <w:left w:val="nil"/>
              <w:bottom w:val="single" w:sz="4" w:space="0" w:color="auto"/>
              <w:right w:val="single" w:sz="4" w:space="0" w:color="auto"/>
            </w:tcBorders>
            <w:shd w:val="clear" w:color="000000" w:fill="FFFFFF"/>
            <w:noWrap/>
            <w:vAlign w:val="center"/>
            <w:hideMark/>
          </w:tcPr>
          <w:p w14:paraId="0C24BBC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8455EE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5D6B02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74F48F2"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67AE54F6" w14:textId="77777777" w:rsidR="006F3A1A" w:rsidRPr="001569FB" w:rsidRDefault="006F3A1A" w:rsidP="008D4E91">
            <w:pPr>
              <w:spacing w:line="240" w:lineRule="auto"/>
              <w:jc w:val="center"/>
              <w:rPr>
                <w:color w:val="000000"/>
                <w:sz w:val="20"/>
                <w:szCs w:val="20"/>
              </w:rPr>
            </w:pPr>
            <w:r w:rsidRPr="001569FB">
              <w:rPr>
                <w:color w:val="000000"/>
                <w:sz w:val="20"/>
                <w:szCs w:val="20"/>
              </w:rPr>
              <w:t>1.562</w:t>
            </w:r>
          </w:p>
        </w:tc>
        <w:tc>
          <w:tcPr>
            <w:tcW w:w="0" w:type="auto"/>
            <w:tcBorders>
              <w:top w:val="nil"/>
              <w:left w:val="nil"/>
              <w:bottom w:val="single" w:sz="4" w:space="0" w:color="auto"/>
              <w:right w:val="single" w:sz="4" w:space="0" w:color="auto"/>
            </w:tcBorders>
            <w:shd w:val="clear" w:color="000000" w:fill="FFFFFF"/>
            <w:noWrap/>
            <w:vAlign w:val="center"/>
            <w:hideMark/>
          </w:tcPr>
          <w:p w14:paraId="25FE5489" w14:textId="77777777" w:rsidR="006F3A1A" w:rsidRPr="001569FB" w:rsidRDefault="006F3A1A" w:rsidP="008D4E91">
            <w:pPr>
              <w:spacing w:line="240" w:lineRule="auto"/>
              <w:jc w:val="center"/>
              <w:rPr>
                <w:color w:val="000000"/>
                <w:sz w:val="20"/>
                <w:szCs w:val="20"/>
              </w:rPr>
            </w:pPr>
            <w:r w:rsidRPr="001569FB">
              <w:rPr>
                <w:color w:val="000000"/>
                <w:sz w:val="20"/>
                <w:szCs w:val="20"/>
              </w:rPr>
              <w:t>2.254</w:t>
            </w:r>
          </w:p>
        </w:tc>
        <w:tc>
          <w:tcPr>
            <w:tcW w:w="0" w:type="auto"/>
            <w:tcBorders>
              <w:top w:val="nil"/>
              <w:left w:val="nil"/>
              <w:bottom w:val="single" w:sz="4" w:space="0" w:color="auto"/>
              <w:right w:val="single" w:sz="4" w:space="0" w:color="auto"/>
            </w:tcBorders>
            <w:shd w:val="clear" w:color="000000" w:fill="FFFFFF"/>
            <w:noWrap/>
            <w:vAlign w:val="center"/>
            <w:hideMark/>
          </w:tcPr>
          <w:p w14:paraId="28FDC63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A9F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6A96DF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83152B1"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073E0774" w14:textId="77777777" w:rsidR="006F3A1A" w:rsidRPr="001569FB" w:rsidRDefault="006F3A1A" w:rsidP="008D4E91">
            <w:pPr>
              <w:spacing w:line="240" w:lineRule="auto"/>
              <w:jc w:val="center"/>
              <w:rPr>
                <w:color w:val="000000"/>
                <w:sz w:val="20"/>
                <w:szCs w:val="20"/>
              </w:rPr>
            </w:pPr>
            <w:r w:rsidRPr="001569FB">
              <w:rPr>
                <w:color w:val="000000"/>
                <w:sz w:val="20"/>
                <w:szCs w:val="20"/>
              </w:rPr>
              <w:t>1.446</w:t>
            </w:r>
          </w:p>
        </w:tc>
        <w:tc>
          <w:tcPr>
            <w:tcW w:w="0" w:type="auto"/>
            <w:tcBorders>
              <w:top w:val="nil"/>
              <w:left w:val="nil"/>
              <w:bottom w:val="single" w:sz="4" w:space="0" w:color="auto"/>
              <w:right w:val="single" w:sz="4" w:space="0" w:color="auto"/>
            </w:tcBorders>
            <w:shd w:val="clear" w:color="000000" w:fill="FFFFFF"/>
            <w:noWrap/>
            <w:vAlign w:val="center"/>
            <w:hideMark/>
          </w:tcPr>
          <w:p w14:paraId="71B094A0" w14:textId="77777777" w:rsidR="006F3A1A" w:rsidRPr="001569FB" w:rsidRDefault="006F3A1A" w:rsidP="008D4E91">
            <w:pPr>
              <w:spacing w:line="240" w:lineRule="auto"/>
              <w:jc w:val="center"/>
              <w:rPr>
                <w:color w:val="000000"/>
                <w:sz w:val="20"/>
                <w:szCs w:val="20"/>
              </w:rPr>
            </w:pPr>
            <w:r w:rsidRPr="001569FB">
              <w:rPr>
                <w:color w:val="000000"/>
                <w:sz w:val="20"/>
                <w:szCs w:val="20"/>
              </w:rPr>
              <w:t>2.368</w:t>
            </w:r>
          </w:p>
        </w:tc>
        <w:tc>
          <w:tcPr>
            <w:tcW w:w="0" w:type="auto"/>
            <w:tcBorders>
              <w:top w:val="nil"/>
              <w:left w:val="nil"/>
              <w:bottom w:val="single" w:sz="4" w:space="0" w:color="auto"/>
              <w:right w:val="single" w:sz="4" w:space="0" w:color="auto"/>
            </w:tcBorders>
            <w:shd w:val="clear" w:color="000000" w:fill="FFFFFF"/>
            <w:noWrap/>
            <w:vAlign w:val="center"/>
            <w:hideMark/>
          </w:tcPr>
          <w:p w14:paraId="1E42B3C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FF7209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02945E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CED3A9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3ED3E65" w14:textId="77777777" w:rsidR="006F3A1A" w:rsidRPr="001569FB" w:rsidRDefault="006F3A1A" w:rsidP="008D4E91">
            <w:pPr>
              <w:spacing w:line="240" w:lineRule="auto"/>
              <w:jc w:val="center"/>
              <w:rPr>
                <w:color w:val="000000"/>
                <w:sz w:val="20"/>
                <w:szCs w:val="20"/>
              </w:rPr>
            </w:pPr>
            <w:r w:rsidRPr="001569FB">
              <w:rPr>
                <w:color w:val="000000"/>
                <w:sz w:val="20"/>
                <w:szCs w:val="20"/>
              </w:rPr>
              <w:t>1.357</w:t>
            </w:r>
          </w:p>
        </w:tc>
        <w:tc>
          <w:tcPr>
            <w:tcW w:w="0" w:type="auto"/>
            <w:tcBorders>
              <w:top w:val="nil"/>
              <w:left w:val="nil"/>
              <w:bottom w:val="single" w:sz="4" w:space="0" w:color="auto"/>
              <w:right w:val="single" w:sz="4" w:space="0" w:color="auto"/>
            </w:tcBorders>
            <w:shd w:val="clear" w:color="000000" w:fill="FFFFFF"/>
            <w:noWrap/>
            <w:vAlign w:val="center"/>
            <w:hideMark/>
          </w:tcPr>
          <w:p w14:paraId="1F7F81A2" w14:textId="77777777" w:rsidR="006F3A1A" w:rsidRPr="001569FB" w:rsidRDefault="006F3A1A" w:rsidP="008D4E91">
            <w:pPr>
              <w:spacing w:line="240" w:lineRule="auto"/>
              <w:jc w:val="center"/>
              <w:rPr>
                <w:color w:val="000000"/>
                <w:sz w:val="20"/>
                <w:szCs w:val="20"/>
              </w:rPr>
            </w:pPr>
            <w:r w:rsidRPr="001569FB">
              <w:rPr>
                <w:color w:val="000000"/>
                <w:sz w:val="20"/>
                <w:szCs w:val="20"/>
              </w:rPr>
              <w:t>2.204</w:t>
            </w:r>
          </w:p>
        </w:tc>
        <w:tc>
          <w:tcPr>
            <w:tcW w:w="0" w:type="auto"/>
            <w:tcBorders>
              <w:top w:val="nil"/>
              <w:left w:val="nil"/>
              <w:bottom w:val="single" w:sz="4" w:space="0" w:color="auto"/>
              <w:right w:val="single" w:sz="4" w:space="0" w:color="auto"/>
            </w:tcBorders>
            <w:shd w:val="clear" w:color="000000" w:fill="FFFFFF"/>
            <w:noWrap/>
            <w:vAlign w:val="center"/>
            <w:hideMark/>
          </w:tcPr>
          <w:p w14:paraId="799CEEA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47B7AF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80DCF5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6B5F2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42EF3EC" w14:textId="77777777" w:rsidR="006F3A1A" w:rsidRPr="001569FB" w:rsidRDefault="006F3A1A" w:rsidP="008D4E91">
            <w:pPr>
              <w:spacing w:line="240" w:lineRule="auto"/>
              <w:jc w:val="center"/>
              <w:rPr>
                <w:color w:val="000000"/>
                <w:sz w:val="20"/>
                <w:szCs w:val="20"/>
              </w:rPr>
            </w:pPr>
            <w:r w:rsidRPr="001569FB">
              <w:rPr>
                <w:color w:val="000000"/>
                <w:sz w:val="20"/>
                <w:szCs w:val="20"/>
              </w:rPr>
              <w:t>0.889</w:t>
            </w:r>
          </w:p>
        </w:tc>
        <w:tc>
          <w:tcPr>
            <w:tcW w:w="0" w:type="auto"/>
            <w:tcBorders>
              <w:top w:val="nil"/>
              <w:left w:val="nil"/>
              <w:bottom w:val="single" w:sz="4" w:space="0" w:color="auto"/>
              <w:right w:val="single" w:sz="4" w:space="0" w:color="auto"/>
            </w:tcBorders>
            <w:shd w:val="clear" w:color="000000" w:fill="FFFFFF"/>
            <w:noWrap/>
            <w:vAlign w:val="center"/>
            <w:hideMark/>
          </w:tcPr>
          <w:p w14:paraId="485095E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929701" w14:textId="77777777" w:rsidR="006F3A1A" w:rsidRPr="001569FB" w:rsidRDefault="006F3A1A" w:rsidP="008D4E91">
            <w:pPr>
              <w:spacing w:line="240" w:lineRule="auto"/>
              <w:jc w:val="center"/>
              <w:rPr>
                <w:color w:val="000000"/>
                <w:sz w:val="20"/>
                <w:szCs w:val="20"/>
              </w:rPr>
            </w:pPr>
            <w:r w:rsidRPr="001569FB">
              <w:rPr>
                <w:color w:val="000000"/>
                <w:sz w:val="20"/>
                <w:szCs w:val="20"/>
              </w:rPr>
              <w:t>1.232</w:t>
            </w:r>
          </w:p>
        </w:tc>
        <w:tc>
          <w:tcPr>
            <w:tcW w:w="0" w:type="auto"/>
            <w:tcBorders>
              <w:top w:val="nil"/>
              <w:left w:val="nil"/>
              <w:bottom w:val="single" w:sz="4" w:space="0" w:color="auto"/>
              <w:right w:val="single" w:sz="4" w:space="0" w:color="auto"/>
            </w:tcBorders>
            <w:shd w:val="clear" w:color="000000" w:fill="FFFFFF"/>
            <w:noWrap/>
            <w:vAlign w:val="center"/>
            <w:hideMark/>
          </w:tcPr>
          <w:p w14:paraId="50B7D907"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22E39D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D70DE0"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493C0DBC"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1FE7CA7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1A4E7FDC"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08BEBD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E2A0C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12D77FE"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61134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5F2D79F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EADA7AA"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17060CE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B5ACB9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E3628D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4ECA6719"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45E2087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B6C9E85"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610A188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335217E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540C7E1"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140D7C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0FA2F3B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796C8812"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3AD1D83"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BF44F5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6C2001"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14C8D1" w14:textId="77777777" w:rsidR="006F3A1A" w:rsidRPr="001569FB" w:rsidRDefault="006F3A1A" w:rsidP="008D4E91">
            <w:pPr>
              <w:spacing w:line="240" w:lineRule="auto"/>
              <w:jc w:val="center"/>
              <w:rPr>
                <w:color w:val="000000"/>
                <w:sz w:val="20"/>
                <w:szCs w:val="20"/>
              </w:rPr>
            </w:pPr>
            <w:r w:rsidRPr="001569FB">
              <w:rPr>
                <w:color w:val="000000"/>
                <w:sz w:val="20"/>
                <w:szCs w:val="20"/>
              </w:rPr>
              <w:t>0.598</w:t>
            </w:r>
          </w:p>
        </w:tc>
        <w:tc>
          <w:tcPr>
            <w:tcW w:w="0" w:type="auto"/>
            <w:tcBorders>
              <w:top w:val="nil"/>
              <w:left w:val="nil"/>
              <w:bottom w:val="single" w:sz="4" w:space="0" w:color="auto"/>
              <w:right w:val="single" w:sz="4" w:space="0" w:color="auto"/>
            </w:tcBorders>
            <w:shd w:val="clear" w:color="000000" w:fill="FFFFFF"/>
            <w:noWrap/>
            <w:vAlign w:val="center"/>
            <w:hideMark/>
          </w:tcPr>
          <w:p w14:paraId="1268B6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2FCA50" w14:textId="77777777" w:rsidR="006F3A1A" w:rsidRPr="001569FB" w:rsidRDefault="006F3A1A" w:rsidP="008D4E91">
            <w:pPr>
              <w:spacing w:line="240" w:lineRule="auto"/>
              <w:jc w:val="center"/>
              <w:rPr>
                <w:color w:val="000000"/>
                <w:sz w:val="20"/>
                <w:szCs w:val="20"/>
              </w:rPr>
            </w:pPr>
            <w:r w:rsidRPr="001569FB">
              <w:rPr>
                <w:color w:val="000000"/>
                <w:sz w:val="20"/>
                <w:szCs w:val="20"/>
              </w:rPr>
              <w:t>0.776</w:t>
            </w:r>
          </w:p>
        </w:tc>
        <w:tc>
          <w:tcPr>
            <w:tcW w:w="0" w:type="auto"/>
            <w:tcBorders>
              <w:top w:val="nil"/>
              <w:left w:val="nil"/>
              <w:bottom w:val="single" w:sz="4" w:space="0" w:color="auto"/>
              <w:right w:val="single" w:sz="4" w:space="0" w:color="auto"/>
            </w:tcBorders>
            <w:shd w:val="clear" w:color="000000" w:fill="FFFFFF"/>
            <w:noWrap/>
            <w:vAlign w:val="center"/>
            <w:hideMark/>
          </w:tcPr>
          <w:p w14:paraId="0271346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ECB307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694F3C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4B5A1AF3"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AC8B285"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07574C7"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150DD5A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0CD4BA8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40EAD7A"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220B45"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0F1729C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6A9F390"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40F186FF"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7972F9F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803C6D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04076"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2E5A93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4F9A4FBE"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6DF209E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1A96008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AECA67D"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BEBF0"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B5750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2FC8359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2EBCC31D"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F67606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79F48D0"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04B8FA2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476172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0745089"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9424B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1A69156"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4BE9E8DB"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6796F9C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25F8B6BC"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51871EAA"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47B04DD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1BCC1F9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22697A"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9357A57" w14:textId="77777777" w:rsidR="006F3A1A" w:rsidRPr="001569FB" w:rsidRDefault="006F3A1A" w:rsidP="008D4E91">
            <w:pPr>
              <w:spacing w:line="240" w:lineRule="auto"/>
              <w:jc w:val="center"/>
              <w:rPr>
                <w:color w:val="000000"/>
                <w:sz w:val="20"/>
                <w:szCs w:val="20"/>
              </w:rPr>
            </w:pPr>
            <w:r w:rsidRPr="001569FB">
              <w:rPr>
                <w:color w:val="000000"/>
                <w:sz w:val="20"/>
                <w:szCs w:val="20"/>
              </w:rPr>
              <w:t>0.871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3A30963" w14:textId="77777777" w:rsidR="006F3A1A" w:rsidRPr="001569FB" w:rsidRDefault="006F3A1A" w:rsidP="008D4E91">
            <w:pPr>
              <w:spacing w:line="240" w:lineRule="auto"/>
              <w:jc w:val="center"/>
              <w:rPr>
                <w:color w:val="000000"/>
                <w:sz w:val="20"/>
                <w:szCs w:val="20"/>
              </w:rPr>
            </w:pPr>
            <w:r w:rsidRPr="001569FB">
              <w:rPr>
                <w:color w:val="000000"/>
                <w:sz w:val="20"/>
                <w:szCs w:val="20"/>
              </w:rPr>
              <w:t>2.217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ABF42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FC175A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E9125C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0E52D4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0646C4" w14:textId="77777777" w:rsidR="006F3A1A" w:rsidRPr="001569FB" w:rsidRDefault="006F3A1A" w:rsidP="008D4E91">
            <w:pPr>
              <w:spacing w:line="240" w:lineRule="auto"/>
              <w:jc w:val="center"/>
              <w:rPr>
                <w:color w:val="000000"/>
                <w:sz w:val="20"/>
                <w:szCs w:val="20"/>
              </w:rPr>
            </w:pPr>
            <w:r w:rsidRPr="001569FB">
              <w:rPr>
                <w:color w:val="000000"/>
                <w:sz w:val="20"/>
                <w:szCs w:val="20"/>
              </w:rPr>
              <w:t>1.246</w:t>
            </w:r>
          </w:p>
        </w:tc>
        <w:tc>
          <w:tcPr>
            <w:tcW w:w="0" w:type="auto"/>
            <w:tcBorders>
              <w:top w:val="nil"/>
              <w:left w:val="nil"/>
              <w:bottom w:val="single" w:sz="4" w:space="0" w:color="auto"/>
              <w:right w:val="single" w:sz="4" w:space="0" w:color="auto"/>
            </w:tcBorders>
            <w:shd w:val="clear" w:color="000000" w:fill="FFFFFF"/>
            <w:noWrap/>
            <w:vAlign w:val="center"/>
            <w:hideMark/>
          </w:tcPr>
          <w:p w14:paraId="52D5CED4" w14:textId="77777777" w:rsidR="006F3A1A" w:rsidRPr="001569FB" w:rsidRDefault="006F3A1A" w:rsidP="008D4E91">
            <w:pPr>
              <w:spacing w:line="240" w:lineRule="auto"/>
              <w:jc w:val="center"/>
              <w:rPr>
                <w:color w:val="000000"/>
                <w:sz w:val="20"/>
                <w:szCs w:val="20"/>
              </w:rPr>
            </w:pPr>
            <w:r w:rsidRPr="001569FB">
              <w:rPr>
                <w:color w:val="000000"/>
                <w:sz w:val="20"/>
                <w:szCs w:val="20"/>
              </w:rPr>
              <w:t>2.221</w:t>
            </w:r>
          </w:p>
        </w:tc>
        <w:tc>
          <w:tcPr>
            <w:tcW w:w="0" w:type="auto"/>
            <w:tcBorders>
              <w:top w:val="nil"/>
              <w:left w:val="nil"/>
              <w:bottom w:val="single" w:sz="4" w:space="0" w:color="auto"/>
              <w:right w:val="single" w:sz="4" w:space="0" w:color="auto"/>
            </w:tcBorders>
            <w:shd w:val="clear" w:color="000000" w:fill="FFFFFF"/>
            <w:noWrap/>
            <w:vAlign w:val="center"/>
            <w:hideMark/>
          </w:tcPr>
          <w:p w14:paraId="6F6C8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1E5238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34D4AA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63D395"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4DB8D81D" w14:textId="77777777" w:rsidR="006F3A1A" w:rsidRPr="001569FB" w:rsidRDefault="006F3A1A" w:rsidP="008D4E91">
            <w:pPr>
              <w:spacing w:line="240" w:lineRule="auto"/>
              <w:jc w:val="center"/>
              <w:rPr>
                <w:color w:val="000000"/>
                <w:sz w:val="20"/>
                <w:szCs w:val="20"/>
              </w:rPr>
            </w:pPr>
            <w:r w:rsidRPr="001569FB">
              <w:rPr>
                <w:color w:val="000000"/>
                <w:sz w:val="20"/>
                <w:szCs w:val="20"/>
              </w:rPr>
              <w:t>1.442</w:t>
            </w:r>
          </w:p>
        </w:tc>
        <w:tc>
          <w:tcPr>
            <w:tcW w:w="0" w:type="auto"/>
            <w:tcBorders>
              <w:top w:val="nil"/>
              <w:left w:val="nil"/>
              <w:bottom w:val="single" w:sz="4" w:space="0" w:color="auto"/>
              <w:right w:val="single" w:sz="4" w:space="0" w:color="auto"/>
            </w:tcBorders>
            <w:shd w:val="clear" w:color="000000" w:fill="FFFFFF"/>
            <w:noWrap/>
            <w:vAlign w:val="center"/>
            <w:hideMark/>
          </w:tcPr>
          <w:p w14:paraId="4747BA55" w14:textId="77777777" w:rsidR="006F3A1A" w:rsidRPr="001569FB" w:rsidRDefault="006F3A1A" w:rsidP="008D4E91">
            <w:pPr>
              <w:spacing w:line="240" w:lineRule="auto"/>
              <w:jc w:val="center"/>
              <w:rPr>
                <w:color w:val="000000"/>
                <w:sz w:val="20"/>
                <w:szCs w:val="20"/>
              </w:rPr>
            </w:pPr>
            <w:r w:rsidRPr="001569FB">
              <w:rPr>
                <w:color w:val="000000"/>
                <w:sz w:val="20"/>
                <w:szCs w:val="20"/>
              </w:rPr>
              <w:t>2.299</w:t>
            </w:r>
          </w:p>
        </w:tc>
        <w:tc>
          <w:tcPr>
            <w:tcW w:w="0" w:type="auto"/>
            <w:tcBorders>
              <w:top w:val="nil"/>
              <w:left w:val="nil"/>
              <w:bottom w:val="single" w:sz="4" w:space="0" w:color="auto"/>
              <w:right w:val="single" w:sz="4" w:space="0" w:color="auto"/>
            </w:tcBorders>
            <w:shd w:val="clear" w:color="000000" w:fill="FFFFFF"/>
            <w:noWrap/>
            <w:vAlign w:val="center"/>
            <w:hideMark/>
          </w:tcPr>
          <w:p w14:paraId="25C43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4184CF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ACE9B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3638BF"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662BBAD2" w14:textId="77777777" w:rsidR="006F3A1A" w:rsidRPr="001569FB" w:rsidRDefault="006F3A1A" w:rsidP="008D4E91">
            <w:pPr>
              <w:spacing w:line="240" w:lineRule="auto"/>
              <w:jc w:val="center"/>
              <w:rPr>
                <w:color w:val="000000"/>
                <w:sz w:val="20"/>
                <w:szCs w:val="20"/>
              </w:rPr>
            </w:pPr>
            <w:r w:rsidRPr="001569FB">
              <w:rPr>
                <w:color w:val="000000"/>
                <w:sz w:val="20"/>
                <w:szCs w:val="20"/>
              </w:rPr>
              <w:t>1.358</w:t>
            </w:r>
          </w:p>
        </w:tc>
        <w:tc>
          <w:tcPr>
            <w:tcW w:w="0" w:type="auto"/>
            <w:tcBorders>
              <w:top w:val="nil"/>
              <w:left w:val="nil"/>
              <w:bottom w:val="single" w:sz="4" w:space="0" w:color="auto"/>
              <w:right w:val="single" w:sz="4" w:space="0" w:color="auto"/>
            </w:tcBorders>
            <w:shd w:val="clear" w:color="000000" w:fill="FFFFFF"/>
            <w:noWrap/>
            <w:vAlign w:val="center"/>
            <w:hideMark/>
          </w:tcPr>
          <w:p w14:paraId="36AAF669" w14:textId="77777777" w:rsidR="006F3A1A" w:rsidRPr="001569FB" w:rsidRDefault="006F3A1A" w:rsidP="008D4E91">
            <w:pPr>
              <w:spacing w:line="240" w:lineRule="auto"/>
              <w:jc w:val="center"/>
              <w:rPr>
                <w:color w:val="000000"/>
                <w:sz w:val="20"/>
                <w:szCs w:val="20"/>
              </w:rPr>
            </w:pPr>
            <w:r w:rsidRPr="001569FB">
              <w:rPr>
                <w:color w:val="000000"/>
                <w:sz w:val="20"/>
                <w:szCs w:val="20"/>
              </w:rPr>
              <w:t>2.159</w:t>
            </w:r>
          </w:p>
        </w:tc>
        <w:tc>
          <w:tcPr>
            <w:tcW w:w="0" w:type="auto"/>
            <w:tcBorders>
              <w:top w:val="nil"/>
              <w:left w:val="nil"/>
              <w:bottom w:val="single" w:sz="4" w:space="0" w:color="auto"/>
              <w:right w:val="single" w:sz="4" w:space="0" w:color="auto"/>
            </w:tcBorders>
            <w:shd w:val="clear" w:color="000000" w:fill="FFFFFF"/>
            <w:noWrap/>
            <w:vAlign w:val="center"/>
            <w:hideMark/>
          </w:tcPr>
          <w:p w14:paraId="57BBF81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129F51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BC55E0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18F1AA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9FF28BA" w14:textId="77777777" w:rsidR="006F3A1A" w:rsidRPr="001569FB" w:rsidRDefault="006F3A1A" w:rsidP="008D4E91">
            <w:pPr>
              <w:spacing w:line="240" w:lineRule="auto"/>
              <w:jc w:val="center"/>
              <w:rPr>
                <w:color w:val="000000"/>
                <w:sz w:val="20"/>
                <w:szCs w:val="20"/>
              </w:rPr>
            </w:pPr>
            <w:r w:rsidRPr="001569FB">
              <w:rPr>
                <w:color w:val="000000"/>
                <w:sz w:val="20"/>
                <w:szCs w:val="20"/>
              </w:rPr>
              <w:t>1.271</w:t>
            </w:r>
          </w:p>
        </w:tc>
        <w:tc>
          <w:tcPr>
            <w:tcW w:w="0" w:type="auto"/>
            <w:tcBorders>
              <w:top w:val="nil"/>
              <w:left w:val="nil"/>
              <w:bottom w:val="single" w:sz="4" w:space="0" w:color="auto"/>
              <w:right w:val="single" w:sz="4" w:space="0" w:color="auto"/>
            </w:tcBorders>
            <w:shd w:val="clear" w:color="000000" w:fill="FFFFFF"/>
            <w:noWrap/>
            <w:vAlign w:val="center"/>
            <w:hideMark/>
          </w:tcPr>
          <w:p w14:paraId="7CCA4527" w14:textId="77777777" w:rsidR="006F3A1A" w:rsidRPr="001569FB" w:rsidRDefault="006F3A1A" w:rsidP="008D4E91">
            <w:pPr>
              <w:spacing w:line="240" w:lineRule="auto"/>
              <w:jc w:val="center"/>
              <w:rPr>
                <w:color w:val="000000"/>
                <w:sz w:val="20"/>
                <w:szCs w:val="20"/>
              </w:rPr>
            </w:pPr>
            <w:r w:rsidRPr="001569FB">
              <w:rPr>
                <w:color w:val="000000"/>
                <w:sz w:val="20"/>
                <w:szCs w:val="20"/>
              </w:rPr>
              <w:t>2.112</w:t>
            </w:r>
          </w:p>
        </w:tc>
        <w:tc>
          <w:tcPr>
            <w:tcW w:w="0" w:type="auto"/>
            <w:tcBorders>
              <w:top w:val="nil"/>
              <w:left w:val="nil"/>
              <w:bottom w:val="single" w:sz="4" w:space="0" w:color="auto"/>
              <w:right w:val="single" w:sz="4" w:space="0" w:color="auto"/>
            </w:tcBorders>
            <w:shd w:val="clear" w:color="000000" w:fill="FFFFFF"/>
            <w:noWrap/>
            <w:vAlign w:val="center"/>
            <w:hideMark/>
          </w:tcPr>
          <w:p w14:paraId="76CBEFD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8BBE82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99150D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DB43DA8"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16AE2216" w14:textId="77777777" w:rsidR="006F3A1A" w:rsidRPr="001569FB" w:rsidRDefault="006F3A1A" w:rsidP="008D4E91">
            <w:pPr>
              <w:spacing w:line="240" w:lineRule="auto"/>
              <w:jc w:val="center"/>
              <w:rPr>
                <w:color w:val="000000"/>
                <w:sz w:val="20"/>
                <w:szCs w:val="20"/>
              </w:rPr>
            </w:pPr>
            <w:r w:rsidRPr="001569FB">
              <w:rPr>
                <w:color w:val="000000"/>
                <w:sz w:val="20"/>
                <w:szCs w:val="20"/>
              </w:rPr>
              <w:t>0.884</w:t>
            </w:r>
          </w:p>
        </w:tc>
        <w:tc>
          <w:tcPr>
            <w:tcW w:w="0" w:type="auto"/>
            <w:tcBorders>
              <w:top w:val="nil"/>
              <w:left w:val="nil"/>
              <w:bottom w:val="single" w:sz="4" w:space="0" w:color="auto"/>
              <w:right w:val="single" w:sz="4" w:space="0" w:color="auto"/>
            </w:tcBorders>
            <w:shd w:val="clear" w:color="000000" w:fill="FFFFFF"/>
            <w:noWrap/>
            <w:vAlign w:val="center"/>
            <w:hideMark/>
          </w:tcPr>
          <w:p w14:paraId="315E677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DB4AA16" w14:textId="77777777" w:rsidR="006F3A1A" w:rsidRPr="001569FB" w:rsidRDefault="006F3A1A" w:rsidP="008D4E91">
            <w:pPr>
              <w:spacing w:line="240" w:lineRule="auto"/>
              <w:jc w:val="center"/>
              <w:rPr>
                <w:color w:val="000000"/>
                <w:sz w:val="20"/>
                <w:szCs w:val="20"/>
              </w:rPr>
            </w:pPr>
            <w:r w:rsidRPr="001569FB">
              <w:rPr>
                <w:color w:val="000000"/>
                <w:sz w:val="20"/>
                <w:szCs w:val="20"/>
              </w:rPr>
              <w:t>1.129</w:t>
            </w:r>
          </w:p>
        </w:tc>
        <w:tc>
          <w:tcPr>
            <w:tcW w:w="0" w:type="auto"/>
            <w:tcBorders>
              <w:top w:val="nil"/>
              <w:left w:val="nil"/>
              <w:bottom w:val="single" w:sz="4" w:space="0" w:color="auto"/>
              <w:right w:val="single" w:sz="4" w:space="0" w:color="auto"/>
            </w:tcBorders>
            <w:shd w:val="clear" w:color="000000" w:fill="FFFFFF"/>
            <w:noWrap/>
            <w:vAlign w:val="center"/>
            <w:hideMark/>
          </w:tcPr>
          <w:p w14:paraId="66EDBDA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2A05A12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7F3AB"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05ABC89B" w14:textId="77777777" w:rsidR="006F3A1A" w:rsidRPr="001569FB" w:rsidRDefault="006F3A1A" w:rsidP="008D4E91">
            <w:pPr>
              <w:spacing w:line="240" w:lineRule="auto"/>
              <w:jc w:val="center"/>
              <w:rPr>
                <w:color w:val="000000"/>
                <w:sz w:val="20"/>
                <w:szCs w:val="20"/>
              </w:rPr>
            </w:pPr>
            <w:r w:rsidRPr="001569FB">
              <w:rPr>
                <w:color w:val="000000"/>
                <w:sz w:val="20"/>
                <w:szCs w:val="20"/>
              </w:rPr>
              <w:t>0.571</w:t>
            </w:r>
          </w:p>
        </w:tc>
        <w:tc>
          <w:tcPr>
            <w:tcW w:w="0" w:type="auto"/>
            <w:tcBorders>
              <w:top w:val="nil"/>
              <w:left w:val="nil"/>
              <w:bottom w:val="single" w:sz="4" w:space="0" w:color="auto"/>
              <w:right w:val="single" w:sz="4" w:space="0" w:color="auto"/>
            </w:tcBorders>
            <w:shd w:val="clear" w:color="000000" w:fill="FFFFFF"/>
            <w:noWrap/>
            <w:vAlign w:val="center"/>
            <w:hideMark/>
          </w:tcPr>
          <w:p w14:paraId="2A3BA1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CBCDCD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472251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2C4685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504E934"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735007" w14:textId="77777777" w:rsidR="006F3A1A" w:rsidRPr="001569FB" w:rsidRDefault="006F3A1A" w:rsidP="008D4E91">
            <w:pPr>
              <w:spacing w:line="240" w:lineRule="auto"/>
              <w:jc w:val="center"/>
              <w:rPr>
                <w:color w:val="000000"/>
                <w:sz w:val="20"/>
                <w:szCs w:val="20"/>
              </w:rPr>
            </w:pPr>
            <w:r w:rsidRPr="001569FB">
              <w:rPr>
                <w:color w:val="000000"/>
                <w:sz w:val="20"/>
                <w:szCs w:val="20"/>
              </w:rPr>
              <w:t>0.546</w:t>
            </w:r>
          </w:p>
        </w:tc>
        <w:tc>
          <w:tcPr>
            <w:tcW w:w="0" w:type="auto"/>
            <w:tcBorders>
              <w:top w:val="nil"/>
              <w:left w:val="nil"/>
              <w:bottom w:val="single" w:sz="4" w:space="0" w:color="auto"/>
              <w:right w:val="single" w:sz="4" w:space="0" w:color="auto"/>
            </w:tcBorders>
            <w:shd w:val="clear" w:color="000000" w:fill="FFFFFF"/>
            <w:noWrap/>
            <w:vAlign w:val="center"/>
            <w:hideMark/>
          </w:tcPr>
          <w:p w14:paraId="1AD1D1B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E683E83"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033154A"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C6BC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3E47F46"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6FF346DE" w14:textId="77777777" w:rsidR="006F3A1A" w:rsidRPr="001569FB" w:rsidRDefault="006F3A1A" w:rsidP="008D4E91">
            <w:pPr>
              <w:spacing w:line="240" w:lineRule="auto"/>
              <w:jc w:val="center"/>
              <w:rPr>
                <w:color w:val="000000"/>
                <w:sz w:val="20"/>
                <w:szCs w:val="20"/>
              </w:rPr>
            </w:pPr>
            <w:r w:rsidRPr="001569FB">
              <w:rPr>
                <w:color w:val="000000"/>
                <w:sz w:val="20"/>
                <w:szCs w:val="20"/>
              </w:rPr>
              <w:t>0.494</w:t>
            </w:r>
          </w:p>
        </w:tc>
        <w:tc>
          <w:tcPr>
            <w:tcW w:w="0" w:type="auto"/>
            <w:tcBorders>
              <w:top w:val="nil"/>
              <w:left w:val="nil"/>
              <w:bottom w:val="single" w:sz="4" w:space="0" w:color="auto"/>
              <w:right w:val="single" w:sz="4" w:space="0" w:color="auto"/>
            </w:tcBorders>
            <w:shd w:val="clear" w:color="000000" w:fill="FFFFFF"/>
            <w:noWrap/>
            <w:vAlign w:val="center"/>
            <w:hideMark/>
          </w:tcPr>
          <w:p w14:paraId="62F2937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F0FBD0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69D49B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83BBE2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D6D8910"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E301F07" w14:textId="77777777" w:rsidR="006F3A1A" w:rsidRPr="001569FB" w:rsidRDefault="006F3A1A" w:rsidP="008D4E91">
            <w:pPr>
              <w:spacing w:line="240" w:lineRule="auto"/>
              <w:jc w:val="center"/>
              <w:rPr>
                <w:color w:val="000000"/>
                <w:sz w:val="20"/>
                <w:szCs w:val="20"/>
              </w:rPr>
            </w:pPr>
            <w:r w:rsidRPr="001569FB">
              <w:rPr>
                <w:color w:val="000000"/>
                <w:sz w:val="20"/>
                <w:szCs w:val="20"/>
              </w:rPr>
              <w:t>0.514</w:t>
            </w:r>
          </w:p>
        </w:tc>
        <w:tc>
          <w:tcPr>
            <w:tcW w:w="0" w:type="auto"/>
            <w:tcBorders>
              <w:top w:val="nil"/>
              <w:left w:val="nil"/>
              <w:bottom w:val="single" w:sz="4" w:space="0" w:color="auto"/>
              <w:right w:val="single" w:sz="4" w:space="0" w:color="auto"/>
            </w:tcBorders>
            <w:shd w:val="clear" w:color="000000" w:fill="FFFFFF"/>
            <w:noWrap/>
            <w:vAlign w:val="center"/>
            <w:hideMark/>
          </w:tcPr>
          <w:p w14:paraId="37231EE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5964F861"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11997C2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015DE6F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9BE0C"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5FCA5D5" w14:textId="77777777" w:rsidR="006F3A1A" w:rsidRPr="001569FB" w:rsidRDefault="006F3A1A" w:rsidP="008D4E91">
            <w:pPr>
              <w:spacing w:line="240" w:lineRule="auto"/>
              <w:jc w:val="center"/>
              <w:rPr>
                <w:color w:val="000000"/>
                <w:sz w:val="20"/>
                <w:szCs w:val="20"/>
              </w:rPr>
            </w:pPr>
            <w:r w:rsidRPr="001569FB">
              <w:rPr>
                <w:color w:val="000000"/>
                <w:sz w:val="20"/>
                <w:szCs w:val="20"/>
              </w:rPr>
              <w:t>0.520</w:t>
            </w:r>
          </w:p>
        </w:tc>
        <w:tc>
          <w:tcPr>
            <w:tcW w:w="0" w:type="auto"/>
            <w:tcBorders>
              <w:top w:val="nil"/>
              <w:left w:val="nil"/>
              <w:bottom w:val="single" w:sz="4" w:space="0" w:color="auto"/>
              <w:right w:val="single" w:sz="4" w:space="0" w:color="auto"/>
            </w:tcBorders>
            <w:shd w:val="clear" w:color="000000" w:fill="FFFFFF"/>
            <w:noWrap/>
            <w:vAlign w:val="center"/>
            <w:hideMark/>
          </w:tcPr>
          <w:p w14:paraId="68729D3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10053F37" w14:textId="77777777" w:rsidR="006F3A1A" w:rsidRPr="001569FB" w:rsidRDefault="006F3A1A" w:rsidP="008D4E91">
            <w:pPr>
              <w:spacing w:line="240" w:lineRule="auto"/>
              <w:jc w:val="center"/>
              <w:rPr>
                <w:color w:val="000000"/>
                <w:sz w:val="20"/>
                <w:szCs w:val="20"/>
              </w:rPr>
            </w:pPr>
            <w:r w:rsidRPr="001569FB">
              <w:rPr>
                <w:color w:val="000000"/>
                <w:sz w:val="20"/>
                <w:szCs w:val="20"/>
              </w:rPr>
              <w:t>0.583</w:t>
            </w:r>
          </w:p>
        </w:tc>
        <w:tc>
          <w:tcPr>
            <w:tcW w:w="0" w:type="auto"/>
            <w:tcBorders>
              <w:top w:val="nil"/>
              <w:left w:val="nil"/>
              <w:bottom w:val="single" w:sz="4" w:space="0" w:color="auto"/>
              <w:right w:val="single" w:sz="4" w:space="0" w:color="auto"/>
            </w:tcBorders>
            <w:shd w:val="clear" w:color="000000" w:fill="FFFFFF"/>
            <w:noWrap/>
            <w:vAlign w:val="center"/>
            <w:hideMark/>
          </w:tcPr>
          <w:p w14:paraId="3456CF5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695B136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729D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6A047C19"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4919ABA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8DA07DE"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5F6CBB52"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3D4F2B8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033ADD"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4F62D31"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133082C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715B4D4"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26C70D1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E0888D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14524D9"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74A34DA7"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37E7020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34463BEF"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057614CC"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B1DAA2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8765275"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E462EBD"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657BF98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601F929E"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36489F8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6E7EEB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C149FE2"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1E469086"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14231BF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21F5219C"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541724B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bl>
    <w:p w14:paraId="4726064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18CB2C08"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4564F3C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4CE87D45" w14:textId="77777777" w:rsidR="006F3A1A" w:rsidRPr="001569FB" w:rsidRDefault="006F3A1A" w:rsidP="002707EC">
      <w:pPr>
        <w:spacing w:before="40" w:after="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DF0E68F" w14:textId="77777777" w:rsidR="006F3A1A" w:rsidRPr="001569FB" w:rsidRDefault="00EE73C0" w:rsidP="002707EC">
      <w:pPr>
        <w:spacing w:before="60"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0DC9BC51" w14:textId="77777777" w:rsidR="006F3A1A" w:rsidRPr="001569FB" w:rsidRDefault="006F3A1A" w:rsidP="008D4E91">
      <w:pPr>
        <w:spacing w:line="240" w:lineRule="auto"/>
        <w:rPr>
          <w:b/>
          <w:szCs w:val="24"/>
        </w:rPr>
        <w:sectPr w:rsidR="006F3A1A" w:rsidRPr="001569FB">
          <w:pgSz w:w="12240" w:h="15840"/>
          <w:pgMar w:top="1440" w:right="1440" w:bottom="1440" w:left="1440" w:header="720" w:footer="720" w:gutter="0"/>
          <w:cols w:space="720"/>
          <w:docGrid w:linePitch="360"/>
        </w:sectPr>
      </w:pPr>
    </w:p>
    <w:p w14:paraId="0F4A2407" w14:textId="77777777" w:rsidR="006F3A1A" w:rsidRPr="001569FB" w:rsidRDefault="006F3A1A" w:rsidP="007C3604">
      <w:pPr>
        <w:pStyle w:val="HeadingA"/>
        <w:rPr>
          <w:i/>
        </w:rPr>
      </w:pPr>
      <w:bookmarkStart w:id="576" w:name="_Toc503950407"/>
      <w:bookmarkStart w:id="577" w:name="_Toc503980155"/>
      <w:bookmarkStart w:id="578" w:name="_Toc505253816"/>
      <w:r w:rsidRPr="001569FB">
        <w:lastRenderedPageBreak/>
        <w:t xml:space="preserve">Table </w:t>
      </w:r>
      <w:r w:rsidR="00440F3D" w:rsidRPr="001569FB">
        <w:t>V-</w:t>
      </w:r>
      <w:r w:rsidR="00C54680" w:rsidRPr="001569FB">
        <w:t>4</w:t>
      </w:r>
      <w:r w:rsidRPr="001569FB">
        <w:t>. RxHCC Model Relative Factors for New Enrollees, Institutional</w:t>
      </w:r>
      <w:bookmarkEnd w:id="576"/>
      <w:bookmarkEnd w:id="577"/>
      <w:bookmarkEnd w:id="578"/>
    </w:p>
    <w:tbl>
      <w:tblPr>
        <w:tblW w:w="7555" w:type="dxa"/>
        <w:jc w:val="center"/>
        <w:tblLook w:val="04A0" w:firstRow="1" w:lastRow="0" w:firstColumn="1" w:lastColumn="0" w:noHBand="0" w:noVBand="1"/>
      </w:tblPr>
      <w:tblGrid>
        <w:gridCol w:w="2340"/>
        <w:gridCol w:w="2875"/>
        <w:gridCol w:w="2340"/>
      </w:tblGrid>
      <w:tr w:rsidR="006F3A1A" w:rsidRPr="001569FB" w14:paraId="4BB25CD2" w14:textId="77777777" w:rsidTr="007C3604">
        <w:trPr>
          <w:cantSplit/>
          <w:trHeight w:val="521"/>
          <w:tblHeader/>
          <w:jc w:val="center"/>
        </w:trPr>
        <w:tc>
          <w:tcPr>
            <w:tcW w:w="2340" w:type="dxa"/>
            <w:tcBorders>
              <w:top w:val="single" w:sz="4" w:space="0" w:color="auto"/>
              <w:left w:val="single" w:sz="4" w:space="0" w:color="auto"/>
              <w:bottom w:val="nil"/>
              <w:right w:val="single" w:sz="4" w:space="0" w:color="auto"/>
            </w:tcBorders>
            <w:shd w:val="clear" w:color="000000" w:fill="FFFFFF"/>
            <w:noWrap/>
            <w:vAlign w:val="center"/>
            <w:hideMark/>
          </w:tcPr>
          <w:p w14:paraId="2A54E7A7"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2875" w:type="dxa"/>
            <w:tcBorders>
              <w:top w:val="single" w:sz="4" w:space="0" w:color="auto"/>
              <w:left w:val="nil"/>
              <w:bottom w:val="nil"/>
              <w:right w:val="single" w:sz="4" w:space="0" w:color="auto"/>
            </w:tcBorders>
            <w:shd w:val="clear" w:color="000000" w:fill="FFFFFF"/>
            <w:vAlign w:val="center"/>
            <w:hideMark/>
          </w:tcPr>
          <w:p w14:paraId="1647B3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w:t>
            </w:r>
          </w:p>
        </w:tc>
        <w:tc>
          <w:tcPr>
            <w:tcW w:w="2340" w:type="dxa"/>
            <w:tcBorders>
              <w:top w:val="single" w:sz="4" w:space="0" w:color="auto"/>
              <w:left w:val="nil"/>
              <w:bottom w:val="nil"/>
              <w:right w:val="single" w:sz="4" w:space="0" w:color="auto"/>
            </w:tcBorders>
            <w:shd w:val="clear" w:color="000000" w:fill="FFFFFF"/>
            <w:vAlign w:val="center"/>
            <w:hideMark/>
          </w:tcPr>
          <w:p w14:paraId="57C2152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w:t>
            </w:r>
          </w:p>
        </w:tc>
      </w:tr>
      <w:tr w:rsidR="006F3A1A" w:rsidRPr="001569FB" w14:paraId="21DE16AC" w14:textId="77777777" w:rsidTr="008D4E91">
        <w:trPr>
          <w:trHeight w:hRule="exact" w:val="259"/>
          <w:jc w:val="center"/>
        </w:trPr>
        <w:tc>
          <w:tcPr>
            <w:tcW w:w="2340" w:type="dxa"/>
            <w:tcBorders>
              <w:top w:val="single" w:sz="4" w:space="0" w:color="auto"/>
              <w:left w:val="single" w:sz="4" w:space="0" w:color="auto"/>
              <w:bottom w:val="single" w:sz="4" w:space="0" w:color="auto"/>
              <w:right w:val="nil"/>
            </w:tcBorders>
            <w:shd w:val="clear" w:color="000000" w:fill="FFFFFF"/>
            <w:noWrap/>
            <w:vAlign w:val="center"/>
            <w:hideMark/>
          </w:tcPr>
          <w:p w14:paraId="149FD476"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2875" w:type="dxa"/>
            <w:tcBorders>
              <w:top w:val="single" w:sz="4" w:space="0" w:color="auto"/>
              <w:left w:val="nil"/>
              <w:bottom w:val="single" w:sz="4" w:space="0" w:color="auto"/>
              <w:right w:val="nil"/>
            </w:tcBorders>
            <w:shd w:val="clear" w:color="000000" w:fill="FFFFFF"/>
            <w:noWrap/>
            <w:vAlign w:val="center"/>
            <w:hideMark/>
          </w:tcPr>
          <w:p w14:paraId="52A6631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14:paraId="54357533"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1076403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188299"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275717AD"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5334177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A8D9BE"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389AEEF"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408C875"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0FFF353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22FF7E5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4B61D4D"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98ECD31"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5662AFC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F0C676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E9E2618"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4284ECB"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2963A70D"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73F75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9E6BCEB"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EA64B4" w14:textId="77777777" w:rsidR="006F3A1A" w:rsidRPr="001569FB" w:rsidRDefault="006F3A1A" w:rsidP="008D4E91">
            <w:pPr>
              <w:spacing w:line="240" w:lineRule="auto"/>
              <w:jc w:val="center"/>
              <w:rPr>
                <w:color w:val="000000"/>
                <w:sz w:val="20"/>
                <w:szCs w:val="20"/>
              </w:rPr>
            </w:pPr>
            <w:r w:rsidRPr="001569FB">
              <w:rPr>
                <w:color w:val="000000"/>
                <w:sz w:val="20"/>
                <w:szCs w:val="20"/>
              </w:rPr>
              <w:t>2.092</w:t>
            </w:r>
          </w:p>
        </w:tc>
        <w:tc>
          <w:tcPr>
            <w:tcW w:w="2340" w:type="dxa"/>
            <w:tcBorders>
              <w:top w:val="nil"/>
              <w:left w:val="nil"/>
              <w:bottom w:val="single" w:sz="4" w:space="0" w:color="auto"/>
              <w:right w:val="single" w:sz="4" w:space="0" w:color="auto"/>
            </w:tcBorders>
            <w:shd w:val="clear" w:color="000000" w:fill="FFFFFF"/>
            <w:noWrap/>
            <w:vAlign w:val="center"/>
            <w:hideMark/>
          </w:tcPr>
          <w:p w14:paraId="4226255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29B11F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E491EF"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6BF42AF" w14:textId="77777777" w:rsidR="006F3A1A" w:rsidRPr="001569FB" w:rsidRDefault="006F3A1A" w:rsidP="008D4E91">
            <w:pPr>
              <w:spacing w:line="240" w:lineRule="auto"/>
              <w:jc w:val="center"/>
              <w:rPr>
                <w:color w:val="000000"/>
                <w:sz w:val="20"/>
                <w:szCs w:val="20"/>
              </w:rPr>
            </w:pPr>
            <w:r w:rsidRPr="001569FB">
              <w:rPr>
                <w:color w:val="000000"/>
                <w:sz w:val="20"/>
                <w:szCs w:val="20"/>
              </w:rPr>
              <w:t>2.177</w:t>
            </w:r>
          </w:p>
        </w:tc>
        <w:tc>
          <w:tcPr>
            <w:tcW w:w="2340" w:type="dxa"/>
            <w:tcBorders>
              <w:top w:val="nil"/>
              <w:left w:val="nil"/>
              <w:bottom w:val="single" w:sz="4" w:space="0" w:color="auto"/>
              <w:right w:val="single" w:sz="4" w:space="0" w:color="auto"/>
            </w:tcBorders>
            <w:shd w:val="clear" w:color="000000" w:fill="FFFFFF"/>
            <w:noWrap/>
            <w:vAlign w:val="center"/>
            <w:hideMark/>
          </w:tcPr>
          <w:p w14:paraId="626E0AA4"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05CA39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20D0926"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924B72B"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093C79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16FD8A3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CFD2A2D"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747FB60"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1F839BD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197B2B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ABA83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F61DA3E"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57FE4B3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7EF440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3B0632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0D9E534"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23AE1A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7A66B56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1123050"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1D4507D" w14:textId="77777777" w:rsidR="006F3A1A" w:rsidRPr="001569FB" w:rsidRDefault="006F3A1A" w:rsidP="008D4E91">
            <w:pPr>
              <w:spacing w:line="240" w:lineRule="auto"/>
              <w:jc w:val="center"/>
              <w:rPr>
                <w:color w:val="000000"/>
                <w:sz w:val="20"/>
                <w:szCs w:val="20"/>
              </w:rPr>
            </w:pPr>
            <w:r w:rsidRPr="001569FB">
              <w:rPr>
                <w:color w:val="000000"/>
                <w:sz w:val="20"/>
                <w:szCs w:val="20"/>
              </w:rPr>
              <w:t>1.780</w:t>
            </w:r>
          </w:p>
        </w:tc>
        <w:tc>
          <w:tcPr>
            <w:tcW w:w="2340" w:type="dxa"/>
            <w:tcBorders>
              <w:top w:val="nil"/>
              <w:left w:val="nil"/>
              <w:bottom w:val="single" w:sz="4" w:space="0" w:color="auto"/>
              <w:right w:val="single" w:sz="4" w:space="0" w:color="auto"/>
            </w:tcBorders>
            <w:shd w:val="clear" w:color="000000" w:fill="FFFFFF"/>
            <w:noWrap/>
            <w:vAlign w:val="center"/>
            <w:hideMark/>
          </w:tcPr>
          <w:p w14:paraId="7920CD0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661216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149EFE2"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C848540" w14:textId="77777777" w:rsidR="006F3A1A" w:rsidRPr="001569FB" w:rsidRDefault="006F3A1A" w:rsidP="008D4E91">
            <w:pPr>
              <w:spacing w:line="240" w:lineRule="auto"/>
              <w:jc w:val="center"/>
              <w:rPr>
                <w:color w:val="000000"/>
                <w:sz w:val="20"/>
                <w:szCs w:val="20"/>
              </w:rPr>
            </w:pPr>
            <w:r w:rsidRPr="001569FB">
              <w:rPr>
                <w:color w:val="000000"/>
                <w:sz w:val="20"/>
                <w:szCs w:val="20"/>
              </w:rPr>
              <w:t>1.550</w:t>
            </w:r>
          </w:p>
        </w:tc>
        <w:tc>
          <w:tcPr>
            <w:tcW w:w="2340" w:type="dxa"/>
            <w:tcBorders>
              <w:top w:val="nil"/>
              <w:left w:val="nil"/>
              <w:bottom w:val="single" w:sz="4" w:space="0" w:color="auto"/>
              <w:right w:val="single" w:sz="4" w:space="0" w:color="auto"/>
            </w:tcBorders>
            <w:shd w:val="clear" w:color="000000" w:fill="FFFFFF"/>
            <w:noWrap/>
            <w:vAlign w:val="center"/>
            <w:hideMark/>
          </w:tcPr>
          <w:p w14:paraId="22F89B0E"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6B45E0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4B6AE6"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50C469" w14:textId="77777777" w:rsidR="006F3A1A" w:rsidRPr="001569FB" w:rsidRDefault="006F3A1A" w:rsidP="008D4E91">
            <w:pPr>
              <w:spacing w:line="240" w:lineRule="auto"/>
              <w:jc w:val="center"/>
              <w:rPr>
                <w:color w:val="000000"/>
                <w:sz w:val="20"/>
                <w:szCs w:val="20"/>
              </w:rPr>
            </w:pPr>
            <w:r w:rsidRPr="001569FB">
              <w:rPr>
                <w:color w:val="000000"/>
                <w:sz w:val="20"/>
                <w:szCs w:val="20"/>
              </w:rPr>
              <w:t>1.415</w:t>
            </w:r>
          </w:p>
        </w:tc>
        <w:tc>
          <w:tcPr>
            <w:tcW w:w="2340" w:type="dxa"/>
            <w:tcBorders>
              <w:top w:val="nil"/>
              <w:left w:val="nil"/>
              <w:bottom w:val="single" w:sz="4" w:space="0" w:color="auto"/>
              <w:right w:val="single" w:sz="4" w:space="0" w:color="auto"/>
            </w:tcBorders>
            <w:shd w:val="clear" w:color="000000" w:fill="FFFFFF"/>
            <w:noWrap/>
            <w:vAlign w:val="center"/>
            <w:hideMark/>
          </w:tcPr>
          <w:p w14:paraId="3C8BB53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01BC9E5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889C05"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D6455A" w14:textId="77777777" w:rsidR="006F3A1A" w:rsidRPr="001569FB" w:rsidRDefault="006F3A1A" w:rsidP="008D4E91">
            <w:pPr>
              <w:spacing w:line="240" w:lineRule="auto"/>
              <w:jc w:val="center"/>
              <w:rPr>
                <w:color w:val="000000"/>
                <w:sz w:val="20"/>
                <w:szCs w:val="20"/>
              </w:rPr>
            </w:pPr>
            <w:r w:rsidRPr="001569FB">
              <w:rPr>
                <w:color w:val="000000"/>
                <w:sz w:val="20"/>
                <w:szCs w:val="20"/>
              </w:rPr>
              <w:t>1.351</w:t>
            </w:r>
          </w:p>
        </w:tc>
        <w:tc>
          <w:tcPr>
            <w:tcW w:w="2340" w:type="dxa"/>
            <w:tcBorders>
              <w:top w:val="nil"/>
              <w:left w:val="nil"/>
              <w:bottom w:val="single" w:sz="4" w:space="0" w:color="auto"/>
              <w:right w:val="single" w:sz="4" w:space="0" w:color="auto"/>
            </w:tcBorders>
            <w:shd w:val="clear" w:color="000000" w:fill="FFFFFF"/>
            <w:noWrap/>
            <w:vAlign w:val="center"/>
            <w:hideMark/>
          </w:tcPr>
          <w:p w14:paraId="7E2F903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4DCC4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C1456E3"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561B08"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4957E736"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902A58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A2621C"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739AAD5A"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0FF9461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E503DAC" w14:textId="77777777" w:rsidTr="008D4E91">
        <w:trPr>
          <w:trHeight w:hRule="exact" w:val="259"/>
          <w:jc w:val="center"/>
        </w:trPr>
        <w:tc>
          <w:tcPr>
            <w:tcW w:w="2340" w:type="dxa"/>
            <w:tcBorders>
              <w:top w:val="nil"/>
              <w:left w:val="single" w:sz="4" w:space="0" w:color="auto"/>
              <w:bottom w:val="single" w:sz="4" w:space="0" w:color="auto"/>
              <w:right w:val="nil"/>
            </w:tcBorders>
            <w:shd w:val="clear" w:color="000000" w:fill="FFFFFF"/>
            <w:noWrap/>
            <w:vAlign w:val="center"/>
            <w:hideMark/>
          </w:tcPr>
          <w:p w14:paraId="25948588"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2875" w:type="dxa"/>
            <w:tcBorders>
              <w:top w:val="single" w:sz="4" w:space="0" w:color="auto"/>
              <w:left w:val="nil"/>
              <w:bottom w:val="single" w:sz="4" w:space="0" w:color="auto"/>
              <w:right w:val="nil"/>
            </w:tcBorders>
            <w:shd w:val="clear" w:color="auto" w:fill="auto"/>
            <w:noWrap/>
            <w:vAlign w:val="center"/>
            <w:hideMark/>
          </w:tcPr>
          <w:p w14:paraId="4DD37E4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2340" w:type="dxa"/>
            <w:tcBorders>
              <w:top w:val="nil"/>
              <w:left w:val="nil"/>
              <w:bottom w:val="single" w:sz="4" w:space="0" w:color="auto"/>
              <w:right w:val="single" w:sz="4" w:space="0" w:color="auto"/>
            </w:tcBorders>
            <w:shd w:val="clear" w:color="000000" w:fill="FFFFFF"/>
            <w:noWrap/>
            <w:vAlign w:val="center"/>
            <w:hideMark/>
          </w:tcPr>
          <w:p w14:paraId="45A1769D"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4B164DA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5AEB1E"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05FAAC81" w14:textId="77777777" w:rsidR="006F3A1A" w:rsidRPr="001569FB" w:rsidRDefault="006F3A1A" w:rsidP="008D4E91">
            <w:pPr>
              <w:spacing w:line="240" w:lineRule="auto"/>
              <w:jc w:val="center"/>
              <w:rPr>
                <w:color w:val="000000"/>
                <w:sz w:val="20"/>
                <w:szCs w:val="20"/>
              </w:rPr>
            </w:pPr>
            <w:r w:rsidRPr="001569FB">
              <w:rPr>
                <w:color w:val="000000"/>
                <w:sz w:val="20"/>
                <w:szCs w:val="20"/>
              </w:rPr>
              <w:t>2.386</w:t>
            </w:r>
          </w:p>
        </w:tc>
        <w:tc>
          <w:tcPr>
            <w:tcW w:w="2340" w:type="dxa"/>
            <w:tcBorders>
              <w:top w:val="nil"/>
              <w:left w:val="nil"/>
              <w:bottom w:val="single" w:sz="4" w:space="0" w:color="auto"/>
              <w:right w:val="single" w:sz="4" w:space="0" w:color="auto"/>
            </w:tcBorders>
            <w:shd w:val="clear" w:color="000000" w:fill="FFFFFF"/>
            <w:noWrap/>
            <w:vAlign w:val="center"/>
            <w:hideMark/>
          </w:tcPr>
          <w:p w14:paraId="7CB872B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CED42B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1AE7BF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DD60986" w14:textId="77777777" w:rsidR="006F3A1A" w:rsidRPr="001569FB" w:rsidRDefault="006F3A1A" w:rsidP="008D4E91">
            <w:pPr>
              <w:spacing w:line="240" w:lineRule="auto"/>
              <w:jc w:val="center"/>
              <w:rPr>
                <w:color w:val="000000"/>
                <w:sz w:val="20"/>
                <w:szCs w:val="20"/>
              </w:rPr>
            </w:pPr>
            <w:r w:rsidRPr="001569FB">
              <w:rPr>
                <w:color w:val="000000"/>
                <w:sz w:val="20"/>
                <w:szCs w:val="20"/>
              </w:rPr>
              <w:t>2.568</w:t>
            </w:r>
          </w:p>
        </w:tc>
        <w:tc>
          <w:tcPr>
            <w:tcW w:w="2340" w:type="dxa"/>
            <w:tcBorders>
              <w:top w:val="nil"/>
              <w:left w:val="nil"/>
              <w:bottom w:val="single" w:sz="4" w:space="0" w:color="auto"/>
              <w:right w:val="single" w:sz="4" w:space="0" w:color="auto"/>
            </w:tcBorders>
            <w:shd w:val="clear" w:color="000000" w:fill="FFFFFF"/>
            <w:noWrap/>
            <w:vAlign w:val="center"/>
            <w:hideMark/>
          </w:tcPr>
          <w:p w14:paraId="673810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58FE4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2617D0"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16C6799" w14:textId="77777777" w:rsidR="006F3A1A" w:rsidRPr="001569FB" w:rsidRDefault="006F3A1A" w:rsidP="008D4E91">
            <w:pPr>
              <w:spacing w:line="240" w:lineRule="auto"/>
              <w:jc w:val="center"/>
              <w:rPr>
                <w:color w:val="000000"/>
                <w:sz w:val="20"/>
                <w:szCs w:val="20"/>
              </w:rPr>
            </w:pPr>
            <w:r w:rsidRPr="001569FB">
              <w:rPr>
                <w:color w:val="000000"/>
                <w:sz w:val="20"/>
                <w:szCs w:val="20"/>
              </w:rPr>
              <w:t>2.342</w:t>
            </w:r>
          </w:p>
        </w:tc>
        <w:tc>
          <w:tcPr>
            <w:tcW w:w="2340" w:type="dxa"/>
            <w:tcBorders>
              <w:top w:val="nil"/>
              <w:left w:val="nil"/>
              <w:bottom w:val="single" w:sz="4" w:space="0" w:color="auto"/>
              <w:right w:val="single" w:sz="4" w:space="0" w:color="auto"/>
            </w:tcBorders>
            <w:shd w:val="clear" w:color="000000" w:fill="FFFFFF"/>
            <w:noWrap/>
            <w:vAlign w:val="center"/>
            <w:hideMark/>
          </w:tcPr>
          <w:p w14:paraId="36CF14AD"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7A3202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E1EB48B"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B01036D" w14:textId="77777777" w:rsidR="006F3A1A" w:rsidRPr="001569FB" w:rsidRDefault="006F3A1A" w:rsidP="008D4E91">
            <w:pPr>
              <w:spacing w:line="240" w:lineRule="auto"/>
              <w:jc w:val="center"/>
              <w:rPr>
                <w:color w:val="000000"/>
                <w:sz w:val="20"/>
                <w:szCs w:val="20"/>
              </w:rPr>
            </w:pPr>
            <w:r w:rsidRPr="001569FB">
              <w:rPr>
                <w:color w:val="000000"/>
                <w:sz w:val="20"/>
                <w:szCs w:val="20"/>
              </w:rPr>
              <w:t>2.140</w:t>
            </w:r>
          </w:p>
        </w:tc>
        <w:tc>
          <w:tcPr>
            <w:tcW w:w="2340" w:type="dxa"/>
            <w:tcBorders>
              <w:top w:val="nil"/>
              <w:left w:val="nil"/>
              <w:bottom w:val="single" w:sz="4" w:space="0" w:color="auto"/>
              <w:right w:val="single" w:sz="4" w:space="0" w:color="auto"/>
            </w:tcBorders>
            <w:shd w:val="clear" w:color="000000" w:fill="FFFFFF"/>
            <w:noWrap/>
            <w:vAlign w:val="center"/>
            <w:hideMark/>
          </w:tcPr>
          <w:p w14:paraId="00ED38A7"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5E97623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8156EE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94D81FB" w14:textId="77777777" w:rsidR="006F3A1A" w:rsidRPr="001569FB" w:rsidRDefault="006F3A1A" w:rsidP="008D4E91">
            <w:pPr>
              <w:spacing w:line="240" w:lineRule="auto"/>
              <w:jc w:val="center"/>
              <w:rPr>
                <w:color w:val="000000"/>
                <w:sz w:val="20"/>
                <w:szCs w:val="20"/>
              </w:rPr>
            </w:pPr>
            <w:r w:rsidRPr="001569FB">
              <w:rPr>
                <w:color w:val="000000"/>
                <w:sz w:val="20"/>
                <w:szCs w:val="20"/>
              </w:rPr>
              <w:t>2.084</w:t>
            </w:r>
          </w:p>
        </w:tc>
        <w:tc>
          <w:tcPr>
            <w:tcW w:w="2340" w:type="dxa"/>
            <w:tcBorders>
              <w:top w:val="nil"/>
              <w:left w:val="nil"/>
              <w:bottom w:val="single" w:sz="4" w:space="0" w:color="auto"/>
              <w:right w:val="single" w:sz="4" w:space="0" w:color="auto"/>
            </w:tcBorders>
            <w:shd w:val="clear" w:color="000000" w:fill="FFFFFF"/>
            <w:noWrap/>
            <w:vAlign w:val="center"/>
            <w:hideMark/>
          </w:tcPr>
          <w:p w14:paraId="1D80505B"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3162380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709EAEF1"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2AA35C9" w14:textId="77777777" w:rsidR="006F3A1A" w:rsidRPr="001569FB" w:rsidRDefault="006F3A1A" w:rsidP="008D4E91">
            <w:pPr>
              <w:spacing w:line="240" w:lineRule="auto"/>
              <w:jc w:val="center"/>
              <w:rPr>
                <w:color w:val="000000"/>
                <w:sz w:val="20"/>
                <w:szCs w:val="20"/>
              </w:rPr>
            </w:pPr>
            <w:r w:rsidRPr="001569FB">
              <w:rPr>
                <w:color w:val="000000"/>
                <w:sz w:val="20"/>
                <w:szCs w:val="20"/>
              </w:rPr>
              <w:t>2.038</w:t>
            </w:r>
          </w:p>
        </w:tc>
        <w:tc>
          <w:tcPr>
            <w:tcW w:w="2340" w:type="dxa"/>
            <w:tcBorders>
              <w:top w:val="nil"/>
              <w:left w:val="nil"/>
              <w:bottom w:val="single" w:sz="4" w:space="0" w:color="auto"/>
              <w:right w:val="single" w:sz="4" w:space="0" w:color="auto"/>
            </w:tcBorders>
            <w:shd w:val="clear" w:color="000000" w:fill="FFFFFF"/>
            <w:noWrap/>
            <w:vAlign w:val="center"/>
            <w:hideMark/>
          </w:tcPr>
          <w:p w14:paraId="26DE189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9C10B4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00BBF28"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DB122D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F93877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DC494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DDB0A05"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1C507D"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644889D3"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44498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6F32825"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957CBA4"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82C0E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36AEE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C472F6"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E7B41C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299827AC"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9FD9A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5E191D7"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9A4B37A"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3E864F60"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B024D9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C6EF7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80D42B4"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6FC4C68F"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C64C00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2686F0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B7753A8" w14:textId="77777777" w:rsidR="006F3A1A" w:rsidRPr="001569FB" w:rsidRDefault="006F3A1A" w:rsidP="008D4E91">
            <w:pPr>
              <w:spacing w:line="240" w:lineRule="auto"/>
              <w:jc w:val="center"/>
              <w:rPr>
                <w:color w:val="000000"/>
                <w:sz w:val="20"/>
                <w:szCs w:val="20"/>
              </w:rPr>
            </w:pPr>
            <w:r w:rsidRPr="001569FB">
              <w:rPr>
                <w:color w:val="000000"/>
                <w:sz w:val="20"/>
                <w:szCs w:val="20"/>
              </w:rPr>
              <w:t>1.490</w:t>
            </w:r>
          </w:p>
        </w:tc>
        <w:tc>
          <w:tcPr>
            <w:tcW w:w="2340" w:type="dxa"/>
            <w:tcBorders>
              <w:top w:val="nil"/>
              <w:left w:val="nil"/>
              <w:bottom w:val="single" w:sz="4" w:space="0" w:color="auto"/>
              <w:right w:val="single" w:sz="4" w:space="0" w:color="auto"/>
            </w:tcBorders>
            <w:shd w:val="clear" w:color="000000" w:fill="FFFFFF"/>
            <w:noWrap/>
            <w:vAlign w:val="center"/>
            <w:hideMark/>
          </w:tcPr>
          <w:p w14:paraId="7BD102C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E1397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285CE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81143D"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7DF22779"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B28A2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465F194"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5F19DD2"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01406014"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3DEDCA9"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69C391"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25808421"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4E59BE1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bl>
    <w:p w14:paraId="3BAC661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5FD4DD5D"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7002A4A" w14:textId="6EF008E2" w:rsidR="006F3A1A" w:rsidRPr="001569FB" w:rsidRDefault="00EE48B5" w:rsidP="002707EC">
      <w:pPr>
        <w:spacing w:before="40" w:after="60" w:line="240" w:lineRule="auto"/>
        <w:ind w:left="720" w:hanging="360"/>
        <w:rPr>
          <w:sz w:val="18"/>
          <w:szCs w:val="20"/>
        </w:rPr>
      </w:pPr>
      <w:r w:rsidRPr="001569FB">
        <w:rPr>
          <w:sz w:val="18"/>
          <w:szCs w:val="20"/>
        </w:rPr>
        <w:t>2</w:t>
      </w:r>
      <w:r w:rsidR="006F3A1A" w:rsidRPr="001569FB">
        <w:rPr>
          <w:sz w:val="18"/>
          <w:szCs w:val="20"/>
        </w:rPr>
        <w:t xml:space="preserve">. </w:t>
      </w:r>
      <w:r w:rsidR="006F3A1A" w:rsidRPr="001569FB">
        <w:rPr>
          <w:sz w:val="18"/>
          <w:szCs w:val="20"/>
        </w:rPr>
        <w:tab/>
        <w:t xml:space="preserve">For new enrollees, the concurrent ESRD marker is defined as at least one month in the payment year of ESRD status—dialysis, transplant, or post-graft. </w:t>
      </w:r>
    </w:p>
    <w:p w14:paraId="1A99C32B" w14:textId="584845B7" w:rsidR="00B5249B" w:rsidRPr="001569FB" w:rsidRDefault="00EE73C0" w:rsidP="008D4E91">
      <w:pPr>
        <w:spacing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17E0F5CE" w14:textId="68F63E14" w:rsidR="00B5249B" w:rsidRPr="001569FB" w:rsidRDefault="00E177CD" w:rsidP="007C3604">
      <w:pPr>
        <w:pStyle w:val="HeadingA"/>
      </w:pPr>
      <w:r w:rsidRPr="001569FB">
        <w:rPr>
          <w:sz w:val="18"/>
          <w:szCs w:val="20"/>
        </w:rPr>
        <w:br w:type="page"/>
      </w:r>
      <w:bookmarkStart w:id="579" w:name="_Toc503950408"/>
      <w:bookmarkStart w:id="580" w:name="_Toc503980156"/>
      <w:bookmarkStart w:id="581" w:name="_Toc505253817"/>
      <w:r w:rsidR="00B5249B" w:rsidRPr="001569FB">
        <w:lastRenderedPageBreak/>
        <w:t xml:space="preserve">Table </w:t>
      </w:r>
      <w:r w:rsidR="00440F3D" w:rsidRPr="001569FB">
        <w:t>V-</w:t>
      </w:r>
      <w:r w:rsidR="008A2489" w:rsidRPr="001569FB">
        <w:t>5</w:t>
      </w:r>
      <w:r w:rsidR="00B5249B" w:rsidRPr="001569FB">
        <w:t>. List of Disease Hierarchies for RxHCC Model</w:t>
      </w:r>
      <w:bookmarkEnd w:id="579"/>
      <w:bookmarkEnd w:id="580"/>
      <w:bookmarkEnd w:id="581"/>
    </w:p>
    <w:tbl>
      <w:tblPr>
        <w:tblW w:w="9900" w:type="dxa"/>
        <w:tblInd w:w="-5" w:type="dxa"/>
        <w:tblLook w:val="04A0" w:firstRow="1" w:lastRow="0" w:firstColumn="1" w:lastColumn="0" w:noHBand="0" w:noVBand="1"/>
      </w:tblPr>
      <w:tblGrid>
        <w:gridCol w:w="1620"/>
        <w:gridCol w:w="5665"/>
        <w:gridCol w:w="2615"/>
      </w:tblGrid>
      <w:tr w:rsidR="006F3A1A" w:rsidRPr="001569FB" w14:paraId="5F49831C" w14:textId="77777777" w:rsidTr="007C3604">
        <w:trPr>
          <w:cantSplit/>
          <w:trHeight w:val="630"/>
          <w:tblHeader/>
        </w:trPr>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2A79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w:t>
            </w:r>
          </w:p>
        </w:tc>
        <w:tc>
          <w:tcPr>
            <w:tcW w:w="5665" w:type="dxa"/>
            <w:tcBorders>
              <w:top w:val="single" w:sz="4" w:space="0" w:color="auto"/>
              <w:left w:val="nil"/>
              <w:bottom w:val="single" w:sz="4" w:space="0" w:color="auto"/>
              <w:right w:val="single" w:sz="4" w:space="0" w:color="auto"/>
            </w:tcBorders>
            <w:shd w:val="clear" w:color="000000" w:fill="FFFFFF"/>
            <w:vAlign w:val="center"/>
            <w:hideMark/>
          </w:tcPr>
          <w:p w14:paraId="142532B1"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If the Disease Group is listed in this column…</w:t>
            </w:r>
          </w:p>
        </w:tc>
        <w:tc>
          <w:tcPr>
            <w:tcW w:w="2615" w:type="dxa"/>
            <w:tcBorders>
              <w:top w:val="single" w:sz="4" w:space="0" w:color="auto"/>
              <w:left w:val="nil"/>
              <w:bottom w:val="single" w:sz="4" w:space="0" w:color="auto"/>
              <w:right w:val="single" w:sz="4" w:space="0" w:color="auto"/>
            </w:tcBorders>
            <w:shd w:val="clear" w:color="000000" w:fill="FFFFFF"/>
            <w:vAlign w:val="center"/>
            <w:hideMark/>
          </w:tcPr>
          <w:p w14:paraId="72165F0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…Then drop the RxHCC(s) listed in this column</w:t>
            </w:r>
          </w:p>
        </w:tc>
      </w:tr>
      <w:tr w:rsidR="006F3A1A" w:rsidRPr="001569FB" w14:paraId="77C05154" w14:textId="77777777" w:rsidTr="007C3604">
        <w:trPr>
          <w:cantSplit/>
          <w:trHeight w:val="300"/>
          <w:tblHeader/>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237C016"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c>
          <w:tcPr>
            <w:tcW w:w="5665" w:type="dxa"/>
            <w:tcBorders>
              <w:top w:val="nil"/>
              <w:left w:val="nil"/>
              <w:bottom w:val="single" w:sz="4" w:space="0" w:color="auto"/>
              <w:right w:val="single" w:sz="4" w:space="0" w:color="auto"/>
            </w:tcBorders>
            <w:shd w:val="clear" w:color="000000" w:fill="FFFFFF"/>
            <w:vAlign w:val="center"/>
            <w:hideMark/>
          </w:tcPr>
          <w:p w14:paraId="4FD0C995"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 LABEL</w:t>
            </w:r>
          </w:p>
        </w:tc>
        <w:tc>
          <w:tcPr>
            <w:tcW w:w="2615" w:type="dxa"/>
            <w:tcBorders>
              <w:top w:val="nil"/>
              <w:left w:val="nil"/>
              <w:bottom w:val="single" w:sz="4" w:space="0" w:color="auto"/>
              <w:right w:val="single" w:sz="4" w:space="0" w:color="auto"/>
            </w:tcBorders>
            <w:shd w:val="clear" w:color="000000" w:fill="FFFFFF"/>
            <w:noWrap/>
            <w:vAlign w:val="center"/>
            <w:hideMark/>
          </w:tcPr>
          <w:p w14:paraId="17D23ECF"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r>
      <w:tr w:rsidR="006F3A1A" w:rsidRPr="001569FB" w14:paraId="0256F9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7FD0452" w14:textId="77777777" w:rsidR="006F3A1A" w:rsidRPr="001569FB" w:rsidRDefault="006F3A1A" w:rsidP="008D4E91">
            <w:pPr>
              <w:spacing w:line="240" w:lineRule="auto"/>
              <w:jc w:val="center"/>
              <w:rPr>
                <w:color w:val="000000"/>
                <w:sz w:val="20"/>
                <w:szCs w:val="20"/>
              </w:rPr>
            </w:pPr>
            <w:r w:rsidRPr="001569FB">
              <w:rPr>
                <w:color w:val="000000"/>
                <w:sz w:val="20"/>
                <w:szCs w:val="20"/>
              </w:rPr>
              <w:t>15</w:t>
            </w:r>
          </w:p>
        </w:tc>
        <w:tc>
          <w:tcPr>
            <w:tcW w:w="5665" w:type="dxa"/>
            <w:tcBorders>
              <w:top w:val="nil"/>
              <w:left w:val="nil"/>
              <w:bottom w:val="single" w:sz="4" w:space="0" w:color="auto"/>
              <w:right w:val="single" w:sz="4" w:space="0" w:color="auto"/>
            </w:tcBorders>
            <w:shd w:val="clear" w:color="000000" w:fill="FFFFFF"/>
            <w:vAlign w:val="center"/>
            <w:hideMark/>
          </w:tcPr>
          <w:p w14:paraId="309B7A8F" w14:textId="77777777" w:rsidR="006F3A1A" w:rsidRPr="001569FB" w:rsidRDefault="006F3A1A" w:rsidP="008D4E91">
            <w:pPr>
              <w:spacing w:line="240" w:lineRule="auto"/>
              <w:rPr>
                <w:color w:val="000000"/>
                <w:sz w:val="20"/>
                <w:szCs w:val="20"/>
              </w:rPr>
            </w:pPr>
            <w:r w:rsidRPr="001569FB">
              <w:rPr>
                <w:color w:val="000000"/>
                <w:sz w:val="20"/>
                <w:szCs w:val="20"/>
              </w:rPr>
              <w:t>Chronic Myeloid Leukemia</w:t>
            </w:r>
          </w:p>
        </w:tc>
        <w:tc>
          <w:tcPr>
            <w:tcW w:w="2615" w:type="dxa"/>
            <w:tcBorders>
              <w:top w:val="nil"/>
              <w:left w:val="nil"/>
              <w:bottom w:val="single" w:sz="4" w:space="0" w:color="auto"/>
              <w:right w:val="single" w:sz="4" w:space="0" w:color="auto"/>
            </w:tcBorders>
            <w:shd w:val="clear" w:color="000000" w:fill="FFFFFF"/>
            <w:noWrap/>
            <w:vAlign w:val="center"/>
            <w:hideMark/>
          </w:tcPr>
          <w:p w14:paraId="57B97F56" w14:textId="6A90E500" w:rsidR="006F3A1A" w:rsidRPr="001569FB" w:rsidRDefault="006F3A1A" w:rsidP="006B3438">
            <w:pPr>
              <w:spacing w:line="240" w:lineRule="auto"/>
              <w:jc w:val="center"/>
              <w:rPr>
                <w:color w:val="000000"/>
                <w:sz w:val="20"/>
                <w:szCs w:val="20"/>
              </w:rPr>
            </w:pPr>
            <w:r w:rsidRPr="001569FB">
              <w:rPr>
                <w:color w:val="000000"/>
                <w:sz w:val="20"/>
                <w:szCs w:val="20"/>
              </w:rPr>
              <w:t>16,</w:t>
            </w:r>
            <w:r w:rsidR="006B3438" w:rsidRPr="001569FB">
              <w:rPr>
                <w:color w:val="000000"/>
                <w:sz w:val="20"/>
                <w:szCs w:val="20"/>
              </w:rPr>
              <w:t xml:space="preserve"> </w:t>
            </w: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60DBE35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DB66B12" w14:textId="77777777" w:rsidR="006F3A1A" w:rsidRPr="001569FB" w:rsidRDefault="006F3A1A" w:rsidP="008D4E91">
            <w:pPr>
              <w:spacing w:line="240" w:lineRule="auto"/>
              <w:jc w:val="center"/>
              <w:rPr>
                <w:color w:val="000000"/>
                <w:sz w:val="20"/>
                <w:szCs w:val="20"/>
              </w:rPr>
            </w:pPr>
            <w:r w:rsidRPr="001569FB">
              <w:rPr>
                <w:color w:val="000000"/>
                <w:sz w:val="20"/>
                <w:szCs w:val="20"/>
              </w:rPr>
              <w:t>16</w:t>
            </w:r>
          </w:p>
        </w:tc>
        <w:tc>
          <w:tcPr>
            <w:tcW w:w="5665" w:type="dxa"/>
            <w:tcBorders>
              <w:top w:val="nil"/>
              <w:left w:val="nil"/>
              <w:bottom w:val="single" w:sz="4" w:space="0" w:color="auto"/>
              <w:right w:val="single" w:sz="4" w:space="0" w:color="auto"/>
            </w:tcBorders>
            <w:shd w:val="clear" w:color="000000" w:fill="FFFFFF"/>
            <w:vAlign w:val="center"/>
            <w:hideMark/>
          </w:tcPr>
          <w:p w14:paraId="3A3674F9" w14:textId="77777777" w:rsidR="006F3A1A" w:rsidRPr="001569FB" w:rsidRDefault="006F3A1A" w:rsidP="008D4E91">
            <w:pPr>
              <w:spacing w:line="240" w:lineRule="auto"/>
              <w:rPr>
                <w:color w:val="000000"/>
                <w:sz w:val="20"/>
                <w:szCs w:val="20"/>
              </w:rPr>
            </w:pPr>
            <w:r w:rsidRPr="001569FB">
              <w:rPr>
                <w:color w:val="000000"/>
                <w:sz w:val="20"/>
                <w:szCs w:val="20"/>
              </w:rPr>
              <w:t>Multiple Myeloma and Other Neoplastic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5632405C" w14:textId="02FBE103" w:rsidR="006F3A1A" w:rsidRPr="001569FB" w:rsidRDefault="006F3A1A" w:rsidP="006B3438">
            <w:pPr>
              <w:spacing w:line="240" w:lineRule="auto"/>
              <w:jc w:val="center"/>
              <w:rPr>
                <w:color w:val="000000"/>
                <w:sz w:val="20"/>
                <w:szCs w:val="20"/>
              </w:rPr>
            </w:pP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04CF6483" w14:textId="77777777" w:rsidTr="002B6A9E">
        <w:trPr>
          <w:trHeight w:val="45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EAD32E1" w14:textId="77777777" w:rsidR="006F3A1A" w:rsidRPr="001569FB" w:rsidRDefault="006F3A1A" w:rsidP="008D4E91">
            <w:pPr>
              <w:spacing w:line="240" w:lineRule="auto"/>
              <w:jc w:val="center"/>
              <w:rPr>
                <w:color w:val="000000"/>
                <w:sz w:val="20"/>
                <w:szCs w:val="20"/>
              </w:rPr>
            </w:pPr>
            <w:r w:rsidRPr="001569FB">
              <w:rPr>
                <w:color w:val="000000"/>
                <w:sz w:val="20"/>
                <w:szCs w:val="20"/>
              </w:rPr>
              <w:t>17</w:t>
            </w:r>
          </w:p>
        </w:tc>
        <w:tc>
          <w:tcPr>
            <w:tcW w:w="5665" w:type="dxa"/>
            <w:tcBorders>
              <w:top w:val="nil"/>
              <w:left w:val="nil"/>
              <w:bottom w:val="single" w:sz="4" w:space="0" w:color="auto"/>
              <w:right w:val="single" w:sz="4" w:space="0" w:color="auto"/>
            </w:tcBorders>
            <w:shd w:val="clear" w:color="000000" w:fill="FFFFFF"/>
            <w:vAlign w:val="center"/>
            <w:hideMark/>
          </w:tcPr>
          <w:p w14:paraId="0585DD60" w14:textId="77777777" w:rsidR="006F3A1A" w:rsidRPr="001569FB" w:rsidRDefault="006F3A1A" w:rsidP="008D4E91">
            <w:pPr>
              <w:spacing w:line="240" w:lineRule="auto"/>
              <w:rPr>
                <w:color w:val="000000"/>
                <w:sz w:val="20"/>
                <w:szCs w:val="20"/>
              </w:rPr>
            </w:pPr>
            <w:r w:rsidRPr="001569FB">
              <w:rPr>
                <w:color w:val="000000"/>
                <w:sz w:val="20"/>
                <w:szCs w:val="20"/>
              </w:rPr>
              <w:t>Secondary Cancers of Bone, Lung, Brain, and Other Specified Sites; Liver Cancer</w:t>
            </w:r>
          </w:p>
        </w:tc>
        <w:tc>
          <w:tcPr>
            <w:tcW w:w="2615" w:type="dxa"/>
            <w:tcBorders>
              <w:top w:val="nil"/>
              <w:left w:val="nil"/>
              <w:bottom w:val="single" w:sz="4" w:space="0" w:color="auto"/>
              <w:right w:val="single" w:sz="4" w:space="0" w:color="auto"/>
            </w:tcBorders>
            <w:shd w:val="clear" w:color="000000" w:fill="FFFFFF"/>
            <w:noWrap/>
            <w:vAlign w:val="center"/>
            <w:hideMark/>
          </w:tcPr>
          <w:p w14:paraId="7B8A5442" w14:textId="13F3E00C" w:rsidR="006F3A1A" w:rsidRPr="001569FB" w:rsidRDefault="006F3A1A" w:rsidP="00E2602F">
            <w:pPr>
              <w:spacing w:line="240" w:lineRule="auto"/>
              <w:jc w:val="center"/>
              <w:rPr>
                <w:color w:val="000000"/>
                <w:sz w:val="20"/>
                <w:szCs w:val="20"/>
              </w:rPr>
            </w:pPr>
            <w:r w:rsidRPr="001569FB">
              <w:rPr>
                <w:color w:val="000000"/>
                <w:sz w:val="20"/>
                <w:szCs w:val="20"/>
              </w:rPr>
              <w:t>18,</w:t>
            </w:r>
            <w:r w:rsidR="00E2602F" w:rsidRPr="001569FB">
              <w:rPr>
                <w:color w:val="000000"/>
                <w:sz w:val="20"/>
                <w:szCs w:val="20"/>
              </w:rPr>
              <w:t xml:space="preserve"> </w:t>
            </w:r>
            <w:r w:rsidRPr="001569FB">
              <w:rPr>
                <w:color w:val="000000"/>
                <w:sz w:val="20"/>
                <w:szCs w:val="20"/>
              </w:rPr>
              <w:t>19</w:t>
            </w:r>
          </w:p>
        </w:tc>
      </w:tr>
      <w:tr w:rsidR="006F3A1A" w:rsidRPr="001569FB" w14:paraId="2F22459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34FA4DF" w14:textId="77777777" w:rsidR="006F3A1A" w:rsidRPr="001569FB" w:rsidRDefault="006F3A1A" w:rsidP="008D4E91">
            <w:pPr>
              <w:spacing w:line="240" w:lineRule="auto"/>
              <w:jc w:val="center"/>
              <w:rPr>
                <w:color w:val="000000"/>
                <w:sz w:val="20"/>
                <w:szCs w:val="20"/>
              </w:rPr>
            </w:pPr>
            <w:r w:rsidRPr="001569FB">
              <w:rPr>
                <w:color w:val="000000"/>
                <w:sz w:val="20"/>
                <w:szCs w:val="20"/>
              </w:rPr>
              <w:t>18</w:t>
            </w:r>
          </w:p>
        </w:tc>
        <w:tc>
          <w:tcPr>
            <w:tcW w:w="5665" w:type="dxa"/>
            <w:tcBorders>
              <w:top w:val="nil"/>
              <w:left w:val="nil"/>
              <w:bottom w:val="single" w:sz="4" w:space="0" w:color="auto"/>
              <w:right w:val="single" w:sz="4" w:space="0" w:color="auto"/>
            </w:tcBorders>
            <w:shd w:val="clear" w:color="000000" w:fill="FFFFFF"/>
            <w:vAlign w:val="center"/>
            <w:hideMark/>
          </w:tcPr>
          <w:p w14:paraId="4174CA17" w14:textId="77777777" w:rsidR="006F3A1A" w:rsidRPr="001569FB" w:rsidRDefault="006F3A1A" w:rsidP="008D4E91">
            <w:pPr>
              <w:spacing w:line="240" w:lineRule="auto"/>
              <w:rPr>
                <w:color w:val="000000"/>
                <w:sz w:val="20"/>
                <w:szCs w:val="20"/>
              </w:rPr>
            </w:pPr>
            <w:r w:rsidRPr="001569FB">
              <w:rPr>
                <w:color w:val="000000"/>
                <w:sz w:val="20"/>
                <w:szCs w:val="20"/>
              </w:rPr>
              <w:t>Lung, Kidney, and Other Cancers</w:t>
            </w:r>
          </w:p>
        </w:tc>
        <w:tc>
          <w:tcPr>
            <w:tcW w:w="2615" w:type="dxa"/>
            <w:tcBorders>
              <w:top w:val="nil"/>
              <w:left w:val="nil"/>
              <w:bottom w:val="single" w:sz="4" w:space="0" w:color="auto"/>
              <w:right w:val="single" w:sz="4" w:space="0" w:color="auto"/>
            </w:tcBorders>
            <w:shd w:val="clear" w:color="000000" w:fill="FFFFFF"/>
            <w:noWrap/>
            <w:vAlign w:val="center"/>
            <w:hideMark/>
          </w:tcPr>
          <w:p w14:paraId="3879AE58" w14:textId="77777777" w:rsidR="006F3A1A" w:rsidRPr="001569FB" w:rsidRDefault="006F3A1A" w:rsidP="008D4E91">
            <w:pPr>
              <w:spacing w:line="240" w:lineRule="auto"/>
              <w:jc w:val="center"/>
              <w:rPr>
                <w:color w:val="000000"/>
                <w:sz w:val="20"/>
                <w:szCs w:val="20"/>
              </w:rPr>
            </w:pPr>
            <w:r w:rsidRPr="001569FB">
              <w:rPr>
                <w:color w:val="000000"/>
                <w:sz w:val="20"/>
                <w:szCs w:val="20"/>
              </w:rPr>
              <w:t>19</w:t>
            </w:r>
          </w:p>
        </w:tc>
      </w:tr>
      <w:tr w:rsidR="006F3A1A" w:rsidRPr="001569FB" w14:paraId="2AB7772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0D40FEA" w14:textId="77777777" w:rsidR="006F3A1A" w:rsidRPr="001569FB" w:rsidRDefault="006F3A1A" w:rsidP="008D4E91">
            <w:pPr>
              <w:spacing w:line="240" w:lineRule="auto"/>
              <w:jc w:val="center"/>
              <w:rPr>
                <w:color w:val="000000"/>
                <w:sz w:val="20"/>
                <w:szCs w:val="20"/>
              </w:rPr>
            </w:pPr>
            <w:r w:rsidRPr="001569FB">
              <w:rPr>
                <w:color w:val="000000"/>
                <w:sz w:val="20"/>
                <w:szCs w:val="20"/>
              </w:rPr>
              <w:t>30</w:t>
            </w:r>
          </w:p>
        </w:tc>
        <w:tc>
          <w:tcPr>
            <w:tcW w:w="5665" w:type="dxa"/>
            <w:tcBorders>
              <w:top w:val="nil"/>
              <w:left w:val="nil"/>
              <w:bottom w:val="single" w:sz="4" w:space="0" w:color="auto"/>
              <w:right w:val="single" w:sz="4" w:space="0" w:color="auto"/>
            </w:tcBorders>
            <w:shd w:val="clear" w:color="000000" w:fill="FFFFFF"/>
            <w:vAlign w:val="center"/>
            <w:hideMark/>
          </w:tcPr>
          <w:p w14:paraId="727352FB" w14:textId="77777777" w:rsidR="006F3A1A" w:rsidRPr="001569FB" w:rsidRDefault="006F3A1A" w:rsidP="008D4E91">
            <w:pPr>
              <w:spacing w:line="240" w:lineRule="auto"/>
              <w:rPr>
                <w:color w:val="000000"/>
                <w:sz w:val="20"/>
                <w:szCs w:val="20"/>
              </w:rPr>
            </w:pPr>
            <w:r w:rsidRPr="001569FB">
              <w:rPr>
                <w:color w:val="000000"/>
                <w:sz w:val="20"/>
                <w:szCs w:val="20"/>
              </w:rPr>
              <w:t>Diabetes with Complications</w:t>
            </w:r>
          </w:p>
        </w:tc>
        <w:tc>
          <w:tcPr>
            <w:tcW w:w="2615" w:type="dxa"/>
            <w:tcBorders>
              <w:top w:val="nil"/>
              <w:left w:val="nil"/>
              <w:bottom w:val="single" w:sz="4" w:space="0" w:color="auto"/>
              <w:right w:val="single" w:sz="4" w:space="0" w:color="auto"/>
            </w:tcBorders>
            <w:shd w:val="clear" w:color="000000" w:fill="FFFFFF"/>
            <w:noWrap/>
            <w:vAlign w:val="center"/>
            <w:hideMark/>
          </w:tcPr>
          <w:p w14:paraId="4D435241" w14:textId="77777777" w:rsidR="006F3A1A" w:rsidRPr="001569FB" w:rsidRDefault="006F3A1A" w:rsidP="008D4E91">
            <w:pPr>
              <w:spacing w:line="240" w:lineRule="auto"/>
              <w:jc w:val="center"/>
              <w:rPr>
                <w:color w:val="000000"/>
                <w:sz w:val="20"/>
                <w:szCs w:val="20"/>
              </w:rPr>
            </w:pPr>
            <w:r w:rsidRPr="001569FB">
              <w:rPr>
                <w:color w:val="000000"/>
                <w:sz w:val="20"/>
                <w:szCs w:val="20"/>
              </w:rPr>
              <w:t>31</w:t>
            </w:r>
          </w:p>
        </w:tc>
      </w:tr>
      <w:tr w:rsidR="006F3A1A" w:rsidRPr="001569FB" w14:paraId="12F4836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B640B4E" w14:textId="77777777" w:rsidR="006F3A1A" w:rsidRPr="001569FB" w:rsidRDefault="006F3A1A" w:rsidP="008D4E91">
            <w:pPr>
              <w:spacing w:line="240" w:lineRule="auto"/>
              <w:jc w:val="center"/>
              <w:rPr>
                <w:color w:val="000000"/>
                <w:sz w:val="20"/>
                <w:szCs w:val="20"/>
              </w:rPr>
            </w:pPr>
            <w:r w:rsidRPr="001569FB">
              <w:rPr>
                <w:color w:val="000000"/>
                <w:sz w:val="20"/>
                <w:szCs w:val="20"/>
              </w:rPr>
              <w:t>54</w:t>
            </w:r>
          </w:p>
        </w:tc>
        <w:tc>
          <w:tcPr>
            <w:tcW w:w="5665" w:type="dxa"/>
            <w:tcBorders>
              <w:top w:val="nil"/>
              <w:left w:val="nil"/>
              <w:bottom w:val="single" w:sz="4" w:space="0" w:color="auto"/>
              <w:right w:val="single" w:sz="4" w:space="0" w:color="auto"/>
            </w:tcBorders>
            <w:shd w:val="clear" w:color="000000" w:fill="FFFFFF"/>
            <w:vAlign w:val="center"/>
            <w:hideMark/>
          </w:tcPr>
          <w:p w14:paraId="2812A93F" w14:textId="77777777" w:rsidR="006F3A1A" w:rsidRPr="001569FB" w:rsidRDefault="006F3A1A" w:rsidP="008D4E91">
            <w:pPr>
              <w:spacing w:line="240" w:lineRule="auto"/>
              <w:rPr>
                <w:color w:val="000000"/>
                <w:sz w:val="20"/>
                <w:szCs w:val="20"/>
              </w:rPr>
            </w:pPr>
            <w:r w:rsidRPr="001569FB">
              <w:rPr>
                <w:color w:val="000000"/>
                <w:sz w:val="20"/>
                <w:szCs w:val="20"/>
              </w:rPr>
              <w:t>Chronic Viral Hepatitis C</w:t>
            </w:r>
          </w:p>
        </w:tc>
        <w:tc>
          <w:tcPr>
            <w:tcW w:w="2615" w:type="dxa"/>
            <w:tcBorders>
              <w:top w:val="nil"/>
              <w:left w:val="nil"/>
              <w:bottom w:val="single" w:sz="4" w:space="0" w:color="auto"/>
              <w:right w:val="single" w:sz="4" w:space="0" w:color="auto"/>
            </w:tcBorders>
            <w:shd w:val="clear" w:color="000000" w:fill="FFFFFF"/>
            <w:noWrap/>
            <w:vAlign w:val="center"/>
            <w:hideMark/>
          </w:tcPr>
          <w:p w14:paraId="6EF39DAA" w14:textId="77777777" w:rsidR="006F3A1A" w:rsidRPr="001569FB" w:rsidRDefault="006F3A1A" w:rsidP="008D4E91">
            <w:pPr>
              <w:spacing w:line="240" w:lineRule="auto"/>
              <w:jc w:val="center"/>
              <w:rPr>
                <w:color w:val="000000"/>
                <w:sz w:val="20"/>
                <w:szCs w:val="20"/>
              </w:rPr>
            </w:pPr>
            <w:r w:rsidRPr="001569FB">
              <w:rPr>
                <w:color w:val="000000"/>
                <w:sz w:val="20"/>
                <w:szCs w:val="20"/>
              </w:rPr>
              <w:t>55</w:t>
            </w:r>
          </w:p>
        </w:tc>
      </w:tr>
      <w:tr w:rsidR="006F3A1A" w:rsidRPr="001569FB" w14:paraId="0F758FF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9622856" w14:textId="77777777" w:rsidR="006F3A1A" w:rsidRPr="001569FB" w:rsidRDefault="006F3A1A" w:rsidP="008D4E91">
            <w:pPr>
              <w:spacing w:line="240" w:lineRule="auto"/>
              <w:jc w:val="center"/>
              <w:rPr>
                <w:color w:val="000000"/>
                <w:sz w:val="20"/>
                <w:szCs w:val="20"/>
              </w:rPr>
            </w:pPr>
            <w:r w:rsidRPr="001569FB">
              <w:rPr>
                <w:color w:val="000000"/>
                <w:sz w:val="20"/>
                <w:szCs w:val="20"/>
              </w:rPr>
              <w:t>65</w:t>
            </w:r>
          </w:p>
        </w:tc>
        <w:tc>
          <w:tcPr>
            <w:tcW w:w="5665" w:type="dxa"/>
            <w:tcBorders>
              <w:top w:val="nil"/>
              <w:left w:val="nil"/>
              <w:bottom w:val="single" w:sz="4" w:space="0" w:color="auto"/>
              <w:right w:val="single" w:sz="4" w:space="0" w:color="auto"/>
            </w:tcBorders>
            <w:shd w:val="clear" w:color="000000" w:fill="FFFFFF"/>
            <w:vAlign w:val="center"/>
            <w:hideMark/>
          </w:tcPr>
          <w:p w14:paraId="55B2593C" w14:textId="77777777" w:rsidR="006F3A1A" w:rsidRPr="001569FB" w:rsidRDefault="006F3A1A" w:rsidP="008D4E91">
            <w:pPr>
              <w:spacing w:line="240" w:lineRule="auto"/>
              <w:rPr>
                <w:color w:val="000000"/>
                <w:sz w:val="20"/>
                <w:szCs w:val="20"/>
              </w:rPr>
            </w:pPr>
            <w:r w:rsidRPr="001569FB">
              <w:rPr>
                <w:color w:val="000000"/>
                <w:sz w:val="20"/>
                <w:szCs w:val="20"/>
              </w:rPr>
              <w:t>Chronic Pancreatitis</w:t>
            </w:r>
          </w:p>
        </w:tc>
        <w:tc>
          <w:tcPr>
            <w:tcW w:w="2615" w:type="dxa"/>
            <w:tcBorders>
              <w:top w:val="nil"/>
              <w:left w:val="nil"/>
              <w:bottom w:val="single" w:sz="4" w:space="0" w:color="auto"/>
              <w:right w:val="single" w:sz="4" w:space="0" w:color="auto"/>
            </w:tcBorders>
            <w:shd w:val="clear" w:color="000000" w:fill="FFFFFF"/>
            <w:noWrap/>
            <w:vAlign w:val="center"/>
            <w:hideMark/>
          </w:tcPr>
          <w:p w14:paraId="36164583" w14:textId="77777777" w:rsidR="006F3A1A" w:rsidRPr="001569FB" w:rsidRDefault="006F3A1A" w:rsidP="008D4E91">
            <w:pPr>
              <w:spacing w:line="240" w:lineRule="auto"/>
              <w:jc w:val="center"/>
              <w:rPr>
                <w:color w:val="000000"/>
                <w:sz w:val="20"/>
                <w:szCs w:val="20"/>
              </w:rPr>
            </w:pPr>
            <w:r w:rsidRPr="001569FB">
              <w:rPr>
                <w:color w:val="000000"/>
                <w:sz w:val="20"/>
                <w:szCs w:val="20"/>
              </w:rPr>
              <w:t>66</w:t>
            </w:r>
          </w:p>
        </w:tc>
      </w:tr>
      <w:tr w:rsidR="006F3A1A" w:rsidRPr="001569FB" w14:paraId="5713C0E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20438E" w14:textId="77777777" w:rsidR="006F3A1A" w:rsidRPr="001569FB" w:rsidRDefault="006F3A1A" w:rsidP="008D4E91">
            <w:pPr>
              <w:spacing w:line="240" w:lineRule="auto"/>
              <w:jc w:val="center"/>
              <w:rPr>
                <w:color w:val="000000"/>
                <w:sz w:val="20"/>
                <w:szCs w:val="20"/>
              </w:rPr>
            </w:pPr>
            <w:r w:rsidRPr="001569FB">
              <w:rPr>
                <w:color w:val="000000"/>
                <w:sz w:val="20"/>
                <w:szCs w:val="20"/>
              </w:rPr>
              <w:t>82</w:t>
            </w:r>
          </w:p>
        </w:tc>
        <w:tc>
          <w:tcPr>
            <w:tcW w:w="5665" w:type="dxa"/>
            <w:tcBorders>
              <w:top w:val="nil"/>
              <w:left w:val="nil"/>
              <w:bottom w:val="single" w:sz="4" w:space="0" w:color="auto"/>
              <w:right w:val="single" w:sz="4" w:space="0" w:color="auto"/>
            </w:tcBorders>
            <w:shd w:val="clear" w:color="000000" w:fill="FFFFFF"/>
            <w:vAlign w:val="center"/>
            <w:hideMark/>
          </w:tcPr>
          <w:p w14:paraId="6CCC761A" w14:textId="77777777" w:rsidR="006F3A1A" w:rsidRPr="001569FB" w:rsidRDefault="006F3A1A" w:rsidP="008D4E91">
            <w:pPr>
              <w:spacing w:line="240" w:lineRule="auto"/>
              <w:rPr>
                <w:color w:val="000000"/>
                <w:sz w:val="20"/>
                <w:szCs w:val="20"/>
              </w:rPr>
            </w:pPr>
            <w:r w:rsidRPr="001569FB">
              <w:rPr>
                <w:color w:val="000000"/>
                <w:sz w:val="20"/>
                <w:szCs w:val="20"/>
              </w:rPr>
              <w:t>Psoriatic Arthropathy and Systemic Sclerosis</w:t>
            </w:r>
          </w:p>
        </w:tc>
        <w:tc>
          <w:tcPr>
            <w:tcW w:w="2615" w:type="dxa"/>
            <w:tcBorders>
              <w:top w:val="nil"/>
              <w:left w:val="nil"/>
              <w:bottom w:val="single" w:sz="4" w:space="0" w:color="auto"/>
              <w:right w:val="single" w:sz="4" w:space="0" w:color="auto"/>
            </w:tcBorders>
            <w:shd w:val="clear" w:color="000000" w:fill="FFFFFF"/>
            <w:noWrap/>
            <w:vAlign w:val="center"/>
            <w:hideMark/>
          </w:tcPr>
          <w:p w14:paraId="7ADBA346" w14:textId="6E95ECDC" w:rsidR="006F3A1A" w:rsidRPr="001569FB" w:rsidRDefault="006F3A1A" w:rsidP="00E2602F">
            <w:pPr>
              <w:spacing w:line="240" w:lineRule="auto"/>
              <w:jc w:val="center"/>
              <w:rPr>
                <w:color w:val="000000"/>
                <w:sz w:val="20"/>
                <w:szCs w:val="20"/>
              </w:rPr>
            </w:pPr>
            <w:r w:rsidRPr="001569FB">
              <w:rPr>
                <w:color w:val="000000"/>
                <w:sz w:val="20"/>
                <w:szCs w:val="20"/>
              </w:rPr>
              <w:t>83,</w:t>
            </w:r>
            <w:r w:rsidR="00E2602F" w:rsidRPr="001569FB">
              <w:rPr>
                <w:color w:val="000000"/>
                <w:sz w:val="20"/>
                <w:szCs w:val="20"/>
              </w:rPr>
              <w:t xml:space="preserve"> </w:t>
            </w:r>
            <w:r w:rsidRPr="001569FB">
              <w:rPr>
                <w:color w:val="000000"/>
                <w:sz w:val="20"/>
                <w:szCs w:val="20"/>
              </w:rPr>
              <w:t>84,</w:t>
            </w:r>
            <w:r w:rsidR="00E2602F" w:rsidRPr="001569FB">
              <w:rPr>
                <w:color w:val="000000"/>
                <w:sz w:val="20"/>
                <w:szCs w:val="20"/>
              </w:rPr>
              <w:t xml:space="preserve"> </w:t>
            </w:r>
            <w:r w:rsidRPr="001569FB">
              <w:rPr>
                <w:color w:val="000000"/>
                <w:sz w:val="20"/>
                <w:szCs w:val="20"/>
              </w:rPr>
              <w:t>316</w:t>
            </w:r>
          </w:p>
        </w:tc>
      </w:tr>
      <w:tr w:rsidR="006F3A1A" w:rsidRPr="001569FB" w14:paraId="7CAE3DA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BDCE764" w14:textId="77777777" w:rsidR="006F3A1A" w:rsidRPr="001569FB" w:rsidRDefault="006F3A1A" w:rsidP="008D4E91">
            <w:pPr>
              <w:spacing w:line="240" w:lineRule="auto"/>
              <w:jc w:val="center"/>
              <w:rPr>
                <w:color w:val="000000"/>
                <w:sz w:val="20"/>
                <w:szCs w:val="20"/>
              </w:rPr>
            </w:pPr>
            <w:r w:rsidRPr="001569FB">
              <w:rPr>
                <w:color w:val="000000"/>
                <w:sz w:val="20"/>
                <w:szCs w:val="20"/>
              </w:rPr>
              <w:t>83</w:t>
            </w:r>
          </w:p>
        </w:tc>
        <w:tc>
          <w:tcPr>
            <w:tcW w:w="5665" w:type="dxa"/>
            <w:tcBorders>
              <w:top w:val="nil"/>
              <w:left w:val="nil"/>
              <w:bottom w:val="single" w:sz="4" w:space="0" w:color="auto"/>
              <w:right w:val="single" w:sz="4" w:space="0" w:color="auto"/>
            </w:tcBorders>
            <w:shd w:val="clear" w:color="000000" w:fill="FFFFFF"/>
            <w:vAlign w:val="center"/>
            <w:hideMark/>
          </w:tcPr>
          <w:p w14:paraId="54A5B002" w14:textId="77777777" w:rsidR="006F3A1A" w:rsidRPr="001569FB" w:rsidRDefault="006F3A1A" w:rsidP="008D4E91">
            <w:pPr>
              <w:spacing w:line="240" w:lineRule="auto"/>
              <w:rPr>
                <w:color w:val="000000"/>
                <w:sz w:val="20"/>
                <w:szCs w:val="20"/>
              </w:rPr>
            </w:pPr>
            <w:r w:rsidRPr="001569FB">
              <w:rPr>
                <w:color w:val="000000"/>
                <w:sz w:val="20"/>
                <w:szCs w:val="20"/>
              </w:rPr>
              <w:t>Rheumatoid Arthritis and Other Inflammatory Polyarthropathy</w:t>
            </w:r>
          </w:p>
        </w:tc>
        <w:tc>
          <w:tcPr>
            <w:tcW w:w="2615" w:type="dxa"/>
            <w:tcBorders>
              <w:top w:val="nil"/>
              <w:left w:val="nil"/>
              <w:bottom w:val="single" w:sz="4" w:space="0" w:color="auto"/>
              <w:right w:val="single" w:sz="4" w:space="0" w:color="auto"/>
            </w:tcBorders>
            <w:shd w:val="clear" w:color="000000" w:fill="FFFFFF"/>
            <w:noWrap/>
            <w:vAlign w:val="center"/>
            <w:hideMark/>
          </w:tcPr>
          <w:p w14:paraId="735E1DE8" w14:textId="77777777" w:rsidR="006F3A1A" w:rsidRPr="001569FB" w:rsidRDefault="006F3A1A" w:rsidP="008D4E91">
            <w:pPr>
              <w:spacing w:line="240" w:lineRule="auto"/>
              <w:jc w:val="center"/>
              <w:rPr>
                <w:color w:val="000000"/>
                <w:sz w:val="20"/>
                <w:szCs w:val="20"/>
              </w:rPr>
            </w:pPr>
            <w:r w:rsidRPr="001569FB">
              <w:rPr>
                <w:color w:val="000000"/>
                <w:sz w:val="20"/>
                <w:szCs w:val="20"/>
              </w:rPr>
              <w:t>84</w:t>
            </w:r>
          </w:p>
        </w:tc>
      </w:tr>
      <w:tr w:rsidR="006F3A1A" w:rsidRPr="001569FB" w14:paraId="11035BF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380DB02" w14:textId="77777777" w:rsidR="006F3A1A" w:rsidRPr="001569FB" w:rsidRDefault="006F3A1A" w:rsidP="008D4E91">
            <w:pPr>
              <w:spacing w:line="240" w:lineRule="auto"/>
              <w:jc w:val="center"/>
              <w:rPr>
                <w:color w:val="000000"/>
                <w:sz w:val="20"/>
                <w:szCs w:val="20"/>
              </w:rPr>
            </w:pPr>
            <w:r w:rsidRPr="001569FB">
              <w:rPr>
                <w:color w:val="000000"/>
                <w:sz w:val="20"/>
                <w:szCs w:val="20"/>
              </w:rPr>
              <w:t>95</w:t>
            </w:r>
          </w:p>
        </w:tc>
        <w:tc>
          <w:tcPr>
            <w:tcW w:w="5665" w:type="dxa"/>
            <w:tcBorders>
              <w:top w:val="nil"/>
              <w:left w:val="nil"/>
              <w:bottom w:val="single" w:sz="4" w:space="0" w:color="auto"/>
              <w:right w:val="single" w:sz="4" w:space="0" w:color="auto"/>
            </w:tcBorders>
            <w:shd w:val="clear" w:color="000000" w:fill="FFFFFF"/>
            <w:vAlign w:val="center"/>
            <w:hideMark/>
          </w:tcPr>
          <w:p w14:paraId="415EA861" w14:textId="77777777" w:rsidR="006F3A1A" w:rsidRPr="001569FB" w:rsidRDefault="006F3A1A" w:rsidP="008D4E91">
            <w:pPr>
              <w:spacing w:line="240" w:lineRule="auto"/>
              <w:rPr>
                <w:color w:val="000000"/>
                <w:sz w:val="20"/>
                <w:szCs w:val="20"/>
              </w:rPr>
            </w:pPr>
            <w:r w:rsidRPr="001569FB">
              <w:rPr>
                <w:color w:val="000000"/>
                <w:sz w:val="20"/>
                <w:szCs w:val="20"/>
              </w:rPr>
              <w:t>Sickle Cell Anemia</w:t>
            </w:r>
          </w:p>
        </w:tc>
        <w:tc>
          <w:tcPr>
            <w:tcW w:w="2615" w:type="dxa"/>
            <w:tcBorders>
              <w:top w:val="nil"/>
              <w:left w:val="nil"/>
              <w:bottom w:val="single" w:sz="4" w:space="0" w:color="auto"/>
              <w:right w:val="single" w:sz="4" w:space="0" w:color="auto"/>
            </w:tcBorders>
            <w:shd w:val="clear" w:color="000000" w:fill="FFFFFF"/>
            <w:noWrap/>
            <w:vAlign w:val="center"/>
            <w:hideMark/>
          </w:tcPr>
          <w:p w14:paraId="676E641B"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43A9783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8EBEBBF" w14:textId="77777777" w:rsidR="006F3A1A" w:rsidRPr="001569FB" w:rsidRDefault="006F3A1A" w:rsidP="008D4E91">
            <w:pPr>
              <w:spacing w:line="240" w:lineRule="auto"/>
              <w:jc w:val="center"/>
              <w:rPr>
                <w:color w:val="000000"/>
                <w:sz w:val="20"/>
                <w:szCs w:val="20"/>
              </w:rPr>
            </w:pPr>
            <w:r w:rsidRPr="001569FB">
              <w:rPr>
                <w:color w:val="000000"/>
                <w:sz w:val="20"/>
                <w:szCs w:val="20"/>
              </w:rPr>
              <w:t>96</w:t>
            </w:r>
          </w:p>
        </w:tc>
        <w:tc>
          <w:tcPr>
            <w:tcW w:w="5665" w:type="dxa"/>
            <w:tcBorders>
              <w:top w:val="nil"/>
              <w:left w:val="nil"/>
              <w:bottom w:val="single" w:sz="4" w:space="0" w:color="auto"/>
              <w:right w:val="single" w:sz="4" w:space="0" w:color="auto"/>
            </w:tcBorders>
            <w:shd w:val="clear" w:color="000000" w:fill="FFFFFF"/>
            <w:vAlign w:val="center"/>
            <w:hideMark/>
          </w:tcPr>
          <w:p w14:paraId="1DBFD023" w14:textId="77777777" w:rsidR="006F3A1A" w:rsidRPr="001569FB" w:rsidRDefault="006F3A1A" w:rsidP="008D4E91">
            <w:pPr>
              <w:spacing w:line="240" w:lineRule="auto"/>
              <w:rPr>
                <w:color w:val="000000"/>
                <w:sz w:val="20"/>
                <w:szCs w:val="20"/>
              </w:rPr>
            </w:pPr>
            <w:r w:rsidRPr="001569FB">
              <w:rPr>
                <w:color w:val="000000"/>
                <w:sz w:val="20"/>
                <w:szCs w:val="20"/>
              </w:rPr>
              <w:t>Myelodysplastic Syndromes and Myelofibrosis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2A088B5"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149F353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775EED5" w14:textId="77777777" w:rsidR="006F3A1A" w:rsidRPr="001569FB" w:rsidRDefault="006F3A1A" w:rsidP="008D4E91">
            <w:pPr>
              <w:spacing w:line="240" w:lineRule="auto"/>
              <w:jc w:val="center"/>
              <w:rPr>
                <w:color w:val="000000"/>
                <w:sz w:val="20"/>
                <w:szCs w:val="20"/>
              </w:rPr>
            </w:pPr>
            <w:r w:rsidRPr="001569FB">
              <w:rPr>
                <w:color w:val="000000"/>
                <w:sz w:val="20"/>
                <w:szCs w:val="20"/>
              </w:rPr>
              <w:t>111</w:t>
            </w:r>
          </w:p>
        </w:tc>
        <w:tc>
          <w:tcPr>
            <w:tcW w:w="5665" w:type="dxa"/>
            <w:tcBorders>
              <w:top w:val="nil"/>
              <w:left w:val="nil"/>
              <w:bottom w:val="single" w:sz="4" w:space="0" w:color="auto"/>
              <w:right w:val="single" w:sz="4" w:space="0" w:color="auto"/>
            </w:tcBorders>
            <w:shd w:val="clear" w:color="000000" w:fill="FFFFFF"/>
            <w:vAlign w:val="center"/>
            <w:hideMark/>
          </w:tcPr>
          <w:p w14:paraId="62585032" w14:textId="77777777" w:rsidR="006F3A1A" w:rsidRPr="001569FB" w:rsidRDefault="006F3A1A" w:rsidP="008D4E91">
            <w:pPr>
              <w:spacing w:line="240" w:lineRule="auto"/>
              <w:rPr>
                <w:color w:val="000000"/>
                <w:sz w:val="20"/>
                <w:szCs w:val="20"/>
              </w:rPr>
            </w:pPr>
            <w:r w:rsidRPr="001569FB">
              <w:rPr>
                <w:color w:val="000000"/>
                <w:sz w:val="20"/>
                <w:szCs w:val="20"/>
              </w:rPr>
              <w:t>Alzheimer's Disease</w:t>
            </w:r>
          </w:p>
        </w:tc>
        <w:tc>
          <w:tcPr>
            <w:tcW w:w="2615" w:type="dxa"/>
            <w:tcBorders>
              <w:top w:val="nil"/>
              <w:left w:val="nil"/>
              <w:bottom w:val="single" w:sz="4" w:space="0" w:color="auto"/>
              <w:right w:val="single" w:sz="4" w:space="0" w:color="auto"/>
            </w:tcBorders>
            <w:shd w:val="clear" w:color="000000" w:fill="FFFFFF"/>
            <w:noWrap/>
            <w:vAlign w:val="center"/>
            <w:hideMark/>
          </w:tcPr>
          <w:p w14:paraId="710980CD" w14:textId="77777777" w:rsidR="006F3A1A" w:rsidRPr="001569FB" w:rsidRDefault="006F3A1A" w:rsidP="008D4E91">
            <w:pPr>
              <w:spacing w:line="240" w:lineRule="auto"/>
              <w:jc w:val="center"/>
              <w:rPr>
                <w:color w:val="000000"/>
                <w:sz w:val="20"/>
                <w:szCs w:val="20"/>
              </w:rPr>
            </w:pPr>
            <w:r w:rsidRPr="001569FB">
              <w:rPr>
                <w:color w:val="000000"/>
                <w:sz w:val="20"/>
                <w:szCs w:val="20"/>
              </w:rPr>
              <w:t>112</w:t>
            </w:r>
          </w:p>
        </w:tc>
      </w:tr>
      <w:tr w:rsidR="006F3A1A" w:rsidRPr="001569FB" w14:paraId="7CA4CC3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AC9DC8B" w14:textId="77777777" w:rsidR="006F3A1A" w:rsidRPr="001569FB" w:rsidRDefault="006F3A1A" w:rsidP="008D4E91">
            <w:pPr>
              <w:spacing w:line="240" w:lineRule="auto"/>
              <w:jc w:val="center"/>
              <w:rPr>
                <w:color w:val="000000"/>
                <w:sz w:val="20"/>
                <w:szCs w:val="20"/>
              </w:rPr>
            </w:pPr>
            <w:r w:rsidRPr="001569FB">
              <w:rPr>
                <w:color w:val="000000"/>
                <w:sz w:val="20"/>
                <w:szCs w:val="20"/>
              </w:rPr>
              <w:t>130</w:t>
            </w:r>
          </w:p>
        </w:tc>
        <w:tc>
          <w:tcPr>
            <w:tcW w:w="5665" w:type="dxa"/>
            <w:tcBorders>
              <w:top w:val="nil"/>
              <w:left w:val="nil"/>
              <w:bottom w:val="single" w:sz="4" w:space="0" w:color="auto"/>
              <w:right w:val="single" w:sz="4" w:space="0" w:color="auto"/>
            </w:tcBorders>
            <w:shd w:val="clear" w:color="000000" w:fill="FFFFFF"/>
            <w:vAlign w:val="center"/>
            <w:hideMark/>
          </w:tcPr>
          <w:p w14:paraId="6D1E9E9B" w14:textId="77777777" w:rsidR="006F3A1A" w:rsidRPr="001569FB" w:rsidRDefault="006F3A1A" w:rsidP="008D4E91">
            <w:pPr>
              <w:spacing w:line="240" w:lineRule="auto"/>
              <w:rPr>
                <w:color w:val="000000"/>
                <w:sz w:val="20"/>
                <w:szCs w:val="20"/>
              </w:rPr>
            </w:pPr>
            <w:r w:rsidRPr="001569FB">
              <w:rPr>
                <w:color w:val="000000"/>
                <w:sz w:val="20"/>
                <w:szCs w:val="20"/>
              </w:rPr>
              <w:t>Schizophrenia</w:t>
            </w:r>
          </w:p>
        </w:tc>
        <w:tc>
          <w:tcPr>
            <w:tcW w:w="2615" w:type="dxa"/>
            <w:tcBorders>
              <w:top w:val="nil"/>
              <w:left w:val="nil"/>
              <w:bottom w:val="single" w:sz="4" w:space="0" w:color="auto"/>
              <w:right w:val="single" w:sz="4" w:space="0" w:color="auto"/>
            </w:tcBorders>
            <w:shd w:val="clear" w:color="000000" w:fill="FFFFFF"/>
            <w:noWrap/>
            <w:vAlign w:val="center"/>
            <w:hideMark/>
          </w:tcPr>
          <w:p w14:paraId="4AB77F8B" w14:textId="56C080F4" w:rsidR="006F3A1A" w:rsidRPr="001569FB" w:rsidRDefault="006F3A1A" w:rsidP="00E2602F">
            <w:pPr>
              <w:spacing w:line="240" w:lineRule="auto"/>
              <w:jc w:val="center"/>
              <w:rPr>
                <w:color w:val="000000"/>
                <w:sz w:val="20"/>
                <w:szCs w:val="20"/>
              </w:rPr>
            </w:pPr>
            <w:r w:rsidRPr="001569FB">
              <w:rPr>
                <w:color w:val="000000"/>
                <w:sz w:val="20"/>
                <w:szCs w:val="20"/>
              </w:rPr>
              <w:t>131,</w:t>
            </w:r>
            <w:r w:rsidR="00E2602F" w:rsidRPr="001569FB">
              <w:rPr>
                <w:color w:val="000000"/>
                <w:sz w:val="20"/>
                <w:szCs w:val="20"/>
              </w:rPr>
              <w:t xml:space="preserve"> </w:t>
            </w: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2B06EC0"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93C2AB5" w14:textId="77777777" w:rsidR="006F3A1A" w:rsidRPr="001569FB" w:rsidRDefault="006F3A1A" w:rsidP="008D4E91">
            <w:pPr>
              <w:spacing w:line="240" w:lineRule="auto"/>
              <w:jc w:val="center"/>
              <w:rPr>
                <w:color w:val="000000"/>
                <w:sz w:val="20"/>
                <w:szCs w:val="20"/>
              </w:rPr>
            </w:pPr>
            <w:r w:rsidRPr="001569FB">
              <w:rPr>
                <w:color w:val="000000"/>
                <w:sz w:val="20"/>
                <w:szCs w:val="20"/>
              </w:rPr>
              <w:t>131</w:t>
            </w:r>
          </w:p>
        </w:tc>
        <w:tc>
          <w:tcPr>
            <w:tcW w:w="5665" w:type="dxa"/>
            <w:tcBorders>
              <w:top w:val="nil"/>
              <w:left w:val="nil"/>
              <w:bottom w:val="single" w:sz="4" w:space="0" w:color="auto"/>
              <w:right w:val="single" w:sz="4" w:space="0" w:color="auto"/>
            </w:tcBorders>
            <w:shd w:val="clear" w:color="000000" w:fill="FFFFFF"/>
            <w:vAlign w:val="center"/>
            <w:hideMark/>
          </w:tcPr>
          <w:p w14:paraId="743F46FB" w14:textId="77777777" w:rsidR="006F3A1A" w:rsidRPr="001569FB" w:rsidRDefault="006F3A1A" w:rsidP="008D4E91">
            <w:pPr>
              <w:spacing w:line="240" w:lineRule="auto"/>
              <w:rPr>
                <w:color w:val="000000"/>
                <w:sz w:val="20"/>
                <w:szCs w:val="20"/>
              </w:rPr>
            </w:pPr>
            <w:r w:rsidRPr="001569FB">
              <w:rPr>
                <w:color w:val="000000"/>
                <w:sz w:val="20"/>
                <w:szCs w:val="20"/>
              </w:rPr>
              <w:t>Bipolar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3A92F43C" w14:textId="54A6E4F7" w:rsidR="006F3A1A" w:rsidRPr="001569FB" w:rsidRDefault="006F3A1A" w:rsidP="00E2602F">
            <w:pPr>
              <w:spacing w:line="240" w:lineRule="auto"/>
              <w:jc w:val="center"/>
              <w:rPr>
                <w:color w:val="000000"/>
                <w:sz w:val="20"/>
                <w:szCs w:val="20"/>
              </w:rPr>
            </w:pP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DF7204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5958422" w14:textId="77777777" w:rsidR="006F3A1A" w:rsidRPr="001569FB" w:rsidRDefault="006F3A1A" w:rsidP="008D4E91">
            <w:pPr>
              <w:spacing w:line="240" w:lineRule="auto"/>
              <w:jc w:val="center"/>
              <w:rPr>
                <w:color w:val="000000"/>
                <w:sz w:val="20"/>
                <w:szCs w:val="20"/>
              </w:rPr>
            </w:pPr>
            <w:r w:rsidRPr="001569FB">
              <w:rPr>
                <w:color w:val="000000"/>
                <w:sz w:val="20"/>
                <w:szCs w:val="20"/>
              </w:rPr>
              <w:t>132</w:t>
            </w:r>
          </w:p>
        </w:tc>
        <w:tc>
          <w:tcPr>
            <w:tcW w:w="5665" w:type="dxa"/>
            <w:tcBorders>
              <w:top w:val="nil"/>
              <w:left w:val="nil"/>
              <w:bottom w:val="single" w:sz="4" w:space="0" w:color="auto"/>
              <w:right w:val="single" w:sz="4" w:space="0" w:color="auto"/>
            </w:tcBorders>
            <w:shd w:val="clear" w:color="000000" w:fill="FFFFFF"/>
            <w:vAlign w:val="center"/>
            <w:hideMark/>
          </w:tcPr>
          <w:p w14:paraId="43FAD1A9" w14:textId="77777777" w:rsidR="006F3A1A" w:rsidRPr="001569FB" w:rsidRDefault="006F3A1A" w:rsidP="008D4E91">
            <w:pPr>
              <w:spacing w:line="240" w:lineRule="auto"/>
              <w:rPr>
                <w:color w:val="000000"/>
                <w:sz w:val="20"/>
                <w:szCs w:val="20"/>
              </w:rPr>
            </w:pPr>
            <w:r w:rsidRPr="001569FB">
              <w:rPr>
                <w:color w:val="000000"/>
                <w:sz w:val="20"/>
                <w:szCs w:val="20"/>
              </w:rPr>
              <w:t>Major 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084A1AE9" w14:textId="30928FDD"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19AA8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9F2B00" w14:textId="77777777" w:rsidR="006F3A1A" w:rsidRPr="001569FB" w:rsidRDefault="006F3A1A" w:rsidP="008D4E91">
            <w:pPr>
              <w:spacing w:line="240" w:lineRule="auto"/>
              <w:jc w:val="center"/>
              <w:rPr>
                <w:color w:val="000000"/>
                <w:sz w:val="20"/>
                <w:szCs w:val="20"/>
              </w:rPr>
            </w:pPr>
            <w:r w:rsidRPr="001569FB">
              <w:rPr>
                <w:color w:val="000000"/>
                <w:sz w:val="20"/>
                <w:szCs w:val="20"/>
              </w:rPr>
              <w:t>133</w:t>
            </w:r>
          </w:p>
        </w:tc>
        <w:tc>
          <w:tcPr>
            <w:tcW w:w="5665" w:type="dxa"/>
            <w:tcBorders>
              <w:top w:val="nil"/>
              <w:left w:val="nil"/>
              <w:bottom w:val="single" w:sz="4" w:space="0" w:color="auto"/>
              <w:right w:val="single" w:sz="4" w:space="0" w:color="auto"/>
            </w:tcBorders>
            <w:shd w:val="clear" w:color="000000" w:fill="FFFFFF"/>
            <w:vAlign w:val="center"/>
            <w:hideMark/>
          </w:tcPr>
          <w:p w14:paraId="71417098" w14:textId="77777777" w:rsidR="006F3A1A" w:rsidRPr="001569FB" w:rsidRDefault="006F3A1A" w:rsidP="008D4E91">
            <w:pPr>
              <w:spacing w:line="240" w:lineRule="auto"/>
              <w:rPr>
                <w:color w:val="000000"/>
                <w:sz w:val="20"/>
                <w:szCs w:val="20"/>
              </w:rPr>
            </w:pPr>
            <w:r w:rsidRPr="001569FB">
              <w:rPr>
                <w:color w:val="000000"/>
                <w:sz w:val="20"/>
                <w:szCs w:val="20"/>
              </w:rPr>
              <w:t>Specified Anxiety, Personality, and Behavior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76897000" w14:textId="01A5CE0E" w:rsidR="006F3A1A" w:rsidRPr="001569FB" w:rsidRDefault="006F3A1A" w:rsidP="00E2602F">
            <w:pPr>
              <w:spacing w:line="240" w:lineRule="auto"/>
              <w:jc w:val="center"/>
              <w:rPr>
                <w:color w:val="000000"/>
                <w:sz w:val="20"/>
                <w:szCs w:val="20"/>
              </w:rPr>
            </w:pP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2981043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5471991" w14:textId="77777777" w:rsidR="006F3A1A" w:rsidRPr="001569FB" w:rsidRDefault="006F3A1A" w:rsidP="008D4E91">
            <w:pPr>
              <w:spacing w:line="240" w:lineRule="auto"/>
              <w:jc w:val="center"/>
              <w:rPr>
                <w:color w:val="000000"/>
                <w:sz w:val="20"/>
                <w:szCs w:val="20"/>
              </w:rPr>
            </w:pPr>
            <w:r w:rsidRPr="001569FB">
              <w:rPr>
                <w:color w:val="000000"/>
                <w:sz w:val="20"/>
                <w:szCs w:val="20"/>
              </w:rPr>
              <w:t>134</w:t>
            </w:r>
          </w:p>
        </w:tc>
        <w:tc>
          <w:tcPr>
            <w:tcW w:w="5665" w:type="dxa"/>
            <w:tcBorders>
              <w:top w:val="nil"/>
              <w:left w:val="nil"/>
              <w:bottom w:val="single" w:sz="4" w:space="0" w:color="auto"/>
              <w:right w:val="single" w:sz="4" w:space="0" w:color="auto"/>
            </w:tcBorders>
            <w:shd w:val="clear" w:color="000000" w:fill="FFFFFF"/>
            <w:vAlign w:val="center"/>
            <w:hideMark/>
          </w:tcPr>
          <w:p w14:paraId="43ACCC82" w14:textId="77777777" w:rsidR="006F3A1A" w:rsidRPr="001569FB" w:rsidRDefault="006F3A1A" w:rsidP="008D4E91">
            <w:pPr>
              <w:spacing w:line="240" w:lineRule="auto"/>
              <w:rPr>
                <w:color w:val="000000"/>
                <w:sz w:val="20"/>
                <w:szCs w:val="20"/>
              </w:rPr>
            </w:pPr>
            <w:r w:rsidRPr="001569FB">
              <w:rPr>
                <w:color w:val="000000"/>
                <w:sz w:val="20"/>
                <w:szCs w:val="20"/>
              </w:rPr>
              <w:t>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572E6261" w14:textId="77777777" w:rsidR="006F3A1A" w:rsidRPr="001569FB" w:rsidRDefault="006F3A1A" w:rsidP="008D4E91">
            <w:pPr>
              <w:spacing w:line="240" w:lineRule="auto"/>
              <w:jc w:val="center"/>
              <w:rPr>
                <w:color w:val="000000"/>
                <w:sz w:val="20"/>
                <w:szCs w:val="20"/>
              </w:rPr>
            </w:pPr>
            <w:r w:rsidRPr="001569FB">
              <w:rPr>
                <w:color w:val="000000"/>
                <w:sz w:val="20"/>
                <w:szCs w:val="20"/>
              </w:rPr>
              <w:t>135</w:t>
            </w:r>
          </w:p>
        </w:tc>
      </w:tr>
      <w:tr w:rsidR="006F3A1A" w:rsidRPr="001569FB" w14:paraId="6AA5E41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58ACDA7" w14:textId="77777777" w:rsidR="006F3A1A" w:rsidRPr="001569FB" w:rsidRDefault="006F3A1A" w:rsidP="008D4E91">
            <w:pPr>
              <w:spacing w:line="240" w:lineRule="auto"/>
              <w:jc w:val="center"/>
              <w:rPr>
                <w:color w:val="000000"/>
                <w:sz w:val="20"/>
                <w:szCs w:val="20"/>
              </w:rPr>
            </w:pPr>
            <w:r w:rsidRPr="001569FB">
              <w:rPr>
                <w:color w:val="000000"/>
                <w:sz w:val="20"/>
                <w:szCs w:val="20"/>
              </w:rPr>
              <w:t>145</w:t>
            </w:r>
          </w:p>
        </w:tc>
        <w:tc>
          <w:tcPr>
            <w:tcW w:w="5665" w:type="dxa"/>
            <w:tcBorders>
              <w:top w:val="nil"/>
              <w:left w:val="nil"/>
              <w:bottom w:val="single" w:sz="4" w:space="0" w:color="auto"/>
              <w:right w:val="single" w:sz="4" w:space="0" w:color="auto"/>
            </w:tcBorders>
            <w:shd w:val="clear" w:color="000000" w:fill="FFFFFF"/>
            <w:vAlign w:val="center"/>
            <w:hideMark/>
          </w:tcPr>
          <w:p w14:paraId="49005131" w14:textId="77777777" w:rsidR="006F3A1A" w:rsidRPr="001569FB" w:rsidRDefault="006F3A1A" w:rsidP="008D4E91">
            <w:pPr>
              <w:spacing w:line="240" w:lineRule="auto"/>
              <w:rPr>
                <w:color w:val="000000"/>
                <w:sz w:val="20"/>
                <w:szCs w:val="20"/>
              </w:rPr>
            </w:pPr>
            <w:r w:rsidRPr="001569FB">
              <w:rPr>
                <w:color w:val="000000"/>
                <w:sz w:val="20"/>
                <w:szCs w:val="20"/>
              </w:rPr>
              <w:t>Autism</w:t>
            </w:r>
          </w:p>
        </w:tc>
        <w:tc>
          <w:tcPr>
            <w:tcW w:w="2615" w:type="dxa"/>
            <w:tcBorders>
              <w:top w:val="nil"/>
              <w:left w:val="nil"/>
              <w:bottom w:val="single" w:sz="4" w:space="0" w:color="auto"/>
              <w:right w:val="single" w:sz="4" w:space="0" w:color="auto"/>
            </w:tcBorders>
            <w:shd w:val="clear" w:color="000000" w:fill="FFFFFF"/>
            <w:noWrap/>
            <w:vAlign w:val="center"/>
            <w:hideMark/>
          </w:tcPr>
          <w:p w14:paraId="2C379041" w14:textId="597A0333"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502014C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2BC4A1" w14:textId="77777777" w:rsidR="006F3A1A" w:rsidRPr="001569FB" w:rsidRDefault="006F3A1A" w:rsidP="008D4E91">
            <w:pPr>
              <w:spacing w:line="240" w:lineRule="auto"/>
              <w:jc w:val="center"/>
              <w:rPr>
                <w:color w:val="000000"/>
                <w:sz w:val="20"/>
                <w:szCs w:val="20"/>
              </w:rPr>
            </w:pPr>
            <w:r w:rsidRPr="001569FB">
              <w:rPr>
                <w:color w:val="000000"/>
                <w:sz w:val="20"/>
                <w:szCs w:val="20"/>
              </w:rPr>
              <w:t>146</w:t>
            </w:r>
          </w:p>
        </w:tc>
        <w:tc>
          <w:tcPr>
            <w:tcW w:w="5665" w:type="dxa"/>
            <w:tcBorders>
              <w:top w:val="nil"/>
              <w:left w:val="nil"/>
              <w:bottom w:val="single" w:sz="4" w:space="0" w:color="auto"/>
              <w:right w:val="single" w:sz="4" w:space="0" w:color="auto"/>
            </w:tcBorders>
            <w:shd w:val="clear" w:color="000000" w:fill="FFFFFF"/>
            <w:vAlign w:val="center"/>
            <w:hideMark/>
          </w:tcPr>
          <w:p w14:paraId="1F234DE0" w14:textId="77777777" w:rsidR="006F3A1A" w:rsidRPr="001569FB" w:rsidRDefault="006F3A1A" w:rsidP="008D4E91">
            <w:pPr>
              <w:spacing w:line="240" w:lineRule="auto"/>
              <w:rPr>
                <w:color w:val="000000"/>
                <w:sz w:val="20"/>
                <w:szCs w:val="20"/>
              </w:rPr>
            </w:pPr>
            <w:r w:rsidRPr="001569FB">
              <w:rPr>
                <w:color w:val="000000"/>
                <w:sz w:val="20"/>
                <w:szCs w:val="20"/>
              </w:rPr>
              <w:t>Profound or Severe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286F47BE" w14:textId="38D9B177" w:rsidR="006F3A1A" w:rsidRPr="001569FB" w:rsidRDefault="006F3A1A" w:rsidP="00E2602F">
            <w:pPr>
              <w:spacing w:line="240" w:lineRule="auto"/>
              <w:jc w:val="center"/>
              <w:rPr>
                <w:color w:val="000000"/>
                <w:sz w:val="20"/>
                <w:szCs w:val="20"/>
              </w:rPr>
            </w:pP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6AACF8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CAA89A" w14:textId="77777777" w:rsidR="006F3A1A" w:rsidRPr="001569FB" w:rsidRDefault="006F3A1A" w:rsidP="008D4E91">
            <w:pPr>
              <w:spacing w:line="240" w:lineRule="auto"/>
              <w:jc w:val="center"/>
              <w:rPr>
                <w:color w:val="000000"/>
                <w:sz w:val="20"/>
                <w:szCs w:val="20"/>
              </w:rPr>
            </w:pPr>
            <w:r w:rsidRPr="001569FB">
              <w:rPr>
                <w:color w:val="000000"/>
                <w:sz w:val="20"/>
                <w:szCs w:val="20"/>
              </w:rPr>
              <w:t>147</w:t>
            </w:r>
          </w:p>
        </w:tc>
        <w:tc>
          <w:tcPr>
            <w:tcW w:w="5665" w:type="dxa"/>
            <w:tcBorders>
              <w:top w:val="nil"/>
              <w:left w:val="nil"/>
              <w:bottom w:val="single" w:sz="4" w:space="0" w:color="auto"/>
              <w:right w:val="single" w:sz="4" w:space="0" w:color="auto"/>
            </w:tcBorders>
            <w:shd w:val="clear" w:color="000000" w:fill="FFFFFF"/>
            <w:vAlign w:val="center"/>
            <w:hideMark/>
          </w:tcPr>
          <w:p w14:paraId="6EB31B9F" w14:textId="77777777" w:rsidR="006F3A1A" w:rsidRPr="001569FB" w:rsidRDefault="006F3A1A" w:rsidP="008D4E91">
            <w:pPr>
              <w:spacing w:line="240" w:lineRule="auto"/>
              <w:rPr>
                <w:color w:val="000000"/>
                <w:sz w:val="20"/>
                <w:szCs w:val="20"/>
              </w:rPr>
            </w:pPr>
            <w:r w:rsidRPr="001569FB">
              <w:rPr>
                <w:color w:val="000000"/>
                <w:sz w:val="20"/>
                <w:szCs w:val="20"/>
              </w:rPr>
              <w:t>Moderate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68379061" w14:textId="77777777" w:rsidR="006F3A1A" w:rsidRPr="001569FB" w:rsidRDefault="006F3A1A" w:rsidP="008D4E91">
            <w:pPr>
              <w:spacing w:line="240" w:lineRule="auto"/>
              <w:jc w:val="center"/>
              <w:rPr>
                <w:color w:val="000000"/>
                <w:sz w:val="20"/>
                <w:szCs w:val="20"/>
              </w:rPr>
            </w:pPr>
            <w:r w:rsidRPr="001569FB">
              <w:rPr>
                <w:color w:val="000000"/>
                <w:sz w:val="20"/>
                <w:szCs w:val="20"/>
              </w:rPr>
              <w:t>148</w:t>
            </w:r>
          </w:p>
        </w:tc>
      </w:tr>
      <w:tr w:rsidR="006F3A1A" w:rsidRPr="001569FB" w14:paraId="12FD3E3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1E926CB" w14:textId="77777777" w:rsidR="006F3A1A" w:rsidRPr="001569FB" w:rsidRDefault="006F3A1A" w:rsidP="008D4E91">
            <w:pPr>
              <w:spacing w:line="240" w:lineRule="auto"/>
              <w:jc w:val="center"/>
              <w:rPr>
                <w:color w:val="000000"/>
                <w:sz w:val="20"/>
                <w:szCs w:val="20"/>
              </w:rPr>
            </w:pPr>
            <w:r w:rsidRPr="001569FB">
              <w:rPr>
                <w:color w:val="000000"/>
                <w:sz w:val="20"/>
                <w:szCs w:val="20"/>
              </w:rPr>
              <w:t>163</w:t>
            </w:r>
          </w:p>
        </w:tc>
        <w:tc>
          <w:tcPr>
            <w:tcW w:w="5665" w:type="dxa"/>
            <w:tcBorders>
              <w:top w:val="nil"/>
              <w:left w:val="nil"/>
              <w:bottom w:val="single" w:sz="4" w:space="0" w:color="auto"/>
              <w:right w:val="single" w:sz="4" w:space="0" w:color="auto"/>
            </w:tcBorders>
            <w:shd w:val="clear" w:color="000000" w:fill="FFFFFF"/>
            <w:vAlign w:val="center"/>
            <w:hideMark/>
          </w:tcPr>
          <w:p w14:paraId="78821A07" w14:textId="77777777" w:rsidR="006F3A1A" w:rsidRPr="001569FB" w:rsidRDefault="006F3A1A" w:rsidP="008D4E91">
            <w:pPr>
              <w:spacing w:line="240" w:lineRule="auto"/>
              <w:rPr>
                <w:color w:val="000000"/>
                <w:sz w:val="20"/>
                <w:szCs w:val="20"/>
              </w:rPr>
            </w:pPr>
            <w:r w:rsidRPr="001569FB">
              <w:rPr>
                <w:color w:val="000000"/>
                <w:sz w:val="20"/>
                <w:szCs w:val="20"/>
              </w:rPr>
              <w:t>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322D680B" w14:textId="1279F854" w:rsidR="006F3A1A" w:rsidRPr="001569FB" w:rsidRDefault="006F3A1A" w:rsidP="00E2602F">
            <w:pPr>
              <w:spacing w:line="240" w:lineRule="auto"/>
              <w:jc w:val="center"/>
              <w:rPr>
                <w:color w:val="000000"/>
                <w:sz w:val="20"/>
                <w:szCs w:val="20"/>
              </w:rPr>
            </w:pPr>
            <w:r w:rsidRPr="001569FB">
              <w:rPr>
                <w:color w:val="000000"/>
                <w:sz w:val="20"/>
                <w:szCs w:val="20"/>
              </w:rPr>
              <w:t>164,</w:t>
            </w:r>
            <w:r w:rsidR="00E2602F" w:rsidRPr="001569FB">
              <w:rPr>
                <w:color w:val="000000"/>
                <w:sz w:val="20"/>
                <w:szCs w:val="20"/>
              </w:rPr>
              <w:t xml:space="preserve"> </w:t>
            </w:r>
            <w:r w:rsidRPr="001569FB">
              <w:rPr>
                <w:color w:val="000000"/>
                <w:sz w:val="20"/>
                <w:szCs w:val="20"/>
              </w:rPr>
              <w:t>165</w:t>
            </w:r>
          </w:p>
        </w:tc>
      </w:tr>
      <w:tr w:rsidR="006F3A1A" w:rsidRPr="001569FB" w14:paraId="2E575F2E"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849BEF8" w14:textId="77777777" w:rsidR="006F3A1A" w:rsidRPr="001569FB" w:rsidRDefault="006F3A1A" w:rsidP="008D4E91">
            <w:pPr>
              <w:spacing w:line="240" w:lineRule="auto"/>
              <w:jc w:val="center"/>
              <w:rPr>
                <w:color w:val="000000"/>
                <w:sz w:val="20"/>
                <w:szCs w:val="20"/>
              </w:rPr>
            </w:pPr>
            <w:r w:rsidRPr="001569FB">
              <w:rPr>
                <w:color w:val="000000"/>
                <w:sz w:val="20"/>
                <w:szCs w:val="20"/>
              </w:rPr>
              <w:t>164</w:t>
            </w:r>
          </w:p>
        </w:tc>
        <w:tc>
          <w:tcPr>
            <w:tcW w:w="5665" w:type="dxa"/>
            <w:tcBorders>
              <w:top w:val="nil"/>
              <w:left w:val="nil"/>
              <w:bottom w:val="single" w:sz="4" w:space="0" w:color="auto"/>
              <w:right w:val="single" w:sz="4" w:space="0" w:color="auto"/>
            </w:tcBorders>
            <w:shd w:val="clear" w:color="000000" w:fill="FFFFFF"/>
            <w:vAlign w:val="center"/>
            <w:hideMark/>
          </w:tcPr>
          <w:p w14:paraId="602FFFE4" w14:textId="77777777" w:rsidR="006F3A1A" w:rsidRPr="001569FB" w:rsidRDefault="006F3A1A" w:rsidP="008D4E91">
            <w:pPr>
              <w:spacing w:line="240" w:lineRule="auto"/>
              <w:rPr>
                <w:color w:val="000000"/>
                <w:sz w:val="20"/>
                <w:szCs w:val="20"/>
              </w:rPr>
            </w:pPr>
            <w:r w:rsidRPr="001569FB">
              <w:rPr>
                <w:color w:val="000000"/>
                <w:sz w:val="20"/>
                <w:szCs w:val="20"/>
              </w:rPr>
              <w:t>Epilepsy and Other Seizure Disorders, Except 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2C78B8D4" w14:textId="77777777" w:rsidR="006F3A1A" w:rsidRPr="001569FB" w:rsidRDefault="006F3A1A" w:rsidP="008D4E91">
            <w:pPr>
              <w:spacing w:line="240" w:lineRule="auto"/>
              <w:jc w:val="center"/>
              <w:rPr>
                <w:color w:val="000000"/>
                <w:sz w:val="20"/>
                <w:szCs w:val="20"/>
              </w:rPr>
            </w:pPr>
            <w:r w:rsidRPr="001569FB">
              <w:rPr>
                <w:color w:val="000000"/>
                <w:sz w:val="20"/>
                <w:szCs w:val="20"/>
              </w:rPr>
              <w:t>165</w:t>
            </w:r>
          </w:p>
        </w:tc>
      </w:tr>
      <w:tr w:rsidR="006F3A1A" w:rsidRPr="001569FB" w14:paraId="48E49BE3"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8EB2A18" w14:textId="77777777" w:rsidR="006F3A1A" w:rsidRPr="001569FB" w:rsidRDefault="006F3A1A" w:rsidP="008D4E91">
            <w:pPr>
              <w:spacing w:line="240" w:lineRule="auto"/>
              <w:jc w:val="center"/>
              <w:rPr>
                <w:color w:val="000000"/>
                <w:sz w:val="20"/>
                <w:szCs w:val="20"/>
              </w:rPr>
            </w:pPr>
            <w:r w:rsidRPr="001569FB">
              <w:rPr>
                <w:color w:val="000000"/>
                <w:sz w:val="20"/>
                <w:szCs w:val="20"/>
              </w:rPr>
              <w:t>185</w:t>
            </w:r>
          </w:p>
        </w:tc>
        <w:tc>
          <w:tcPr>
            <w:tcW w:w="5665" w:type="dxa"/>
            <w:tcBorders>
              <w:top w:val="nil"/>
              <w:left w:val="nil"/>
              <w:bottom w:val="single" w:sz="4" w:space="0" w:color="auto"/>
              <w:right w:val="single" w:sz="4" w:space="0" w:color="auto"/>
            </w:tcBorders>
            <w:shd w:val="clear" w:color="000000" w:fill="FFFFFF"/>
            <w:vAlign w:val="center"/>
            <w:hideMark/>
          </w:tcPr>
          <w:p w14:paraId="20BAD860" w14:textId="77777777" w:rsidR="006F3A1A" w:rsidRPr="001569FB" w:rsidRDefault="006F3A1A" w:rsidP="008D4E91">
            <w:pPr>
              <w:spacing w:line="240" w:lineRule="auto"/>
              <w:rPr>
                <w:color w:val="000000"/>
                <w:sz w:val="20"/>
                <w:szCs w:val="20"/>
              </w:rPr>
            </w:pPr>
            <w:r w:rsidRPr="001569FB">
              <w:rPr>
                <w:color w:val="000000"/>
                <w:sz w:val="20"/>
                <w:szCs w:val="20"/>
              </w:rPr>
              <w:t>Primary Pulmonary Hypertension</w:t>
            </w:r>
          </w:p>
        </w:tc>
        <w:tc>
          <w:tcPr>
            <w:tcW w:w="2615" w:type="dxa"/>
            <w:tcBorders>
              <w:top w:val="nil"/>
              <w:left w:val="nil"/>
              <w:bottom w:val="single" w:sz="4" w:space="0" w:color="auto"/>
              <w:right w:val="single" w:sz="4" w:space="0" w:color="auto"/>
            </w:tcBorders>
            <w:shd w:val="clear" w:color="000000" w:fill="FFFFFF"/>
            <w:noWrap/>
            <w:vAlign w:val="center"/>
            <w:hideMark/>
          </w:tcPr>
          <w:p w14:paraId="3B0BA5CE" w14:textId="6C3856AD" w:rsidR="006F3A1A" w:rsidRPr="001569FB" w:rsidRDefault="006F3A1A" w:rsidP="00E2602F">
            <w:pPr>
              <w:spacing w:line="240" w:lineRule="auto"/>
              <w:jc w:val="center"/>
              <w:rPr>
                <w:color w:val="000000"/>
                <w:sz w:val="20"/>
                <w:szCs w:val="20"/>
              </w:rPr>
            </w:pPr>
            <w:r w:rsidRPr="001569FB">
              <w:rPr>
                <w:color w:val="000000"/>
                <w:sz w:val="20"/>
                <w:szCs w:val="20"/>
              </w:rPr>
              <w:t>186,</w:t>
            </w:r>
            <w:r w:rsidR="00E2602F" w:rsidRPr="001569FB">
              <w:rPr>
                <w:color w:val="000000"/>
                <w:sz w:val="20"/>
                <w:szCs w:val="20"/>
              </w:rPr>
              <w:t xml:space="preserve"> </w:t>
            </w:r>
            <w:r w:rsidRPr="001569FB">
              <w:rPr>
                <w:color w:val="000000"/>
                <w:sz w:val="20"/>
                <w:szCs w:val="20"/>
              </w:rPr>
              <w:t>187</w:t>
            </w:r>
          </w:p>
        </w:tc>
      </w:tr>
      <w:tr w:rsidR="006F3A1A" w:rsidRPr="001569FB" w14:paraId="23CCA40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053D3B52" w14:textId="77777777" w:rsidR="006F3A1A" w:rsidRPr="001569FB" w:rsidRDefault="006F3A1A" w:rsidP="008D4E91">
            <w:pPr>
              <w:spacing w:line="240" w:lineRule="auto"/>
              <w:jc w:val="center"/>
              <w:rPr>
                <w:color w:val="000000"/>
                <w:sz w:val="20"/>
                <w:szCs w:val="20"/>
              </w:rPr>
            </w:pPr>
            <w:r w:rsidRPr="001569FB">
              <w:rPr>
                <w:color w:val="000000"/>
                <w:sz w:val="20"/>
                <w:szCs w:val="20"/>
              </w:rPr>
              <w:t>186</w:t>
            </w:r>
          </w:p>
        </w:tc>
        <w:tc>
          <w:tcPr>
            <w:tcW w:w="5665" w:type="dxa"/>
            <w:tcBorders>
              <w:top w:val="nil"/>
              <w:left w:val="nil"/>
              <w:bottom w:val="single" w:sz="4" w:space="0" w:color="auto"/>
              <w:right w:val="single" w:sz="4" w:space="0" w:color="auto"/>
            </w:tcBorders>
            <w:shd w:val="clear" w:color="000000" w:fill="FFFFFF"/>
            <w:vAlign w:val="center"/>
            <w:hideMark/>
          </w:tcPr>
          <w:p w14:paraId="191962D4" w14:textId="77777777" w:rsidR="006F3A1A" w:rsidRPr="001569FB" w:rsidRDefault="006F3A1A" w:rsidP="008D4E91">
            <w:pPr>
              <w:spacing w:line="240" w:lineRule="auto"/>
              <w:rPr>
                <w:color w:val="000000"/>
                <w:sz w:val="20"/>
                <w:szCs w:val="20"/>
              </w:rPr>
            </w:pPr>
            <w:r w:rsidRPr="001569FB">
              <w:rPr>
                <w:color w:val="000000"/>
                <w:sz w:val="20"/>
                <w:szCs w:val="20"/>
              </w:rPr>
              <w:t>Congestive Heart Failure</w:t>
            </w:r>
          </w:p>
        </w:tc>
        <w:tc>
          <w:tcPr>
            <w:tcW w:w="2615" w:type="dxa"/>
            <w:tcBorders>
              <w:top w:val="nil"/>
              <w:left w:val="nil"/>
              <w:bottom w:val="single" w:sz="4" w:space="0" w:color="auto"/>
              <w:right w:val="single" w:sz="4" w:space="0" w:color="auto"/>
            </w:tcBorders>
            <w:shd w:val="clear" w:color="000000" w:fill="FFFFFF"/>
            <w:noWrap/>
            <w:vAlign w:val="center"/>
            <w:hideMark/>
          </w:tcPr>
          <w:p w14:paraId="7DF10EAB" w14:textId="77777777" w:rsidR="006F3A1A" w:rsidRPr="001569FB" w:rsidRDefault="006F3A1A" w:rsidP="008D4E91">
            <w:pPr>
              <w:spacing w:line="240" w:lineRule="auto"/>
              <w:jc w:val="center"/>
              <w:rPr>
                <w:color w:val="000000"/>
                <w:sz w:val="20"/>
                <w:szCs w:val="20"/>
              </w:rPr>
            </w:pPr>
            <w:r w:rsidRPr="001569FB">
              <w:rPr>
                <w:color w:val="000000"/>
                <w:sz w:val="20"/>
                <w:szCs w:val="20"/>
              </w:rPr>
              <w:t>187</w:t>
            </w:r>
          </w:p>
        </w:tc>
      </w:tr>
      <w:tr w:rsidR="006F3A1A" w:rsidRPr="001569FB" w14:paraId="25B5575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CBDFF74" w14:textId="77777777" w:rsidR="006F3A1A" w:rsidRPr="001569FB" w:rsidRDefault="006F3A1A" w:rsidP="008D4E91">
            <w:pPr>
              <w:spacing w:line="240" w:lineRule="auto"/>
              <w:jc w:val="center"/>
              <w:rPr>
                <w:color w:val="000000"/>
                <w:sz w:val="20"/>
                <w:szCs w:val="20"/>
              </w:rPr>
            </w:pPr>
            <w:r w:rsidRPr="001569FB">
              <w:rPr>
                <w:color w:val="000000"/>
                <w:sz w:val="20"/>
                <w:szCs w:val="20"/>
              </w:rPr>
              <w:t>225</w:t>
            </w:r>
          </w:p>
        </w:tc>
        <w:tc>
          <w:tcPr>
            <w:tcW w:w="5665" w:type="dxa"/>
            <w:tcBorders>
              <w:top w:val="nil"/>
              <w:left w:val="nil"/>
              <w:bottom w:val="single" w:sz="4" w:space="0" w:color="auto"/>
              <w:right w:val="single" w:sz="4" w:space="0" w:color="auto"/>
            </w:tcBorders>
            <w:shd w:val="clear" w:color="000000" w:fill="FFFFFF"/>
            <w:vAlign w:val="center"/>
            <w:hideMark/>
          </w:tcPr>
          <w:p w14:paraId="1FFDED98" w14:textId="77777777" w:rsidR="006F3A1A" w:rsidRPr="001569FB" w:rsidRDefault="006F3A1A" w:rsidP="008D4E91">
            <w:pPr>
              <w:spacing w:line="240" w:lineRule="auto"/>
              <w:rPr>
                <w:color w:val="000000"/>
                <w:sz w:val="20"/>
                <w:szCs w:val="20"/>
              </w:rPr>
            </w:pPr>
            <w:r w:rsidRPr="001569FB">
              <w:rPr>
                <w:color w:val="000000"/>
                <w:sz w:val="20"/>
                <w:szCs w:val="20"/>
              </w:rPr>
              <w:t>Cystic 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B909BC9" w14:textId="48621279" w:rsidR="006F3A1A" w:rsidRPr="001569FB" w:rsidRDefault="006F3A1A" w:rsidP="00E2602F">
            <w:pPr>
              <w:spacing w:line="240" w:lineRule="auto"/>
              <w:jc w:val="center"/>
              <w:rPr>
                <w:color w:val="000000"/>
                <w:sz w:val="20"/>
                <w:szCs w:val="20"/>
              </w:rPr>
            </w:pPr>
            <w:r w:rsidRPr="001569FB">
              <w:rPr>
                <w:color w:val="000000"/>
                <w:sz w:val="20"/>
                <w:szCs w:val="20"/>
              </w:rPr>
              <w:t>226,</w:t>
            </w:r>
            <w:r w:rsidR="00E2602F" w:rsidRPr="001569FB">
              <w:rPr>
                <w:color w:val="000000"/>
                <w:sz w:val="20"/>
                <w:szCs w:val="20"/>
              </w:rPr>
              <w:t xml:space="preserve"> </w:t>
            </w:r>
            <w:r w:rsidRPr="001569FB">
              <w:rPr>
                <w:color w:val="000000"/>
                <w:sz w:val="20"/>
                <w:szCs w:val="20"/>
              </w:rPr>
              <w:t>227</w:t>
            </w:r>
          </w:p>
        </w:tc>
      </w:tr>
      <w:tr w:rsidR="006F3A1A" w:rsidRPr="001569FB" w14:paraId="4564431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8E599F9" w14:textId="77777777" w:rsidR="006F3A1A" w:rsidRPr="001569FB" w:rsidRDefault="006F3A1A" w:rsidP="008D4E91">
            <w:pPr>
              <w:spacing w:line="240" w:lineRule="auto"/>
              <w:jc w:val="center"/>
              <w:rPr>
                <w:color w:val="000000"/>
                <w:sz w:val="20"/>
                <w:szCs w:val="20"/>
              </w:rPr>
            </w:pPr>
            <w:r w:rsidRPr="001569FB">
              <w:rPr>
                <w:color w:val="000000"/>
                <w:sz w:val="20"/>
                <w:szCs w:val="20"/>
              </w:rPr>
              <w:t>226</w:t>
            </w:r>
          </w:p>
        </w:tc>
        <w:tc>
          <w:tcPr>
            <w:tcW w:w="5665" w:type="dxa"/>
            <w:tcBorders>
              <w:top w:val="nil"/>
              <w:left w:val="nil"/>
              <w:bottom w:val="single" w:sz="4" w:space="0" w:color="auto"/>
              <w:right w:val="single" w:sz="4" w:space="0" w:color="auto"/>
            </w:tcBorders>
            <w:shd w:val="clear" w:color="000000" w:fill="FFFFFF"/>
            <w:vAlign w:val="center"/>
            <w:hideMark/>
          </w:tcPr>
          <w:p w14:paraId="5B50C3B7" w14:textId="77777777" w:rsidR="006F3A1A" w:rsidRPr="001569FB" w:rsidRDefault="006F3A1A" w:rsidP="008D4E91">
            <w:pPr>
              <w:spacing w:line="240" w:lineRule="auto"/>
              <w:rPr>
                <w:color w:val="000000"/>
                <w:sz w:val="20"/>
                <w:szCs w:val="20"/>
              </w:rPr>
            </w:pPr>
            <w:r w:rsidRPr="001569FB">
              <w:rPr>
                <w:color w:val="000000"/>
                <w:sz w:val="20"/>
                <w:szCs w:val="20"/>
              </w:rPr>
              <w:t>Chronic Obstructive Pulmonary Disease and Asthma</w:t>
            </w:r>
          </w:p>
        </w:tc>
        <w:tc>
          <w:tcPr>
            <w:tcW w:w="2615" w:type="dxa"/>
            <w:tcBorders>
              <w:top w:val="nil"/>
              <w:left w:val="nil"/>
              <w:bottom w:val="single" w:sz="4" w:space="0" w:color="auto"/>
              <w:right w:val="single" w:sz="4" w:space="0" w:color="auto"/>
            </w:tcBorders>
            <w:shd w:val="clear" w:color="000000" w:fill="FFFFFF"/>
            <w:noWrap/>
            <w:vAlign w:val="center"/>
            <w:hideMark/>
          </w:tcPr>
          <w:p w14:paraId="447130A7" w14:textId="77777777" w:rsidR="006F3A1A" w:rsidRPr="001569FB" w:rsidRDefault="006F3A1A" w:rsidP="008D4E91">
            <w:pPr>
              <w:spacing w:line="240" w:lineRule="auto"/>
              <w:jc w:val="center"/>
              <w:rPr>
                <w:color w:val="000000"/>
                <w:sz w:val="20"/>
                <w:szCs w:val="20"/>
              </w:rPr>
            </w:pPr>
            <w:r w:rsidRPr="001569FB">
              <w:rPr>
                <w:color w:val="000000"/>
                <w:sz w:val="20"/>
                <w:szCs w:val="20"/>
              </w:rPr>
              <w:t>227</w:t>
            </w:r>
          </w:p>
        </w:tc>
      </w:tr>
      <w:tr w:rsidR="006F3A1A" w:rsidRPr="001569FB" w14:paraId="0267BFC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6ED40D" w14:textId="77777777" w:rsidR="006F3A1A" w:rsidRPr="001569FB" w:rsidRDefault="006F3A1A" w:rsidP="008D4E91">
            <w:pPr>
              <w:spacing w:line="240" w:lineRule="auto"/>
              <w:jc w:val="center"/>
              <w:rPr>
                <w:color w:val="000000"/>
                <w:sz w:val="20"/>
                <w:szCs w:val="20"/>
              </w:rPr>
            </w:pPr>
            <w:r w:rsidRPr="001569FB">
              <w:rPr>
                <w:color w:val="000000"/>
                <w:sz w:val="20"/>
                <w:szCs w:val="20"/>
              </w:rPr>
              <w:t>260</w:t>
            </w:r>
          </w:p>
        </w:tc>
        <w:tc>
          <w:tcPr>
            <w:tcW w:w="5665" w:type="dxa"/>
            <w:tcBorders>
              <w:top w:val="nil"/>
              <w:left w:val="nil"/>
              <w:bottom w:val="single" w:sz="4" w:space="0" w:color="auto"/>
              <w:right w:val="single" w:sz="4" w:space="0" w:color="auto"/>
            </w:tcBorders>
            <w:shd w:val="clear" w:color="000000" w:fill="FFFFFF"/>
            <w:vAlign w:val="center"/>
            <w:hideMark/>
          </w:tcPr>
          <w:p w14:paraId="60C9B284" w14:textId="77777777" w:rsidR="006F3A1A" w:rsidRPr="001569FB" w:rsidRDefault="006F3A1A" w:rsidP="008D4E91">
            <w:pPr>
              <w:spacing w:line="240" w:lineRule="auto"/>
              <w:rPr>
                <w:color w:val="000000"/>
                <w:sz w:val="20"/>
                <w:szCs w:val="20"/>
              </w:rPr>
            </w:pPr>
            <w:r w:rsidRPr="001569FB">
              <w:rPr>
                <w:color w:val="000000"/>
                <w:sz w:val="20"/>
                <w:szCs w:val="20"/>
              </w:rPr>
              <w:t>Kidney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34D249D8" w14:textId="3DF0E263" w:rsidR="006F3A1A" w:rsidRPr="001569FB" w:rsidRDefault="006F3A1A" w:rsidP="00E2602F">
            <w:pPr>
              <w:spacing w:line="240" w:lineRule="auto"/>
              <w:jc w:val="center"/>
              <w:rPr>
                <w:color w:val="000000"/>
                <w:sz w:val="20"/>
                <w:szCs w:val="20"/>
              </w:rPr>
            </w:pPr>
            <w:r w:rsidRPr="001569FB">
              <w:rPr>
                <w:color w:val="000000"/>
                <w:sz w:val="20"/>
                <w:szCs w:val="20"/>
              </w:rPr>
              <w:t>261,</w:t>
            </w:r>
            <w:r w:rsidR="00E2602F" w:rsidRPr="001569FB">
              <w:rPr>
                <w:color w:val="000000"/>
                <w:sz w:val="20"/>
                <w:szCs w:val="20"/>
              </w:rPr>
              <w:t xml:space="preserve"> </w:t>
            </w: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r w:rsidR="00E2602F" w:rsidRPr="001569FB">
              <w:rPr>
                <w:color w:val="000000"/>
                <w:sz w:val="20"/>
                <w:szCs w:val="20"/>
              </w:rPr>
              <w:t xml:space="preserve"> </w:t>
            </w:r>
            <w:r w:rsidRPr="001569FB">
              <w:rPr>
                <w:color w:val="000000"/>
                <w:sz w:val="20"/>
                <w:szCs w:val="20"/>
              </w:rPr>
              <w:t>397</w:t>
            </w:r>
          </w:p>
        </w:tc>
      </w:tr>
      <w:tr w:rsidR="006F3A1A" w:rsidRPr="001569FB" w14:paraId="6BBEE0A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1352D1A" w14:textId="77777777" w:rsidR="006F3A1A" w:rsidRPr="001569FB" w:rsidRDefault="006F3A1A" w:rsidP="008D4E91">
            <w:pPr>
              <w:spacing w:line="240" w:lineRule="auto"/>
              <w:jc w:val="center"/>
              <w:rPr>
                <w:color w:val="000000"/>
                <w:sz w:val="20"/>
                <w:szCs w:val="20"/>
              </w:rPr>
            </w:pPr>
            <w:r w:rsidRPr="001569FB">
              <w:rPr>
                <w:color w:val="000000"/>
                <w:sz w:val="20"/>
                <w:szCs w:val="20"/>
              </w:rPr>
              <w:t>261</w:t>
            </w:r>
          </w:p>
        </w:tc>
        <w:tc>
          <w:tcPr>
            <w:tcW w:w="5665" w:type="dxa"/>
            <w:tcBorders>
              <w:top w:val="nil"/>
              <w:left w:val="nil"/>
              <w:bottom w:val="single" w:sz="4" w:space="0" w:color="auto"/>
              <w:right w:val="single" w:sz="4" w:space="0" w:color="auto"/>
            </w:tcBorders>
            <w:shd w:val="clear" w:color="000000" w:fill="FFFFFF"/>
            <w:vAlign w:val="center"/>
            <w:hideMark/>
          </w:tcPr>
          <w:p w14:paraId="5010294B" w14:textId="77777777" w:rsidR="006F3A1A" w:rsidRPr="001569FB" w:rsidRDefault="006F3A1A" w:rsidP="008D4E91">
            <w:pPr>
              <w:spacing w:line="240" w:lineRule="auto"/>
              <w:rPr>
                <w:color w:val="000000"/>
                <w:sz w:val="20"/>
                <w:szCs w:val="20"/>
              </w:rPr>
            </w:pPr>
            <w:r w:rsidRPr="001569FB">
              <w:rPr>
                <w:color w:val="000000"/>
                <w:sz w:val="20"/>
                <w:szCs w:val="20"/>
              </w:rPr>
              <w:t>Dialysis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170D13D7" w14:textId="5D29CE39" w:rsidR="006F3A1A" w:rsidRPr="001569FB" w:rsidRDefault="006F3A1A" w:rsidP="00E2602F">
            <w:pPr>
              <w:spacing w:line="240" w:lineRule="auto"/>
              <w:jc w:val="center"/>
              <w:rPr>
                <w:color w:val="000000"/>
                <w:sz w:val="20"/>
                <w:szCs w:val="20"/>
              </w:rPr>
            </w:pP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p>
        </w:tc>
      </w:tr>
      <w:tr w:rsidR="006F3A1A" w:rsidRPr="001569FB" w14:paraId="2DA32A7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4BDD77E" w14:textId="77777777" w:rsidR="006F3A1A" w:rsidRPr="001569FB" w:rsidRDefault="006F3A1A" w:rsidP="008D4E91">
            <w:pPr>
              <w:spacing w:line="240" w:lineRule="auto"/>
              <w:jc w:val="center"/>
              <w:rPr>
                <w:color w:val="000000"/>
                <w:sz w:val="20"/>
                <w:szCs w:val="20"/>
              </w:rPr>
            </w:pPr>
            <w:r w:rsidRPr="001569FB">
              <w:rPr>
                <w:color w:val="000000"/>
                <w:sz w:val="20"/>
                <w:szCs w:val="20"/>
              </w:rPr>
              <w:t>262</w:t>
            </w:r>
          </w:p>
        </w:tc>
        <w:tc>
          <w:tcPr>
            <w:tcW w:w="5665" w:type="dxa"/>
            <w:tcBorders>
              <w:top w:val="nil"/>
              <w:left w:val="nil"/>
              <w:bottom w:val="single" w:sz="4" w:space="0" w:color="auto"/>
              <w:right w:val="single" w:sz="4" w:space="0" w:color="auto"/>
            </w:tcBorders>
            <w:shd w:val="clear" w:color="000000" w:fill="FFFFFF"/>
            <w:vAlign w:val="center"/>
            <w:hideMark/>
          </w:tcPr>
          <w:p w14:paraId="5200A875" w14:textId="77777777" w:rsidR="006F3A1A" w:rsidRPr="001569FB" w:rsidRDefault="006F3A1A" w:rsidP="008D4E91">
            <w:pPr>
              <w:spacing w:line="240" w:lineRule="auto"/>
              <w:rPr>
                <w:color w:val="000000"/>
                <w:sz w:val="20"/>
                <w:szCs w:val="20"/>
              </w:rPr>
            </w:pPr>
            <w:r w:rsidRPr="001569FB">
              <w:rPr>
                <w:color w:val="000000"/>
                <w:sz w:val="20"/>
                <w:szCs w:val="20"/>
              </w:rPr>
              <w:t>Chronic Kidney Disease Stage 5</w:t>
            </w:r>
          </w:p>
        </w:tc>
        <w:tc>
          <w:tcPr>
            <w:tcW w:w="2615" w:type="dxa"/>
            <w:tcBorders>
              <w:top w:val="nil"/>
              <w:left w:val="nil"/>
              <w:bottom w:val="single" w:sz="4" w:space="0" w:color="auto"/>
              <w:right w:val="single" w:sz="4" w:space="0" w:color="auto"/>
            </w:tcBorders>
            <w:shd w:val="clear" w:color="000000" w:fill="FFFFFF"/>
            <w:noWrap/>
            <w:vAlign w:val="center"/>
            <w:hideMark/>
          </w:tcPr>
          <w:p w14:paraId="7E4B665E" w14:textId="77777777" w:rsidR="006F3A1A" w:rsidRPr="001569FB" w:rsidRDefault="006F3A1A" w:rsidP="008D4E91">
            <w:pPr>
              <w:spacing w:line="240" w:lineRule="auto"/>
              <w:jc w:val="center"/>
              <w:rPr>
                <w:color w:val="000000"/>
                <w:sz w:val="20"/>
                <w:szCs w:val="20"/>
              </w:rPr>
            </w:pPr>
            <w:r w:rsidRPr="001569FB">
              <w:rPr>
                <w:color w:val="000000"/>
                <w:sz w:val="20"/>
                <w:szCs w:val="20"/>
              </w:rPr>
              <w:t>263</w:t>
            </w:r>
          </w:p>
        </w:tc>
      </w:tr>
      <w:tr w:rsidR="006F3A1A" w:rsidRPr="001569FB" w14:paraId="51367EA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7A217D6" w14:textId="77777777" w:rsidR="006F3A1A" w:rsidRPr="001569FB" w:rsidRDefault="006F3A1A" w:rsidP="008D4E91">
            <w:pPr>
              <w:spacing w:line="240" w:lineRule="auto"/>
              <w:jc w:val="center"/>
              <w:rPr>
                <w:color w:val="000000"/>
                <w:sz w:val="20"/>
                <w:szCs w:val="20"/>
              </w:rPr>
            </w:pPr>
            <w:r w:rsidRPr="001569FB">
              <w:rPr>
                <w:color w:val="000000"/>
                <w:sz w:val="20"/>
                <w:szCs w:val="20"/>
              </w:rPr>
              <w:t>395</w:t>
            </w:r>
          </w:p>
        </w:tc>
        <w:tc>
          <w:tcPr>
            <w:tcW w:w="5665" w:type="dxa"/>
            <w:tcBorders>
              <w:top w:val="nil"/>
              <w:left w:val="nil"/>
              <w:bottom w:val="single" w:sz="4" w:space="0" w:color="auto"/>
              <w:right w:val="single" w:sz="4" w:space="0" w:color="auto"/>
            </w:tcBorders>
            <w:shd w:val="clear" w:color="000000" w:fill="FFFFFF"/>
            <w:vAlign w:val="center"/>
            <w:hideMark/>
          </w:tcPr>
          <w:p w14:paraId="50795471" w14:textId="77777777" w:rsidR="006F3A1A" w:rsidRPr="001569FB" w:rsidRDefault="006F3A1A" w:rsidP="008D4E91">
            <w:pPr>
              <w:spacing w:line="240" w:lineRule="auto"/>
              <w:rPr>
                <w:color w:val="000000"/>
                <w:sz w:val="20"/>
                <w:szCs w:val="20"/>
              </w:rPr>
            </w:pPr>
            <w:r w:rsidRPr="001569FB">
              <w:rPr>
                <w:color w:val="000000"/>
                <w:sz w:val="20"/>
                <w:szCs w:val="20"/>
              </w:rPr>
              <w:t>Lung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59A95BE0" w14:textId="27D94DE1" w:rsidR="006F3A1A" w:rsidRPr="001569FB" w:rsidRDefault="006F3A1A" w:rsidP="00E2602F">
            <w:pPr>
              <w:spacing w:line="240" w:lineRule="auto"/>
              <w:jc w:val="center"/>
              <w:rPr>
                <w:color w:val="000000"/>
                <w:sz w:val="20"/>
                <w:szCs w:val="20"/>
              </w:rPr>
            </w:pPr>
            <w:r w:rsidRPr="001569FB">
              <w:rPr>
                <w:color w:val="000000"/>
                <w:sz w:val="20"/>
                <w:szCs w:val="20"/>
              </w:rPr>
              <w:t>396,</w:t>
            </w:r>
            <w:r w:rsidR="00E2602F" w:rsidRPr="001569FB">
              <w:rPr>
                <w:color w:val="000000"/>
                <w:sz w:val="20"/>
                <w:szCs w:val="20"/>
              </w:rPr>
              <w:t xml:space="preserve"> </w:t>
            </w:r>
            <w:r w:rsidRPr="001569FB">
              <w:rPr>
                <w:color w:val="000000"/>
                <w:sz w:val="20"/>
                <w:szCs w:val="20"/>
              </w:rPr>
              <w:t>397</w:t>
            </w:r>
          </w:p>
        </w:tc>
      </w:tr>
      <w:tr w:rsidR="006F3A1A" w:rsidRPr="001569FB" w14:paraId="6A6BD97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A4FA06" w14:textId="77777777" w:rsidR="006F3A1A" w:rsidRPr="001569FB" w:rsidRDefault="006F3A1A" w:rsidP="008D4E91">
            <w:pPr>
              <w:spacing w:line="240" w:lineRule="auto"/>
              <w:jc w:val="center"/>
              <w:rPr>
                <w:color w:val="000000"/>
                <w:sz w:val="20"/>
                <w:szCs w:val="20"/>
              </w:rPr>
            </w:pPr>
            <w:r w:rsidRPr="001569FB">
              <w:rPr>
                <w:color w:val="000000"/>
                <w:sz w:val="20"/>
                <w:szCs w:val="20"/>
              </w:rPr>
              <w:t>396</w:t>
            </w:r>
          </w:p>
        </w:tc>
        <w:tc>
          <w:tcPr>
            <w:tcW w:w="5665" w:type="dxa"/>
            <w:tcBorders>
              <w:top w:val="nil"/>
              <w:left w:val="nil"/>
              <w:bottom w:val="single" w:sz="4" w:space="0" w:color="auto"/>
              <w:right w:val="single" w:sz="4" w:space="0" w:color="auto"/>
            </w:tcBorders>
            <w:shd w:val="clear" w:color="000000" w:fill="FFFFFF"/>
            <w:vAlign w:val="center"/>
            <w:hideMark/>
          </w:tcPr>
          <w:p w14:paraId="7E18849A" w14:textId="77777777" w:rsidR="006F3A1A" w:rsidRPr="001569FB" w:rsidRDefault="006F3A1A" w:rsidP="008D4E91">
            <w:pPr>
              <w:spacing w:line="240" w:lineRule="auto"/>
              <w:rPr>
                <w:color w:val="000000"/>
                <w:sz w:val="20"/>
                <w:szCs w:val="20"/>
              </w:rPr>
            </w:pPr>
            <w:r w:rsidRPr="001569FB">
              <w:rPr>
                <w:color w:val="000000"/>
                <w:sz w:val="20"/>
                <w:szCs w:val="20"/>
              </w:rPr>
              <w:t>Major Organ Transplant Status, Except Lung, Kidney, and Pancreas</w:t>
            </w:r>
          </w:p>
        </w:tc>
        <w:tc>
          <w:tcPr>
            <w:tcW w:w="2615" w:type="dxa"/>
            <w:tcBorders>
              <w:top w:val="nil"/>
              <w:left w:val="nil"/>
              <w:bottom w:val="single" w:sz="4" w:space="0" w:color="auto"/>
              <w:right w:val="single" w:sz="4" w:space="0" w:color="auto"/>
            </w:tcBorders>
            <w:shd w:val="clear" w:color="000000" w:fill="FFFFFF"/>
            <w:noWrap/>
            <w:vAlign w:val="center"/>
            <w:hideMark/>
          </w:tcPr>
          <w:p w14:paraId="0DA412A4" w14:textId="77777777" w:rsidR="006F3A1A" w:rsidRPr="001569FB" w:rsidRDefault="006F3A1A" w:rsidP="008D4E91">
            <w:pPr>
              <w:spacing w:line="240" w:lineRule="auto"/>
              <w:jc w:val="center"/>
              <w:rPr>
                <w:color w:val="000000"/>
                <w:sz w:val="20"/>
                <w:szCs w:val="20"/>
              </w:rPr>
            </w:pPr>
            <w:r w:rsidRPr="001569FB">
              <w:rPr>
                <w:color w:val="000000"/>
                <w:sz w:val="20"/>
                <w:szCs w:val="20"/>
              </w:rPr>
              <w:t>397</w:t>
            </w:r>
          </w:p>
        </w:tc>
      </w:tr>
    </w:tbl>
    <w:p w14:paraId="3A720307" w14:textId="77777777" w:rsidR="002B6A9E" w:rsidRPr="001569FB" w:rsidRDefault="006F3A1A" w:rsidP="002B6A9E">
      <w:pPr>
        <w:spacing w:before="120" w:after="60" w:line="240" w:lineRule="auto"/>
        <w:ind w:right="-270"/>
        <w:rPr>
          <w:sz w:val="18"/>
          <w:szCs w:val="18"/>
        </w:rPr>
      </w:pPr>
      <w:r w:rsidRPr="001569FB">
        <w:rPr>
          <w:b/>
          <w:sz w:val="18"/>
          <w:szCs w:val="18"/>
        </w:rPr>
        <w:t>How Payments are Made with a Disease Hierarchy:</w:t>
      </w:r>
      <w:r w:rsidR="007A6384" w:rsidRPr="001569FB">
        <w:rPr>
          <w:b/>
          <w:sz w:val="18"/>
          <w:szCs w:val="18"/>
        </w:rPr>
        <w:t xml:space="preserve"> </w:t>
      </w:r>
      <w:r w:rsidRPr="001569FB">
        <w:rPr>
          <w:sz w:val="18"/>
          <w:szCs w:val="18"/>
        </w:rPr>
        <w:t xml:space="preserve"> If a beneficiary triggers Disease Groups 163 (Intractable Epilepsy) and 164 (Epilepsy and Other Seizure Disorders, Except Intractable Epilepsy), then DG 164 will be dropped. In other words, payment will always be associated with the DG in column 1, if a DG in column 3 also occurs during the same collection period. Therefore, the organization’s payment will be based on DG 163 rather than DG 164.</w:t>
      </w:r>
    </w:p>
    <w:p w14:paraId="4681C946" w14:textId="42EAEF12" w:rsidR="006F3A1A" w:rsidRPr="001569FB" w:rsidRDefault="007A6384" w:rsidP="002B6A9E">
      <w:pPr>
        <w:spacing w:before="60" w:line="240" w:lineRule="auto"/>
        <w:ind w:right="-540"/>
        <w:rPr>
          <w:b/>
          <w:sz w:val="18"/>
          <w:szCs w:val="18"/>
        </w:rPr>
      </w:pPr>
      <w:r w:rsidRPr="001569FB">
        <w:rPr>
          <w:b/>
          <w:sz w:val="18"/>
          <w:szCs w:val="18"/>
        </w:rPr>
        <w:t>SOURCE</w:t>
      </w:r>
      <w:bookmarkStart w:id="582" w:name="_Toc352318170"/>
      <w:bookmarkStart w:id="583" w:name="_Toc351478550"/>
      <w:bookmarkStart w:id="584" w:name="_Toc352157437"/>
      <w:r w:rsidR="006F3A1A" w:rsidRPr="001569FB">
        <w:rPr>
          <w:b/>
          <w:sz w:val="18"/>
          <w:szCs w:val="18"/>
        </w:rPr>
        <w:t>:</w:t>
      </w:r>
      <w:r w:rsidR="006F3A1A" w:rsidRPr="001569FB">
        <w:rPr>
          <w:sz w:val="18"/>
          <w:szCs w:val="18"/>
        </w:rPr>
        <w:t xml:space="preserve"> RTI International.</w:t>
      </w:r>
      <w:bookmarkEnd w:id="582"/>
      <w:bookmarkEnd w:id="583"/>
      <w:bookmarkEnd w:id="584"/>
    </w:p>
    <w:p w14:paraId="7C135A9E" w14:textId="61E09FA7" w:rsidR="009A7430" w:rsidRPr="001569FB" w:rsidRDefault="00E177CD" w:rsidP="00E177CD">
      <w:pPr>
        <w:pStyle w:val="HeadingA"/>
      </w:pPr>
      <w:bookmarkStart w:id="585" w:name="_Toc503950932"/>
      <w:bookmarkStart w:id="586" w:name="_Toc503980157"/>
      <w:bookmarkStart w:id="587" w:name="_Hlk501030645"/>
      <w:r w:rsidRPr="001569FB">
        <w:br w:type="page"/>
      </w:r>
      <w:bookmarkStart w:id="588" w:name="_Toc505253818"/>
      <w:r w:rsidR="009A7430" w:rsidRPr="001569FB">
        <w:lastRenderedPageBreak/>
        <w:t xml:space="preserve">Table </w:t>
      </w:r>
      <w:r w:rsidR="00440F3D" w:rsidRPr="001569FB">
        <w:t>V-</w:t>
      </w:r>
      <w:r w:rsidR="008A2489" w:rsidRPr="001569FB">
        <w:t>6</w:t>
      </w:r>
      <w:r w:rsidR="009A7430" w:rsidRPr="001569FB">
        <w:t>. ESRD Model Continuing Enrollee Dialysis Relative Factors</w:t>
      </w:r>
      <w:bookmarkEnd w:id="585"/>
      <w:bookmarkEnd w:id="586"/>
      <w:bookmarkEnd w:id="588"/>
    </w:p>
    <w:tbl>
      <w:tblPr>
        <w:tblStyle w:val="TableGrid"/>
        <w:tblW w:w="0" w:type="auto"/>
        <w:tblLook w:val="04A0" w:firstRow="1" w:lastRow="0" w:firstColumn="1" w:lastColumn="0" w:noHBand="0" w:noVBand="1"/>
      </w:tblPr>
      <w:tblGrid>
        <w:gridCol w:w="2695"/>
        <w:gridCol w:w="5095"/>
        <w:gridCol w:w="1560"/>
      </w:tblGrid>
      <w:tr w:rsidR="009A7430" w:rsidRPr="001569FB" w14:paraId="478FE3E9" w14:textId="77777777" w:rsidTr="00E177CD">
        <w:trPr>
          <w:cantSplit/>
          <w:trHeight w:val="300"/>
          <w:tblHeader/>
        </w:trPr>
        <w:tc>
          <w:tcPr>
            <w:tcW w:w="2695" w:type="dxa"/>
            <w:tcBorders>
              <w:right w:val="single" w:sz="4" w:space="0" w:color="auto"/>
            </w:tcBorders>
            <w:noWrap/>
            <w:hideMark/>
          </w:tcPr>
          <w:p w14:paraId="0D885796" w14:textId="77777777" w:rsidR="009A7430" w:rsidRPr="001569FB" w:rsidRDefault="009A7430" w:rsidP="008D4E91">
            <w:pPr>
              <w:rPr>
                <w:b/>
                <w:bCs/>
                <w:sz w:val="20"/>
                <w:szCs w:val="20"/>
              </w:rPr>
            </w:pPr>
            <w:r w:rsidRPr="001569FB">
              <w:rPr>
                <w:b/>
                <w:bCs/>
                <w:sz w:val="20"/>
                <w:szCs w:val="20"/>
              </w:rPr>
              <w:t>Variable</w:t>
            </w:r>
          </w:p>
        </w:tc>
        <w:tc>
          <w:tcPr>
            <w:tcW w:w="5095" w:type="dxa"/>
            <w:tcBorders>
              <w:left w:val="single" w:sz="4" w:space="0" w:color="auto"/>
            </w:tcBorders>
            <w:noWrap/>
            <w:hideMark/>
          </w:tcPr>
          <w:p w14:paraId="4294D675" w14:textId="77777777" w:rsidR="009A7430" w:rsidRPr="001569FB" w:rsidRDefault="009A7430" w:rsidP="008D4E91">
            <w:pPr>
              <w:rPr>
                <w:b/>
                <w:bCs/>
                <w:sz w:val="20"/>
                <w:szCs w:val="20"/>
              </w:rPr>
            </w:pPr>
            <w:r w:rsidRPr="001569FB">
              <w:rPr>
                <w:b/>
                <w:bCs/>
                <w:sz w:val="20"/>
                <w:szCs w:val="20"/>
              </w:rPr>
              <w:t>Description Label</w:t>
            </w:r>
          </w:p>
        </w:tc>
        <w:tc>
          <w:tcPr>
            <w:tcW w:w="1560" w:type="dxa"/>
            <w:noWrap/>
            <w:hideMark/>
          </w:tcPr>
          <w:p w14:paraId="62F40C7C"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5CBF9796" w14:textId="77777777" w:rsidTr="008D4E91">
        <w:trPr>
          <w:trHeight w:val="300"/>
        </w:trPr>
        <w:tc>
          <w:tcPr>
            <w:tcW w:w="9350" w:type="dxa"/>
            <w:gridSpan w:val="3"/>
            <w:noWrap/>
            <w:hideMark/>
          </w:tcPr>
          <w:p w14:paraId="76274CF0" w14:textId="77777777" w:rsidR="009A7430" w:rsidRPr="001569FB" w:rsidRDefault="009A7430" w:rsidP="008D4E91">
            <w:pPr>
              <w:rPr>
                <w:sz w:val="20"/>
                <w:szCs w:val="20"/>
              </w:rPr>
            </w:pPr>
            <w:r w:rsidRPr="001569FB">
              <w:rPr>
                <w:b/>
                <w:sz w:val="20"/>
                <w:szCs w:val="20"/>
              </w:rPr>
              <w:t>Female</w:t>
            </w:r>
            <w:r w:rsidRPr="001569FB">
              <w:rPr>
                <w:sz w:val="20"/>
                <w:szCs w:val="20"/>
              </w:rPr>
              <w:t> </w:t>
            </w:r>
          </w:p>
        </w:tc>
      </w:tr>
      <w:tr w:rsidR="009A7430" w:rsidRPr="001569FB" w14:paraId="62044C34" w14:textId="77777777" w:rsidTr="008D4E91">
        <w:trPr>
          <w:trHeight w:val="300"/>
        </w:trPr>
        <w:tc>
          <w:tcPr>
            <w:tcW w:w="2695" w:type="dxa"/>
            <w:noWrap/>
            <w:hideMark/>
          </w:tcPr>
          <w:p w14:paraId="3D272DD5" w14:textId="77777777" w:rsidR="009A7430" w:rsidRPr="001569FB" w:rsidRDefault="009A7430" w:rsidP="008D4E91">
            <w:pPr>
              <w:rPr>
                <w:sz w:val="20"/>
                <w:szCs w:val="20"/>
              </w:rPr>
            </w:pPr>
            <w:r w:rsidRPr="001569FB">
              <w:rPr>
                <w:sz w:val="20"/>
                <w:szCs w:val="20"/>
              </w:rPr>
              <w:t>0-34 Years</w:t>
            </w:r>
          </w:p>
        </w:tc>
        <w:tc>
          <w:tcPr>
            <w:tcW w:w="5095" w:type="dxa"/>
            <w:noWrap/>
            <w:hideMark/>
          </w:tcPr>
          <w:p w14:paraId="23162424" w14:textId="77777777" w:rsidR="009A7430" w:rsidRPr="001569FB" w:rsidRDefault="009A7430" w:rsidP="008D4E91">
            <w:pPr>
              <w:rPr>
                <w:sz w:val="20"/>
                <w:szCs w:val="20"/>
              </w:rPr>
            </w:pPr>
            <w:r w:rsidRPr="001569FB">
              <w:rPr>
                <w:sz w:val="20"/>
                <w:szCs w:val="20"/>
              </w:rPr>
              <w:t> </w:t>
            </w:r>
          </w:p>
        </w:tc>
        <w:tc>
          <w:tcPr>
            <w:tcW w:w="1560" w:type="dxa"/>
            <w:noWrap/>
            <w:hideMark/>
          </w:tcPr>
          <w:p w14:paraId="237531CD" w14:textId="77777777" w:rsidR="009A7430" w:rsidRPr="001569FB" w:rsidRDefault="009A7430" w:rsidP="008D4E91">
            <w:pPr>
              <w:jc w:val="center"/>
              <w:rPr>
                <w:sz w:val="20"/>
                <w:szCs w:val="20"/>
              </w:rPr>
            </w:pPr>
            <w:r w:rsidRPr="001569FB">
              <w:rPr>
                <w:sz w:val="20"/>
                <w:szCs w:val="20"/>
              </w:rPr>
              <w:t>0.618</w:t>
            </w:r>
          </w:p>
        </w:tc>
      </w:tr>
      <w:tr w:rsidR="009A7430" w:rsidRPr="001569FB" w14:paraId="6008C7EA" w14:textId="77777777" w:rsidTr="008D4E91">
        <w:trPr>
          <w:trHeight w:val="300"/>
        </w:trPr>
        <w:tc>
          <w:tcPr>
            <w:tcW w:w="2695" w:type="dxa"/>
            <w:noWrap/>
            <w:hideMark/>
          </w:tcPr>
          <w:p w14:paraId="59EC52B6"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5A2DF891" w14:textId="77777777" w:rsidR="009A7430" w:rsidRPr="001569FB" w:rsidRDefault="009A7430" w:rsidP="008D4E91">
            <w:pPr>
              <w:rPr>
                <w:sz w:val="20"/>
                <w:szCs w:val="20"/>
              </w:rPr>
            </w:pPr>
            <w:r w:rsidRPr="001569FB">
              <w:rPr>
                <w:sz w:val="20"/>
                <w:szCs w:val="20"/>
              </w:rPr>
              <w:t> </w:t>
            </w:r>
          </w:p>
        </w:tc>
        <w:tc>
          <w:tcPr>
            <w:tcW w:w="1560" w:type="dxa"/>
            <w:noWrap/>
            <w:hideMark/>
          </w:tcPr>
          <w:p w14:paraId="30A5B475" w14:textId="77777777" w:rsidR="009A7430" w:rsidRPr="001569FB" w:rsidRDefault="009A7430" w:rsidP="008D4E91">
            <w:pPr>
              <w:jc w:val="center"/>
              <w:rPr>
                <w:sz w:val="20"/>
                <w:szCs w:val="20"/>
              </w:rPr>
            </w:pPr>
            <w:r w:rsidRPr="001569FB">
              <w:rPr>
                <w:sz w:val="20"/>
                <w:szCs w:val="20"/>
              </w:rPr>
              <w:t>0.567</w:t>
            </w:r>
          </w:p>
        </w:tc>
      </w:tr>
      <w:tr w:rsidR="009A7430" w:rsidRPr="001569FB" w14:paraId="517D4F5D" w14:textId="77777777" w:rsidTr="008D4E91">
        <w:trPr>
          <w:trHeight w:val="300"/>
        </w:trPr>
        <w:tc>
          <w:tcPr>
            <w:tcW w:w="2695" w:type="dxa"/>
            <w:noWrap/>
            <w:hideMark/>
          </w:tcPr>
          <w:p w14:paraId="4BEA4CED"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695EFAB" w14:textId="77777777" w:rsidR="009A7430" w:rsidRPr="001569FB" w:rsidRDefault="009A7430" w:rsidP="008D4E91">
            <w:pPr>
              <w:rPr>
                <w:sz w:val="20"/>
                <w:szCs w:val="20"/>
              </w:rPr>
            </w:pPr>
            <w:r w:rsidRPr="001569FB">
              <w:rPr>
                <w:sz w:val="20"/>
                <w:szCs w:val="20"/>
              </w:rPr>
              <w:t> </w:t>
            </w:r>
          </w:p>
        </w:tc>
        <w:tc>
          <w:tcPr>
            <w:tcW w:w="1560" w:type="dxa"/>
            <w:noWrap/>
            <w:hideMark/>
          </w:tcPr>
          <w:p w14:paraId="71186F93" w14:textId="77777777" w:rsidR="009A7430" w:rsidRPr="001569FB" w:rsidRDefault="009A7430" w:rsidP="008D4E91">
            <w:pPr>
              <w:jc w:val="center"/>
              <w:rPr>
                <w:sz w:val="20"/>
                <w:szCs w:val="20"/>
              </w:rPr>
            </w:pPr>
            <w:r w:rsidRPr="001569FB">
              <w:rPr>
                <w:sz w:val="20"/>
                <w:szCs w:val="20"/>
              </w:rPr>
              <w:t>0.522</w:t>
            </w:r>
          </w:p>
        </w:tc>
      </w:tr>
      <w:tr w:rsidR="009A7430" w:rsidRPr="001569FB" w14:paraId="610DC318" w14:textId="77777777" w:rsidTr="008D4E91">
        <w:trPr>
          <w:trHeight w:val="300"/>
        </w:trPr>
        <w:tc>
          <w:tcPr>
            <w:tcW w:w="2695" w:type="dxa"/>
            <w:noWrap/>
            <w:hideMark/>
          </w:tcPr>
          <w:p w14:paraId="4F5A9174"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608AF3D8" w14:textId="77777777" w:rsidR="009A7430" w:rsidRPr="001569FB" w:rsidRDefault="009A7430" w:rsidP="008D4E91">
            <w:pPr>
              <w:rPr>
                <w:sz w:val="20"/>
                <w:szCs w:val="20"/>
              </w:rPr>
            </w:pPr>
            <w:r w:rsidRPr="001569FB">
              <w:rPr>
                <w:sz w:val="20"/>
                <w:szCs w:val="20"/>
              </w:rPr>
              <w:t> </w:t>
            </w:r>
          </w:p>
        </w:tc>
        <w:tc>
          <w:tcPr>
            <w:tcW w:w="1560" w:type="dxa"/>
            <w:noWrap/>
            <w:hideMark/>
          </w:tcPr>
          <w:p w14:paraId="4DB9841A" w14:textId="77777777" w:rsidR="009A7430" w:rsidRPr="001569FB" w:rsidRDefault="009A7430" w:rsidP="008D4E91">
            <w:pPr>
              <w:jc w:val="center"/>
              <w:rPr>
                <w:sz w:val="20"/>
                <w:szCs w:val="20"/>
              </w:rPr>
            </w:pPr>
            <w:r w:rsidRPr="001569FB">
              <w:rPr>
                <w:sz w:val="20"/>
                <w:szCs w:val="20"/>
              </w:rPr>
              <w:t>0.535</w:t>
            </w:r>
          </w:p>
        </w:tc>
      </w:tr>
      <w:tr w:rsidR="009A7430" w:rsidRPr="001569FB" w14:paraId="3BD78F27" w14:textId="77777777" w:rsidTr="008D4E91">
        <w:trPr>
          <w:trHeight w:val="300"/>
        </w:trPr>
        <w:tc>
          <w:tcPr>
            <w:tcW w:w="2695" w:type="dxa"/>
            <w:noWrap/>
            <w:hideMark/>
          </w:tcPr>
          <w:p w14:paraId="68024DE7"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B737D1F" w14:textId="77777777" w:rsidR="009A7430" w:rsidRPr="001569FB" w:rsidRDefault="009A7430" w:rsidP="008D4E91">
            <w:pPr>
              <w:rPr>
                <w:sz w:val="20"/>
                <w:szCs w:val="20"/>
              </w:rPr>
            </w:pPr>
            <w:r w:rsidRPr="001569FB">
              <w:rPr>
                <w:sz w:val="20"/>
                <w:szCs w:val="20"/>
              </w:rPr>
              <w:t> </w:t>
            </w:r>
          </w:p>
        </w:tc>
        <w:tc>
          <w:tcPr>
            <w:tcW w:w="1560" w:type="dxa"/>
            <w:noWrap/>
            <w:hideMark/>
          </w:tcPr>
          <w:p w14:paraId="5893DECF" w14:textId="77777777" w:rsidR="009A7430" w:rsidRPr="001569FB" w:rsidRDefault="009A7430" w:rsidP="008D4E91">
            <w:pPr>
              <w:jc w:val="center"/>
              <w:rPr>
                <w:sz w:val="20"/>
                <w:szCs w:val="20"/>
              </w:rPr>
            </w:pPr>
            <w:r w:rsidRPr="001569FB">
              <w:rPr>
                <w:sz w:val="20"/>
                <w:szCs w:val="20"/>
              </w:rPr>
              <w:t>0.553</w:t>
            </w:r>
          </w:p>
        </w:tc>
      </w:tr>
      <w:tr w:rsidR="009A7430" w:rsidRPr="001569FB" w14:paraId="46E084AD" w14:textId="77777777" w:rsidTr="008D4E91">
        <w:trPr>
          <w:trHeight w:val="300"/>
        </w:trPr>
        <w:tc>
          <w:tcPr>
            <w:tcW w:w="2695" w:type="dxa"/>
            <w:noWrap/>
            <w:hideMark/>
          </w:tcPr>
          <w:p w14:paraId="579BB0D8"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0ADC3AF8" w14:textId="77777777" w:rsidR="009A7430" w:rsidRPr="001569FB" w:rsidRDefault="009A7430" w:rsidP="008D4E91">
            <w:pPr>
              <w:rPr>
                <w:sz w:val="20"/>
                <w:szCs w:val="20"/>
              </w:rPr>
            </w:pPr>
            <w:r w:rsidRPr="001569FB">
              <w:rPr>
                <w:sz w:val="20"/>
                <w:szCs w:val="20"/>
              </w:rPr>
              <w:t> </w:t>
            </w:r>
          </w:p>
        </w:tc>
        <w:tc>
          <w:tcPr>
            <w:tcW w:w="1560" w:type="dxa"/>
            <w:noWrap/>
            <w:hideMark/>
          </w:tcPr>
          <w:p w14:paraId="3DCEF02B" w14:textId="77777777" w:rsidR="009A7430" w:rsidRPr="001569FB" w:rsidRDefault="009A7430" w:rsidP="008D4E91">
            <w:pPr>
              <w:jc w:val="center"/>
              <w:rPr>
                <w:sz w:val="20"/>
                <w:szCs w:val="20"/>
              </w:rPr>
            </w:pPr>
            <w:r w:rsidRPr="001569FB">
              <w:rPr>
                <w:sz w:val="20"/>
                <w:szCs w:val="20"/>
              </w:rPr>
              <w:t>0.635</w:t>
            </w:r>
          </w:p>
        </w:tc>
      </w:tr>
      <w:tr w:rsidR="009A7430" w:rsidRPr="001569FB" w14:paraId="384D0E6C" w14:textId="77777777" w:rsidTr="008D4E91">
        <w:trPr>
          <w:trHeight w:val="300"/>
        </w:trPr>
        <w:tc>
          <w:tcPr>
            <w:tcW w:w="2695" w:type="dxa"/>
            <w:noWrap/>
            <w:hideMark/>
          </w:tcPr>
          <w:p w14:paraId="2E4EBFA2"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1E1A7B14" w14:textId="77777777" w:rsidR="009A7430" w:rsidRPr="001569FB" w:rsidRDefault="009A7430" w:rsidP="008D4E91">
            <w:pPr>
              <w:rPr>
                <w:sz w:val="20"/>
                <w:szCs w:val="20"/>
              </w:rPr>
            </w:pPr>
            <w:r w:rsidRPr="001569FB">
              <w:rPr>
                <w:sz w:val="20"/>
                <w:szCs w:val="20"/>
              </w:rPr>
              <w:t> </w:t>
            </w:r>
          </w:p>
        </w:tc>
        <w:tc>
          <w:tcPr>
            <w:tcW w:w="1560" w:type="dxa"/>
            <w:noWrap/>
            <w:hideMark/>
          </w:tcPr>
          <w:p w14:paraId="78F05DD8" w14:textId="77777777" w:rsidR="009A7430" w:rsidRPr="001569FB" w:rsidRDefault="009A7430" w:rsidP="008D4E91">
            <w:pPr>
              <w:jc w:val="center"/>
              <w:rPr>
                <w:sz w:val="20"/>
                <w:szCs w:val="20"/>
              </w:rPr>
            </w:pPr>
            <w:r w:rsidRPr="001569FB">
              <w:rPr>
                <w:sz w:val="20"/>
                <w:szCs w:val="20"/>
              </w:rPr>
              <w:t>0.653</w:t>
            </w:r>
          </w:p>
        </w:tc>
      </w:tr>
      <w:tr w:rsidR="009A7430" w:rsidRPr="001569FB" w14:paraId="5AAAC2EA" w14:textId="77777777" w:rsidTr="008D4E91">
        <w:trPr>
          <w:trHeight w:val="300"/>
        </w:trPr>
        <w:tc>
          <w:tcPr>
            <w:tcW w:w="2695" w:type="dxa"/>
            <w:noWrap/>
            <w:hideMark/>
          </w:tcPr>
          <w:p w14:paraId="7F2F0EE3"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4B5B0982" w14:textId="77777777" w:rsidR="009A7430" w:rsidRPr="001569FB" w:rsidRDefault="009A7430" w:rsidP="008D4E91">
            <w:pPr>
              <w:rPr>
                <w:sz w:val="20"/>
                <w:szCs w:val="20"/>
              </w:rPr>
            </w:pPr>
            <w:r w:rsidRPr="001569FB">
              <w:rPr>
                <w:sz w:val="20"/>
                <w:szCs w:val="20"/>
              </w:rPr>
              <w:t> </w:t>
            </w:r>
          </w:p>
        </w:tc>
        <w:tc>
          <w:tcPr>
            <w:tcW w:w="1560" w:type="dxa"/>
            <w:noWrap/>
            <w:hideMark/>
          </w:tcPr>
          <w:p w14:paraId="7E88A18E" w14:textId="77777777" w:rsidR="009A7430" w:rsidRPr="001569FB" w:rsidRDefault="009A7430" w:rsidP="008D4E91">
            <w:pPr>
              <w:jc w:val="center"/>
              <w:rPr>
                <w:sz w:val="20"/>
                <w:szCs w:val="20"/>
              </w:rPr>
            </w:pPr>
            <w:r w:rsidRPr="001569FB">
              <w:rPr>
                <w:sz w:val="20"/>
                <w:szCs w:val="20"/>
              </w:rPr>
              <w:t>0.658</w:t>
            </w:r>
          </w:p>
        </w:tc>
      </w:tr>
      <w:tr w:rsidR="009A7430" w:rsidRPr="001569FB" w14:paraId="2A0FD5CB" w14:textId="77777777" w:rsidTr="008D4E91">
        <w:trPr>
          <w:trHeight w:val="300"/>
        </w:trPr>
        <w:tc>
          <w:tcPr>
            <w:tcW w:w="2695" w:type="dxa"/>
            <w:noWrap/>
            <w:hideMark/>
          </w:tcPr>
          <w:p w14:paraId="64046E70"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190D99F4" w14:textId="77777777" w:rsidR="009A7430" w:rsidRPr="001569FB" w:rsidRDefault="009A7430" w:rsidP="008D4E91">
            <w:pPr>
              <w:rPr>
                <w:sz w:val="20"/>
                <w:szCs w:val="20"/>
              </w:rPr>
            </w:pPr>
            <w:r w:rsidRPr="001569FB">
              <w:rPr>
                <w:sz w:val="20"/>
                <w:szCs w:val="20"/>
              </w:rPr>
              <w:t> </w:t>
            </w:r>
          </w:p>
        </w:tc>
        <w:tc>
          <w:tcPr>
            <w:tcW w:w="1560" w:type="dxa"/>
            <w:noWrap/>
            <w:hideMark/>
          </w:tcPr>
          <w:p w14:paraId="39D7E242" w14:textId="77777777" w:rsidR="009A7430" w:rsidRPr="001569FB" w:rsidRDefault="009A7430" w:rsidP="008D4E91">
            <w:pPr>
              <w:jc w:val="center"/>
              <w:rPr>
                <w:sz w:val="20"/>
                <w:szCs w:val="20"/>
              </w:rPr>
            </w:pPr>
            <w:r w:rsidRPr="001569FB">
              <w:rPr>
                <w:sz w:val="20"/>
                <w:szCs w:val="20"/>
              </w:rPr>
              <w:t>0.671</w:t>
            </w:r>
          </w:p>
        </w:tc>
      </w:tr>
      <w:tr w:rsidR="009A7430" w:rsidRPr="001569FB" w14:paraId="1EC1E05E" w14:textId="77777777" w:rsidTr="008D4E91">
        <w:trPr>
          <w:trHeight w:val="300"/>
        </w:trPr>
        <w:tc>
          <w:tcPr>
            <w:tcW w:w="2695" w:type="dxa"/>
            <w:noWrap/>
            <w:hideMark/>
          </w:tcPr>
          <w:p w14:paraId="3C89A217"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071C21ED" w14:textId="77777777" w:rsidR="009A7430" w:rsidRPr="001569FB" w:rsidRDefault="009A7430" w:rsidP="008D4E91">
            <w:pPr>
              <w:rPr>
                <w:sz w:val="20"/>
                <w:szCs w:val="20"/>
              </w:rPr>
            </w:pPr>
            <w:r w:rsidRPr="001569FB">
              <w:rPr>
                <w:sz w:val="20"/>
                <w:szCs w:val="20"/>
              </w:rPr>
              <w:t> </w:t>
            </w:r>
          </w:p>
        </w:tc>
        <w:tc>
          <w:tcPr>
            <w:tcW w:w="1560" w:type="dxa"/>
            <w:noWrap/>
            <w:hideMark/>
          </w:tcPr>
          <w:p w14:paraId="5D4E4535" w14:textId="77777777" w:rsidR="009A7430" w:rsidRPr="001569FB" w:rsidRDefault="009A7430" w:rsidP="008D4E91">
            <w:pPr>
              <w:jc w:val="center"/>
              <w:rPr>
                <w:sz w:val="20"/>
                <w:szCs w:val="20"/>
              </w:rPr>
            </w:pPr>
            <w:r w:rsidRPr="001569FB">
              <w:rPr>
                <w:sz w:val="20"/>
                <w:szCs w:val="20"/>
              </w:rPr>
              <w:t>0.671</w:t>
            </w:r>
          </w:p>
        </w:tc>
      </w:tr>
      <w:tr w:rsidR="009A7430" w:rsidRPr="001569FB" w14:paraId="04F69A54" w14:textId="77777777" w:rsidTr="008D4E91">
        <w:trPr>
          <w:trHeight w:val="300"/>
        </w:trPr>
        <w:tc>
          <w:tcPr>
            <w:tcW w:w="2695" w:type="dxa"/>
            <w:noWrap/>
            <w:hideMark/>
          </w:tcPr>
          <w:p w14:paraId="0EC92F06"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571DA77C" w14:textId="77777777" w:rsidR="009A7430" w:rsidRPr="001569FB" w:rsidRDefault="009A7430" w:rsidP="008D4E91">
            <w:pPr>
              <w:rPr>
                <w:sz w:val="20"/>
                <w:szCs w:val="20"/>
              </w:rPr>
            </w:pPr>
            <w:r w:rsidRPr="001569FB">
              <w:rPr>
                <w:sz w:val="20"/>
                <w:szCs w:val="20"/>
              </w:rPr>
              <w:t> </w:t>
            </w:r>
          </w:p>
        </w:tc>
        <w:tc>
          <w:tcPr>
            <w:tcW w:w="1560" w:type="dxa"/>
            <w:noWrap/>
            <w:hideMark/>
          </w:tcPr>
          <w:p w14:paraId="27AF23A1" w14:textId="77777777" w:rsidR="009A7430" w:rsidRPr="001569FB" w:rsidRDefault="009A7430" w:rsidP="008D4E91">
            <w:pPr>
              <w:jc w:val="center"/>
              <w:rPr>
                <w:sz w:val="20"/>
                <w:szCs w:val="20"/>
              </w:rPr>
            </w:pPr>
            <w:r w:rsidRPr="001569FB">
              <w:rPr>
                <w:sz w:val="20"/>
                <w:szCs w:val="20"/>
              </w:rPr>
              <w:t>0.671</w:t>
            </w:r>
          </w:p>
        </w:tc>
      </w:tr>
      <w:tr w:rsidR="009A7430" w:rsidRPr="001569FB" w14:paraId="30B199FF" w14:textId="77777777" w:rsidTr="008D4E91">
        <w:trPr>
          <w:trHeight w:val="300"/>
        </w:trPr>
        <w:tc>
          <w:tcPr>
            <w:tcW w:w="2695" w:type="dxa"/>
            <w:noWrap/>
            <w:hideMark/>
          </w:tcPr>
          <w:p w14:paraId="038B3CE5"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0FABCF66" w14:textId="77777777" w:rsidR="009A7430" w:rsidRPr="001569FB" w:rsidRDefault="009A7430" w:rsidP="008D4E91">
            <w:pPr>
              <w:rPr>
                <w:sz w:val="20"/>
                <w:szCs w:val="20"/>
              </w:rPr>
            </w:pPr>
            <w:r w:rsidRPr="001569FB">
              <w:rPr>
                <w:sz w:val="20"/>
                <w:szCs w:val="20"/>
              </w:rPr>
              <w:t> </w:t>
            </w:r>
          </w:p>
        </w:tc>
        <w:tc>
          <w:tcPr>
            <w:tcW w:w="1560" w:type="dxa"/>
            <w:noWrap/>
            <w:hideMark/>
          </w:tcPr>
          <w:p w14:paraId="4D4023FE" w14:textId="77777777" w:rsidR="009A7430" w:rsidRPr="001569FB" w:rsidRDefault="009A7430" w:rsidP="008D4E91">
            <w:pPr>
              <w:jc w:val="center"/>
              <w:rPr>
                <w:sz w:val="20"/>
                <w:szCs w:val="20"/>
              </w:rPr>
            </w:pPr>
            <w:r w:rsidRPr="001569FB">
              <w:rPr>
                <w:sz w:val="20"/>
                <w:szCs w:val="20"/>
              </w:rPr>
              <w:t>0.671</w:t>
            </w:r>
          </w:p>
        </w:tc>
      </w:tr>
      <w:tr w:rsidR="009A7430" w:rsidRPr="001569FB" w14:paraId="0EC02A09" w14:textId="77777777" w:rsidTr="008D4E91">
        <w:trPr>
          <w:trHeight w:val="300"/>
        </w:trPr>
        <w:tc>
          <w:tcPr>
            <w:tcW w:w="9350" w:type="dxa"/>
            <w:gridSpan w:val="3"/>
            <w:noWrap/>
            <w:hideMark/>
          </w:tcPr>
          <w:p w14:paraId="286D937F" w14:textId="77777777" w:rsidR="009A7430" w:rsidRPr="001569FB" w:rsidRDefault="009A7430" w:rsidP="008D4E91">
            <w:pPr>
              <w:rPr>
                <w:sz w:val="20"/>
                <w:szCs w:val="20"/>
              </w:rPr>
            </w:pPr>
            <w:r w:rsidRPr="001569FB">
              <w:rPr>
                <w:b/>
                <w:sz w:val="20"/>
                <w:szCs w:val="20"/>
              </w:rPr>
              <w:t>Male</w:t>
            </w:r>
            <w:r w:rsidRPr="001569FB">
              <w:rPr>
                <w:sz w:val="20"/>
                <w:szCs w:val="20"/>
              </w:rPr>
              <w:t> </w:t>
            </w:r>
          </w:p>
        </w:tc>
      </w:tr>
      <w:tr w:rsidR="009A7430" w:rsidRPr="001569FB" w14:paraId="63710567" w14:textId="77777777" w:rsidTr="008D4E91">
        <w:trPr>
          <w:trHeight w:val="300"/>
        </w:trPr>
        <w:tc>
          <w:tcPr>
            <w:tcW w:w="2695" w:type="dxa"/>
            <w:noWrap/>
            <w:hideMark/>
          </w:tcPr>
          <w:p w14:paraId="7D1945E6" w14:textId="77777777" w:rsidR="009A7430" w:rsidRPr="001569FB" w:rsidRDefault="009A7430" w:rsidP="008D4E91">
            <w:pPr>
              <w:rPr>
                <w:sz w:val="20"/>
                <w:szCs w:val="20"/>
              </w:rPr>
            </w:pPr>
            <w:r w:rsidRPr="001569FB">
              <w:rPr>
                <w:sz w:val="20"/>
                <w:szCs w:val="20"/>
              </w:rPr>
              <w:t xml:space="preserve">0-34 Years </w:t>
            </w:r>
          </w:p>
        </w:tc>
        <w:tc>
          <w:tcPr>
            <w:tcW w:w="5095" w:type="dxa"/>
            <w:noWrap/>
            <w:hideMark/>
          </w:tcPr>
          <w:p w14:paraId="4D9B9652" w14:textId="77777777" w:rsidR="009A7430" w:rsidRPr="001569FB" w:rsidRDefault="009A7430" w:rsidP="008D4E91">
            <w:pPr>
              <w:rPr>
                <w:sz w:val="20"/>
                <w:szCs w:val="20"/>
              </w:rPr>
            </w:pPr>
            <w:r w:rsidRPr="001569FB">
              <w:rPr>
                <w:sz w:val="20"/>
                <w:szCs w:val="20"/>
              </w:rPr>
              <w:t> </w:t>
            </w:r>
          </w:p>
        </w:tc>
        <w:tc>
          <w:tcPr>
            <w:tcW w:w="1560" w:type="dxa"/>
            <w:noWrap/>
            <w:hideMark/>
          </w:tcPr>
          <w:p w14:paraId="64E294BD" w14:textId="77777777" w:rsidR="009A7430" w:rsidRPr="001569FB" w:rsidRDefault="009A7430" w:rsidP="008D4E91">
            <w:pPr>
              <w:jc w:val="center"/>
              <w:rPr>
                <w:sz w:val="20"/>
                <w:szCs w:val="20"/>
              </w:rPr>
            </w:pPr>
            <w:r w:rsidRPr="001569FB">
              <w:rPr>
                <w:sz w:val="20"/>
                <w:szCs w:val="20"/>
              </w:rPr>
              <w:t>0.527</w:t>
            </w:r>
          </w:p>
        </w:tc>
      </w:tr>
      <w:tr w:rsidR="009A7430" w:rsidRPr="001569FB" w14:paraId="4996F626" w14:textId="77777777" w:rsidTr="008D4E91">
        <w:trPr>
          <w:trHeight w:val="300"/>
        </w:trPr>
        <w:tc>
          <w:tcPr>
            <w:tcW w:w="2695" w:type="dxa"/>
            <w:noWrap/>
            <w:hideMark/>
          </w:tcPr>
          <w:p w14:paraId="01E92C18"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694D48DE" w14:textId="77777777" w:rsidR="009A7430" w:rsidRPr="001569FB" w:rsidRDefault="009A7430" w:rsidP="008D4E91">
            <w:pPr>
              <w:rPr>
                <w:sz w:val="20"/>
                <w:szCs w:val="20"/>
              </w:rPr>
            </w:pPr>
            <w:r w:rsidRPr="001569FB">
              <w:rPr>
                <w:sz w:val="20"/>
                <w:szCs w:val="20"/>
              </w:rPr>
              <w:t> </w:t>
            </w:r>
          </w:p>
        </w:tc>
        <w:tc>
          <w:tcPr>
            <w:tcW w:w="1560" w:type="dxa"/>
            <w:noWrap/>
            <w:hideMark/>
          </w:tcPr>
          <w:p w14:paraId="54F156AC" w14:textId="77777777" w:rsidR="009A7430" w:rsidRPr="001569FB" w:rsidRDefault="009A7430" w:rsidP="008D4E91">
            <w:pPr>
              <w:jc w:val="center"/>
              <w:rPr>
                <w:sz w:val="20"/>
                <w:szCs w:val="20"/>
              </w:rPr>
            </w:pPr>
            <w:r w:rsidRPr="001569FB">
              <w:rPr>
                <w:sz w:val="20"/>
                <w:szCs w:val="20"/>
              </w:rPr>
              <w:t>0.502</w:t>
            </w:r>
          </w:p>
        </w:tc>
      </w:tr>
      <w:tr w:rsidR="009A7430" w:rsidRPr="001569FB" w14:paraId="5F9EBCF3" w14:textId="77777777" w:rsidTr="008D4E91">
        <w:trPr>
          <w:trHeight w:val="300"/>
        </w:trPr>
        <w:tc>
          <w:tcPr>
            <w:tcW w:w="2695" w:type="dxa"/>
            <w:noWrap/>
            <w:hideMark/>
          </w:tcPr>
          <w:p w14:paraId="3F6DFEB3"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9D0EC45" w14:textId="77777777" w:rsidR="009A7430" w:rsidRPr="001569FB" w:rsidRDefault="009A7430" w:rsidP="008D4E91">
            <w:pPr>
              <w:rPr>
                <w:sz w:val="20"/>
                <w:szCs w:val="20"/>
              </w:rPr>
            </w:pPr>
            <w:r w:rsidRPr="001569FB">
              <w:rPr>
                <w:sz w:val="20"/>
                <w:szCs w:val="20"/>
              </w:rPr>
              <w:t> </w:t>
            </w:r>
          </w:p>
        </w:tc>
        <w:tc>
          <w:tcPr>
            <w:tcW w:w="1560" w:type="dxa"/>
            <w:noWrap/>
            <w:hideMark/>
          </w:tcPr>
          <w:p w14:paraId="5F050BB3" w14:textId="77777777" w:rsidR="009A7430" w:rsidRPr="001569FB" w:rsidRDefault="009A7430" w:rsidP="008D4E91">
            <w:pPr>
              <w:jc w:val="center"/>
              <w:rPr>
                <w:sz w:val="20"/>
                <w:szCs w:val="20"/>
              </w:rPr>
            </w:pPr>
            <w:r w:rsidRPr="001569FB">
              <w:rPr>
                <w:sz w:val="20"/>
                <w:szCs w:val="20"/>
              </w:rPr>
              <w:t>0.478</w:t>
            </w:r>
          </w:p>
        </w:tc>
      </w:tr>
      <w:tr w:rsidR="009A7430" w:rsidRPr="001569FB" w14:paraId="2A04C113" w14:textId="77777777" w:rsidTr="008D4E91">
        <w:trPr>
          <w:trHeight w:val="300"/>
        </w:trPr>
        <w:tc>
          <w:tcPr>
            <w:tcW w:w="2695" w:type="dxa"/>
            <w:noWrap/>
            <w:hideMark/>
          </w:tcPr>
          <w:p w14:paraId="67C397D5"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55A4B340" w14:textId="77777777" w:rsidR="009A7430" w:rsidRPr="001569FB" w:rsidRDefault="009A7430" w:rsidP="008D4E91">
            <w:pPr>
              <w:rPr>
                <w:sz w:val="20"/>
                <w:szCs w:val="20"/>
              </w:rPr>
            </w:pPr>
            <w:r w:rsidRPr="001569FB">
              <w:rPr>
                <w:sz w:val="20"/>
                <w:szCs w:val="20"/>
              </w:rPr>
              <w:t> </w:t>
            </w:r>
          </w:p>
        </w:tc>
        <w:tc>
          <w:tcPr>
            <w:tcW w:w="1560" w:type="dxa"/>
            <w:noWrap/>
            <w:hideMark/>
          </w:tcPr>
          <w:p w14:paraId="2A7D752B" w14:textId="77777777" w:rsidR="009A7430" w:rsidRPr="001569FB" w:rsidRDefault="009A7430" w:rsidP="008D4E91">
            <w:pPr>
              <w:jc w:val="center"/>
              <w:rPr>
                <w:sz w:val="20"/>
                <w:szCs w:val="20"/>
              </w:rPr>
            </w:pPr>
            <w:r w:rsidRPr="001569FB">
              <w:rPr>
                <w:sz w:val="20"/>
                <w:szCs w:val="20"/>
              </w:rPr>
              <w:t>0.495</w:t>
            </w:r>
          </w:p>
        </w:tc>
      </w:tr>
      <w:tr w:rsidR="009A7430" w:rsidRPr="001569FB" w14:paraId="46C2D4F2" w14:textId="77777777" w:rsidTr="008D4E91">
        <w:trPr>
          <w:trHeight w:val="300"/>
        </w:trPr>
        <w:tc>
          <w:tcPr>
            <w:tcW w:w="2695" w:type="dxa"/>
            <w:noWrap/>
            <w:hideMark/>
          </w:tcPr>
          <w:p w14:paraId="136FB033"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EC75424" w14:textId="77777777" w:rsidR="009A7430" w:rsidRPr="001569FB" w:rsidRDefault="009A7430" w:rsidP="008D4E91">
            <w:pPr>
              <w:rPr>
                <w:sz w:val="20"/>
                <w:szCs w:val="20"/>
              </w:rPr>
            </w:pPr>
            <w:r w:rsidRPr="001569FB">
              <w:rPr>
                <w:sz w:val="20"/>
                <w:szCs w:val="20"/>
              </w:rPr>
              <w:t> </w:t>
            </w:r>
          </w:p>
        </w:tc>
        <w:tc>
          <w:tcPr>
            <w:tcW w:w="1560" w:type="dxa"/>
            <w:noWrap/>
            <w:hideMark/>
          </w:tcPr>
          <w:p w14:paraId="7FF3CB15" w14:textId="77777777" w:rsidR="009A7430" w:rsidRPr="001569FB" w:rsidRDefault="009A7430" w:rsidP="008D4E91">
            <w:pPr>
              <w:jc w:val="center"/>
              <w:rPr>
                <w:sz w:val="20"/>
                <w:szCs w:val="20"/>
              </w:rPr>
            </w:pPr>
            <w:r w:rsidRPr="001569FB">
              <w:rPr>
                <w:sz w:val="20"/>
                <w:szCs w:val="20"/>
              </w:rPr>
              <w:t>0.498</w:t>
            </w:r>
          </w:p>
        </w:tc>
      </w:tr>
      <w:tr w:rsidR="009A7430" w:rsidRPr="001569FB" w14:paraId="52BCC991" w14:textId="77777777" w:rsidTr="008D4E91">
        <w:trPr>
          <w:trHeight w:val="300"/>
        </w:trPr>
        <w:tc>
          <w:tcPr>
            <w:tcW w:w="2695" w:type="dxa"/>
            <w:noWrap/>
            <w:hideMark/>
          </w:tcPr>
          <w:p w14:paraId="3B702C8B"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5969A829" w14:textId="77777777" w:rsidR="009A7430" w:rsidRPr="001569FB" w:rsidRDefault="009A7430" w:rsidP="008D4E91">
            <w:pPr>
              <w:rPr>
                <w:sz w:val="20"/>
                <w:szCs w:val="20"/>
              </w:rPr>
            </w:pPr>
            <w:r w:rsidRPr="001569FB">
              <w:rPr>
                <w:sz w:val="20"/>
                <w:szCs w:val="20"/>
              </w:rPr>
              <w:t> </w:t>
            </w:r>
          </w:p>
        </w:tc>
        <w:tc>
          <w:tcPr>
            <w:tcW w:w="1560" w:type="dxa"/>
            <w:noWrap/>
            <w:hideMark/>
          </w:tcPr>
          <w:p w14:paraId="45651AAA" w14:textId="77777777" w:rsidR="009A7430" w:rsidRPr="001569FB" w:rsidRDefault="009A7430" w:rsidP="008D4E91">
            <w:pPr>
              <w:jc w:val="center"/>
              <w:rPr>
                <w:sz w:val="20"/>
                <w:szCs w:val="20"/>
              </w:rPr>
            </w:pPr>
            <w:r w:rsidRPr="001569FB">
              <w:rPr>
                <w:sz w:val="20"/>
                <w:szCs w:val="20"/>
              </w:rPr>
              <w:t>0.562</w:t>
            </w:r>
          </w:p>
        </w:tc>
      </w:tr>
      <w:tr w:rsidR="009A7430" w:rsidRPr="001569FB" w14:paraId="56DEC62A" w14:textId="77777777" w:rsidTr="008D4E91">
        <w:trPr>
          <w:trHeight w:val="300"/>
        </w:trPr>
        <w:tc>
          <w:tcPr>
            <w:tcW w:w="2695" w:type="dxa"/>
            <w:noWrap/>
            <w:hideMark/>
          </w:tcPr>
          <w:p w14:paraId="2F8DA967"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68A89335" w14:textId="77777777" w:rsidR="009A7430" w:rsidRPr="001569FB" w:rsidRDefault="009A7430" w:rsidP="008D4E91">
            <w:pPr>
              <w:rPr>
                <w:sz w:val="20"/>
                <w:szCs w:val="20"/>
              </w:rPr>
            </w:pPr>
            <w:r w:rsidRPr="001569FB">
              <w:rPr>
                <w:sz w:val="20"/>
                <w:szCs w:val="20"/>
              </w:rPr>
              <w:t> </w:t>
            </w:r>
          </w:p>
        </w:tc>
        <w:tc>
          <w:tcPr>
            <w:tcW w:w="1560" w:type="dxa"/>
            <w:noWrap/>
            <w:hideMark/>
          </w:tcPr>
          <w:p w14:paraId="26243A56" w14:textId="77777777" w:rsidR="009A7430" w:rsidRPr="001569FB" w:rsidRDefault="009A7430" w:rsidP="008D4E91">
            <w:pPr>
              <w:jc w:val="center"/>
              <w:rPr>
                <w:sz w:val="20"/>
                <w:szCs w:val="20"/>
              </w:rPr>
            </w:pPr>
            <w:r w:rsidRPr="001569FB">
              <w:rPr>
                <w:sz w:val="20"/>
                <w:szCs w:val="20"/>
              </w:rPr>
              <w:t>0.611</w:t>
            </w:r>
          </w:p>
        </w:tc>
      </w:tr>
      <w:tr w:rsidR="009A7430" w:rsidRPr="001569FB" w14:paraId="01E8B4F0" w14:textId="77777777" w:rsidTr="008D4E91">
        <w:trPr>
          <w:trHeight w:val="300"/>
        </w:trPr>
        <w:tc>
          <w:tcPr>
            <w:tcW w:w="2695" w:type="dxa"/>
            <w:noWrap/>
            <w:hideMark/>
          </w:tcPr>
          <w:p w14:paraId="3B6519B1"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30976C60" w14:textId="77777777" w:rsidR="009A7430" w:rsidRPr="001569FB" w:rsidRDefault="009A7430" w:rsidP="008D4E91">
            <w:pPr>
              <w:rPr>
                <w:sz w:val="20"/>
                <w:szCs w:val="20"/>
              </w:rPr>
            </w:pPr>
            <w:r w:rsidRPr="001569FB">
              <w:rPr>
                <w:sz w:val="20"/>
                <w:szCs w:val="20"/>
              </w:rPr>
              <w:t> </w:t>
            </w:r>
          </w:p>
        </w:tc>
        <w:tc>
          <w:tcPr>
            <w:tcW w:w="1560" w:type="dxa"/>
            <w:noWrap/>
            <w:hideMark/>
          </w:tcPr>
          <w:p w14:paraId="3C2566E2" w14:textId="77777777" w:rsidR="009A7430" w:rsidRPr="001569FB" w:rsidRDefault="009A7430" w:rsidP="008D4E91">
            <w:pPr>
              <w:jc w:val="center"/>
              <w:rPr>
                <w:sz w:val="20"/>
                <w:szCs w:val="20"/>
              </w:rPr>
            </w:pPr>
            <w:r w:rsidRPr="001569FB">
              <w:rPr>
                <w:sz w:val="20"/>
                <w:szCs w:val="20"/>
              </w:rPr>
              <w:t>0.634</w:t>
            </w:r>
          </w:p>
        </w:tc>
      </w:tr>
      <w:tr w:rsidR="009A7430" w:rsidRPr="001569FB" w14:paraId="48755EFD" w14:textId="77777777" w:rsidTr="008D4E91">
        <w:trPr>
          <w:trHeight w:val="300"/>
        </w:trPr>
        <w:tc>
          <w:tcPr>
            <w:tcW w:w="2695" w:type="dxa"/>
            <w:noWrap/>
            <w:hideMark/>
          </w:tcPr>
          <w:p w14:paraId="5771FD94"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4B19FEEB" w14:textId="77777777" w:rsidR="009A7430" w:rsidRPr="001569FB" w:rsidRDefault="009A7430" w:rsidP="008D4E91">
            <w:pPr>
              <w:rPr>
                <w:sz w:val="20"/>
                <w:szCs w:val="20"/>
              </w:rPr>
            </w:pPr>
            <w:r w:rsidRPr="001569FB">
              <w:rPr>
                <w:sz w:val="20"/>
                <w:szCs w:val="20"/>
              </w:rPr>
              <w:t> </w:t>
            </w:r>
          </w:p>
        </w:tc>
        <w:tc>
          <w:tcPr>
            <w:tcW w:w="1560" w:type="dxa"/>
            <w:noWrap/>
            <w:hideMark/>
          </w:tcPr>
          <w:p w14:paraId="3F555A48" w14:textId="77777777" w:rsidR="009A7430" w:rsidRPr="001569FB" w:rsidRDefault="009A7430" w:rsidP="008D4E91">
            <w:pPr>
              <w:jc w:val="center"/>
              <w:rPr>
                <w:sz w:val="20"/>
                <w:szCs w:val="20"/>
              </w:rPr>
            </w:pPr>
            <w:r w:rsidRPr="001569FB">
              <w:rPr>
                <w:sz w:val="20"/>
                <w:szCs w:val="20"/>
              </w:rPr>
              <w:t>0.652</w:t>
            </w:r>
          </w:p>
        </w:tc>
      </w:tr>
      <w:tr w:rsidR="009A7430" w:rsidRPr="001569FB" w14:paraId="407E1129" w14:textId="77777777" w:rsidTr="008D4E91">
        <w:trPr>
          <w:trHeight w:val="300"/>
        </w:trPr>
        <w:tc>
          <w:tcPr>
            <w:tcW w:w="2695" w:type="dxa"/>
            <w:noWrap/>
            <w:hideMark/>
          </w:tcPr>
          <w:p w14:paraId="59C9D9CA"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2FB4F7F8" w14:textId="77777777" w:rsidR="009A7430" w:rsidRPr="001569FB" w:rsidRDefault="009A7430" w:rsidP="008D4E91">
            <w:pPr>
              <w:rPr>
                <w:sz w:val="20"/>
                <w:szCs w:val="20"/>
              </w:rPr>
            </w:pPr>
            <w:r w:rsidRPr="001569FB">
              <w:rPr>
                <w:sz w:val="20"/>
                <w:szCs w:val="20"/>
              </w:rPr>
              <w:t> </w:t>
            </w:r>
          </w:p>
        </w:tc>
        <w:tc>
          <w:tcPr>
            <w:tcW w:w="1560" w:type="dxa"/>
            <w:noWrap/>
            <w:hideMark/>
          </w:tcPr>
          <w:p w14:paraId="4C99B9EA" w14:textId="77777777" w:rsidR="009A7430" w:rsidRPr="001569FB" w:rsidRDefault="009A7430" w:rsidP="008D4E91">
            <w:pPr>
              <w:jc w:val="center"/>
              <w:rPr>
                <w:sz w:val="20"/>
                <w:szCs w:val="20"/>
              </w:rPr>
            </w:pPr>
            <w:r w:rsidRPr="001569FB">
              <w:rPr>
                <w:sz w:val="20"/>
                <w:szCs w:val="20"/>
              </w:rPr>
              <w:t>0.663</w:t>
            </w:r>
          </w:p>
        </w:tc>
      </w:tr>
      <w:tr w:rsidR="009A7430" w:rsidRPr="001569FB" w14:paraId="3297B989" w14:textId="77777777" w:rsidTr="008D4E91">
        <w:trPr>
          <w:trHeight w:val="300"/>
        </w:trPr>
        <w:tc>
          <w:tcPr>
            <w:tcW w:w="2695" w:type="dxa"/>
            <w:noWrap/>
            <w:hideMark/>
          </w:tcPr>
          <w:p w14:paraId="3F6532DA"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285CB0AF" w14:textId="77777777" w:rsidR="009A7430" w:rsidRPr="001569FB" w:rsidRDefault="009A7430" w:rsidP="008D4E91">
            <w:pPr>
              <w:rPr>
                <w:sz w:val="20"/>
                <w:szCs w:val="20"/>
              </w:rPr>
            </w:pPr>
            <w:r w:rsidRPr="001569FB">
              <w:rPr>
                <w:sz w:val="20"/>
                <w:szCs w:val="20"/>
              </w:rPr>
              <w:t> </w:t>
            </w:r>
          </w:p>
        </w:tc>
        <w:tc>
          <w:tcPr>
            <w:tcW w:w="1560" w:type="dxa"/>
            <w:noWrap/>
            <w:hideMark/>
          </w:tcPr>
          <w:p w14:paraId="06F2FB1A" w14:textId="77777777" w:rsidR="009A7430" w:rsidRPr="001569FB" w:rsidRDefault="009A7430" w:rsidP="008D4E91">
            <w:pPr>
              <w:jc w:val="center"/>
              <w:rPr>
                <w:sz w:val="20"/>
                <w:szCs w:val="20"/>
              </w:rPr>
            </w:pPr>
            <w:r w:rsidRPr="001569FB">
              <w:rPr>
                <w:sz w:val="20"/>
                <w:szCs w:val="20"/>
              </w:rPr>
              <w:t>0.663</w:t>
            </w:r>
          </w:p>
        </w:tc>
      </w:tr>
      <w:tr w:rsidR="009A7430" w:rsidRPr="001569FB" w14:paraId="1A8D0A87" w14:textId="77777777" w:rsidTr="008D4E91">
        <w:trPr>
          <w:trHeight w:val="300"/>
        </w:trPr>
        <w:tc>
          <w:tcPr>
            <w:tcW w:w="2695" w:type="dxa"/>
            <w:noWrap/>
            <w:hideMark/>
          </w:tcPr>
          <w:p w14:paraId="01B5933E"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2DDE562A" w14:textId="77777777" w:rsidR="009A7430" w:rsidRPr="001569FB" w:rsidRDefault="009A7430" w:rsidP="008D4E91">
            <w:pPr>
              <w:rPr>
                <w:sz w:val="20"/>
                <w:szCs w:val="20"/>
              </w:rPr>
            </w:pPr>
            <w:r w:rsidRPr="001569FB">
              <w:rPr>
                <w:sz w:val="20"/>
                <w:szCs w:val="20"/>
              </w:rPr>
              <w:t> </w:t>
            </w:r>
          </w:p>
        </w:tc>
        <w:tc>
          <w:tcPr>
            <w:tcW w:w="1560" w:type="dxa"/>
            <w:noWrap/>
            <w:hideMark/>
          </w:tcPr>
          <w:p w14:paraId="459C5C48" w14:textId="77777777" w:rsidR="009A7430" w:rsidRPr="001569FB" w:rsidRDefault="009A7430" w:rsidP="008D4E91">
            <w:pPr>
              <w:jc w:val="center"/>
              <w:rPr>
                <w:sz w:val="20"/>
                <w:szCs w:val="20"/>
              </w:rPr>
            </w:pPr>
            <w:r w:rsidRPr="001569FB">
              <w:rPr>
                <w:sz w:val="20"/>
                <w:szCs w:val="20"/>
              </w:rPr>
              <w:t>0.663</w:t>
            </w:r>
          </w:p>
        </w:tc>
      </w:tr>
      <w:tr w:rsidR="009A7430" w:rsidRPr="001569FB" w14:paraId="4B922D12" w14:textId="77777777" w:rsidTr="008D4E91">
        <w:trPr>
          <w:trHeight w:val="300"/>
        </w:trPr>
        <w:tc>
          <w:tcPr>
            <w:tcW w:w="9350" w:type="dxa"/>
            <w:gridSpan w:val="3"/>
            <w:noWrap/>
            <w:hideMark/>
          </w:tcPr>
          <w:p w14:paraId="2FD9A4C0" w14:textId="77777777" w:rsidR="009A7430" w:rsidRPr="001569FB" w:rsidRDefault="009A7430" w:rsidP="008D4E91">
            <w:pPr>
              <w:rPr>
                <w:sz w:val="20"/>
                <w:szCs w:val="20"/>
              </w:rPr>
            </w:pPr>
            <w:r w:rsidRPr="001569FB">
              <w:rPr>
                <w:b/>
                <w:sz w:val="20"/>
                <w:szCs w:val="20"/>
              </w:rPr>
              <w:t>Medicaid, Originally Disabled, and Originally ESRD Interactions with Age and Sex</w:t>
            </w:r>
            <w:r w:rsidRPr="001569FB">
              <w:rPr>
                <w:sz w:val="20"/>
                <w:szCs w:val="20"/>
              </w:rPr>
              <w:t> </w:t>
            </w:r>
          </w:p>
        </w:tc>
      </w:tr>
      <w:tr w:rsidR="009A7430" w:rsidRPr="001569FB" w14:paraId="4B28FCDF" w14:textId="77777777" w:rsidTr="008D4E91">
        <w:trPr>
          <w:trHeight w:val="300"/>
        </w:trPr>
        <w:tc>
          <w:tcPr>
            <w:tcW w:w="2695" w:type="dxa"/>
            <w:noWrap/>
            <w:hideMark/>
          </w:tcPr>
          <w:p w14:paraId="41D7E4C7" w14:textId="77777777" w:rsidR="009A7430" w:rsidRPr="001569FB" w:rsidRDefault="009A7430" w:rsidP="008D4E91">
            <w:pPr>
              <w:rPr>
                <w:sz w:val="20"/>
                <w:szCs w:val="20"/>
              </w:rPr>
            </w:pPr>
            <w:r w:rsidRPr="001569FB">
              <w:rPr>
                <w:sz w:val="20"/>
                <w:szCs w:val="20"/>
              </w:rPr>
              <w:t>Medicaid_Female_Aged</w:t>
            </w:r>
          </w:p>
        </w:tc>
        <w:tc>
          <w:tcPr>
            <w:tcW w:w="5095" w:type="dxa"/>
            <w:noWrap/>
            <w:hideMark/>
          </w:tcPr>
          <w:p w14:paraId="12708CF3" w14:textId="77777777" w:rsidR="009A7430" w:rsidRPr="001569FB" w:rsidRDefault="009A7430" w:rsidP="008D4E91">
            <w:pPr>
              <w:rPr>
                <w:sz w:val="20"/>
                <w:szCs w:val="20"/>
              </w:rPr>
            </w:pPr>
            <w:r w:rsidRPr="001569FB">
              <w:rPr>
                <w:sz w:val="20"/>
                <w:szCs w:val="20"/>
              </w:rPr>
              <w:t> </w:t>
            </w:r>
          </w:p>
        </w:tc>
        <w:tc>
          <w:tcPr>
            <w:tcW w:w="1560" w:type="dxa"/>
            <w:noWrap/>
            <w:hideMark/>
          </w:tcPr>
          <w:p w14:paraId="02DBF3EA" w14:textId="77777777" w:rsidR="009A7430" w:rsidRPr="001569FB" w:rsidRDefault="009A7430" w:rsidP="008D4E91">
            <w:pPr>
              <w:jc w:val="center"/>
              <w:rPr>
                <w:sz w:val="20"/>
                <w:szCs w:val="20"/>
              </w:rPr>
            </w:pPr>
            <w:r w:rsidRPr="001569FB">
              <w:rPr>
                <w:sz w:val="20"/>
                <w:szCs w:val="20"/>
              </w:rPr>
              <w:t>0.067</w:t>
            </w:r>
          </w:p>
        </w:tc>
      </w:tr>
      <w:tr w:rsidR="009A7430" w:rsidRPr="001569FB" w14:paraId="7FE56247" w14:textId="77777777" w:rsidTr="008D4E91">
        <w:trPr>
          <w:trHeight w:val="300"/>
        </w:trPr>
        <w:tc>
          <w:tcPr>
            <w:tcW w:w="2695" w:type="dxa"/>
            <w:noWrap/>
            <w:hideMark/>
          </w:tcPr>
          <w:p w14:paraId="7E79DEF0" w14:textId="77777777" w:rsidR="009A7430" w:rsidRPr="001569FB" w:rsidRDefault="009A7430" w:rsidP="008D4E91">
            <w:pPr>
              <w:rPr>
                <w:sz w:val="20"/>
                <w:szCs w:val="20"/>
              </w:rPr>
            </w:pPr>
            <w:r w:rsidRPr="001569FB">
              <w:rPr>
                <w:sz w:val="20"/>
                <w:szCs w:val="20"/>
              </w:rPr>
              <w:t>Medicaid_Female_NonAged (Age &lt;65)</w:t>
            </w:r>
          </w:p>
        </w:tc>
        <w:tc>
          <w:tcPr>
            <w:tcW w:w="5095" w:type="dxa"/>
            <w:noWrap/>
            <w:hideMark/>
          </w:tcPr>
          <w:p w14:paraId="246A8B8F" w14:textId="77777777" w:rsidR="009A7430" w:rsidRPr="001569FB" w:rsidRDefault="009A7430" w:rsidP="008D4E91">
            <w:pPr>
              <w:rPr>
                <w:sz w:val="20"/>
                <w:szCs w:val="20"/>
              </w:rPr>
            </w:pPr>
            <w:r w:rsidRPr="001569FB">
              <w:rPr>
                <w:sz w:val="20"/>
                <w:szCs w:val="20"/>
              </w:rPr>
              <w:t> </w:t>
            </w:r>
          </w:p>
        </w:tc>
        <w:tc>
          <w:tcPr>
            <w:tcW w:w="1560" w:type="dxa"/>
            <w:noWrap/>
            <w:hideMark/>
          </w:tcPr>
          <w:p w14:paraId="2678B5DB" w14:textId="77777777" w:rsidR="009A7430" w:rsidRPr="001569FB" w:rsidRDefault="009A7430" w:rsidP="008D4E91">
            <w:pPr>
              <w:jc w:val="center"/>
              <w:rPr>
                <w:sz w:val="20"/>
                <w:szCs w:val="20"/>
              </w:rPr>
            </w:pPr>
            <w:r w:rsidRPr="001569FB">
              <w:rPr>
                <w:sz w:val="20"/>
                <w:szCs w:val="20"/>
              </w:rPr>
              <w:t>0.065</w:t>
            </w:r>
          </w:p>
        </w:tc>
      </w:tr>
      <w:tr w:rsidR="009A7430" w:rsidRPr="001569FB" w14:paraId="1873AF0D" w14:textId="77777777" w:rsidTr="008D4E91">
        <w:trPr>
          <w:trHeight w:val="300"/>
        </w:trPr>
        <w:tc>
          <w:tcPr>
            <w:tcW w:w="2695" w:type="dxa"/>
            <w:noWrap/>
            <w:hideMark/>
          </w:tcPr>
          <w:p w14:paraId="1DF84830" w14:textId="77777777" w:rsidR="009A7430" w:rsidRPr="001569FB" w:rsidRDefault="009A7430" w:rsidP="008D4E91">
            <w:pPr>
              <w:rPr>
                <w:sz w:val="20"/>
                <w:szCs w:val="20"/>
              </w:rPr>
            </w:pPr>
            <w:r w:rsidRPr="001569FB">
              <w:rPr>
                <w:sz w:val="20"/>
                <w:szCs w:val="20"/>
              </w:rPr>
              <w:t>Medicaid_Male_Aged</w:t>
            </w:r>
          </w:p>
        </w:tc>
        <w:tc>
          <w:tcPr>
            <w:tcW w:w="5095" w:type="dxa"/>
            <w:noWrap/>
            <w:hideMark/>
          </w:tcPr>
          <w:p w14:paraId="58F61FCB" w14:textId="77777777" w:rsidR="009A7430" w:rsidRPr="001569FB" w:rsidRDefault="009A7430" w:rsidP="008D4E91">
            <w:pPr>
              <w:rPr>
                <w:sz w:val="20"/>
                <w:szCs w:val="20"/>
              </w:rPr>
            </w:pPr>
            <w:r w:rsidRPr="001569FB">
              <w:rPr>
                <w:sz w:val="20"/>
                <w:szCs w:val="20"/>
              </w:rPr>
              <w:t> </w:t>
            </w:r>
          </w:p>
        </w:tc>
        <w:tc>
          <w:tcPr>
            <w:tcW w:w="1560" w:type="dxa"/>
            <w:noWrap/>
            <w:hideMark/>
          </w:tcPr>
          <w:p w14:paraId="752E9E16" w14:textId="77777777" w:rsidR="009A7430" w:rsidRPr="001569FB" w:rsidRDefault="009A7430" w:rsidP="008D4E91">
            <w:pPr>
              <w:jc w:val="center"/>
              <w:rPr>
                <w:sz w:val="20"/>
                <w:szCs w:val="20"/>
              </w:rPr>
            </w:pPr>
            <w:r w:rsidRPr="001569FB">
              <w:rPr>
                <w:sz w:val="20"/>
                <w:szCs w:val="20"/>
              </w:rPr>
              <w:t>0.122</w:t>
            </w:r>
          </w:p>
        </w:tc>
      </w:tr>
      <w:tr w:rsidR="009A7430" w:rsidRPr="001569FB" w14:paraId="1FA3E23A" w14:textId="77777777" w:rsidTr="008D4E91">
        <w:trPr>
          <w:trHeight w:val="300"/>
        </w:trPr>
        <w:tc>
          <w:tcPr>
            <w:tcW w:w="2695" w:type="dxa"/>
            <w:noWrap/>
            <w:hideMark/>
          </w:tcPr>
          <w:p w14:paraId="290F3F58" w14:textId="77777777" w:rsidR="009A7430" w:rsidRPr="001569FB" w:rsidRDefault="009A7430" w:rsidP="008D4E91">
            <w:pPr>
              <w:rPr>
                <w:sz w:val="20"/>
                <w:szCs w:val="20"/>
              </w:rPr>
            </w:pPr>
            <w:r w:rsidRPr="001569FB">
              <w:rPr>
                <w:sz w:val="20"/>
                <w:szCs w:val="20"/>
              </w:rPr>
              <w:t>Medicaid_Male_NonAged (Age &lt;65)</w:t>
            </w:r>
          </w:p>
        </w:tc>
        <w:tc>
          <w:tcPr>
            <w:tcW w:w="5095" w:type="dxa"/>
            <w:noWrap/>
            <w:hideMark/>
          </w:tcPr>
          <w:p w14:paraId="48FDE098" w14:textId="77777777" w:rsidR="009A7430" w:rsidRPr="001569FB" w:rsidRDefault="009A7430" w:rsidP="008D4E91">
            <w:pPr>
              <w:rPr>
                <w:sz w:val="20"/>
                <w:szCs w:val="20"/>
              </w:rPr>
            </w:pPr>
            <w:r w:rsidRPr="001569FB">
              <w:rPr>
                <w:sz w:val="20"/>
                <w:szCs w:val="20"/>
              </w:rPr>
              <w:t> </w:t>
            </w:r>
          </w:p>
        </w:tc>
        <w:tc>
          <w:tcPr>
            <w:tcW w:w="1560" w:type="dxa"/>
            <w:noWrap/>
            <w:hideMark/>
          </w:tcPr>
          <w:p w14:paraId="4E9E07F3" w14:textId="77777777" w:rsidR="009A7430" w:rsidRPr="001569FB" w:rsidRDefault="009A7430" w:rsidP="008D4E91">
            <w:pPr>
              <w:jc w:val="center"/>
              <w:rPr>
                <w:sz w:val="20"/>
                <w:szCs w:val="20"/>
              </w:rPr>
            </w:pPr>
            <w:r w:rsidRPr="001569FB">
              <w:rPr>
                <w:sz w:val="20"/>
                <w:szCs w:val="20"/>
              </w:rPr>
              <w:t>0.090</w:t>
            </w:r>
          </w:p>
        </w:tc>
      </w:tr>
      <w:tr w:rsidR="009A7430" w:rsidRPr="001569FB" w14:paraId="3A5BFF49" w14:textId="77777777" w:rsidTr="008D4E91">
        <w:trPr>
          <w:trHeight w:val="300"/>
        </w:trPr>
        <w:tc>
          <w:tcPr>
            <w:tcW w:w="2695" w:type="dxa"/>
            <w:noWrap/>
            <w:hideMark/>
          </w:tcPr>
          <w:p w14:paraId="6D2A8297" w14:textId="77777777" w:rsidR="009A7430" w:rsidRPr="001569FB" w:rsidRDefault="009A7430" w:rsidP="008D4E91">
            <w:pPr>
              <w:rPr>
                <w:sz w:val="20"/>
                <w:szCs w:val="20"/>
                <w:vertAlign w:val="superscript"/>
              </w:rPr>
            </w:pPr>
            <w:r w:rsidRPr="001569FB">
              <w:rPr>
                <w:sz w:val="20"/>
                <w:szCs w:val="20"/>
              </w:rPr>
              <w:t>Originally Disabled_Female</w:t>
            </w:r>
            <w:r w:rsidRPr="001569FB">
              <w:rPr>
                <w:sz w:val="20"/>
                <w:szCs w:val="20"/>
                <w:vertAlign w:val="superscript"/>
              </w:rPr>
              <w:t>2</w:t>
            </w:r>
          </w:p>
        </w:tc>
        <w:tc>
          <w:tcPr>
            <w:tcW w:w="5095" w:type="dxa"/>
            <w:noWrap/>
            <w:hideMark/>
          </w:tcPr>
          <w:p w14:paraId="12E0CB8D" w14:textId="77777777" w:rsidR="009A7430" w:rsidRPr="001569FB" w:rsidRDefault="009A7430" w:rsidP="008D4E91">
            <w:pPr>
              <w:rPr>
                <w:sz w:val="20"/>
                <w:szCs w:val="20"/>
              </w:rPr>
            </w:pPr>
            <w:r w:rsidRPr="001569FB">
              <w:rPr>
                <w:sz w:val="20"/>
                <w:szCs w:val="20"/>
              </w:rPr>
              <w:t> </w:t>
            </w:r>
          </w:p>
        </w:tc>
        <w:tc>
          <w:tcPr>
            <w:tcW w:w="1560" w:type="dxa"/>
            <w:noWrap/>
            <w:hideMark/>
          </w:tcPr>
          <w:p w14:paraId="54ED9AE4" w14:textId="77777777" w:rsidR="009A7430" w:rsidRPr="001569FB" w:rsidRDefault="009A7430" w:rsidP="008D4E91">
            <w:pPr>
              <w:jc w:val="center"/>
              <w:rPr>
                <w:sz w:val="20"/>
                <w:szCs w:val="20"/>
              </w:rPr>
            </w:pPr>
            <w:r w:rsidRPr="001569FB">
              <w:rPr>
                <w:sz w:val="20"/>
                <w:szCs w:val="20"/>
              </w:rPr>
              <w:t>-</w:t>
            </w:r>
          </w:p>
        </w:tc>
      </w:tr>
      <w:tr w:rsidR="009A7430" w:rsidRPr="001569FB" w14:paraId="72C83CCF" w14:textId="77777777" w:rsidTr="008D4E91">
        <w:trPr>
          <w:trHeight w:val="300"/>
        </w:trPr>
        <w:tc>
          <w:tcPr>
            <w:tcW w:w="2695" w:type="dxa"/>
            <w:noWrap/>
            <w:hideMark/>
          </w:tcPr>
          <w:p w14:paraId="765D60EB" w14:textId="77777777" w:rsidR="009A7430" w:rsidRPr="001569FB" w:rsidRDefault="009A7430" w:rsidP="008D4E91">
            <w:pPr>
              <w:rPr>
                <w:sz w:val="20"/>
                <w:szCs w:val="20"/>
              </w:rPr>
            </w:pPr>
            <w:r w:rsidRPr="001569FB">
              <w:rPr>
                <w:sz w:val="20"/>
                <w:szCs w:val="20"/>
              </w:rPr>
              <w:t>Originally Disabled_Male</w:t>
            </w:r>
            <w:r w:rsidRPr="001569FB">
              <w:rPr>
                <w:sz w:val="20"/>
                <w:szCs w:val="20"/>
                <w:vertAlign w:val="superscript"/>
              </w:rPr>
              <w:t>2</w:t>
            </w:r>
          </w:p>
        </w:tc>
        <w:tc>
          <w:tcPr>
            <w:tcW w:w="5095" w:type="dxa"/>
            <w:noWrap/>
            <w:hideMark/>
          </w:tcPr>
          <w:p w14:paraId="775C098F" w14:textId="77777777" w:rsidR="009A7430" w:rsidRPr="001569FB" w:rsidRDefault="009A7430" w:rsidP="008D4E91">
            <w:pPr>
              <w:rPr>
                <w:sz w:val="20"/>
                <w:szCs w:val="20"/>
              </w:rPr>
            </w:pPr>
            <w:r w:rsidRPr="001569FB">
              <w:rPr>
                <w:sz w:val="20"/>
                <w:szCs w:val="20"/>
              </w:rPr>
              <w:t> </w:t>
            </w:r>
          </w:p>
        </w:tc>
        <w:tc>
          <w:tcPr>
            <w:tcW w:w="1560" w:type="dxa"/>
            <w:noWrap/>
            <w:hideMark/>
          </w:tcPr>
          <w:p w14:paraId="20E7AC43" w14:textId="77777777" w:rsidR="009A7430" w:rsidRPr="001569FB" w:rsidRDefault="009A7430" w:rsidP="008D4E91">
            <w:pPr>
              <w:jc w:val="center"/>
              <w:rPr>
                <w:sz w:val="20"/>
                <w:szCs w:val="20"/>
              </w:rPr>
            </w:pPr>
            <w:r w:rsidRPr="001569FB">
              <w:rPr>
                <w:sz w:val="20"/>
                <w:szCs w:val="20"/>
              </w:rPr>
              <w:t>-</w:t>
            </w:r>
          </w:p>
        </w:tc>
      </w:tr>
      <w:tr w:rsidR="009A7430" w:rsidRPr="001569FB" w14:paraId="055D13DF" w14:textId="77777777" w:rsidTr="008D4E91">
        <w:trPr>
          <w:trHeight w:val="300"/>
        </w:trPr>
        <w:tc>
          <w:tcPr>
            <w:tcW w:w="2695" w:type="dxa"/>
            <w:noWrap/>
            <w:hideMark/>
          </w:tcPr>
          <w:p w14:paraId="06D1D36E" w14:textId="77777777" w:rsidR="009A7430" w:rsidRPr="001569FB" w:rsidRDefault="009A7430" w:rsidP="008D4E91">
            <w:pPr>
              <w:rPr>
                <w:sz w:val="20"/>
                <w:szCs w:val="20"/>
              </w:rPr>
            </w:pPr>
            <w:r w:rsidRPr="001569FB">
              <w:rPr>
                <w:sz w:val="20"/>
                <w:szCs w:val="20"/>
              </w:rPr>
              <w:t>Originally ESRD_Female</w:t>
            </w:r>
            <w:r w:rsidRPr="001569FB">
              <w:rPr>
                <w:sz w:val="20"/>
                <w:szCs w:val="20"/>
                <w:vertAlign w:val="superscript"/>
              </w:rPr>
              <w:t>3</w:t>
            </w:r>
          </w:p>
        </w:tc>
        <w:tc>
          <w:tcPr>
            <w:tcW w:w="5095" w:type="dxa"/>
            <w:noWrap/>
            <w:hideMark/>
          </w:tcPr>
          <w:p w14:paraId="3AA8CAC0" w14:textId="77777777" w:rsidR="009A7430" w:rsidRPr="001569FB" w:rsidRDefault="009A7430" w:rsidP="008D4E91">
            <w:pPr>
              <w:rPr>
                <w:sz w:val="20"/>
                <w:szCs w:val="20"/>
              </w:rPr>
            </w:pPr>
            <w:r w:rsidRPr="001569FB">
              <w:rPr>
                <w:sz w:val="20"/>
                <w:szCs w:val="20"/>
              </w:rPr>
              <w:t> </w:t>
            </w:r>
          </w:p>
        </w:tc>
        <w:tc>
          <w:tcPr>
            <w:tcW w:w="1560" w:type="dxa"/>
            <w:noWrap/>
            <w:hideMark/>
          </w:tcPr>
          <w:p w14:paraId="7876EC88" w14:textId="77777777" w:rsidR="009A7430" w:rsidRPr="001569FB" w:rsidRDefault="009A7430" w:rsidP="008D4E91">
            <w:pPr>
              <w:jc w:val="center"/>
              <w:rPr>
                <w:sz w:val="20"/>
                <w:szCs w:val="20"/>
              </w:rPr>
            </w:pPr>
            <w:r w:rsidRPr="001569FB">
              <w:rPr>
                <w:sz w:val="20"/>
                <w:szCs w:val="20"/>
              </w:rPr>
              <w:t>-0.078</w:t>
            </w:r>
          </w:p>
        </w:tc>
      </w:tr>
      <w:tr w:rsidR="009A7430" w:rsidRPr="001569FB" w14:paraId="3F62315E" w14:textId="77777777" w:rsidTr="008D4E91">
        <w:trPr>
          <w:trHeight w:val="300"/>
        </w:trPr>
        <w:tc>
          <w:tcPr>
            <w:tcW w:w="2695" w:type="dxa"/>
            <w:tcBorders>
              <w:bottom w:val="single" w:sz="4" w:space="0" w:color="auto"/>
            </w:tcBorders>
            <w:noWrap/>
            <w:hideMark/>
          </w:tcPr>
          <w:p w14:paraId="5ED00C3B" w14:textId="77777777" w:rsidR="009A7430" w:rsidRPr="001569FB" w:rsidRDefault="009A7430" w:rsidP="008D4E91">
            <w:pPr>
              <w:rPr>
                <w:sz w:val="20"/>
                <w:szCs w:val="20"/>
              </w:rPr>
            </w:pPr>
            <w:r w:rsidRPr="001569FB">
              <w:rPr>
                <w:sz w:val="20"/>
                <w:szCs w:val="20"/>
              </w:rPr>
              <w:t>Originally ESRD_Male</w:t>
            </w:r>
            <w:r w:rsidRPr="001569FB">
              <w:rPr>
                <w:sz w:val="20"/>
                <w:szCs w:val="20"/>
                <w:vertAlign w:val="superscript"/>
              </w:rPr>
              <w:t>3</w:t>
            </w:r>
          </w:p>
        </w:tc>
        <w:tc>
          <w:tcPr>
            <w:tcW w:w="5095" w:type="dxa"/>
            <w:tcBorders>
              <w:bottom w:val="single" w:sz="4" w:space="0" w:color="auto"/>
            </w:tcBorders>
            <w:noWrap/>
            <w:hideMark/>
          </w:tcPr>
          <w:p w14:paraId="6E721271" w14:textId="77777777" w:rsidR="009A7430" w:rsidRPr="001569FB" w:rsidRDefault="009A7430" w:rsidP="008D4E91">
            <w:pPr>
              <w:rPr>
                <w:sz w:val="20"/>
                <w:szCs w:val="20"/>
              </w:rPr>
            </w:pPr>
            <w:r w:rsidRPr="001569FB">
              <w:rPr>
                <w:sz w:val="20"/>
                <w:szCs w:val="20"/>
              </w:rPr>
              <w:t> </w:t>
            </w:r>
          </w:p>
        </w:tc>
        <w:tc>
          <w:tcPr>
            <w:tcW w:w="1560" w:type="dxa"/>
            <w:tcBorders>
              <w:bottom w:val="single" w:sz="4" w:space="0" w:color="auto"/>
            </w:tcBorders>
            <w:noWrap/>
            <w:hideMark/>
          </w:tcPr>
          <w:p w14:paraId="293A5F2E" w14:textId="77777777" w:rsidR="009A7430" w:rsidRPr="001569FB" w:rsidRDefault="009A7430" w:rsidP="008D4E91">
            <w:pPr>
              <w:jc w:val="center"/>
              <w:rPr>
                <w:sz w:val="20"/>
                <w:szCs w:val="20"/>
              </w:rPr>
            </w:pPr>
            <w:r w:rsidRPr="001569FB">
              <w:rPr>
                <w:sz w:val="20"/>
                <w:szCs w:val="20"/>
              </w:rPr>
              <w:t>-0.049</w:t>
            </w:r>
          </w:p>
        </w:tc>
      </w:tr>
      <w:tr w:rsidR="009A7430" w:rsidRPr="001569FB" w14:paraId="4228C533" w14:textId="77777777" w:rsidTr="008D4E91">
        <w:trPr>
          <w:trHeight w:val="300"/>
        </w:trPr>
        <w:tc>
          <w:tcPr>
            <w:tcW w:w="9350" w:type="dxa"/>
            <w:gridSpan w:val="3"/>
            <w:noWrap/>
            <w:hideMark/>
          </w:tcPr>
          <w:p w14:paraId="350CABD4" w14:textId="77777777" w:rsidR="009A7430" w:rsidRPr="001569FB" w:rsidRDefault="009A7430" w:rsidP="008D4E91">
            <w:pPr>
              <w:rPr>
                <w:b/>
                <w:sz w:val="20"/>
                <w:szCs w:val="20"/>
              </w:rPr>
            </w:pPr>
            <w:r w:rsidRPr="001569FB">
              <w:rPr>
                <w:b/>
                <w:sz w:val="20"/>
                <w:szCs w:val="20"/>
              </w:rPr>
              <w:t>Disease Coefficients</w:t>
            </w:r>
            <w:r w:rsidRPr="001569FB">
              <w:rPr>
                <w:sz w:val="20"/>
                <w:szCs w:val="20"/>
              </w:rPr>
              <w:t> </w:t>
            </w:r>
          </w:p>
        </w:tc>
      </w:tr>
      <w:tr w:rsidR="009A7430" w:rsidRPr="001569FB" w14:paraId="426CDDA7" w14:textId="77777777" w:rsidTr="008D4E91">
        <w:trPr>
          <w:trHeight w:val="315"/>
        </w:trPr>
        <w:tc>
          <w:tcPr>
            <w:tcW w:w="2695" w:type="dxa"/>
            <w:noWrap/>
            <w:hideMark/>
          </w:tcPr>
          <w:p w14:paraId="3121FF8F" w14:textId="77777777" w:rsidR="009A7430" w:rsidRPr="001569FB" w:rsidRDefault="009A7430" w:rsidP="008D4E91">
            <w:pPr>
              <w:rPr>
                <w:sz w:val="20"/>
                <w:szCs w:val="20"/>
              </w:rPr>
            </w:pPr>
            <w:r w:rsidRPr="001569FB">
              <w:rPr>
                <w:sz w:val="20"/>
                <w:szCs w:val="20"/>
              </w:rPr>
              <w:t>HCC1</w:t>
            </w:r>
          </w:p>
        </w:tc>
        <w:tc>
          <w:tcPr>
            <w:tcW w:w="5095" w:type="dxa"/>
            <w:hideMark/>
          </w:tcPr>
          <w:p w14:paraId="0055D61D" w14:textId="77777777" w:rsidR="009A7430" w:rsidRPr="001569FB" w:rsidRDefault="009A7430" w:rsidP="008D4E91">
            <w:pPr>
              <w:rPr>
                <w:sz w:val="20"/>
                <w:szCs w:val="20"/>
              </w:rPr>
            </w:pPr>
            <w:r w:rsidRPr="001569FB">
              <w:rPr>
                <w:sz w:val="20"/>
                <w:szCs w:val="20"/>
              </w:rPr>
              <w:t>HIV/AIDS</w:t>
            </w:r>
          </w:p>
        </w:tc>
        <w:tc>
          <w:tcPr>
            <w:tcW w:w="1560" w:type="dxa"/>
            <w:noWrap/>
            <w:hideMark/>
          </w:tcPr>
          <w:p w14:paraId="7803BCBF" w14:textId="77777777" w:rsidR="009A7430" w:rsidRPr="001569FB" w:rsidRDefault="009A7430" w:rsidP="008D4E91">
            <w:pPr>
              <w:jc w:val="center"/>
              <w:rPr>
                <w:sz w:val="20"/>
                <w:szCs w:val="20"/>
              </w:rPr>
            </w:pPr>
            <w:r w:rsidRPr="001569FB">
              <w:rPr>
                <w:sz w:val="20"/>
                <w:szCs w:val="20"/>
              </w:rPr>
              <w:t>0.154</w:t>
            </w:r>
          </w:p>
        </w:tc>
      </w:tr>
      <w:tr w:rsidR="009A7430" w:rsidRPr="001569FB" w14:paraId="4016627B" w14:textId="77777777" w:rsidTr="008D4E91">
        <w:trPr>
          <w:trHeight w:val="315"/>
        </w:trPr>
        <w:tc>
          <w:tcPr>
            <w:tcW w:w="2695" w:type="dxa"/>
            <w:noWrap/>
            <w:hideMark/>
          </w:tcPr>
          <w:p w14:paraId="6580380B" w14:textId="77777777" w:rsidR="009A7430" w:rsidRPr="001569FB" w:rsidRDefault="009A7430" w:rsidP="008D4E91">
            <w:pPr>
              <w:rPr>
                <w:sz w:val="20"/>
                <w:szCs w:val="20"/>
              </w:rPr>
            </w:pPr>
            <w:r w:rsidRPr="001569FB">
              <w:rPr>
                <w:sz w:val="20"/>
                <w:szCs w:val="20"/>
              </w:rPr>
              <w:lastRenderedPageBreak/>
              <w:t>HCC2</w:t>
            </w:r>
          </w:p>
        </w:tc>
        <w:tc>
          <w:tcPr>
            <w:tcW w:w="5095" w:type="dxa"/>
            <w:hideMark/>
          </w:tcPr>
          <w:p w14:paraId="02F2D8D0"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1560" w:type="dxa"/>
            <w:noWrap/>
            <w:hideMark/>
          </w:tcPr>
          <w:p w14:paraId="39745CBC" w14:textId="77777777" w:rsidR="009A7430" w:rsidRPr="001569FB" w:rsidRDefault="009A7430" w:rsidP="008D4E91">
            <w:pPr>
              <w:jc w:val="center"/>
              <w:rPr>
                <w:sz w:val="20"/>
                <w:szCs w:val="20"/>
              </w:rPr>
            </w:pPr>
            <w:r w:rsidRPr="001569FB">
              <w:rPr>
                <w:sz w:val="20"/>
                <w:szCs w:val="20"/>
              </w:rPr>
              <w:t>0.081</w:t>
            </w:r>
          </w:p>
        </w:tc>
      </w:tr>
      <w:tr w:rsidR="009A7430" w:rsidRPr="001569FB" w14:paraId="23A7EC67" w14:textId="77777777" w:rsidTr="008D4E91">
        <w:trPr>
          <w:trHeight w:val="315"/>
        </w:trPr>
        <w:tc>
          <w:tcPr>
            <w:tcW w:w="2695" w:type="dxa"/>
            <w:noWrap/>
            <w:hideMark/>
          </w:tcPr>
          <w:p w14:paraId="35CCCC6B" w14:textId="77777777" w:rsidR="009A7430" w:rsidRPr="001569FB" w:rsidRDefault="009A7430" w:rsidP="008D4E91">
            <w:pPr>
              <w:rPr>
                <w:sz w:val="20"/>
                <w:szCs w:val="20"/>
              </w:rPr>
            </w:pPr>
            <w:r w:rsidRPr="001569FB">
              <w:rPr>
                <w:sz w:val="20"/>
                <w:szCs w:val="20"/>
              </w:rPr>
              <w:t>HCC6</w:t>
            </w:r>
          </w:p>
        </w:tc>
        <w:tc>
          <w:tcPr>
            <w:tcW w:w="5095" w:type="dxa"/>
            <w:hideMark/>
          </w:tcPr>
          <w:p w14:paraId="0CCB0682" w14:textId="77777777" w:rsidR="009A7430" w:rsidRPr="001569FB" w:rsidRDefault="009A7430" w:rsidP="008D4E91">
            <w:pPr>
              <w:rPr>
                <w:sz w:val="20"/>
                <w:szCs w:val="20"/>
              </w:rPr>
            </w:pPr>
            <w:r w:rsidRPr="001569FB">
              <w:rPr>
                <w:sz w:val="20"/>
                <w:szCs w:val="20"/>
              </w:rPr>
              <w:t>Opportunistic Infections</w:t>
            </w:r>
          </w:p>
        </w:tc>
        <w:tc>
          <w:tcPr>
            <w:tcW w:w="1560" w:type="dxa"/>
            <w:noWrap/>
            <w:hideMark/>
          </w:tcPr>
          <w:p w14:paraId="63C55056" w14:textId="77777777" w:rsidR="009A7430" w:rsidRPr="001569FB" w:rsidRDefault="009A7430" w:rsidP="008D4E91">
            <w:pPr>
              <w:jc w:val="center"/>
              <w:rPr>
                <w:sz w:val="20"/>
                <w:szCs w:val="20"/>
              </w:rPr>
            </w:pPr>
            <w:r w:rsidRPr="001569FB">
              <w:rPr>
                <w:sz w:val="20"/>
                <w:szCs w:val="20"/>
              </w:rPr>
              <w:t>0.052</w:t>
            </w:r>
          </w:p>
        </w:tc>
      </w:tr>
      <w:tr w:rsidR="009A7430" w:rsidRPr="001569FB" w14:paraId="3798B7F4" w14:textId="77777777" w:rsidTr="008D4E91">
        <w:trPr>
          <w:trHeight w:val="315"/>
        </w:trPr>
        <w:tc>
          <w:tcPr>
            <w:tcW w:w="2695" w:type="dxa"/>
            <w:noWrap/>
            <w:hideMark/>
          </w:tcPr>
          <w:p w14:paraId="7C24FA3D" w14:textId="77777777" w:rsidR="009A7430" w:rsidRPr="001569FB" w:rsidRDefault="009A7430" w:rsidP="008D4E91">
            <w:pPr>
              <w:rPr>
                <w:sz w:val="20"/>
                <w:szCs w:val="20"/>
              </w:rPr>
            </w:pPr>
            <w:r w:rsidRPr="001569FB">
              <w:rPr>
                <w:sz w:val="20"/>
                <w:szCs w:val="20"/>
              </w:rPr>
              <w:t>HCC8</w:t>
            </w:r>
          </w:p>
        </w:tc>
        <w:tc>
          <w:tcPr>
            <w:tcW w:w="5095" w:type="dxa"/>
            <w:hideMark/>
          </w:tcPr>
          <w:p w14:paraId="31A0F9A9" w14:textId="77777777" w:rsidR="009A7430" w:rsidRPr="001569FB" w:rsidRDefault="009A7430" w:rsidP="008D4E91">
            <w:pPr>
              <w:rPr>
                <w:sz w:val="20"/>
                <w:szCs w:val="20"/>
              </w:rPr>
            </w:pPr>
            <w:r w:rsidRPr="001569FB">
              <w:rPr>
                <w:sz w:val="20"/>
                <w:szCs w:val="20"/>
              </w:rPr>
              <w:t>Metastatic Cancer and Acute Leukemia</w:t>
            </w:r>
          </w:p>
        </w:tc>
        <w:tc>
          <w:tcPr>
            <w:tcW w:w="1560" w:type="dxa"/>
            <w:noWrap/>
            <w:hideMark/>
          </w:tcPr>
          <w:p w14:paraId="079699D8" w14:textId="77777777" w:rsidR="009A7430" w:rsidRPr="001569FB" w:rsidRDefault="009A7430" w:rsidP="008D4E91">
            <w:pPr>
              <w:jc w:val="center"/>
              <w:rPr>
                <w:sz w:val="20"/>
                <w:szCs w:val="20"/>
              </w:rPr>
            </w:pPr>
            <w:r w:rsidRPr="001569FB">
              <w:rPr>
                <w:sz w:val="20"/>
                <w:szCs w:val="20"/>
              </w:rPr>
              <w:t>0.295</w:t>
            </w:r>
          </w:p>
        </w:tc>
      </w:tr>
      <w:tr w:rsidR="009A7430" w:rsidRPr="001569FB" w14:paraId="56FEF107" w14:textId="77777777" w:rsidTr="008D4E91">
        <w:trPr>
          <w:trHeight w:val="315"/>
        </w:trPr>
        <w:tc>
          <w:tcPr>
            <w:tcW w:w="2695" w:type="dxa"/>
            <w:noWrap/>
            <w:hideMark/>
          </w:tcPr>
          <w:p w14:paraId="78D5E63A" w14:textId="77777777" w:rsidR="009A7430" w:rsidRPr="001569FB" w:rsidRDefault="009A7430" w:rsidP="008D4E91">
            <w:pPr>
              <w:rPr>
                <w:sz w:val="20"/>
                <w:szCs w:val="20"/>
              </w:rPr>
            </w:pPr>
            <w:r w:rsidRPr="001569FB">
              <w:rPr>
                <w:sz w:val="20"/>
                <w:szCs w:val="20"/>
              </w:rPr>
              <w:t>HCC9</w:t>
            </w:r>
          </w:p>
        </w:tc>
        <w:tc>
          <w:tcPr>
            <w:tcW w:w="5095" w:type="dxa"/>
            <w:hideMark/>
          </w:tcPr>
          <w:p w14:paraId="40EE3010" w14:textId="77777777" w:rsidR="009A7430" w:rsidRPr="001569FB" w:rsidRDefault="009A7430" w:rsidP="008D4E91">
            <w:pPr>
              <w:rPr>
                <w:sz w:val="20"/>
                <w:szCs w:val="20"/>
              </w:rPr>
            </w:pPr>
            <w:r w:rsidRPr="001569FB">
              <w:rPr>
                <w:sz w:val="20"/>
                <w:szCs w:val="20"/>
              </w:rPr>
              <w:t>Lung and Other Severe Cancers</w:t>
            </w:r>
          </w:p>
        </w:tc>
        <w:tc>
          <w:tcPr>
            <w:tcW w:w="1560" w:type="dxa"/>
            <w:noWrap/>
            <w:hideMark/>
          </w:tcPr>
          <w:p w14:paraId="0CB6AC5C" w14:textId="77777777" w:rsidR="009A7430" w:rsidRPr="001569FB" w:rsidRDefault="009A7430" w:rsidP="008D4E91">
            <w:pPr>
              <w:jc w:val="center"/>
              <w:rPr>
                <w:sz w:val="20"/>
                <w:szCs w:val="20"/>
              </w:rPr>
            </w:pPr>
            <w:r w:rsidRPr="001569FB">
              <w:rPr>
                <w:sz w:val="20"/>
                <w:szCs w:val="20"/>
              </w:rPr>
              <w:t>0.169</w:t>
            </w:r>
          </w:p>
        </w:tc>
      </w:tr>
      <w:tr w:rsidR="009A7430" w:rsidRPr="001569FB" w14:paraId="2469B6BB" w14:textId="77777777" w:rsidTr="008D4E91">
        <w:trPr>
          <w:trHeight w:val="315"/>
        </w:trPr>
        <w:tc>
          <w:tcPr>
            <w:tcW w:w="2695" w:type="dxa"/>
            <w:noWrap/>
            <w:hideMark/>
          </w:tcPr>
          <w:p w14:paraId="0D718ECF" w14:textId="77777777" w:rsidR="009A7430" w:rsidRPr="001569FB" w:rsidRDefault="009A7430" w:rsidP="008D4E91">
            <w:pPr>
              <w:rPr>
                <w:sz w:val="20"/>
                <w:szCs w:val="20"/>
              </w:rPr>
            </w:pPr>
            <w:r w:rsidRPr="001569FB">
              <w:rPr>
                <w:sz w:val="20"/>
                <w:szCs w:val="20"/>
              </w:rPr>
              <w:t>HCC10</w:t>
            </w:r>
          </w:p>
        </w:tc>
        <w:tc>
          <w:tcPr>
            <w:tcW w:w="5095" w:type="dxa"/>
            <w:hideMark/>
          </w:tcPr>
          <w:p w14:paraId="588058F0" w14:textId="77777777" w:rsidR="009A7430" w:rsidRPr="001569FB" w:rsidRDefault="009A7430" w:rsidP="008D4E91">
            <w:pPr>
              <w:rPr>
                <w:sz w:val="20"/>
                <w:szCs w:val="20"/>
              </w:rPr>
            </w:pPr>
            <w:r w:rsidRPr="001569FB">
              <w:rPr>
                <w:sz w:val="20"/>
                <w:szCs w:val="20"/>
              </w:rPr>
              <w:t>Lymphoma and Other Cancers</w:t>
            </w:r>
          </w:p>
        </w:tc>
        <w:tc>
          <w:tcPr>
            <w:tcW w:w="1560" w:type="dxa"/>
            <w:noWrap/>
            <w:hideMark/>
          </w:tcPr>
          <w:p w14:paraId="4EE0E2CD" w14:textId="77777777" w:rsidR="009A7430" w:rsidRPr="001569FB" w:rsidRDefault="009A7430" w:rsidP="008D4E91">
            <w:pPr>
              <w:jc w:val="center"/>
              <w:rPr>
                <w:sz w:val="20"/>
                <w:szCs w:val="20"/>
              </w:rPr>
            </w:pPr>
            <w:r w:rsidRPr="001569FB">
              <w:rPr>
                <w:sz w:val="20"/>
                <w:szCs w:val="20"/>
              </w:rPr>
              <w:t>0.136</w:t>
            </w:r>
          </w:p>
        </w:tc>
      </w:tr>
      <w:tr w:rsidR="009A7430" w:rsidRPr="001569FB" w14:paraId="2A431C61" w14:textId="77777777" w:rsidTr="008D4E91">
        <w:trPr>
          <w:trHeight w:val="315"/>
        </w:trPr>
        <w:tc>
          <w:tcPr>
            <w:tcW w:w="2695" w:type="dxa"/>
            <w:noWrap/>
            <w:hideMark/>
          </w:tcPr>
          <w:p w14:paraId="0693D8C3" w14:textId="77777777" w:rsidR="009A7430" w:rsidRPr="001569FB" w:rsidRDefault="009A7430" w:rsidP="008D4E91">
            <w:pPr>
              <w:rPr>
                <w:sz w:val="20"/>
                <w:szCs w:val="20"/>
              </w:rPr>
            </w:pPr>
            <w:r w:rsidRPr="001569FB">
              <w:rPr>
                <w:sz w:val="20"/>
                <w:szCs w:val="20"/>
              </w:rPr>
              <w:t>HCC11</w:t>
            </w:r>
          </w:p>
        </w:tc>
        <w:tc>
          <w:tcPr>
            <w:tcW w:w="5095" w:type="dxa"/>
            <w:hideMark/>
          </w:tcPr>
          <w:p w14:paraId="70EF667C" w14:textId="77777777" w:rsidR="009A7430" w:rsidRPr="001569FB" w:rsidRDefault="009A7430" w:rsidP="008D4E91">
            <w:pPr>
              <w:rPr>
                <w:sz w:val="20"/>
                <w:szCs w:val="20"/>
              </w:rPr>
            </w:pPr>
            <w:r w:rsidRPr="001569FB">
              <w:rPr>
                <w:sz w:val="20"/>
                <w:szCs w:val="20"/>
              </w:rPr>
              <w:t>Colorectal, Bladder, and Other Cancers</w:t>
            </w:r>
          </w:p>
        </w:tc>
        <w:tc>
          <w:tcPr>
            <w:tcW w:w="1560" w:type="dxa"/>
            <w:noWrap/>
            <w:hideMark/>
          </w:tcPr>
          <w:p w14:paraId="2B3BA559" w14:textId="77777777" w:rsidR="009A7430" w:rsidRPr="001569FB" w:rsidRDefault="009A7430" w:rsidP="008D4E91">
            <w:pPr>
              <w:jc w:val="center"/>
              <w:rPr>
                <w:sz w:val="20"/>
                <w:szCs w:val="20"/>
              </w:rPr>
            </w:pPr>
            <w:r w:rsidRPr="001569FB">
              <w:rPr>
                <w:sz w:val="20"/>
                <w:szCs w:val="20"/>
              </w:rPr>
              <w:t>0.076</w:t>
            </w:r>
          </w:p>
        </w:tc>
      </w:tr>
      <w:tr w:rsidR="009A7430" w:rsidRPr="001569FB" w14:paraId="56C81FE0" w14:textId="77777777" w:rsidTr="008D4E91">
        <w:trPr>
          <w:trHeight w:val="315"/>
        </w:trPr>
        <w:tc>
          <w:tcPr>
            <w:tcW w:w="2695" w:type="dxa"/>
            <w:noWrap/>
            <w:hideMark/>
          </w:tcPr>
          <w:p w14:paraId="6BA46EEE" w14:textId="77777777" w:rsidR="009A7430" w:rsidRPr="001569FB" w:rsidRDefault="009A7430" w:rsidP="008D4E91">
            <w:pPr>
              <w:rPr>
                <w:sz w:val="20"/>
                <w:szCs w:val="20"/>
              </w:rPr>
            </w:pPr>
            <w:r w:rsidRPr="001569FB">
              <w:rPr>
                <w:sz w:val="20"/>
                <w:szCs w:val="20"/>
              </w:rPr>
              <w:t>HCC12</w:t>
            </w:r>
          </w:p>
        </w:tc>
        <w:tc>
          <w:tcPr>
            <w:tcW w:w="5095" w:type="dxa"/>
            <w:hideMark/>
          </w:tcPr>
          <w:p w14:paraId="1E409B6C" w14:textId="77777777" w:rsidR="009A7430" w:rsidRPr="001569FB" w:rsidRDefault="009A7430" w:rsidP="008D4E91">
            <w:pPr>
              <w:rPr>
                <w:sz w:val="20"/>
                <w:szCs w:val="20"/>
              </w:rPr>
            </w:pPr>
            <w:r w:rsidRPr="001569FB">
              <w:rPr>
                <w:sz w:val="20"/>
                <w:szCs w:val="20"/>
              </w:rPr>
              <w:t>Breast, Prostate, and Other Cancers and Tumors</w:t>
            </w:r>
          </w:p>
        </w:tc>
        <w:tc>
          <w:tcPr>
            <w:tcW w:w="1560" w:type="dxa"/>
            <w:noWrap/>
            <w:hideMark/>
          </w:tcPr>
          <w:p w14:paraId="2F97348F" w14:textId="77777777" w:rsidR="009A7430" w:rsidRPr="001569FB" w:rsidRDefault="009A7430" w:rsidP="008D4E91">
            <w:pPr>
              <w:jc w:val="center"/>
              <w:rPr>
                <w:sz w:val="20"/>
                <w:szCs w:val="20"/>
              </w:rPr>
            </w:pPr>
            <w:r w:rsidRPr="001569FB">
              <w:rPr>
                <w:sz w:val="20"/>
                <w:szCs w:val="20"/>
              </w:rPr>
              <w:t>0.046</w:t>
            </w:r>
          </w:p>
        </w:tc>
      </w:tr>
      <w:tr w:rsidR="009A7430" w:rsidRPr="001569FB" w14:paraId="33B890F1" w14:textId="77777777" w:rsidTr="008D4E91">
        <w:trPr>
          <w:trHeight w:val="315"/>
        </w:trPr>
        <w:tc>
          <w:tcPr>
            <w:tcW w:w="2695" w:type="dxa"/>
            <w:noWrap/>
            <w:hideMark/>
          </w:tcPr>
          <w:p w14:paraId="567BAA9E" w14:textId="77777777" w:rsidR="009A7430" w:rsidRPr="001569FB" w:rsidRDefault="009A7430" w:rsidP="008D4E91">
            <w:pPr>
              <w:rPr>
                <w:sz w:val="20"/>
                <w:szCs w:val="20"/>
              </w:rPr>
            </w:pPr>
            <w:r w:rsidRPr="001569FB">
              <w:rPr>
                <w:sz w:val="20"/>
                <w:szCs w:val="20"/>
              </w:rPr>
              <w:t>HCC17</w:t>
            </w:r>
          </w:p>
        </w:tc>
        <w:tc>
          <w:tcPr>
            <w:tcW w:w="5095" w:type="dxa"/>
            <w:hideMark/>
          </w:tcPr>
          <w:p w14:paraId="614D4BDC" w14:textId="77777777" w:rsidR="009A7430" w:rsidRPr="001569FB" w:rsidRDefault="009A7430" w:rsidP="008D4E91">
            <w:pPr>
              <w:rPr>
                <w:sz w:val="20"/>
                <w:szCs w:val="20"/>
              </w:rPr>
            </w:pPr>
            <w:r w:rsidRPr="001569FB">
              <w:rPr>
                <w:sz w:val="20"/>
                <w:szCs w:val="20"/>
              </w:rPr>
              <w:t>Diabetes with Acute Complications</w:t>
            </w:r>
          </w:p>
        </w:tc>
        <w:tc>
          <w:tcPr>
            <w:tcW w:w="1560" w:type="dxa"/>
            <w:noWrap/>
            <w:hideMark/>
          </w:tcPr>
          <w:p w14:paraId="6D64164E" w14:textId="77777777" w:rsidR="009A7430" w:rsidRPr="001569FB" w:rsidRDefault="009A7430" w:rsidP="008D4E91">
            <w:pPr>
              <w:jc w:val="center"/>
              <w:rPr>
                <w:sz w:val="20"/>
                <w:szCs w:val="20"/>
              </w:rPr>
            </w:pPr>
            <w:r w:rsidRPr="001569FB">
              <w:rPr>
                <w:sz w:val="20"/>
                <w:szCs w:val="20"/>
              </w:rPr>
              <w:t>0.244</w:t>
            </w:r>
          </w:p>
        </w:tc>
      </w:tr>
      <w:tr w:rsidR="009A7430" w:rsidRPr="001569FB" w14:paraId="7468049B" w14:textId="77777777" w:rsidTr="008D4E91">
        <w:trPr>
          <w:trHeight w:val="315"/>
        </w:trPr>
        <w:tc>
          <w:tcPr>
            <w:tcW w:w="2695" w:type="dxa"/>
            <w:noWrap/>
            <w:hideMark/>
          </w:tcPr>
          <w:p w14:paraId="4A9D48E3" w14:textId="77777777" w:rsidR="009A7430" w:rsidRPr="001569FB" w:rsidRDefault="009A7430" w:rsidP="008D4E91">
            <w:pPr>
              <w:rPr>
                <w:sz w:val="20"/>
                <w:szCs w:val="20"/>
              </w:rPr>
            </w:pPr>
            <w:r w:rsidRPr="001569FB">
              <w:rPr>
                <w:sz w:val="20"/>
                <w:szCs w:val="20"/>
              </w:rPr>
              <w:t>HCC18</w:t>
            </w:r>
          </w:p>
        </w:tc>
        <w:tc>
          <w:tcPr>
            <w:tcW w:w="5095" w:type="dxa"/>
            <w:hideMark/>
          </w:tcPr>
          <w:p w14:paraId="0F02166B" w14:textId="77777777" w:rsidR="009A7430" w:rsidRPr="001569FB" w:rsidRDefault="009A7430" w:rsidP="008D4E91">
            <w:pPr>
              <w:rPr>
                <w:sz w:val="20"/>
                <w:szCs w:val="20"/>
              </w:rPr>
            </w:pPr>
            <w:r w:rsidRPr="001569FB">
              <w:rPr>
                <w:sz w:val="20"/>
                <w:szCs w:val="20"/>
              </w:rPr>
              <w:t>Diabetes with Chronic Complications</w:t>
            </w:r>
          </w:p>
        </w:tc>
        <w:tc>
          <w:tcPr>
            <w:tcW w:w="1560" w:type="dxa"/>
            <w:noWrap/>
            <w:hideMark/>
          </w:tcPr>
          <w:p w14:paraId="5E22B434" w14:textId="77777777" w:rsidR="009A7430" w:rsidRPr="001569FB" w:rsidRDefault="009A7430" w:rsidP="008D4E91">
            <w:pPr>
              <w:jc w:val="center"/>
              <w:rPr>
                <w:sz w:val="20"/>
                <w:szCs w:val="20"/>
              </w:rPr>
            </w:pPr>
            <w:r w:rsidRPr="001569FB">
              <w:rPr>
                <w:sz w:val="20"/>
                <w:szCs w:val="20"/>
              </w:rPr>
              <w:t>0.091</w:t>
            </w:r>
          </w:p>
        </w:tc>
      </w:tr>
      <w:tr w:rsidR="009A7430" w:rsidRPr="001569FB" w14:paraId="035ED0F7" w14:textId="77777777" w:rsidTr="008D4E91">
        <w:trPr>
          <w:trHeight w:val="315"/>
        </w:trPr>
        <w:tc>
          <w:tcPr>
            <w:tcW w:w="2695" w:type="dxa"/>
            <w:noWrap/>
            <w:hideMark/>
          </w:tcPr>
          <w:p w14:paraId="5585A6B8" w14:textId="77777777" w:rsidR="009A7430" w:rsidRPr="001569FB" w:rsidRDefault="009A7430" w:rsidP="008D4E91">
            <w:pPr>
              <w:rPr>
                <w:sz w:val="20"/>
                <w:szCs w:val="20"/>
              </w:rPr>
            </w:pPr>
            <w:r w:rsidRPr="001569FB">
              <w:rPr>
                <w:sz w:val="20"/>
                <w:szCs w:val="20"/>
              </w:rPr>
              <w:t>HCC19</w:t>
            </w:r>
          </w:p>
        </w:tc>
        <w:tc>
          <w:tcPr>
            <w:tcW w:w="5095" w:type="dxa"/>
            <w:hideMark/>
          </w:tcPr>
          <w:p w14:paraId="0359B6CA" w14:textId="77777777" w:rsidR="009A7430" w:rsidRPr="001569FB" w:rsidRDefault="009A7430" w:rsidP="008D4E91">
            <w:pPr>
              <w:rPr>
                <w:sz w:val="20"/>
                <w:szCs w:val="20"/>
              </w:rPr>
            </w:pPr>
            <w:r w:rsidRPr="001569FB">
              <w:rPr>
                <w:sz w:val="20"/>
                <w:szCs w:val="20"/>
              </w:rPr>
              <w:t>Diabetes without Complication</w:t>
            </w:r>
          </w:p>
        </w:tc>
        <w:tc>
          <w:tcPr>
            <w:tcW w:w="1560" w:type="dxa"/>
            <w:noWrap/>
            <w:hideMark/>
          </w:tcPr>
          <w:p w14:paraId="23C623F9" w14:textId="77777777" w:rsidR="009A7430" w:rsidRPr="001569FB" w:rsidRDefault="009A7430" w:rsidP="008D4E91">
            <w:pPr>
              <w:jc w:val="center"/>
              <w:rPr>
                <w:sz w:val="20"/>
                <w:szCs w:val="20"/>
              </w:rPr>
            </w:pPr>
            <w:r w:rsidRPr="001569FB">
              <w:rPr>
                <w:sz w:val="20"/>
                <w:szCs w:val="20"/>
              </w:rPr>
              <w:t>0.066</w:t>
            </w:r>
          </w:p>
        </w:tc>
      </w:tr>
      <w:tr w:rsidR="009A7430" w:rsidRPr="001569FB" w14:paraId="57F86B4D" w14:textId="77777777" w:rsidTr="008D4E91">
        <w:trPr>
          <w:trHeight w:val="315"/>
        </w:trPr>
        <w:tc>
          <w:tcPr>
            <w:tcW w:w="2695" w:type="dxa"/>
            <w:noWrap/>
            <w:hideMark/>
          </w:tcPr>
          <w:p w14:paraId="67834E79" w14:textId="77777777" w:rsidR="009A7430" w:rsidRPr="001569FB" w:rsidRDefault="009A7430" w:rsidP="008D4E91">
            <w:pPr>
              <w:rPr>
                <w:sz w:val="20"/>
                <w:szCs w:val="20"/>
              </w:rPr>
            </w:pPr>
            <w:r w:rsidRPr="001569FB">
              <w:rPr>
                <w:sz w:val="20"/>
                <w:szCs w:val="20"/>
              </w:rPr>
              <w:t>HCC21</w:t>
            </w:r>
          </w:p>
        </w:tc>
        <w:tc>
          <w:tcPr>
            <w:tcW w:w="5095" w:type="dxa"/>
            <w:hideMark/>
          </w:tcPr>
          <w:p w14:paraId="33666162" w14:textId="77777777" w:rsidR="009A7430" w:rsidRPr="001569FB" w:rsidRDefault="009A7430" w:rsidP="008D4E91">
            <w:pPr>
              <w:rPr>
                <w:sz w:val="20"/>
                <w:szCs w:val="20"/>
              </w:rPr>
            </w:pPr>
            <w:r w:rsidRPr="001569FB">
              <w:rPr>
                <w:sz w:val="20"/>
                <w:szCs w:val="20"/>
              </w:rPr>
              <w:t>Protein-Calorie Malnutrition</w:t>
            </w:r>
          </w:p>
        </w:tc>
        <w:tc>
          <w:tcPr>
            <w:tcW w:w="1560" w:type="dxa"/>
            <w:noWrap/>
            <w:hideMark/>
          </w:tcPr>
          <w:p w14:paraId="79B2B5E1" w14:textId="77777777" w:rsidR="009A7430" w:rsidRPr="001569FB" w:rsidRDefault="009A7430" w:rsidP="008D4E91">
            <w:pPr>
              <w:jc w:val="center"/>
              <w:rPr>
                <w:sz w:val="20"/>
                <w:szCs w:val="20"/>
              </w:rPr>
            </w:pPr>
            <w:r w:rsidRPr="001569FB">
              <w:rPr>
                <w:sz w:val="20"/>
                <w:szCs w:val="20"/>
              </w:rPr>
              <w:t>0.055</w:t>
            </w:r>
          </w:p>
        </w:tc>
      </w:tr>
      <w:tr w:rsidR="009A7430" w:rsidRPr="001569FB" w14:paraId="666B357F" w14:textId="77777777" w:rsidTr="008D4E91">
        <w:trPr>
          <w:trHeight w:val="315"/>
        </w:trPr>
        <w:tc>
          <w:tcPr>
            <w:tcW w:w="2695" w:type="dxa"/>
            <w:noWrap/>
            <w:hideMark/>
          </w:tcPr>
          <w:p w14:paraId="70395ED5" w14:textId="77777777" w:rsidR="009A7430" w:rsidRPr="001569FB" w:rsidRDefault="009A7430" w:rsidP="008D4E91">
            <w:pPr>
              <w:rPr>
                <w:sz w:val="20"/>
                <w:szCs w:val="20"/>
              </w:rPr>
            </w:pPr>
            <w:r w:rsidRPr="001569FB">
              <w:rPr>
                <w:sz w:val="20"/>
                <w:szCs w:val="20"/>
              </w:rPr>
              <w:t>HCC22</w:t>
            </w:r>
          </w:p>
        </w:tc>
        <w:tc>
          <w:tcPr>
            <w:tcW w:w="5095" w:type="dxa"/>
            <w:hideMark/>
          </w:tcPr>
          <w:p w14:paraId="63F806DD" w14:textId="77777777" w:rsidR="009A7430" w:rsidRPr="001569FB" w:rsidRDefault="009A7430" w:rsidP="008D4E91">
            <w:pPr>
              <w:rPr>
                <w:sz w:val="20"/>
                <w:szCs w:val="20"/>
              </w:rPr>
            </w:pPr>
            <w:r w:rsidRPr="001569FB">
              <w:rPr>
                <w:sz w:val="20"/>
                <w:szCs w:val="20"/>
              </w:rPr>
              <w:t>Morbid Obesity</w:t>
            </w:r>
          </w:p>
        </w:tc>
        <w:tc>
          <w:tcPr>
            <w:tcW w:w="1560" w:type="dxa"/>
            <w:noWrap/>
            <w:hideMark/>
          </w:tcPr>
          <w:p w14:paraId="3D2C454B" w14:textId="77777777" w:rsidR="009A7430" w:rsidRPr="001569FB" w:rsidRDefault="009A7430" w:rsidP="008D4E91">
            <w:pPr>
              <w:jc w:val="center"/>
              <w:rPr>
                <w:sz w:val="20"/>
                <w:szCs w:val="20"/>
              </w:rPr>
            </w:pPr>
            <w:r w:rsidRPr="001569FB">
              <w:rPr>
                <w:sz w:val="20"/>
                <w:szCs w:val="20"/>
              </w:rPr>
              <w:t>0.073</w:t>
            </w:r>
          </w:p>
        </w:tc>
      </w:tr>
      <w:tr w:rsidR="009A7430" w:rsidRPr="001569FB" w14:paraId="1B2779B6" w14:textId="77777777" w:rsidTr="008D4E91">
        <w:trPr>
          <w:trHeight w:val="315"/>
        </w:trPr>
        <w:tc>
          <w:tcPr>
            <w:tcW w:w="2695" w:type="dxa"/>
            <w:noWrap/>
            <w:hideMark/>
          </w:tcPr>
          <w:p w14:paraId="39F02E84" w14:textId="77777777" w:rsidR="009A7430" w:rsidRPr="001569FB" w:rsidRDefault="009A7430" w:rsidP="008D4E91">
            <w:pPr>
              <w:rPr>
                <w:sz w:val="20"/>
                <w:szCs w:val="20"/>
              </w:rPr>
            </w:pPr>
            <w:r w:rsidRPr="001569FB">
              <w:rPr>
                <w:sz w:val="20"/>
                <w:szCs w:val="20"/>
              </w:rPr>
              <w:t>HCC23</w:t>
            </w:r>
          </w:p>
        </w:tc>
        <w:tc>
          <w:tcPr>
            <w:tcW w:w="5095" w:type="dxa"/>
            <w:hideMark/>
          </w:tcPr>
          <w:p w14:paraId="4E354E93" w14:textId="77777777" w:rsidR="009A7430" w:rsidRPr="001569FB" w:rsidRDefault="009A7430" w:rsidP="008D4E91">
            <w:pPr>
              <w:rPr>
                <w:sz w:val="20"/>
                <w:szCs w:val="20"/>
              </w:rPr>
            </w:pPr>
            <w:r w:rsidRPr="001569FB">
              <w:rPr>
                <w:sz w:val="20"/>
                <w:szCs w:val="20"/>
              </w:rPr>
              <w:t>Other Significant Endocrine and Metabolic Disorders</w:t>
            </w:r>
          </w:p>
        </w:tc>
        <w:tc>
          <w:tcPr>
            <w:tcW w:w="1560" w:type="dxa"/>
            <w:noWrap/>
            <w:hideMark/>
          </w:tcPr>
          <w:p w14:paraId="6E144853" w14:textId="77777777" w:rsidR="009A7430" w:rsidRPr="001569FB" w:rsidRDefault="009A7430" w:rsidP="008D4E91">
            <w:pPr>
              <w:jc w:val="center"/>
              <w:rPr>
                <w:sz w:val="20"/>
                <w:szCs w:val="20"/>
              </w:rPr>
            </w:pPr>
            <w:r w:rsidRPr="001569FB">
              <w:rPr>
                <w:sz w:val="20"/>
                <w:szCs w:val="20"/>
              </w:rPr>
              <w:t>0.013</w:t>
            </w:r>
          </w:p>
        </w:tc>
      </w:tr>
      <w:tr w:rsidR="009A7430" w:rsidRPr="001569FB" w14:paraId="6A74D87A" w14:textId="77777777" w:rsidTr="008D4E91">
        <w:trPr>
          <w:trHeight w:val="315"/>
        </w:trPr>
        <w:tc>
          <w:tcPr>
            <w:tcW w:w="2695" w:type="dxa"/>
            <w:noWrap/>
            <w:hideMark/>
          </w:tcPr>
          <w:p w14:paraId="547501C6" w14:textId="77777777" w:rsidR="009A7430" w:rsidRPr="001569FB" w:rsidRDefault="009A7430" w:rsidP="008D4E91">
            <w:pPr>
              <w:rPr>
                <w:sz w:val="20"/>
                <w:szCs w:val="20"/>
              </w:rPr>
            </w:pPr>
            <w:r w:rsidRPr="001569FB">
              <w:rPr>
                <w:sz w:val="20"/>
                <w:szCs w:val="20"/>
              </w:rPr>
              <w:t>HCC27</w:t>
            </w:r>
          </w:p>
        </w:tc>
        <w:tc>
          <w:tcPr>
            <w:tcW w:w="5095" w:type="dxa"/>
            <w:hideMark/>
          </w:tcPr>
          <w:p w14:paraId="27D1EDC9" w14:textId="77777777" w:rsidR="009A7430" w:rsidRPr="001569FB" w:rsidRDefault="009A7430" w:rsidP="008D4E91">
            <w:pPr>
              <w:rPr>
                <w:sz w:val="20"/>
                <w:szCs w:val="20"/>
              </w:rPr>
            </w:pPr>
            <w:r w:rsidRPr="001569FB">
              <w:rPr>
                <w:sz w:val="20"/>
                <w:szCs w:val="20"/>
              </w:rPr>
              <w:t>End-Stage Liver Disease</w:t>
            </w:r>
          </w:p>
        </w:tc>
        <w:tc>
          <w:tcPr>
            <w:tcW w:w="1560" w:type="dxa"/>
            <w:noWrap/>
            <w:hideMark/>
          </w:tcPr>
          <w:p w14:paraId="3B9BFE3A" w14:textId="77777777" w:rsidR="009A7430" w:rsidRPr="001569FB" w:rsidRDefault="009A7430" w:rsidP="008D4E91">
            <w:pPr>
              <w:jc w:val="center"/>
              <w:rPr>
                <w:sz w:val="20"/>
                <w:szCs w:val="20"/>
              </w:rPr>
            </w:pPr>
            <w:r w:rsidRPr="001569FB">
              <w:rPr>
                <w:sz w:val="20"/>
                <w:szCs w:val="20"/>
              </w:rPr>
              <w:t>0.204</w:t>
            </w:r>
          </w:p>
        </w:tc>
      </w:tr>
      <w:tr w:rsidR="009A7430" w:rsidRPr="001569FB" w14:paraId="10D59431" w14:textId="77777777" w:rsidTr="008D4E91">
        <w:trPr>
          <w:trHeight w:val="315"/>
        </w:trPr>
        <w:tc>
          <w:tcPr>
            <w:tcW w:w="2695" w:type="dxa"/>
            <w:noWrap/>
            <w:hideMark/>
          </w:tcPr>
          <w:p w14:paraId="1FA19F42" w14:textId="77777777" w:rsidR="009A7430" w:rsidRPr="001569FB" w:rsidRDefault="009A7430" w:rsidP="008D4E91">
            <w:pPr>
              <w:rPr>
                <w:sz w:val="20"/>
                <w:szCs w:val="20"/>
              </w:rPr>
            </w:pPr>
            <w:r w:rsidRPr="001569FB">
              <w:rPr>
                <w:sz w:val="20"/>
                <w:szCs w:val="20"/>
              </w:rPr>
              <w:t>HCC28</w:t>
            </w:r>
          </w:p>
        </w:tc>
        <w:tc>
          <w:tcPr>
            <w:tcW w:w="5095" w:type="dxa"/>
            <w:hideMark/>
          </w:tcPr>
          <w:p w14:paraId="16675FC6" w14:textId="77777777" w:rsidR="009A7430" w:rsidRPr="001569FB" w:rsidRDefault="009A7430" w:rsidP="008D4E91">
            <w:pPr>
              <w:rPr>
                <w:sz w:val="20"/>
                <w:szCs w:val="20"/>
              </w:rPr>
            </w:pPr>
            <w:r w:rsidRPr="001569FB">
              <w:rPr>
                <w:sz w:val="20"/>
                <w:szCs w:val="20"/>
              </w:rPr>
              <w:t>Cirrhosis of Liver</w:t>
            </w:r>
          </w:p>
        </w:tc>
        <w:tc>
          <w:tcPr>
            <w:tcW w:w="1560" w:type="dxa"/>
            <w:noWrap/>
            <w:hideMark/>
          </w:tcPr>
          <w:p w14:paraId="16D1FCA2" w14:textId="77777777" w:rsidR="009A7430" w:rsidRPr="001569FB" w:rsidRDefault="009A7430" w:rsidP="008D4E91">
            <w:pPr>
              <w:jc w:val="center"/>
              <w:rPr>
                <w:sz w:val="20"/>
                <w:szCs w:val="20"/>
              </w:rPr>
            </w:pPr>
            <w:r w:rsidRPr="001569FB">
              <w:rPr>
                <w:sz w:val="20"/>
                <w:szCs w:val="20"/>
              </w:rPr>
              <w:t>0.086</w:t>
            </w:r>
          </w:p>
        </w:tc>
      </w:tr>
      <w:tr w:rsidR="009A7430" w:rsidRPr="001569FB" w14:paraId="66742848" w14:textId="77777777" w:rsidTr="008D4E91">
        <w:trPr>
          <w:trHeight w:val="315"/>
        </w:trPr>
        <w:tc>
          <w:tcPr>
            <w:tcW w:w="2695" w:type="dxa"/>
            <w:noWrap/>
            <w:hideMark/>
          </w:tcPr>
          <w:p w14:paraId="6CA2DE43" w14:textId="77777777" w:rsidR="009A7430" w:rsidRPr="001569FB" w:rsidRDefault="009A7430" w:rsidP="008D4E91">
            <w:pPr>
              <w:rPr>
                <w:sz w:val="20"/>
                <w:szCs w:val="20"/>
              </w:rPr>
            </w:pPr>
            <w:r w:rsidRPr="001569FB">
              <w:rPr>
                <w:sz w:val="20"/>
                <w:szCs w:val="20"/>
              </w:rPr>
              <w:t>HCC29</w:t>
            </w:r>
          </w:p>
        </w:tc>
        <w:tc>
          <w:tcPr>
            <w:tcW w:w="5095" w:type="dxa"/>
            <w:hideMark/>
          </w:tcPr>
          <w:p w14:paraId="3F358E9A" w14:textId="77777777" w:rsidR="009A7430" w:rsidRPr="001569FB" w:rsidRDefault="009A7430" w:rsidP="008D4E91">
            <w:pPr>
              <w:rPr>
                <w:sz w:val="20"/>
                <w:szCs w:val="20"/>
              </w:rPr>
            </w:pPr>
            <w:r w:rsidRPr="001569FB">
              <w:rPr>
                <w:sz w:val="20"/>
                <w:szCs w:val="20"/>
              </w:rPr>
              <w:t>Chronic Hepatitis</w:t>
            </w:r>
          </w:p>
        </w:tc>
        <w:tc>
          <w:tcPr>
            <w:tcW w:w="1560" w:type="dxa"/>
            <w:noWrap/>
            <w:hideMark/>
          </w:tcPr>
          <w:p w14:paraId="04AC70E8" w14:textId="77777777" w:rsidR="009A7430" w:rsidRPr="001569FB" w:rsidRDefault="009A7430" w:rsidP="008D4E91">
            <w:pPr>
              <w:jc w:val="center"/>
              <w:rPr>
                <w:sz w:val="20"/>
                <w:szCs w:val="20"/>
              </w:rPr>
            </w:pPr>
            <w:r w:rsidRPr="001569FB">
              <w:rPr>
                <w:sz w:val="20"/>
                <w:szCs w:val="20"/>
              </w:rPr>
              <w:t>0.069</w:t>
            </w:r>
          </w:p>
        </w:tc>
      </w:tr>
      <w:tr w:rsidR="009A7430" w:rsidRPr="001569FB" w14:paraId="38CDB5AA" w14:textId="77777777" w:rsidTr="008D4E91">
        <w:trPr>
          <w:trHeight w:val="315"/>
        </w:trPr>
        <w:tc>
          <w:tcPr>
            <w:tcW w:w="2695" w:type="dxa"/>
            <w:noWrap/>
            <w:hideMark/>
          </w:tcPr>
          <w:p w14:paraId="113A2E3F" w14:textId="77777777" w:rsidR="009A7430" w:rsidRPr="001569FB" w:rsidRDefault="009A7430" w:rsidP="008D4E91">
            <w:pPr>
              <w:rPr>
                <w:sz w:val="20"/>
                <w:szCs w:val="20"/>
              </w:rPr>
            </w:pPr>
            <w:r w:rsidRPr="001569FB">
              <w:rPr>
                <w:sz w:val="20"/>
                <w:szCs w:val="20"/>
              </w:rPr>
              <w:t>HCC33</w:t>
            </w:r>
          </w:p>
        </w:tc>
        <w:tc>
          <w:tcPr>
            <w:tcW w:w="5095" w:type="dxa"/>
            <w:hideMark/>
          </w:tcPr>
          <w:p w14:paraId="000CE36F" w14:textId="77777777" w:rsidR="009A7430" w:rsidRPr="001569FB" w:rsidRDefault="009A7430" w:rsidP="008D4E91">
            <w:pPr>
              <w:rPr>
                <w:sz w:val="20"/>
                <w:szCs w:val="20"/>
              </w:rPr>
            </w:pPr>
            <w:r w:rsidRPr="001569FB">
              <w:rPr>
                <w:sz w:val="20"/>
                <w:szCs w:val="20"/>
              </w:rPr>
              <w:t>Intestinal Obstruction/Perforation</w:t>
            </w:r>
          </w:p>
        </w:tc>
        <w:tc>
          <w:tcPr>
            <w:tcW w:w="1560" w:type="dxa"/>
            <w:noWrap/>
            <w:hideMark/>
          </w:tcPr>
          <w:p w14:paraId="097DC3D0" w14:textId="77777777" w:rsidR="009A7430" w:rsidRPr="001569FB" w:rsidRDefault="009A7430" w:rsidP="008D4E91">
            <w:pPr>
              <w:jc w:val="center"/>
              <w:rPr>
                <w:sz w:val="20"/>
                <w:szCs w:val="20"/>
              </w:rPr>
            </w:pPr>
            <w:r w:rsidRPr="001569FB">
              <w:rPr>
                <w:sz w:val="20"/>
                <w:szCs w:val="20"/>
              </w:rPr>
              <w:t>0.072</w:t>
            </w:r>
          </w:p>
        </w:tc>
      </w:tr>
      <w:tr w:rsidR="009A7430" w:rsidRPr="001569FB" w14:paraId="37223C80" w14:textId="77777777" w:rsidTr="008D4E91">
        <w:trPr>
          <w:trHeight w:val="315"/>
        </w:trPr>
        <w:tc>
          <w:tcPr>
            <w:tcW w:w="2695" w:type="dxa"/>
            <w:noWrap/>
            <w:hideMark/>
          </w:tcPr>
          <w:p w14:paraId="46BF1D9B" w14:textId="77777777" w:rsidR="009A7430" w:rsidRPr="001569FB" w:rsidRDefault="009A7430" w:rsidP="008D4E91">
            <w:pPr>
              <w:rPr>
                <w:sz w:val="20"/>
                <w:szCs w:val="20"/>
              </w:rPr>
            </w:pPr>
            <w:r w:rsidRPr="001569FB">
              <w:rPr>
                <w:sz w:val="20"/>
                <w:szCs w:val="20"/>
              </w:rPr>
              <w:t>HCC34</w:t>
            </w:r>
          </w:p>
        </w:tc>
        <w:tc>
          <w:tcPr>
            <w:tcW w:w="5095" w:type="dxa"/>
            <w:hideMark/>
          </w:tcPr>
          <w:p w14:paraId="2CDFABAF" w14:textId="77777777" w:rsidR="009A7430" w:rsidRPr="001569FB" w:rsidRDefault="009A7430" w:rsidP="008D4E91">
            <w:pPr>
              <w:rPr>
                <w:sz w:val="20"/>
                <w:szCs w:val="20"/>
              </w:rPr>
            </w:pPr>
            <w:r w:rsidRPr="001569FB">
              <w:rPr>
                <w:sz w:val="20"/>
                <w:szCs w:val="20"/>
              </w:rPr>
              <w:t>Chronic Pancreatitis</w:t>
            </w:r>
          </w:p>
        </w:tc>
        <w:tc>
          <w:tcPr>
            <w:tcW w:w="1560" w:type="dxa"/>
            <w:noWrap/>
            <w:hideMark/>
          </w:tcPr>
          <w:p w14:paraId="1BCA3364" w14:textId="77777777" w:rsidR="009A7430" w:rsidRPr="001569FB" w:rsidRDefault="009A7430" w:rsidP="008D4E91">
            <w:pPr>
              <w:jc w:val="center"/>
              <w:rPr>
                <w:sz w:val="20"/>
                <w:szCs w:val="20"/>
              </w:rPr>
            </w:pPr>
            <w:r w:rsidRPr="001569FB">
              <w:rPr>
                <w:sz w:val="20"/>
                <w:szCs w:val="20"/>
              </w:rPr>
              <w:t>0.073</w:t>
            </w:r>
          </w:p>
        </w:tc>
      </w:tr>
      <w:tr w:rsidR="009A7430" w:rsidRPr="001569FB" w14:paraId="6FCFDEEB" w14:textId="77777777" w:rsidTr="008D4E91">
        <w:trPr>
          <w:trHeight w:val="315"/>
        </w:trPr>
        <w:tc>
          <w:tcPr>
            <w:tcW w:w="2695" w:type="dxa"/>
            <w:noWrap/>
            <w:hideMark/>
          </w:tcPr>
          <w:p w14:paraId="3777C4AE" w14:textId="77777777" w:rsidR="009A7430" w:rsidRPr="001569FB" w:rsidRDefault="009A7430" w:rsidP="008D4E91">
            <w:pPr>
              <w:rPr>
                <w:sz w:val="20"/>
                <w:szCs w:val="20"/>
              </w:rPr>
            </w:pPr>
            <w:r w:rsidRPr="001569FB">
              <w:rPr>
                <w:sz w:val="20"/>
                <w:szCs w:val="20"/>
              </w:rPr>
              <w:t>HCC35</w:t>
            </w:r>
          </w:p>
        </w:tc>
        <w:tc>
          <w:tcPr>
            <w:tcW w:w="5095" w:type="dxa"/>
            <w:hideMark/>
          </w:tcPr>
          <w:p w14:paraId="08C11A4F" w14:textId="77777777" w:rsidR="009A7430" w:rsidRPr="001569FB" w:rsidRDefault="009A7430" w:rsidP="008D4E91">
            <w:pPr>
              <w:rPr>
                <w:sz w:val="20"/>
                <w:szCs w:val="20"/>
              </w:rPr>
            </w:pPr>
            <w:r w:rsidRPr="001569FB">
              <w:rPr>
                <w:sz w:val="20"/>
                <w:szCs w:val="20"/>
              </w:rPr>
              <w:t>Inflammatory Bowel Disease</w:t>
            </w:r>
          </w:p>
        </w:tc>
        <w:tc>
          <w:tcPr>
            <w:tcW w:w="1560" w:type="dxa"/>
            <w:noWrap/>
            <w:hideMark/>
          </w:tcPr>
          <w:p w14:paraId="731B0D08" w14:textId="77777777" w:rsidR="009A7430" w:rsidRPr="001569FB" w:rsidRDefault="009A7430" w:rsidP="008D4E91">
            <w:pPr>
              <w:jc w:val="center"/>
              <w:rPr>
                <w:sz w:val="20"/>
                <w:szCs w:val="20"/>
              </w:rPr>
            </w:pPr>
            <w:r w:rsidRPr="001569FB">
              <w:rPr>
                <w:sz w:val="20"/>
                <w:szCs w:val="20"/>
              </w:rPr>
              <w:t>0.053</w:t>
            </w:r>
          </w:p>
        </w:tc>
      </w:tr>
      <w:tr w:rsidR="009A7430" w:rsidRPr="001569FB" w14:paraId="2591FEB6" w14:textId="77777777" w:rsidTr="008D4E91">
        <w:trPr>
          <w:trHeight w:val="315"/>
        </w:trPr>
        <w:tc>
          <w:tcPr>
            <w:tcW w:w="2695" w:type="dxa"/>
            <w:noWrap/>
            <w:hideMark/>
          </w:tcPr>
          <w:p w14:paraId="14A7D6AF" w14:textId="77777777" w:rsidR="009A7430" w:rsidRPr="001569FB" w:rsidRDefault="009A7430" w:rsidP="008D4E91">
            <w:pPr>
              <w:rPr>
                <w:sz w:val="20"/>
                <w:szCs w:val="20"/>
              </w:rPr>
            </w:pPr>
            <w:r w:rsidRPr="001569FB">
              <w:rPr>
                <w:sz w:val="20"/>
                <w:szCs w:val="20"/>
              </w:rPr>
              <w:t>HCC39</w:t>
            </w:r>
          </w:p>
        </w:tc>
        <w:tc>
          <w:tcPr>
            <w:tcW w:w="5095" w:type="dxa"/>
            <w:hideMark/>
          </w:tcPr>
          <w:p w14:paraId="05E3AE0D" w14:textId="77777777" w:rsidR="009A7430" w:rsidRPr="001569FB" w:rsidRDefault="009A7430" w:rsidP="008D4E91">
            <w:pPr>
              <w:rPr>
                <w:sz w:val="20"/>
                <w:szCs w:val="20"/>
              </w:rPr>
            </w:pPr>
            <w:r w:rsidRPr="001569FB">
              <w:rPr>
                <w:sz w:val="20"/>
                <w:szCs w:val="20"/>
              </w:rPr>
              <w:t>Bone/Joint/Muscle Infections/Necrosis</w:t>
            </w:r>
          </w:p>
        </w:tc>
        <w:tc>
          <w:tcPr>
            <w:tcW w:w="1560" w:type="dxa"/>
            <w:noWrap/>
            <w:hideMark/>
          </w:tcPr>
          <w:p w14:paraId="0A98DE3A" w14:textId="77777777" w:rsidR="009A7430" w:rsidRPr="001569FB" w:rsidRDefault="009A7430" w:rsidP="008D4E91">
            <w:pPr>
              <w:jc w:val="center"/>
              <w:rPr>
                <w:sz w:val="20"/>
                <w:szCs w:val="20"/>
              </w:rPr>
            </w:pPr>
            <w:r w:rsidRPr="001569FB">
              <w:rPr>
                <w:sz w:val="20"/>
                <w:szCs w:val="20"/>
              </w:rPr>
              <w:t>0.061</w:t>
            </w:r>
          </w:p>
        </w:tc>
      </w:tr>
      <w:tr w:rsidR="009A7430" w:rsidRPr="001569FB" w14:paraId="2F0B3291" w14:textId="77777777" w:rsidTr="008D4E91">
        <w:trPr>
          <w:trHeight w:val="315"/>
        </w:trPr>
        <w:tc>
          <w:tcPr>
            <w:tcW w:w="2695" w:type="dxa"/>
            <w:noWrap/>
            <w:hideMark/>
          </w:tcPr>
          <w:p w14:paraId="6CE542F6" w14:textId="77777777" w:rsidR="009A7430" w:rsidRPr="001569FB" w:rsidRDefault="009A7430" w:rsidP="008D4E91">
            <w:pPr>
              <w:rPr>
                <w:sz w:val="20"/>
                <w:szCs w:val="20"/>
              </w:rPr>
            </w:pPr>
            <w:r w:rsidRPr="001569FB">
              <w:rPr>
                <w:sz w:val="20"/>
                <w:szCs w:val="20"/>
              </w:rPr>
              <w:t>HCC40</w:t>
            </w:r>
          </w:p>
        </w:tc>
        <w:tc>
          <w:tcPr>
            <w:tcW w:w="5095" w:type="dxa"/>
            <w:hideMark/>
          </w:tcPr>
          <w:p w14:paraId="3246D612"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1560" w:type="dxa"/>
            <w:noWrap/>
            <w:hideMark/>
          </w:tcPr>
          <w:p w14:paraId="628F505F" w14:textId="77777777" w:rsidR="009A7430" w:rsidRPr="001569FB" w:rsidRDefault="009A7430" w:rsidP="008D4E91">
            <w:pPr>
              <w:jc w:val="center"/>
              <w:rPr>
                <w:sz w:val="20"/>
                <w:szCs w:val="20"/>
              </w:rPr>
            </w:pPr>
            <w:r w:rsidRPr="001569FB">
              <w:rPr>
                <w:sz w:val="20"/>
                <w:szCs w:val="20"/>
              </w:rPr>
              <w:t>0.072</w:t>
            </w:r>
          </w:p>
        </w:tc>
      </w:tr>
      <w:tr w:rsidR="009A7430" w:rsidRPr="001569FB" w14:paraId="2585F553" w14:textId="77777777" w:rsidTr="008D4E91">
        <w:trPr>
          <w:trHeight w:val="315"/>
        </w:trPr>
        <w:tc>
          <w:tcPr>
            <w:tcW w:w="2695" w:type="dxa"/>
            <w:noWrap/>
            <w:hideMark/>
          </w:tcPr>
          <w:p w14:paraId="5B9FA749" w14:textId="77777777" w:rsidR="009A7430" w:rsidRPr="001569FB" w:rsidRDefault="009A7430" w:rsidP="008D4E91">
            <w:pPr>
              <w:rPr>
                <w:sz w:val="20"/>
                <w:szCs w:val="20"/>
              </w:rPr>
            </w:pPr>
            <w:r w:rsidRPr="001569FB">
              <w:rPr>
                <w:sz w:val="20"/>
                <w:szCs w:val="20"/>
              </w:rPr>
              <w:t>HCC46</w:t>
            </w:r>
          </w:p>
        </w:tc>
        <w:tc>
          <w:tcPr>
            <w:tcW w:w="5095" w:type="dxa"/>
            <w:hideMark/>
          </w:tcPr>
          <w:p w14:paraId="16E187B8" w14:textId="77777777" w:rsidR="009A7430" w:rsidRPr="001569FB" w:rsidRDefault="009A7430" w:rsidP="008D4E91">
            <w:pPr>
              <w:rPr>
                <w:sz w:val="20"/>
                <w:szCs w:val="20"/>
              </w:rPr>
            </w:pPr>
            <w:r w:rsidRPr="001569FB">
              <w:rPr>
                <w:sz w:val="20"/>
                <w:szCs w:val="20"/>
              </w:rPr>
              <w:t>Severe Hematological Disorders</w:t>
            </w:r>
          </w:p>
        </w:tc>
        <w:tc>
          <w:tcPr>
            <w:tcW w:w="1560" w:type="dxa"/>
            <w:noWrap/>
            <w:hideMark/>
          </w:tcPr>
          <w:p w14:paraId="65205C68" w14:textId="77777777" w:rsidR="009A7430" w:rsidRPr="001569FB" w:rsidRDefault="009A7430" w:rsidP="008D4E91">
            <w:pPr>
              <w:jc w:val="center"/>
              <w:rPr>
                <w:sz w:val="20"/>
                <w:szCs w:val="20"/>
              </w:rPr>
            </w:pPr>
            <w:r w:rsidRPr="001569FB">
              <w:rPr>
                <w:sz w:val="20"/>
                <w:szCs w:val="20"/>
              </w:rPr>
              <w:t>0.180</w:t>
            </w:r>
          </w:p>
        </w:tc>
      </w:tr>
      <w:tr w:rsidR="009A7430" w:rsidRPr="001569FB" w14:paraId="2ADA2413" w14:textId="77777777" w:rsidTr="008D4E91">
        <w:trPr>
          <w:trHeight w:val="315"/>
        </w:trPr>
        <w:tc>
          <w:tcPr>
            <w:tcW w:w="2695" w:type="dxa"/>
            <w:noWrap/>
            <w:hideMark/>
          </w:tcPr>
          <w:p w14:paraId="1F212814" w14:textId="77777777" w:rsidR="009A7430" w:rsidRPr="001569FB" w:rsidRDefault="009A7430" w:rsidP="008D4E91">
            <w:pPr>
              <w:rPr>
                <w:sz w:val="20"/>
                <w:szCs w:val="20"/>
              </w:rPr>
            </w:pPr>
            <w:r w:rsidRPr="001569FB">
              <w:rPr>
                <w:sz w:val="20"/>
                <w:szCs w:val="20"/>
              </w:rPr>
              <w:t>HCC47</w:t>
            </w:r>
          </w:p>
        </w:tc>
        <w:tc>
          <w:tcPr>
            <w:tcW w:w="5095" w:type="dxa"/>
            <w:hideMark/>
          </w:tcPr>
          <w:p w14:paraId="560B4036" w14:textId="77777777" w:rsidR="009A7430" w:rsidRPr="001569FB" w:rsidRDefault="009A7430" w:rsidP="008D4E91">
            <w:pPr>
              <w:rPr>
                <w:sz w:val="20"/>
                <w:szCs w:val="20"/>
              </w:rPr>
            </w:pPr>
            <w:r w:rsidRPr="001569FB">
              <w:rPr>
                <w:sz w:val="20"/>
                <w:szCs w:val="20"/>
              </w:rPr>
              <w:t>Disorders of Immunity</w:t>
            </w:r>
          </w:p>
        </w:tc>
        <w:tc>
          <w:tcPr>
            <w:tcW w:w="1560" w:type="dxa"/>
            <w:noWrap/>
            <w:hideMark/>
          </w:tcPr>
          <w:p w14:paraId="08AB3342" w14:textId="77777777" w:rsidR="009A7430" w:rsidRPr="001569FB" w:rsidRDefault="009A7430" w:rsidP="008D4E91">
            <w:pPr>
              <w:jc w:val="center"/>
              <w:rPr>
                <w:sz w:val="20"/>
                <w:szCs w:val="20"/>
              </w:rPr>
            </w:pPr>
            <w:r w:rsidRPr="001569FB">
              <w:rPr>
                <w:sz w:val="20"/>
                <w:szCs w:val="20"/>
              </w:rPr>
              <w:t>0.097</w:t>
            </w:r>
          </w:p>
        </w:tc>
      </w:tr>
      <w:tr w:rsidR="009A7430" w:rsidRPr="001569FB" w14:paraId="3846F014" w14:textId="77777777" w:rsidTr="008D4E91">
        <w:trPr>
          <w:trHeight w:val="315"/>
        </w:trPr>
        <w:tc>
          <w:tcPr>
            <w:tcW w:w="2695" w:type="dxa"/>
            <w:noWrap/>
            <w:hideMark/>
          </w:tcPr>
          <w:p w14:paraId="0DA6B01E" w14:textId="77777777" w:rsidR="009A7430" w:rsidRPr="001569FB" w:rsidRDefault="009A7430" w:rsidP="008D4E91">
            <w:pPr>
              <w:rPr>
                <w:sz w:val="20"/>
                <w:szCs w:val="20"/>
              </w:rPr>
            </w:pPr>
            <w:r w:rsidRPr="001569FB">
              <w:rPr>
                <w:sz w:val="20"/>
                <w:szCs w:val="20"/>
              </w:rPr>
              <w:t>HCC48</w:t>
            </w:r>
          </w:p>
        </w:tc>
        <w:tc>
          <w:tcPr>
            <w:tcW w:w="5095" w:type="dxa"/>
            <w:hideMark/>
          </w:tcPr>
          <w:p w14:paraId="4EBF1FC0"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1560" w:type="dxa"/>
            <w:noWrap/>
            <w:hideMark/>
          </w:tcPr>
          <w:p w14:paraId="1531F314" w14:textId="77777777" w:rsidR="009A7430" w:rsidRPr="001569FB" w:rsidRDefault="009A7430" w:rsidP="008D4E91">
            <w:pPr>
              <w:jc w:val="center"/>
              <w:rPr>
                <w:sz w:val="20"/>
                <w:szCs w:val="20"/>
              </w:rPr>
            </w:pPr>
            <w:r w:rsidRPr="001569FB">
              <w:rPr>
                <w:sz w:val="20"/>
                <w:szCs w:val="20"/>
              </w:rPr>
              <w:t>0.059</w:t>
            </w:r>
          </w:p>
        </w:tc>
      </w:tr>
      <w:tr w:rsidR="009A7430" w:rsidRPr="001569FB" w14:paraId="30751E37" w14:textId="77777777" w:rsidTr="008D4E91">
        <w:trPr>
          <w:trHeight w:val="315"/>
        </w:trPr>
        <w:tc>
          <w:tcPr>
            <w:tcW w:w="2695" w:type="dxa"/>
            <w:noWrap/>
            <w:hideMark/>
          </w:tcPr>
          <w:p w14:paraId="1474F062" w14:textId="77777777" w:rsidR="009A7430" w:rsidRPr="001569FB" w:rsidRDefault="009A7430" w:rsidP="008D4E91">
            <w:pPr>
              <w:rPr>
                <w:sz w:val="20"/>
                <w:szCs w:val="20"/>
              </w:rPr>
            </w:pPr>
            <w:r w:rsidRPr="001569FB">
              <w:rPr>
                <w:sz w:val="20"/>
                <w:szCs w:val="20"/>
              </w:rPr>
              <w:t>HCC51</w:t>
            </w:r>
          </w:p>
        </w:tc>
        <w:tc>
          <w:tcPr>
            <w:tcW w:w="5095" w:type="dxa"/>
            <w:hideMark/>
          </w:tcPr>
          <w:p w14:paraId="65368D28" w14:textId="77777777" w:rsidR="009A7430" w:rsidRPr="001569FB" w:rsidRDefault="009A7430" w:rsidP="008D4E91">
            <w:pPr>
              <w:rPr>
                <w:sz w:val="20"/>
                <w:szCs w:val="20"/>
              </w:rPr>
            </w:pPr>
            <w:r w:rsidRPr="001569FB">
              <w:rPr>
                <w:sz w:val="20"/>
                <w:szCs w:val="20"/>
              </w:rPr>
              <w:t>Dementia With Complications</w:t>
            </w:r>
          </w:p>
        </w:tc>
        <w:tc>
          <w:tcPr>
            <w:tcW w:w="1560" w:type="dxa"/>
            <w:noWrap/>
            <w:hideMark/>
          </w:tcPr>
          <w:p w14:paraId="78D22227" w14:textId="77777777" w:rsidR="009A7430" w:rsidRPr="001569FB" w:rsidRDefault="009A7430" w:rsidP="008D4E91">
            <w:pPr>
              <w:jc w:val="center"/>
              <w:rPr>
                <w:sz w:val="20"/>
                <w:szCs w:val="20"/>
              </w:rPr>
            </w:pPr>
            <w:r w:rsidRPr="001569FB">
              <w:rPr>
                <w:sz w:val="20"/>
                <w:szCs w:val="20"/>
              </w:rPr>
              <w:t>0.097</w:t>
            </w:r>
          </w:p>
        </w:tc>
      </w:tr>
      <w:tr w:rsidR="009A7430" w:rsidRPr="001569FB" w14:paraId="4A3CF97A" w14:textId="77777777" w:rsidTr="008D4E91">
        <w:trPr>
          <w:trHeight w:val="315"/>
        </w:trPr>
        <w:tc>
          <w:tcPr>
            <w:tcW w:w="2695" w:type="dxa"/>
            <w:noWrap/>
            <w:hideMark/>
          </w:tcPr>
          <w:p w14:paraId="1814FB20" w14:textId="77777777" w:rsidR="009A7430" w:rsidRPr="001569FB" w:rsidRDefault="009A7430" w:rsidP="008D4E91">
            <w:pPr>
              <w:rPr>
                <w:sz w:val="20"/>
                <w:szCs w:val="20"/>
              </w:rPr>
            </w:pPr>
            <w:r w:rsidRPr="001569FB">
              <w:rPr>
                <w:sz w:val="20"/>
                <w:szCs w:val="20"/>
              </w:rPr>
              <w:t>HCC52</w:t>
            </w:r>
          </w:p>
        </w:tc>
        <w:tc>
          <w:tcPr>
            <w:tcW w:w="5095" w:type="dxa"/>
            <w:hideMark/>
          </w:tcPr>
          <w:p w14:paraId="77F2B79D" w14:textId="77777777" w:rsidR="009A7430" w:rsidRPr="001569FB" w:rsidRDefault="009A7430" w:rsidP="008D4E91">
            <w:pPr>
              <w:rPr>
                <w:sz w:val="20"/>
                <w:szCs w:val="20"/>
              </w:rPr>
            </w:pPr>
            <w:r w:rsidRPr="001569FB">
              <w:rPr>
                <w:sz w:val="20"/>
                <w:szCs w:val="20"/>
              </w:rPr>
              <w:t>Dementia Without Complication</w:t>
            </w:r>
          </w:p>
        </w:tc>
        <w:tc>
          <w:tcPr>
            <w:tcW w:w="1560" w:type="dxa"/>
            <w:noWrap/>
            <w:hideMark/>
          </w:tcPr>
          <w:p w14:paraId="357AFCB2" w14:textId="77777777" w:rsidR="009A7430" w:rsidRPr="001569FB" w:rsidRDefault="009A7430" w:rsidP="008D4E91">
            <w:pPr>
              <w:jc w:val="center"/>
              <w:rPr>
                <w:sz w:val="20"/>
                <w:szCs w:val="20"/>
              </w:rPr>
            </w:pPr>
            <w:r w:rsidRPr="001569FB">
              <w:rPr>
                <w:sz w:val="20"/>
                <w:szCs w:val="20"/>
              </w:rPr>
              <w:t>0.045</w:t>
            </w:r>
          </w:p>
        </w:tc>
      </w:tr>
      <w:tr w:rsidR="009A7430" w:rsidRPr="001569FB" w14:paraId="516953C5" w14:textId="77777777" w:rsidTr="008D4E91">
        <w:trPr>
          <w:trHeight w:val="315"/>
        </w:trPr>
        <w:tc>
          <w:tcPr>
            <w:tcW w:w="2695" w:type="dxa"/>
            <w:noWrap/>
            <w:hideMark/>
          </w:tcPr>
          <w:p w14:paraId="203B9BBB" w14:textId="77777777" w:rsidR="009A7430" w:rsidRPr="001569FB" w:rsidRDefault="009A7430" w:rsidP="008D4E91">
            <w:pPr>
              <w:rPr>
                <w:sz w:val="20"/>
                <w:szCs w:val="20"/>
              </w:rPr>
            </w:pPr>
            <w:r w:rsidRPr="001569FB">
              <w:rPr>
                <w:sz w:val="20"/>
                <w:szCs w:val="20"/>
              </w:rPr>
              <w:t>HCC54</w:t>
            </w:r>
          </w:p>
        </w:tc>
        <w:tc>
          <w:tcPr>
            <w:tcW w:w="5095" w:type="dxa"/>
            <w:hideMark/>
          </w:tcPr>
          <w:p w14:paraId="29D229AE" w14:textId="77777777" w:rsidR="009A7430" w:rsidRPr="001569FB" w:rsidRDefault="009A7430" w:rsidP="008D4E91">
            <w:pPr>
              <w:rPr>
                <w:sz w:val="20"/>
                <w:szCs w:val="20"/>
              </w:rPr>
            </w:pPr>
            <w:r w:rsidRPr="001569FB">
              <w:rPr>
                <w:sz w:val="20"/>
                <w:szCs w:val="20"/>
              </w:rPr>
              <w:t>Drug/Alcohol Psychosis</w:t>
            </w:r>
          </w:p>
        </w:tc>
        <w:tc>
          <w:tcPr>
            <w:tcW w:w="1560" w:type="dxa"/>
            <w:noWrap/>
            <w:hideMark/>
          </w:tcPr>
          <w:p w14:paraId="7E95BC64" w14:textId="77777777" w:rsidR="009A7430" w:rsidRPr="001569FB" w:rsidRDefault="009A7430" w:rsidP="008D4E91">
            <w:pPr>
              <w:jc w:val="center"/>
              <w:rPr>
                <w:sz w:val="20"/>
                <w:szCs w:val="20"/>
              </w:rPr>
            </w:pPr>
            <w:r w:rsidRPr="001569FB">
              <w:rPr>
                <w:sz w:val="20"/>
                <w:szCs w:val="20"/>
              </w:rPr>
              <w:t>0.048</w:t>
            </w:r>
          </w:p>
        </w:tc>
      </w:tr>
      <w:tr w:rsidR="009A7430" w:rsidRPr="001569FB" w14:paraId="6E01BF47" w14:textId="77777777" w:rsidTr="008D4E91">
        <w:trPr>
          <w:trHeight w:val="315"/>
        </w:trPr>
        <w:tc>
          <w:tcPr>
            <w:tcW w:w="2695" w:type="dxa"/>
            <w:noWrap/>
            <w:hideMark/>
          </w:tcPr>
          <w:p w14:paraId="50BF87C1" w14:textId="77777777" w:rsidR="009A7430" w:rsidRPr="001569FB" w:rsidRDefault="009A7430" w:rsidP="008D4E91">
            <w:pPr>
              <w:rPr>
                <w:sz w:val="20"/>
                <w:szCs w:val="20"/>
              </w:rPr>
            </w:pPr>
            <w:r w:rsidRPr="001569FB">
              <w:rPr>
                <w:sz w:val="20"/>
                <w:szCs w:val="20"/>
              </w:rPr>
              <w:t>HCC55</w:t>
            </w:r>
          </w:p>
        </w:tc>
        <w:tc>
          <w:tcPr>
            <w:tcW w:w="5095" w:type="dxa"/>
            <w:hideMark/>
          </w:tcPr>
          <w:p w14:paraId="5EC7D320" w14:textId="77777777" w:rsidR="009A7430" w:rsidRPr="001569FB" w:rsidRDefault="009A7430" w:rsidP="008D4E91">
            <w:pPr>
              <w:rPr>
                <w:sz w:val="20"/>
                <w:szCs w:val="20"/>
              </w:rPr>
            </w:pPr>
            <w:r w:rsidRPr="001569FB">
              <w:rPr>
                <w:sz w:val="20"/>
                <w:szCs w:val="20"/>
              </w:rPr>
              <w:t>Drug/Alcohol Dependence</w:t>
            </w:r>
          </w:p>
        </w:tc>
        <w:tc>
          <w:tcPr>
            <w:tcW w:w="1560" w:type="dxa"/>
            <w:noWrap/>
            <w:hideMark/>
          </w:tcPr>
          <w:p w14:paraId="32FB4E90" w14:textId="77777777" w:rsidR="009A7430" w:rsidRPr="001569FB" w:rsidRDefault="009A7430" w:rsidP="008D4E91">
            <w:pPr>
              <w:jc w:val="center"/>
              <w:rPr>
                <w:sz w:val="20"/>
                <w:szCs w:val="20"/>
              </w:rPr>
            </w:pPr>
            <w:r w:rsidRPr="001569FB">
              <w:rPr>
                <w:sz w:val="20"/>
                <w:szCs w:val="20"/>
              </w:rPr>
              <w:t>0.048</w:t>
            </w:r>
          </w:p>
        </w:tc>
      </w:tr>
      <w:tr w:rsidR="009A7430" w:rsidRPr="001569FB" w14:paraId="2580DE72" w14:textId="77777777" w:rsidTr="008D4E91">
        <w:trPr>
          <w:trHeight w:val="315"/>
        </w:trPr>
        <w:tc>
          <w:tcPr>
            <w:tcW w:w="2695" w:type="dxa"/>
            <w:noWrap/>
            <w:hideMark/>
          </w:tcPr>
          <w:p w14:paraId="5414063F" w14:textId="77777777" w:rsidR="009A7430" w:rsidRPr="001569FB" w:rsidRDefault="009A7430" w:rsidP="008D4E91">
            <w:pPr>
              <w:rPr>
                <w:sz w:val="20"/>
                <w:szCs w:val="20"/>
              </w:rPr>
            </w:pPr>
            <w:r w:rsidRPr="001569FB">
              <w:rPr>
                <w:sz w:val="20"/>
                <w:szCs w:val="20"/>
              </w:rPr>
              <w:t>HCC57</w:t>
            </w:r>
          </w:p>
        </w:tc>
        <w:tc>
          <w:tcPr>
            <w:tcW w:w="5095" w:type="dxa"/>
            <w:hideMark/>
          </w:tcPr>
          <w:p w14:paraId="1F4077AE" w14:textId="77777777" w:rsidR="009A7430" w:rsidRPr="001569FB" w:rsidRDefault="009A7430" w:rsidP="008D4E91">
            <w:pPr>
              <w:rPr>
                <w:sz w:val="20"/>
                <w:szCs w:val="20"/>
              </w:rPr>
            </w:pPr>
            <w:r w:rsidRPr="001569FB">
              <w:rPr>
                <w:sz w:val="20"/>
                <w:szCs w:val="20"/>
              </w:rPr>
              <w:t>Schizophrenia</w:t>
            </w:r>
          </w:p>
        </w:tc>
        <w:tc>
          <w:tcPr>
            <w:tcW w:w="1560" w:type="dxa"/>
            <w:noWrap/>
            <w:hideMark/>
          </w:tcPr>
          <w:p w14:paraId="073C0B0E" w14:textId="77777777" w:rsidR="009A7430" w:rsidRPr="001569FB" w:rsidRDefault="009A7430" w:rsidP="008D4E91">
            <w:pPr>
              <w:jc w:val="center"/>
              <w:rPr>
                <w:sz w:val="20"/>
                <w:szCs w:val="20"/>
              </w:rPr>
            </w:pPr>
            <w:r w:rsidRPr="001569FB">
              <w:rPr>
                <w:sz w:val="20"/>
                <w:szCs w:val="20"/>
              </w:rPr>
              <w:t>0.142</w:t>
            </w:r>
          </w:p>
        </w:tc>
      </w:tr>
      <w:tr w:rsidR="009A7430" w:rsidRPr="001569FB" w14:paraId="50B5703F" w14:textId="77777777" w:rsidTr="008D4E91">
        <w:trPr>
          <w:trHeight w:val="315"/>
        </w:trPr>
        <w:tc>
          <w:tcPr>
            <w:tcW w:w="2695" w:type="dxa"/>
            <w:noWrap/>
            <w:hideMark/>
          </w:tcPr>
          <w:p w14:paraId="5BE28465" w14:textId="77777777" w:rsidR="009A7430" w:rsidRPr="001569FB" w:rsidRDefault="009A7430" w:rsidP="008D4E91">
            <w:pPr>
              <w:rPr>
                <w:sz w:val="20"/>
                <w:szCs w:val="20"/>
              </w:rPr>
            </w:pPr>
            <w:r w:rsidRPr="001569FB">
              <w:rPr>
                <w:sz w:val="20"/>
                <w:szCs w:val="20"/>
              </w:rPr>
              <w:t>HCC58</w:t>
            </w:r>
          </w:p>
        </w:tc>
        <w:tc>
          <w:tcPr>
            <w:tcW w:w="5095" w:type="dxa"/>
            <w:hideMark/>
          </w:tcPr>
          <w:p w14:paraId="1BFDED63" w14:textId="77777777" w:rsidR="009A7430" w:rsidRPr="001569FB" w:rsidRDefault="009A7430" w:rsidP="008D4E91">
            <w:pPr>
              <w:rPr>
                <w:sz w:val="20"/>
                <w:szCs w:val="20"/>
              </w:rPr>
            </w:pPr>
            <w:r w:rsidRPr="001569FB">
              <w:rPr>
                <w:sz w:val="20"/>
                <w:szCs w:val="20"/>
              </w:rPr>
              <w:t>Major Depressive, Bipolar, and Paranoid Disorders</w:t>
            </w:r>
          </w:p>
        </w:tc>
        <w:tc>
          <w:tcPr>
            <w:tcW w:w="1560" w:type="dxa"/>
            <w:noWrap/>
            <w:hideMark/>
          </w:tcPr>
          <w:p w14:paraId="7788A882" w14:textId="77777777" w:rsidR="009A7430" w:rsidRPr="001569FB" w:rsidRDefault="009A7430" w:rsidP="008D4E91">
            <w:pPr>
              <w:jc w:val="center"/>
              <w:rPr>
                <w:sz w:val="20"/>
                <w:szCs w:val="20"/>
              </w:rPr>
            </w:pPr>
            <w:r w:rsidRPr="001569FB">
              <w:rPr>
                <w:sz w:val="20"/>
                <w:szCs w:val="20"/>
              </w:rPr>
              <w:t>0.091</w:t>
            </w:r>
          </w:p>
        </w:tc>
      </w:tr>
      <w:tr w:rsidR="009A7430" w:rsidRPr="001569FB" w14:paraId="639ACF3E" w14:textId="77777777" w:rsidTr="008D4E91">
        <w:trPr>
          <w:trHeight w:val="315"/>
        </w:trPr>
        <w:tc>
          <w:tcPr>
            <w:tcW w:w="2695" w:type="dxa"/>
            <w:noWrap/>
            <w:hideMark/>
          </w:tcPr>
          <w:p w14:paraId="5BA005D0" w14:textId="77777777" w:rsidR="009A7430" w:rsidRPr="001569FB" w:rsidRDefault="009A7430" w:rsidP="008D4E91">
            <w:pPr>
              <w:rPr>
                <w:sz w:val="20"/>
                <w:szCs w:val="20"/>
              </w:rPr>
            </w:pPr>
            <w:r w:rsidRPr="001569FB">
              <w:rPr>
                <w:sz w:val="20"/>
                <w:szCs w:val="20"/>
              </w:rPr>
              <w:t>HCC70</w:t>
            </w:r>
          </w:p>
        </w:tc>
        <w:tc>
          <w:tcPr>
            <w:tcW w:w="5095" w:type="dxa"/>
            <w:hideMark/>
          </w:tcPr>
          <w:p w14:paraId="250BF01B" w14:textId="77777777" w:rsidR="009A7430" w:rsidRPr="001569FB" w:rsidRDefault="009A7430" w:rsidP="008D4E91">
            <w:pPr>
              <w:rPr>
                <w:sz w:val="20"/>
                <w:szCs w:val="20"/>
              </w:rPr>
            </w:pPr>
            <w:r w:rsidRPr="001569FB">
              <w:rPr>
                <w:sz w:val="20"/>
                <w:szCs w:val="20"/>
              </w:rPr>
              <w:t>Quadriplegia</w:t>
            </w:r>
          </w:p>
        </w:tc>
        <w:tc>
          <w:tcPr>
            <w:tcW w:w="1560" w:type="dxa"/>
            <w:noWrap/>
            <w:hideMark/>
          </w:tcPr>
          <w:p w14:paraId="5606F2BB" w14:textId="77777777" w:rsidR="009A7430" w:rsidRPr="001569FB" w:rsidRDefault="009A7430" w:rsidP="008D4E91">
            <w:pPr>
              <w:jc w:val="center"/>
              <w:rPr>
                <w:sz w:val="20"/>
                <w:szCs w:val="20"/>
              </w:rPr>
            </w:pPr>
            <w:r w:rsidRPr="001569FB">
              <w:rPr>
                <w:sz w:val="20"/>
                <w:szCs w:val="20"/>
              </w:rPr>
              <w:t>0.274</w:t>
            </w:r>
          </w:p>
        </w:tc>
      </w:tr>
      <w:tr w:rsidR="009A7430" w:rsidRPr="001569FB" w14:paraId="487F1D48" w14:textId="77777777" w:rsidTr="008D4E91">
        <w:trPr>
          <w:trHeight w:val="315"/>
        </w:trPr>
        <w:tc>
          <w:tcPr>
            <w:tcW w:w="2695" w:type="dxa"/>
            <w:noWrap/>
            <w:hideMark/>
          </w:tcPr>
          <w:p w14:paraId="450D5929" w14:textId="77777777" w:rsidR="009A7430" w:rsidRPr="001569FB" w:rsidRDefault="009A7430" w:rsidP="008D4E91">
            <w:pPr>
              <w:rPr>
                <w:sz w:val="20"/>
                <w:szCs w:val="20"/>
              </w:rPr>
            </w:pPr>
            <w:r w:rsidRPr="001569FB">
              <w:rPr>
                <w:sz w:val="20"/>
                <w:szCs w:val="20"/>
              </w:rPr>
              <w:t>HCC71</w:t>
            </w:r>
          </w:p>
        </w:tc>
        <w:tc>
          <w:tcPr>
            <w:tcW w:w="5095" w:type="dxa"/>
            <w:hideMark/>
          </w:tcPr>
          <w:p w14:paraId="2C22595B" w14:textId="77777777" w:rsidR="009A7430" w:rsidRPr="001569FB" w:rsidRDefault="009A7430" w:rsidP="008D4E91">
            <w:pPr>
              <w:rPr>
                <w:sz w:val="20"/>
                <w:szCs w:val="20"/>
              </w:rPr>
            </w:pPr>
            <w:r w:rsidRPr="001569FB">
              <w:rPr>
                <w:sz w:val="20"/>
                <w:szCs w:val="20"/>
              </w:rPr>
              <w:t>Paraplegia</w:t>
            </w:r>
          </w:p>
        </w:tc>
        <w:tc>
          <w:tcPr>
            <w:tcW w:w="1560" w:type="dxa"/>
            <w:noWrap/>
            <w:hideMark/>
          </w:tcPr>
          <w:p w14:paraId="3CCABB45" w14:textId="77777777" w:rsidR="009A7430" w:rsidRPr="001569FB" w:rsidRDefault="009A7430" w:rsidP="008D4E91">
            <w:pPr>
              <w:jc w:val="center"/>
              <w:rPr>
                <w:sz w:val="20"/>
                <w:szCs w:val="20"/>
              </w:rPr>
            </w:pPr>
            <w:r w:rsidRPr="001569FB">
              <w:rPr>
                <w:sz w:val="20"/>
                <w:szCs w:val="20"/>
              </w:rPr>
              <w:t>0.200</w:t>
            </w:r>
          </w:p>
        </w:tc>
      </w:tr>
      <w:tr w:rsidR="009A7430" w:rsidRPr="001569FB" w14:paraId="3EF64131" w14:textId="77777777" w:rsidTr="008D4E91">
        <w:trPr>
          <w:trHeight w:val="315"/>
        </w:trPr>
        <w:tc>
          <w:tcPr>
            <w:tcW w:w="2695" w:type="dxa"/>
            <w:noWrap/>
            <w:hideMark/>
          </w:tcPr>
          <w:p w14:paraId="4F933D7B" w14:textId="77777777" w:rsidR="009A7430" w:rsidRPr="001569FB" w:rsidRDefault="009A7430" w:rsidP="008D4E91">
            <w:pPr>
              <w:rPr>
                <w:sz w:val="20"/>
                <w:szCs w:val="20"/>
              </w:rPr>
            </w:pPr>
            <w:r w:rsidRPr="001569FB">
              <w:rPr>
                <w:sz w:val="20"/>
                <w:szCs w:val="20"/>
              </w:rPr>
              <w:t>HCC72</w:t>
            </w:r>
          </w:p>
        </w:tc>
        <w:tc>
          <w:tcPr>
            <w:tcW w:w="5095" w:type="dxa"/>
            <w:hideMark/>
          </w:tcPr>
          <w:p w14:paraId="5EAA67DB" w14:textId="77777777" w:rsidR="009A7430" w:rsidRPr="001569FB" w:rsidRDefault="009A7430" w:rsidP="008D4E91">
            <w:pPr>
              <w:rPr>
                <w:sz w:val="20"/>
                <w:szCs w:val="20"/>
              </w:rPr>
            </w:pPr>
            <w:r w:rsidRPr="001569FB">
              <w:rPr>
                <w:sz w:val="20"/>
                <w:szCs w:val="20"/>
              </w:rPr>
              <w:t>Spinal Cord Disorders/Injuries</w:t>
            </w:r>
          </w:p>
        </w:tc>
        <w:tc>
          <w:tcPr>
            <w:tcW w:w="1560" w:type="dxa"/>
            <w:noWrap/>
            <w:hideMark/>
          </w:tcPr>
          <w:p w14:paraId="4A5F2409" w14:textId="77777777" w:rsidR="009A7430" w:rsidRPr="001569FB" w:rsidRDefault="009A7430" w:rsidP="008D4E91">
            <w:pPr>
              <w:jc w:val="center"/>
              <w:rPr>
                <w:sz w:val="20"/>
                <w:szCs w:val="20"/>
              </w:rPr>
            </w:pPr>
            <w:r w:rsidRPr="001569FB">
              <w:rPr>
                <w:sz w:val="20"/>
                <w:szCs w:val="20"/>
              </w:rPr>
              <w:t>0.102</w:t>
            </w:r>
          </w:p>
        </w:tc>
      </w:tr>
      <w:tr w:rsidR="009A7430" w:rsidRPr="001569FB" w14:paraId="23DE2A69" w14:textId="77777777" w:rsidTr="008D4E91">
        <w:trPr>
          <w:trHeight w:val="315"/>
        </w:trPr>
        <w:tc>
          <w:tcPr>
            <w:tcW w:w="2695" w:type="dxa"/>
            <w:noWrap/>
            <w:hideMark/>
          </w:tcPr>
          <w:p w14:paraId="082FB910" w14:textId="77777777" w:rsidR="009A7430" w:rsidRPr="001569FB" w:rsidRDefault="009A7430" w:rsidP="008D4E91">
            <w:pPr>
              <w:rPr>
                <w:sz w:val="20"/>
                <w:szCs w:val="20"/>
              </w:rPr>
            </w:pPr>
            <w:r w:rsidRPr="001569FB">
              <w:rPr>
                <w:sz w:val="20"/>
                <w:szCs w:val="20"/>
              </w:rPr>
              <w:t>HCC73</w:t>
            </w:r>
          </w:p>
        </w:tc>
        <w:tc>
          <w:tcPr>
            <w:tcW w:w="5095" w:type="dxa"/>
            <w:hideMark/>
          </w:tcPr>
          <w:p w14:paraId="29DB607F" w14:textId="77777777" w:rsidR="009A7430" w:rsidRPr="001569FB" w:rsidRDefault="009A7430" w:rsidP="008D4E91">
            <w:pPr>
              <w:rPr>
                <w:sz w:val="20"/>
                <w:szCs w:val="20"/>
              </w:rPr>
            </w:pPr>
            <w:r w:rsidRPr="001569FB">
              <w:rPr>
                <w:sz w:val="20"/>
                <w:szCs w:val="20"/>
              </w:rPr>
              <w:t>Amyotrophic Lateral Sclerosis and Other Motor Neuron Disease</w:t>
            </w:r>
          </w:p>
        </w:tc>
        <w:tc>
          <w:tcPr>
            <w:tcW w:w="1560" w:type="dxa"/>
            <w:noWrap/>
            <w:hideMark/>
          </w:tcPr>
          <w:p w14:paraId="6011BF20" w14:textId="77777777" w:rsidR="009A7430" w:rsidRPr="001569FB" w:rsidRDefault="009A7430" w:rsidP="008D4E91">
            <w:pPr>
              <w:jc w:val="center"/>
              <w:rPr>
                <w:sz w:val="20"/>
                <w:szCs w:val="20"/>
              </w:rPr>
            </w:pPr>
            <w:r w:rsidRPr="001569FB">
              <w:rPr>
                <w:sz w:val="20"/>
                <w:szCs w:val="20"/>
              </w:rPr>
              <w:t>0.117</w:t>
            </w:r>
          </w:p>
        </w:tc>
      </w:tr>
      <w:tr w:rsidR="009A7430" w:rsidRPr="001569FB" w14:paraId="6AFE3301" w14:textId="77777777" w:rsidTr="008D4E91">
        <w:trPr>
          <w:trHeight w:val="315"/>
        </w:trPr>
        <w:tc>
          <w:tcPr>
            <w:tcW w:w="2695" w:type="dxa"/>
            <w:noWrap/>
            <w:hideMark/>
          </w:tcPr>
          <w:p w14:paraId="1D0DB452" w14:textId="77777777" w:rsidR="009A7430" w:rsidRPr="001569FB" w:rsidRDefault="009A7430" w:rsidP="008D4E91">
            <w:pPr>
              <w:rPr>
                <w:sz w:val="20"/>
                <w:szCs w:val="20"/>
              </w:rPr>
            </w:pPr>
            <w:r w:rsidRPr="001569FB">
              <w:rPr>
                <w:sz w:val="20"/>
                <w:szCs w:val="20"/>
              </w:rPr>
              <w:t>HCC74</w:t>
            </w:r>
          </w:p>
        </w:tc>
        <w:tc>
          <w:tcPr>
            <w:tcW w:w="5095" w:type="dxa"/>
            <w:hideMark/>
          </w:tcPr>
          <w:p w14:paraId="31CB6DC7" w14:textId="77777777" w:rsidR="009A7430" w:rsidRPr="001569FB" w:rsidRDefault="009A7430" w:rsidP="008D4E91">
            <w:pPr>
              <w:rPr>
                <w:sz w:val="20"/>
                <w:szCs w:val="20"/>
              </w:rPr>
            </w:pPr>
            <w:r w:rsidRPr="001569FB">
              <w:rPr>
                <w:sz w:val="20"/>
                <w:szCs w:val="20"/>
              </w:rPr>
              <w:t>Cerebral Palsy</w:t>
            </w:r>
          </w:p>
        </w:tc>
        <w:tc>
          <w:tcPr>
            <w:tcW w:w="1560" w:type="dxa"/>
            <w:noWrap/>
            <w:hideMark/>
          </w:tcPr>
          <w:p w14:paraId="643F49C7" w14:textId="77777777" w:rsidR="009A7430" w:rsidRPr="001569FB" w:rsidRDefault="009A7430" w:rsidP="008D4E91">
            <w:pPr>
              <w:jc w:val="center"/>
              <w:rPr>
                <w:sz w:val="20"/>
                <w:szCs w:val="20"/>
              </w:rPr>
            </w:pPr>
            <w:r w:rsidRPr="001569FB">
              <w:rPr>
                <w:sz w:val="20"/>
                <w:szCs w:val="20"/>
              </w:rPr>
              <w:t>0.036</w:t>
            </w:r>
          </w:p>
        </w:tc>
      </w:tr>
      <w:tr w:rsidR="009A7430" w:rsidRPr="001569FB" w14:paraId="38DA8B92" w14:textId="77777777" w:rsidTr="008D4E91">
        <w:trPr>
          <w:trHeight w:val="315"/>
        </w:trPr>
        <w:tc>
          <w:tcPr>
            <w:tcW w:w="2695" w:type="dxa"/>
            <w:noWrap/>
            <w:hideMark/>
          </w:tcPr>
          <w:p w14:paraId="34F793CB" w14:textId="77777777" w:rsidR="009A7430" w:rsidRPr="001569FB" w:rsidRDefault="009A7430" w:rsidP="008D4E91">
            <w:pPr>
              <w:rPr>
                <w:sz w:val="20"/>
                <w:szCs w:val="20"/>
              </w:rPr>
            </w:pPr>
            <w:r w:rsidRPr="001569FB">
              <w:rPr>
                <w:sz w:val="20"/>
                <w:szCs w:val="20"/>
              </w:rPr>
              <w:lastRenderedPageBreak/>
              <w:t>HCC75</w:t>
            </w:r>
          </w:p>
        </w:tc>
        <w:tc>
          <w:tcPr>
            <w:tcW w:w="5095" w:type="dxa"/>
            <w:hideMark/>
          </w:tcPr>
          <w:p w14:paraId="18ED91EA" w14:textId="77777777" w:rsidR="009A7430" w:rsidRPr="001569FB" w:rsidRDefault="009A7430" w:rsidP="008D4E91">
            <w:pPr>
              <w:rPr>
                <w:sz w:val="20"/>
                <w:szCs w:val="20"/>
              </w:rPr>
            </w:pPr>
            <w:r w:rsidRPr="001569FB">
              <w:rPr>
                <w:sz w:val="20"/>
                <w:szCs w:val="20"/>
              </w:rPr>
              <w:t>Polyneuropathy</w:t>
            </w:r>
          </w:p>
        </w:tc>
        <w:tc>
          <w:tcPr>
            <w:tcW w:w="1560" w:type="dxa"/>
            <w:noWrap/>
            <w:hideMark/>
          </w:tcPr>
          <w:p w14:paraId="6D037634" w14:textId="77777777" w:rsidR="009A7430" w:rsidRPr="001569FB" w:rsidRDefault="009A7430" w:rsidP="008D4E91">
            <w:pPr>
              <w:jc w:val="center"/>
              <w:rPr>
                <w:sz w:val="20"/>
                <w:szCs w:val="20"/>
              </w:rPr>
            </w:pPr>
            <w:r w:rsidRPr="001569FB">
              <w:rPr>
                <w:sz w:val="20"/>
                <w:szCs w:val="20"/>
              </w:rPr>
              <w:t>0.059</w:t>
            </w:r>
          </w:p>
        </w:tc>
      </w:tr>
      <w:tr w:rsidR="009A7430" w:rsidRPr="001569FB" w14:paraId="43A1DC1C" w14:textId="77777777" w:rsidTr="008D4E91">
        <w:trPr>
          <w:trHeight w:val="315"/>
        </w:trPr>
        <w:tc>
          <w:tcPr>
            <w:tcW w:w="2695" w:type="dxa"/>
            <w:noWrap/>
            <w:hideMark/>
          </w:tcPr>
          <w:p w14:paraId="3329426C" w14:textId="77777777" w:rsidR="009A7430" w:rsidRPr="001569FB" w:rsidRDefault="009A7430" w:rsidP="008D4E91">
            <w:pPr>
              <w:rPr>
                <w:sz w:val="20"/>
                <w:szCs w:val="20"/>
              </w:rPr>
            </w:pPr>
            <w:r w:rsidRPr="001569FB">
              <w:rPr>
                <w:sz w:val="20"/>
                <w:szCs w:val="20"/>
              </w:rPr>
              <w:t>HCC76</w:t>
            </w:r>
          </w:p>
        </w:tc>
        <w:tc>
          <w:tcPr>
            <w:tcW w:w="5095" w:type="dxa"/>
            <w:hideMark/>
          </w:tcPr>
          <w:p w14:paraId="50E5EFAB" w14:textId="77777777" w:rsidR="009A7430" w:rsidRPr="001569FB" w:rsidRDefault="009A7430" w:rsidP="008D4E91">
            <w:pPr>
              <w:rPr>
                <w:sz w:val="20"/>
                <w:szCs w:val="20"/>
              </w:rPr>
            </w:pPr>
            <w:r w:rsidRPr="001569FB">
              <w:rPr>
                <w:sz w:val="20"/>
                <w:szCs w:val="20"/>
              </w:rPr>
              <w:t>Muscular Dystrophy</w:t>
            </w:r>
          </w:p>
        </w:tc>
        <w:tc>
          <w:tcPr>
            <w:tcW w:w="1560" w:type="dxa"/>
            <w:noWrap/>
            <w:hideMark/>
          </w:tcPr>
          <w:p w14:paraId="20284312" w14:textId="77777777" w:rsidR="009A7430" w:rsidRPr="001569FB" w:rsidRDefault="009A7430" w:rsidP="008D4E91">
            <w:pPr>
              <w:jc w:val="center"/>
              <w:rPr>
                <w:sz w:val="20"/>
                <w:szCs w:val="20"/>
              </w:rPr>
            </w:pPr>
            <w:r w:rsidRPr="001569FB">
              <w:rPr>
                <w:sz w:val="20"/>
                <w:szCs w:val="20"/>
              </w:rPr>
              <w:t>0.062</w:t>
            </w:r>
          </w:p>
        </w:tc>
      </w:tr>
      <w:tr w:rsidR="009A7430" w:rsidRPr="001569FB" w14:paraId="2BA95D19" w14:textId="77777777" w:rsidTr="008D4E91">
        <w:trPr>
          <w:trHeight w:val="315"/>
        </w:trPr>
        <w:tc>
          <w:tcPr>
            <w:tcW w:w="2695" w:type="dxa"/>
            <w:noWrap/>
            <w:hideMark/>
          </w:tcPr>
          <w:p w14:paraId="3385FE75" w14:textId="77777777" w:rsidR="009A7430" w:rsidRPr="001569FB" w:rsidRDefault="009A7430" w:rsidP="008D4E91">
            <w:pPr>
              <w:rPr>
                <w:sz w:val="20"/>
                <w:szCs w:val="20"/>
              </w:rPr>
            </w:pPr>
            <w:r w:rsidRPr="001569FB">
              <w:rPr>
                <w:sz w:val="20"/>
                <w:szCs w:val="20"/>
              </w:rPr>
              <w:t>HCC77</w:t>
            </w:r>
          </w:p>
        </w:tc>
        <w:tc>
          <w:tcPr>
            <w:tcW w:w="5095" w:type="dxa"/>
            <w:hideMark/>
          </w:tcPr>
          <w:p w14:paraId="367F91A4" w14:textId="77777777" w:rsidR="009A7430" w:rsidRPr="001569FB" w:rsidRDefault="009A7430" w:rsidP="008D4E91">
            <w:pPr>
              <w:rPr>
                <w:sz w:val="20"/>
                <w:szCs w:val="20"/>
              </w:rPr>
            </w:pPr>
            <w:r w:rsidRPr="001569FB">
              <w:rPr>
                <w:sz w:val="20"/>
                <w:szCs w:val="20"/>
              </w:rPr>
              <w:t>Multiple Sclerosis</w:t>
            </w:r>
          </w:p>
        </w:tc>
        <w:tc>
          <w:tcPr>
            <w:tcW w:w="1560" w:type="dxa"/>
            <w:noWrap/>
            <w:hideMark/>
          </w:tcPr>
          <w:p w14:paraId="570310D3" w14:textId="77777777" w:rsidR="009A7430" w:rsidRPr="001569FB" w:rsidRDefault="009A7430" w:rsidP="008D4E91">
            <w:pPr>
              <w:jc w:val="center"/>
              <w:rPr>
                <w:sz w:val="20"/>
                <w:szCs w:val="20"/>
              </w:rPr>
            </w:pPr>
            <w:r w:rsidRPr="001569FB">
              <w:rPr>
                <w:sz w:val="20"/>
                <w:szCs w:val="20"/>
              </w:rPr>
              <w:t>0.069</w:t>
            </w:r>
          </w:p>
        </w:tc>
      </w:tr>
      <w:tr w:rsidR="009A7430" w:rsidRPr="001569FB" w14:paraId="1F3A8A0B" w14:textId="77777777" w:rsidTr="008D4E91">
        <w:trPr>
          <w:trHeight w:val="315"/>
        </w:trPr>
        <w:tc>
          <w:tcPr>
            <w:tcW w:w="2695" w:type="dxa"/>
            <w:noWrap/>
            <w:hideMark/>
          </w:tcPr>
          <w:p w14:paraId="1B6557E2" w14:textId="77777777" w:rsidR="009A7430" w:rsidRPr="001569FB" w:rsidRDefault="009A7430" w:rsidP="008D4E91">
            <w:pPr>
              <w:rPr>
                <w:sz w:val="20"/>
                <w:szCs w:val="20"/>
              </w:rPr>
            </w:pPr>
            <w:r w:rsidRPr="001569FB">
              <w:rPr>
                <w:sz w:val="20"/>
                <w:szCs w:val="20"/>
              </w:rPr>
              <w:t>HCC78</w:t>
            </w:r>
          </w:p>
        </w:tc>
        <w:tc>
          <w:tcPr>
            <w:tcW w:w="5095" w:type="dxa"/>
            <w:hideMark/>
          </w:tcPr>
          <w:p w14:paraId="19E93DBD" w14:textId="77777777" w:rsidR="009A7430" w:rsidRPr="001569FB" w:rsidRDefault="009A7430" w:rsidP="008D4E91">
            <w:pPr>
              <w:rPr>
                <w:sz w:val="20"/>
                <w:szCs w:val="20"/>
              </w:rPr>
            </w:pPr>
            <w:r w:rsidRPr="001569FB">
              <w:rPr>
                <w:sz w:val="20"/>
                <w:szCs w:val="20"/>
              </w:rPr>
              <w:t>Parkinson's and Huntington's Diseases</w:t>
            </w:r>
          </w:p>
        </w:tc>
        <w:tc>
          <w:tcPr>
            <w:tcW w:w="1560" w:type="dxa"/>
            <w:noWrap/>
            <w:hideMark/>
          </w:tcPr>
          <w:p w14:paraId="23F23DD3" w14:textId="77777777" w:rsidR="009A7430" w:rsidRPr="001569FB" w:rsidRDefault="009A7430" w:rsidP="008D4E91">
            <w:pPr>
              <w:jc w:val="center"/>
              <w:rPr>
                <w:sz w:val="20"/>
                <w:szCs w:val="20"/>
              </w:rPr>
            </w:pPr>
            <w:r w:rsidRPr="001569FB">
              <w:rPr>
                <w:sz w:val="20"/>
                <w:szCs w:val="20"/>
              </w:rPr>
              <w:t>0.065</w:t>
            </w:r>
          </w:p>
        </w:tc>
      </w:tr>
      <w:tr w:rsidR="009A7430" w:rsidRPr="001569FB" w14:paraId="5A448611" w14:textId="77777777" w:rsidTr="008D4E91">
        <w:trPr>
          <w:trHeight w:val="315"/>
        </w:trPr>
        <w:tc>
          <w:tcPr>
            <w:tcW w:w="2695" w:type="dxa"/>
            <w:noWrap/>
            <w:hideMark/>
          </w:tcPr>
          <w:p w14:paraId="23CE78ED" w14:textId="77777777" w:rsidR="009A7430" w:rsidRPr="001569FB" w:rsidRDefault="009A7430" w:rsidP="008D4E91">
            <w:pPr>
              <w:rPr>
                <w:sz w:val="20"/>
                <w:szCs w:val="20"/>
              </w:rPr>
            </w:pPr>
            <w:r w:rsidRPr="001569FB">
              <w:rPr>
                <w:sz w:val="20"/>
                <w:szCs w:val="20"/>
              </w:rPr>
              <w:t>HCC79</w:t>
            </w:r>
          </w:p>
        </w:tc>
        <w:tc>
          <w:tcPr>
            <w:tcW w:w="5095" w:type="dxa"/>
            <w:hideMark/>
          </w:tcPr>
          <w:p w14:paraId="4301E707" w14:textId="77777777" w:rsidR="009A7430" w:rsidRPr="001569FB" w:rsidRDefault="009A7430" w:rsidP="008D4E91">
            <w:pPr>
              <w:rPr>
                <w:sz w:val="20"/>
                <w:szCs w:val="20"/>
              </w:rPr>
            </w:pPr>
            <w:r w:rsidRPr="001569FB">
              <w:rPr>
                <w:sz w:val="20"/>
                <w:szCs w:val="20"/>
              </w:rPr>
              <w:t>Seizure Disorders and Convulsions</w:t>
            </w:r>
          </w:p>
        </w:tc>
        <w:tc>
          <w:tcPr>
            <w:tcW w:w="1560" w:type="dxa"/>
            <w:noWrap/>
            <w:hideMark/>
          </w:tcPr>
          <w:p w14:paraId="3B08C399" w14:textId="77777777" w:rsidR="009A7430" w:rsidRPr="001569FB" w:rsidRDefault="009A7430" w:rsidP="008D4E91">
            <w:pPr>
              <w:jc w:val="center"/>
              <w:rPr>
                <w:sz w:val="20"/>
                <w:szCs w:val="20"/>
              </w:rPr>
            </w:pPr>
            <w:r w:rsidRPr="001569FB">
              <w:rPr>
                <w:sz w:val="20"/>
                <w:szCs w:val="20"/>
              </w:rPr>
              <w:t>0.066</w:t>
            </w:r>
          </w:p>
        </w:tc>
      </w:tr>
      <w:tr w:rsidR="009A7430" w:rsidRPr="001569FB" w14:paraId="2765ADF3" w14:textId="77777777" w:rsidTr="008D4E91">
        <w:trPr>
          <w:trHeight w:val="315"/>
        </w:trPr>
        <w:tc>
          <w:tcPr>
            <w:tcW w:w="2695" w:type="dxa"/>
            <w:noWrap/>
            <w:hideMark/>
          </w:tcPr>
          <w:p w14:paraId="11D830F1" w14:textId="77777777" w:rsidR="009A7430" w:rsidRPr="001569FB" w:rsidRDefault="009A7430" w:rsidP="008D4E91">
            <w:pPr>
              <w:rPr>
                <w:sz w:val="20"/>
                <w:szCs w:val="20"/>
              </w:rPr>
            </w:pPr>
            <w:r w:rsidRPr="001569FB">
              <w:rPr>
                <w:sz w:val="20"/>
                <w:szCs w:val="20"/>
              </w:rPr>
              <w:t>HCC80</w:t>
            </w:r>
          </w:p>
        </w:tc>
        <w:tc>
          <w:tcPr>
            <w:tcW w:w="5095" w:type="dxa"/>
            <w:hideMark/>
          </w:tcPr>
          <w:p w14:paraId="2DDA3D35" w14:textId="77777777" w:rsidR="009A7430" w:rsidRPr="001569FB" w:rsidRDefault="009A7430" w:rsidP="008D4E91">
            <w:pPr>
              <w:rPr>
                <w:sz w:val="20"/>
                <w:szCs w:val="20"/>
              </w:rPr>
            </w:pPr>
            <w:r w:rsidRPr="001569FB">
              <w:rPr>
                <w:sz w:val="20"/>
                <w:szCs w:val="20"/>
              </w:rPr>
              <w:t>Coma, Brain Compression/Anoxic Damage</w:t>
            </w:r>
          </w:p>
        </w:tc>
        <w:tc>
          <w:tcPr>
            <w:tcW w:w="1560" w:type="dxa"/>
            <w:noWrap/>
            <w:hideMark/>
          </w:tcPr>
          <w:p w14:paraId="286AE1D0" w14:textId="77777777" w:rsidR="009A7430" w:rsidRPr="001569FB" w:rsidRDefault="009A7430" w:rsidP="008D4E91">
            <w:pPr>
              <w:jc w:val="center"/>
              <w:rPr>
                <w:sz w:val="20"/>
                <w:szCs w:val="20"/>
              </w:rPr>
            </w:pPr>
            <w:r w:rsidRPr="001569FB">
              <w:rPr>
                <w:sz w:val="20"/>
                <w:szCs w:val="20"/>
              </w:rPr>
              <w:t>0.043</w:t>
            </w:r>
          </w:p>
        </w:tc>
      </w:tr>
      <w:tr w:rsidR="009A7430" w:rsidRPr="001569FB" w14:paraId="5279E10E" w14:textId="77777777" w:rsidTr="008D4E91">
        <w:trPr>
          <w:trHeight w:val="315"/>
        </w:trPr>
        <w:tc>
          <w:tcPr>
            <w:tcW w:w="2695" w:type="dxa"/>
            <w:noWrap/>
            <w:hideMark/>
          </w:tcPr>
          <w:p w14:paraId="02CEFE66" w14:textId="77777777" w:rsidR="009A7430" w:rsidRPr="001569FB" w:rsidRDefault="009A7430" w:rsidP="008D4E91">
            <w:pPr>
              <w:rPr>
                <w:sz w:val="20"/>
                <w:szCs w:val="20"/>
              </w:rPr>
            </w:pPr>
            <w:r w:rsidRPr="001569FB">
              <w:rPr>
                <w:sz w:val="20"/>
                <w:szCs w:val="20"/>
              </w:rPr>
              <w:t>HCC82</w:t>
            </w:r>
          </w:p>
        </w:tc>
        <w:tc>
          <w:tcPr>
            <w:tcW w:w="5095" w:type="dxa"/>
            <w:hideMark/>
          </w:tcPr>
          <w:p w14:paraId="5A024E98" w14:textId="77777777" w:rsidR="009A7430" w:rsidRPr="001569FB" w:rsidRDefault="009A7430" w:rsidP="008D4E91">
            <w:pPr>
              <w:rPr>
                <w:sz w:val="20"/>
                <w:szCs w:val="20"/>
              </w:rPr>
            </w:pPr>
            <w:r w:rsidRPr="001569FB">
              <w:rPr>
                <w:sz w:val="20"/>
                <w:szCs w:val="20"/>
              </w:rPr>
              <w:t>Respirator Dependence/Tracheostomy Status</w:t>
            </w:r>
          </w:p>
        </w:tc>
        <w:tc>
          <w:tcPr>
            <w:tcW w:w="1560" w:type="dxa"/>
            <w:noWrap/>
            <w:hideMark/>
          </w:tcPr>
          <w:p w14:paraId="258DF843" w14:textId="77777777" w:rsidR="009A7430" w:rsidRPr="001569FB" w:rsidRDefault="009A7430" w:rsidP="008D4E91">
            <w:pPr>
              <w:jc w:val="center"/>
              <w:rPr>
                <w:sz w:val="20"/>
                <w:szCs w:val="20"/>
              </w:rPr>
            </w:pPr>
            <w:r w:rsidRPr="001569FB">
              <w:rPr>
                <w:sz w:val="20"/>
                <w:szCs w:val="20"/>
              </w:rPr>
              <w:t>0.242</w:t>
            </w:r>
          </w:p>
        </w:tc>
      </w:tr>
      <w:tr w:rsidR="009A7430" w:rsidRPr="001569FB" w14:paraId="17B126AE" w14:textId="77777777" w:rsidTr="008D4E91">
        <w:trPr>
          <w:trHeight w:val="315"/>
        </w:trPr>
        <w:tc>
          <w:tcPr>
            <w:tcW w:w="2695" w:type="dxa"/>
            <w:noWrap/>
            <w:hideMark/>
          </w:tcPr>
          <w:p w14:paraId="28BBB133" w14:textId="77777777" w:rsidR="009A7430" w:rsidRPr="001569FB" w:rsidRDefault="009A7430" w:rsidP="008D4E91">
            <w:pPr>
              <w:rPr>
                <w:sz w:val="20"/>
                <w:szCs w:val="20"/>
              </w:rPr>
            </w:pPr>
            <w:r w:rsidRPr="001569FB">
              <w:rPr>
                <w:sz w:val="20"/>
                <w:szCs w:val="20"/>
              </w:rPr>
              <w:t>HCC83</w:t>
            </w:r>
          </w:p>
        </w:tc>
        <w:tc>
          <w:tcPr>
            <w:tcW w:w="5095" w:type="dxa"/>
            <w:hideMark/>
          </w:tcPr>
          <w:p w14:paraId="4389C692" w14:textId="77777777" w:rsidR="009A7430" w:rsidRPr="001569FB" w:rsidRDefault="009A7430" w:rsidP="008D4E91">
            <w:pPr>
              <w:rPr>
                <w:sz w:val="20"/>
                <w:szCs w:val="20"/>
              </w:rPr>
            </w:pPr>
            <w:r w:rsidRPr="001569FB">
              <w:rPr>
                <w:sz w:val="20"/>
                <w:szCs w:val="20"/>
              </w:rPr>
              <w:t>Respiratory Arrest</w:t>
            </w:r>
          </w:p>
        </w:tc>
        <w:tc>
          <w:tcPr>
            <w:tcW w:w="1560" w:type="dxa"/>
            <w:noWrap/>
            <w:hideMark/>
          </w:tcPr>
          <w:p w14:paraId="1793AF1A" w14:textId="77777777" w:rsidR="009A7430" w:rsidRPr="001569FB" w:rsidRDefault="009A7430" w:rsidP="008D4E91">
            <w:pPr>
              <w:jc w:val="center"/>
              <w:rPr>
                <w:sz w:val="20"/>
                <w:szCs w:val="20"/>
              </w:rPr>
            </w:pPr>
            <w:r w:rsidRPr="001569FB">
              <w:rPr>
                <w:sz w:val="20"/>
                <w:szCs w:val="20"/>
              </w:rPr>
              <w:t>0.114</w:t>
            </w:r>
          </w:p>
        </w:tc>
      </w:tr>
      <w:tr w:rsidR="009A7430" w:rsidRPr="001569FB" w14:paraId="042A519F" w14:textId="77777777" w:rsidTr="008D4E91">
        <w:trPr>
          <w:trHeight w:val="315"/>
        </w:trPr>
        <w:tc>
          <w:tcPr>
            <w:tcW w:w="2695" w:type="dxa"/>
            <w:noWrap/>
            <w:hideMark/>
          </w:tcPr>
          <w:p w14:paraId="02259777" w14:textId="77777777" w:rsidR="009A7430" w:rsidRPr="001569FB" w:rsidRDefault="009A7430" w:rsidP="008D4E91">
            <w:pPr>
              <w:rPr>
                <w:sz w:val="20"/>
                <w:szCs w:val="20"/>
              </w:rPr>
            </w:pPr>
            <w:r w:rsidRPr="001569FB">
              <w:rPr>
                <w:sz w:val="20"/>
                <w:szCs w:val="20"/>
              </w:rPr>
              <w:t>HCC84</w:t>
            </w:r>
          </w:p>
        </w:tc>
        <w:tc>
          <w:tcPr>
            <w:tcW w:w="5095" w:type="dxa"/>
            <w:hideMark/>
          </w:tcPr>
          <w:p w14:paraId="773050D2" w14:textId="77777777" w:rsidR="009A7430" w:rsidRPr="001569FB" w:rsidRDefault="009A7430" w:rsidP="008D4E91">
            <w:pPr>
              <w:rPr>
                <w:sz w:val="20"/>
                <w:szCs w:val="20"/>
              </w:rPr>
            </w:pPr>
            <w:r w:rsidRPr="001569FB">
              <w:rPr>
                <w:sz w:val="20"/>
                <w:szCs w:val="20"/>
              </w:rPr>
              <w:t>Cardio-Respiratory Failure and Shock</w:t>
            </w:r>
          </w:p>
        </w:tc>
        <w:tc>
          <w:tcPr>
            <w:tcW w:w="1560" w:type="dxa"/>
            <w:noWrap/>
            <w:hideMark/>
          </w:tcPr>
          <w:p w14:paraId="13998905" w14:textId="77777777" w:rsidR="009A7430" w:rsidRPr="001569FB" w:rsidRDefault="009A7430" w:rsidP="008D4E91">
            <w:pPr>
              <w:jc w:val="center"/>
              <w:rPr>
                <w:sz w:val="20"/>
                <w:szCs w:val="20"/>
              </w:rPr>
            </w:pPr>
            <w:r w:rsidRPr="001569FB">
              <w:rPr>
                <w:sz w:val="20"/>
                <w:szCs w:val="20"/>
              </w:rPr>
              <w:t>0.044</w:t>
            </w:r>
          </w:p>
        </w:tc>
      </w:tr>
      <w:tr w:rsidR="009A7430" w:rsidRPr="001569FB" w14:paraId="7AAECBA5" w14:textId="77777777" w:rsidTr="008D4E91">
        <w:trPr>
          <w:trHeight w:val="315"/>
        </w:trPr>
        <w:tc>
          <w:tcPr>
            <w:tcW w:w="2695" w:type="dxa"/>
            <w:noWrap/>
            <w:hideMark/>
          </w:tcPr>
          <w:p w14:paraId="6689FB34" w14:textId="77777777" w:rsidR="009A7430" w:rsidRPr="001569FB" w:rsidRDefault="009A7430" w:rsidP="008D4E91">
            <w:pPr>
              <w:rPr>
                <w:sz w:val="20"/>
                <w:szCs w:val="20"/>
              </w:rPr>
            </w:pPr>
            <w:r w:rsidRPr="001569FB">
              <w:rPr>
                <w:sz w:val="20"/>
                <w:szCs w:val="20"/>
              </w:rPr>
              <w:t>HCC85</w:t>
            </w:r>
          </w:p>
        </w:tc>
        <w:tc>
          <w:tcPr>
            <w:tcW w:w="5095" w:type="dxa"/>
            <w:hideMark/>
          </w:tcPr>
          <w:p w14:paraId="5676EDCE" w14:textId="77777777" w:rsidR="009A7430" w:rsidRPr="001569FB" w:rsidRDefault="009A7430" w:rsidP="008D4E91">
            <w:pPr>
              <w:rPr>
                <w:sz w:val="20"/>
                <w:szCs w:val="20"/>
              </w:rPr>
            </w:pPr>
            <w:r w:rsidRPr="001569FB">
              <w:rPr>
                <w:sz w:val="20"/>
                <w:szCs w:val="20"/>
              </w:rPr>
              <w:t>Congestive Heart Failure</w:t>
            </w:r>
          </w:p>
        </w:tc>
        <w:tc>
          <w:tcPr>
            <w:tcW w:w="1560" w:type="dxa"/>
            <w:noWrap/>
            <w:hideMark/>
          </w:tcPr>
          <w:p w14:paraId="2B8DD19A" w14:textId="77777777" w:rsidR="009A7430" w:rsidRPr="001569FB" w:rsidRDefault="009A7430" w:rsidP="008D4E91">
            <w:pPr>
              <w:jc w:val="center"/>
              <w:rPr>
                <w:sz w:val="20"/>
                <w:szCs w:val="20"/>
              </w:rPr>
            </w:pPr>
            <w:r w:rsidRPr="001569FB">
              <w:rPr>
                <w:sz w:val="20"/>
                <w:szCs w:val="20"/>
              </w:rPr>
              <w:t>0.082</w:t>
            </w:r>
          </w:p>
        </w:tc>
      </w:tr>
      <w:tr w:rsidR="009A7430" w:rsidRPr="001569FB" w14:paraId="7DD1DB41" w14:textId="77777777" w:rsidTr="008D4E91">
        <w:trPr>
          <w:trHeight w:val="315"/>
        </w:trPr>
        <w:tc>
          <w:tcPr>
            <w:tcW w:w="2695" w:type="dxa"/>
            <w:noWrap/>
            <w:hideMark/>
          </w:tcPr>
          <w:p w14:paraId="1EC77CD1" w14:textId="77777777" w:rsidR="009A7430" w:rsidRPr="001569FB" w:rsidRDefault="009A7430" w:rsidP="008D4E91">
            <w:pPr>
              <w:rPr>
                <w:sz w:val="20"/>
                <w:szCs w:val="20"/>
              </w:rPr>
            </w:pPr>
            <w:r w:rsidRPr="001569FB">
              <w:rPr>
                <w:sz w:val="20"/>
                <w:szCs w:val="20"/>
              </w:rPr>
              <w:t>HCC86</w:t>
            </w:r>
          </w:p>
        </w:tc>
        <w:tc>
          <w:tcPr>
            <w:tcW w:w="5095" w:type="dxa"/>
            <w:hideMark/>
          </w:tcPr>
          <w:p w14:paraId="660C2BC6" w14:textId="77777777" w:rsidR="009A7430" w:rsidRPr="001569FB" w:rsidRDefault="009A7430" w:rsidP="008D4E91">
            <w:pPr>
              <w:rPr>
                <w:sz w:val="20"/>
                <w:szCs w:val="20"/>
              </w:rPr>
            </w:pPr>
            <w:r w:rsidRPr="001569FB">
              <w:rPr>
                <w:sz w:val="20"/>
                <w:szCs w:val="20"/>
              </w:rPr>
              <w:t>Acute Myocardial Infarction</w:t>
            </w:r>
          </w:p>
        </w:tc>
        <w:tc>
          <w:tcPr>
            <w:tcW w:w="1560" w:type="dxa"/>
            <w:noWrap/>
            <w:hideMark/>
          </w:tcPr>
          <w:p w14:paraId="7BF84090" w14:textId="77777777" w:rsidR="009A7430" w:rsidRPr="001569FB" w:rsidRDefault="009A7430" w:rsidP="008D4E91">
            <w:pPr>
              <w:jc w:val="center"/>
              <w:rPr>
                <w:sz w:val="20"/>
                <w:szCs w:val="20"/>
              </w:rPr>
            </w:pPr>
            <w:r w:rsidRPr="001569FB">
              <w:rPr>
                <w:sz w:val="20"/>
                <w:szCs w:val="20"/>
              </w:rPr>
              <w:t>0.131</w:t>
            </w:r>
          </w:p>
        </w:tc>
      </w:tr>
      <w:tr w:rsidR="009A7430" w:rsidRPr="001569FB" w14:paraId="3DC53BB6" w14:textId="77777777" w:rsidTr="008D4E91">
        <w:trPr>
          <w:trHeight w:val="315"/>
        </w:trPr>
        <w:tc>
          <w:tcPr>
            <w:tcW w:w="2695" w:type="dxa"/>
            <w:noWrap/>
            <w:hideMark/>
          </w:tcPr>
          <w:p w14:paraId="76D5520F" w14:textId="77777777" w:rsidR="009A7430" w:rsidRPr="001569FB" w:rsidRDefault="009A7430" w:rsidP="008D4E91">
            <w:pPr>
              <w:rPr>
                <w:sz w:val="20"/>
                <w:szCs w:val="20"/>
              </w:rPr>
            </w:pPr>
            <w:r w:rsidRPr="001569FB">
              <w:rPr>
                <w:sz w:val="20"/>
                <w:szCs w:val="20"/>
              </w:rPr>
              <w:t>HCC87</w:t>
            </w:r>
          </w:p>
        </w:tc>
        <w:tc>
          <w:tcPr>
            <w:tcW w:w="5095" w:type="dxa"/>
            <w:hideMark/>
          </w:tcPr>
          <w:p w14:paraId="70B9F69E" w14:textId="77777777" w:rsidR="009A7430" w:rsidRPr="001569FB" w:rsidRDefault="009A7430" w:rsidP="008D4E91">
            <w:pPr>
              <w:rPr>
                <w:sz w:val="20"/>
                <w:szCs w:val="20"/>
              </w:rPr>
            </w:pPr>
            <w:r w:rsidRPr="001569FB">
              <w:rPr>
                <w:sz w:val="20"/>
                <w:szCs w:val="20"/>
              </w:rPr>
              <w:t>Unstable Angina and Other Acute Ischemic Heart Disease</w:t>
            </w:r>
          </w:p>
        </w:tc>
        <w:tc>
          <w:tcPr>
            <w:tcW w:w="1560" w:type="dxa"/>
            <w:noWrap/>
            <w:hideMark/>
          </w:tcPr>
          <w:p w14:paraId="2936FE44" w14:textId="77777777" w:rsidR="009A7430" w:rsidRPr="001569FB" w:rsidRDefault="009A7430" w:rsidP="008D4E91">
            <w:pPr>
              <w:jc w:val="center"/>
              <w:rPr>
                <w:sz w:val="20"/>
                <w:szCs w:val="20"/>
              </w:rPr>
            </w:pPr>
            <w:r w:rsidRPr="001569FB">
              <w:rPr>
                <w:sz w:val="20"/>
                <w:szCs w:val="20"/>
              </w:rPr>
              <w:t>0.116</w:t>
            </w:r>
          </w:p>
        </w:tc>
      </w:tr>
      <w:tr w:rsidR="009A7430" w:rsidRPr="001569FB" w14:paraId="1E091C9A" w14:textId="77777777" w:rsidTr="008D4E91">
        <w:trPr>
          <w:trHeight w:val="315"/>
        </w:trPr>
        <w:tc>
          <w:tcPr>
            <w:tcW w:w="2695" w:type="dxa"/>
            <w:noWrap/>
            <w:hideMark/>
          </w:tcPr>
          <w:p w14:paraId="52909A1F" w14:textId="77777777" w:rsidR="009A7430" w:rsidRPr="001569FB" w:rsidRDefault="009A7430" w:rsidP="008D4E91">
            <w:pPr>
              <w:rPr>
                <w:sz w:val="20"/>
                <w:szCs w:val="20"/>
              </w:rPr>
            </w:pPr>
            <w:r w:rsidRPr="001569FB">
              <w:rPr>
                <w:sz w:val="20"/>
                <w:szCs w:val="20"/>
              </w:rPr>
              <w:t>HCC88</w:t>
            </w:r>
          </w:p>
        </w:tc>
        <w:tc>
          <w:tcPr>
            <w:tcW w:w="5095" w:type="dxa"/>
            <w:hideMark/>
          </w:tcPr>
          <w:p w14:paraId="10756B69" w14:textId="77777777" w:rsidR="009A7430" w:rsidRPr="001569FB" w:rsidRDefault="009A7430" w:rsidP="008D4E91">
            <w:pPr>
              <w:rPr>
                <w:sz w:val="20"/>
                <w:szCs w:val="20"/>
              </w:rPr>
            </w:pPr>
            <w:r w:rsidRPr="001569FB">
              <w:rPr>
                <w:sz w:val="20"/>
                <w:szCs w:val="20"/>
              </w:rPr>
              <w:t>Angina Pectoris</w:t>
            </w:r>
          </w:p>
        </w:tc>
        <w:tc>
          <w:tcPr>
            <w:tcW w:w="1560" w:type="dxa"/>
            <w:noWrap/>
            <w:hideMark/>
          </w:tcPr>
          <w:p w14:paraId="03A64DF3" w14:textId="77777777" w:rsidR="009A7430" w:rsidRPr="001569FB" w:rsidRDefault="009A7430" w:rsidP="008D4E91">
            <w:pPr>
              <w:jc w:val="center"/>
              <w:rPr>
                <w:sz w:val="20"/>
                <w:szCs w:val="20"/>
              </w:rPr>
            </w:pPr>
            <w:r w:rsidRPr="001569FB">
              <w:rPr>
                <w:sz w:val="20"/>
                <w:szCs w:val="20"/>
              </w:rPr>
              <w:t>0.048</w:t>
            </w:r>
          </w:p>
        </w:tc>
      </w:tr>
      <w:tr w:rsidR="009A7430" w:rsidRPr="001569FB" w14:paraId="23892833" w14:textId="77777777" w:rsidTr="008D4E91">
        <w:trPr>
          <w:trHeight w:val="315"/>
        </w:trPr>
        <w:tc>
          <w:tcPr>
            <w:tcW w:w="2695" w:type="dxa"/>
            <w:noWrap/>
            <w:hideMark/>
          </w:tcPr>
          <w:p w14:paraId="5E9AF1B2" w14:textId="77777777" w:rsidR="009A7430" w:rsidRPr="001569FB" w:rsidRDefault="009A7430" w:rsidP="008D4E91">
            <w:pPr>
              <w:rPr>
                <w:sz w:val="20"/>
                <w:szCs w:val="20"/>
              </w:rPr>
            </w:pPr>
            <w:r w:rsidRPr="001569FB">
              <w:rPr>
                <w:sz w:val="20"/>
                <w:szCs w:val="20"/>
              </w:rPr>
              <w:t>HCC96</w:t>
            </w:r>
          </w:p>
        </w:tc>
        <w:tc>
          <w:tcPr>
            <w:tcW w:w="5095" w:type="dxa"/>
            <w:hideMark/>
          </w:tcPr>
          <w:p w14:paraId="79372AE1" w14:textId="77777777" w:rsidR="009A7430" w:rsidRPr="001569FB" w:rsidRDefault="009A7430" w:rsidP="008D4E91">
            <w:pPr>
              <w:rPr>
                <w:sz w:val="20"/>
                <w:szCs w:val="20"/>
              </w:rPr>
            </w:pPr>
            <w:r w:rsidRPr="001569FB">
              <w:rPr>
                <w:sz w:val="20"/>
                <w:szCs w:val="20"/>
              </w:rPr>
              <w:t>Specified Heart Arrhythmias</w:t>
            </w:r>
          </w:p>
        </w:tc>
        <w:tc>
          <w:tcPr>
            <w:tcW w:w="1560" w:type="dxa"/>
            <w:noWrap/>
            <w:hideMark/>
          </w:tcPr>
          <w:p w14:paraId="5474E52F" w14:textId="77777777" w:rsidR="009A7430" w:rsidRPr="001569FB" w:rsidRDefault="009A7430" w:rsidP="008D4E91">
            <w:pPr>
              <w:jc w:val="center"/>
              <w:rPr>
                <w:sz w:val="20"/>
                <w:szCs w:val="20"/>
              </w:rPr>
            </w:pPr>
            <w:r w:rsidRPr="001569FB">
              <w:rPr>
                <w:sz w:val="20"/>
                <w:szCs w:val="20"/>
              </w:rPr>
              <w:t>0.093</w:t>
            </w:r>
          </w:p>
        </w:tc>
      </w:tr>
      <w:tr w:rsidR="009A7430" w:rsidRPr="001569FB" w14:paraId="3E9D9EC6" w14:textId="77777777" w:rsidTr="008D4E91">
        <w:trPr>
          <w:trHeight w:val="315"/>
        </w:trPr>
        <w:tc>
          <w:tcPr>
            <w:tcW w:w="2695" w:type="dxa"/>
            <w:noWrap/>
            <w:hideMark/>
          </w:tcPr>
          <w:p w14:paraId="5FD7E41F" w14:textId="77777777" w:rsidR="009A7430" w:rsidRPr="001569FB" w:rsidRDefault="009A7430" w:rsidP="008D4E91">
            <w:pPr>
              <w:rPr>
                <w:sz w:val="20"/>
                <w:szCs w:val="20"/>
              </w:rPr>
            </w:pPr>
            <w:r w:rsidRPr="001569FB">
              <w:rPr>
                <w:sz w:val="20"/>
                <w:szCs w:val="20"/>
              </w:rPr>
              <w:t>HCC99</w:t>
            </w:r>
          </w:p>
        </w:tc>
        <w:tc>
          <w:tcPr>
            <w:tcW w:w="5095" w:type="dxa"/>
            <w:hideMark/>
          </w:tcPr>
          <w:p w14:paraId="785770EB" w14:textId="77777777" w:rsidR="009A7430" w:rsidRPr="001569FB" w:rsidRDefault="009A7430" w:rsidP="008D4E91">
            <w:pPr>
              <w:rPr>
                <w:sz w:val="20"/>
                <w:szCs w:val="20"/>
              </w:rPr>
            </w:pPr>
            <w:r w:rsidRPr="001569FB">
              <w:rPr>
                <w:sz w:val="20"/>
                <w:szCs w:val="20"/>
              </w:rPr>
              <w:t>Cerebral Hemorrhage</w:t>
            </w:r>
          </w:p>
        </w:tc>
        <w:tc>
          <w:tcPr>
            <w:tcW w:w="1560" w:type="dxa"/>
            <w:noWrap/>
            <w:hideMark/>
          </w:tcPr>
          <w:p w14:paraId="4D93EAA5" w14:textId="77777777" w:rsidR="009A7430" w:rsidRPr="001569FB" w:rsidRDefault="009A7430" w:rsidP="008D4E91">
            <w:pPr>
              <w:jc w:val="center"/>
              <w:rPr>
                <w:sz w:val="20"/>
                <w:szCs w:val="20"/>
              </w:rPr>
            </w:pPr>
            <w:r w:rsidRPr="001569FB">
              <w:rPr>
                <w:sz w:val="20"/>
                <w:szCs w:val="20"/>
              </w:rPr>
              <w:t>0.078</w:t>
            </w:r>
          </w:p>
        </w:tc>
      </w:tr>
      <w:tr w:rsidR="009A7430" w:rsidRPr="001569FB" w14:paraId="1EA40343" w14:textId="77777777" w:rsidTr="008D4E91">
        <w:trPr>
          <w:trHeight w:val="315"/>
        </w:trPr>
        <w:tc>
          <w:tcPr>
            <w:tcW w:w="2695" w:type="dxa"/>
            <w:noWrap/>
            <w:hideMark/>
          </w:tcPr>
          <w:p w14:paraId="3FE0DBCF" w14:textId="77777777" w:rsidR="009A7430" w:rsidRPr="001569FB" w:rsidRDefault="009A7430" w:rsidP="008D4E91">
            <w:pPr>
              <w:rPr>
                <w:sz w:val="20"/>
                <w:szCs w:val="20"/>
              </w:rPr>
            </w:pPr>
            <w:r w:rsidRPr="001569FB">
              <w:rPr>
                <w:sz w:val="20"/>
                <w:szCs w:val="20"/>
              </w:rPr>
              <w:t>HCC100</w:t>
            </w:r>
          </w:p>
        </w:tc>
        <w:tc>
          <w:tcPr>
            <w:tcW w:w="5095" w:type="dxa"/>
            <w:hideMark/>
          </w:tcPr>
          <w:p w14:paraId="305D71C9" w14:textId="77777777" w:rsidR="009A7430" w:rsidRPr="001569FB" w:rsidRDefault="009A7430" w:rsidP="008D4E91">
            <w:pPr>
              <w:rPr>
                <w:sz w:val="20"/>
                <w:szCs w:val="20"/>
              </w:rPr>
            </w:pPr>
            <w:r w:rsidRPr="001569FB">
              <w:rPr>
                <w:sz w:val="20"/>
                <w:szCs w:val="20"/>
              </w:rPr>
              <w:t>Ischemic or Unspecified Stroke</w:t>
            </w:r>
          </w:p>
        </w:tc>
        <w:tc>
          <w:tcPr>
            <w:tcW w:w="1560" w:type="dxa"/>
            <w:noWrap/>
            <w:hideMark/>
          </w:tcPr>
          <w:p w14:paraId="0BE300D8" w14:textId="77777777" w:rsidR="009A7430" w:rsidRPr="001569FB" w:rsidRDefault="009A7430" w:rsidP="008D4E91">
            <w:pPr>
              <w:jc w:val="center"/>
              <w:rPr>
                <w:sz w:val="20"/>
                <w:szCs w:val="20"/>
              </w:rPr>
            </w:pPr>
            <w:r w:rsidRPr="001569FB">
              <w:rPr>
                <w:sz w:val="20"/>
                <w:szCs w:val="20"/>
              </w:rPr>
              <w:t>0.078</w:t>
            </w:r>
          </w:p>
        </w:tc>
      </w:tr>
      <w:tr w:rsidR="009A7430" w:rsidRPr="001569FB" w14:paraId="7B9A6EF1" w14:textId="77777777" w:rsidTr="008D4E91">
        <w:trPr>
          <w:trHeight w:val="315"/>
        </w:trPr>
        <w:tc>
          <w:tcPr>
            <w:tcW w:w="2695" w:type="dxa"/>
            <w:noWrap/>
            <w:hideMark/>
          </w:tcPr>
          <w:p w14:paraId="151DDBF0" w14:textId="77777777" w:rsidR="009A7430" w:rsidRPr="001569FB" w:rsidRDefault="009A7430" w:rsidP="008D4E91">
            <w:pPr>
              <w:rPr>
                <w:sz w:val="20"/>
                <w:szCs w:val="20"/>
              </w:rPr>
            </w:pPr>
            <w:r w:rsidRPr="001569FB">
              <w:rPr>
                <w:sz w:val="20"/>
                <w:szCs w:val="20"/>
              </w:rPr>
              <w:t>HCC103</w:t>
            </w:r>
          </w:p>
        </w:tc>
        <w:tc>
          <w:tcPr>
            <w:tcW w:w="5095" w:type="dxa"/>
            <w:hideMark/>
          </w:tcPr>
          <w:p w14:paraId="358B3B50" w14:textId="77777777" w:rsidR="009A7430" w:rsidRPr="001569FB" w:rsidRDefault="009A7430" w:rsidP="008D4E91">
            <w:pPr>
              <w:rPr>
                <w:sz w:val="20"/>
                <w:szCs w:val="20"/>
              </w:rPr>
            </w:pPr>
            <w:r w:rsidRPr="001569FB">
              <w:rPr>
                <w:sz w:val="20"/>
                <w:szCs w:val="20"/>
              </w:rPr>
              <w:t>Hemiplegia/Hemiparesis</w:t>
            </w:r>
          </w:p>
        </w:tc>
        <w:tc>
          <w:tcPr>
            <w:tcW w:w="1560" w:type="dxa"/>
            <w:noWrap/>
            <w:hideMark/>
          </w:tcPr>
          <w:p w14:paraId="396F3D96" w14:textId="77777777" w:rsidR="009A7430" w:rsidRPr="001569FB" w:rsidRDefault="009A7430" w:rsidP="008D4E91">
            <w:pPr>
              <w:jc w:val="center"/>
              <w:rPr>
                <w:sz w:val="20"/>
                <w:szCs w:val="20"/>
              </w:rPr>
            </w:pPr>
            <w:r w:rsidRPr="001569FB">
              <w:rPr>
                <w:sz w:val="20"/>
                <w:szCs w:val="20"/>
              </w:rPr>
              <w:t>0.086</w:t>
            </w:r>
          </w:p>
        </w:tc>
      </w:tr>
      <w:tr w:rsidR="009A7430" w:rsidRPr="001569FB" w14:paraId="62F000E5" w14:textId="77777777" w:rsidTr="008D4E91">
        <w:trPr>
          <w:trHeight w:val="315"/>
        </w:trPr>
        <w:tc>
          <w:tcPr>
            <w:tcW w:w="2695" w:type="dxa"/>
            <w:noWrap/>
            <w:hideMark/>
          </w:tcPr>
          <w:p w14:paraId="6E9F1061" w14:textId="77777777" w:rsidR="009A7430" w:rsidRPr="001569FB" w:rsidRDefault="009A7430" w:rsidP="008D4E91">
            <w:pPr>
              <w:rPr>
                <w:sz w:val="20"/>
                <w:szCs w:val="20"/>
              </w:rPr>
            </w:pPr>
            <w:r w:rsidRPr="001569FB">
              <w:rPr>
                <w:sz w:val="20"/>
                <w:szCs w:val="20"/>
              </w:rPr>
              <w:t>HCC104</w:t>
            </w:r>
          </w:p>
        </w:tc>
        <w:tc>
          <w:tcPr>
            <w:tcW w:w="5095" w:type="dxa"/>
            <w:hideMark/>
          </w:tcPr>
          <w:p w14:paraId="67444AC1" w14:textId="77777777" w:rsidR="009A7430" w:rsidRPr="001569FB" w:rsidRDefault="009A7430" w:rsidP="008D4E91">
            <w:pPr>
              <w:rPr>
                <w:sz w:val="20"/>
                <w:szCs w:val="20"/>
              </w:rPr>
            </w:pPr>
            <w:r w:rsidRPr="001569FB">
              <w:rPr>
                <w:sz w:val="20"/>
                <w:szCs w:val="20"/>
              </w:rPr>
              <w:t>Monoplegia, Other Paralytic Syndromes</w:t>
            </w:r>
          </w:p>
        </w:tc>
        <w:tc>
          <w:tcPr>
            <w:tcW w:w="1560" w:type="dxa"/>
            <w:noWrap/>
            <w:hideMark/>
          </w:tcPr>
          <w:p w14:paraId="41F4AF25" w14:textId="77777777" w:rsidR="009A7430" w:rsidRPr="001569FB" w:rsidRDefault="009A7430" w:rsidP="008D4E91">
            <w:pPr>
              <w:jc w:val="center"/>
              <w:rPr>
                <w:sz w:val="20"/>
                <w:szCs w:val="20"/>
              </w:rPr>
            </w:pPr>
            <w:r w:rsidRPr="001569FB">
              <w:rPr>
                <w:sz w:val="20"/>
                <w:szCs w:val="20"/>
              </w:rPr>
              <w:t>0.077</w:t>
            </w:r>
          </w:p>
        </w:tc>
      </w:tr>
      <w:tr w:rsidR="009A7430" w:rsidRPr="001569FB" w14:paraId="5A63B8EA" w14:textId="77777777" w:rsidTr="008D4E91">
        <w:trPr>
          <w:trHeight w:val="315"/>
        </w:trPr>
        <w:tc>
          <w:tcPr>
            <w:tcW w:w="2695" w:type="dxa"/>
            <w:noWrap/>
            <w:hideMark/>
          </w:tcPr>
          <w:p w14:paraId="2C5F44F5" w14:textId="77777777" w:rsidR="009A7430" w:rsidRPr="001569FB" w:rsidRDefault="009A7430" w:rsidP="008D4E91">
            <w:pPr>
              <w:rPr>
                <w:sz w:val="20"/>
                <w:szCs w:val="20"/>
              </w:rPr>
            </w:pPr>
            <w:r w:rsidRPr="001569FB">
              <w:rPr>
                <w:sz w:val="20"/>
                <w:szCs w:val="20"/>
              </w:rPr>
              <w:t>HCC106</w:t>
            </w:r>
          </w:p>
        </w:tc>
        <w:tc>
          <w:tcPr>
            <w:tcW w:w="5095" w:type="dxa"/>
            <w:hideMark/>
          </w:tcPr>
          <w:p w14:paraId="5DE536D4"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1560" w:type="dxa"/>
            <w:noWrap/>
            <w:hideMark/>
          </w:tcPr>
          <w:p w14:paraId="3D755C53" w14:textId="77777777" w:rsidR="009A7430" w:rsidRPr="001569FB" w:rsidRDefault="009A7430" w:rsidP="008D4E91">
            <w:pPr>
              <w:jc w:val="center"/>
              <w:rPr>
                <w:sz w:val="20"/>
                <w:szCs w:val="20"/>
              </w:rPr>
            </w:pPr>
            <w:r w:rsidRPr="001569FB">
              <w:rPr>
                <w:sz w:val="20"/>
                <w:szCs w:val="20"/>
              </w:rPr>
              <w:t>0.321</w:t>
            </w:r>
          </w:p>
        </w:tc>
      </w:tr>
      <w:tr w:rsidR="009A7430" w:rsidRPr="001569FB" w14:paraId="1B35E489" w14:textId="77777777" w:rsidTr="008D4E91">
        <w:trPr>
          <w:trHeight w:val="315"/>
        </w:trPr>
        <w:tc>
          <w:tcPr>
            <w:tcW w:w="2695" w:type="dxa"/>
            <w:noWrap/>
            <w:hideMark/>
          </w:tcPr>
          <w:p w14:paraId="3EB9BDE7" w14:textId="77777777" w:rsidR="009A7430" w:rsidRPr="001569FB" w:rsidRDefault="009A7430" w:rsidP="008D4E91">
            <w:pPr>
              <w:rPr>
                <w:sz w:val="20"/>
                <w:szCs w:val="20"/>
              </w:rPr>
            </w:pPr>
            <w:r w:rsidRPr="001569FB">
              <w:rPr>
                <w:sz w:val="20"/>
                <w:szCs w:val="20"/>
              </w:rPr>
              <w:t>HCC107</w:t>
            </w:r>
          </w:p>
        </w:tc>
        <w:tc>
          <w:tcPr>
            <w:tcW w:w="5095" w:type="dxa"/>
            <w:hideMark/>
          </w:tcPr>
          <w:p w14:paraId="76B71909" w14:textId="77777777" w:rsidR="009A7430" w:rsidRPr="001569FB" w:rsidRDefault="009A7430" w:rsidP="008D4E91">
            <w:pPr>
              <w:rPr>
                <w:sz w:val="20"/>
                <w:szCs w:val="20"/>
              </w:rPr>
            </w:pPr>
            <w:r w:rsidRPr="001569FB">
              <w:rPr>
                <w:sz w:val="20"/>
                <w:szCs w:val="20"/>
              </w:rPr>
              <w:t>Vascular Disease with Complications</w:t>
            </w:r>
          </w:p>
        </w:tc>
        <w:tc>
          <w:tcPr>
            <w:tcW w:w="1560" w:type="dxa"/>
            <w:noWrap/>
            <w:hideMark/>
          </w:tcPr>
          <w:p w14:paraId="69487177" w14:textId="77777777" w:rsidR="009A7430" w:rsidRPr="001569FB" w:rsidRDefault="009A7430" w:rsidP="008D4E91">
            <w:pPr>
              <w:jc w:val="center"/>
              <w:rPr>
                <w:sz w:val="20"/>
                <w:szCs w:val="20"/>
              </w:rPr>
            </w:pPr>
            <w:r w:rsidRPr="001569FB">
              <w:rPr>
                <w:sz w:val="20"/>
                <w:szCs w:val="20"/>
              </w:rPr>
              <w:t>0.126</w:t>
            </w:r>
          </w:p>
        </w:tc>
      </w:tr>
      <w:tr w:rsidR="009A7430" w:rsidRPr="001569FB" w14:paraId="2C674286" w14:textId="77777777" w:rsidTr="008D4E91">
        <w:trPr>
          <w:trHeight w:val="315"/>
        </w:trPr>
        <w:tc>
          <w:tcPr>
            <w:tcW w:w="2695" w:type="dxa"/>
            <w:noWrap/>
            <w:hideMark/>
          </w:tcPr>
          <w:p w14:paraId="7D8D0A5F" w14:textId="77777777" w:rsidR="009A7430" w:rsidRPr="001569FB" w:rsidRDefault="009A7430" w:rsidP="008D4E91">
            <w:pPr>
              <w:rPr>
                <w:sz w:val="20"/>
                <w:szCs w:val="20"/>
              </w:rPr>
            </w:pPr>
            <w:r w:rsidRPr="001569FB">
              <w:rPr>
                <w:sz w:val="20"/>
                <w:szCs w:val="20"/>
              </w:rPr>
              <w:t>HCC108</w:t>
            </w:r>
          </w:p>
        </w:tc>
        <w:tc>
          <w:tcPr>
            <w:tcW w:w="5095" w:type="dxa"/>
            <w:hideMark/>
          </w:tcPr>
          <w:p w14:paraId="26D3DDF7" w14:textId="77777777" w:rsidR="009A7430" w:rsidRPr="001569FB" w:rsidRDefault="009A7430" w:rsidP="008D4E91">
            <w:pPr>
              <w:rPr>
                <w:sz w:val="20"/>
                <w:szCs w:val="20"/>
              </w:rPr>
            </w:pPr>
            <w:r w:rsidRPr="001569FB">
              <w:rPr>
                <w:sz w:val="20"/>
                <w:szCs w:val="20"/>
              </w:rPr>
              <w:t>Vascular Disease</w:t>
            </w:r>
          </w:p>
        </w:tc>
        <w:tc>
          <w:tcPr>
            <w:tcW w:w="1560" w:type="dxa"/>
            <w:noWrap/>
            <w:hideMark/>
          </w:tcPr>
          <w:p w14:paraId="28F72586" w14:textId="77777777" w:rsidR="009A7430" w:rsidRPr="001569FB" w:rsidRDefault="009A7430" w:rsidP="008D4E91">
            <w:pPr>
              <w:jc w:val="center"/>
              <w:rPr>
                <w:sz w:val="20"/>
                <w:szCs w:val="20"/>
              </w:rPr>
            </w:pPr>
            <w:r w:rsidRPr="001569FB">
              <w:rPr>
                <w:sz w:val="20"/>
                <w:szCs w:val="20"/>
              </w:rPr>
              <w:t>0.065</w:t>
            </w:r>
          </w:p>
        </w:tc>
      </w:tr>
      <w:tr w:rsidR="009A7430" w:rsidRPr="001569FB" w14:paraId="1E22397B" w14:textId="77777777" w:rsidTr="008D4E91">
        <w:trPr>
          <w:trHeight w:val="315"/>
        </w:trPr>
        <w:tc>
          <w:tcPr>
            <w:tcW w:w="2695" w:type="dxa"/>
            <w:noWrap/>
            <w:hideMark/>
          </w:tcPr>
          <w:p w14:paraId="106FD50A" w14:textId="77777777" w:rsidR="009A7430" w:rsidRPr="001569FB" w:rsidRDefault="009A7430" w:rsidP="008D4E91">
            <w:pPr>
              <w:rPr>
                <w:sz w:val="20"/>
                <w:szCs w:val="20"/>
              </w:rPr>
            </w:pPr>
            <w:r w:rsidRPr="001569FB">
              <w:rPr>
                <w:sz w:val="20"/>
                <w:szCs w:val="20"/>
              </w:rPr>
              <w:t>HCC110</w:t>
            </w:r>
          </w:p>
        </w:tc>
        <w:tc>
          <w:tcPr>
            <w:tcW w:w="5095" w:type="dxa"/>
            <w:hideMark/>
          </w:tcPr>
          <w:p w14:paraId="2D4CA99D" w14:textId="77777777" w:rsidR="009A7430" w:rsidRPr="001569FB" w:rsidRDefault="009A7430" w:rsidP="008D4E91">
            <w:pPr>
              <w:rPr>
                <w:sz w:val="20"/>
                <w:szCs w:val="20"/>
              </w:rPr>
            </w:pPr>
            <w:r w:rsidRPr="001569FB">
              <w:rPr>
                <w:sz w:val="20"/>
                <w:szCs w:val="20"/>
              </w:rPr>
              <w:t>Cystic Fibrosis</w:t>
            </w:r>
          </w:p>
        </w:tc>
        <w:tc>
          <w:tcPr>
            <w:tcW w:w="1560" w:type="dxa"/>
            <w:noWrap/>
            <w:hideMark/>
          </w:tcPr>
          <w:p w14:paraId="7113C2B9" w14:textId="77777777" w:rsidR="009A7430" w:rsidRPr="001569FB" w:rsidRDefault="009A7430" w:rsidP="008D4E91">
            <w:pPr>
              <w:jc w:val="center"/>
              <w:rPr>
                <w:sz w:val="20"/>
                <w:szCs w:val="20"/>
              </w:rPr>
            </w:pPr>
            <w:r w:rsidRPr="001569FB">
              <w:rPr>
                <w:sz w:val="20"/>
                <w:szCs w:val="20"/>
              </w:rPr>
              <w:t>0.072</w:t>
            </w:r>
          </w:p>
        </w:tc>
      </w:tr>
      <w:tr w:rsidR="009A7430" w:rsidRPr="001569FB" w14:paraId="0F73AB50" w14:textId="77777777" w:rsidTr="008D4E91">
        <w:trPr>
          <w:trHeight w:val="315"/>
        </w:trPr>
        <w:tc>
          <w:tcPr>
            <w:tcW w:w="2695" w:type="dxa"/>
            <w:noWrap/>
            <w:hideMark/>
          </w:tcPr>
          <w:p w14:paraId="2203EA58" w14:textId="77777777" w:rsidR="009A7430" w:rsidRPr="001569FB" w:rsidRDefault="009A7430" w:rsidP="008D4E91">
            <w:pPr>
              <w:rPr>
                <w:sz w:val="20"/>
                <w:szCs w:val="20"/>
              </w:rPr>
            </w:pPr>
            <w:r w:rsidRPr="001569FB">
              <w:rPr>
                <w:sz w:val="20"/>
                <w:szCs w:val="20"/>
              </w:rPr>
              <w:t>HCC111</w:t>
            </w:r>
          </w:p>
        </w:tc>
        <w:tc>
          <w:tcPr>
            <w:tcW w:w="5095" w:type="dxa"/>
            <w:hideMark/>
          </w:tcPr>
          <w:p w14:paraId="0B41F076" w14:textId="77777777" w:rsidR="009A7430" w:rsidRPr="001569FB" w:rsidRDefault="009A7430" w:rsidP="008D4E91">
            <w:pPr>
              <w:rPr>
                <w:sz w:val="20"/>
                <w:szCs w:val="20"/>
              </w:rPr>
            </w:pPr>
            <w:r w:rsidRPr="001569FB">
              <w:rPr>
                <w:sz w:val="20"/>
                <w:szCs w:val="20"/>
              </w:rPr>
              <w:t>Chronic Obstructive Pulmonary Disease</w:t>
            </w:r>
          </w:p>
        </w:tc>
        <w:tc>
          <w:tcPr>
            <w:tcW w:w="1560" w:type="dxa"/>
            <w:noWrap/>
            <w:hideMark/>
          </w:tcPr>
          <w:p w14:paraId="7BB2A512" w14:textId="77777777" w:rsidR="009A7430" w:rsidRPr="001569FB" w:rsidRDefault="009A7430" w:rsidP="008D4E91">
            <w:pPr>
              <w:jc w:val="center"/>
              <w:rPr>
                <w:sz w:val="20"/>
                <w:szCs w:val="20"/>
              </w:rPr>
            </w:pPr>
            <w:r w:rsidRPr="001569FB">
              <w:rPr>
                <w:sz w:val="20"/>
                <w:szCs w:val="20"/>
              </w:rPr>
              <w:t>0.072</w:t>
            </w:r>
          </w:p>
        </w:tc>
      </w:tr>
      <w:tr w:rsidR="009A7430" w:rsidRPr="001569FB" w14:paraId="08D36716" w14:textId="77777777" w:rsidTr="008D4E91">
        <w:trPr>
          <w:trHeight w:val="315"/>
        </w:trPr>
        <w:tc>
          <w:tcPr>
            <w:tcW w:w="2695" w:type="dxa"/>
            <w:noWrap/>
            <w:hideMark/>
          </w:tcPr>
          <w:p w14:paraId="637FD4A2" w14:textId="77777777" w:rsidR="009A7430" w:rsidRPr="001569FB" w:rsidRDefault="009A7430" w:rsidP="008D4E91">
            <w:pPr>
              <w:rPr>
                <w:sz w:val="20"/>
                <w:szCs w:val="20"/>
              </w:rPr>
            </w:pPr>
            <w:r w:rsidRPr="001569FB">
              <w:rPr>
                <w:sz w:val="20"/>
                <w:szCs w:val="20"/>
              </w:rPr>
              <w:t>HCC112</w:t>
            </w:r>
          </w:p>
        </w:tc>
        <w:tc>
          <w:tcPr>
            <w:tcW w:w="5095" w:type="dxa"/>
            <w:hideMark/>
          </w:tcPr>
          <w:p w14:paraId="3A0D2A03" w14:textId="77777777" w:rsidR="009A7430" w:rsidRPr="001569FB" w:rsidRDefault="009A7430" w:rsidP="008D4E91">
            <w:pPr>
              <w:rPr>
                <w:sz w:val="20"/>
                <w:szCs w:val="20"/>
              </w:rPr>
            </w:pPr>
            <w:r w:rsidRPr="001569FB">
              <w:rPr>
                <w:sz w:val="20"/>
                <w:szCs w:val="20"/>
              </w:rPr>
              <w:t>Fibrosis of Lung and Other Chronic Lung Disorders</w:t>
            </w:r>
          </w:p>
        </w:tc>
        <w:tc>
          <w:tcPr>
            <w:tcW w:w="1560" w:type="dxa"/>
            <w:noWrap/>
            <w:hideMark/>
          </w:tcPr>
          <w:p w14:paraId="261182CB" w14:textId="77777777" w:rsidR="009A7430" w:rsidRPr="001569FB" w:rsidRDefault="009A7430" w:rsidP="008D4E91">
            <w:pPr>
              <w:jc w:val="center"/>
              <w:rPr>
                <w:sz w:val="20"/>
                <w:szCs w:val="20"/>
              </w:rPr>
            </w:pPr>
            <w:r w:rsidRPr="001569FB">
              <w:rPr>
                <w:sz w:val="20"/>
                <w:szCs w:val="20"/>
              </w:rPr>
              <w:t>0.066</w:t>
            </w:r>
          </w:p>
        </w:tc>
      </w:tr>
      <w:tr w:rsidR="009A7430" w:rsidRPr="001569FB" w14:paraId="43A1B87F" w14:textId="77777777" w:rsidTr="008D4E91">
        <w:trPr>
          <w:trHeight w:val="315"/>
        </w:trPr>
        <w:tc>
          <w:tcPr>
            <w:tcW w:w="2695" w:type="dxa"/>
            <w:noWrap/>
            <w:hideMark/>
          </w:tcPr>
          <w:p w14:paraId="31267974" w14:textId="77777777" w:rsidR="009A7430" w:rsidRPr="001569FB" w:rsidRDefault="009A7430" w:rsidP="008D4E91">
            <w:pPr>
              <w:rPr>
                <w:sz w:val="20"/>
                <w:szCs w:val="20"/>
              </w:rPr>
            </w:pPr>
            <w:r w:rsidRPr="001569FB">
              <w:rPr>
                <w:sz w:val="20"/>
                <w:szCs w:val="20"/>
              </w:rPr>
              <w:t>HCC114</w:t>
            </w:r>
          </w:p>
        </w:tc>
        <w:tc>
          <w:tcPr>
            <w:tcW w:w="5095" w:type="dxa"/>
            <w:hideMark/>
          </w:tcPr>
          <w:p w14:paraId="2C0E3567" w14:textId="77777777" w:rsidR="009A7430" w:rsidRPr="001569FB" w:rsidRDefault="009A7430" w:rsidP="008D4E91">
            <w:pPr>
              <w:rPr>
                <w:sz w:val="20"/>
                <w:szCs w:val="20"/>
              </w:rPr>
            </w:pPr>
            <w:r w:rsidRPr="001569FB">
              <w:rPr>
                <w:sz w:val="20"/>
                <w:szCs w:val="20"/>
              </w:rPr>
              <w:t>Aspiration and Specified Bacterial Pneumonias</w:t>
            </w:r>
          </w:p>
        </w:tc>
        <w:tc>
          <w:tcPr>
            <w:tcW w:w="1560" w:type="dxa"/>
            <w:noWrap/>
            <w:hideMark/>
          </w:tcPr>
          <w:p w14:paraId="3823773A" w14:textId="77777777" w:rsidR="009A7430" w:rsidRPr="001569FB" w:rsidRDefault="009A7430" w:rsidP="008D4E91">
            <w:pPr>
              <w:jc w:val="center"/>
              <w:rPr>
                <w:sz w:val="20"/>
                <w:szCs w:val="20"/>
              </w:rPr>
            </w:pPr>
            <w:r w:rsidRPr="001569FB">
              <w:rPr>
                <w:sz w:val="20"/>
                <w:szCs w:val="20"/>
              </w:rPr>
              <w:t>0.063</w:t>
            </w:r>
          </w:p>
        </w:tc>
      </w:tr>
      <w:tr w:rsidR="009A7430" w:rsidRPr="001569FB" w14:paraId="553109F2" w14:textId="77777777" w:rsidTr="008D4E91">
        <w:trPr>
          <w:trHeight w:val="315"/>
        </w:trPr>
        <w:tc>
          <w:tcPr>
            <w:tcW w:w="2695" w:type="dxa"/>
            <w:noWrap/>
            <w:hideMark/>
          </w:tcPr>
          <w:p w14:paraId="2E2FC478" w14:textId="77777777" w:rsidR="009A7430" w:rsidRPr="001569FB" w:rsidRDefault="009A7430" w:rsidP="008D4E91">
            <w:pPr>
              <w:rPr>
                <w:sz w:val="20"/>
                <w:szCs w:val="20"/>
              </w:rPr>
            </w:pPr>
            <w:r w:rsidRPr="001569FB">
              <w:rPr>
                <w:sz w:val="20"/>
                <w:szCs w:val="20"/>
              </w:rPr>
              <w:t>HCC115</w:t>
            </w:r>
          </w:p>
        </w:tc>
        <w:tc>
          <w:tcPr>
            <w:tcW w:w="5095" w:type="dxa"/>
            <w:hideMark/>
          </w:tcPr>
          <w:p w14:paraId="7990EB62" w14:textId="77777777" w:rsidR="009A7430" w:rsidRPr="001569FB" w:rsidRDefault="009A7430" w:rsidP="008D4E91">
            <w:pPr>
              <w:rPr>
                <w:sz w:val="20"/>
                <w:szCs w:val="20"/>
              </w:rPr>
            </w:pPr>
            <w:r w:rsidRPr="001569FB">
              <w:rPr>
                <w:sz w:val="20"/>
                <w:szCs w:val="20"/>
              </w:rPr>
              <w:t>Pneumococcal Pneumonia, Empyema, Lung Abscess</w:t>
            </w:r>
          </w:p>
        </w:tc>
        <w:tc>
          <w:tcPr>
            <w:tcW w:w="1560" w:type="dxa"/>
            <w:noWrap/>
            <w:hideMark/>
          </w:tcPr>
          <w:p w14:paraId="47A30CDB" w14:textId="77777777" w:rsidR="009A7430" w:rsidRPr="001569FB" w:rsidRDefault="009A7430" w:rsidP="008D4E91">
            <w:pPr>
              <w:jc w:val="center"/>
              <w:rPr>
                <w:sz w:val="20"/>
                <w:szCs w:val="20"/>
              </w:rPr>
            </w:pPr>
            <w:r w:rsidRPr="001569FB">
              <w:rPr>
                <w:sz w:val="20"/>
                <w:szCs w:val="20"/>
              </w:rPr>
              <w:t>0.013</w:t>
            </w:r>
          </w:p>
        </w:tc>
      </w:tr>
      <w:tr w:rsidR="009A7430" w:rsidRPr="001569FB" w14:paraId="7871FD84" w14:textId="77777777" w:rsidTr="008D4E91">
        <w:trPr>
          <w:trHeight w:val="315"/>
        </w:trPr>
        <w:tc>
          <w:tcPr>
            <w:tcW w:w="2695" w:type="dxa"/>
            <w:noWrap/>
            <w:hideMark/>
          </w:tcPr>
          <w:p w14:paraId="55576154" w14:textId="77777777" w:rsidR="009A7430" w:rsidRPr="001569FB" w:rsidRDefault="009A7430" w:rsidP="008D4E91">
            <w:pPr>
              <w:rPr>
                <w:sz w:val="20"/>
                <w:szCs w:val="20"/>
              </w:rPr>
            </w:pPr>
            <w:r w:rsidRPr="001569FB">
              <w:rPr>
                <w:sz w:val="20"/>
                <w:szCs w:val="20"/>
              </w:rPr>
              <w:t>HCC122</w:t>
            </w:r>
          </w:p>
        </w:tc>
        <w:tc>
          <w:tcPr>
            <w:tcW w:w="5095" w:type="dxa"/>
            <w:hideMark/>
          </w:tcPr>
          <w:p w14:paraId="143DBA3F" w14:textId="77777777" w:rsidR="009A7430" w:rsidRPr="001569FB" w:rsidRDefault="009A7430" w:rsidP="008D4E91">
            <w:pPr>
              <w:rPr>
                <w:sz w:val="20"/>
                <w:szCs w:val="20"/>
              </w:rPr>
            </w:pPr>
            <w:r w:rsidRPr="001569FB">
              <w:rPr>
                <w:sz w:val="20"/>
                <w:szCs w:val="20"/>
              </w:rPr>
              <w:t>Proliferative Diabetic Retinopathy and Vitreous Hemorrhage</w:t>
            </w:r>
          </w:p>
        </w:tc>
        <w:tc>
          <w:tcPr>
            <w:tcW w:w="1560" w:type="dxa"/>
            <w:noWrap/>
            <w:hideMark/>
          </w:tcPr>
          <w:p w14:paraId="1F1EB77D" w14:textId="77777777" w:rsidR="009A7430" w:rsidRPr="001569FB" w:rsidRDefault="009A7430" w:rsidP="008D4E91">
            <w:pPr>
              <w:jc w:val="center"/>
              <w:rPr>
                <w:sz w:val="20"/>
                <w:szCs w:val="20"/>
              </w:rPr>
            </w:pPr>
            <w:r w:rsidRPr="001569FB">
              <w:rPr>
                <w:sz w:val="20"/>
                <w:szCs w:val="20"/>
              </w:rPr>
              <w:t>-</w:t>
            </w:r>
          </w:p>
        </w:tc>
      </w:tr>
      <w:tr w:rsidR="009A7430" w:rsidRPr="001569FB" w14:paraId="08EB00B4" w14:textId="77777777" w:rsidTr="008D4E91">
        <w:trPr>
          <w:trHeight w:val="315"/>
        </w:trPr>
        <w:tc>
          <w:tcPr>
            <w:tcW w:w="2695" w:type="dxa"/>
            <w:noWrap/>
            <w:hideMark/>
          </w:tcPr>
          <w:p w14:paraId="48179941" w14:textId="77777777" w:rsidR="009A7430" w:rsidRPr="001569FB" w:rsidRDefault="009A7430" w:rsidP="008D4E91">
            <w:pPr>
              <w:rPr>
                <w:sz w:val="20"/>
                <w:szCs w:val="20"/>
              </w:rPr>
            </w:pPr>
            <w:r w:rsidRPr="001569FB">
              <w:rPr>
                <w:sz w:val="20"/>
                <w:szCs w:val="20"/>
              </w:rPr>
              <w:t>HCC124</w:t>
            </w:r>
          </w:p>
        </w:tc>
        <w:tc>
          <w:tcPr>
            <w:tcW w:w="5095" w:type="dxa"/>
            <w:hideMark/>
          </w:tcPr>
          <w:p w14:paraId="4C5F2675" w14:textId="77777777" w:rsidR="009A7430" w:rsidRPr="001569FB" w:rsidRDefault="009A7430" w:rsidP="008D4E91">
            <w:pPr>
              <w:rPr>
                <w:sz w:val="20"/>
                <w:szCs w:val="20"/>
              </w:rPr>
            </w:pPr>
            <w:r w:rsidRPr="001569FB">
              <w:rPr>
                <w:sz w:val="20"/>
                <w:szCs w:val="20"/>
              </w:rPr>
              <w:t>Exudative Macular Degeneration</w:t>
            </w:r>
          </w:p>
        </w:tc>
        <w:tc>
          <w:tcPr>
            <w:tcW w:w="1560" w:type="dxa"/>
            <w:noWrap/>
            <w:hideMark/>
          </w:tcPr>
          <w:p w14:paraId="79533A28" w14:textId="77777777" w:rsidR="009A7430" w:rsidRPr="001569FB" w:rsidRDefault="009A7430" w:rsidP="008D4E91">
            <w:pPr>
              <w:jc w:val="center"/>
              <w:rPr>
                <w:sz w:val="20"/>
                <w:szCs w:val="20"/>
              </w:rPr>
            </w:pPr>
            <w:r w:rsidRPr="001569FB">
              <w:rPr>
                <w:sz w:val="20"/>
                <w:szCs w:val="20"/>
              </w:rPr>
              <w:t>0.055</w:t>
            </w:r>
          </w:p>
        </w:tc>
      </w:tr>
      <w:tr w:rsidR="009A7430" w:rsidRPr="001569FB" w14:paraId="0A50E36C" w14:textId="77777777" w:rsidTr="008D4E91">
        <w:trPr>
          <w:trHeight w:val="315"/>
        </w:trPr>
        <w:tc>
          <w:tcPr>
            <w:tcW w:w="2695" w:type="dxa"/>
            <w:noWrap/>
            <w:hideMark/>
          </w:tcPr>
          <w:p w14:paraId="3A86A9B8" w14:textId="77777777" w:rsidR="009A7430" w:rsidRPr="001569FB" w:rsidRDefault="009A7430" w:rsidP="008D4E91">
            <w:pPr>
              <w:rPr>
                <w:sz w:val="20"/>
                <w:szCs w:val="20"/>
              </w:rPr>
            </w:pPr>
            <w:r w:rsidRPr="001569FB">
              <w:rPr>
                <w:sz w:val="20"/>
                <w:szCs w:val="20"/>
              </w:rPr>
              <w:t>HCC157</w:t>
            </w:r>
          </w:p>
        </w:tc>
        <w:tc>
          <w:tcPr>
            <w:tcW w:w="5095" w:type="dxa"/>
            <w:hideMark/>
          </w:tcPr>
          <w:p w14:paraId="5B29D7C0"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1560" w:type="dxa"/>
            <w:noWrap/>
            <w:hideMark/>
          </w:tcPr>
          <w:p w14:paraId="6F46CDC5" w14:textId="77777777" w:rsidR="009A7430" w:rsidRPr="001569FB" w:rsidRDefault="009A7430" w:rsidP="008D4E91">
            <w:pPr>
              <w:jc w:val="center"/>
              <w:rPr>
                <w:sz w:val="20"/>
                <w:szCs w:val="20"/>
              </w:rPr>
            </w:pPr>
            <w:r w:rsidRPr="001569FB">
              <w:rPr>
                <w:sz w:val="20"/>
                <w:szCs w:val="20"/>
              </w:rPr>
              <w:t>0.277</w:t>
            </w:r>
          </w:p>
        </w:tc>
      </w:tr>
      <w:tr w:rsidR="009A7430" w:rsidRPr="001569FB" w14:paraId="695B1F53" w14:textId="77777777" w:rsidTr="008D4E91">
        <w:trPr>
          <w:trHeight w:val="315"/>
        </w:trPr>
        <w:tc>
          <w:tcPr>
            <w:tcW w:w="2695" w:type="dxa"/>
            <w:noWrap/>
            <w:hideMark/>
          </w:tcPr>
          <w:p w14:paraId="5C316C97" w14:textId="77777777" w:rsidR="009A7430" w:rsidRPr="001569FB" w:rsidRDefault="009A7430" w:rsidP="008D4E91">
            <w:pPr>
              <w:rPr>
                <w:sz w:val="20"/>
                <w:szCs w:val="20"/>
              </w:rPr>
            </w:pPr>
            <w:r w:rsidRPr="001569FB">
              <w:rPr>
                <w:sz w:val="20"/>
                <w:szCs w:val="20"/>
              </w:rPr>
              <w:t>HCC158</w:t>
            </w:r>
          </w:p>
        </w:tc>
        <w:tc>
          <w:tcPr>
            <w:tcW w:w="5095" w:type="dxa"/>
            <w:hideMark/>
          </w:tcPr>
          <w:p w14:paraId="6F1FCC32" w14:textId="77777777" w:rsidR="009A7430" w:rsidRPr="001569FB" w:rsidRDefault="009A7430" w:rsidP="008D4E91">
            <w:pPr>
              <w:rPr>
                <w:sz w:val="20"/>
                <w:szCs w:val="20"/>
              </w:rPr>
            </w:pPr>
            <w:r w:rsidRPr="001569FB">
              <w:rPr>
                <w:sz w:val="20"/>
                <w:szCs w:val="20"/>
              </w:rPr>
              <w:t>Pressure Ulcer of Skin with Full Thickness Skin Loss</w:t>
            </w:r>
          </w:p>
        </w:tc>
        <w:tc>
          <w:tcPr>
            <w:tcW w:w="1560" w:type="dxa"/>
            <w:noWrap/>
            <w:hideMark/>
          </w:tcPr>
          <w:p w14:paraId="31E99738" w14:textId="77777777" w:rsidR="009A7430" w:rsidRPr="001569FB" w:rsidRDefault="009A7430" w:rsidP="008D4E91">
            <w:pPr>
              <w:jc w:val="center"/>
              <w:rPr>
                <w:sz w:val="20"/>
                <w:szCs w:val="20"/>
              </w:rPr>
            </w:pPr>
            <w:r w:rsidRPr="001569FB">
              <w:rPr>
                <w:sz w:val="20"/>
                <w:szCs w:val="20"/>
              </w:rPr>
              <w:t>0.161</w:t>
            </w:r>
          </w:p>
        </w:tc>
      </w:tr>
      <w:tr w:rsidR="009A7430" w:rsidRPr="001569FB" w14:paraId="0FBAC354" w14:textId="77777777" w:rsidTr="008D4E91">
        <w:trPr>
          <w:trHeight w:val="315"/>
        </w:trPr>
        <w:tc>
          <w:tcPr>
            <w:tcW w:w="2695" w:type="dxa"/>
            <w:noWrap/>
            <w:hideMark/>
          </w:tcPr>
          <w:p w14:paraId="67CDA724" w14:textId="77777777" w:rsidR="009A7430" w:rsidRPr="001569FB" w:rsidRDefault="009A7430" w:rsidP="008D4E91">
            <w:pPr>
              <w:rPr>
                <w:sz w:val="20"/>
                <w:szCs w:val="20"/>
              </w:rPr>
            </w:pPr>
            <w:r w:rsidRPr="001569FB">
              <w:rPr>
                <w:sz w:val="20"/>
                <w:szCs w:val="20"/>
              </w:rPr>
              <w:t>HCC159</w:t>
            </w:r>
          </w:p>
        </w:tc>
        <w:tc>
          <w:tcPr>
            <w:tcW w:w="5095" w:type="dxa"/>
            <w:hideMark/>
          </w:tcPr>
          <w:p w14:paraId="5791F0CF" w14:textId="77777777" w:rsidR="009A7430" w:rsidRPr="001569FB" w:rsidRDefault="009A7430" w:rsidP="008D4E91">
            <w:pPr>
              <w:rPr>
                <w:sz w:val="20"/>
                <w:szCs w:val="20"/>
              </w:rPr>
            </w:pPr>
            <w:r w:rsidRPr="001569FB">
              <w:rPr>
                <w:sz w:val="20"/>
                <w:szCs w:val="20"/>
              </w:rPr>
              <w:t>Pressure Ulcer of Skin with Partial Thickness Skin Loss</w:t>
            </w:r>
          </w:p>
        </w:tc>
        <w:tc>
          <w:tcPr>
            <w:tcW w:w="1560" w:type="dxa"/>
            <w:noWrap/>
            <w:hideMark/>
          </w:tcPr>
          <w:p w14:paraId="14D02226" w14:textId="77777777" w:rsidR="009A7430" w:rsidRPr="001569FB" w:rsidRDefault="009A7430" w:rsidP="008D4E91">
            <w:pPr>
              <w:jc w:val="center"/>
              <w:rPr>
                <w:sz w:val="20"/>
                <w:szCs w:val="20"/>
              </w:rPr>
            </w:pPr>
            <w:r w:rsidRPr="001569FB">
              <w:rPr>
                <w:sz w:val="20"/>
                <w:szCs w:val="20"/>
              </w:rPr>
              <w:t>0.147</w:t>
            </w:r>
          </w:p>
        </w:tc>
      </w:tr>
      <w:tr w:rsidR="009A7430" w:rsidRPr="001569FB" w14:paraId="4DADDE8E" w14:textId="77777777" w:rsidTr="008D4E91">
        <w:trPr>
          <w:trHeight w:val="315"/>
        </w:trPr>
        <w:tc>
          <w:tcPr>
            <w:tcW w:w="2695" w:type="dxa"/>
            <w:noWrap/>
            <w:hideMark/>
          </w:tcPr>
          <w:p w14:paraId="0AE437D9" w14:textId="77777777" w:rsidR="009A7430" w:rsidRPr="001569FB" w:rsidRDefault="009A7430" w:rsidP="008D4E91">
            <w:pPr>
              <w:rPr>
                <w:sz w:val="20"/>
                <w:szCs w:val="20"/>
              </w:rPr>
            </w:pPr>
            <w:r w:rsidRPr="001569FB">
              <w:rPr>
                <w:sz w:val="20"/>
                <w:szCs w:val="20"/>
              </w:rPr>
              <w:t>HCC160</w:t>
            </w:r>
          </w:p>
        </w:tc>
        <w:tc>
          <w:tcPr>
            <w:tcW w:w="5095" w:type="dxa"/>
            <w:hideMark/>
          </w:tcPr>
          <w:p w14:paraId="703F3A80" w14:textId="77777777" w:rsidR="009A7430" w:rsidRPr="001569FB" w:rsidRDefault="009A7430" w:rsidP="008D4E91">
            <w:pPr>
              <w:rPr>
                <w:sz w:val="20"/>
                <w:szCs w:val="20"/>
              </w:rPr>
            </w:pPr>
            <w:r w:rsidRPr="001569FB">
              <w:rPr>
                <w:sz w:val="20"/>
                <w:szCs w:val="20"/>
              </w:rPr>
              <w:t>Pressure Pre-Ulcer Skin Changes or Unspecified Stage</w:t>
            </w:r>
          </w:p>
        </w:tc>
        <w:tc>
          <w:tcPr>
            <w:tcW w:w="1560" w:type="dxa"/>
            <w:noWrap/>
            <w:hideMark/>
          </w:tcPr>
          <w:p w14:paraId="44B422F5" w14:textId="77777777" w:rsidR="009A7430" w:rsidRPr="001569FB" w:rsidRDefault="009A7430" w:rsidP="008D4E91">
            <w:pPr>
              <w:jc w:val="center"/>
              <w:rPr>
                <w:sz w:val="20"/>
                <w:szCs w:val="20"/>
              </w:rPr>
            </w:pPr>
            <w:r w:rsidRPr="001569FB">
              <w:rPr>
                <w:sz w:val="20"/>
                <w:szCs w:val="20"/>
              </w:rPr>
              <w:t>0.147</w:t>
            </w:r>
          </w:p>
        </w:tc>
      </w:tr>
      <w:tr w:rsidR="009A7430" w:rsidRPr="001569FB" w14:paraId="4CC3F887" w14:textId="77777777" w:rsidTr="008D4E91">
        <w:trPr>
          <w:trHeight w:val="315"/>
        </w:trPr>
        <w:tc>
          <w:tcPr>
            <w:tcW w:w="2695" w:type="dxa"/>
            <w:noWrap/>
            <w:hideMark/>
          </w:tcPr>
          <w:p w14:paraId="223FC75A" w14:textId="77777777" w:rsidR="009A7430" w:rsidRPr="001569FB" w:rsidRDefault="009A7430" w:rsidP="008D4E91">
            <w:pPr>
              <w:rPr>
                <w:sz w:val="20"/>
                <w:szCs w:val="20"/>
              </w:rPr>
            </w:pPr>
            <w:r w:rsidRPr="001569FB">
              <w:rPr>
                <w:sz w:val="20"/>
                <w:szCs w:val="20"/>
              </w:rPr>
              <w:t>HCC161</w:t>
            </w:r>
          </w:p>
        </w:tc>
        <w:tc>
          <w:tcPr>
            <w:tcW w:w="5095" w:type="dxa"/>
            <w:hideMark/>
          </w:tcPr>
          <w:p w14:paraId="03CF9267" w14:textId="77777777" w:rsidR="009A7430" w:rsidRPr="001569FB" w:rsidRDefault="009A7430" w:rsidP="008D4E91">
            <w:pPr>
              <w:rPr>
                <w:sz w:val="20"/>
                <w:szCs w:val="20"/>
              </w:rPr>
            </w:pPr>
            <w:r w:rsidRPr="001569FB">
              <w:rPr>
                <w:sz w:val="20"/>
                <w:szCs w:val="20"/>
              </w:rPr>
              <w:t>Chronic Ulcer of Skin, Except Pressure</w:t>
            </w:r>
          </w:p>
        </w:tc>
        <w:tc>
          <w:tcPr>
            <w:tcW w:w="1560" w:type="dxa"/>
            <w:noWrap/>
            <w:hideMark/>
          </w:tcPr>
          <w:p w14:paraId="4D303091" w14:textId="77777777" w:rsidR="009A7430" w:rsidRPr="001569FB" w:rsidRDefault="009A7430" w:rsidP="008D4E91">
            <w:pPr>
              <w:jc w:val="center"/>
              <w:rPr>
                <w:sz w:val="20"/>
                <w:szCs w:val="20"/>
              </w:rPr>
            </w:pPr>
            <w:r w:rsidRPr="001569FB">
              <w:rPr>
                <w:sz w:val="20"/>
                <w:szCs w:val="20"/>
              </w:rPr>
              <w:t>0.119</w:t>
            </w:r>
          </w:p>
        </w:tc>
      </w:tr>
      <w:tr w:rsidR="009A7430" w:rsidRPr="001569FB" w14:paraId="38267F6D" w14:textId="77777777" w:rsidTr="008D4E91">
        <w:trPr>
          <w:trHeight w:val="315"/>
        </w:trPr>
        <w:tc>
          <w:tcPr>
            <w:tcW w:w="2695" w:type="dxa"/>
            <w:noWrap/>
            <w:hideMark/>
          </w:tcPr>
          <w:p w14:paraId="15222252" w14:textId="77777777" w:rsidR="009A7430" w:rsidRPr="001569FB" w:rsidRDefault="009A7430" w:rsidP="008D4E91">
            <w:pPr>
              <w:rPr>
                <w:sz w:val="20"/>
                <w:szCs w:val="20"/>
              </w:rPr>
            </w:pPr>
            <w:r w:rsidRPr="001569FB">
              <w:rPr>
                <w:sz w:val="20"/>
                <w:szCs w:val="20"/>
              </w:rPr>
              <w:t>HCC162</w:t>
            </w:r>
          </w:p>
        </w:tc>
        <w:tc>
          <w:tcPr>
            <w:tcW w:w="5095" w:type="dxa"/>
            <w:hideMark/>
          </w:tcPr>
          <w:p w14:paraId="598B5E02" w14:textId="77777777" w:rsidR="009A7430" w:rsidRPr="001569FB" w:rsidRDefault="009A7430" w:rsidP="008D4E91">
            <w:pPr>
              <w:rPr>
                <w:sz w:val="20"/>
                <w:szCs w:val="20"/>
              </w:rPr>
            </w:pPr>
            <w:r w:rsidRPr="001569FB">
              <w:rPr>
                <w:sz w:val="20"/>
                <w:szCs w:val="20"/>
              </w:rPr>
              <w:t>Severe Skin Burn or Condition</w:t>
            </w:r>
          </w:p>
        </w:tc>
        <w:tc>
          <w:tcPr>
            <w:tcW w:w="1560" w:type="dxa"/>
            <w:noWrap/>
            <w:hideMark/>
          </w:tcPr>
          <w:p w14:paraId="52A251BC" w14:textId="77777777" w:rsidR="009A7430" w:rsidRPr="001569FB" w:rsidRDefault="009A7430" w:rsidP="008D4E91">
            <w:pPr>
              <w:jc w:val="center"/>
              <w:rPr>
                <w:sz w:val="20"/>
                <w:szCs w:val="20"/>
              </w:rPr>
            </w:pPr>
            <w:r w:rsidRPr="001569FB">
              <w:rPr>
                <w:sz w:val="20"/>
                <w:szCs w:val="20"/>
              </w:rPr>
              <w:t>0.042</w:t>
            </w:r>
          </w:p>
        </w:tc>
      </w:tr>
      <w:tr w:rsidR="009A7430" w:rsidRPr="001569FB" w14:paraId="6CF55BC9" w14:textId="77777777" w:rsidTr="008D4E91">
        <w:trPr>
          <w:trHeight w:val="315"/>
        </w:trPr>
        <w:tc>
          <w:tcPr>
            <w:tcW w:w="2695" w:type="dxa"/>
            <w:noWrap/>
            <w:hideMark/>
          </w:tcPr>
          <w:p w14:paraId="37F3422E" w14:textId="77777777" w:rsidR="009A7430" w:rsidRPr="001569FB" w:rsidRDefault="009A7430" w:rsidP="008D4E91">
            <w:pPr>
              <w:rPr>
                <w:sz w:val="20"/>
                <w:szCs w:val="20"/>
              </w:rPr>
            </w:pPr>
            <w:r w:rsidRPr="001569FB">
              <w:rPr>
                <w:sz w:val="20"/>
                <w:szCs w:val="20"/>
              </w:rPr>
              <w:t>HCC166</w:t>
            </w:r>
          </w:p>
        </w:tc>
        <w:tc>
          <w:tcPr>
            <w:tcW w:w="5095" w:type="dxa"/>
            <w:hideMark/>
          </w:tcPr>
          <w:p w14:paraId="0A3EA06D" w14:textId="77777777" w:rsidR="009A7430" w:rsidRPr="001569FB" w:rsidRDefault="009A7430" w:rsidP="008D4E91">
            <w:pPr>
              <w:rPr>
                <w:sz w:val="20"/>
                <w:szCs w:val="20"/>
              </w:rPr>
            </w:pPr>
            <w:r w:rsidRPr="001569FB">
              <w:rPr>
                <w:sz w:val="20"/>
                <w:szCs w:val="20"/>
              </w:rPr>
              <w:t>Severe Head Injury</w:t>
            </w:r>
          </w:p>
        </w:tc>
        <w:tc>
          <w:tcPr>
            <w:tcW w:w="1560" w:type="dxa"/>
            <w:noWrap/>
            <w:hideMark/>
          </w:tcPr>
          <w:p w14:paraId="1F9D348A" w14:textId="77777777" w:rsidR="009A7430" w:rsidRPr="001569FB" w:rsidRDefault="009A7430" w:rsidP="008D4E91">
            <w:pPr>
              <w:jc w:val="center"/>
              <w:rPr>
                <w:sz w:val="20"/>
                <w:szCs w:val="20"/>
              </w:rPr>
            </w:pPr>
            <w:r w:rsidRPr="001569FB">
              <w:rPr>
                <w:sz w:val="20"/>
                <w:szCs w:val="20"/>
              </w:rPr>
              <w:t>0.043</w:t>
            </w:r>
          </w:p>
        </w:tc>
      </w:tr>
      <w:tr w:rsidR="009A7430" w:rsidRPr="001569FB" w14:paraId="6B99C035" w14:textId="77777777" w:rsidTr="008D4E91">
        <w:trPr>
          <w:trHeight w:val="315"/>
        </w:trPr>
        <w:tc>
          <w:tcPr>
            <w:tcW w:w="2695" w:type="dxa"/>
            <w:noWrap/>
            <w:hideMark/>
          </w:tcPr>
          <w:p w14:paraId="1BCF1D11" w14:textId="77777777" w:rsidR="009A7430" w:rsidRPr="001569FB" w:rsidRDefault="009A7430" w:rsidP="008D4E91">
            <w:pPr>
              <w:rPr>
                <w:sz w:val="20"/>
                <w:szCs w:val="20"/>
              </w:rPr>
            </w:pPr>
            <w:r w:rsidRPr="001569FB">
              <w:rPr>
                <w:sz w:val="20"/>
                <w:szCs w:val="20"/>
              </w:rPr>
              <w:t>HCC167</w:t>
            </w:r>
          </w:p>
        </w:tc>
        <w:tc>
          <w:tcPr>
            <w:tcW w:w="5095" w:type="dxa"/>
            <w:hideMark/>
          </w:tcPr>
          <w:p w14:paraId="739AD024" w14:textId="77777777" w:rsidR="009A7430" w:rsidRPr="001569FB" w:rsidRDefault="009A7430" w:rsidP="008D4E91">
            <w:pPr>
              <w:rPr>
                <w:sz w:val="20"/>
                <w:szCs w:val="20"/>
              </w:rPr>
            </w:pPr>
            <w:r w:rsidRPr="001569FB">
              <w:rPr>
                <w:sz w:val="20"/>
                <w:szCs w:val="20"/>
              </w:rPr>
              <w:t>Major Head Injury</w:t>
            </w:r>
          </w:p>
        </w:tc>
        <w:tc>
          <w:tcPr>
            <w:tcW w:w="1560" w:type="dxa"/>
            <w:noWrap/>
            <w:hideMark/>
          </w:tcPr>
          <w:p w14:paraId="152FF369" w14:textId="77777777" w:rsidR="009A7430" w:rsidRPr="001569FB" w:rsidRDefault="009A7430" w:rsidP="008D4E91">
            <w:pPr>
              <w:jc w:val="center"/>
              <w:rPr>
                <w:sz w:val="20"/>
                <w:szCs w:val="20"/>
              </w:rPr>
            </w:pPr>
            <w:r w:rsidRPr="001569FB">
              <w:rPr>
                <w:sz w:val="20"/>
                <w:szCs w:val="20"/>
              </w:rPr>
              <w:t>0.017</w:t>
            </w:r>
          </w:p>
        </w:tc>
      </w:tr>
      <w:tr w:rsidR="009A7430" w:rsidRPr="001569FB" w14:paraId="09A4E286" w14:textId="77777777" w:rsidTr="008D4E91">
        <w:trPr>
          <w:trHeight w:val="315"/>
        </w:trPr>
        <w:tc>
          <w:tcPr>
            <w:tcW w:w="2695" w:type="dxa"/>
            <w:noWrap/>
            <w:hideMark/>
          </w:tcPr>
          <w:p w14:paraId="046FB2E2" w14:textId="77777777" w:rsidR="009A7430" w:rsidRPr="001569FB" w:rsidRDefault="009A7430" w:rsidP="008D4E91">
            <w:pPr>
              <w:rPr>
                <w:sz w:val="20"/>
                <w:szCs w:val="20"/>
              </w:rPr>
            </w:pPr>
            <w:r w:rsidRPr="001569FB">
              <w:rPr>
                <w:sz w:val="20"/>
                <w:szCs w:val="20"/>
              </w:rPr>
              <w:lastRenderedPageBreak/>
              <w:t>HCC169</w:t>
            </w:r>
          </w:p>
        </w:tc>
        <w:tc>
          <w:tcPr>
            <w:tcW w:w="5095" w:type="dxa"/>
            <w:hideMark/>
          </w:tcPr>
          <w:p w14:paraId="4C2E44DE" w14:textId="77777777" w:rsidR="009A7430" w:rsidRPr="001569FB" w:rsidRDefault="009A7430" w:rsidP="008D4E91">
            <w:pPr>
              <w:rPr>
                <w:sz w:val="20"/>
                <w:szCs w:val="20"/>
              </w:rPr>
            </w:pPr>
            <w:r w:rsidRPr="001569FB">
              <w:rPr>
                <w:sz w:val="20"/>
                <w:szCs w:val="20"/>
              </w:rPr>
              <w:t>Vertebral Fractures without Spinal Cord Injury</w:t>
            </w:r>
          </w:p>
        </w:tc>
        <w:tc>
          <w:tcPr>
            <w:tcW w:w="1560" w:type="dxa"/>
            <w:noWrap/>
            <w:hideMark/>
          </w:tcPr>
          <w:p w14:paraId="2614DE67" w14:textId="77777777" w:rsidR="009A7430" w:rsidRPr="001569FB" w:rsidRDefault="009A7430" w:rsidP="008D4E91">
            <w:pPr>
              <w:jc w:val="center"/>
              <w:rPr>
                <w:sz w:val="20"/>
                <w:szCs w:val="20"/>
              </w:rPr>
            </w:pPr>
            <w:r w:rsidRPr="001569FB">
              <w:rPr>
                <w:sz w:val="20"/>
                <w:szCs w:val="20"/>
              </w:rPr>
              <w:t>0.065</w:t>
            </w:r>
          </w:p>
        </w:tc>
      </w:tr>
      <w:tr w:rsidR="009A7430" w:rsidRPr="001569FB" w14:paraId="2EB02CDA" w14:textId="77777777" w:rsidTr="008D4E91">
        <w:trPr>
          <w:trHeight w:val="315"/>
        </w:trPr>
        <w:tc>
          <w:tcPr>
            <w:tcW w:w="2695" w:type="dxa"/>
            <w:noWrap/>
            <w:hideMark/>
          </w:tcPr>
          <w:p w14:paraId="1592DEA3" w14:textId="77777777" w:rsidR="009A7430" w:rsidRPr="001569FB" w:rsidRDefault="009A7430" w:rsidP="008D4E91">
            <w:pPr>
              <w:rPr>
                <w:sz w:val="20"/>
                <w:szCs w:val="20"/>
              </w:rPr>
            </w:pPr>
            <w:r w:rsidRPr="001569FB">
              <w:rPr>
                <w:sz w:val="20"/>
                <w:szCs w:val="20"/>
              </w:rPr>
              <w:t>HCC170</w:t>
            </w:r>
          </w:p>
        </w:tc>
        <w:tc>
          <w:tcPr>
            <w:tcW w:w="5095" w:type="dxa"/>
            <w:hideMark/>
          </w:tcPr>
          <w:p w14:paraId="3E73D048" w14:textId="77777777" w:rsidR="009A7430" w:rsidRPr="001569FB" w:rsidRDefault="009A7430" w:rsidP="008D4E91">
            <w:pPr>
              <w:rPr>
                <w:sz w:val="20"/>
                <w:szCs w:val="20"/>
              </w:rPr>
            </w:pPr>
            <w:r w:rsidRPr="001569FB">
              <w:rPr>
                <w:sz w:val="20"/>
                <w:szCs w:val="20"/>
              </w:rPr>
              <w:t>Hip Fracture/Dislocation</w:t>
            </w:r>
          </w:p>
        </w:tc>
        <w:tc>
          <w:tcPr>
            <w:tcW w:w="1560" w:type="dxa"/>
            <w:noWrap/>
            <w:hideMark/>
          </w:tcPr>
          <w:p w14:paraId="7C0A356A" w14:textId="77777777" w:rsidR="009A7430" w:rsidRPr="001569FB" w:rsidRDefault="009A7430" w:rsidP="008D4E91">
            <w:pPr>
              <w:jc w:val="center"/>
              <w:rPr>
                <w:sz w:val="20"/>
                <w:szCs w:val="20"/>
              </w:rPr>
            </w:pPr>
            <w:r w:rsidRPr="001569FB">
              <w:rPr>
                <w:sz w:val="20"/>
                <w:szCs w:val="20"/>
              </w:rPr>
              <w:t>0.050</w:t>
            </w:r>
          </w:p>
        </w:tc>
      </w:tr>
      <w:tr w:rsidR="009A7430" w:rsidRPr="001569FB" w14:paraId="2A32A381" w14:textId="77777777" w:rsidTr="008D4E91">
        <w:trPr>
          <w:trHeight w:val="315"/>
        </w:trPr>
        <w:tc>
          <w:tcPr>
            <w:tcW w:w="2695" w:type="dxa"/>
            <w:noWrap/>
            <w:hideMark/>
          </w:tcPr>
          <w:p w14:paraId="37B57F16" w14:textId="77777777" w:rsidR="009A7430" w:rsidRPr="001569FB" w:rsidRDefault="009A7430" w:rsidP="008D4E91">
            <w:pPr>
              <w:rPr>
                <w:sz w:val="20"/>
                <w:szCs w:val="20"/>
              </w:rPr>
            </w:pPr>
            <w:r w:rsidRPr="001569FB">
              <w:rPr>
                <w:sz w:val="20"/>
                <w:szCs w:val="20"/>
              </w:rPr>
              <w:t>HCC173</w:t>
            </w:r>
          </w:p>
        </w:tc>
        <w:tc>
          <w:tcPr>
            <w:tcW w:w="5095" w:type="dxa"/>
            <w:hideMark/>
          </w:tcPr>
          <w:p w14:paraId="48D94B4E" w14:textId="77777777" w:rsidR="009A7430" w:rsidRPr="001569FB" w:rsidRDefault="009A7430" w:rsidP="008D4E91">
            <w:pPr>
              <w:rPr>
                <w:sz w:val="20"/>
                <w:szCs w:val="20"/>
              </w:rPr>
            </w:pPr>
            <w:r w:rsidRPr="001569FB">
              <w:rPr>
                <w:sz w:val="20"/>
                <w:szCs w:val="20"/>
              </w:rPr>
              <w:t>Traumatic Amputations and Complications</w:t>
            </w:r>
          </w:p>
        </w:tc>
        <w:tc>
          <w:tcPr>
            <w:tcW w:w="1560" w:type="dxa"/>
            <w:noWrap/>
            <w:hideMark/>
          </w:tcPr>
          <w:p w14:paraId="532AC0C8" w14:textId="77777777" w:rsidR="009A7430" w:rsidRPr="001569FB" w:rsidRDefault="009A7430" w:rsidP="008D4E91">
            <w:pPr>
              <w:jc w:val="center"/>
              <w:rPr>
                <w:sz w:val="20"/>
                <w:szCs w:val="20"/>
              </w:rPr>
            </w:pPr>
            <w:r w:rsidRPr="001569FB">
              <w:rPr>
                <w:sz w:val="20"/>
                <w:szCs w:val="20"/>
              </w:rPr>
              <w:t>0.042</w:t>
            </w:r>
          </w:p>
        </w:tc>
      </w:tr>
      <w:tr w:rsidR="009A7430" w:rsidRPr="001569FB" w14:paraId="448DFA25" w14:textId="77777777" w:rsidTr="008D4E91">
        <w:trPr>
          <w:trHeight w:val="315"/>
        </w:trPr>
        <w:tc>
          <w:tcPr>
            <w:tcW w:w="2695" w:type="dxa"/>
            <w:noWrap/>
            <w:hideMark/>
          </w:tcPr>
          <w:p w14:paraId="73B76673" w14:textId="77777777" w:rsidR="009A7430" w:rsidRPr="001569FB" w:rsidRDefault="009A7430" w:rsidP="008D4E91">
            <w:pPr>
              <w:rPr>
                <w:sz w:val="20"/>
                <w:szCs w:val="20"/>
              </w:rPr>
            </w:pPr>
            <w:r w:rsidRPr="001569FB">
              <w:rPr>
                <w:sz w:val="20"/>
                <w:szCs w:val="20"/>
              </w:rPr>
              <w:t>HCC176</w:t>
            </w:r>
          </w:p>
        </w:tc>
        <w:tc>
          <w:tcPr>
            <w:tcW w:w="5095" w:type="dxa"/>
            <w:hideMark/>
          </w:tcPr>
          <w:p w14:paraId="5DE23AC5" w14:textId="77777777" w:rsidR="009A7430" w:rsidRPr="001569FB" w:rsidRDefault="009A7430" w:rsidP="008D4E91">
            <w:pPr>
              <w:rPr>
                <w:sz w:val="20"/>
                <w:szCs w:val="20"/>
              </w:rPr>
            </w:pPr>
            <w:r w:rsidRPr="001569FB">
              <w:rPr>
                <w:sz w:val="20"/>
                <w:szCs w:val="20"/>
              </w:rPr>
              <w:t>Complications of Specified Implanted Device or Graft</w:t>
            </w:r>
          </w:p>
        </w:tc>
        <w:tc>
          <w:tcPr>
            <w:tcW w:w="1560" w:type="dxa"/>
            <w:noWrap/>
            <w:hideMark/>
          </w:tcPr>
          <w:p w14:paraId="4AF56E1C" w14:textId="77777777" w:rsidR="009A7430" w:rsidRPr="001569FB" w:rsidRDefault="009A7430" w:rsidP="008D4E91">
            <w:pPr>
              <w:jc w:val="center"/>
              <w:rPr>
                <w:sz w:val="20"/>
                <w:szCs w:val="20"/>
              </w:rPr>
            </w:pPr>
            <w:r w:rsidRPr="001569FB">
              <w:rPr>
                <w:sz w:val="20"/>
                <w:szCs w:val="20"/>
              </w:rPr>
              <w:t>-</w:t>
            </w:r>
          </w:p>
        </w:tc>
      </w:tr>
      <w:tr w:rsidR="009A7430" w:rsidRPr="001569FB" w14:paraId="0CFAD268" w14:textId="77777777" w:rsidTr="008D4E91">
        <w:trPr>
          <w:trHeight w:val="315"/>
        </w:trPr>
        <w:tc>
          <w:tcPr>
            <w:tcW w:w="2695" w:type="dxa"/>
            <w:noWrap/>
            <w:hideMark/>
          </w:tcPr>
          <w:p w14:paraId="15C22C58" w14:textId="77777777" w:rsidR="009A7430" w:rsidRPr="001569FB" w:rsidRDefault="009A7430" w:rsidP="008D4E91">
            <w:pPr>
              <w:rPr>
                <w:sz w:val="20"/>
                <w:szCs w:val="20"/>
              </w:rPr>
            </w:pPr>
            <w:r w:rsidRPr="001569FB">
              <w:rPr>
                <w:sz w:val="20"/>
                <w:szCs w:val="20"/>
              </w:rPr>
              <w:t>HCC186</w:t>
            </w:r>
          </w:p>
        </w:tc>
        <w:tc>
          <w:tcPr>
            <w:tcW w:w="5095" w:type="dxa"/>
            <w:hideMark/>
          </w:tcPr>
          <w:p w14:paraId="552BE9B5" w14:textId="77777777" w:rsidR="009A7430" w:rsidRPr="001569FB" w:rsidRDefault="009A7430" w:rsidP="008D4E91">
            <w:pPr>
              <w:rPr>
                <w:sz w:val="20"/>
                <w:szCs w:val="20"/>
              </w:rPr>
            </w:pPr>
            <w:r w:rsidRPr="001569FB">
              <w:rPr>
                <w:sz w:val="20"/>
                <w:szCs w:val="20"/>
              </w:rPr>
              <w:t>Major Organ Transplant or Replacement Status</w:t>
            </w:r>
          </w:p>
        </w:tc>
        <w:tc>
          <w:tcPr>
            <w:tcW w:w="1560" w:type="dxa"/>
            <w:noWrap/>
            <w:hideMark/>
          </w:tcPr>
          <w:p w14:paraId="10B1B85F" w14:textId="77777777" w:rsidR="009A7430" w:rsidRPr="001569FB" w:rsidRDefault="009A7430" w:rsidP="008D4E91">
            <w:pPr>
              <w:jc w:val="center"/>
              <w:rPr>
                <w:sz w:val="20"/>
                <w:szCs w:val="20"/>
              </w:rPr>
            </w:pPr>
            <w:r w:rsidRPr="001569FB">
              <w:rPr>
                <w:sz w:val="20"/>
                <w:szCs w:val="20"/>
              </w:rPr>
              <w:t>0.154</w:t>
            </w:r>
          </w:p>
        </w:tc>
      </w:tr>
      <w:tr w:rsidR="009A7430" w:rsidRPr="001569FB" w14:paraId="6EFD4F89" w14:textId="77777777" w:rsidTr="008D4E91">
        <w:trPr>
          <w:trHeight w:val="315"/>
        </w:trPr>
        <w:tc>
          <w:tcPr>
            <w:tcW w:w="2695" w:type="dxa"/>
            <w:noWrap/>
            <w:hideMark/>
          </w:tcPr>
          <w:p w14:paraId="0D66949C" w14:textId="77777777" w:rsidR="009A7430" w:rsidRPr="001569FB" w:rsidRDefault="009A7430" w:rsidP="008D4E91">
            <w:pPr>
              <w:rPr>
                <w:sz w:val="20"/>
                <w:szCs w:val="20"/>
              </w:rPr>
            </w:pPr>
            <w:r w:rsidRPr="001569FB">
              <w:rPr>
                <w:sz w:val="20"/>
                <w:szCs w:val="20"/>
              </w:rPr>
              <w:t>HCC188</w:t>
            </w:r>
          </w:p>
        </w:tc>
        <w:tc>
          <w:tcPr>
            <w:tcW w:w="5095" w:type="dxa"/>
            <w:hideMark/>
          </w:tcPr>
          <w:p w14:paraId="335FDA52" w14:textId="77777777" w:rsidR="009A7430" w:rsidRPr="001569FB" w:rsidRDefault="009A7430" w:rsidP="008D4E91">
            <w:pPr>
              <w:rPr>
                <w:sz w:val="20"/>
                <w:szCs w:val="20"/>
              </w:rPr>
            </w:pPr>
            <w:r w:rsidRPr="001569FB">
              <w:rPr>
                <w:sz w:val="20"/>
                <w:szCs w:val="20"/>
              </w:rPr>
              <w:t>Artificial Openings for Feeding or Elimination</w:t>
            </w:r>
          </w:p>
        </w:tc>
        <w:tc>
          <w:tcPr>
            <w:tcW w:w="1560" w:type="dxa"/>
            <w:noWrap/>
            <w:hideMark/>
          </w:tcPr>
          <w:p w14:paraId="7F4757B9" w14:textId="77777777" w:rsidR="009A7430" w:rsidRPr="001569FB" w:rsidRDefault="009A7430" w:rsidP="008D4E91">
            <w:pPr>
              <w:jc w:val="center"/>
              <w:rPr>
                <w:sz w:val="20"/>
                <w:szCs w:val="20"/>
              </w:rPr>
            </w:pPr>
            <w:r w:rsidRPr="001569FB">
              <w:rPr>
                <w:sz w:val="20"/>
                <w:szCs w:val="20"/>
              </w:rPr>
              <w:t>0.078</w:t>
            </w:r>
          </w:p>
        </w:tc>
      </w:tr>
      <w:tr w:rsidR="009A7430" w:rsidRPr="001569FB" w14:paraId="09C4D2BC" w14:textId="77777777" w:rsidTr="008D4E91">
        <w:trPr>
          <w:trHeight w:val="315"/>
        </w:trPr>
        <w:tc>
          <w:tcPr>
            <w:tcW w:w="2695" w:type="dxa"/>
            <w:noWrap/>
            <w:hideMark/>
          </w:tcPr>
          <w:p w14:paraId="06E13A60" w14:textId="77777777" w:rsidR="009A7430" w:rsidRPr="001569FB" w:rsidRDefault="009A7430" w:rsidP="008D4E91">
            <w:pPr>
              <w:rPr>
                <w:sz w:val="20"/>
                <w:szCs w:val="20"/>
              </w:rPr>
            </w:pPr>
            <w:r w:rsidRPr="001569FB">
              <w:rPr>
                <w:sz w:val="20"/>
                <w:szCs w:val="20"/>
              </w:rPr>
              <w:t>HCC189</w:t>
            </w:r>
          </w:p>
        </w:tc>
        <w:tc>
          <w:tcPr>
            <w:tcW w:w="5095" w:type="dxa"/>
            <w:hideMark/>
          </w:tcPr>
          <w:p w14:paraId="0989353E" w14:textId="77777777" w:rsidR="009A7430" w:rsidRPr="001569FB" w:rsidRDefault="009A7430" w:rsidP="008D4E91">
            <w:pPr>
              <w:rPr>
                <w:sz w:val="20"/>
                <w:szCs w:val="20"/>
              </w:rPr>
            </w:pPr>
            <w:r w:rsidRPr="001569FB">
              <w:rPr>
                <w:sz w:val="20"/>
                <w:szCs w:val="20"/>
              </w:rPr>
              <w:t>Amputation Status, Lower Limb/Amputation Complications</w:t>
            </w:r>
          </w:p>
        </w:tc>
        <w:tc>
          <w:tcPr>
            <w:tcW w:w="1560" w:type="dxa"/>
            <w:noWrap/>
            <w:hideMark/>
          </w:tcPr>
          <w:p w14:paraId="6FCC401F" w14:textId="77777777" w:rsidR="009A7430" w:rsidRPr="001569FB" w:rsidRDefault="009A7430" w:rsidP="008D4E91">
            <w:pPr>
              <w:jc w:val="center"/>
              <w:rPr>
                <w:sz w:val="20"/>
                <w:szCs w:val="20"/>
              </w:rPr>
            </w:pPr>
            <w:r w:rsidRPr="001569FB">
              <w:rPr>
                <w:sz w:val="20"/>
                <w:szCs w:val="20"/>
              </w:rPr>
              <w:t>0.090</w:t>
            </w:r>
          </w:p>
        </w:tc>
      </w:tr>
      <w:tr w:rsidR="009A7430" w:rsidRPr="001569FB" w14:paraId="34DE0983" w14:textId="77777777" w:rsidTr="008D4E91">
        <w:trPr>
          <w:trHeight w:val="300"/>
        </w:trPr>
        <w:tc>
          <w:tcPr>
            <w:tcW w:w="9350" w:type="dxa"/>
            <w:gridSpan w:val="3"/>
            <w:noWrap/>
            <w:hideMark/>
          </w:tcPr>
          <w:p w14:paraId="5ED5384F" w14:textId="77777777" w:rsidR="009A7430" w:rsidRPr="001569FB" w:rsidRDefault="009A7430" w:rsidP="008D4E91">
            <w:pPr>
              <w:rPr>
                <w:b/>
                <w:sz w:val="20"/>
                <w:szCs w:val="20"/>
              </w:rPr>
            </w:pPr>
            <w:r w:rsidRPr="001569FB">
              <w:rPr>
                <w:b/>
                <w:sz w:val="20"/>
                <w:szCs w:val="20"/>
              </w:rPr>
              <w:t>Disease Interactions</w:t>
            </w:r>
            <w:r w:rsidRPr="001569FB">
              <w:rPr>
                <w:sz w:val="20"/>
                <w:szCs w:val="20"/>
              </w:rPr>
              <w:t> </w:t>
            </w:r>
          </w:p>
        </w:tc>
      </w:tr>
      <w:tr w:rsidR="009A7430" w:rsidRPr="001569FB" w14:paraId="3B73BD3C" w14:textId="77777777" w:rsidTr="008D4E91">
        <w:trPr>
          <w:trHeight w:val="315"/>
        </w:trPr>
        <w:tc>
          <w:tcPr>
            <w:tcW w:w="2695" w:type="dxa"/>
            <w:noWrap/>
            <w:hideMark/>
          </w:tcPr>
          <w:p w14:paraId="451FC620" w14:textId="77777777" w:rsidR="009A7430" w:rsidRPr="001569FB" w:rsidRDefault="009A7430" w:rsidP="008D4E91">
            <w:pPr>
              <w:rPr>
                <w:sz w:val="20"/>
                <w:szCs w:val="20"/>
              </w:rPr>
            </w:pPr>
            <w:r w:rsidRPr="001569FB">
              <w:rPr>
                <w:sz w:val="20"/>
                <w:szCs w:val="20"/>
              </w:rPr>
              <w:t>SEPSIS_CARD_RESP_FAIL</w:t>
            </w:r>
          </w:p>
        </w:tc>
        <w:tc>
          <w:tcPr>
            <w:tcW w:w="5095" w:type="dxa"/>
            <w:hideMark/>
          </w:tcPr>
          <w:p w14:paraId="6F0083CD" w14:textId="77777777" w:rsidR="009A7430" w:rsidRPr="001569FB" w:rsidRDefault="009A7430" w:rsidP="008D4E91">
            <w:pPr>
              <w:rPr>
                <w:sz w:val="20"/>
                <w:szCs w:val="20"/>
              </w:rPr>
            </w:pPr>
            <w:r w:rsidRPr="001569FB">
              <w:rPr>
                <w:sz w:val="20"/>
                <w:szCs w:val="20"/>
              </w:rPr>
              <w:t>Sepsis*Cardiorespiratory Failure</w:t>
            </w:r>
          </w:p>
        </w:tc>
        <w:tc>
          <w:tcPr>
            <w:tcW w:w="1560" w:type="dxa"/>
            <w:noWrap/>
            <w:hideMark/>
          </w:tcPr>
          <w:p w14:paraId="01CD48EF" w14:textId="77777777" w:rsidR="009A7430" w:rsidRPr="001569FB" w:rsidRDefault="009A7430" w:rsidP="008D4E91">
            <w:pPr>
              <w:jc w:val="center"/>
              <w:rPr>
                <w:sz w:val="20"/>
                <w:szCs w:val="20"/>
              </w:rPr>
            </w:pPr>
            <w:r w:rsidRPr="001569FB">
              <w:rPr>
                <w:sz w:val="20"/>
                <w:szCs w:val="20"/>
              </w:rPr>
              <w:t>0.038</w:t>
            </w:r>
          </w:p>
        </w:tc>
      </w:tr>
      <w:tr w:rsidR="009A7430" w:rsidRPr="001569FB" w14:paraId="34A61264" w14:textId="77777777" w:rsidTr="008D4E91">
        <w:trPr>
          <w:trHeight w:val="315"/>
        </w:trPr>
        <w:tc>
          <w:tcPr>
            <w:tcW w:w="2695" w:type="dxa"/>
            <w:noWrap/>
            <w:hideMark/>
          </w:tcPr>
          <w:p w14:paraId="622F7A6B" w14:textId="77777777" w:rsidR="009A7430" w:rsidRPr="001569FB" w:rsidRDefault="009A7430" w:rsidP="008D4E91">
            <w:pPr>
              <w:rPr>
                <w:sz w:val="20"/>
                <w:szCs w:val="20"/>
              </w:rPr>
            </w:pPr>
            <w:r w:rsidRPr="001569FB">
              <w:rPr>
                <w:sz w:val="20"/>
                <w:szCs w:val="20"/>
              </w:rPr>
              <w:t>CANCER_IMMUNE</w:t>
            </w:r>
          </w:p>
        </w:tc>
        <w:tc>
          <w:tcPr>
            <w:tcW w:w="5095" w:type="dxa"/>
            <w:hideMark/>
          </w:tcPr>
          <w:p w14:paraId="5278409F" w14:textId="77777777" w:rsidR="009A7430" w:rsidRPr="001569FB" w:rsidRDefault="009A7430" w:rsidP="008D4E91">
            <w:pPr>
              <w:rPr>
                <w:sz w:val="20"/>
                <w:szCs w:val="20"/>
              </w:rPr>
            </w:pPr>
            <w:r w:rsidRPr="001569FB">
              <w:rPr>
                <w:sz w:val="20"/>
                <w:szCs w:val="20"/>
              </w:rPr>
              <w:t>Cancer*Immune Disorders</w:t>
            </w:r>
          </w:p>
        </w:tc>
        <w:tc>
          <w:tcPr>
            <w:tcW w:w="1560" w:type="dxa"/>
            <w:noWrap/>
            <w:hideMark/>
          </w:tcPr>
          <w:p w14:paraId="6A540739" w14:textId="77777777" w:rsidR="009A7430" w:rsidRPr="001569FB" w:rsidRDefault="009A7430" w:rsidP="008D4E91">
            <w:pPr>
              <w:jc w:val="center"/>
              <w:rPr>
                <w:sz w:val="20"/>
                <w:szCs w:val="20"/>
              </w:rPr>
            </w:pPr>
            <w:r w:rsidRPr="001569FB">
              <w:rPr>
                <w:sz w:val="20"/>
                <w:szCs w:val="20"/>
              </w:rPr>
              <w:t>0.025</w:t>
            </w:r>
          </w:p>
        </w:tc>
      </w:tr>
      <w:tr w:rsidR="009A7430" w:rsidRPr="001569FB" w14:paraId="40D566A7" w14:textId="77777777" w:rsidTr="008D4E91">
        <w:trPr>
          <w:trHeight w:val="315"/>
        </w:trPr>
        <w:tc>
          <w:tcPr>
            <w:tcW w:w="2695" w:type="dxa"/>
            <w:noWrap/>
            <w:hideMark/>
          </w:tcPr>
          <w:p w14:paraId="621C4365" w14:textId="77777777" w:rsidR="009A7430" w:rsidRPr="001569FB" w:rsidRDefault="009A7430" w:rsidP="008D4E91">
            <w:pPr>
              <w:rPr>
                <w:sz w:val="20"/>
                <w:szCs w:val="20"/>
              </w:rPr>
            </w:pPr>
            <w:r w:rsidRPr="001569FB">
              <w:rPr>
                <w:sz w:val="20"/>
                <w:szCs w:val="20"/>
              </w:rPr>
              <w:t>DIABETES_CHF</w:t>
            </w:r>
          </w:p>
        </w:tc>
        <w:tc>
          <w:tcPr>
            <w:tcW w:w="5095" w:type="dxa"/>
            <w:hideMark/>
          </w:tcPr>
          <w:p w14:paraId="715254F4" w14:textId="77777777" w:rsidR="009A7430" w:rsidRPr="001569FB" w:rsidRDefault="009A7430" w:rsidP="008D4E91">
            <w:pPr>
              <w:rPr>
                <w:sz w:val="20"/>
                <w:szCs w:val="20"/>
              </w:rPr>
            </w:pPr>
            <w:r w:rsidRPr="001569FB">
              <w:rPr>
                <w:sz w:val="20"/>
                <w:szCs w:val="20"/>
              </w:rPr>
              <w:t>Diabetes*Congestive Heart Failure</w:t>
            </w:r>
          </w:p>
        </w:tc>
        <w:tc>
          <w:tcPr>
            <w:tcW w:w="1560" w:type="dxa"/>
            <w:noWrap/>
            <w:hideMark/>
          </w:tcPr>
          <w:p w14:paraId="7E91F79E" w14:textId="77777777" w:rsidR="009A7430" w:rsidRPr="001569FB" w:rsidRDefault="009A7430" w:rsidP="008D4E91">
            <w:pPr>
              <w:jc w:val="center"/>
              <w:rPr>
                <w:sz w:val="20"/>
                <w:szCs w:val="20"/>
              </w:rPr>
            </w:pPr>
            <w:r w:rsidRPr="001569FB">
              <w:rPr>
                <w:sz w:val="20"/>
                <w:szCs w:val="20"/>
              </w:rPr>
              <w:t>-</w:t>
            </w:r>
          </w:p>
        </w:tc>
      </w:tr>
      <w:tr w:rsidR="009A7430" w:rsidRPr="001569FB" w14:paraId="12DB1B09" w14:textId="77777777" w:rsidTr="008D4E91">
        <w:trPr>
          <w:trHeight w:val="315"/>
        </w:trPr>
        <w:tc>
          <w:tcPr>
            <w:tcW w:w="2695" w:type="dxa"/>
            <w:noWrap/>
            <w:hideMark/>
          </w:tcPr>
          <w:p w14:paraId="55CFF10E" w14:textId="77777777" w:rsidR="009A7430" w:rsidRPr="001569FB" w:rsidRDefault="009A7430" w:rsidP="008D4E91">
            <w:pPr>
              <w:rPr>
                <w:sz w:val="20"/>
                <w:szCs w:val="20"/>
              </w:rPr>
            </w:pPr>
            <w:r w:rsidRPr="001569FB">
              <w:rPr>
                <w:sz w:val="20"/>
                <w:szCs w:val="20"/>
              </w:rPr>
              <w:t>CHF_COPD</w:t>
            </w:r>
          </w:p>
        </w:tc>
        <w:tc>
          <w:tcPr>
            <w:tcW w:w="5095" w:type="dxa"/>
            <w:hideMark/>
          </w:tcPr>
          <w:p w14:paraId="255F7E81" w14:textId="77777777" w:rsidR="009A7430" w:rsidRPr="001569FB" w:rsidRDefault="009A7430" w:rsidP="008D4E91">
            <w:pPr>
              <w:rPr>
                <w:sz w:val="20"/>
                <w:szCs w:val="20"/>
              </w:rPr>
            </w:pPr>
            <w:r w:rsidRPr="001569FB">
              <w:rPr>
                <w:sz w:val="20"/>
                <w:szCs w:val="20"/>
              </w:rPr>
              <w:t>Congestive Heart Failure*Chronic Obstructive Pulmonary Disease</w:t>
            </w:r>
          </w:p>
        </w:tc>
        <w:tc>
          <w:tcPr>
            <w:tcW w:w="1560" w:type="dxa"/>
            <w:noWrap/>
            <w:hideMark/>
          </w:tcPr>
          <w:p w14:paraId="5B84DB3A" w14:textId="77777777" w:rsidR="009A7430" w:rsidRPr="001569FB" w:rsidRDefault="009A7430" w:rsidP="008D4E91">
            <w:pPr>
              <w:jc w:val="center"/>
              <w:rPr>
                <w:sz w:val="20"/>
                <w:szCs w:val="20"/>
              </w:rPr>
            </w:pPr>
            <w:r w:rsidRPr="001569FB">
              <w:rPr>
                <w:sz w:val="20"/>
                <w:szCs w:val="20"/>
              </w:rPr>
              <w:t>0.022</w:t>
            </w:r>
          </w:p>
        </w:tc>
      </w:tr>
      <w:tr w:rsidR="009A7430" w:rsidRPr="001569FB" w14:paraId="19ADD375" w14:textId="77777777" w:rsidTr="008D4E91">
        <w:trPr>
          <w:trHeight w:val="315"/>
        </w:trPr>
        <w:tc>
          <w:tcPr>
            <w:tcW w:w="2695" w:type="dxa"/>
            <w:noWrap/>
            <w:hideMark/>
          </w:tcPr>
          <w:p w14:paraId="7AA8EF60" w14:textId="77777777" w:rsidR="009A7430" w:rsidRPr="001569FB" w:rsidRDefault="009A7430" w:rsidP="008D4E91">
            <w:pPr>
              <w:rPr>
                <w:sz w:val="20"/>
                <w:szCs w:val="20"/>
              </w:rPr>
            </w:pPr>
            <w:r w:rsidRPr="001569FB">
              <w:rPr>
                <w:sz w:val="20"/>
                <w:szCs w:val="20"/>
              </w:rPr>
              <w:t>COPD_CARD_RESP_FAIL</w:t>
            </w:r>
          </w:p>
        </w:tc>
        <w:tc>
          <w:tcPr>
            <w:tcW w:w="5095" w:type="dxa"/>
            <w:hideMark/>
          </w:tcPr>
          <w:p w14:paraId="3DF41E2D" w14:textId="77777777" w:rsidR="009A7430" w:rsidRPr="001569FB" w:rsidRDefault="009A7430" w:rsidP="008D4E91">
            <w:pPr>
              <w:rPr>
                <w:sz w:val="20"/>
                <w:szCs w:val="20"/>
              </w:rPr>
            </w:pPr>
            <w:r w:rsidRPr="001569FB">
              <w:rPr>
                <w:sz w:val="20"/>
                <w:szCs w:val="20"/>
              </w:rPr>
              <w:t>Chronic Obstructive Pulmonary Disease*Cardiorespiratory Failure</w:t>
            </w:r>
          </w:p>
        </w:tc>
        <w:tc>
          <w:tcPr>
            <w:tcW w:w="1560" w:type="dxa"/>
            <w:noWrap/>
            <w:hideMark/>
          </w:tcPr>
          <w:p w14:paraId="59367831" w14:textId="77777777" w:rsidR="009A7430" w:rsidRPr="001569FB" w:rsidRDefault="009A7430" w:rsidP="008D4E91">
            <w:pPr>
              <w:jc w:val="center"/>
              <w:rPr>
                <w:sz w:val="20"/>
                <w:szCs w:val="20"/>
              </w:rPr>
            </w:pPr>
            <w:r w:rsidRPr="001569FB">
              <w:rPr>
                <w:sz w:val="20"/>
                <w:szCs w:val="20"/>
              </w:rPr>
              <w:t>0.024</w:t>
            </w:r>
          </w:p>
        </w:tc>
      </w:tr>
      <w:tr w:rsidR="009A7430" w:rsidRPr="001569FB" w14:paraId="608A2251" w14:textId="77777777" w:rsidTr="008D4E91">
        <w:trPr>
          <w:trHeight w:val="300"/>
        </w:trPr>
        <w:tc>
          <w:tcPr>
            <w:tcW w:w="9350" w:type="dxa"/>
            <w:gridSpan w:val="3"/>
            <w:noWrap/>
            <w:hideMark/>
          </w:tcPr>
          <w:p w14:paraId="3C95F94F" w14:textId="30841EAE" w:rsidR="009A7430" w:rsidRPr="001569FB" w:rsidRDefault="009A7430" w:rsidP="008D4E91">
            <w:pPr>
              <w:rPr>
                <w:b/>
                <w:sz w:val="20"/>
                <w:szCs w:val="20"/>
              </w:rPr>
            </w:pPr>
            <w:r w:rsidRPr="001569FB">
              <w:rPr>
                <w:b/>
                <w:sz w:val="20"/>
                <w:szCs w:val="20"/>
              </w:rPr>
              <w:t>NonAged (Age &lt;65)/Disease Interactions</w:t>
            </w:r>
          </w:p>
        </w:tc>
      </w:tr>
      <w:tr w:rsidR="009A7430" w:rsidRPr="001569FB" w14:paraId="4F734D7F" w14:textId="77777777" w:rsidTr="008D4E91">
        <w:trPr>
          <w:trHeight w:val="315"/>
        </w:trPr>
        <w:tc>
          <w:tcPr>
            <w:tcW w:w="2695" w:type="dxa"/>
            <w:noWrap/>
            <w:hideMark/>
          </w:tcPr>
          <w:p w14:paraId="2E53565E" w14:textId="77777777" w:rsidR="009A7430" w:rsidRPr="001569FB" w:rsidRDefault="009A7430" w:rsidP="008D4E91">
            <w:pPr>
              <w:rPr>
                <w:sz w:val="20"/>
                <w:szCs w:val="20"/>
              </w:rPr>
            </w:pPr>
            <w:r w:rsidRPr="001569FB">
              <w:rPr>
                <w:sz w:val="20"/>
                <w:szCs w:val="20"/>
              </w:rPr>
              <w:t>NONAGED_HCC6</w:t>
            </w:r>
          </w:p>
        </w:tc>
        <w:tc>
          <w:tcPr>
            <w:tcW w:w="5095" w:type="dxa"/>
            <w:hideMark/>
          </w:tcPr>
          <w:p w14:paraId="4E251EED" w14:textId="77777777" w:rsidR="009A7430" w:rsidRPr="001569FB" w:rsidRDefault="009A7430" w:rsidP="008D4E91">
            <w:pPr>
              <w:rPr>
                <w:sz w:val="20"/>
                <w:szCs w:val="20"/>
              </w:rPr>
            </w:pPr>
            <w:r w:rsidRPr="001569FB">
              <w:rPr>
                <w:sz w:val="20"/>
                <w:szCs w:val="20"/>
              </w:rPr>
              <w:t>NonAged, Opportunistic Infections</w:t>
            </w:r>
          </w:p>
        </w:tc>
        <w:tc>
          <w:tcPr>
            <w:tcW w:w="1560" w:type="dxa"/>
            <w:noWrap/>
            <w:hideMark/>
          </w:tcPr>
          <w:p w14:paraId="01204E95" w14:textId="77777777" w:rsidR="009A7430" w:rsidRPr="001569FB" w:rsidRDefault="009A7430" w:rsidP="008D4E91">
            <w:pPr>
              <w:jc w:val="center"/>
              <w:rPr>
                <w:sz w:val="20"/>
                <w:szCs w:val="20"/>
              </w:rPr>
            </w:pPr>
            <w:r w:rsidRPr="001569FB">
              <w:rPr>
                <w:sz w:val="20"/>
                <w:szCs w:val="20"/>
              </w:rPr>
              <w:t>0.073</w:t>
            </w:r>
          </w:p>
        </w:tc>
      </w:tr>
      <w:tr w:rsidR="009A7430" w:rsidRPr="001569FB" w14:paraId="480D802E" w14:textId="77777777" w:rsidTr="008D4E91">
        <w:trPr>
          <w:trHeight w:val="315"/>
        </w:trPr>
        <w:tc>
          <w:tcPr>
            <w:tcW w:w="2695" w:type="dxa"/>
            <w:noWrap/>
            <w:hideMark/>
          </w:tcPr>
          <w:p w14:paraId="1570D0CA" w14:textId="77777777" w:rsidR="009A7430" w:rsidRPr="001569FB" w:rsidRDefault="009A7430" w:rsidP="008D4E91">
            <w:pPr>
              <w:rPr>
                <w:sz w:val="20"/>
                <w:szCs w:val="20"/>
              </w:rPr>
            </w:pPr>
            <w:r w:rsidRPr="001569FB">
              <w:rPr>
                <w:sz w:val="20"/>
                <w:szCs w:val="20"/>
              </w:rPr>
              <w:t>NONAGED_HCC34</w:t>
            </w:r>
          </w:p>
        </w:tc>
        <w:tc>
          <w:tcPr>
            <w:tcW w:w="5095" w:type="dxa"/>
            <w:hideMark/>
          </w:tcPr>
          <w:p w14:paraId="2406978C" w14:textId="77777777" w:rsidR="009A7430" w:rsidRPr="001569FB" w:rsidRDefault="009A7430" w:rsidP="008D4E91">
            <w:pPr>
              <w:rPr>
                <w:sz w:val="20"/>
                <w:szCs w:val="20"/>
              </w:rPr>
            </w:pPr>
            <w:r w:rsidRPr="001569FB">
              <w:rPr>
                <w:sz w:val="20"/>
                <w:szCs w:val="20"/>
              </w:rPr>
              <w:t>NonAged, Chronic Pancreatitis</w:t>
            </w:r>
          </w:p>
        </w:tc>
        <w:tc>
          <w:tcPr>
            <w:tcW w:w="1560" w:type="dxa"/>
            <w:noWrap/>
            <w:hideMark/>
          </w:tcPr>
          <w:p w14:paraId="2BF0983F" w14:textId="77777777" w:rsidR="009A7430" w:rsidRPr="001569FB" w:rsidRDefault="009A7430" w:rsidP="008D4E91">
            <w:pPr>
              <w:jc w:val="center"/>
              <w:rPr>
                <w:sz w:val="20"/>
                <w:szCs w:val="20"/>
              </w:rPr>
            </w:pPr>
            <w:r w:rsidRPr="001569FB">
              <w:rPr>
                <w:sz w:val="20"/>
                <w:szCs w:val="20"/>
              </w:rPr>
              <w:t>0.113</w:t>
            </w:r>
          </w:p>
        </w:tc>
      </w:tr>
      <w:tr w:rsidR="009A7430" w:rsidRPr="001569FB" w14:paraId="25D84401" w14:textId="77777777" w:rsidTr="008D4E91">
        <w:trPr>
          <w:trHeight w:val="315"/>
        </w:trPr>
        <w:tc>
          <w:tcPr>
            <w:tcW w:w="2695" w:type="dxa"/>
            <w:noWrap/>
            <w:hideMark/>
          </w:tcPr>
          <w:p w14:paraId="48FB2FA4" w14:textId="77777777" w:rsidR="009A7430" w:rsidRPr="001569FB" w:rsidRDefault="009A7430" w:rsidP="008D4E91">
            <w:pPr>
              <w:rPr>
                <w:sz w:val="20"/>
                <w:szCs w:val="20"/>
              </w:rPr>
            </w:pPr>
            <w:r w:rsidRPr="001569FB">
              <w:rPr>
                <w:sz w:val="20"/>
                <w:szCs w:val="20"/>
              </w:rPr>
              <w:t>NONAGED_HCC46</w:t>
            </w:r>
          </w:p>
        </w:tc>
        <w:tc>
          <w:tcPr>
            <w:tcW w:w="5095" w:type="dxa"/>
            <w:hideMark/>
          </w:tcPr>
          <w:p w14:paraId="675F72A1" w14:textId="77777777" w:rsidR="009A7430" w:rsidRPr="001569FB" w:rsidRDefault="009A7430" w:rsidP="008D4E91">
            <w:pPr>
              <w:rPr>
                <w:sz w:val="20"/>
                <w:szCs w:val="20"/>
              </w:rPr>
            </w:pPr>
            <w:r w:rsidRPr="001569FB">
              <w:rPr>
                <w:sz w:val="20"/>
                <w:szCs w:val="20"/>
              </w:rPr>
              <w:t>NonAged, Severe Hematological Disorders</w:t>
            </w:r>
          </w:p>
        </w:tc>
        <w:tc>
          <w:tcPr>
            <w:tcW w:w="1560" w:type="dxa"/>
            <w:noWrap/>
            <w:hideMark/>
          </w:tcPr>
          <w:p w14:paraId="53BD7257" w14:textId="77777777" w:rsidR="009A7430" w:rsidRPr="001569FB" w:rsidRDefault="009A7430" w:rsidP="008D4E91">
            <w:pPr>
              <w:jc w:val="center"/>
              <w:rPr>
                <w:sz w:val="20"/>
                <w:szCs w:val="20"/>
              </w:rPr>
            </w:pPr>
            <w:r w:rsidRPr="001569FB">
              <w:rPr>
                <w:sz w:val="20"/>
                <w:szCs w:val="20"/>
              </w:rPr>
              <w:t>0.157</w:t>
            </w:r>
          </w:p>
        </w:tc>
      </w:tr>
      <w:tr w:rsidR="009A7430" w:rsidRPr="001569FB" w14:paraId="612D4638" w14:textId="77777777" w:rsidTr="008D4E91">
        <w:trPr>
          <w:trHeight w:val="315"/>
        </w:trPr>
        <w:tc>
          <w:tcPr>
            <w:tcW w:w="2695" w:type="dxa"/>
            <w:noWrap/>
            <w:hideMark/>
          </w:tcPr>
          <w:p w14:paraId="74B5B061" w14:textId="77777777" w:rsidR="009A7430" w:rsidRPr="001569FB" w:rsidRDefault="009A7430" w:rsidP="008D4E91">
            <w:pPr>
              <w:rPr>
                <w:sz w:val="20"/>
                <w:szCs w:val="20"/>
              </w:rPr>
            </w:pPr>
            <w:r w:rsidRPr="001569FB">
              <w:rPr>
                <w:sz w:val="20"/>
                <w:szCs w:val="20"/>
              </w:rPr>
              <w:t>NONAGED_HCC54</w:t>
            </w:r>
          </w:p>
        </w:tc>
        <w:tc>
          <w:tcPr>
            <w:tcW w:w="5095" w:type="dxa"/>
            <w:hideMark/>
          </w:tcPr>
          <w:p w14:paraId="793C6728" w14:textId="77777777" w:rsidR="009A7430" w:rsidRPr="001569FB" w:rsidRDefault="009A7430" w:rsidP="008D4E91">
            <w:pPr>
              <w:rPr>
                <w:sz w:val="20"/>
                <w:szCs w:val="20"/>
              </w:rPr>
            </w:pPr>
            <w:r w:rsidRPr="001569FB">
              <w:rPr>
                <w:sz w:val="20"/>
                <w:szCs w:val="20"/>
              </w:rPr>
              <w:t>NonAged, Drug/Alcohol Psychosis</w:t>
            </w:r>
          </w:p>
        </w:tc>
        <w:tc>
          <w:tcPr>
            <w:tcW w:w="1560" w:type="dxa"/>
            <w:noWrap/>
            <w:hideMark/>
          </w:tcPr>
          <w:p w14:paraId="1D4E555B" w14:textId="77777777" w:rsidR="009A7430" w:rsidRPr="001569FB" w:rsidRDefault="009A7430" w:rsidP="008D4E91">
            <w:pPr>
              <w:jc w:val="center"/>
              <w:rPr>
                <w:sz w:val="20"/>
                <w:szCs w:val="20"/>
              </w:rPr>
            </w:pPr>
            <w:r w:rsidRPr="001569FB">
              <w:rPr>
                <w:sz w:val="20"/>
                <w:szCs w:val="20"/>
              </w:rPr>
              <w:t>0.133</w:t>
            </w:r>
          </w:p>
        </w:tc>
      </w:tr>
      <w:tr w:rsidR="009A7430" w:rsidRPr="001569FB" w14:paraId="485BA8DE" w14:textId="77777777" w:rsidTr="008D4E91">
        <w:trPr>
          <w:trHeight w:val="315"/>
        </w:trPr>
        <w:tc>
          <w:tcPr>
            <w:tcW w:w="2695" w:type="dxa"/>
            <w:noWrap/>
            <w:hideMark/>
          </w:tcPr>
          <w:p w14:paraId="20EBBB19" w14:textId="77777777" w:rsidR="009A7430" w:rsidRPr="001569FB" w:rsidRDefault="009A7430" w:rsidP="008D4E91">
            <w:pPr>
              <w:rPr>
                <w:sz w:val="20"/>
                <w:szCs w:val="20"/>
              </w:rPr>
            </w:pPr>
            <w:r w:rsidRPr="001569FB">
              <w:rPr>
                <w:sz w:val="20"/>
                <w:szCs w:val="20"/>
              </w:rPr>
              <w:t>NONAGED_HCC55</w:t>
            </w:r>
          </w:p>
        </w:tc>
        <w:tc>
          <w:tcPr>
            <w:tcW w:w="5095" w:type="dxa"/>
            <w:hideMark/>
          </w:tcPr>
          <w:p w14:paraId="0E755F03" w14:textId="77777777" w:rsidR="009A7430" w:rsidRPr="001569FB" w:rsidRDefault="009A7430" w:rsidP="008D4E91">
            <w:pPr>
              <w:rPr>
                <w:sz w:val="20"/>
                <w:szCs w:val="20"/>
              </w:rPr>
            </w:pPr>
            <w:r w:rsidRPr="001569FB">
              <w:rPr>
                <w:sz w:val="20"/>
                <w:szCs w:val="20"/>
              </w:rPr>
              <w:t>NonAged, Drug/Alcohol Dependence</w:t>
            </w:r>
          </w:p>
        </w:tc>
        <w:tc>
          <w:tcPr>
            <w:tcW w:w="1560" w:type="dxa"/>
            <w:noWrap/>
            <w:hideMark/>
          </w:tcPr>
          <w:p w14:paraId="47CAC105" w14:textId="77777777" w:rsidR="009A7430" w:rsidRPr="001569FB" w:rsidRDefault="009A7430" w:rsidP="008D4E91">
            <w:pPr>
              <w:jc w:val="center"/>
              <w:rPr>
                <w:sz w:val="20"/>
                <w:szCs w:val="20"/>
              </w:rPr>
            </w:pPr>
            <w:r w:rsidRPr="001569FB">
              <w:rPr>
                <w:sz w:val="20"/>
                <w:szCs w:val="20"/>
              </w:rPr>
              <w:t>0.122</w:t>
            </w:r>
          </w:p>
        </w:tc>
      </w:tr>
      <w:tr w:rsidR="009A7430" w:rsidRPr="001569FB" w14:paraId="3F1A19D4" w14:textId="77777777" w:rsidTr="008D4E91">
        <w:trPr>
          <w:trHeight w:val="315"/>
        </w:trPr>
        <w:tc>
          <w:tcPr>
            <w:tcW w:w="2695" w:type="dxa"/>
            <w:noWrap/>
            <w:hideMark/>
          </w:tcPr>
          <w:p w14:paraId="7F6A347F" w14:textId="77777777" w:rsidR="009A7430" w:rsidRPr="001569FB" w:rsidRDefault="009A7430" w:rsidP="008D4E91">
            <w:pPr>
              <w:rPr>
                <w:sz w:val="20"/>
                <w:szCs w:val="20"/>
              </w:rPr>
            </w:pPr>
            <w:r w:rsidRPr="001569FB">
              <w:rPr>
                <w:sz w:val="20"/>
                <w:szCs w:val="20"/>
              </w:rPr>
              <w:t>NONAGED_HCC110</w:t>
            </w:r>
          </w:p>
        </w:tc>
        <w:tc>
          <w:tcPr>
            <w:tcW w:w="5095" w:type="dxa"/>
            <w:hideMark/>
          </w:tcPr>
          <w:p w14:paraId="286CE2E6" w14:textId="77777777" w:rsidR="009A7430" w:rsidRPr="001569FB" w:rsidRDefault="009A7430" w:rsidP="008D4E91">
            <w:pPr>
              <w:rPr>
                <w:sz w:val="20"/>
                <w:szCs w:val="20"/>
              </w:rPr>
            </w:pPr>
            <w:r w:rsidRPr="001569FB">
              <w:rPr>
                <w:sz w:val="20"/>
                <w:szCs w:val="20"/>
              </w:rPr>
              <w:t>NonAged, Cystic Fibrosis</w:t>
            </w:r>
          </w:p>
        </w:tc>
        <w:tc>
          <w:tcPr>
            <w:tcW w:w="1560" w:type="dxa"/>
            <w:noWrap/>
            <w:hideMark/>
          </w:tcPr>
          <w:p w14:paraId="744967A5" w14:textId="77777777" w:rsidR="009A7430" w:rsidRPr="001569FB" w:rsidRDefault="009A7430" w:rsidP="008D4E91">
            <w:pPr>
              <w:jc w:val="center"/>
              <w:rPr>
                <w:sz w:val="20"/>
                <w:szCs w:val="20"/>
              </w:rPr>
            </w:pPr>
            <w:r w:rsidRPr="001569FB">
              <w:rPr>
                <w:sz w:val="20"/>
                <w:szCs w:val="20"/>
              </w:rPr>
              <w:t>0.298</w:t>
            </w:r>
          </w:p>
        </w:tc>
      </w:tr>
      <w:tr w:rsidR="009A7430" w:rsidRPr="001569FB" w14:paraId="6FDF7C2F" w14:textId="77777777" w:rsidTr="008D4E91">
        <w:trPr>
          <w:trHeight w:val="315"/>
        </w:trPr>
        <w:tc>
          <w:tcPr>
            <w:tcW w:w="2695" w:type="dxa"/>
            <w:noWrap/>
            <w:hideMark/>
          </w:tcPr>
          <w:p w14:paraId="675DC1A4" w14:textId="77777777" w:rsidR="009A7430" w:rsidRPr="001569FB" w:rsidRDefault="009A7430" w:rsidP="008D4E91">
            <w:pPr>
              <w:rPr>
                <w:sz w:val="20"/>
                <w:szCs w:val="20"/>
              </w:rPr>
            </w:pPr>
            <w:r w:rsidRPr="001569FB">
              <w:rPr>
                <w:sz w:val="20"/>
                <w:szCs w:val="20"/>
              </w:rPr>
              <w:t>NONAGED_HCC176</w:t>
            </w:r>
          </w:p>
        </w:tc>
        <w:tc>
          <w:tcPr>
            <w:tcW w:w="5095" w:type="dxa"/>
            <w:hideMark/>
          </w:tcPr>
          <w:p w14:paraId="12DA9270" w14:textId="77777777" w:rsidR="009A7430" w:rsidRPr="001569FB" w:rsidRDefault="009A7430" w:rsidP="008D4E91">
            <w:pPr>
              <w:rPr>
                <w:sz w:val="20"/>
                <w:szCs w:val="20"/>
              </w:rPr>
            </w:pPr>
            <w:r w:rsidRPr="001569FB">
              <w:rPr>
                <w:sz w:val="20"/>
                <w:szCs w:val="20"/>
              </w:rPr>
              <w:t>NonAged, Complications of Specified Implanted Device or Graft</w:t>
            </w:r>
          </w:p>
        </w:tc>
        <w:tc>
          <w:tcPr>
            <w:tcW w:w="1560" w:type="dxa"/>
            <w:noWrap/>
            <w:hideMark/>
          </w:tcPr>
          <w:p w14:paraId="66308EB4" w14:textId="77777777" w:rsidR="009A7430" w:rsidRPr="001569FB" w:rsidRDefault="009A7430" w:rsidP="008D4E91">
            <w:pPr>
              <w:jc w:val="center"/>
              <w:rPr>
                <w:sz w:val="20"/>
                <w:szCs w:val="20"/>
              </w:rPr>
            </w:pPr>
            <w:r w:rsidRPr="001569FB">
              <w:rPr>
                <w:sz w:val="20"/>
                <w:szCs w:val="20"/>
              </w:rPr>
              <w:t>0.040</w:t>
            </w:r>
          </w:p>
        </w:tc>
      </w:tr>
    </w:tbl>
    <w:p w14:paraId="428A619C" w14:textId="77777777" w:rsidR="009A7430" w:rsidRPr="001569FB" w:rsidRDefault="009A7430" w:rsidP="002707EC">
      <w:pPr>
        <w:spacing w:before="120" w:line="240" w:lineRule="auto"/>
        <w:rPr>
          <w:b/>
          <w:bCs/>
          <w:sz w:val="18"/>
          <w:szCs w:val="18"/>
        </w:rPr>
      </w:pPr>
      <w:r w:rsidRPr="001569FB">
        <w:rPr>
          <w:b/>
          <w:bCs/>
          <w:sz w:val="18"/>
          <w:szCs w:val="18"/>
        </w:rPr>
        <w:t xml:space="preserve">NOTES: </w:t>
      </w:r>
    </w:p>
    <w:p w14:paraId="51CF84FF" w14:textId="5799B60D"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bookmarkStart w:id="589" w:name="_Hlk501098016"/>
      <w:r w:rsidRPr="001569FB">
        <w:rPr>
          <w:sz w:val="18"/>
          <w:szCs w:val="18"/>
        </w:rPr>
        <w:t xml:space="preserve">The CMS ESRD Dialysis Denominator used to calculate the relative factors is $82,113.76. </w:t>
      </w:r>
      <w:bookmarkEnd w:id="589"/>
    </w:p>
    <w:p w14:paraId="212E16FC" w14:textId="3EE9FD72" w:rsidR="009A7430" w:rsidRPr="001569FB" w:rsidRDefault="009A7430" w:rsidP="002707EC">
      <w:pPr>
        <w:spacing w:before="40" w:line="240" w:lineRule="auto"/>
        <w:ind w:left="720" w:hanging="360"/>
        <w:rPr>
          <w:sz w:val="18"/>
          <w:szCs w:val="18"/>
        </w:rPr>
      </w:pPr>
      <w:r w:rsidRPr="001569FB">
        <w:rPr>
          <w:sz w:val="18"/>
          <w:szCs w:val="18"/>
        </w:rPr>
        <w:t>2.</w:t>
      </w:r>
      <w:r w:rsidR="00EE73C0" w:rsidRPr="001569FB">
        <w:rPr>
          <w:sz w:val="18"/>
          <w:szCs w:val="18"/>
        </w:rPr>
        <w:tab/>
      </w:r>
      <w:r w:rsidRPr="001569FB">
        <w:rPr>
          <w:sz w:val="18"/>
          <w:szCs w:val="18"/>
        </w:rPr>
        <w:t>Originally Disabled indicates beneficiary originally entitled to Medicare for reasons of disability other than ESRD.</w:t>
      </w:r>
    </w:p>
    <w:p w14:paraId="7B3A4DA7" w14:textId="4C6A4462"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ESRD indicates beneficiary originally entitled to Medicare due to ESRD.</w:t>
      </w:r>
      <w:bookmarkStart w:id="590" w:name="_Hlk501098085"/>
      <w:r w:rsidRPr="001569FB">
        <w:rPr>
          <w:sz w:val="18"/>
          <w:szCs w:val="18"/>
        </w:rPr>
        <w:t xml:space="preserve"> Beneficiaries who are Originally ESRD cannot be Originally Disabled. </w:t>
      </w:r>
    </w:p>
    <w:p w14:paraId="06C20412" w14:textId="3B00BF3F" w:rsidR="009A7430" w:rsidRPr="001569FB" w:rsidRDefault="00EE73C0" w:rsidP="002707EC">
      <w:pPr>
        <w:spacing w:before="40" w:line="240" w:lineRule="auto"/>
        <w:ind w:left="720" w:hanging="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EE48B5" w:rsidRPr="001569FB">
        <w:rPr>
          <w:sz w:val="18"/>
          <w:szCs w:val="18"/>
        </w:rPr>
        <w:t>“</w:t>
      </w:r>
      <w:r w:rsidR="009A7430" w:rsidRPr="001569FB">
        <w:rPr>
          <w:sz w:val="18"/>
          <w:szCs w:val="18"/>
        </w:rPr>
        <w:t>disease interactions,</w:t>
      </w:r>
      <w:r w:rsidR="00EE48B5" w:rsidRPr="001569FB">
        <w:rPr>
          <w:sz w:val="18"/>
          <w:szCs w:val="18"/>
        </w:rPr>
        <w:t>”</w:t>
      </w:r>
      <w:r w:rsidR="009A7430" w:rsidRPr="001569FB">
        <w:rPr>
          <w:sz w:val="18"/>
          <w:szCs w:val="18"/>
        </w:rPr>
        <w:t xml:space="preserve"> the variables are defined as follows:</w:t>
      </w:r>
    </w:p>
    <w:p w14:paraId="5C22E6E7" w14:textId="77777777" w:rsidR="009A7430" w:rsidRPr="001569FB" w:rsidRDefault="009A7430" w:rsidP="002707EC">
      <w:pPr>
        <w:spacing w:line="240" w:lineRule="auto"/>
        <w:ind w:left="1080"/>
        <w:rPr>
          <w:sz w:val="18"/>
          <w:szCs w:val="18"/>
        </w:rPr>
      </w:pPr>
      <w:r w:rsidRPr="001569FB">
        <w:rPr>
          <w:sz w:val="18"/>
          <w:szCs w:val="18"/>
        </w:rPr>
        <w:t>Sepsis = HCC 2.</w:t>
      </w:r>
    </w:p>
    <w:p w14:paraId="420106E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3C71D336" w14:textId="77777777" w:rsidR="009A7430" w:rsidRPr="001569FB" w:rsidRDefault="009A7430" w:rsidP="002707EC">
      <w:pPr>
        <w:spacing w:line="240" w:lineRule="auto"/>
        <w:ind w:left="1080"/>
        <w:rPr>
          <w:sz w:val="18"/>
          <w:szCs w:val="18"/>
        </w:rPr>
      </w:pPr>
      <w:r w:rsidRPr="001569FB">
        <w:rPr>
          <w:sz w:val="18"/>
          <w:szCs w:val="18"/>
        </w:rPr>
        <w:t>Cancer = HCCs 8-12.</w:t>
      </w:r>
    </w:p>
    <w:p w14:paraId="75C0808D"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75109B6E" w14:textId="77777777" w:rsidR="009A7430" w:rsidRPr="001569FB" w:rsidRDefault="009A7430" w:rsidP="002707EC">
      <w:pPr>
        <w:spacing w:line="240" w:lineRule="auto"/>
        <w:ind w:left="1080"/>
        <w:rPr>
          <w:sz w:val="18"/>
          <w:szCs w:val="18"/>
        </w:rPr>
      </w:pPr>
      <w:r w:rsidRPr="001569FB">
        <w:rPr>
          <w:sz w:val="18"/>
          <w:szCs w:val="18"/>
        </w:rPr>
        <w:t>Diabetes = HCCs 17, 18, 19.</w:t>
      </w:r>
    </w:p>
    <w:p w14:paraId="1927AEB1"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CE4C445" w14:textId="26B5B8BE" w:rsidR="009A7430" w:rsidRPr="001569FB" w:rsidRDefault="009A7430" w:rsidP="002707EC">
      <w:pPr>
        <w:spacing w:after="60" w:line="240" w:lineRule="auto"/>
        <w:ind w:left="1080"/>
        <w:rPr>
          <w:sz w:val="18"/>
          <w:szCs w:val="18"/>
        </w:rPr>
      </w:pPr>
      <w:r w:rsidRPr="001569FB">
        <w:rPr>
          <w:sz w:val="18"/>
          <w:szCs w:val="18"/>
        </w:rPr>
        <w:t>Chronic Obstructive Pulmonary Disease = HCCs 110-111.</w:t>
      </w:r>
    </w:p>
    <w:p w14:paraId="435BB1F9" w14:textId="247D173C" w:rsidR="009A7430" w:rsidRPr="001569FB" w:rsidRDefault="009A7430" w:rsidP="002707EC">
      <w:pPr>
        <w:spacing w:before="60" w:line="240" w:lineRule="auto"/>
        <w:rPr>
          <w:b/>
        </w:rPr>
      </w:pPr>
      <w:r w:rsidRPr="001569FB">
        <w:rPr>
          <w:b/>
          <w:bCs/>
          <w:sz w:val="18"/>
          <w:szCs w:val="18"/>
        </w:rPr>
        <w:t xml:space="preserve">SOURCE:  </w:t>
      </w:r>
      <w:r w:rsidRPr="001569FB">
        <w:rPr>
          <w:bCs/>
          <w:sz w:val="18"/>
          <w:szCs w:val="18"/>
        </w:rPr>
        <w:t>RTI International analysis of 2014/2015 Medicare 100% ESRD claims and enrollment data.</w:t>
      </w:r>
      <w:bookmarkEnd w:id="590"/>
    </w:p>
    <w:p w14:paraId="10330790" w14:textId="6C7DC6B0" w:rsidR="009A7430" w:rsidRPr="001569FB" w:rsidRDefault="00E177CD" w:rsidP="00E177CD">
      <w:pPr>
        <w:pStyle w:val="HeadingA"/>
      </w:pPr>
      <w:bookmarkStart w:id="591" w:name="_Toc503950933"/>
      <w:bookmarkStart w:id="592" w:name="_Toc503980158"/>
      <w:bookmarkEnd w:id="587"/>
      <w:r w:rsidRPr="001569FB">
        <w:br w:type="page"/>
      </w:r>
      <w:bookmarkStart w:id="593" w:name="_Toc505253819"/>
      <w:r w:rsidR="009A7430" w:rsidRPr="001569FB">
        <w:lastRenderedPageBreak/>
        <w:t>Table</w:t>
      </w:r>
      <w:r w:rsidR="0081492D" w:rsidRPr="001569FB">
        <w:t xml:space="preserve"> </w:t>
      </w:r>
      <w:r w:rsidR="00440F3D" w:rsidRPr="001569FB">
        <w:t>V-</w:t>
      </w:r>
      <w:r w:rsidR="0081492D" w:rsidRPr="001569FB">
        <w:t>7</w:t>
      </w:r>
      <w:r w:rsidR="009A7430" w:rsidRPr="001569FB">
        <w:t>. ESRD Model Demographic Relative Factors for New Enrollees in Dialysis Status</w:t>
      </w:r>
      <w:bookmarkEnd w:id="591"/>
      <w:bookmarkEnd w:id="592"/>
      <w:bookmarkEnd w:id="593"/>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85"/>
        <w:gridCol w:w="1980"/>
        <w:gridCol w:w="1800"/>
        <w:gridCol w:w="1980"/>
        <w:gridCol w:w="1705"/>
      </w:tblGrid>
      <w:tr w:rsidR="009A7430" w:rsidRPr="001569FB" w14:paraId="5E17D47B" w14:textId="77777777" w:rsidTr="00E177CD">
        <w:trPr>
          <w:cantSplit/>
          <w:trHeight w:val="864"/>
          <w:tblHeader/>
        </w:trPr>
        <w:tc>
          <w:tcPr>
            <w:tcW w:w="1885" w:type="dxa"/>
            <w:tcBorders>
              <w:top w:val="single" w:sz="4" w:space="0" w:color="auto"/>
              <w:bottom w:val="single" w:sz="4" w:space="0" w:color="auto"/>
              <w:right w:val="single" w:sz="4" w:space="0" w:color="auto"/>
            </w:tcBorders>
            <w:noWrap/>
            <w:hideMark/>
          </w:tcPr>
          <w:p w14:paraId="10B5DF3B" w14:textId="77777777" w:rsidR="009A7430" w:rsidRPr="001569FB" w:rsidRDefault="009A7430" w:rsidP="008D4E91">
            <w:pPr>
              <w:jc w:val="center"/>
              <w:rPr>
                <w:sz w:val="20"/>
                <w:szCs w:val="20"/>
              </w:rPr>
            </w:pPr>
            <w:r w:rsidRPr="001569FB">
              <w:rPr>
                <w:b/>
                <w:bCs/>
                <w:szCs w:val="24"/>
              </w:rPr>
              <w:t> </w:t>
            </w:r>
          </w:p>
        </w:tc>
        <w:tc>
          <w:tcPr>
            <w:tcW w:w="1980" w:type="dxa"/>
            <w:tcBorders>
              <w:top w:val="single" w:sz="4" w:space="0" w:color="auto"/>
              <w:left w:val="single" w:sz="4" w:space="0" w:color="auto"/>
              <w:bottom w:val="single" w:sz="4" w:space="0" w:color="auto"/>
              <w:right w:val="single" w:sz="4" w:space="0" w:color="auto"/>
            </w:tcBorders>
            <w:hideMark/>
          </w:tcPr>
          <w:p w14:paraId="2C418B97" w14:textId="77777777" w:rsidR="009A7430" w:rsidRPr="001569FB" w:rsidRDefault="009A7430" w:rsidP="008D4E91">
            <w:pPr>
              <w:jc w:val="center"/>
              <w:rPr>
                <w:b/>
                <w:sz w:val="20"/>
                <w:szCs w:val="20"/>
              </w:rPr>
            </w:pPr>
            <w:r w:rsidRPr="001569FB">
              <w:rPr>
                <w:b/>
                <w:sz w:val="20"/>
                <w:szCs w:val="20"/>
              </w:rPr>
              <w:t>Non-Medicaid &amp; Non-Originally Disabled</w:t>
            </w:r>
          </w:p>
        </w:tc>
        <w:tc>
          <w:tcPr>
            <w:tcW w:w="1800" w:type="dxa"/>
            <w:tcBorders>
              <w:top w:val="single" w:sz="4" w:space="0" w:color="auto"/>
              <w:left w:val="single" w:sz="4" w:space="0" w:color="auto"/>
              <w:bottom w:val="single" w:sz="4" w:space="0" w:color="auto"/>
              <w:right w:val="single" w:sz="4" w:space="0" w:color="auto"/>
            </w:tcBorders>
            <w:hideMark/>
          </w:tcPr>
          <w:p w14:paraId="6994D953"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80" w:type="dxa"/>
            <w:tcBorders>
              <w:top w:val="single" w:sz="4" w:space="0" w:color="auto"/>
              <w:left w:val="single" w:sz="4" w:space="0" w:color="auto"/>
              <w:bottom w:val="single" w:sz="4" w:space="0" w:color="auto"/>
              <w:right w:val="single" w:sz="4" w:space="0" w:color="auto"/>
            </w:tcBorders>
            <w:hideMark/>
          </w:tcPr>
          <w:p w14:paraId="0E622B35" w14:textId="77777777" w:rsidR="009A7430" w:rsidRPr="001569FB" w:rsidRDefault="009A7430" w:rsidP="008D4E91">
            <w:pPr>
              <w:jc w:val="center"/>
              <w:rPr>
                <w:b/>
                <w:bCs/>
                <w:sz w:val="20"/>
                <w:szCs w:val="20"/>
              </w:rPr>
            </w:pPr>
            <w:r w:rsidRPr="001569FB">
              <w:rPr>
                <w:b/>
                <w:bCs/>
                <w:sz w:val="20"/>
                <w:szCs w:val="20"/>
              </w:rPr>
              <w:t xml:space="preserve">Non-Medicaid &amp; Originally Disabled </w:t>
            </w:r>
          </w:p>
        </w:tc>
        <w:tc>
          <w:tcPr>
            <w:tcW w:w="1705" w:type="dxa"/>
            <w:tcBorders>
              <w:top w:val="single" w:sz="4" w:space="0" w:color="auto"/>
              <w:left w:val="single" w:sz="4" w:space="0" w:color="auto"/>
              <w:bottom w:val="single" w:sz="4" w:space="0" w:color="auto"/>
              <w:right w:val="single" w:sz="4" w:space="0" w:color="auto"/>
            </w:tcBorders>
            <w:hideMark/>
          </w:tcPr>
          <w:p w14:paraId="672052DD"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4F5AE336" w14:textId="77777777" w:rsidTr="008D4E91">
        <w:trPr>
          <w:trHeight w:val="300"/>
        </w:trPr>
        <w:tc>
          <w:tcPr>
            <w:tcW w:w="1885" w:type="dxa"/>
            <w:tcBorders>
              <w:top w:val="single" w:sz="4" w:space="0" w:color="auto"/>
              <w:bottom w:val="nil"/>
              <w:right w:val="single" w:sz="4" w:space="0" w:color="auto"/>
            </w:tcBorders>
            <w:noWrap/>
            <w:hideMark/>
          </w:tcPr>
          <w:p w14:paraId="533F579C" w14:textId="77777777" w:rsidR="009A7430" w:rsidRPr="001569FB" w:rsidRDefault="009A7430" w:rsidP="008D4E91">
            <w:pPr>
              <w:rPr>
                <w:b/>
                <w:bCs/>
                <w:sz w:val="20"/>
                <w:szCs w:val="20"/>
              </w:rPr>
            </w:pPr>
            <w:r w:rsidRPr="001569FB">
              <w:rPr>
                <w:b/>
                <w:bCs/>
                <w:sz w:val="20"/>
                <w:szCs w:val="20"/>
              </w:rPr>
              <w:t>Female</w:t>
            </w:r>
          </w:p>
        </w:tc>
        <w:tc>
          <w:tcPr>
            <w:tcW w:w="1980" w:type="dxa"/>
            <w:tcBorders>
              <w:top w:val="single" w:sz="4" w:space="0" w:color="auto"/>
              <w:left w:val="single" w:sz="4" w:space="0" w:color="auto"/>
              <w:bottom w:val="nil"/>
              <w:right w:val="single" w:sz="4" w:space="0" w:color="auto"/>
            </w:tcBorders>
            <w:noWrap/>
            <w:hideMark/>
          </w:tcPr>
          <w:p w14:paraId="4010EF36" w14:textId="77777777" w:rsidR="009A7430" w:rsidRPr="001569FB" w:rsidRDefault="009A7430" w:rsidP="008D4E91">
            <w:pPr>
              <w:jc w:val="center"/>
              <w:rPr>
                <w:b/>
                <w:bCs/>
                <w:sz w:val="20"/>
                <w:szCs w:val="20"/>
              </w:rPr>
            </w:pPr>
          </w:p>
        </w:tc>
        <w:tc>
          <w:tcPr>
            <w:tcW w:w="1800" w:type="dxa"/>
            <w:tcBorders>
              <w:top w:val="single" w:sz="4" w:space="0" w:color="auto"/>
              <w:left w:val="single" w:sz="4" w:space="0" w:color="auto"/>
              <w:bottom w:val="nil"/>
              <w:right w:val="single" w:sz="4" w:space="0" w:color="auto"/>
            </w:tcBorders>
            <w:noWrap/>
            <w:hideMark/>
          </w:tcPr>
          <w:p w14:paraId="64B5C7E7" w14:textId="77777777" w:rsidR="009A7430" w:rsidRPr="001569FB" w:rsidRDefault="009A7430" w:rsidP="008D4E91">
            <w:pPr>
              <w:jc w:val="center"/>
              <w:rPr>
                <w:sz w:val="20"/>
                <w:szCs w:val="20"/>
              </w:rPr>
            </w:pPr>
          </w:p>
        </w:tc>
        <w:tc>
          <w:tcPr>
            <w:tcW w:w="1980" w:type="dxa"/>
            <w:tcBorders>
              <w:top w:val="single" w:sz="4" w:space="0" w:color="auto"/>
              <w:left w:val="single" w:sz="4" w:space="0" w:color="auto"/>
              <w:bottom w:val="nil"/>
              <w:right w:val="single" w:sz="4" w:space="0" w:color="auto"/>
            </w:tcBorders>
            <w:noWrap/>
            <w:hideMark/>
          </w:tcPr>
          <w:p w14:paraId="2CC2C83A" w14:textId="77777777" w:rsidR="009A7430" w:rsidRPr="001569FB" w:rsidRDefault="009A7430" w:rsidP="008D4E91">
            <w:pPr>
              <w:jc w:val="center"/>
              <w:rPr>
                <w:sz w:val="20"/>
                <w:szCs w:val="20"/>
              </w:rPr>
            </w:pPr>
          </w:p>
        </w:tc>
        <w:tc>
          <w:tcPr>
            <w:tcW w:w="1705" w:type="dxa"/>
            <w:tcBorders>
              <w:top w:val="single" w:sz="4" w:space="0" w:color="auto"/>
              <w:left w:val="single" w:sz="4" w:space="0" w:color="auto"/>
              <w:bottom w:val="nil"/>
              <w:right w:val="single" w:sz="4" w:space="0" w:color="auto"/>
            </w:tcBorders>
            <w:noWrap/>
            <w:hideMark/>
          </w:tcPr>
          <w:p w14:paraId="478834B5" w14:textId="77777777" w:rsidR="009A7430" w:rsidRPr="001569FB" w:rsidRDefault="009A7430" w:rsidP="008D4E91">
            <w:pPr>
              <w:jc w:val="center"/>
              <w:rPr>
                <w:sz w:val="20"/>
                <w:szCs w:val="20"/>
              </w:rPr>
            </w:pPr>
            <w:r w:rsidRPr="001569FB">
              <w:rPr>
                <w:sz w:val="20"/>
                <w:szCs w:val="20"/>
              </w:rPr>
              <w:t> </w:t>
            </w:r>
          </w:p>
        </w:tc>
      </w:tr>
      <w:tr w:rsidR="009A7430" w:rsidRPr="001569FB" w14:paraId="0ECA77AD" w14:textId="77777777" w:rsidTr="008D4E91">
        <w:trPr>
          <w:trHeight w:val="300"/>
        </w:trPr>
        <w:tc>
          <w:tcPr>
            <w:tcW w:w="1885" w:type="dxa"/>
            <w:tcBorders>
              <w:top w:val="nil"/>
              <w:bottom w:val="nil"/>
              <w:right w:val="single" w:sz="4" w:space="0" w:color="auto"/>
            </w:tcBorders>
            <w:noWrap/>
            <w:hideMark/>
          </w:tcPr>
          <w:p w14:paraId="6CCB7830"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54CEC704"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1BB5CEC7" w14:textId="77777777" w:rsidR="009A7430" w:rsidRPr="001569FB" w:rsidRDefault="009A7430" w:rsidP="008D4E91">
            <w:pPr>
              <w:jc w:val="center"/>
              <w:rPr>
                <w:sz w:val="20"/>
                <w:szCs w:val="20"/>
              </w:rPr>
            </w:pPr>
            <w:r w:rsidRPr="001569FB">
              <w:rPr>
                <w:sz w:val="20"/>
                <w:szCs w:val="20"/>
              </w:rPr>
              <w:t>1.066</w:t>
            </w:r>
          </w:p>
        </w:tc>
        <w:tc>
          <w:tcPr>
            <w:tcW w:w="1980" w:type="dxa"/>
            <w:tcBorders>
              <w:top w:val="nil"/>
              <w:left w:val="single" w:sz="4" w:space="0" w:color="auto"/>
              <w:bottom w:val="nil"/>
              <w:right w:val="single" w:sz="4" w:space="0" w:color="auto"/>
            </w:tcBorders>
            <w:noWrap/>
            <w:hideMark/>
          </w:tcPr>
          <w:p w14:paraId="28CA7878"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right w:val="single" w:sz="4" w:space="0" w:color="auto"/>
            </w:tcBorders>
            <w:noWrap/>
            <w:hideMark/>
          </w:tcPr>
          <w:p w14:paraId="7A7C54B4" w14:textId="77777777" w:rsidR="009A7430" w:rsidRPr="001569FB" w:rsidRDefault="009A7430" w:rsidP="008D4E91">
            <w:pPr>
              <w:jc w:val="center"/>
              <w:rPr>
                <w:sz w:val="20"/>
                <w:szCs w:val="20"/>
              </w:rPr>
            </w:pPr>
            <w:r w:rsidRPr="001569FB">
              <w:rPr>
                <w:sz w:val="20"/>
                <w:szCs w:val="20"/>
              </w:rPr>
              <w:t>1.328</w:t>
            </w:r>
          </w:p>
        </w:tc>
      </w:tr>
      <w:tr w:rsidR="009A7430" w:rsidRPr="001569FB" w14:paraId="08357FE4" w14:textId="77777777" w:rsidTr="008D4E91">
        <w:trPr>
          <w:trHeight w:val="300"/>
        </w:trPr>
        <w:tc>
          <w:tcPr>
            <w:tcW w:w="1885" w:type="dxa"/>
            <w:tcBorders>
              <w:top w:val="nil"/>
              <w:bottom w:val="nil"/>
              <w:right w:val="single" w:sz="4" w:space="0" w:color="auto"/>
            </w:tcBorders>
            <w:noWrap/>
            <w:hideMark/>
          </w:tcPr>
          <w:p w14:paraId="085DEC1C"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1637B3DC"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71FBAF8C" w14:textId="77777777" w:rsidR="009A7430" w:rsidRPr="001569FB" w:rsidRDefault="009A7430" w:rsidP="008D4E91">
            <w:pPr>
              <w:jc w:val="center"/>
              <w:rPr>
                <w:sz w:val="20"/>
                <w:szCs w:val="20"/>
              </w:rPr>
            </w:pPr>
            <w:r w:rsidRPr="001569FB">
              <w:rPr>
                <w:sz w:val="20"/>
                <w:szCs w:val="20"/>
              </w:rPr>
              <w:t>1.028</w:t>
            </w:r>
          </w:p>
        </w:tc>
        <w:tc>
          <w:tcPr>
            <w:tcW w:w="1980" w:type="dxa"/>
            <w:tcBorders>
              <w:top w:val="nil"/>
              <w:left w:val="single" w:sz="4" w:space="0" w:color="auto"/>
              <w:bottom w:val="nil"/>
              <w:right w:val="single" w:sz="4" w:space="0" w:color="auto"/>
            </w:tcBorders>
            <w:noWrap/>
            <w:hideMark/>
          </w:tcPr>
          <w:p w14:paraId="5F8A89A4"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60CF351D" w14:textId="77777777" w:rsidR="009A7430" w:rsidRPr="001569FB" w:rsidRDefault="009A7430" w:rsidP="008D4E91">
            <w:pPr>
              <w:jc w:val="center"/>
              <w:rPr>
                <w:sz w:val="20"/>
                <w:szCs w:val="20"/>
              </w:rPr>
            </w:pPr>
            <w:r w:rsidRPr="001569FB">
              <w:rPr>
                <w:sz w:val="20"/>
                <w:szCs w:val="20"/>
              </w:rPr>
              <w:t>1.328</w:t>
            </w:r>
          </w:p>
        </w:tc>
      </w:tr>
      <w:tr w:rsidR="009A7430" w:rsidRPr="001569FB" w14:paraId="2232B4CE" w14:textId="77777777" w:rsidTr="008D4E91">
        <w:trPr>
          <w:trHeight w:val="300"/>
        </w:trPr>
        <w:tc>
          <w:tcPr>
            <w:tcW w:w="1885" w:type="dxa"/>
            <w:tcBorders>
              <w:top w:val="nil"/>
              <w:bottom w:val="nil"/>
              <w:right w:val="single" w:sz="4" w:space="0" w:color="auto"/>
            </w:tcBorders>
            <w:noWrap/>
            <w:hideMark/>
          </w:tcPr>
          <w:p w14:paraId="077805F4"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228916FE" w14:textId="77777777" w:rsidR="009A7430" w:rsidRPr="001569FB" w:rsidRDefault="009A7430" w:rsidP="008D4E91">
            <w:pPr>
              <w:jc w:val="center"/>
              <w:rPr>
                <w:sz w:val="20"/>
                <w:szCs w:val="20"/>
              </w:rPr>
            </w:pPr>
            <w:r w:rsidRPr="001569FB">
              <w:rPr>
                <w:sz w:val="20"/>
                <w:szCs w:val="20"/>
              </w:rPr>
              <w:t>0.877</w:t>
            </w:r>
          </w:p>
        </w:tc>
        <w:tc>
          <w:tcPr>
            <w:tcW w:w="1800" w:type="dxa"/>
            <w:tcBorders>
              <w:top w:val="nil"/>
              <w:left w:val="single" w:sz="4" w:space="0" w:color="auto"/>
              <w:bottom w:val="nil"/>
              <w:right w:val="single" w:sz="4" w:space="0" w:color="auto"/>
            </w:tcBorders>
            <w:noWrap/>
            <w:hideMark/>
          </w:tcPr>
          <w:p w14:paraId="0043CE57" w14:textId="77777777" w:rsidR="009A7430" w:rsidRPr="001569FB" w:rsidRDefault="009A7430" w:rsidP="008D4E91">
            <w:pPr>
              <w:jc w:val="center"/>
              <w:rPr>
                <w:sz w:val="20"/>
                <w:szCs w:val="20"/>
              </w:rPr>
            </w:pPr>
            <w:r w:rsidRPr="001569FB">
              <w:rPr>
                <w:sz w:val="20"/>
                <w:szCs w:val="20"/>
              </w:rPr>
              <w:t>1.029</w:t>
            </w:r>
          </w:p>
        </w:tc>
        <w:tc>
          <w:tcPr>
            <w:tcW w:w="1980" w:type="dxa"/>
            <w:tcBorders>
              <w:top w:val="nil"/>
              <w:left w:val="single" w:sz="4" w:space="0" w:color="auto"/>
              <w:bottom w:val="nil"/>
              <w:right w:val="single" w:sz="4" w:space="0" w:color="auto"/>
            </w:tcBorders>
            <w:noWrap/>
            <w:hideMark/>
          </w:tcPr>
          <w:p w14:paraId="444F9EB2"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3D87EA42" w14:textId="77777777" w:rsidR="009A7430" w:rsidRPr="001569FB" w:rsidRDefault="009A7430" w:rsidP="008D4E91">
            <w:pPr>
              <w:jc w:val="center"/>
              <w:rPr>
                <w:sz w:val="20"/>
                <w:szCs w:val="20"/>
              </w:rPr>
            </w:pPr>
            <w:r w:rsidRPr="001569FB">
              <w:rPr>
                <w:sz w:val="20"/>
                <w:szCs w:val="20"/>
              </w:rPr>
              <w:t>1.368</w:t>
            </w:r>
          </w:p>
        </w:tc>
      </w:tr>
      <w:tr w:rsidR="009A7430" w:rsidRPr="001569FB" w14:paraId="454C3CF3" w14:textId="77777777" w:rsidTr="008D4E91">
        <w:trPr>
          <w:trHeight w:val="300"/>
        </w:trPr>
        <w:tc>
          <w:tcPr>
            <w:tcW w:w="1885" w:type="dxa"/>
            <w:tcBorders>
              <w:top w:val="nil"/>
              <w:bottom w:val="nil"/>
              <w:right w:val="single" w:sz="4" w:space="0" w:color="auto"/>
            </w:tcBorders>
            <w:noWrap/>
            <w:hideMark/>
          </w:tcPr>
          <w:p w14:paraId="0E4EF99D"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06CAA70C" w14:textId="77777777" w:rsidR="009A7430" w:rsidRPr="001569FB" w:rsidRDefault="009A7430" w:rsidP="008D4E91">
            <w:pPr>
              <w:jc w:val="center"/>
              <w:rPr>
                <w:sz w:val="20"/>
                <w:szCs w:val="20"/>
              </w:rPr>
            </w:pPr>
            <w:r w:rsidRPr="001569FB">
              <w:rPr>
                <w:sz w:val="20"/>
                <w:szCs w:val="20"/>
              </w:rPr>
              <w:t>0.917</w:t>
            </w:r>
          </w:p>
        </w:tc>
        <w:tc>
          <w:tcPr>
            <w:tcW w:w="1800" w:type="dxa"/>
            <w:tcBorders>
              <w:top w:val="nil"/>
              <w:left w:val="single" w:sz="4" w:space="0" w:color="auto"/>
              <w:bottom w:val="nil"/>
              <w:right w:val="single" w:sz="4" w:space="0" w:color="auto"/>
            </w:tcBorders>
            <w:noWrap/>
            <w:hideMark/>
          </w:tcPr>
          <w:p w14:paraId="277734E1" w14:textId="77777777" w:rsidR="009A7430" w:rsidRPr="001569FB" w:rsidRDefault="009A7430" w:rsidP="008D4E91">
            <w:pPr>
              <w:jc w:val="center"/>
              <w:rPr>
                <w:sz w:val="20"/>
                <w:szCs w:val="20"/>
              </w:rPr>
            </w:pPr>
            <w:r w:rsidRPr="001569FB">
              <w:rPr>
                <w:sz w:val="20"/>
                <w:szCs w:val="20"/>
              </w:rPr>
              <w:t>1.049</w:t>
            </w:r>
          </w:p>
        </w:tc>
        <w:tc>
          <w:tcPr>
            <w:tcW w:w="1980" w:type="dxa"/>
            <w:tcBorders>
              <w:top w:val="nil"/>
              <w:left w:val="single" w:sz="4" w:space="0" w:color="auto"/>
              <w:bottom w:val="nil"/>
              <w:right w:val="single" w:sz="4" w:space="0" w:color="auto"/>
            </w:tcBorders>
            <w:noWrap/>
            <w:hideMark/>
          </w:tcPr>
          <w:p w14:paraId="23345416"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298A9A3F" w14:textId="77777777" w:rsidR="009A7430" w:rsidRPr="001569FB" w:rsidRDefault="009A7430" w:rsidP="008D4E91">
            <w:pPr>
              <w:jc w:val="center"/>
              <w:rPr>
                <w:sz w:val="20"/>
                <w:szCs w:val="20"/>
              </w:rPr>
            </w:pPr>
            <w:r w:rsidRPr="001569FB">
              <w:rPr>
                <w:sz w:val="20"/>
                <w:szCs w:val="20"/>
              </w:rPr>
              <w:t>1.368</w:t>
            </w:r>
          </w:p>
        </w:tc>
      </w:tr>
      <w:tr w:rsidR="009A7430" w:rsidRPr="001569FB" w14:paraId="177C56E0" w14:textId="77777777" w:rsidTr="008D4E91">
        <w:trPr>
          <w:trHeight w:val="300"/>
        </w:trPr>
        <w:tc>
          <w:tcPr>
            <w:tcW w:w="1885" w:type="dxa"/>
            <w:tcBorders>
              <w:top w:val="nil"/>
              <w:bottom w:val="nil"/>
              <w:right w:val="single" w:sz="4" w:space="0" w:color="auto"/>
            </w:tcBorders>
            <w:noWrap/>
            <w:hideMark/>
          </w:tcPr>
          <w:p w14:paraId="18CB1CDB"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431ECA96" w14:textId="77777777" w:rsidR="009A7430" w:rsidRPr="001569FB" w:rsidRDefault="009A7430" w:rsidP="008D4E91">
            <w:pPr>
              <w:jc w:val="center"/>
              <w:rPr>
                <w:sz w:val="20"/>
                <w:szCs w:val="20"/>
              </w:rPr>
            </w:pPr>
            <w:r w:rsidRPr="001569FB">
              <w:rPr>
                <w:sz w:val="20"/>
                <w:szCs w:val="20"/>
              </w:rPr>
              <w:t>0.975</w:t>
            </w:r>
          </w:p>
        </w:tc>
        <w:tc>
          <w:tcPr>
            <w:tcW w:w="1800" w:type="dxa"/>
            <w:tcBorders>
              <w:top w:val="nil"/>
              <w:left w:val="single" w:sz="4" w:space="0" w:color="auto"/>
              <w:bottom w:val="nil"/>
              <w:right w:val="single" w:sz="4" w:space="0" w:color="auto"/>
            </w:tcBorders>
            <w:noWrap/>
            <w:hideMark/>
          </w:tcPr>
          <w:p w14:paraId="0F4EABD8" w14:textId="77777777" w:rsidR="009A7430" w:rsidRPr="001569FB" w:rsidRDefault="009A7430" w:rsidP="008D4E91">
            <w:pPr>
              <w:jc w:val="center"/>
              <w:rPr>
                <w:sz w:val="20"/>
                <w:szCs w:val="20"/>
              </w:rPr>
            </w:pPr>
            <w:r w:rsidRPr="001569FB">
              <w:rPr>
                <w:sz w:val="20"/>
                <w:szCs w:val="20"/>
              </w:rPr>
              <w:t>1.112</w:t>
            </w:r>
          </w:p>
        </w:tc>
        <w:tc>
          <w:tcPr>
            <w:tcW w:w="1980" w:type="dxa"/>
            <w:tcBorders>
              <w:top w:val="nil"/>
              <w:left w:val="single" w:sz="4" w:space="0" w:color="auto"/>
              <w:bottom w:val="nil"/>
              <w:right w:val="single" w:sz="4" w:space="0" w:color="auto"/>
            </w:tcBorders>
            <w:noWrap/>
            <w:hideMark/>
          </w:tcPr>
          <w:p w14:paraId="58233EA8" w14:textId="77777777" w:rsidR="009A7430" w:rsidRPr="001569FB" w:rsidRDefault="009A7430" w:rsidP="008D4E91">
            <w:pPr>
              <w:jc w:val="center"/>
              <w:rPr>
                <w:sz w:val="20"/>
                <w:szCs w:val="20"/>
              </w:rPr>
            </w:pPr>
            <w:r w:rsidRPr="001569FB">
              <w:rPr>
                <w:sz w:val="20"/>
                <w:szCs w:val="20"/>
              </w:rPr>
              <w:t>1.181</w:t>
            </w:r>
          </w:p>
        </w:tc>
        <w:tc>
          <w:tcPr>
            <w:tcW w:w="1705" w:type="dxa"/>
            <w:tcBorders>
              <w:top w:val="nil"/>
              <w:left w:val="single" w:sz="4" w:space="0" w:color="auto"/>
              <w:bottom w:val="nil"/>
            </w:tcBorders>
            <w:noWrap/>
            <w:hideMark/>
          </w:tcPr>
          <w:p w14:paraId="5B278DEB" w14:textId="77777777" w:rsidR="009A7430" w:rsidRPr="001569FB" w:rsidRDefault="009A7430" w:rsidP="008D4E91">
            <w:pPr>
              <w:jc w:val="center"/>
              <w:rPr>
                <w:sz w:val="20"/>
                <w:szCs w:val="20"/>
              </w:rPr>
            </w:pPr>
            <w:r w:rsidRPr="001569FB">
              <w:rPr>
                <w:sz w:val="20"/>
                <w:szCs w:val="20"/>
              </w:rPr>
              <w:t>1.387</w:t>
            </w:r>
          </w:p>
        </w:tc>
      </w:tr>
      <w:tr w:rsidR="009A7430" w:rsidRPr="001569FB" w14:paraId="4A03019F" w14:textId="77777777" w:rsidTr="008D4E91">
        <w:trPr>
          <w:trHeight w:val="300"/>
        </w:trPr>
        <w:tc>
          <w:tcPr>
            <w:tcW w:w="1885" w:type="dxa"/>
            <w:tcBorders>
              <w:top w:val="nil"/>
              <w:bottom w:val="nil"/>
              <w:right w:val="single" w:sz="4" w:space="0" w:color="auto"/>
            </w:tcBorders>
            <w:noWrap/>
            <w:hideMark/>
          </w:tcPr>
          <w:p w14:paraId="181D9570"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41FA96CB" w14:textId="77777777" w:rsidR="009A7430" w:rsidRPr="001569FB" w:rsidRDefault="009A7430" w:rsidP="008D4E91">
            <w:pPr>
              <w:jc w:val="center"/>
              <w:rPr>
                <w:sz w:val="20"/>
                <w:szCs w:val="20"/>
              </w:rPr>
            </w:pPr>
            <w:r w:rsidRPr="001569FB">
              <w:rPr>
                <w:sz w:val="20"/>
                <w:szCs w:val="20"/>
              </w:rPr>
              <w:t>1.121</w:t>
            </w:r>
          </w:p>
        </w:tc>
        <w:tc>
          <w:tcPr>
            <w:tcW w:w="1800" w:type="dxa"/>
            <w:tcBorders>
              <w:top w:val="nil"/>
              <w:left w:val="single" w:sz="4" w:space="0" w:color="auto"/>
              <w:bottom w:val="nil"/>
              <w:right w:val="single" w:sz="4" w:space="0" w:color="auto"/>
            </w:tcBorders>
            <w:noWrap/>
            <w:hideMark/>
          </w:tcPr>
          <w:p w14:paraId="4577D0EC" w14:textId="77777777" w:rsidR="009A7430" w:rsidRPr="001569FB" w:rsidRDefault="009A7430" w:rsidP="008D4E91">
            <w:pPr>
              <w:jc w:val="center"/>
              <w:rPr>
                <w:sz w:val="20"/>
                <w:szCs w:val="20"/>
              </w:rPr>
            </w:pPr>
            <w:r w:rsidRPr="001569FB">
              <w:rPr>
                <w:sz w:val="20"/>
                <w:szCs w:val="20"/>
              </w:rPr>
              <w:t>1.295</w:t>
            </w:r>
          </w:p>
        </w:tc>
        <w:tc>
          <w:tcPr>
            <w:tcW w:w="1980" w:type="dxa"/>
            <w:tcBorders>
              <w:top w:val="nil"/>
              <w:left w:val="single" w:sz="4" w:space="0" w:color="auto"/>
              <w:bottom w:val="nil"/>
              <w:right w:val="single" w:sz="4" w:space="0" w:color="auto"/>
            </w:tcBorders>
            <w:noWrap/>
            <w:hideMark/>
          </w:tcPr>
          <w:p w14:paraId="2096CC25" w14:textId="77777777" w:rsidR="009A7430" w:rsidRPr="001569FB" w:rsidRDefault="009A7430" w:rsidP="008D4E91">
            <w:pPr>
              <w:jc w:val="center"/>
              <w:rPr>
                <w:sz w:val="20"/>
                <w:szCs w:val="20"/>
              </w:rPr>
            </w:pPr>
            <w:r w:rsidRPr="001569FB">
              <w:rPr>
                <w:sz w:val="20"/>
                <w:szCs w:val="20"/>
              </w:rPr>
              <w:t>1.236</w:t>
            </w:r>
          </w:p>
        </w:tc>
        <w:tc>
          <w:tcPr>
            <w:tcW w:w="1705" w:type="dxa"/>
            <w:tcBorders>
              <w:top w:val="nil"/>
              <w:left w:val="single" w:sz="4" w:space="0" w:color="auto"/>
              <w:bottom w:val="nil"/>
            </w:tcBorders>
            <w:noWrap/>
            <w:hideMark/>
          </w:tcPr>
          <w:p w14:paraId="54227C2F" w14:textId="77777777" w:rsidR="009A7430" w:rsidRPr="001569FB" w:rsidRDefault="009A7430" w:rsidP="008D4E91">
            <w:pPr>
              <w:jc w:val="center"/>
              <w:rPr>
                <w:sz w:val="20"/>
                <w:szCs w:val="20"/>
              </w:rPr>
            </w:pPr>
            <w:r w:rsidRPr="001569FB">
              <w:rPr>
                <w:sz w:val="20"/>
                <w:szCs w:val="20"/>
              </w:rPr>
              <w:t>1.409</w:t>
            </w:r>
          </w:p>
        </w:tc>
      </w:tr>
      <w:tr w:rsidR="009A7430" w:rsidRPr="001569FB" w14:paraId="10C95B4E" w14:textId="77777777" w:rsidTr="008D4E91">
        <w:trPr>
          <w:trHeight w:val="300"/>
        </w:trPr>
        <w:tc>
          <w:tcPr>
            <w:tcW w:w="1885" w:type="dxa"/>
            <w:tcBorders>
              <w:top w:val="nil"/>
              <w:bottom w:val="nil"/>
              <w:right w:val="single" w:sz="4" w:space="0" w:color="auto"/>
            </w:tcBorders>
            <w:noWrap/>
            <w:hideMark/>
          </w:tcPr>
          <w:p w14:paraId="706215D6"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7DECB437"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7CCA9D62"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0404BF1A" w14:textId="77777777" w:rsidR="009A7430" w:rsidRPr="001569FB" w:rsidRDefault="009A7430" w:rsidP="008D4E91">
            <w:pPr>
              <w:jc w:val="center"/>
              <w:rPr>
                <w:sz w:val="20"/>
                <w:szCs w:val="20"/>
              </w:rPr>
            </w:pPr>
            <w:r w:rsidRPr="001569FB">
              <w:rPr>
                <w:sz w:val="20"/>
                <w:szCs w:val="20"/>
              </w:rPr>
              <w:t>1.331</w:t>
            </w:r>
          </w:p>
        </w:tc>
        <w:tc>
          <w:tcPr>
            <w:tcW w:w="1705" w:type="dxa"/>
            <w:tcBorders>
              <w:top w:val="nil"/>
              <w:left w:val="single" w:sz="4" w:space="0" w:color="auto"/>
              <w:bottom w:val="nil"/>
            </w:tcBorders>
            <w:noWrap/>
            <w:hideMark/>
          </w:tcPr>
          <w:p w14:paraId="4523FDB8" w14:textId="77777777" w:rsidR="009A7430" w:rsidRPr="001569FB" w:rsidRDefault="009A7430" w:rsidP="008D4E91">
            <w:pPr>
              <w:jc w:val="center"/>
              <w:rPr>
                <w:sz w:val="20"/>
                <w:szCs w:val="20"/>
              </w:rPr>
            </w:pPr>
            <w:r w:rsidRPr="001569FB">
              <w:rPr>
                <w:sz w:val="20"/>
                <w:szCs w:val="20"/>
              </w:rPr>
              <w:t>1.444</w:t>
            </w:r>
          </w:p>
        </w:tc>
      </w:tr>
      <w:tr w:rsidR="009A7430" w:rsidRPr="001569FB" w14:paraId="6C19E1EB" w14:textId="77777777" w:rsidTr="008D4E91">
        <w:trPr>
          <w:trHeight w:val="300"/>
        </w:trPr>
        <w:tc>
          <w:tcPr>
            <w:tcW w:w="1885" w:type="dxa"/>
            <w:tcBorders>
              <w:top w:val="nil"/>
              <w:bottom w:val="nil"/>
              <w:right w:val="single" w:sz="4" w:space="0" w:color="auto"/>
            </w:tcBorders>
            <w:noWrap/>
            <w:hideMark/>
          </w:tcPr>
          <w:p w14:paraId="17C0828D"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4F5D0C13"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3FA51F3A"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CABC43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tcBorders>
            <w:noWrap/>
            <w:hideMark/>
          </w:tcPr>
          <w:p w14:paraId="24946600" w14:textId="77777777" w:rsidR="009A7430" w:rsidRPr="001569FB" w:rsidRDefault="009A7430" w:rsidP="008D4E91">
            <w:pPr>
              <w:jc w:val="center"/>
              <w:rPr>
                <w:sz w:val="20"/>
                <w:szCs w:val="20"/>
              </w:rPr>
            </w:pPr>
            <w:r w:rsidRPr="001569FB">
              <w:rPr>
                <w:sz w:val="20"/>
                <w:szCs w:val="20"/>
              </w:rPr>
              <w:t>1.488</w:t>
            </w:r>
          </w:p>
        </w:tc>
      </w:tr>
      <w:tr w:rsidR="009A7430" w:rsidRPr="001569FB" w14:paraId="7532BB30" w14:textId="77777777" w:rsidTr="008D4E91">
        <w:trPr>
          <w:trHeight w:val="300"/>
        </w:trPr>
        <w:tc>
          <w:tcPr>
            <w:tcW w:w="1885" w:type="dxa"/>
            <w:tcBorders>
              <w:top w:val="nil"/>
              <w:bottom w:val="nil"/>
              <w:right w:val="single" w:sz="4" w:space="0" w:color="auto"/>
            </w:tcBorders>
            <w:noWrap/>
            <w:hideMark/>
          </w:tcPr>
          <w:p w14:paraId="37FCDEFF"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7B03A264" w14:textId="77777777" w:rsidR="009A7430" w:rsidRPr="001569FB" w:rsidRDefault="009A7430" w:rsidP="008D4E91">
            <w:pPr>
              <w:jc w:val="center"/>
              <w:rPr>
                <w:sz w:val="20"/>
                <w:szCs w:val="20"/>
              </w:rPr>
            </w:pPr>
            <w:r w:rsidRPr="001569FB">
              <w:rPr>
                <w:sz w:val="20"/>
                <w:szCs w:val="20"/>
              </w:rPr>
              <w:t>1.221</w:t>
            </w:r>
          </w:p>
        </w:tc>
        <w:tc>
          <w:tcPr>
            <w:tcW w:w="1800" w:type="dxa"/>
            <w:tcBorders>
              <w:top w:val="nil"/>
              <w:left w:val="single" w:sz="4" w:space="0" w:color="auto"/>
              <w:bottom w:val="nil"/>
              <w:right w:val="single" w:sz="4" w:space="0" w:color="auto"/>
            </w:tcBorders>
            <w:noWrap/>
            <w:hideMark/>
          </w:tcPr>
          <w:p w14:paraId="5579DAA7"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EC60A1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4E7EE562" w14:textId="77777777" w:rsidR="009A7430" w:rsidRPr="001569FB" w:rsidRDefault="009A7430" w:rsidP="008D4E91">
            <w:pPr>
              <w:jc w:val="center"/>
              <w:rPr>
                <w:sz w:val="20"/>
                <w:szCs w:val="20"/>
              </w:rPr>
            </w:pPr>
            <w:r w:rsidRPr="001569FB">
              <w:rPr>
                <w:sz w:val="20"/>
                <w:szCs w:val="20"/>
              </w:rPr>
              <w:t>1.488</w:t>
            </w:r>
          </w:p>
        </w:tc>
      </w:tr>
      <w:tr w:rsidR="009A7430" w:rsidRPr="001569FB" w14:paraId="6954629B" w14:textId="77777777" w:rsidTr="008D4E91">
        <w:trPr>
          <w:trHeight w:val="300"/>
        </w:trPr>
        <w:tc>
          <w:tcPr>
            <w:tcW w:w="1885" w:type="dxa"/>
            <w:tcBorders>
              <w:top w:val="nil"/>
              <w:bottom w:val="nil"/>
              <w:right w:val="single" w:sz="4" w:space="0" w:color="auto"/>
            </w:tcBorders>
            <w:noWrap/>
            <w:hideMark/>
          </w:tcPr>
          <w:p w14:paraId="3644116E"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nil"/>
              <w:right w:val="single" w:sz="4" w:space="0" w:color="auto"/>
            </w:tcBorders>
            <w:noWrap/>
            <w:hideMark/>
          </w:tcPr>
          <w:p w14:paraId="6C5D7F80" w14:textId="77777777" w:rsidR="009A7430" w:rsidRPr="001569FB" w:rsidRDefault="009A7430" w:rsidP="008D4E91">
            <w:pPr>
              <w:jc w:val="center"/>
              <w:rPr>
                <w:sz w:val="20"/>
                <w:szCs w:val="20"/>
              </w:rPr>
            </w:pPr>
            <w:r w:rsidRPr="001569FB">
              <w:rPr>
                <w:sz w:val="20"/>
                <w:szCs w:val="20"/>
              </w:rPr>
              <w:t>1.164</w:t>
            </w:r>
          </w:p>
        </w:tc>
        <w:tc>
          <w:tcPr>
            <w:tcW w:w="1800" w:type="dxa"/>
            <w:tcBorders>
              <w:top w:val="nil"/>
              <w:left w:val="single" w:sz="4" w:space="0" w:color="auto"/>
              <w:bottom w:val="nil"/>
              <w:right w:val="single" w:sz="4" w:space="0" w:color="auto"/>
            </w:tcBorders>
            <w:noWrap/>
            <w:hideMark/>
          </w:tcPr>
          <w:p w14:paraId="59F149D5" w14:textId="77777777" w:rsidR="009A7430" w:rsidRPr="001569FB" w:rsidRDefault="009A7430" w:rsidP="008D4E91">
            <w:pPr>
              <w:jc w:val="center"/>
              <w:rPr>
                <w:sz w:val="20"/>
                <w:szCs w:val="20"/>
              </w:rPr>
            </w:pPr>
            <w:r w:rsidRPr="001569FB">
              <w:rPr>
                <w:sz w:val="20"/>
                <w:szCs w:val="20"/>
              </w:rPr>
              <w:t>1.454</w:t>
            </w:r>
          </w:p>
        </w:tc>
        <w:tc>
          <w:tcPr>
            <w:tcW w:w="1980" w:type="dxa"/>
            <w:tcBorders>
              <w:top w:val="nil"/>
              <w:left w:val="single" w:sz="4" w:space="0" w:color="auto"/>
              <w:bottom w:val="nil"/>
              <w:right w:val="single" w:sz="4" w:space="0" w:color="auto"/>
            </w:tcBorders>
            <w:noWrap/>
            <w:hideMark/>
          </w:tcPr>
          <w:p w14:paraId="18AA65CB"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5C0FE86C" w14:textId="77777777" w:rsidR="009A7430" w:rsidRPr="001569FB" w:rsidRDefault="009A7430" w:rsidP="008D4E91">
            <w:pPr>
              <w:jc w:val="center"/>
              <w:rPr>
                <w:sz w:val="20"/>
                <w:szCs w:val="20"/>
              </w:rPr>
            </w:pPr>
            <w:r w:rsidRPr="001569FB">
              <w:rPr>
                <w:sz w:val="20"/>
                <w:szCs w:val="20"/>
              </w:rPr>
              <w:t>1.488</w:t>
            </w:r>
          </w:p>
        </w:tc>
      </w:tr>
      <w:tr w:rsidR="009A7430" w:rsidRPr="001569FB" w14:paraId="1754BAE6" w14:textId="77777777" w:rsidTr="008D4E91">
        <w:trPr>
          <w:trHeight w:val="300"/>
        </w:trPr>
        <w:tc>
          <w:tcPr>
            <w:tcW w:w="1885" w:type="dxa"/>
            <w:tcBorders>
              <w:top w:val="nil"/>
              <w:bottom w:val="nil"/>
              <w:right w:val="single" w:sz="4" w:space="0" w:color="auto"/>
            </w:tcBorders>
            <w:noWrap/>
            <w:hideMark/>
          </w:tcPr>
          <w:p w14:paraId="6557B94F" w14:textId="77777777" w:rsidR="009A7430" w:rsidRPr="001569FB" w:rsidRDefault="009A7430" w:rsidP="008D4E91">
            <w:pPr>
              <w:rPr>
                <w:b/>
                <w:bCs/>
                <w:sz w:val="20"/>
                <w:szCs w:val="20"/>
              </w:rPr>
            </w:pPr>
            <w:r w:rsidRPr="001569FB">
              <w:rPr>
                <w:b/>
                <w:bCs/>
                <w:sz w:val="20"/>
                <w:szCs w:val="20"/>
              </w:rPr>
              <w:t>Male</w:t>
            </w:r>
          </w:p>
        </w:tc>
        <w:tc>
          <w:tcPr>
            <w:tcW w:w="1980" w:type="dxa"/>
            <w:tcBorders>
              <w:top w:val="nil"/>
              <w:left w:val="single" w:sz="4" w:space="0" w:color="auto"/>
              <w:bottom w:val="nil"/>
              <w:right w:val="single" w:sz="4" w:space="0" w:color="auto"/>
            </w:tcBorders>
            <w:noWrap/>
            <w:hideMark/>
          </w:tcPr>
          <w:p w14:paraId="716D0634" w14:textId="77777777" w:rsidR="009A7430" w:rsidRPr="001569FB" w:rsidRDefault="009A7430" w:rsidP="008D4E91">
            <w:pPr>
              <w:jc w:val="center"/>
              <w:rPr>
                <w:b/>
                <w:bCs/>
                <w:sz w:val="20"/>
                <w:szCs w:val="20"/>
              </w:rPr>
            </w:pPr>
          </w:p>
        </w:tc>
        <w:tc>
          <w:tcPr>
            <w:tcW w:w="1800" w:type="dxa"/>
            <w:tcBorders>
              <w:top w:val="nil"/>
              <w:left w:val="single" w:sz="4" w:space="0" w:color="auto"/>
              <w:bottom w:val="nil"/>
              <w:right w:val="single" w:sz="4" w:space="0" w:color="auto"/>
            </w:tcBorders>
            <w:noWrap/>
            <w:hideMark/>
          </w:tcPr>
          <w:p w14:paraId="7E93F86A" w14:textId="77777777" w:rsidR="009A7430" w:rsidRPr="001569FB" w:rsidRDefault="009A7430" w:rsidP="008D4E91">
            <w:pPr>
              <w:jc w:val="center"/>
              <w:rPr>
                <w:sz w:val="20"/>
                <w:szCs w:val="20"/>
              </w:rPr>
            </w:pPr>
          </w:p>
        </w:tc>
        <w:tc>
          <w:tcPr>
            <w:tcW w:w="1980" w:type="dxa"/>
            <w:tcBorders>
              <w:top w:val="nil"/>
              <w:left w:val="single" w:sz="4" w:space="0" w:color="auto"/>
              <w:bottom w:val="nil"/>
              <w:right w:val="single" w:sz="4" w:space="0" w:color="auto"/>
            </w:tcBorders>
            <w:noWrap/>
            <w:hideMark/>
          </w:tcPr>
          <w:p w14:paraId="0DAE00B5" w14:textId="77777777" w:rsidR="009A7430" w:rsidRPr="001569FB" w:rsidRDefault="009A7430" w:rsidP="008D4E91">
            <w:pPr>
              <w:jc w:val="center"/>
              <w:rPr>
                <w:sz w:val="20"/>
                <w:szCs w:val="20"/>
              </w:rPr>
            </w:pPr>
          </w:p>
        </w:tc>
        <w:tc>
          <w:tcPr>
            <w:tcW w:w="1705" w:type="dxa"/>
            <w:tcBorders>
              <w:top w:val="nil"/>
              <w:left w:val="single" w:sz="4" w:space="0" w:color="auto"/>
              <w:bottom w:val="nil"/>
              <w:right w:val="single" w:sz="4" w:space="0" w:color="auto"/>
            </w:tcBorders>
            <w:noWrap/>
            <w:hideMark/>
          </w:tcPr>
          <w:p w14:paraId="675DDF84" w14:textId="77777777" w:rsidR="009A7430" w:rsidRPr="001569FB" w:rsidRDefault="009A7430" w:rsidP="008D4E91">
            <w:pPr>
              <w:jc w:val="center"/>
              <w:rPr>
                <w:sz w:val="20"/>
                <w:szCs w:val="20"/>
              </w:rPr>
            </w:pPr>
            <w:r w:rsidRPr="001569FB">
              <w:rPr>
                <w:sz w:val="20"/>
                <w:szCs w:val="20"/>
              </w:rPr>
              <w:t> </w:t>
            </w:r>
          </w:p>
        </w:tc>
      </w:tr>
      <w:tr w:rsidR="009A7430" w:rsidRPr="001569FB" w14:paraId="6F5C7DA2" w14:textId="77777777" w:rsidTr="008D4E91">
        <w:trPr>
          <w:trHeight w:val="300"/>
        </w:trPr>
        <w:tc>
          <w:tcPr>
            <w:tcW w:w="1885" w:type="dxa"/>
            <w:tcBorders>
              <w:top w:val="nil"/>
              <w:bottom w:val="nil"/>
              <w:right w:val="single" w:sz="4" w:space="0" w:color="auto"/>
            </w:tcBorders>
            <w:noWrap/>
            <w:hideMark/>
          </w:tcPr>
          <w:p w14:paraId="2892CB45"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228CD502"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FD47762" w14:textId="77777777" w:rsidR="009A7430" w:rsidRPr="001569FB" w:rsidRDefault="009A7430" w:rsidP="008D4E91">
            <w:pPr>
              <w:jc w:val="center"/>
              <w:rPr>
                <w:sz w:val="20"/>
                <w:szCs w:val="20"/>
              </w:rPr>
            </w:pPr>
            <w:r w:rsidRPr="001569FB">
              <w:rPr>
                <w:sz w:val="20"/>
                <w:szCs w:val="20"/>
              </w:rPr>
              <w:t>0.897</w:t>
            </w:r>
          </w:p>
        </w:tc>
        <w:tc>
          <w:tcPr>
            <w:tcW w:w="1980" w:type="dxa"/>
            <w:tcBorders>
              <w:top w:val="nil"/>
              <w:left w:val="single" w:sz="4" w:space="0" w:color="auto"/>
              <w:bottom w:val="nil"/>
              <w:right w:val="single" w:sz="4" w:space="0" w:color="auto"/>
            </w:tcBorders>
            <w:noWrap/>
            <w:hideMark/>
          </w:tcPr>
          <w:p w14:paraId="64F4B348"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A8EB257" w14:textId="77777777" w:rsidR="009A7430" w:rsidRPr="001569FB" w:rsidRDefault="009A7430" w:rsidP="008D4E91">
            <w:pPr>
              <w:jc w:val="center"/>
              <w:rPr>
                <w:sz w:val="20"/>
                <w:szCs w:val="20"/>
              </w:rPr>
            </w:pPr>
            <w:r w:rsidRPr="001569FB">
              <w:rPr>
                <w:sz w:val="20"/>
                <w:szCs w:val="20"/>
              </w:rPr>
              <w:t>1.246</w:t>
            </w:r>
          </w:p>
        </w:tc>
      </w:tr>
      <w:tr w:rsidR="009A7430" w:rsidRPr="001569FB" w14:paraId="0416C2F1" w14:textId="77777777" w:rsidTr="008D4E91">
        <w:trPr>
          <w:trHeight w:val="300"/>
        </w:trPr>
        <w:tc>
          <w:tcPr>
            <w:tcW w:w="1885" w:type="dxa"/>
            <w:tcBorders>
              <w:top w:val="nil"/>
              <w:bottom w:val="nil"/>
              <w:right w:val="single" w:sz="4" w:space="0" w:color="auto"/>
            </w:tcBorders>
            <w:noWrap/>
            <w:hideMark/>
          </w:tcPr>
          <w:p w14:paraId="4A4C9B60"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77F17E86"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68FD3EB" w14:textId="77777777" w:rsidR="009A7430" w:rsidRPr="001569FB" w:rsidRDefault="009A7430" w:rsidP="008D4E91">
            <w:pPr>
              <w:jc w:val="center"/>
              <w:rPr>
                <w:sz w:val="20"/>
                <w:szCs w:val="20"/>
              </w:rPr>
            </w:pPr>
            <w:r w:rsidRPr="001569FB">
              <w:rPr>
                <w:sz w:val="20"/>
                <w:szCs w:val="20"/>
              </w:rPr>
              <w:t>0.922</w:t>
            </w:r>
          </w:p>
        </w:tc>
        <w:tc>
          <w:tcPr>
            <w:tcW w:w="1980" w:type="dxa"/>
            <w:tcBorders>
              <w:top w:val="nil"/>
              <w:left w:val="single" w:sz="4" w:space="0" w:color="auto"/>
              <w:bottom w:val="nil"/>
              <w:right w:val="single" w:sz="4" w:space="0" w:color="auto"/>
            </w:tcBorders>
            <w:noWrap/>
            <w:hideMark/>
          </w:tcPr>
          <w:p w14:paraId="56C18DF3"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5A6F8A3A" w14:textId="77777777" w:rsidR="009A7430" w:rsidRPr="001569FB" w:rsidRDefault="009A7430" w:rsidP="008D4E91">
            <w:pPr>
              <w:jc w:val="center"/>
              <w:rPr>
                <w:sz w:val="20"/>
                <w:szCs w:val="20"/>
              </w:rPr>
            </w:pPr>
            <w:r w:rsidRPr="001569FB">
              <w:rPr>
                <w:sz w:val="20"/>
                <w:szCs w:val="20"/>
              </w:rPr>
              <w:t>1.246</w:t>
            </w:r>
          </w:p>
        </w:tc>
      </w:tr>
      <w:tr w:rsidR="009A7430" w:rsidRPr="001569FB" w14:paraId="4AFBA281" w14:textId="77777777" w:rsidTr="008D4E91">
        <w:trPr>
          <w:trHeight w:val="300"/>
        </w:trPr>
        <w:tc>
          <w:tcPr>
            <w:tcW w:w="1885" w:type="dxa"/>
            <w:tcBorders>
              <w:top w:val="nil"/>
              <w:bottom w:val="nil"/>
              <w:right w:val="single" w:sz="4" w:space="0" w:color="auto"/>
            </w:tcBorders>
            <w:noWrap/>
            <w:hideMark/>
          </w:tcPr>
          <w:p w14:paraId="7841524B"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7CFEF0AB" w14:textId="77777777" w:rsidR="009A7430" w:rsidRPr="001569FB" w:rsidRDefault="009A7430" w:rsidP="008D4E91">
            <w:pPr>
              <w:jc w:val="center"/>
              <w:rPr>
                <w:sz w:val="20"/>
                <w:szCs w:val="20"/>
              </w:rPr>
            </w:pPr>
            <w:r w:rsidRPr="001569FB">
              <w:rPr>
                <w:sz w:val="20"/>
                <w:szCs w:val="20"/>
              </w:rPr>
              <w:t>0.759</w:t>
            </w:r>
          </w:p>
        </w:tc>
        <w:tc>
          <w:tcPr>
            <w:tcW w:w="1800" w:type="dxa"/>
            <w:tcBorders>
              <w:top w:val="nil"/>
              <w:left w:val="single" w:sz="4" w:space="0" w:color="auto"/>
              <w:bottom w:val="nil"/>
              <w:right w:val="single" w:sz="4" w:space="0" w:color="auto"/>
            </w:tcBorders>
            <w:noWrap/>
            <w:hideMark/>
          </w:tcPr>
          <w:p w14:paraId="5B63BFD6" w14:textId="77777777" w:rsidR="009A7430" w:rsidRPr="001569FB" w:rsidRDefault="009A7430" w:rsidP="008D4E91">
            <w:pPr>
              <w:jc w:val="center"/>
              <w:rPr>
                <w:sz w:val="20"/>
                <w:szCs w:val="20"/>
              </w:rPr>
            </w:pPr>
            <w:r w:rsidRPr="001569FB">
              <w:rPr>
                <w:sz w:val="20"/>
                <w:szCs w:val="20"/>
              </w:rPr>
              <w:t>0.950</w:t>
            </w:r>
          </w:p>
        </w:tc>
        <w:tc>
          <w:tcPr>
            <w:tcW w:w="1980" w:type="dxa"/>
            <w:tcBorders>
              <w:top w:val="nil"/>
              <w:left w:val="single" w:sz="4" w:space="0" w:color="auto"/>
              <w:bottom w:val="nil"/>
              <w:right w:val="single" w:sz="4" w:space="0" w:color="auto"/>
            </w:tcBorders>
            <w:noWrap/>
            <w:hideMark/>
          </w:tcPr>
          <w:p w14:paraId="1CC36E5A"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06D44F8" w14:textId="77777777" w:rsidR="009A7430" w:rsidRPr="001569FB" w:rsidRDefault="009A7430" w:rsidP="008D4E91">
            <w:pPr>
              <w:jc w:val="center"/>
              <w:rPr>
                <w:sz w:val="20"/>
                <w:szCs w:val="20"/>
              </w:rPr>
            </w:pPr>
            <w:r w:rsidRPr="001569FB">
              <w:rPr>
                <w:sz w:val="20"/>
                <w:szCs w:val="20"/>
              </w:rPr>
              <w:t>1.271</w:t>
            </w:r>
          </w:p>
        </w:tc>
      </w:tr>
      <w:tr w:rsidR="009A7430" w:rsidRPr="001569FB" w14:paraId="05D6826A" w14:textId="77777777" w:rsidTr="008D4E91">
        <w:trPr>
          <w:trHeight w:val="300"/>
        </w:trPr>
        <w:tc>
          <w:tcPr>
            <w:tcW w:w="1885" w:type="dxa"/>
            <w:tcBorders>
              <w:top w:val="nil"/>
              <w:bottom w:val="nil"/>
              <w:right w:val="single" w:sz="4" w:space="0" w:color="auto"/>
            </w:tcBorders>
            <w:noWrap/>
            <w:hideMark/>
          </w:tcPr>
          <w:p w14:paraId="3296027C"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3FEA1DCC" w14:textId="77777777" w:rsidR="009A7430" w:rsidRPr="001569FB" w:rsidRDefault="009A7430" w:rsidP="008D4E91">
            <w:pPr>
              <w:jc w:val="center"/>
              <w:rPr>
                <w:sz w:val="20"/>
                <w:szCs w:val="20"/>
              </w:rPr>
            </w:pPr>
            <w:r w:rsidRPr="001569FB">
              <w:rPr>
                <w:sz w:val="20"/>
                <w:szCs w:val="20"/>
              </w:rPr>
              <w:t>0.865</w:t>
            </w:r>
          </w:p>
        </w:tc>
        <w:tc>
          <w:tcPr>
            <w:tcW w:w="1800" w:type="dxa"/>
            <w:tcBorders>
              <w:top w:val="nil"/>
              <w:left w:val="single" w:sz="4" w:space="0" w:color="auto"/>
              <w:bottom w:val="nil"/>
              <w:right w:val="single" w:sz="4" w:space="0" w:color="auto"/>
            </w:tcBorders>
            <w:noWrap/>
            <w:hideMark/>
          </w:tcPr>
          <w:p w14:paraId="1385F148" w14:textId="77777777" w:rsidR="009A7430" w:rsidRPr="001569FB" w:rsidRDefault="009A7430" w:rsidP="008D4E91">
            <w:pPr>
              <w:jc w:val="center"/>
              <w:rPr>
                <w:sz w:val="20"/>
                <w:szCs w:val="20"/>
              </w:rPr>
            </w:pPr>
            <w:r w:rsidRPr="001569FB">
              <w:rPr>
                <w:sz w:val="20"/>
                <w:szCs w:val="20"/>
              </w:rPr>
              <w:t>1.015</w:t>
            </w:r>
          </w:p>
        </w:tc>
        <w:tc>
          <w:tcPr>
            <w:tcW w:w="1980" w:type="dxa"/>
            <w:tcBorders>
              <w:top w:val="nil"/>
              <w:left w:val="single" w:sz="4" w:space="0" w:color="auto"/>
              <w:bottom w:val="nil"/>
              <w:right w:val="single" w:sz="4" w:space="0" w:color="auto"/>
            </w:tcBorders>
            <w:noWrap/>
            <w:hideMark/>
          </w:tcPr>
          <w:p w14:paraId="1486064A"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74AC0205" w14:textId="77777777" w:rsidR="009A7430" w:rsidRPr="001569FB" w:rsidRDefault="009A7430" w:rsidP="008D4E91">
            <w:pPr>
              <w:jc w:val="center"/>
              <w:rPr>
                <w:sz w:val="20"/>
                <w:szCs w:val="20"/>
              </w:rPr>
            </w:pPr>
            <w:r w:rsidRPr="001569FB">
              <w:rPr>
                <w:sz w:val="20"/>
                <w:szCs w:val="20"/>
              </w:rPr>
              <w:t>1.292</w:t>
            </w:r>
          </w:p>
        </w:tc>
      </w:tr>
      <w:tr w:rsidR="009A7430" w:rsidRPr="001569FB" w14:paraId="02FC56F2" w14:textId="77777777" w:rsidTr="008D4E91">
        <w:trPr>
          <w:trHeight w:val="300"/>
        </w:trPr>
        <w:tc>
          <w:tcPr>
            <w:tcW w:w="1885" w:type="dxa"/>
            <w:tcBorders>
              <w:top w:val="nil"/>
              <w:bottom w:val="nil"/>
              <w:right w:val="single" w:sz="4" w:space="0" w:color="auto"/>
            </w:tcBorders>
            <w:noWrap/>
            <w:hideMark/>
          </w:tcPr>
          <w:p w14:paraId="1155D515"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24DC3F6D" w14:textId="77777777" w:rsidR="009A7430" w:rsidRPr="001569FB" w:rsidRDefault="009A7430" w:rsidP="008D4E91">
            <w:pPr>
              <w:jc w:val="center"/>
              <w:rPr>
                <w:sz w:val="20"/>
                <w:szCs w:val="20"/>
              </w:rPr>
            </w:pPr>
            <w:r w:rsidRPr="001569FB">
              <w:rPr>
                <w:sz w:val="20"/>
                <w:szCs w:val="20"/>
              </w:rPr>
              <w:t>0.905</w:t>
            </w:r>
          </w:p>
        </w:tc>
        <w:tc>
          <w:tcPr>
            <w:tcW w:w="1800" w:type="dxa"/>
            <w:tcBorders>
              <w:top w:val="nil"/>
              <w:left w:val="single" w:sz="4" w:space="0" w:color="auto"/>
              <w:bottom w:val="nil"/>
              <w:right w:val="single" w:sz="4" w:space="0" w:color="auto"/>
            </w:tcBorders>
            <w:noWrap/>
            <w:hideMark/>
          </w:tcPr>
          <w:p w14:paraId="307A064D" w14:textId="77777777" w:rsidR="009A7430" w:rsidRPr="001569FB" w:rsidRDefault="009A7430" w:rsidP="008D4E91">
            <w:pPr>
              <w:jc w:val="center"/>
              <w:rPr>
                <w:sz w:val="20"/>
                <w:szCs w:val="20"/>
              </w:rPr>
            </w:pPr>
            <w:r w:rsidRPr="001569FB">
              <w:rPr>
                <w:sz w:val="20"/>
                <w:szCs w:val="20"/>
              </w:rPr>
              <w:t>1.064</w:t>
            </w:r>
          </w:p>
        </w:tc>
        <w:tc>
          <w:tcPr>
            <w:tcW w:w="1980" w:type="dxa"/>
            <w:tcBorders>
              <w:top w:val="nil"/>
              <w:left w:val="single" w:sz="4" w:space="0" w:color="auto"/>
              <w:bottom w:val="nil"/>
              <w:right w:val="single" w:sz="4" w:space="0" w:color="auto"/>
            </w:tcBorders>
            <w:noWrap/>
            <w:hideMark/>
          </w:tcPr>
          <w:p w14:paraId="5450794F"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2E4AB486" w14:textId="77777777" w:rsidR="009A7430" w:rsidRPr="001569FB" w:rsidRDefault="009A7430" w:rsidP="008D4E91">
            <w:pPr>
              <w:jc w:val="center"/>
              <w:rPr>
                <w:sz w:val="20"/>
                <w:szCs w:val="20"/>
              </w:rPr>
            </w:pPr>
            <w:r w:rsidRPr="001569FB">
              <w:rPr>
                <w:sz w:val="20"/>
                <w:szCs w:val="20"/>
              </w:rPr>
              <w:t>1.361</w:t>
            </w:r>
          </w:p>
        </w:tc>
      </w:tr>
      <w:tr w:rsidR="009A7430" w:rsidRPr="001569FB" w14:paraId="26E89E99" w14:textId="77777777" w:rsidTr="008D4E91">
        <w:trPr>
          <w:trHeight w:val="300"/>
        </w:trPr>
        <w:tc>
          <w:tcPr>
            <w:tcW w:w="1885" w:type="dxa"/>
            <w:tcBorders>
              <w:top w:val="nil"/>
              <w:bottom w:val="nil"/>
              <w:right w:val="single" w:sz="4" w:space="0" w:color="auto"/>
            </w:tcBorders>
            <w:noWrap/>
            <w:hideMark/>
          </w:tcPr>
          <w:p w14:paraId="25A0225C"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0B52EFDB" w14:textId="77777777" w:rsidR="009A7430" w:rsidRPr="001569FB" w:rsidRDefault="009A7430" w:rsidP="008D4E91">
            <w:pPr>
              <w:jc w:val="center"/>
              <w:rPr>
                <w:sz w:val="20"/>
                <w:szCs w:val="20"/>
              </w:rPr>
            </w:pPr>
            <w:r w:rsidRPr="001569FB">
              <w:rPr>
                <w:sz w:val="20"/>
                <w:szCs w:val="20"/>
              </w:rPr>
              <w:t>1.025</w:t>
            </w:r>
          </w:p>
        </w:tc>
        <w:tc>
          <w:tcPr>
            <w:tcW w:w="1800" w:type="dxa"/>
            <w:tcBorders>
              <w:top w:val="nil"/>
              <w:left w:val="single" w:sz="4" w:space="0" w:color="auto"/>
              <w:bottom w:val="nil"/>
              <w:right w:val="single" w:sz="4" w:space="0" w:color="auto"/>
            </w:tcBorders>
            <w:noWrap/>
            <w:hideMark/>
          </w:tcPr>
          <w:p w14:paraId="07C8532B" w14:textId="77777777" w:rsidR="009A7430" w:rsidRPr="001569FB" w:rsidRDefault="009A7430" w:rsidP="008D4E91">
            <w:pPr>
              <w:jc w:val="center"/>
              <w:rPr>
                <w:sz w:val="20"/>
                <w:szCs w:val="20"/>
              </w:rPr>
            </w:pPr>
            <w:r w:rsidRPr="001569FB">
              <w:rPr>
                <w:sz w:val="20"/>
                <w:szCs w:val="20"/>
              </w:rPr>
              <w:t>1.249</w:t>
            </w:r>
          </w:p>
        </w:tc>
        <w:tc>
          <w:tcPr>
            <w:tcW w:w="1980" w:type="dxa"/>
            <w:tcBorders>
              <w:top w:val="nil"/>
              <w:left w:val="single" w:sz="4" w:space="0" w:color="auto"/>
              <w:bottom w:val="nil"/>
              <w:right w:val="single" w:sz="4" w:space="0" w:color="auto"/>
            </w:tcBorders>
            <w:noWrap/>
            <w:hideMark/>
          </w:tcPr>
          <w:p w14:paraId="2B2B4B59"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36F66E0C" w14:textId="77777777" w:rsidR="009A7430" w:rsidRPr="001569FB" w:rsidRDefault="009A7430" w:rsidP="008D4E91">
            <w:pPr>
              <w:jc w:val="center"/>
              <w:rPr>
                <w:sz w:val="20"/>
                <w:szCs w:val="20"/>
              </w:rPr>
            </w:pPr>
            <w:r w:rsidRPr="001569FB">
              <w:rPr>
                <w:sz w:val="20"/>
                <w:szCs w:val="20"/>
              </w:rPr>
              <w:t>1.361</w:t>
            </w:r>
          </w:p>
        </w:tc>
      </w:tr>
      <w:tr w:rsidR="009A7430" w:rsidRPr="001569FB" w14:paraId="248ABE2C" w14:textId="77777777" w:rsidTr="008D4E91">
        <w:trPr>
          <w:trHeight w:val="300"/>
        </w:trPr>
        <w:tc>
          <w:tcPr>
            <w:tcW w:w="1885" w:type="dxa"/>
            <w:tcBorders>
              <w:top w:val="nil"/>
              <w:bottom w:val="nil"/>
              <w:right w:val="single" w:sz="4" w:space="0" w:color="auto"/>
            </w:tcBorders>
            <w:noWrap/>
            <w:hideMark/>
          </w:tcPr>
          <w:p w14:paraId="45191E10"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6FA3146A" w14:textId="77777777" w:rsidR="009A7430" w:rsidRPr="001569FB" w:rsidRDefault="009A7430" w:rsidP="008D4E91">
            <w:pPr>
              <w:jc w:val="center"/>
              <w:rPr>
                <w:sz w:val="20"/>
                <w:szCs w:val="20"/>
              </w:rPr>
            </w:pPr>
            <w:r w:rsidRPr="001569FB">
              <w:rPr>
                <w:sz w:val="20"/>
                <w:szCs w:val="20"/>
              </w:rPr>
              <w:t>1.127</w:t>
            </w:r>
          </w:p>
        </w:tc>
        <w:tc>
          <w:tcPr>
            <w:tcW w:w="1800" w:type="dxa"/>
            <w:tcBorders>
              <w:top w:val="nil"/>
              <w:left w:val="single" w:sz="4" w:space="0" w:color="auto"/>
              <w:bottom w:val="nil"/>
              <w:right w:val="single" w:sz="4" w:space="0" w:color="auto"/>
            </w:tcBorders>
            <w:noWrap/>
            <w:hideMark/>
          </w:tcPr>
          <w:p w14:paraId="5E532715"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70F4525" w14:textId="77777777" w:rsidR="009A7430" w:rsidRPr="001569FB" w:rsidRDefault="009A7430" w:rsidP="008D4E91">
            <w:pPr>
              <w:jc w:val="center"/>
              <w:rPr>
                <w:sz w:val="20"/>
                <w:szCs w:val="20"/>
              </w:rPr>
            </w:pPr>
            <w:r w:rsidRPr="001569FB">
              <w:rPr>
                <w:sz w:val="20"/>
                <w:szCs w:val="20"/>
              </w:rPr>
              <w:t>1.220</w:t>
            </w:r>
          </w:p>
        </w:tc>
        <w:tc>
          <w:tcPr>
            <w:tcW w:w="1705" w:type="dxa"/>
            <w:tcBorders>
              <w:top w:val="nil"/>
              <w:left w:val="single" w:sz="4" w:space="0" w:color="auto"/>
              <w:bottom w:val="nil"/>
              <w:right w:val="single" w:sz="4" w:space="0" w:color="auto"/>
            </w:tcBorders>
            <w:noWrap/>
            <w:hideMark/>
          </w:tcPr>
          <w:p w14:paraId="5FDC6139" w14:textId="77777777" w:rsidR="009A7430" w:rsidRPr="001569FB" w:rsidRDefault="009A7430" w:rsidP="008D4E91">
            <w:pPr>
              <w:jc w:val="center"/>
              <w:rPr>
                <w:sz w:val="20"/>
                <w:szCs w:val="20"/>
              </w:rPr>
            </w:pPr>
            <w:r w:rsidRPr="001569FB">
              <w:rPr>
                <w:sz w:val="20"/>
                <w:szCs w:val="20"/>
              </w:rPr>
              <w:t>1.474</w:t>
            </w:r>
          </w:p>
        </w:tc>
      </w:tr>
      <w:tr w:rsidR="009A7430" w:rsidRPr="001569FB" w14:paraId="0AA359DE" w14:textId="77777777" w:rsidTr="008D4E91">
        <w:trPr>
          <w:trHeight w:val="300"/>
        </w:trPr>
        <w:tc>
          <w:tcPr>
            <w:tcW w:w="1885" w:type="dxa"/>
            <w:tcBorders>
              <w:top w:val="nil"/>
              <w:bottom w:val="nil"/>
              <w:right w:val="single" w:sz="4" w:space="0" w:color="auto"/>
            </w:tcBorders>
            <w:noWrap/>
            <w:hideMark/>
          </w:tcPr>
          <w:p w14:paraId="79AE5820"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3077C208" w14:textId="77777777" w:rsidR="009A7430" w:rsidRPr="001569FB" w:rsidRDefault="009A7430" w:rsidP="008D4E91">
            <w:pPr>
              <w:jc w:val="center"/>
              <w:rPr>
                <w:sz w:val="20"/>
                <w:szCs w:val="20"/>
              </w:rPr>
            </w:pPr>
            <w:r w:rsidRPr="001569FB">
              <w:rPr>
                <w:sz w:val="20"/>
                <w:szCs w:val="20"/>
              </w:rPr>
              <w:t>1.181</w:t>
            </w:r>
          </w:p>
        </w:tc>
        <w:tc>
          <w:tcPr>
            <w:tcW w:w="1800" w:type="dxa"/>
            <w:tcBorders>
              <w:top w:val="nil"/>
              <w:left w:val="single" w:sz="4" w:space="0" w:color="auto"/>
              <w:bottom w:val="nil"/>
              <w:right w:val="single" w:sz="4" w:space="0" w:color="auto"/>
            </w:tcBorders>
            <w:noWrap/>
            <w:hideMark/>
          </w:tcPr>
          <w:p w14:paraId="7D5B70DD"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805C4D3"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505C93EA" w14:textId="77777777" w:rsidR="009A7430" w:rsidRPr="001569FB" w:rsidRDefault="009A7430" w:rsidP="008D4E91">
            <w:pPr>
              <w:jc w:val="center"/>
              <w:rPr>
                <w:sz w:val="20"/>
                <w:szCs w:val="20"/>
              </w:rPr>
            </w:pPr>
            <w:r w:rsidRPr="001569FB">
              <w:rPr>
                <w:sz w:val="20"/>
                <w:szCs w:val="20"/>
              </w:rPr>
              <w:t>1.474</w:t>
            </w:r>
          </w:p>
        </w:tc>
      </w:tr>
      <w:tr w:rsidR="009A7430" w:rsidRPr="001569FB" w14:paraId="4BAFA6F7" w14:textId="77777777" w:rsidTr="008D4E91">
        <w:trPr>
          <w:trHeight w:val="300"/>
        </w:trPr>
        <w:tc>
          <w:tcPr>
            <w:tcW w:w="1885" w:type="dxa"/>
            <w:tcBorders>
              <w:top w:val="nil"/>
              <w:bottom w:val="nil"/>
              <w:right w:val="single" w:sz="4" w:space="0" w:color="auto"/>
            </w:tcBorders>
            <w:noWrap/>
            <w:hideMark/>
          </w:tcPr>
          <w:p w14:paraId="37BB55AB"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28D2478E" w14:textId="77777777" w:rsidR="009A7430" w:rsidRPr="001569FB" w:rsidRDefault="009A7430" w:rsidP="008D4E91">
            <w:pPr>
              <w:jc w:val="center"/>
              <w:rPr>
                <w:sz w:val="20"/>
                <w:szCs w:val="20"/>
              </w:rPr>
            </w:pPr>
            <w:r w:rsidRPr="001569FB">
              <w:rPr>
                <w:sz w:val="20"/>
                <w:szCs w:val="20"/>
              </w:rPr>
              <w:t>1.175</w:t>
            </w:r>
          </w:p>
        </w:tc>
        <w:tc>
          <w:tcPr>
            <w:tcW w:w="1800" w:type="dxa"/>
            <w:tcBorders>
              <w:top w:val="nil"/>
              <w:left w:val="single" w:sz="4" w:space="0" w:color="auto"/>
              <w:bottom w:val="nil"/>
              <w:right w:val="single" w:sz="4" w:space="0" w:color="auto"/>
            </w:tcBorders>
            <w:noWrap/>
            <w:hideMark/>
          </w:tcPr>
          <w:p w14:paraId="260FE289"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4A727457"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23E60DE4" w14:textId="77777777" w:rsidR="009A7430" w:rsidRPr="001569FB" w:rsidRDefault="009A7430" w:rsidP="008D4E91">
            <w:pPr>
              <w:jc w:val="center"/>
              <w:rPr>
                <w:sz w:val="20"/>
                <w:szCs w:val="20"/>
              </w:rPr>
            </w:pPr>
            <w:r w:rsidRPr="001569FB">
              <w:rPr>
                <w:sz w:val="20"/>
                <w:szCs w:val="20"/>
              </w:rPr>
              <w:t>1.474</w:t>
            </w:r>
          </w:p>
        </w:tc>
      </w:tr>
      <w:tr w:rsidR="009A7430" w:rsidRPr="001569FB" w14:paraId="7A5F0F24" w14:textId="77777777" w:rsidTr="008D4E91">
        <w:trPr>
          <w:trHeight w:val="300"/>
        </w:trPr>
        <w:tc>
          <w:tcPr>
            <w:tcW w:w="1885" w:type="dxa"/>
            <w:tcBorders>
              <w:top w:val="nil"/>
              <w:bottom w:val="single" w:sz="4" w:space="0" w:color="auto"/>
              <w:right w:val="single" w:sz="4" w:space="0" w:color="auto"/>
            </w:tcBorders>
            <w:noWrap/>
            <w:hideMark/>
          </w:tcPr>
          <w:p w14:paraId="2CA521FB"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single" w:sz="4" w:space="0" w:color="auto"/>
              <w:right w:val="single" w:sz="4" w:space="0" w:color="auto"/>
            </w:tcBorders>
            <w:noWrap/>
            <w:hideMark/>
          </w:tcPr>
          <w:p w14:paraId="56156243" w14:textId="77777777" w:rsidR="009A7430" w:rsidRPr="001569FB" w:rsidRDefault="009A7430" w:rsidP="008D4E91">
            <w:pPr>
              <w:jc w:val="center"/>
              <w:rPr>
                <w:sz w:val="20"/>
                <w:szCs w:val="20"/>
              </w:rPr>
            </w:pPr>
            <w:r w:rsidRPr="001569FB">
              <w:rPr>
                <w:sz w:val="20"/>
                <w:szCs w:val="20"/>
              </w:rPr>
              <w:t>1.161</w:t>
            </w:r>
          </w:p>
        </w:tc>
        <w:tc>
          <w:tcPr>
            <w:tcW w:w="1800" w:type="dxa"/>
            <w:tcBorders>
              <w:top w:val="nil"/>
              <w:left w:val="single" w:sz="4" w:space="0" w:color="auto"/>
              <w:bottom w:val="single" w:sz="4" w:space="0" w:color="auto"/>
              <w:right w:val="single" w:sz="4" w:space="0" w:color="auto"/>
            </w:tcBorders>
            <w:noWrap/>
            <w:hideMark/>
          </w:tcPr>
          <w:p w14:paraId="0D679A81" w14:textId="77777777" w:rsidR="009A7430" w:rsidRPr="001569FB" w:rsidRDefault="009A7430" w:rsidP="008D4E91">
            <w:pPr>
              <w:jc w:val="center"/>
              <w:rPr>
                <w:sz w:val="20"/>
                <w:szCs w:val="20"/>
              </w:rPr>
            </w:pPr>
            <w:r w:rsidRPr="001569FB">
              <w:rPr>
                <w:sz w:val="20"/>
                <w:szCs w:val="20"/>
              </w:rPr>
              <w:t>1.485</w:t>
            </w:r>
          </w:p>
        </w:tc>
        <w:tc>
          <w:tcPr>
            <w:tcW w:w="1980" w:type="dxa"/>
            <w:tcBorders>
              <w:top w:val="nil"/>
              <w:left w:val="single" w:sz="4" w:space="0" w:color="auto"/>
              <w:bottom w:val="single" w:sz="4" w:space="0" w:color="auto"/>
              <w:right w:val="single" w:sz="4" w:space="0" w:color="auto"/>
            </w:tcBorders>
            <w:noWrap/>
            <w:hideMark/>
          </w:tcPr>
          <w:p w14:paraId="5A9F0B7F"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single" w:sz="4" w:space="0" w:color="auto"/>
              <w:right w:val="single" w:sz="4" w:space="0" w:color="auto"/>
            </w:tcBorders>
            <w:noWrap/>
            <w:hideMark/>
          </w:tcPr>
          <w:p w14:paraId="2288EFAA" w14:textId="77777777" w:rsidR="009A7430" w:rsidRPr="001569FB" w:rsidRDefault="009A7430" w:rsidP="008D4E91">
            <w:pPr>
              <w:jc w:val="center"/>
              <w:rPr>
                <w:sz w:val="20"/>
                <w:szCs w:val="20"/>
              </w:rPr>
            </w:pPr>
            <w:r w:rsidRPr="001569FB">
              <w:rPr>
                <w:sz w:val="20"/>
                <w:szCs w:val="20"/>
              </w:rPr>
              <w:t>1.474</w:t>
            </w:r>
          </w:p>
        </w:tc>
      </w:tr>
    </w:tbl>
    <w:p w14:paraId="1F18584D" w14:textId="57CE5557" w:rsidR="009A7430" w:rsidRPr="001569FB" w:rsidRDefault="009A7430" w:rsidP="002707EC">
      <w:pPr>
        <w:spacing w:before="120" w:line="240" w:lineRule="auto"/>
        <w:rPr>
          <w:b/>
          <w:bCs/>
          <w:sz w:val="18"/>
          <w:szCs w:val="18"/>
        </w:rPr>
      </w:pPr>
      <w:r w:rsidRPr="001569FB">
        <w:rPr>
          <w:b/>
          <w:bCs/>
          <w:sz w:val="18"/>
          <w:szCs w:val="18"/>
        </w:rPr>
        <w:t>NOTES:</w:t>
      </w:r>
    </w:p>
    <w:p w14:paraId="040054FF" w14:textId="77777777" w:rsidR="009A7430" w:rsidRPr="001569FB" w:rsidRDefault="009A7430" w:rsidP="00AC78D9">
      <w:pPr>
        <w:pStyle w:val="ListParagraph"/>
        <w:numPr>
          <w:ilvl w:val="0"/>
          <w:numId w:val="27"/>
        </w:numPr>
        <w:spacing w:line="240" w:lineRule="auto"/>
        <w:rPr>
          <w:sz w:val="18"/>
          <w:szCs w:val="18"/>
        </w:rPr>
      </w:pPr>
      <w:r w:rsidRPr="001569FB">
        <w:rPr>
          <w:sz w:val="18"/>
          <w:szCs w:val="18"/>
        </w:rPr>
        <w:t>The CMS ESRD Dialysis Denominator used to calculate the relative factors is $82,113.76.</w:t>
      </w:r>
    </w:p>
    <w:p w14:paraId="1BC97801" w14:textId="77777777" w:rsidR="009A7430" w:rsidRPr="001569FB" w:rsidRDefault="009A7430" w:rsidP="00AC78D9">
      <w:pPr>
        <w:pStyle w:val="ListParagraph"/>
        <w:numPr>
          <w:ilvl w:val="0"/>
          <w:numId w:val="27"/>
        </w:numPr>
        <w:spacing w:before="40" w:after="60" w:line="240" w:lineRule="auto"/>
        <w:rPr>
          <w:sz w:val="18"/>
          <w:szCs w:val="18"/>
        </w:rPr>
      </w:pPr>
      <w:r w:rsidRPr="001569FB">
        <w:rPr>
          <w:sz w:val="18"/>
          <w:szCs w:val="18"/>
        </w:rPr>
        <w:t>Originally Disabled terms refer to beneficiaries originally entitled to Medicare for reasons of disability other than ESRD.</w:t>
      </w:r>
    </w:p>
    <w:p w14:paraId="1B0D8F23" w14:textId="77777777" w:rsidR="009A7430" w:rsidRPr="001569FB" w:rsidRDefault="009A7430" w:rsidP="002707EC">
      <w:pPr>
        <w:spacing w:before="60"/>
        <w:rPr>
          <w:bCs/>
          <w:sz w:val="18"/>
          <w:szCs w:val="18"/>
        </w:rPr>
      </w:pPr>
      <w:r w:rsidRPr="001569FB">
        <w:rPr>
          <w:b/>
          <w:bCs/>
          <w:sz w:val="18"/>
          <w:szCs w:val="18"/>
        </w:rPr>
        <w:t xml:space="preserve">SOURCE:  </w:t>
      </w:r>
      <w:r w:rsidRPr="001569FB">
        <w:rPr>
          <w:bCs/>
          <w:sz w:val="18"/>
          <w:szCs w:val="18"/>
        </w:rPr>
        <w:t>RTI International analysis of 2014/2015 Medicare 100% ESRD claims and enrollment data.</w:t>
      </w:r>
    </w:p>
    <w:p w14:paraId="106364EF" w14:textId="1EF7C3D7" w:rsidR="009A7430" w:rsidRPr="001569FB" w:rsidRDefault="009A7430" w:rsidP="00E177CD">
      <w:pPr>
        <w:pStyle w:val="HeadingA"/>
      </w:pPr>
      <w:r w:rsidRPr="001569FB">
        <w:rPr>
          <w:bCs w:val="0"/>
        </w:rPr>
        <w:br w:type="page"/>
      </w:r>
      <w:bookmarkStart w:id="594" w:name="_Toc503950934"/>
      <w:bookmarkStart w:id="595" w:name="_Toc503980159"/>
      <w:bookmarkStart w:id="596" w:name="_Toc505253820"/>
      <w:r w:rsidRPr="001569FB">
        <w:lastRenderedPageBreak/>
        <w:t xml:space="preserve">Table </w:t>
      </w:r>
      <w:r w:rsidR="00440F3D" w:rsidRPr="001569FB">
        <w:t>V-</w:t>
      </w:r>
      <w:r w:rsidR="000B6CFC" w:rsidRPr="001569FB">
        <w:t>8</w:t>
      </w:r>
      <w:r w:rsidRPr="001569FB">
        <w:t>. ESRD Kidney Transplant CMS-HCC Model Relative Factors for Transplant Beneficiaries</w:t>
      </w:r>
      <w:bookmarkEnd w:id="594"/>
      <w:bookmarkEnd w:id="595"/>
      <w:bookmarkEnd w:id="596"/>
    </w:p>
    <w:tbl>
      <w:tblPr>
        <w:tblStyle w:val="TableGrid"/>
        <w:tblW w:w="0" w:type="auto"/>
        <w:tblLook w:val="04A0" w:firstRow="1" w:lastRow="0" w:firstColumn="1" w:lastColumn="0" w:noHBand="0" w:noVBand="1"/>
      </w:tblPr>
      <w:tblGrid>
        <w:gridCol w:w="2875"/>
        <w:gridCol w:w="1696"/>
        <w:gridCol w:w="2448"/>
        <w:gridCol w:w="2331"/>
      </w:tblGrid>
      <w:tr w:rsidR="009A7430" w:rsidRPr="001569FB" w14:paraId="1C2EBF98" w14:textId="77777777" w:rsidTr="00E177CD">
        <w:trPr>
          <w:cantSplit/>
          <w:trHeight w:val="288"/>
          <w:tblHeader/>
        </w:trPr>
        <w:tc>
          <w:tcPr>
            <w:tcW w:w="2875" w:type="dxa"/>
            <w:noWrap/>
            <w:hideMark/>
          </w:tcPr>
          <w:p w14:paraId="5023EC15" w14:textId="77777777" w:rsidR="009A7430" w:rsidRPr="001569FB" w:rsidRDefault="009A7430" w:rsidP="008D4E91">
            <w:pPr>
              <w:jc w:val="center"/>
              <w:rPr>
                <w:b/>
                <w:sz w:val="20"/>
                <w:szCs w:val="20"/>
              </w:rPr>
            </w:pPr>
            <w:r w:rsidRPr="001569FB">
              <w:rPr>
                <w:b/>
                <w:sz w:val="20"/>
                <w:szCs w:val="20"/>
              </w:rPr>
              <w:t> </w:t>
            </w:r>
          </w:p>
        </w:tc>
        <w:tc>
          <w:tcPr>
            <w:tcW w:w="1696" w:type="dxa"/>
            <w:noWrap/>
            <w:vAlign w:val="bottom"/>
            <w:hideMark/>
          </w:tcPr>
          <w:p w14:paraId="0D24B182" w14:textId="77777777" w:rsidR="009A7430" w:rsidRPr="001569FB" w:rsidRDefault="009A7430" w:rsidP="008D4E91">
            <w:pPr>
              <w:jc w:val="center"/>
              <w:rPr>
                <w:b/>
                <w:sz w:val="20"/>
                <w:szCs w:val="20"/>
              </w:rPr>
            </w:pPr>
            <w:r w:rsidRPr="001569FB">
              <w:rPr>
                <w:b/>
                <w:sz w:val="20"/>
                <w:szCs w:val="20"/>
              </w:rPr>
              <w:t>Beneficiaries</w:t>
            </w:r>
          </w:p>
        </w:tc>
        <w:tc>
          <w:tcPr>
            <w:tcW w:w="2448" w:type="dxa"/>
            <w:noWrap/>
            <w:vAlign w:val="bottom"/>
            <w:hideMark/>
          </w:tcPr>
          <w:p w14:paraId="53BA6D77" w14:textId="77777777" w:rsidR="009A7430" w:rsidRPr="001569FB" w:rsidRDefault="009A7430" w:rsidP="008D4E91">
            <w:pPr>
              <w:jc w:val="center"/>
              <w:rPr>
                <w:b/>
                <w:sz w:val="20"/>
                <w:szCs w:val="20"/>
              </w:rPr>
            </w:pPr>
            <w:r w:rsidRPr="001569FB">
              <w:rPr>
                <w:b/>
                <w:bCs/>
                <w:sz w:val="20"/>
                <w:szCs w:val="20"/>
              </w:rPr>
              <w:t xml:space="preserve">Kidney Transplant </w:t>
            </w:r>
            <w:r w:rsidRPr="001569FB">
              <w:rPr>
                <w:i/>
                <w:iCs/>
                <w:sz w:val="20"/>
                <w:szCs w:val="20"/>
              </w:rPr>
              <w:t>Actual Dollars</w:t>
            </w:r>
          </w:p>
        </w:tc>
        <w:tc>
          <w:tcPr>
            <w:tcW w:w="2331" w:type="dxa"/>
            <w:noWrap/>
            <w:vAlign w:val="bottom"/>
            <w:hideMark/>
          </w:tcPr>
          <w:p w14:paraId="320652A3" w14:textId="77777777" w:rsidR="009A7430" w:rsidRPr="001569FB" w:rsidRDefault="009A7430" w:rsidP="008D4E91">
            <w:pPr>
              <w:jc w:val="center"/>
              <w:rPr>
                <w:b/>
                <w:bCs/>
                <w:sz w:val="20"/>
                <w:szCs w:val="20"/>
              </w:rPr>
            </w:pPr>
            <w:r w:rsidRPr="001569FB">
              <w:rPr>
                <w:b/>
                <w:bCs/>
                <w:sz w:val="20"/>
                <w:szCs w:val="20"/>
              </w:rPr>
              <w:t>Kidney Transplant</w:t>
            </w:r>
          </w:p>
          <w:p w14:paraId="379CF9FA" w14:textId="77777777" w:rsidR="009A7430" w:rsidRPr="001569FB" w:rsidRDefault="009A7430" w:rsidP="008D4E91">
            <w:pPr>
              <w:jc w:val="center"/>
              <w:rPr>
                <w:b/>
                <w:bCs/>
                <w:sz w:val="20"/>
                <w:szCs w:val="20"/>
              </w:rPr>
            </w:pPr>
            <w:r w:rsidRPr="001569FB">
              <w:rPr>
                <w:b/>
                <w:bCs/>
                <w:sz w:val="20"/>
                <w:szCs w:val="20"/>
              </w:rPr>
              <w:t>Relative Risk Factor</w:t>
            </w:r>
          </w:p>
        </w:tc>
      </w:tr>
      <w:tr w:rsidR="009A7430" w:rsidRPr="001569FB" w14:paraId="2753E30B" w14:textId="77777777" w:rsidTr="008D4E91">
        <w:trPr>
          <w:trHeight w:val="345"/>
        </w:trPr>
        <w:tc>
          <w:tcPr>
            <w:tcW w:w="2875" w:type="dxa"/>
            <w:tcBorders>
              <w:bottom w:val="nil"/>
            </w:tcBorders>
            <w:noWrap/>
            <w:vAlign w:val="center"/>
            <w:hideMark/>
          </w:tcPr>
          <w:p w14:paraId="4878E08B" w14:textId="77777777" w:rsidR="009A7430" w:rsidRPr="001569FB" w:rsidRDefault="009A7430" w:rsidP="008D4E91">
            <w:pPr>
              <w:rPr>
                <w:sz w:val="20"/>
                <w:szCs w:val="20"/>
              </w:rPr>
            </w:pPr>
            <w:r w:rsidRPr="001569FB">
              <w:rPr>
                <w:sz w:val="20"/>
                <w:szCs w:val="20"/>
              </w:rPr>
              <w:t>Month 1</w:t>
            </w:r>
          </w:p>
        </w:tc>
        <w:tc>
          <w:tcPr>
            <w:tcW w:w="1696" w:type="dxa"/>
            <w:tcBorders>
              <w:bottom w:val="nil"/>
            </w:tcBorders>
            <w:noWrap/>
            <w:vAlign w:val="center"/>
            <w:hideMark/>
          </w:tcPr>
          <w:p w14:paraId="604B026B" w14:textId="63575B88" w:rsidR="009A7430" w:rsidRPr="001569FB" w:rsidRDefault="009A7430" w:rsidP="008D4E91">
            <w:pPr>
              <w:jc w:val="right"/>
              <w:rPr>
                <w:sz w:val="20"/>
                <w:szCs w:val="20"/>
              </w:rPr>
            </w:pPr>
            <w:r w:rsidRPr="001569FB">
              <w:rPr>
                <w:sz w:val="20"/>
                <w:szCs w:val="20"/>
              </w:rPr>
              <w:t xml:space="preserve">9,606 </w:t>
            </w:r>
          </w:p>
        </w:tc>
        <w:tc>
          <w:tcPr>
            <w:tcW w:w="2448" w:type="dxa"/>
            <w:tcBorders>
              <w:bottom w:val="nil"/>
            </w:tcBorders>
            <w:noWrap/>
            <w:vAlign w:val="center"/>
            <w:hideMark/>
          </w:tcPr>
          <w:p w14:paraId="38A8BF7A" w14:textId="4CE5E88D" w:rsidR="009A7430" w:rsidRPr="001569FB" w:rsidRDefault="007A6384" w:rsidP="007A6384">
            <w:pPr>
              <w:jc w:val="right"/>
              <w:rPr>
                <w:sz w:val="20"/>
                <w:szCs w:val="20"/>
              </w:rPr>
            </w:pPr>
            <w:r w:rsidRPr="001569FB">
              <w:rPr>
                <w:sz w:val="20"/>
                <w:szCs w:val="20"/>
              </w:rPr>
              <w:t>$</w:t>
            </w:r>
            <w:r w:rsidR="009A7430" w:rsidRPr="001569FB">
              <w:rPr>
                <w:sz w:val="20"/>
                <w:szCs w:val="20"/>
              </w:rPr>
              <w:t xml:space="preserve">41,260.76 </w:t>
            </w:r>
          </w:p>
        </w:tc>
        <w:tc>
          <w:tcPr>
            <w:tcW w:w="2331" w:type="dxa"/>
            <w:tcBorders>
              <w:bottom w:val="nil"/>
            </w:tcBorders>
            <w:noWrap/>
            <w:vAlign w:val="center"/>
            <w:hideMark/>
          </w:tcPr>
          <w:p w14:paraId="3CC687C8" w14:textId="72E5203C" w:rsidR="009A7430" w:rsidRPr="001569FB" w:rsidRDefault="009A7430" w:rsidP="008D4E91">
            <w:pPr>
              <w:jc w:val="right"/>
              <w:rPr>
                <w:sz w:val="20"/>
                <w:szCs w:val="20"/>
              </w:rPr>
            </w:pPr>
            <w:r w:rsidRPr="001569FB">
              <w:rPr>
                <w:sz w:val="20"/>
                <w:szCs w:val="20"/>
              </w:rPr>
              <w:t xml:space="preserve">6.030 </w:t>
            </w:r>
          </w:p>
        </w:tc>
      </w:tr>
      <w:tr w:rsidR="009A7430" w:rsidRPr="001569FB" w14:paraId="158A9EA9" w14:textId="77777777" w:rsidTr="008D4E91">
        <w:trPr>
          <w:trHeight w:val="345"/>
        </w:trPr>
        <w:tc>
          <w:tcPr>
            <w:tcW w:w="2875" w:type="dxa"/>
            <w:tcBorders>
              <w:top w:val="nil"/>
            </w:tcBorders>
            <w:noWrap/>
            <w:vAlign w:val="center"/>
            <w:hideMark/>
          </w:tcPr>
          <w:p w14:paraId="5839D93D" w14:textId="77777777" w:rsidR="009A7430" w:rsidRPr="001569FB" w:rsidRDefault="009A7430" w:rsidP="008D4E91">
            <w:pPr>
              <w:rPr>
                <w:sz w:val="20"/>
                <w:szCs w:val="20"/>
              </w:rPr>
            </w:pPr>
            <w:r w:rsidRPr="001569FB">
              <w:rPr>
                <w:sz w:val="20"/>
                <w:szCs w:val="20"/>
              </w:rPr>
              <w:t xml:space="preserve">Months 2 and 3 </w:t>
            </w:r>
          </w:p>
        </w:tc>
        <w:tc>
          <w:tcPr>
            <w:tcW w:w="1696" w:type="dxa"/>
            <w:tcBorders>
              <w:top w:val="nil"/>
            </w:tcBorders>
            <w:noWrap/>
            <w:vAlign w:val="center"/>
            <w:hideMark/>
          </w:tcPr>
          <w:p w14:paraId="3E4FD480" w14:textId="77777777" w:rsidR="009A7430" w:rsidRPr="001569FB" w:rsidRDefault="009A7430" w:rsidP="008D4E91">
            <w:pPr>
              <w:jc w:val="right"/>
              <w:rPr>
                <w:b/>
                <w:sz w:val="20"/>
                <w:szCs w:val="20"/>
              </w:rPr>
            </w:pPr>
            <w:r w:rsidRPr="001569FB">
              <w:rPr>
                <w:sz w:val="20"/>
                <w:szCs w:val="20"/>
              </w:rPr>
              <w:t>18,651</w:t>
            </w:r>
          </w:p>
        </w:tc>
        <w:tc>
          <w:tcPr>
            <w:tcW w:w="2448" w:type="dxa"/>
            <w:tcBorders>
              <w:top w:val="nil"/>
            </w:tcBorders>
            <w:noWrap/>
            <w:vAlign w:val="center"/>
            <w:hideMark/>
          </w:tcPr>
          <w:p w14:paraId="1797F617" w14:textId="10E5A059" w:rsidR="009A7430" w:rsidRPr="001569FB" w:rsidRDefault="009A7430" w:rsidP="007A6384">
            <w:pPr>
              <w:jc w:val="right"/>
              <w:rPr>
                <w:sz w:val="20"/>
                <w:szCs w:val="20"/>
              </w:rPr>
            </w:pPr>
            <w:r w:rsidRPr="001569FB">
              <w:rPr>
                <w:sz w:val="20"/>
                <w:szCs w:val="20"/>
              </w:rPr>
              <w:t xml:space="preserve">6,126.29 </w:t>
            </w:r>
          </w:p>
        </w:tc>
        <w:tc>
          <w:tcPr>
            <w:tcW w:w="2331" w:type="dxa"/>
            <w:tcBorders>
              <w:top w:val="nil"/>
            </w:tcBorders>
            <w:noWrap/>
            <w:vAlign w:val="center"/>
            <w:hideMark/>
          </w:tcPr>
          <w:p w14:paraId="3BC87DB0" w14:textId="7ECBC010" w:rsidR="009A7430" w:rsidRPr="001569FB" w:rsidRDefault="009A7430" w:rsidP="008D4E91">
            <w:pPr>
              <w:jc w:val="right"/>
              <w:rPr>
                <w:sz w:val="20"/>
                <w:szCs w:val="20"/>
              </w:rPr>
            </w:pPr>
            <w:r w:rsidRPr="001569FB">
              <w:rPr>
                <w:sz w:val="20"/>
                <w:szCs w:val="20"/>
              </w:rPr>
              <w:t xml:space="preserve">0.895 </w:t>
            </w:r>
          </w:p>
        </w:tc>
      </w:tr>
      <w:tr w:rsidR="009A7430" w:rsidRPr="001569FB" w14:paraId="3DFAE3AE" w14:textId="77777777" w:rsidTr="008D4E91">
        <w:trPr>
          <w:trHeight w:val="420"/>
        </w:trPr>
        <w:tc>
          <w:tcPr>
            <w:tcW w:w="2875" w:type="dxa"/>
            <w:noWrap/>
            <w:vAlign w:val="center"/>
            <w:hideMark/>
          </w:tcPr>
          <w:p w14:paraId="01F56515" w14:textId="77777777" w:rsidR="009A7430" w:rsidRPr="001569FB" w:rsidRDefault="009A7430" w:rsidP="008D4E91">
            <w:pPr>
              <w:rPr>
                <w:b/>
                <w:bCs/>
                <w:sz w:val="20"/>
                <w:szCs w:val="20"/>
              </w:rPr>
            </w:pPr>
            <w:r w:rsidRPr="001569FB">
              <w:rPr>
                <w:b/>
                <w:bCs/>
                <w:sz w:val="20"/>
                <w:szCs w:val="20"/>
              </w:rPr>
              <w:t xml:space="preserve">Total (Actual Months 1-3) </w:t>
            </w:r>
          </w:p>
        </w:tc>
        <w:tc>
          <w:tcPr>
            <w:tcW w:w="1696" w:type="dxa"/>
            <w:noWrap/>
            <w:hideMark/>
          </w:tcPr>
          <w:p w14:paraId="3E338622" w14:textId="77777777" w:rsidR="009A7430" w:rsidRPr="001569FB" w:rsidRDefault="009A7430" w:rsidP="008D4E91">
            <w:pPr>
              <w:jc w:val="center"/>
              <w:rPr>
                <w:b/>
                <w:bCs/>
                <w:sz w:val="20"/>
                <w:szCs w:val="20"/>
              </w:rPr>
            </w:pPr>
            <w:r w:rsidRPr="001569FB">
              <w:rPr>
                <w:b/>
                <w:bCs/>
                <w:sz w:val="20"/>
                <w:szCs w:val="20"/>
              </w:rPr>
              <w:t> </w:t>
            </w:r>
          </w:p>
        </w:tc>
        <w:tc>
          <w:tcPr>
            <w:tcW w:w="2448" w:type="dxa"/>
            <w:noWrap/>
            <w:vAlign w:val="center"/>
            <w:hideMark/>
          </w:tcPr>
          <w:p w14:paraId="59ADA656" w14:textId="544539EB" w:rsidR="009A7430" w:rsidRPr="001569FB" w:rsidRDefault="007A6384" w:rsidP="008D4E91">
            <w:pPr>
              <w:jc w:val="right"/>
              <w:rPr>
                <w:b/>
                <w:bCs/>
                <w:sz w:val="20"/>
                <w:szCs w:val="20"/>
              </w:rPr>
            </w:pPr>
            <w:r w:rsidRPr="001569FB">
              <w:rPr>
                <w:b/>
                <w:bCs/>
                <w:sz w:val="20"/>
                <w:szCs w:val="20"/>
              </w:rPr>
              <w:t>$</w:t>
            </w:r>
            <w:r w:rsidR="009A7430" w:rsidRPr="001569FB">
              <w:rPr>
                <w:b/>
                <w:bCs/>
                <w:sz w:val="20"/>
                <w:szCs w:val="20"/>
              </w:rPr>
              <w:t xml:space="preserve">53,493.60 </w:t>
            </w:r>
          </w:p>
        </w:tc>
        <w:tc>
          <w:tcPr>
            <w:tcW w:w="2331" w:type="dxa"/>
            <w:noWrap/>
            <w:hideMark/>
          </w:tcPr>
          <w:p w14:paraId="75D315DE" w14:textId="77777777" w:rsidR="009A7430" w:rsidRPr="001569FB" w:rsidRDefault="009A7430" w:rsidP="008D4E91">
            <w:pPr>
              <w:jc w:val="center"/>
              <w:rPr>
                <w:b/>
                <w:sz w:val="20"/>
                <w:szCs w:val="20"/>
              </w:rPr>
            </w:pPr>
            <w:r w:rsidRPr="001569FB">
              <w:rPr>
                <w:b/>
                <w:sz w:val="20"/>
                <w:szCs w:val="20"/>
              </w:rPr>
              <w:t> </w:t>
            </w:r>
          </w:p>
        </w:tc>
      </w:tr>
    </w:tbl>
    <w:p w14:paraId="7D36B7F2" w14:textId="77777777" w:rsidR="009A7430" w:rsidRPr="001569FB" w:rsidRDefault="009A7430" w:rsidP="002707EC">
      <w:pPr>
        <w:spacing w:before="120"/>
        <w:rPr>
          <w:b/>
          <w:sz w:val="18"/>
          <w:szCs w:val="20"/>
        </w:rPr>
      </w:pPr>
      <w:r w:rsidRPr="001569FB">
        <w:rPr>
          <w:b/>
          <w:sz w:val="18"/>
          <w:szCs w:val="20"/>
        </w:rPr>
        <w:t>NOTES:</w:t>
      </w:r>
    </w:p>
    <w:p w14:paraId="373BC6C3" w14:textId="77777777" w:rsidR="009A7430" w:rsidRPr="001569FB" w:rsidRDefault="009A7430" w:rsidP="00AC78D9">
      <w:pPr>
        <w:pStyle w:val="ListParagraph"/>
        <w:numPr>
          <w:ilvl w:val="0"/>
          <w:numId w:val="26"/>
        </w:numPr>
        <w:spacing w:line="259" w:lineRule="auto"/>
        <w:rPr>
          <w:sz w:val="18"/>
          <w:szCs w:val="20"/>
        </w:rPr>
      </w:pPr>
      <w:r w:rsidRPr="001569FB">
        <w:rPr>
          <w:sz w:val="18"/>
          <w:szCs w:val="20"/>
        </w:rPr>
        <w:t>Kidney transplant is identified by MS-DRG 652.</w:t>
      </w:r>
    </w:p>
    <w:p w14:paraId="0B44E675" w14:textId="77777777" w:rsidR="009A7430" w:rsidRPr="001569FB" w:rsidRDefault="009A7430" w:rsidP="00AC78D9">
      <w:pPr>
        <w:pStyle w:val="ListParagraph"/>
        <w:numPr>
          <w:ilvl w:val="0"/>
          <w:numId w:val="26"/>
        </w:numPr>
        <w:spacing w:before="40" w:line="259" w:lineRule="auto"/>
        <w:rPr>
          <w:sz w:val="18"/>
          <w:szCs w:val="20"/>
        </w:rPr>
      </w:pPr>
      <w:r w:rsidRPr="001569FB">
        <w:rPr>
          <w:sz w:val="18"/>
          <w:szCs w:val="20"/>
        </w:rPr>
        <w:t xml:space="preserve">The transplant month payments were computed by aggregating the costs for each of the three monthly payments. </w:t>
      </w:r>
    </w:p>
    <w:p w14:paraId="6D49D225" w14:textId="0D079897" w:rsidR="009A7430" w:rsidRPr="001569FB" w:rsidRDefault="009A7430" w:rsidP="00AC78D9">
      <w:pPr>
        <w:pStyle w:val="ListParagraph"/>
        <w:numPr>
          <w:ilvl w:val="0"/>
          <w:numId w:val="26"/>
        </w:numPr>
        <w:spacing w:before="40" w:after="60" w:line="259" w:lineRule="auto"/>
        <w:rPr>
          <w:sz w:val="18"/>
          <w:szCs w:val="20"/>
        </w:rPr>
      </w:pPr>
      <w:r w:rsidRPr="001569FB">
        <w:rPr>
          <w:sz w:val="18"/>
          <w:szCs w:val="20"/>
        </w:rPr>
        <w:t>The transplant factor is calculated in this manner: (kidney transplant month</w:t>
      </w:r>
      <w:r w:rsidR="00772B25" w:rsidRPr="001569FB">
        <w:rPr>
          <w:sz w:val="18"/>
          <w:szCs w:val="20"/>
        </w:rPr>
        <w:t>’</w:t>
      </w:r>
      <w:r w:rsidRPr="001569FB">
        <w:rPr>
          <w:sz w:val="18"/>
          <w:szCs w:val="20"/>
        </w:rPr>
        <w:t>s dollars/Dialysis Denominator</w:t>
      </w:r>
      <w:r w:rsidR="00621475" w:rsidRPr="001569FB">
        <w:rPr>
          <w:sz w:val="18"/>
          <w:szCs w:val="20"/>
        </w:rPr>
        <w:t>) ×</w:t>
      </w:r>
      <w:r w:rsidRPr="001569FB">
        <w:rPr>
          <w:sz w:val="18"/>
          <w:szCs w:val="20"/>
        </w:rPr>
        <w:t xml:space="preserve">12. </w:t>
      </w:r>
      <w:r w:rsidR="007A6384" w:rsidRPr="001569FB">
        <w:rPr>
          <w:sz w:val="18"/>
          <w:szCs w:val="20"/>
        </w:rPr>
        <w:t xml:space="preserve"> </w:t>
      </w:r>
      <w:r w:rsidRPr="001569FB">
        <w:rPr>
          <w:sz w:val="18"/>
          <w:szCs w:val="20"/>
        </w:rPr>
        <w:t>The CMS ESRD Dialysis Denominator value used was $82,113.76.</w:t>
      </w:r>
    </w:p>
    <w:p w14:paraId="5F93E9DA" w14:textId="73759E61" w:rsidR="00DE491C" w:rsidRPr="001569FB" w:rsidRDefault="009A7430" w:rsidP="00EE48B5">
      <w:pPr>
        <w:spacing w:before="60"/>
        <w:rPr>
          <w:bCs/>
          <w:sz w:val="18"/>
          <w:szCs w:val="20"/>
        </w:rPr>
      </w:pPr>
      <w:r w:rsidRPr="001569FB">
        <w:rPr>
          <w:b/>
          <w:bCs/>
          <w:sz w:val="18"/>
          <w:szCs w:val="20"/>
        </w:rPr>
        <w:t xml:space="preserve">SOURCE:  </w:t>
      </w:r>
      <w:r w:rsidRPr="001569FB">
        <w:rPr>
          <w:bCs/>
          <w:sz w:val="18"/>
          <w:szCs w:val="20"/>
        </w:rPr>
        <w:t xml:space="preserve">RTI International analysis of 2014/2015 Medicare 100% </w:t>
      </w:r>
      <w:r w:rsidR="00E5152E" w:rsidRPr="001569FB">
        <w:rPr>
          <w:bCs/>
          <w:sz w:val="18"/>
          <w:szCs w:val="20"/>
        </w:rPr>
        <w:t>ESRD claims and enrollment data</w:t>
      </w:r>
    </w:p>
    <w:p w14:paraId="2220D910" w14:textId="77777777" w:rsidR="00E177CD" w:rsidRPr="001569FB" w:rsidRDefault="00E177CD" w:rsidP="00EE48B5">
      <w:pPr>
        <w:spacing w:before="60"/>
        <w:rPr>
          <w:bCs/>
          <w:sz w:val="18"/>
          <w:szCs w:val="20"/>
        </w:rPr>
        <w:sectPr w:rsidR="00E177CD" w:rsidRPr="001569FB" w:rsidSect="001F65FB">
          <w:headerReference w:type="even" r:id="rId33"/>
          <w:headerReference w:type="default" r:id="rId34"/>
          <w:footerReference w:type="default" r:id="rId35"/>
          <w:headerReference w:type="first" r:id="rId36"/>
          <w:pgSz w:w="12240" w:h="15840"/>
          <w:pgMar w:top="1440" w:right="1620" w:bottom="1440" w:left="990" w:header="745" w:footer="0" w:gutter="0"/>
          <w:cols w:space="720"/>
          <w:docGrid w:linePitch="299"/>
        </w:sectPr>
      </w:pPr>
    </w:p>
    <w:p w14:paraId="2E0159F7" w14:textId="77777777" w:rsidR="009A7430" w:rsidRPr="001569FB" w:rsidRDefault="009A7430" w:rsidP="00E177CD">
      <w:pPr>
        <w:pStyle w:val="HeadingA"/>
        <w:rPr>
          <w:i/>
        </w:rPr>
      </w:pPr>
      <w:bookmarkStart w:id="597" w:name="_Toc503950935"/>
      <w:bookmarkStart w:id="598" w:name="_Toc503980160"/>
      <w:bookmarkStart w:id="599" w:name="_Toc505253821"/>
      <w:r w:rsidRPr="001569FB">
        <w:lastRenderedPageBreak/>
        <w:t xml:space="preserve">Table </w:t>
      </w:r>
      <w:r w:rsidR="00440F3D" w:rsidRPr="001569FB">
        <w:t>V-</w:t>
      </w:r>
      <w:r w:rsidR="000B6CFC" w:rsidRPr="001569FB">
        <w:t>9</w:t>
      </w:r>
      <w:r w:rsidRPr="001569FB">
        <w:t>. ESRD Model Functioning Graft Relative Factors for Community Population</w:t>
      </w:r>
      <w:bookmarkEnd w:id="597"/>
      <w:bookmarkEnd w:id="598"/>
      <w:bookmarkEnd w:id="599"/>
    </w:p>
    <w:tbl>
      <w:tblPr>
        <w:tblStyle w:val="TableGrid"/>
        <w:tblW w:w="0" w:type="auto"/>
        <w:tblCellMar>
          <w:left w:w="58" w:type="dxa"/>
          <w:right w:w="58" w:type="dxa"/>
        </w:tblCellMar>
        <w:tblLook w:val="04A0" w:firstRow="1" w:lastRow="0" w:firstColumn="1" w:lastColumn="0" w:noHBand="0" w:noVBand="1"/>
      </w:tblPr>
      <w:tblGrid>
        <w:gridCol w:w="3053"/>
        <w:gridCol w:w="4412"/>
        <w:gridCol w:w="1885"/>
      </w:tblGrid>
      <w:tr w:rsidR="009A7430" w:rsidRPr="001569FB" w14:paraId="5DE22F40" w14:textId="77777777" w:rsidTr="00E177CD">
        <w:trPr>
          <w:cantSplit/>
          <w:trHeight w:val="300"/>
          <w:tblHeader/>
        </w:trPr>
        <w:tc>
          <w:tcPr>
            <w:tcW w:w="3053" w:type="dxa"/>
            <w:noWrap/>
            <w:hideMark/>
          </w:tcPr>
          <w:p w14:paraId="04E51786" w14:textId="77777777" w:rsidR="009A7430" w:rsidRPr="001569FB" w:rsidRDefault="009A7430" w:rsidP="008D4E91">
            <w:pPr>
              <w:pStyle w:val="ListParagraph"/>
              <w:ind w:left="115"/>
              <w:rPr>
                <w:b/>
                <w:bCs/>
                <w:sz w:val="20"/>
                <w:szCs w:val="20"/>
              </w:rPr>
            </w:pPr>
            <w:r w:rsidRPr="001569FB">
              <w:rPr>
                <w:b/>
                <w:bCs/>
                <w:sz w:val="20"/>
                <w:szCs w:val="20"/>
              </w:rPr>
              <w:t>Variable</w:t>
            </w:r>
          </w:p>
        </w:tc>
        <w:tc>
          <w:tcPr>
            <w:tcW w:w="4412" w:type="dxa"/>
            <w:noWrap/>
            <w:hideMark/>
          </w:tcPr>
          <w:p w14:paraId="63C42B65" w14:textId="77777777" w:rsidR="009A7430" w:rsidRPr="001569FB" w:rsidRDefault="009A7430" w:rsidP="008D4E91">
            <w:pPr>
              <w:pStyle w:val="ListParagraph"/>
              <w:ind w:left="121"/>
              <w:rPr>
                <w:b/>
                <w:bCs/>
                <w:sz w:val="20"/>
                <w:szCs w:val="20"/>
              </w:rPr>
            </w:pPr>
            <w:r w:rsidRPr="001569FB">
              <w:rPr>
                <w:b/>
                <w:bCs/>
                <w:sz w:val="20"/>
                <w:szCs w:val="20"/>
              </w:rPr>
              <w:t>Description Label</w:t>
            </w:r>
          </w:p>
        </w:tc>
        <w:tc>
          <w:tcPr>
            <w:tcW w:w="1885" w:type="dxa"/>
            <w:noWrap/>
            <w:hideMark/>
          </w:tcPr>
          <w:p w14:paraId="77C1B8F9" w14:textId="77777777" w:rsidR="009A7430" w:rsidRPr="001569FB" w:rsidRDefault="009A7430" w:rsidP="008D4E91">
            <w:pPr>
              <w:pStyle w:val="ListParagraph"/>
              <w:ind w:left="25"/>
              <w:jc w:val="center"/>
              <w:rPr>
                <w:b/>
                <w:bCs/>
                <w:sz w:val="20"/>
                <w:szCs w:val="20"/>
              </w:rPr>
            </w:pPr>
            <w:r w:rsidRPr="001569FB">
              <w:rPr>
                <w:b/>
                <w:bCs/>
                <w:sz w:val="20"/>
                <w:szCs w:val="20"/>
              </w:rPr>
              <w:t>Relative Factors</w:t>
            </w:r>
          </w:p>
        </w:tc>
      </w:tr>
      <w:tr w:rsidR="009A7430" w:rsidRPr="001569FB" w14:paraId="0FB984D1" w14:textId="77777777" w:rsidTr="008D4E91">
        <w:trPr>
          <w:trHeight w:val="300"/>
        </w:trPr>
        <w:tc>
          <w:tcPr>
            <w:tcW w:w="9350" w:type="dxa"/>
            <w:gridSpan w:val="3"/>
            <w:noWrap/>
            <w:hideMark/>
          </w:tcPr>
          <w:p w14:paraId="493BA1C3" w14:textId="77777777" w:rsidR="009A7430" w:rsidRPr="001569FB" w:rsidRDefault="009A7430" w:rsidP="008D4E91">
            <w:pPr>
              <w:pStyle w:val="ListParagraph"/>
              <w:ind w:left="115"/>
              <w:rPr>
                <w:bCs/>
                <w:sz w:val="20"/>
                <w:szCs w:val="20"/>
              </w:rPr>
            </w:pPr>
            <w:r w:rsidRPr="001569FB">
              <w:rPr>
                <w:b/>
                <w:bCs/>
                <w:sz w:val="20"/>
                <w:szCs w:val="20"/>
              </w:rPr>
              <w:t>Functioning Graft Factors</w:t>
            </w:r>
            <w:r w:rsidRPr="001569FB">
              <w:rPr>
                <w:bCs/>
                <w:sz w:val="20"/>
                <w:szCs w:val="20"/>
              </w:rPr>
              <w:t> </w:t>
            </w:r>
          </w:p>
        </w:tc>
      </w:tr>
      <w:tr w:rsidR="009A7430" w:rsidRPr="001569FB" w14:paraId="533D8C99" w14:textId="77777777" w:rsidTr="008D4E91">
        <w:trPr>
          <w:trHeight w:val="315"/>
        </w:trPr>
        <w:tc>
          <w:tcPr>
            <w:tcW w:w="7465" w:type="dxa"/>
            <w:gridSpan w:val="2"/>
            <w:noWrap/>
            <w:hideMark/>
          </w:tcPr>
          <w:p w14:paraId="5B290AA2"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4-9 months </w:t>
            </w:r>
          </w:p>
        </w:tc>
        <w:tc>
          <w:tcPr>
            <w:tcW w:w="1885" w:type="dxa"/>
            <w:noWrap/>
            <w:hideMark/>
          </w:tcPr>
          <w:p w14:paraId="5089D858" w14:textId="77777777" w:rsidR="009A7430" w:rsidRPr="001569FB" w:rsidRDefault="009A7430" w:rsidP="008D4E91">
            <w:pPr>
              <w:pStyle w:val="ListParagraph"/>
              <w:ind w:left="123"/>
              <w:jc w:val="center"/>
              <w:rPr>
                <w:bCs/>
                <w:sz w:val="20"/>
                <w:szCs w:val="20"/>
              </w:rPr>
            </w:pPr>
            <w:r w:rsidRPr="001569FB">
              <w:rPr>
                <w:bCs/>
                <w:sz w:val="20"/>
                <w:szCs w:val="20"/>
              </w:rPr>
              <w:t>2.562</w:t>
            </w:r>
          </w:p>
        </w:tc>
      </w:tr>
      <w:tr w:rsidR="009A7430" w:rsidRPr="001569FB" w14:paraId="105499EB" w14:textId="77777777" w:rsidTr="008D4E91">
        <w:trPr>
          <w:trHeight w:val="315"/>
        </w:trPr>
        <w:tc>
          <w:tcPr>
            <w:tcW w:w="7465" w:type="dxa"/>
            <w:gridSpan w:val="2"/>
            <w:noWrap/>
            <w:hideMark/>
          </w:tcPr>
          <w:p w14:paraId="7B47A13F"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4-9 months </w:t>
            </w:r>
          </w:p>
        </w:tc>
        <w:tc>
          <w:tcPr>
            <w:tcW w:w="1885" w:type="dxa"/>
            <w:noWrap/>
            <w:hideMark/>
          </w:tcPr>
          <w:p w14:paraId="0601DBA9" w14:textId="77777777" w:rsidR="009A7430" w:rsidRPr="001569FB" w:rsidRDefault="009A7430" w:rsidP="008D4E91">
            <w:pPr>
              <w:pStyle w:val="ListParagraph"/>
              <w:ind w:left="123"/>
              <w:jc w:val="center"/>
              <w:rPr>
                <w:bCs/>
                <w:sz w:val="20"/>
                <w:szCs w:val="20"/>
              </w:rPr>
            </w:pPr>
            <w:r w:rsidRPr="001569FB">
              <w:rPr>
                <w:bCs/>
                <w:sz w:val="20"/>
                <w:szCs w:val="20"/>
              </w:rPr>
              <w:t>2.174</w:t>
            </w:r>
          </w:p>
        </w:tc>
      </w:tr>
      <w:tr w:rsidR="009A7430" w:rsidRPr="001569FB" w14:paraId="69D04BE7" w14:textId="77777777" w:rsidTr="008D4E91">
        <w:trPr>
          <w:trHeight w:val="315"/>
        </w:trPr>
        <w:tc>
          <w:tcPr>
            <w:tcW w:w="7465" w:type="dxa"/>
            <w:gridSpan w:val="2"/>
            <w:noWrap/>
            <w:hideMark/>
          </w:tcPr>
          <w:p w14:paraId="18A196B4"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10 months or more </w:t>
            </w:r>
          </w:p>
        </w:tc>
        <w:tc>
          <w:tcPr>
            <w:tcW w:w="1885" w:type="dxa"/>
            <w:noWrap/>
            <w:hideMark/>
          </w:tcPr>
          <w:p w14:paraId="0A1F3210" w14:textId="77777777" w:rsidR="009A7430" w:rsidRPr="001569FB" w:rsidRDefault="009A7430" w:rsidP="008D4E91">
            <w:pPr>
              <w:pStyle w:val="ListParagraph"/>
              <w:ind w:left="123"/>
              <w:jc w:val="center"/>
              <w:rPr>
                <w:bCs/>
                <w:sz w:val="20"/>
                <w:szCs w:val="20"/>
              </w:rPr>
            </w:pPr>
            <w:r w:rsidRPr="001569FB">
              <w:rPr>
                <w:bCs/>
                <w:sz w:val="20"/>
                <w:szCs w:val="20"/>
              </w:rPr>
              <w:t>1.121</w:t>
            </w:r>
          </w:p>
        </w:tc>
      </w:tr>
      <w:tr w:rsidR="009A7430" w:rsidRPr="001569FB" w14:paraId="0516635E" w14:textId="77777777" w:rsidTr="008D4E91">
        <w:trPr>
          <w:trHeight w:val="315"/>
        </w:trPr>
        <w:tc>
          <w:tcPr>
            <w:tcW w:w="7465" w:type="dxa"/>
            <w:gridSpan w:val="2"/>
            <w:noWrap/>
            <w:hideMark/>
          </w:tcPr>
          <w:p w14:paraId="76FCD0AE"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10 months or more </w:t>
            </w:r>
          </w:p>
        </w:tc>
        <w:tc>
          <w:tcPr>
            <w:tcW w:w="1885" w:type="dxa"/>
            <w:noWrap/>
            <w:hideMark/>
          </w:tcPr>
          <w:p w14:paraId="5BDE9566" w14:textId="77777777" w:rsidR="009A7430" w:rsidRPr="001569FB" w:rsidRDefault="009A7430" w:rsidP="008D4E91">
            <w:pPr>
              <w:pStyle w:val="ListParagraph"/>
              <w:ind w:left="123"/>
              <w:jc w:val="center"/>
              <w:rPr>
                <w:bCs/>
                <w:sz w:val="20"/>
                <w:szCs w:val="20"/>
              </w:rPr>
            </w:pPr>
            <w:r w:rsidRPr="001569FB">
              <w:rPr>
                <w:bCs/>
                <w:sz w:val="20"/>
                <w:szCs w:val="20"/>
              </w:rPr>
              <w:t>0.840</w:t>
            </w:r>
          </w:p>
        </w:tc>
      </w:tr>
      <w:tr w:rsidR="009A7430" w:rsidRPr="001569FB" w14:paraId="50D0A6C1" w14:textId="77777777" w:rsidTr="008D4E91">
        <w:trPr>
          <w:trHeight w:val="300"/>
        </w:trPr>
        <w:tc>
          <w:tcPr>
            <w:tcW w:w="9350" w:type="dxa"/>
            <w:gridSpan w:val="3"/>
            <w:noWrap/>
            <w:hideMark/>
          </w:tcPr>
          <w:p w14:paraId="46EEC38C" w14:textId="77777777" w:rsidR="009A7430" w:rsidRPr="001569FB" w:rsidRDefault="009A7430" w:rsidP="008D4E91">
            <w:pPr>
              <w:pStyle w:val="ListParagraph"/>
              <w:ind w:left="115"/>
              <w:rPr>
                <w:bCs/>
                <w:sz w:val="20"/>
                <w:szCs w:val="20"/>
              </w:rPr>
            </w:pPr>
            <w:r w:rsidRPr="001569FB">
              <w:rPr>
                <w:b/>
                <w:bCs/>
                <w:sz w:val="20"/>
                <w:szCs w:val="20"/>
              </w:rPr>
              <w:t>Female</w:t>
            </w:r>
            <w:r w:rsidRPr="001569FB">
              <w:rPr>
                <w:bCs/>
                <w:sz w:val="20"/>
                <w:szCs w:val="20"/>
              </w:rPr>
              <w:t> </w:t>
            </w:r>
          </w:p>
        </w:tc>
      </w:tr>
      <w:tr w:rsidR="009A7430" w:rsidRPr="001569FB" w14:paraId="7230DA59" w14:textId="77777777" w:rsidTr="008D4E91">
        <w:trPr>
          <w:trHeight w:val="300"/>
        </w:trPr>
        <w:tc>
          <w:tcPr>
            <w:tcW w:w="3053" w:type="dxa"/>
            <w:noWrap/>
            <w:hideMark/>
          </w:tcPr>
          <w:p w14:paraId="6F9A0C3B" w14:textId="77777777" w:rsidR="009A7430" w:rsidRPr="001569FB" w:rsidRDefault="009A7430" w:rsidP="008D4E91">
            <w:pPr>
              <w:pStyle w:val="ListParagraph"/>
              <w:ind w:left="115"/>
              <w:rPr>
                <w:bCs/>
                <w:sz w:val="20"/>
                <w:szCs w:val="20"/>
              </w:rPr>
            </w:pPr>
            <w:r w:rsidRPr="001569FB">
              <w:rPr>
                <w:bCs/>
                <w:sz w:val="20"/>
                <w:szCs w:val="20"/>
              </w:rPr>
              <w:t>0-34 Years</w:t>
            </w:r>
          </w:p>
        </w:tc>
        <w:tc>
          <w:tcPr>
            <w:tcW w:w="4412" w:type="dxa"/>
            <w:noWrap/>
            <w:hideMark/>
          </w:tcPr>
          <w:p w14:paraId="03D436A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0C0C9" w14:textId="77777777" w:rsidR="009A7430" w:rsidRPr="001569FB" w:rsidRDefault="009A7430" w:rsidP="008D4E91">
            <w:pPr>
              <w:pStyle w:val="ListParagraph"/>
              <w:ind w:left="123"/>
              <w:jc w:val="center"/>
              <w:rPr>
                <w:bCs/>
                <w:sz w:val="20"/>
                <w:szCs w:val="20"/>
              </w:rPr>
            </w:pPr>
            <w:r w:rsidRPr="001569FB">
              <w:rPr>
                <w:bCs/>
                <w:sz w:val="20"/>
                <w:szCs w:val="20"/>
              </w:rPr>
              <w:t>0.196</w:t>
            </w:r>
          </w:p>
        </w:tc>
      </w:tr>
      <w:tr w:rsidR="009A7430" w:rsidRPr="001569FB" w14:paraId="25B2D68C" w14:textId="77777777" w:rsidTr="008D4E91">
        <w:trPr>
          <w:trHeight w:val="300"/>
        </w:trPr>
        <w:tc>
          <w:tcPr>
            <w:tcW w:w="3053" w:type="dxa"/>
            <w:noWrap/>
            <w:hideMark/>
          </w:tcPr>
          <w:p w14:paraId="573587EF"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3BACC28D"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DB0762F" w14:textId="77777777" w:rsidR="009A7430" w:rsidRPr="001569FB" w:rsidRDefault="009A7430" w:rsidP="008D4E91">
            <w:pPr>
              <w:pStyle w:val="ListParagraph"/>
              <w:ind w:left="123"/>
              <w:jc w:val="center"/>
              <w:rPr>
                <w:bCs/>
                <w:sz w:val="20"/>
                <w:szCs w:val="20"/>
              </w:rPr>
            </w:pPr>
            <w:r w:rsidRPr="001569FB">
              <w:rPr>
                <w:bCs/>
                <w:sz w:val="20"/>
                <w:szCs w:val="20"/>
              </w:rPr>
              <w:t>0.219</w:t>
            </w:r>
          </w:p>
        </w:tc>
      </w:tr>
      <w:tr w:rsidR="009A7430" w:rsidRPr="001569FB" w14:paraId="61DA509D" w14:textId="77777777" w:rsidTr="008D4E91">
        <w:trPr>
          <w:trHeight w:val="300"/>
        </w:trPr>
        <w:tc>
          <w:tcPr>
            <w:tcW w:w="3053" w:type="dxa"/>
            <w:noWrap/>
            <w:hideMark/>
          </w:tcPr>
          <w:p w14:paraId="58DD7ADF"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43BF97D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8305930" w14:textId="77777777" w:rsidR="009A7430" w:rsidRPr="001569FB" w:rsidRDefault="009A7430" w:rsidP="008D4E91">
            <w:pPr>
              <w:pStyle w:val="ListParagraph"/>
              <w:ind w:left="123"/>
              <w:jc w:val="center"/>
              <w:rPr>
                <w:bCs/>
                <w:sz w:val="20"/>
                <w:szCs w:val="20"/>
              </w:rPr>
            </w:pPr>
            <w:r w:rsidRPr="001569FB">
              <w:rPr>
                <w:bCs/>
                <w:sz w:val="20"/>
                <w:szCs w:val="20"/>
              </w:rPr>
              <w:t>0.256</w:t>
            </w:r>
          </w:p>
        </w:tc>
      </w:tr>
      <w:tr w:rsidR="009A7430" w:rsidRPr="001569FB" w14:paraId="4B69A58B" w14:textId="77777777" w:rsidTr="008D4E91">
        <w:trPr>
          <w:trHeight w:val="300"/>
        </w:trPr>
        <w:tc>
          <w:tcPr>
            <w:tcW w:w="3053" w:type="dxa"/>
            <w:noWrap/>
            <w:hideMark/>
          </w:tcPr>
          <w:p w14:paraId="0F53907F"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13DB1C7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57E01A9C" w14:textId="77777777" w:rsidR="009A7430" w:rsidRPr="001569FB" w:rsidRDefault="009A7430" w:rsidP="008D4E91">
            <w:pPr>
              <w:pStyle w:val="ListParagraph"/>
              <w:ind w:left="123"/>
              <w:jc w:val="center"/>
              <w:rPr>
                <w:bCs/>
                <w:sz w:val="20"/>
                <w:szCs w:val="20"/>
              </w:rPr>
            </w:pPr>
            <w:r w:rsidRPr="001569FB">
              <w:rPr>
                <w:bCs/>
                <w:sz w:val="20"/>
                <w:szCs w:val="20"/>
              </w:rPr>
              <w:t>0.306</w:t>
            </w:r>
          </w:p>
        </w:tc>
      </w:tr>
      <w:tr w:rsidR="009A7430" w:rsidRPr="001569FB" w14:paraId="67749D54" w14:textId="77777777" w:rsidTr="008D4E91">
        <w:trPr>
          <w:trHeight w:val="300"/>
        </w:trPr>
        <w:tc>
          <w:tcPr>
            <w:tcW w:w="3053" w:type="dxa"/>
            <w:noWrap/>
            <w:hideMark/>
          </w:tcPr>
          <w:p w14:paraId="2F009B4A"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45523E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3CF4C" w14:textId="77777777" w:rsidR="009A7430" w:rsidRPr="001569FB" w:rsidRDefault="009A7430" w:rsidP="008D4E91">
            <w:pPr>
              <w:pStyle w:val="ListParagraph"/>
              <w:ind w:left="123"/>
              <w:jc w:val="center"/>
              <w:rPr>
                <w:bCs/>
                <w:sz w:val="20"/>
                <w:szCs w:val="20"/>
              </w:rPr>
            </w:pPr>
            <w:r w:rsidRPr="001569FB">
              <w:rPr>
                <w:bCs/>
                <w:sz w:val="20"/>
                <w:szCs w:val="20"/>
              </w:rPr>
              <w:t>0.360</w:t>
            </w:r>
          </w:p>
        </w:tc>
      </w:tr>
      <w:tr w:rsidR="009A7430" w:rsidRPr="001569FB" w14:paraId="0878AFC3" w14:textId="77777777" w:rsidTr="008D4E91">
        <w:trPr>
          <w:trHeight w:val="300"/>
        </w:trPr>
        <w:tc>
          <w:tcPr>
            <w:tcW w:w="3053" w:type="dxa"/>
            <w:noWrap/>
            <w:hideMark/>
          </w:tcPr>
          <w:p w14:paraId="7FC49021"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32DA426B"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A32C33B" w14:textId="77777777" w:rsidR="009A7430" w:rsidRPr="001569FB" w:rsidRDefault="009A7430" w:rsidP="008D4E91">
            <w:pPr>
              <w:pStyle w:val="ListParagraph"/>
              <w:ind w:left="123"/>
              <w:jc w:val="center"/>
              <w:rPr>
                <w:bCs/>
                <w:sz w:val="20"/>
                <w:szCs w:val="20"/>
              </w:rPr>
            </w:pPr>
            <w:r w:rsidRPr="001569FB">
              <w:rPr>
                <w:bCs/>
                <w:sz w:val="20"/>
                <w:szCs w:val="20"/>
              </w:rPr>
              <w:t>0.291</w:t>
            </w:r>
          </w:p>
        </w:tc>
      </w:tr>
      <w:tr w:rsidR="009A7430" w:rsidRPr="001569FB" w14:paraId="7103B5B6" w14:textId="77777777" w:rsidTr="008D4E91">
        <w:trPr>
          <w:trHeight w:val="300"/>
        </w:trPr>
        <w:tc>
          <w:tcPr>
            <w:tcW w:w="3053" w:type="dxa"/>
            <w:noWrap/>
            <w:hideMark/>
          </w:tcPr>
          <w:p w14:paraId="18FB9319"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0646F5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B56839B" w14:textId="77777777" w:rsidR="009A7430" w:rsidRPr="001569FB" w:rsidRDefault="009A7430" w:rsidP="008D4E91">
            <w:pPr>
              <w:pStyle w:val="ListParagraph"/>
              <w:ind w:left="123"/>
              <w:jc w:val="center"/>
              <w:rPr>
                <w:bCs/>
                <w:sz w:val="20"/>
                <w:szCs w:val="20"/>
              </w:rPr>
            </w:pPr>
            <w:r w:rsidRPr="001569FB">
              <w:rPr>
                <w:bCs/>
                <w:sz w:val="20"/>
                <w:szCs w:val="20"/>
              </w:rPr>
              <w:t>0.350</w:t>
            </w:r>
          </w:p>
        </w:tc>
      </w:tr>
      <w:tr w:rsidR="009A7430" w:rsidRPr="001569FB" w14:paraId="7ACC5BC9" w14:textId="77777777" w:rsidTr="008D4E91">
        <w:trPr>
          <w:trHeight w:val="300"/>
        </w:trPr>
        <w:tc>
          <w:tcPr>
            <w:tcW w:w="3053" w:type="dxa"/>
            <w:noWrap/>
            <w:hideMark/>
          </w:tcPr>
          <w:p w14:paraId="365EF03E"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73334E5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2524FCE" w14:textId="77777777" w:rsidR="009A7430" w:rsidRPr="001569FB" w:rsidRDefault="009A7430" w:rsidP="008D4E91">
            <w:pPr>
              <w:pStyle w:val="ListParagraph"/>
              <w:ind w:left="123"/>
              <w:jc w:val="center"/>
              <w:rPr>
                <w:bCs/>
                <w:sz w:val="20"/>
                <w:szCs w:val="20"/>
              </w:rPr>
            </w:pPr>
            <w:r w:rsidRPr="001569FB">
              <w:rPr>
                <w:bCs/>
                <w:sz w:val="20"/>
                <w:szCs w:val="20"/>
              </w:rPr>
              <w:t>0.406</w:t>
            </w:r>
          </w:p>
        </w:tc>
      </w:tr>
      <w:tr w:rsidR="009A7430" w:rsidRPr="001569FB" w14:paraId="04054B7F" w14:textId="77777777" w:rsidTr="008D4E91">
        <w:trPr>
          <w:trHeight w:val="300"/>
        </w:trPr>
        <w:tc>
          <w:tcPr>
            <w:tcW w:w="3053" w:type="dxa"/>
            <w:noWrap/>
            <w:hideMark/>
          </w:tcPr>
          <w:p w14:paraId="0CEA38F1"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1097200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0B4D2BD" w14:textId="77777777" w:rsidR="009A7430" w:rsidRPr="001569FB" w:rsidRDefault="009A7430" w:rsidP="008D4E91">
            <w:pPr>
              <w:pStyle w:val="ListParagraph"/>
              <w:ind w:left="123"/>
              <w:jc w:val="center"/>
              <w:rPr>
                <w:bCs/>
                <w:sz w:val="20"/>
                <w:szCs w:val="20"/>
              </w:rPr>
            </w:pPr>
            <w:r w:rsidRPr="001569FB">
              <w:rPr>
                <w:bCs/>
                <w:sz w:val="20"/>
                <w:szCs w:val="20"/>
              </w:rPr>
              <w:t>0.480</w:t>
            </w:r>
          </w:p>
        </w:tc>
      </w:tr>
      <w:tr w:rsidR="009A7430" w:rsidRPr="001569FB" w14:paraId="4ED4A765" w14:textId="77777777" w:rsidTr="008D4E91">
        <w:trPr>
          <w:trHeight w:val="300"/>
        </w:trPr>
        <w:tc>
          <w:tcPr>
            <w:tcW w:w="3053" w:type="dxa"/>
            <w:noWrap/>
            <w:hideMark/>
          </w:tcPr>
          <w:p w14:paraId="5A2DE867"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2E39AA22"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540B7B6" w14:textId="77777777" w:rsidR="009A7430" w:rsidRPr="001569FB" w:rsidRDefault="009A7430" w:rsidP="008D4E91">
            <w:pPr>
              <w:pStyle w:val="ListParagraph"/>
              <w:ind w:left="123"/>
              <w:jc w:val="center"/>
              <w:rPr>
                <w:bCs/>
                <w:sz w:val="20"/>
                <w:szCs w:val="20"/>
              </w:rPr>
            </w:pPr>
            <w:r w:rsidRPr="001569FB">
              <w:rPr>
                <w:bCs/>
                <w:sz w:val="20"/>
                <w:szCs w:val="20"/>
              </w:rPr>
              <w:t>0.590</w:t>
            </w:r>
          </w:p>
        </w:tc>
      </w:tr>
      <w:tr w:rsidR="009A7430" w:rsidRPr="001569FB" w14:paraId="26F75B2D" w14:textId="77777777" w:rsidTr="008D4E91">
        <w:trPr>
          <w:trHeight w:val="300"/>
        </w:trPr>
        <w:tc>
          <w:tcPr>
            <w:tcW w:w="3053" w:type="dxa"/>
            <w:noWrap/>
            <w:hideMark/>
          </w:tcPr>
          <w:p w14:paraId="4F26A548"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189FA1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F1515F0" w14:textId="77777777" w:rsidR="009A7430" w:rsidRPr="001569FB" w:rsidRDefault="009A7430" w:rsidP="008D4E91">
            <w:pPr>
              <w:pStyle w:val="ListParagraph"/>
              <w:ind w:left="123"/>
              <w:jc w:val="center"/>
              <w:rPr>
                <w:bCs/>
                <w:sz w:val="20"/>
                <w:szCs w:val="20"/>
              </w:rPr>
            </w:pPr>
            <w:r w:rsidRPr="001569FB">
              <w:rPr>
                <w:bCs/>
                <w:sz w:val="20"/>
                <w:szCs w:val="20"/>
              </w:rPr>
              <w:t>0.724</w:t>
            </w:r>
          </w:p>
        </w:tc>
      </w:tr>
      <w:tr w:rsidR="009A7430" w:rsidRPr="001569FB" w14:paraId="05F89FF3" w14:textId="77777777" w:rsidTr="008D4E91">
        <w:trPr>
          <w:trHeight w:val="300"/>
        </w:trPr>
        <w:tc>
          <w:tcPr>
            <w:tcW w:w="3053" w:type="dxa"/>
            <w:noWrap/>
            <w:hideMark/>
          </w:tcPr>
          <w:p w14:paraId="7A718FA8"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71A116B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BF15FE5" w14:textId="77777777" w:rsidR="009A7430" w:rsidRPr="001569FB" w:rsidRDefault="009A7430" w:rsidP="008D4E91">
            <w:pPr>
              <w:pStyle w:val="ListParagraph"/>
              <w:ind w:left="123"/>
              <w:jc w:val="center"/>
              <w:rPr>
                <w:bCs/>
                <w:sz w:val="20"/>
                <w:szCs w:val="20"/>
              </w:rPr>
            </w:pPr>
            <w:r w:rsidRPr="001569FB">
              <w:rPr>
                <w:bCs/>
                <w:sz w:val="20"/>
                <w:szCs w:val="20"/>
              </w:rPr>
              <w:t>0.737</w:t>
            </w:r>
          </w:p>
        </w:tc>
      </w:tr>
      <w:tr w:rsidR="009A7430" w:rsidRPr="001569FB" w14:paraId="22D355B6" w14:textId="77777777" w:rsidTr="008D4E91">
        <w:trPr>
          <w:trHeight w:val="300"/>
        </w:trPr>
        <w:tc>
          <w:tcPr>
            <w:tcW w:w="9350" w:type="dxa"/>
            <w:gridSpan w:val="3"/>
            <w:noWrap/>
            <w:hideMark/>
          </w:tcPr>
          <w:p w14:paraId="2E1CD2E5" w14:textId="77777777" w:rsidR="009A7430" w:rsidRPr="001569FB" w:rsidRDefault="009A7430" w:rsidP="008D4E91">
            <w:pPr>
              <w:pStyle w:val="ListParagraph"/>
              <w:ind w:left="115"/>
              <w:rPr>
                <w:bCs/>
                <w:sz w:val="20"/>
                <w:szCs w:val="20"/>
              </w:rPr>
            </w:pPr>
            <w:r w:rsidRPr="001569FB">
              <w:rPr>
                <w:b/>
                <w:bCs/>
                <w:sz w:val="20"/>
                <w:szCs w:val="20"/>
              </w:rPr>
              <w:t>Male</w:t>
            </w:r>
            <w:r w:rsidRPr="001569FB">
              <w:rPr>
                <w:bCs/>
                <w:sz w:val="20"/>
                <w:szCs w:val="20"/>
              </w:rPr>
              <w:t> </w:t>
            </w:r>
          </w:p>
        </w:tc>
      </w:tr>
      <w:tr w:rsidR="009A7430" w:rsidRPr="001569FB" w14:paraId="356D69FD" w14:textId="77777777" w:rsidTr="008D4E91">
        <w:trPr>
          <w:trHeight w:val="300"/>
        </w:trPr>
        <w:tc>
          <w:tcPr>
            <w:tcW w:w="3053" w:type="dxa"/>
            <w:noWrap/>
            <w:hideMark/>
          </w:tcPr>
          <w:p w14:paraId="208BFBA3" w14:textId="77777777" w:rsidR="009A7430" w:rsidRPr="001569FB" w:rsidRDefault="009A7430" w:rsidP="008D4E91">
            <w:pPr>
              <w:pStyle w:val="ListParagraph"/>
              <w:ind w:left="115"/>
              <w:rPr>
                <w:bCs/>
                <w:sz w:val="20"/>
                <w:szCs w:val="20"/>
              </w:rPr>
            </w:pPr>
            <w:r w:rsidRPr="001569FB">
              <w:rPr>
                <w:bCs/>
                <w:sz w:val="20"/>
                <w:szCs w:val="20"/>
              </w:rPr>
              <w:t xml:space="preserve">0-34 Years </w:t>
            </w:r>
          </w:p>
        </w:tc>
        <w:tc>
          <w:tcPr>
            <w:tcW w:w="4412" w:type="dxa"/>
            <w:noWrap/>
            <w:hideMark/>
          </w:tcPr>
          <w:p w14:paraId="354171DC"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AB9D000" w14:textId="77777777" w:rsidR="009A7430" w:rsidRPr="001569FB" w:rsidRDefault="009A7430" w:rsidP="008D4E91">
            <w:pPr>
              <w:pStyle w:val="ListParagraph"/>
              <w:ind w:left="33"/>
              <w:jc w:val="center"/>
              <w:rPr>
                <w:bCs/>
                <w:sz w:val="20"/>
                <w:szCs w:val="20"/>
              </w:rPr>
            </w:pPr>
            <w:r w:rsidRPr="001569FB">
              <w:rPr>
                <w:bCs/>
                <w:sz w:val="20"/>
                <w:szCs w:val="20"/>
              </w:rPr>
              <w:t>0.067</w:t>
            </w:r>
          </w:p>
        </w:tc>
      </w:tr>
      <w:tr w:rsidR="009A7430" w:rsidRPr="001569FB" w14:paraId="1FDEE6F7" w14:textId="77777777" w:rsidTr="008D4E91">
        <w:trPr>
          <w:trHeight w:val="300"/>
        </w:trPr>
        <w:tc>
          <w:tcPr>
            <w:tcW w:w="3053" w:type="dxa"/>
            <w:noWrap/>
            <w:hideMark/>
          </w:tcPr>
          <w:p w14:paraId="4187EE85"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16D6357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2CDE535" w14:textId="77777777" w:rsidR="009A7430" w:rsidRPr="001569FB" w:rsidRDefault="009A7430" w:rsidP="008D4E91">
            <w:pPr>
              <w:pStyle w:val="ListParagraph"/>
              <w:ind w:left="33"/>
              <w:jc w:val="center"/>
              <w:rPr>
                <w:bCs/>
                <w:sz w:val="20"/>
                <w:szCs w:val="20"/>
              </w:rPr>
            </w:pPr>
            <w:r w:rsidRPr="001569FB">
              <w:rPr>
                <w:bCs/>
                <w:sz w:val="20"/>
                <w:szCs w:val="20"/>
              </w:rPr>
              <w:t>0.076</w:t>
            </w:r>
          </w:p>
        </w:tc>
      </w:tr>
      <w:tr w:rsidR="009A7430" w:rsidRPr="001569FB" w14:paraId="5EA0883C" w14:textId="77777777" w:rsidTr="008D4E91">
        <w:trPr>
          <w:trHeight w:val="300"/>
        </w:trPr>
        <w:tc>
          <w:tcPr>
            <w:tcW w:w="3053" w:type="dxa"/>
            <w:noWrap/>
            <w:hideMark/>
          </w:tcPr>
          <w:p w14:paraId="454F5ADC"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105D8E8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328EE3" w14:textId="77777777" w:rsidR="009A7430" w:rsidRPr="001569FB" w:rsidRDefault="009A7430" w:rsidP="008D4E91">
            <w:pPr>
              <w:pStyle w:val="ListParagraph"/>
              <w:ind w:left="33"/>
              <w:jc w:val="center"/>
              <w:rPr>
                <w:bCs/>
                <w:sz w:val="20"/>
                <w:szCs w:val="20"/>
              </w:rPr>
            </w:pPr>
            <w:r w:rsidRPr="001569FB">
              <w:rPr>
                <w:bCs/>
                <w:sz w:val="20"/>
                <w:szCs w:val="20"/>
              </w:rPr>
              <w:t>0.149</w:t>
            </w:r>
          </w:p>
        </w:tc>
      </w:tr>
      <w:tr w:rsidR="009A7430" w:rsidRPr="001569FB" w14:paraId="574ABCCF" w14:textId="77777777" w:rsidTr="008D4E91">
        <w:trPr>
          <w:trHeight w:val="300"/>
        </w:trPr>
        <w:tc>
          <w:tcPr>
            <w:tcW w:w="3053" w:type="dxa"/>
            <w:noWrap/>
            <w:hideMark/>
          </w:tcPr>
          <w:p w14:paraId="4F9743AE"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790C5A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A0830F3" w14:textId="77777777" w:rsidR="009A7430" w:rsidRPr="001569FB" w:rsidRDefault="009A7430" w:rsidP="008D4E91">
            <w:pPr>
              <w:pStyle w:val="ListParagraph"/>
              <w:ind w:left="33"/>
              <w:jc w:val="center"/>
              <w:rPr>
                <w:bCs/>
                <w:sz w:val="20"/>
                <w:szCs w:val="20"/>
              </w:rPr>
            </w:pPr>
            <w:r w:rsidRPr="001569FB">
              <w:rPr>
                <w:bCs/>
                <w:sz w:val="20"/>
                <w:szCs w:val="20"/>
              </w:rPr>
              <w:t>0.226</w:t>
            </w:r>
          </w:p>
        </w:tc>
      </w:tr>
      <w:tr w:rsidR="009A7430" w:rsidRPr="001569FB" w14:paraId="566B03FE" w14:textId="77777777" w:rsidTr="008D4E91">
        <w:trPr>
          <w:trHeight w:val="300"/>
        </w:trPr>
        <w:tc>
          <w:tcPr>
            <w:tcW w:w="3053" w:type="dxa"/>
            <w:noWrap/>
            <w:hideMark/>
          </w:tcPr>
          <w:p w14:paraId="693A2591"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76C019B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2A887B5" w14:textId="77777777" w:rsidR="009A7430" w:rsidRPr="001569FB" w:rsidRDefault="009A7430" w:rsidP="008D4E91">
            <w:pPr>
              <w:pStyle w:val="ListParagraph"/>
              <w:ind w:left="33"/>
              <w:jc w:val="center"/>
              <w:rPr>
                <w:bCs/>
                <w:sz w:val="20"/>
                <w:szCs w:val="20"/>
              </w:rPr>
            </w:pPr>
            <w:r w:rsidRPr="001569FB">
              <w:rPr>
                <w:bCs/>
                <w:sz w:val="20"/>
                <w:szCs w:val="20"/>
              </w:rPr>
              <w:t>0.297</w:t>
            </w:r>
          </w:p>
        </w:tc>
      </w:tr>
      <w:tr w:rsidR="009A7430" w:rsidRPr="001569FB" w14:paraId="26857BD7" w14:textId="77777777" w:rsidTr="008D4E91">
        <w:trPr>
          <w:trHeight w:val="300"/>
        </w:trPr>
        <w:tc>
          <w:tcPr>
            <w:tcW w:w="3053" w:type="dxa"/>
            <w:noWrap/>
            <w:hideMark/>
          </w:tcPr>
          <w:p w14:paraId="62850DEC"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25741118"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C090F2" w14:textId="77777777" w:rsidR="009A7430" w:rsidRPr="001569FB" w:rsidRDefault="009A7430" w:rsidP="008D4E91">
            <w:pPr>
              <w:pStyle w:val="ListParagraph"/>
              <w:ind w:left="33"/>
              <w:jc w:val="center"/>
              <w:rPr>
                <w:bCs/>
                <w:sz w:val="20"/>
                <w:szCs w:val="20"/>
              </w:rPr>
            </w:pPr>
            <w:r w:rsidRPr="001569FB">
              <w:rPr>
                <w:bCs/>
                <w:sz w:val="20"/>
                <w:szCs w:val="20"/>
              </w:rPr>
              <w:t>0.274</w:t>
            </w:r>
          </w:p>
        </w:tc>
      </w:tr>
      <w:tr w:rsidR="009A7430" w:rsidRPr="001569FB" w14:paraId="547609D6" w14:textId="77777777" w:rsidTr="008D4E91">
        <w:trPr>
          <w:trHeight w:val="300"/>
        </w:trPr>
        <w:tc>
          <w:tcPr>
            <w:tcW w:w="3053" w:type="dxa"/>
            <w:noWrap/>
            <w:hideMark/>
          </w:tcPr>
          <w:p w14:paraId="69ECBE8B"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3A56D9B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0EB7862" w14:textId="77777777" w:rsidR="009A7430" w:rsidRPr="001569FB" w:rsidRDefault="009A7430" w:rsidP="008D4E91">
            <w:pPr>
              <w:pStyle w:val="ListParagraph"/>
              <w:ind w:left="33"/>
              <w:jc w:val="center"/>
              <w:rPr>
                <w:bCs/>
                <w:sz w:val="20"/>
                <w:szCs w:val="20"/>
              </w:rPr>
            </w:pPr>
            <w:r w:rsidRPr="001569FB">
              <w:rPr>
                <w:bCs/>
                <w:sz w:val="20"/>
                <w:szCs w:val="20"/>
              </w:rPr>
              <w:t>0.353</w:t>
            </w:r>
          </w:p>
        </w:tc>
      </w:tr>
      <w:tr w:rsidR="009A7430" w:rsidRPr="001569FB" w14:paraId="72F111B7" w14:textId="77777777" w:rsidTr="008D4E91">
        <w:trPr>
          <w:trHeight w:val="300"/>
        </w:trPr>
        <w:tc>
          <w:tcPr>
            <w:tcW w:w="3053" w:type="dxa"/>
            <w:noWrap/>
            <w:hideMark/>
          </w:tcPr>
          <w:p w14:paraId="4F644676"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54EFF00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3D87AF0" w14:textId="77777777" w:rsidR="009A7430" w:rsidRPr="001569FB" w:rsidRDefault="009A7430" w:rsidP="008D4E91">
            <w:pPr>
              <w:pStyle w:val="ListParagraph"/>
              <w:ind w:left="33"/>
              <w:jc w:val="center"/>
              <w:rPr>
                <w:bCs/>
                <w:sz w:val="20"/>
                <w:szCs w:val="20"/>
              </w:rPr>
            </w:pPr>
            <w:r w:rsidRPr="001569FB">
              <w:rPr>
                <w:bCs/>
                <w:sz w:val="20"/>
                <w:szCs w:val="20"/>
              </w:rPr>
              <w:t>0.425</w:t>
            </w:r>
          </w:p>
        </w:tc>
      </w:tr>
      <w:tr w:rsidR="009A7430" w:rsidRPr="001569FB" w14:paraId="7BCDCC10" w14:textId="77777777" w:rsidTr="008D4E91">
        <w:trPr>
          <w:trHeight w:val="300"/>
        </w:trPr>
        <w:tc>
          <w:tcPr>
            <w:tcW w:w="3053" w:type="dxa"/>
            <w:noWrap/>
            <w:hideMark/>
          </w:tcPr>
          <w:p w14:paraId="25419317"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5FB4ABB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12BE3C5" w14:textId="77777777" w:rsidR="009A7430" w:rsidRPr="001569FB" w:rsidRDefault="009A7430" w:rsidP="008D4E91">
            <w:pPr>
              <w:pStyle w:val="ListParagraph"/>
              <w:ind w:left="33"/>
              <w:jc w:val="center"/>
              <w:rPr>
                <w:bCs/>
                <w:sz w:val="20"/>
                <w:szCs w:val="20"/>
              </w:rPr>
            </w:pPr>
            <w:r w:rsidRPr="001569FB">
              <w:rPr>
                <w:bCs/>
                <w:sz w:val="20"/>
                <w:szCs w:val="20"/>
              </w:rPr>
              <w:t>0.499</w:t>
            </w:r>
          </w:p>
        </w:tc>
      </w:tr>
      <w:tr w:rsidR="009A7430" w:rsidRPr="001569FB" w14:paraId="32F018AF" w14:textId="77777777" w:rsidTr="008D4E91">
        <w:trPr>
          <w:trHeight w:val="300"/>
        </w:trPr>
        <w:tc>
          <w:tcPr>
            <w:tcW w:w="3053" w:type="dxa"/>
            <w:noWrap/>
            <w:hideMark/>
          </w:tcPr>
          <w:p w14:paraId="211A774D"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0F5F979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1486FA6" w14:textId="77777777" w:rsidR="009A7430" w:rsidRPr="001569FB" w:rsidRDefault="009A7430" w:rsidP="008D4E91">
            <w:pPr>
              <w:pStyle w:val="ListParagraph"/>
              <w:ind w:left="33"/>
              <w:jc w:val="center"/>
              <w:rPr>
                <w:bCs/>
                <w:sz w:val="20"/>
                <w:szCs w:val="20"/>
              </w:rPr>
            </w:pPr>
            <w:r w:rsidRPr="001569FB">
              <w:rPr>
                <w:bCs/>
                <w:sz w:val="20"/>
                <w:szCs w:val="20"/>
              </w:rPr>
              <w:t>0.625</w:t>
            </w:r>
          </w:p>
        </w:tc>
      </w:tr>
      <w:tr w:rsidR="009A7430" w:rsidRPr="001569FB" w14:paraId="777A7BE1" w14:textId="77777777" w:rsidTr="008D4E91">
        <w:trPr>
          <w:trHeight w:val="300"/>
        </w:trPr>
        <w:tc>
          <w:tcPr>
            <w:tcW w:w="3053" w:type="dxa"/>
            <w:noWrap/>
            <w:hideMark/>
          </w:tcPr>
          <w:p w14:paraId="3FEFC233"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6BF9E31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C89A48C" w14:textId="77777777" w:rsidR="009A7430" w:rsidRPr="001569FB" w:rsidRDefault="009A7430" w:rsidP="008D4E91">
            <w:pPr>
              <w:pStyle w:val="ListParagraph"/>
              <w:ind w:left="33"/>
              <w:jc w:val="center"/>
              <w:rPr>
                <w:bCs/>
                <w:sz w:val="20"/>
                <w:szCs w:val="20"/>
              </w:rPr>
            </w:pPr>
            <w:r w:rsidRPr="001569FB">
              <w:rPr>
                <w:bCs/>
                <w:sz w:val="20"/>
                <w:szCs w:val="20"/>
              </w:rPr>
              <w:t>0.775</w:t>
            </w:r>
          </w:p>
        </w:tc>
      </w:tr>
      <w:tr w:rsidR="009A7430" w:rsidRPr="001569FB" w14:paraId="35ADE664" w14:textId="77777777" w:rsidTr="008D4E91">
        <w:trPr>
          <w:trHeight w:val="300"/>
        </w:trPr>
        <w:tc>
          <w:tcPr>
            <w:tcW w:w="3053" w:type="dxa"/>
            <w:noWrap/>
            <w:hideMark/>
          </w:tcPr>
          <w:p w14:paraId="30EF4BAB"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6736AC5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77F9CC4" w14:textId="77777777" w:rsidR="009A7430" w:rsidRPr="001569FB" w:rsidRDefault="009A7430" w:rsidP="008D4E91">
            <w:pPr>
              <w:pStyle w:val="ListParagraph"/>
              <w:ind w:left="33"/>
              <w:jc w:val="center"/>
              <w:rPr>
                <w:bCs/>
                <w:sz w:val="20"/>
                <w:szCs w:val="20"/>
              </w:rPr>
            </w:pPr>
            <w:r w:rsidRPr="001569FB">
              <w:rPr>
                <w:bCs/>
                <w:sz w:val="20"/>
                <w:szCs w:val="20"/>
              </w:rPr>
              <w:t>0.914</w:t>
            </w:r>
          </w:p>
        </w:tc>
      </w:tr>
      <w:tr w:rsidR="009A7430" w:rsidRPr="001569FB" w14:paraId="389EF38B" w14:textId="77777777" w:rsidTr="008D4E91">
        <w:trPr>
          <w:trHeight w:val="300"/>
        </w:trPr>
        <w:tc>
          <w:tcPr>
            <w:tcW w:w="9350" w:type="dxa"/>
            <w:gridSpan w:val="3"/>
            <w:noWrap/>
            <w:hideMark/>
          </w:tcPr>
          <w:p w14:paraId="6B6C6656" w14:textId="77777777" w:rsidR="009A7430" w:rsidRPr="001569FB" w:rsidRDefault="009A7430" w:rsidP="008D4E91">
            <w:pPr>
              <w:pStyle w:val="ListParagraph"/>
              <w:ind w:left="33"/>
              <w:rPr>
                <w:bCs/>
                <w:sz w:val="20"/>
                <w:szCs w:val="20"/>
              </w:rPr>
            </w:pPr>
            <w:r w:rsidRPr="001569FB">
              <w:rPr>
                <w:b/>
                <w:bCs/>
                <w:sz w:val="20"/>
                <w:szCs w:val="20"/>
              </w:rPr>
              <w:t>Medicaid and Originally Disabled Interactions with Age and Sex</w:t>
            </w:r>
            <w:r w:rsidRPr="001569FB">
              <w:rPr>
                <w:bCs/>
                <w:sz w:val="20"/>
                <w:szCs w:val="20"/>
              </w:rPr>
              <w:t> </w:t>
            </w:r>
          </w:p>
        </w:tc>
      </w:tr>
      <w:tr w:rsidR="009A7430" w:rsidRPr="001569FB" w14:paraId="417E3265" w14:textId="77777777" w:rsidTr="008D4E91">
        <w:trPr>
          <w:trHeight w:val="300"/>
        </w:trPr>
        <w:tc>
          <w:tcPr>
            <w:tcW w:w="7465" w:type="dxa"/>
            <w:gridSpan w:val="2"/>
            <w:noWrap/>
            <w:hideMark/>
          </w:tcPr>
          <w:p w14:paraId="44F1F08A" w14:textId="77777777" w:rsidR="009A7430" w:rsidRPr="001569FB" w:rsidRDefault="009A7430" w:rsidP="008D4E91">
            <w:pPr>
              <w:pStyle w:val="ListParagraph"/>
              <w:ind w:left="115"/>
              <w:rPr>
                <w:bCs/>
                <w:sz w:val="20"/>
                <w:szCs w:val="20"/>
              </w:rPr>
            </w:pPr>
            <w:r w:rsidRPr="001569FB">
              <w:rPr>
                <w:bCs/>
                <w:sz w:val="20"/>
                <w:szCs w:val="20"/>
              </w:rPr>
              <w:t>Medicaid_Female_Aged </w:t>
            </w:r>
          </w:p>
        </w:tc>
        <w:tc>
          <w:tcPr>
            <w:tcW w:w="1885" w:type="dxa"/>
            <w:noWrap/>
            <w:hideMark/>
          </w:tcPr>
          <w:p w14:paraId="10A5BE32" w14:textId="77777777" w:rsidR="009A7430" w:rsidRPr="001569FB" w:rsidRDefault="009A7430" w:rsidP="008D4E91">
            <w:pPr>
              <w:pStyle w:val="ListParagraph"/>
              <w:ind w:left="33"/>
              <w:jc w:val="center"/>
              <w:rPr>
                <w:bCs/>
                <w:sz w:val="20"/>
                <w:szCs w:val="20"/>
              </w:rPr>
            </w:pPr>
            <w:r w:rsidRPr="001569FB">
              <w:rPr>
                <w:bCs/>
                <w:sz w:val="20"/>
                <w:szCs w:val="20"/>
              </w:rPr>
              <w:t>0.275</w:t>
            </w:r>
          </w:p>
        </w:tc>
      </w:tr>
      <w:tr w:rsidR="009A7430" w:rsidRPr="001569FB" w14:paraId="5E6A839C" w14:textId="77777777" w:rsidTr="008D4E91">
        <w:trPr>
          <w:trHeight w:val="300"/>
        </w:trPr>
        <w:tc>
          <w:tcPr>
            <w:tcW w:w="7465" w:type="dxa"/>
            <w:gridSpan w:val="2"/>
            <w:noWrap/>
            <w:hideMark/>
          </w:tcPr>
          <w:p w14:paraId="2160294E" w14:textId="77777777" w:rsidR="009A7430" w:rsidRPr="001569FB" w:rsidRDefault="009A7430" w:rsidP="008D4E91">
            <w:pPr>
              <w:pStyle w:val="ListParagraph"/>
              <w:ind w:left="115"/>
              <w:rPr>
                <w:bCs/>
                <w:sz w:val="20"/>
                <w:szCs w:val="20"/>
              </w:rPr>
            </w:pPr>
            <w:r w:rsidRPr="001569FB">
              <w:rPr>
                <w:bCs/>
                <w:sz w:val="20"/>
                <w:szCs w:val="20"/>
              </w:rPr>
              <w:t>Medicaid_Female_NonAged (Age &lt;65) </w:t>
            </w:r>
          </w:p>
        </w:tc>
        <w:tc>
          <w:tcPr>
            <w:tcW w:w="1885" w:type="dxa"/>
            <w:noWrap/>
            <w:hideMark/>
          </w:tcPr>
          <w:p w14:paraId="011D5C4C" w14:textId="77777777" w:rsidR="009A7430" w:rsidRPr="001569FB" w:rsidRDefault="009A7430" w:rsidP="008D4E91">
            <w:pPr>
              <w:pStyle w:val="ListParagraph"/>
              <w:ind w:left="33"/>
              <w:jc w:val="center"/>
              <w:rPr>
                <w:bCs/>
                <w:sz w:val="20"/>
                <w:szCs w:val="20"/>
              </w:rPr>
            </w:pPr>
            <w:r w:rsidRPr="001569FB">
              <w:rPr>
                <w:bCs/>
                <w:sz w:val="20"/>
                <w:szCs w:val="20"/>
              </w:rPr>
              <w:t>0.137</w:t>
            </w:r>
          </w:p>
        </w:tc>
      </w:tr>
      <w:tr w:rsidR="009A7430" w:rsidRPr="001569FB" w14:paraId="109AF8AA" w14:textId="77777777" w:rsidTr="008D4E91">
        <w:trPr>
          <w:trHeight w:val="315"/>
        </w:trPr>
        <w:tc>
          <w:tcPr>
            <w:tcW w:w="7465" w:type="dxa"/>
            <w:gridSpan w:val="2"/>
            <w:noWrap/>
            <w:hideMark/>
          </w:tcPr>
          <w:p w14:paraId="3747D3C3" w14:textId="77777777" w:rsidR="009A7430" w:rsidRPr="001569FB" w:rsidRDefault="009A7430" w:rsidP="008D4E91">
            <w:pPr>
              <w:pStyle w:val="ListParagraph"/>
              <w:ind w:left="115"/>
              <w:rPr>
                <w:bCs/>
                <w:sz w:val="20"/>
                <w:szCs w:val="20"/>
              </w:rPr>
            </w:pPr>
            <w:r w:rsidRPr="001569FB">
              <w:rPr>
                <w:bCs/>
                <w:sz w:val="20"/>
                <w:szCs w:val="20"/>
              </w:rPr>
              <w:t>Medicaid_Male_Aged </w:t>
            </w:r>
          </w:p>
        </w:tc>
        <w:tc>
          <w:tcPr>
            <w:tcW w:w="1885" w:type="dxa"/>
            <w:noWrap/>
            <w:hideMark/>
          </w:tcPr>
          <w:p w14:paraId="5993A7D8" w14:textId="77777777" w:rsidR="009A7430" w:rsidRPr="001569FB" w:rsidRDefault="009A7430" w:rsidP="008D4E91">
            <w:pPr>
              <w:pStyle w:val="ListParagraph"/>
              <w:ind w:left="33"/>
              <w:jc w:val="center"/>
              <w:rPr>
                <w:bCs/>
                <w:sz w:val="20"/>
                <w:szCs w:val="20"/>
              </w:rPr>
            </w:pPr>
            <w:r w:rsidRPr="001569FB">
              <w:rPr>
                <w:bCs/>
                <w:sz w:val="20"/>
                <w:szCs w:val="20"/>
              </w:rPr>
              <w:t>0.367</w:t>
            </w:r>
          </w:p>
        </w:tc>
      </w:tr>
      <w:tr w:rsidR="009A7430" w:rsidRPr="001569FB" w14:paraId="64DBADEE" w14:textId="77777777" w:rsidTr="008D4E91">
        <w:trPr>
          <w:trHeight w:val="300"/>
        </w:trPr>
        <w:tc>
          <w:tcPr>
            <w:tcW w:w="7465" w:type="dxa"/>
            <w:gridSpan w:val="2"/>
            <w:noWrap/>
            <w:hideMark/>
          </w:tcPr>
          <w:p w14:paraId="24425A84" w14:textId="77777777" w:rsidR="009A7430" w:rsidRPr="001569FB" w:rsidRDefault="009A7430" w:rsidP="008D4E91">
            <w:pPr>
              <w:pStyle w:val="ListParagraph"/>
              <w:ind w:left="115"/>
              <w:rPr>
                <w:bCs/>
                <w:sz w:val="20"/>
                <w:szCs w:val="20"/>
              </w:rPr>
            </w:pPr>
            <w:r w:rsidRPr="001569FB">
              <w:rPr>
                <w:bCs/>
                <w:sz w:val="20"/>
                <w:szCs w:val="20"/>
              </w:rPr>
              <w:t>Medicaid_Male_NonAged (Age &lt;65) </w:t>
            </w:r>
          </w:p>
        </w:tc>
        <w:tc>
          <w:tcPr>
            <w:tcW w:w="1885" w:type="dxa"/>
            <w:noWrap/>
            <w:hideMark/>
          </w:tcPr>
          <w:p w14:paraId="20973BBE" w14:textId="77777777" w:rsidR="009A7430" w:rsidRPr="001569FB" w:rsidRDefault="009A7430" w:rsidP="008D4E91">
            <w:pPr>
              <w:pStyle w:val="ListParagraph"/>
              <w:ind w:left="33"/>
              <w:jc w:val="center"/>
              <w:rPr>
                <w:bCs/>
                <w:sz w:val="20"/>
                <w:szCs w:val="20"/>
              </w:rPr>
            </w:pPr>
            <w:r w:rsidRPr="001569FB">
              <w:rPr>
                <w:bCs/>
                <w:sz w:val="20"/>
                <w:szCs w:val="20"/>
              </w:rPr>
              <w:t>0.190</w:t>
            </w:r>
          </w:p>
        </w:tc>
      </w:tr>
      <w:tr w:rsidR="009A7430" w:rsidRPr="001569FB" w14:paraId="35C856FB" w14:textId="77777777" w:rsidTr="008D4E91">
        <w:trPr>
          <w:trHeight w:val="300"/>
        </w:trPr>
        <w:tc>
          <w:tcPr>
            <w:tcW w:w="7465" w:type="dxa"/>
            <w:gridSpan w:val="2"/>
            <w:noWrap/>
            <w:hideMark/>
          </w:tcPr>
          <w:p w14:paraId="5AAC6F5B" w14:textId="77777777" w:rsidR="009A7430" w:rsidRPr="001569FB" w:rsidRDefault="009A7430" w:rsidP="008D4E91">
            <w:pPr>
              <w:pStyle w:val="ListParagraph"/>
              <w:ind w:left="115"/>
              <w:rPr>
                <w:bCs/>
                <w:sz w:val="20"/>
                <w:szCs w:val="20"/>
              </w:rPr>
            </w:pPr>
            <w:r w:rsidRPr="001569FB">
              <w:rPr>
                <w:bCs/>
                <w:sz w:val="20"/>
                <w:szCs w:val="20"/>
              </w:rPr>
              <w:t>Originally Disabled_Female_Age ≥65 </w:t>
            </w:r>
          </w:p>
        </w:tc>
        <w:tc>
          <w:tcPr>
            <w:tcW w:w="1885" w:type="dxa"/>
            <w:noWrap/>
            <w:hideMark/>
          </w:tcPr>
          <w:p w14:paraId="2438E57B"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030DDDBF" w14:textId="77777777" w:rsidTr="008D4E91">
        <w:trPr>
          <w:trHeight w:val="300"/>
        </w:trPr>
        <w:tc>
          <w:tcPr>
            <w:tcW w:w="7465" w:type="dxa"/>
            <w:gridSpan w:val="2"/>
            <w:noWrap/>
            <w:hideMark/>
          </w:tcPr>
          <w:p w14:paraId="61BDB6F8" w14:textId="77777777" w:rsidR="009A7430" w:rsidRPr="001569FB" w:rsidRDefault="009A7430" w:rsidP="008D4E91">
            <w:pPr>
              <w:pStyle w:val="ListParagraph"/>
              <w:ind w:left="115"/>
              <w:rPr>
                <w:bCs/>
                <w:sz w:val="20"/>
                <w:szCs w:val="20"/>
              </w:rPr>
            </w:pPr>
            <w:r w:rsidRPr="001569FB">
              <w:rPr>
                <w:bCs/>
                <w:sz w:val="20"/>
                <w:szCs w:val="20"/>
              </w:rPr>
              <w:t>Originally Disabled_Male_Age ≥65 </w:t>
            </w:r>
          </w:p>
        </w:tc>
        <w:tc>
          <w:tcPr>
            <w:tcW w:w="1885" w:type="dxa"/>
            <w:noWrap/>
            <w:hideMark/>
          </w:tcPr>
          <w:p w14:paraId="4621357D" w14:textId="77777777" w:rsidR="009A7430" w:rsidRPr="001569FB" w:rsidRDefault="009A7430" w:rsidP="008D4E91">
            <w:pPr>
              <w:pStyle w:val="ListParagraph"/>
              <w:ind w:left="33"/>
              <w:jc w:val="center"/>
              <w:rPr>
                <w:bCs/>
                <w:sz w:val="20"/>
                <w:szCs w:val="20"/>
              </w:rPr>
            </w:pPr>
            <w:r w:rsidRPr="001569FB">
              <w:rPr>
                <w:bCs/>
                <w:sz w:val="20"/>
                <w:szCs w:val="20"/>
              </w:rPr>
              <w:t>0.115</w:t>
            </w:r>
          </w:p>
        </w:tc>
      </w:tr>
      <w:tr w:rsidR="009A7430" w:rsidRPr="001569FB" w14:paraId="20206232" w14:textId="77777777" w:rsidTr="008D4E91">
        <w:trPr>
          <w:trHeight w:val="300"/>
        </w:trPr>
        <w:tc>
          <w:tcPr>
            <w:tcW w:w="9350" w:type="dxa"/>
            <w:gridSpan w:val="3"/>
            <w:noWrap/>
            <w:hideMark/>
          </w:tcPr>
          <w:p w14:paraId="460099FD" w14:textId="77777777" w:rsidR="009A7430" w:rsidRPr="001569FB" w:rsidRDefault="009A7430" w:rsidP="008D4E91">
            <w:pPr>
              <w:pStyle w:val="ListParagraph"/>
              <w:ind w:left="115"/>
              <w:rPr>
                <w:bCs/>
                <w:sz w:val="20"/>
                <w:szCs w:val="20"/>
              </w:rPr>
            </w:pPr>
            <w:r w:rsidRPr="001569FB">
              <w:rPr>
                <w:b/>
                <w:bCs/>
                <w:sz w:val="20"/>
                <w:szCs w:val="20"/>
              </w:rPr>
              <w:lastRenderedPageBreak/>
              <w:t>Disease Coefficients</w:t>
            </w:r>
            <w:r w:rsidRPr="001569FB">
              <w:rPr>
                <w:bCs/>
                <w:sz w:val="20"/>
                <w:szCs w:val="20"/>
              </w:rPr>
              <w:t> </w:t>
            </w:r>
          </w:p>
        </w:tc>
      </w:tr>
      <w:tr w:rsidR="009A7430" w:rsidRPr="001569FB" w14:paraId="0E203232" w14:textId="77777777" w:rsidTr="008D4E91">
        <w:trPr>
          <w:trHeight w:val="315"/>
        </w:trPr>
        <w:tc>
          <w:tcPr>
            <w:tcW w:w="3053" w:type="dxa"/>
            <w:noWrap/>
            <w:hideMark/>
          </w:tcPr>
          <w:p w14:paraId="1563D622" w14:textId="77777777" w:rsidR="009A7430" w:rsidRPr="001569FB" w:rsidRDefault="009A7430" w:rsidP="008D4E91">
            <w:pPr>
              <w:pStyle w:val="ListParagraph"/>
              <w:ind w:left="115"/>
              <w:rPr>
                <w:bCs/>
                <w:sz w:val="20"/>
                <w:szCs w:val="20"/>
              </w:rPr>
            </w:pPr>
            <w:r w:rsidRPr="001569FB">
              <w:rPr>
                <w:bCs/>
                <w:sz w:val="20"/>
                <w:szCs w:val="20"/>
              </w:rPr>
              <w:t>HCC1</w:t>
            </w:r>
          </w:p>
        </w:tc>
        <w:tc>
          <w:tcPr>
            <w:tcW w:w="4412" w:type="dxa"/>
            <w:hideMark/>
          </w:tcPr>
          <w:p w14:paraId="321A9225" w14:textId="77777777" w:rsidR="009A7430" w:rsidRPr="001569FB" w:rsidRDefault="009A7430" w:rsidP="008D4E91">
            <w:pPr>
              <w:pStyle w:val="ListParagraph"/>
              <w:ind w:left="120"/>
              <w:rPr>
                <w:bCs/>
                <w:sz w:val="20"/>
                <w:szCs w:val="20"/>
              </w:rPr>
            </w:pPr>
            <w:r w:rsidRPr="001569FB">
              <w:rPr>
                <w:bCs/>
                <w:sz w:val="20"/>
                <w:szCs w:val="20"/>
              </w:rPr>
              <w:t>HIV/AIDS</w:t>
            </w:r>
          </w:p>
        </w:tc>
        <w:tc>
          <w:tcPr>
            <w:tcW w:w="1885" w:type="dxa"/>
            <w:noWrap/>
            <w:hideMark/>
          </w:tcPr>
          <w:p w14:paraId="40656D55"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098A0F19" w14:textId="77777777" w:rsidTr="008D4E91">
        <w:trPr>
          <w:trHeight w:val="630"/>
        </w:trPr>
        <w:tc>
          <w:tcPr>
            <w:tcW w:w="3053" w:type="dxa"/>
            <w:noWrap/>
            <w:hideMark/>
          </w:tcPr>
          <w:p w14:paraId="04325340" w14:textId="77777777" w:rsidR="009A7430" w:rsidRPr="001569FB" w:rsidRDefault="009A7430" w:rsidP="008D4E91">
            <w:pPr>
              <w:pStyle w:val="ListParagraph"/>
              <w:ind w:left="115"/>
              <w:rPr>
                <w:bCs/>
                <w:sz w:val="20"/>
                <w:szCs w:val="20"/>
              </w:rPr>
            </w:pPr>
            <w:r w:rsidRPr="001569FB">
              <w:rPr>
                <w:bCs/>
                <w:sz w:val="20"/>
                <w:szCs w:val="20"/>
              </w:rPr>
              <w:t>HCC2</w:t>
            </w:r>
          </w:p>
        </w:tc>
        <w:tc>
          <w:tcPr>
            <w:tcW w:w="4412" w:type="dxa"/>
            <w:hideMark/>
          </w:tcPr>
          <w:p w14:paraId="19B082BD" w14:textId="77777777" w:rsidR="009A7430" w:rsidRPr="001569FB" w:rsidRDefault="009A7430" w:rsidP="008D4E91">
            <w:pPr>
              <w:pStyle w:val="ListParagraph"/>
              <w:ind w:left="120"/>
              <w:rPr>
                <w:bCs/>
                <w:sz w:val="20"/>
                <w:szCs w:val="20"/>
              </w:rPr>
            </w:pPr>
            <w:r w:rsidRPr="001569FB">
              <w:rPr>
                <w:bCs/>
                <w:sz w:val="20"/>
                <w:szCs w:val="20"/>
              </w:rPr>
              <w:t>Septicemia, Sepsis, Systemic Inflammatory Response Syndrome/Shock</w:t>
            </w:r>
          </w:p>
        </w:tc>
        <w:tc>
          <w:tcPr>
            <w:tcW w:w="1885" w:type="dxa"/>
            <w:noWrap/>
            <w:hideMark/>
          </w:tcPr>
          <w:p w14:paraId="239440E3" w14:textId="77777777" w:rsidR="009A7430" w:rsidRPr="001569FB" w:rsidRDefault="009A7430" w:rsidP="008D4E91">
            <w:pPr>
              <w:pStyle w:val="ListParagraph"/>
              <w:ind w:left="33"/>
              <w:jc w:val="center"/>
              <w:rPr>
                <w:bCs/>
                <w:sz w:val="20"/>
                <w:szCs w:val="20"/>
              </w:rPr>
            </w:pPr>
            <w:r w:rsidRPr="001569FB">
              <w:rPr>
                <w:bCs/>
                <w:sz w:val="20"/>
                <w:szCs w:val="20"/>
              </w:rPr>
              <w:t>0.428</w:t>
            </w:r>
          </w:p>
        </w:tc>
      </w:tr>
      <w:tr w:rsidR="009A7430" w:rsidRPr="001569FB" w14:paraId="7B7DA68B" w14:textId="77777777" w:rsidTr="008D4E91">
        <w:trPr>
          <w:trHeight w:val="315"/>
        </w:trPr>
        <w:tc>
          <w:tcPr>
            <w:tcW w:w="3053" w:type="dxa"/>
            <w:noWrap/>
            <w:hideMark/>
          </w:tcPr>
          <w:p w14:paraId="1071E244" w14:textId="77777777" w:rsidR="009A7430" w:rsidRPr="001569FB" w:rsidRDefault="009A7430" w:rsidP="008D4E91">
            <w:pPr>
              <w:pStyle w:val="ListParagraph"/>
              <w:ind w:left="115"/>
              <w:rPr>
                <w:bCs/>
                <w:sz w:val="20"/>
                <w:szCs w:val="20"/>
              </w:rPr>
            </w:pPr>
            <w:r w:rsidRPr="001569FB">
              <w:rPr>
                <w:bCs/>
                <w:sz w:val="20"/>
                <w:szCs w:val="20"/>
              </w:rPr>
              <w:t>HCC6</w:t>
            </w:r>
          </w:p>
        </w:tc>
        <w:tc>
          <w:tcPr>
            <w:tcW w:w="4412" w:type="dxa"/>
            <w:hideMark/>
          </w:tcPr>
          <w:p w14:paraId="7C01F64F" w14:textId="77777777" w:rsidR="009A7430" w:rsidRPr="001569FB" w:rsidRDefault="009A7430" w:rsidP="008D4E91">
            <w:pPr>
              <w:pStyle w:val="ListParagraph"/>
              <w:ind w:left="120"/>
              <w:rPr>
                <w:bCs/>
                <w:sz w:val="20"/>
                <w:szCs w:val="20"/>
              </w:rPr>
            </w:pPr>
            <w:r w:rsidRPr="001569FB">
              <w:rPr>
                <w:bCs/>
                <w:sz w:val="20"/>
                <w:szCs w:val="20"/>
              </w:rPr>
              <w:t>Opportunistic Infections</w:t>
            </w:r>
          </w:p>
        </w:tc>
        <w:tc>
          <w:tcPr>
            <w:tcW w:w="1885" w:type="dxa"/>
            <w:noWrap/>
            <w:hideMark/>
          </w:tcPr>
          <w:p w14:paraId="725329F6" w14:textId="77777777" w:rsidR="009A7430" w:rsidRPr="001569FB" w:rsidRDefault="009A7430" w:rsidP="008D4E91">
            <w:pPr>
              <w:pStyle w:val="ListParagraph"/>
              <w:ind w:left="33"/>
              <w:jc w:val="center"/>
              <w:rPr>
                <w:bCs/>
                <w:sz w:val="20"/>
                <w:szCs w:val="20"/>
              </w:rPr>
            </w:pPr>
            <w:r w:rsidRPr="001569FB">
              <w:rPr>
                <w:bCs/>
                <w:sz w:val="20"/>
                <w:szCs w:val="20"/>
              </w:rPr>
              <w:t>0.426</w:t>
            </w:r>
          </w:p>
        </w:tc>
      </w:tr>
      <w:tr w:rsidR="009A7430" w:rsidRPr="001569FB" w14:paraId="1920FBFC" w14:textId="77777777" w:rsidTr="008D4E91">
        <w:trPr>
          <w:trHeight w:val="315"/>
        </w:trPr>
        <w:tc>
          <w:tcPr>
            <w:tcW w:w="3053" w:type="dxa"/>
            <w:noWrap/>
            <w:hideMark/>
          </w:tcPr>
          <w:p w14:paraId="1E6B1D28" w14:textId="77777777" w:rsidR="009A7430" w:rsidRPr="001569FB" w:rsidRDefault="009A7430" w:rsidP="008D4E91">
            <w:pPr>
              <w:pStyle w:val="ListParagraph"/>
              <w:ind w:left="115"/>
              <w:rPr>
                <w:bCs/>
                <w:sz w:val="20"/>
                <w:szCs w:val="20"/>
              </w:rPr>
            </w:pPr>
            <w:r w:rsidRPr="001569FB">
              <w:rPr>
                <w:bCs/>
                <w:sz w:val="20"/>
                <w:szCs w:val="20"/>
              </w:rPr>
              <w:t>HCC8</w:t>
            </w:r>
          </w:p>
        </w:tc>
        <w:tc>
          <w:tcPr>
            <w:tcW w:w="4412" w:type="dxa"/>
            <w:hideMark/>
          </w:tcPr>
          <w:p w14:paraId="0E4A4859" w14:textId="77777777" w:rsidR="009A7430" w:rsidRPr="001569FB" w:rsidRDefault="009A7430" w:rsidP="008D4E91">
            <w:pPr>
              <w:pStyle w:val="ListParagraph"/>
              <w:ind w:left="120"/>
              <w:rPr>
                <w:bCs/>
                <w:sz w:val="20"/>
                <w:szCs w:val="20"/>
              </w:rPr>
            </w:pPr>
            <w:r w:rsidRPr="001569FB">
              <w:rPr>
                <w:bCs/>
                <w:sz w:val="20"/>
                <w:szCs w:val="20"/>
              </w:rPr>
              <w:t>Metastatic Cancer and Acute Leukemia</w:t>
            </w:r>
          </w:p>
        </w:tc>
        <w:tc>
          <w:tcPr>
            <w:tcW w:w="1885" w:type="dxa"/>
            <w:noWrap/>
            <w:hideMark/>
          </w:tcPr>
          <w:p w14:paraId="52C63661" w14:textId="77777777" w:rsidR="009A7430" w:rsidRPr="001569FB" w:rsidRDefault="009A7430" w:rsidP="008D4E91">
            <w:pPr>
              <w:pStyle w:val="ListParagraph"/>
              <w:ind w:left="33"/>
              <w:jc w:val="center"/>
              <w:rPr>
                <w:bCs/>
                <w:sz w:val="20"/>
                <w:szCs w:val="20"/>
              </w:rPr>
            </w:pPr>
            <w:r w:rsidRPr="001569FB">
              <w:rPr>
                <w:bCs/>
                <w:sz w:val="20"/>
                <w:szCs w:val="20"/>
              </w:rPr>
              <w:t>2.627</w:t>
            </w:r>
          </w:p>
        </w:tc>
      </w:tr>
      <w:tr w:rsidR="009A7430" w:rsidRPr="001569FB" w14:paraId="357C06EF" w14:textId="77777777" w:rsidTr="008D4E91">
        <w:trPr>
          <w:trHeight w:val="315"/>
        </w:trPr>
        <w:tc>
          <w:tcPr>
            <w:tcW w:w="3053" w:type="dxa"/>
            <w:noWrap/>
            <w:hideMark/>
          </w:tcPr>
          <w:p w14:paraId="216FB6BC" w14:textId="77777777" w:rsidR="009A7430" w:rsidRPr="001569FB" w:rsidRDefault="009A7430" w:rsidP="008D4E91">
            <w:pPr>
              <w:pStyle w:val="ListParagraph"/>
              <w:ind w:left="115"/>
              <w:rPr>
                <w:bCs/>
                <w:sz w:val="20"/>
                <w:szCs w:val="20"/>
              </w:rPr>
            </w:pPr>
            <w:r w:rsidRPr="001569FB">
              <w:rPr>
                <w:bCs/>
                <w:sz w:val="20"/>
                <w:szCs w:val="20"/>
              </w:rPr>
              <w:t>HCC9</w:t>
            </w:r>
          </w:p>
        </w:tc>
        <w:tc>
          <w:tcPr>
            <w:tcW w:w="4412" w:type="dxa"/>
            <w:hideMark/>
          </w:tcPr>
          <w:p w14:paraId="55C20903" w14:textId="77777777" w:rsidR="009A7430" w:rsidRPr="001569FB" w:rsidRDefault="009A7430" w:rsidP="008D4E91">
            <w:pPr>
              <w:pStyle w:val="ListParagraph"/>
              <w:ind w:left="120"/>
              <w:rPr>
                <w:bCs/>
                <w:sz w:val="20"/>
                <w:szCs w:val="20"/>
              </w:rPr>
            </w:pPr>
            <w:r w:rsidRPr="001569FB">
              <w:rPr>
                <w:bCs/>
                <w:sz w:val="20"/>
                <w:szCs w:val="20"/>
              </w:rPr>
              <w:t>Lung and Other Severe Cancers</w:t>
            </w:r>
          </w:p>
        </w:tc>
        <w:tc>
          <w:tcPr>
            <w:tcW w:w="1885" w:type="dxa"/>
            <w:noWrap/>
            <w:hideMark/>
          </w:tcPr>
          <w:p w14:paraId="0FE09335" w14:textId="77777777" w:rsidR="009A7430" w:rsidRPr="001569FB" w:rsidRDefault="009A7430" w:rsidP="008D4E91">
            <w:pPr>
              <w:pStyle w:val="ListParagraph"/>
              <w:ind w:left="33"/>
              <w:jc w:val="center"/>
              <w:rPr>
                <w:bCs/>
                <w:sz w:val="20"/>
                <w:szCs w:val="20"/>
              </w:rPr>
            </w:pPr>
            <w:r w:rsidRPr="001569FB">
              <w:rPr>
                <w:bCs/>
                <w:sz w:val="20"/>
                <w:szCs w:val="20"/>
              </w:rPr>
              <w:t>0.975</w:t>
            </w:r>
          </w:p>
        </w:tc>
      </w:tr>
      <w:tr w:rsidR="009A7430" w:rsidRPr="001569FB" w14:paraId="67FF279E" w14:textId="77777777" w:rsidTr="008D4E91">
        <w:trPr>
          <w:trHeight w:val="315"/>
        </w:trPr>
        <w:tc>
          <w:tcPr>
            <w:tcW w:w="3053" w:type="dxa"/>
            <w:noWrap/>
            <w:hideMark/>
          </w:tcPr>
          <w:p w14:paraId="7222DEE1" w14:textId="77777777" w:rsidR="009A7430" w:rsidRPr="001569FB" w:rsidRDefault="009A7430" w:rsidP="008D4E91">
            <w:pPr>
              <w:pStyle w:val="ListParagraph"/>
              <w:ind w:left="115"/>
              <w:rPr>
                <w:bCs/>
                <w:sz w:val="20"/>
                <w:szCs w:val="20"/>
              </w:rPr>
            </w:pPr>
            <w:r w:rsidRPr="001569FB">
              <w:rPr>
                <w:bCs/>
                <w:sz w:val="20"/>
                <w:szCs w:val="20"/>
              </w:rPr>
              <w:t>HCC10</w:t>
            </w:r>
          </w:p>
        </w:tc>
        <w:tc>
          <w:tcPr>
            <w:tcW w:w="4412" w:type="dxa"/>
            <w:hideMark/>
          </w:tcPr>
          <w:p w14:paraId="3ECD58B2" w14:textId="77777777" w:rsidR="009A7430" w:rsidRPr="001569FB" w:rsidRDefault="009A7430" w:rsidP="008D4E91">
            <w:pPr>
              <w:pStyle w:val="ListParagraph"/>
              <w:ind w:left="120"/>
              <w:rPr>
                <w:bCs/>
                <w:sz w:val="20"/>
                <w:szCs w:val="20"/>
              </w:rPr>
            </w:pPr>
            <w:r w:rsidRPr="001569FB">
              <w:rPr>
                <w:bCs/>
                <w:sz w:val="20"/>
                <w:szCs w:val="20"/>
              </w:rPr>
              <w:t>Lymphoma and Other Cancers</w:t>
            </w:r>
          </w:p>
        </w:tc>
        <w:tc>
          <w:tcPr>
            <w:tcW w:w="1885" w:type="dxa"/>
            <w:noWrap/>
            <w:hideMark/>
          </w:tcPr>
          <w:p w14:paraId="66D08159" w14:textId="77777777" w:rsidR="009A7430" w:rsidRPr="001569FB" w:rsidRDefault="009A7430" w:rsidP="008D4E91">
            <w:pPr>
              <w:pStyle w:val="ListParagraph"/>
              <w:ind w:left="33"/>
              <w:jc w:val="center"/>
              <w:rPr>
                <w:bCs/>
                <w:sz w:val="20"/>
                <w:szCs w:val="20"/>
              </w:rPr>
            </w:pPr>
            <w:r w:rsidRPr="001569FB">
              <w:rPr>
                <w:bCs/>
                <w:sz w:val="20"/>
                <w:szCs w:val="20"/>
              </w:rPr>
              <w:t>0.668</w:t>
            </w:r>
          </w:p>
        </w:tc>
      </w:tr>
      <w:tr w:rsidR="009A7430" w:rsidRPr="001569FB" w14:paraId="2523BCE1" w14:textId="77777777" w:rsidTr="008D4E91">
        <w:trPr>
          <w:trHeight w:val="315"/>
        </w:trPr>
        <w:tc>
          <w:tcPr>
            <w:tcW w:w="3053" w:type="dxa"/>
            <w:noWrap/>
            <w:hideMark/>
          </w:tcPr>
          <w:p w14:paraId="429FD501" w14:textId="77777777" w:rsidR="009A7430" w:rsidRPr="001569FB" w:rsidRDefault="009A7430" w:rsidP="008D4E91">
            <w:pPr>
              <w:pStyle w:val="ListParagraph"/>
              <w:ind w:left="115"/>
              <w:rPr>
                <w:bCs/>
                <w:sz w:val="20"/>
                <w:szCs w:val="20"/>
              </w:rPr>
            </w:pPr>
            <w:r w:rsidRPr="001569FB">
              <w:rPr>
                <w:bCs/>
                <w:sz w:val="20"/>
                <w:szCs w:val="20"/>
              </w:rPr>
              <w:t>HCC11</w:t>
            </w:r>
          </w:p>
        </w:tc>
        <w:tc>
          <w:tcPr>
            <w:tcW w:w="4412" w:type="dxa"/>
            <w:hideMark/>
          </w:tcPr>
          <w:p w14:paraId="08BB63D4" w14:textId="77777777" w:rsidR="009A7430" w:rsidRPr="001569FB" w:rsidRDefault="009A7430" w:rsidP="008D4E91">
            <w:pPr>
              <w:pStyle w:val="ListParagraph"/>
              <w:ind w:left="120"/>
              <w:rPr>
                <w:bCs/>
                <w:sz w:val="20"/>
                <w:szCs w:val="20"/>
              </w:rPr>
            </w:pPr>
            <w:r w:rsidRPr="001569FB">
              <w:rPr>
                <w:bCs/>
                <w:sz w:val="20"/>
                <w:szCs w:val="20"/>
              </w:rPr>
              <w:t>Colorectal, Bladder, and Other Cancers</w:t>
            </w:r>
          </w:p>
        </w:tc>
        <w:tc>
          <w:tcPr>
            <w:tcW w:w="1885" w:type="dxa"/>
            <w:noWrap/>
            <w:hideMark/>
          </w:tcPr>
          <w:p w14:paraId="17F1750A" w14:textId="77777777" w:rsidR="009A7430" w:rsidRPr="001569FB" w:rsidRDefault="009A7430" w:rsidP="008D4E91">
            <w:pPr>
              <w:pStyle w:val="ListParagraph"/>
              <w:ind w:left="33"/>
              <w:jc w:val="center"/>
              <w:rPr>
                <w:bCs/>
                <w:sz w:val="20"/>
                <w:szCs w:val="20"/>
              </w:rPr>
            </w:pPr>
            <w:r w:rsidRPr="001569FB">
              <w:rPr>
                <w:bCs/>
                <w:sz w:val="20"/>
                <w:szCs w:val="20"/>
              </w:rPr>
              <w:t>0.298</w:t>
            </w:r>
          </w:p>
        </w:tc>
      </w:tr>
      <w:tr w:rsidR="009A7430" w:rsidRPr="001569FB" w14:paraId="08F40BBC" w14:textId="77777777" w:rsidTr="008D4E91">
        <w:trPr>
          <w:trHeight w:val="315"/>
        </w:trPr>
        <w:tc>
          <w:tcPr>
            <w:tcW w:w="3053" w:type="dxa"/>
            <w:noWrap/>
            <w:hideMark/>
          </w:tcPr>
          <w:p w14:paraId="6711B8B6" w14:textId="77777777" w:rsidR="009A7430" w:rsidRPr="001569FB" w:rsidRDefault="009A7430" w:rsidP="008D4E91">
            <w:pPr>
              <w:pStyle w:val="ListParagraph"/>
              <w:ind w:left="115"/>
              <w:rPr>
                <w:bCs/>
                <w:sz w:val="20"/>
                <w:szCs w:val="20"/>
              </w:rPr>
            </w:pPr>
            <w:r w:rsidRPr="001569FB">
              <w:rPr>
                <w:bCs/>
                <w:sz w:val="20"/>
                <w:szCs w:val="20"/>
              </w:rPr>
              <w:t>HCC12</w:t>
            </w:r>
          </w:p>
        </w:tc>
        <w:tc>
          <w:tcPr>
            <w:tcW w:w="4412" w:type="dxa"/>
            <w:hideMark/>
          </w:tcPr>
          <w:p w14:paraId="2DE80811" w14:textId="77777777" w:rsidR="009A7430" w:rsidRPr="001569FB" w:rsidRDefault="009A7430" w:rsidP="008D4E91">
            <w:pPr>
              <w:pStyle w:val="ListParagraph"/>
              <w:ind w:left="120"/>
              <w:rPr>
                <w:bCs/>
                <w:sz w:val="20"/>
                <w:szCs w:val="20"/>
              </w:rPr>
            </w:pPr>
            <w:r w:rsidRPr="001569FB">
              <w:rPr>
                <w:bCs/>
                <w:sz w:val="20"/>
                <w:szCs w:val="20"/>
              </w:rPr>
              <w:t>Breast, Prostate, and Other Cancers and Tumors</w:t>
            </w:r>
          </w:p>
        </w:tc>
        <w:tc>
          <w:tcPr>
            <w:tcW w:w="1885" w:type="dxa"/>
            <w:noWrap/>
            <w:hideMark/>
          </w:tcPr>
          <w:p w14:paraId="398A47DF" w14:textId="77777777" w:rsidR="009A7430" w:rsidRPr="001569FB" w:rsidRDefault="009A7430" w:rsidP="008D4E91">
            <w:pPr>
              <w:pStyle w:val="ListParagraph"/>
              <w:ind w:left="33"/>
              <w:jc w:val="center"/>
              <w:rPr>
                <w:bCs/>
                <w:sz w:val="20"/>
                <w:szCs w:val="20"/>
              </w:rPr>
            </w:pPr>
            <w:r w:rsidRPr="001569FB">
              <w:rPr>
                <w:bCs/>
                <w:sz w:val="20"/>
                <w:szCs w:val="20"/>
              </w:rPr>
              <w:t>0.156</w:t>
            </w:r>
          </w:p>
        </w:tc>
      </w:tr>
      <w:tr w:rsidR="009A7430" w:rsidRPr="001569FB" w14:paraId="0DA7B075" w14:textId="77777777" w:rsidTr="008D4E91">
        <w:trPr>
          <w:trHeight w:val="315"/>
        </w:trPr>
        <w:tc>
          <w:tcPr>
            <w:tcW w:w="3053" w:type="dxa"/>
            <w:noWrap/>
            <w:hideMark/>
          </w:tcPr>
          <w:p w14:paraId="1572D6FC" w14:textId="77777777" w:rsidR="009A7430" w:rsidRPr="001569FB" w:rsidRDefault="009A7430" w:rsidP="008D4E91">
            <w:pPr>
              <w:pStyle w:val="ListParagraph"/>
              <w:ind w:left="115"/>
              <w:rPr>
                <w:bCs/>
                <w:sz w:val="20"/>
                <w:szCs w:val="20"/>
              </w:rPr>
            </w:pPr>
            <w:r w:rsidRPr="001569FB">
              <w:rPr>
                <w:bCs/>
                <w:sz w:val="20"/>
                <w:szCs w:val="20"/>
              </w:rPr>
              <w:t>HCC17</w:t>
            </w:r>
          </w:p>
        </w:tc>
        <w:tc>
          <w:tcPr>
            <w:tcW w:w="4412" w:type="dxa"/>
            <w:hideMark/>
          </w:tcPr>
          <w:p w14:paraId="71AE310C" w14:textId="77777777" w:rsidR="009A7430" w:rsidRPr="001569FB" w:rsidRDefault="009A7430" w:rsidP="008D4E91">
            <w:pPr>
              <w:pStyle w:val="ListParagraph"/>
              <w:ind w:left="120"/>
              <w:rPr>
                <w:bCs/>
                <w:sz w:val="20"/>
                <w:szCs w:val="20"/>
              </w:rPr>
            </w:pPr>
            <w:r w:rsidRPr="001569FB">
              <w:rPr>
                <w:bCs/>
                <w:sz w:val="20"/>
                <w:szCs w:val="20"/>
              </w:rPr>
              <w:t>Diabetes with Acute Complications</w:t>
            </w:r>
          </w:p>
        </w:tc>
        <w:tc>
          <w:tcPr>
            <w:tcW w:w="1885" w:type="dxa"/>
            <w:noWrap/>
            <w:hideMark/>
          </w:tcPr>
          <w:p w14:paraId="429C9FB5"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306104E3" w14:textId="77777777" w:rsidTr="008D4E91">
        <w:trPr>
          <w:trHeight w:val="315"/>
        </w:trPr>
        <w:tc>
          <w:tcPr>
            <w:tcW w:w="3053" w:type="dxa"/>
            <w:noWrap/>
            <w:hideMark/>
          </w:tcPr>
          <w:p w14:paraId="752939D7" w14:textId="77777777" w:rsidR="009A7430" w:rsidRPr="001569FB" w:rsidRDefault="009A7430" w:rsidP="008D4E91">
            <w:pPr>
              <w:pStyle w:val="ListParagraph"/>
              <w:ind w:left="115"/>
              <w:rPr>
                <w:bCs/>
                <w:sz w:val="20"/>
                <w:szCs w:val="20"/>
              </w:rPr>
            </w:pPr>
            <w:r w:rsidRPr="001569FB">
              <w:rPr>
                <w:bCs/>
                <w:sz w:val="20"/>
                <w:szCs w:val="20"/>
              </w:rPr>
              <w:t>HCC18</w:t>
            </w:r>
          </w:p>
        </w:tc>
        <w:tc>
          <w:tcPr>
            <w:tcW w:w="4412" w:type="dxa"/>
            <w:hideMark/>
          </w:tcPr>
          <w:p w14:paraId="499CD5EE" w14:textId="77777777" w:rsidR="009A7430" w:rsidRPr="001569FB" w:rsidRDefault="009A7430" w:rsidP="008D4E91">
            <w:pPr>
              <w:pStyle w:val="ListParagraph"/>
              <w:ind w:left="120"/>
              <w:rPr>
                <w:bCs/>
                <w:sz w:val="20"/>
                <w:szCs w:val="20"/>
              </w:rPr>
            </w:pPr>
            <w:r w:rsidRPr="001569FB">
              <w:rPr>
                <w:bCs/>
                <w:sz w:val="20"/>
                <w:szCs w:val="20"/>
              </w:rPr>
              <w:t>Diabetes with Chronic Complications</w:t>
            </w:r>
          </w:p>
        </w:tc>
        <w:tc>
          <w:tcPr>
            <w:tcW w:w="1885" w:type="dxa"/>
            <w:noWrap/>
            <w:hideMark/>
          </w:tcPr>
          <w:p w14:paraId="20C7E9CC"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621D77AD" w14:textId="77777777" w:rsidTr="008D4E91">
        <w:trPr>
          <w:trHeight w:val="315"/>
        </w:trPr>
        <w:tc>
          <w:tcPr>
            <w:tcW w:w="3053" w:type="dxa"/>
            <w:noWrap/>
            <w:hideMark/>
          </w:tcPr>
          <w:p w14:paraId="150540C6" w14:textId="77777777" w:rsidR="009A7430" w:rsidRPr="001569FB" w:rsidRDefault="009A7430" w:rsidP="008D4E91">
            <w:pPr>
              <w:pStyle w:val="ListParagraph"/>
              <w:ind w:left="115"/>
              <w:rPr>
                <w:bCs/>
                <w:sz w:val="20"/>
                <w:szCs w:val="20"/>
              </w:rPr>
            </w:pPr>
            <w:r w:rsidRPr="001569FB">
              <w:rPr>
                <w:bCs/>
                <w:sz w:val="20"/>
                <w:szCs w:val="20"/>
              </w:rPr>
              <w:t>HCC19</w:t>
            </w:r>
          </w:p>
        </w:tc>
        <w:tc>
          <w:tcPr>
            <w:tcW w:w="4412" w:type="dxa"/>
            <w:hideMark/>
          </w:tcPr>
          <w:p w14:paraId="0592AA46" w14:textId="77777777" w:rsidR="009A7430" w:rsidRPr="001569FB" w:rsidRDefault="009A7430" w:rsidP="008D4E91">
            <w:pPr>
              <w:pStyle w:val="ListParagraph"/>
              <w:ind w:left="120"/>
              <w:rPr>
                <w:bCs/>
                <w:sz w:val="20"/>
                <w:szCs w:val="20"/>
              </w:rPr>
            </w:pPr>
            <w:r w:rsidRPr="001569FB">
              <w:rPr>
                <w:bCs/>
                <w:sz w:val="20"/>
                <w:szCs w:val="20"/>
              </w:rPr>
              <w:t>Diabetes without Complication</w:t>
            </w:r>
          </w:p>
        </w:tc>
        <w:tc>
          <w:tcPr>
            <w:tcW w:w="1885" w:type="dxa"/>
            <w:noWrap/>
            <w:hideMark/>
          </w:tcPr>
          <w:p w14:paraId="669AF7B3" w14:textId="77777777" w:rsidR="009A7430" w:rsidRPr="001569FB" w:rsidRDefault="009A7430" w:rsidP="008D4E91">
            <w:pPr>
              <w:pStyle w:val="ListParagraph"/>
              <w:ind w:left="33"/>
              <w:jc w:val="center"/>
              <w:rPr>
                <w:bCs/>
                <w:sz w:val="20"/>
                <w:szCs w:val="20"/>
              </w:rPr>
            </w:pPr>
            <w:r w:rsidRPr="001569FB">
              <w:rPr>
                <w:bCs/>
                <w:sz w:val="20"/>
                <w:szCs w:val="20"/>
              </w:rPr>
              <w:t>0.094</w:t>
            </w:r>
          </w:p>
        </w:tc>
      </w:tr>
      <w:tr w:rsidR="009A7430" w:rsidRPr="001569FB" w14:paraId="4071EFCC" w14:textId="77777777" w:rsidTr="008D4E91">
        <w:trPr>
          <w:trHeight w:val="315"/>
        </w:trPr>
        <w:tc>
          <w:tcPr>
            <w:tcW w:w="3053" w:type="dxa"/>
            <w:noWrap/>
            <w:hideMark/>
          </w:tcPr>
          <w:p w14:paraId="1F850609" w14:textId="77777777" w:rsidR="009A7430" w:rsidRPr="001569FB" w:rsidRDefault="009A7430" w:rsidP="008D4E91">
            <w:pPr>
              <w:pStyle w:val="ListParagraph"/>
              <w:ind w:left="115"/>
              <w:rPr>
                <w:bCs/>
                <w:sz w:val="20"/>
                <w:szCs w:val="20"/>
              </w:rPr>
            </w:pPr>
            <w:r w:rsidRPr="001569FB">
              <w:rPr>
                <w:bCs/>
                <w:sz w:val="20"/>
                <w:szCs w:val="20"/>
              </w:rPr>
              <w:t>HCC21</w:t>
            </w:r>
          </w:p>
        </w:tc>
        <w:tc>
          <w:tcPr>
            <w:tcW w:w="4412" w:type="dxa"/>
            <w:hideMark/>
          </w:tcPr>
          <w:p w14:paraId="4D45471C" w14:textId="77777777" w:rsidR="009A7430" w:rsidRPr="001569FB" w:rsidRDefault="009A7430" w:rsidP="008D4E91">
            <w:pPr>
              <w:pStyle w:val="ListParagraph"/>
              <w:ind w:left="120"/>
              <w:rPr>
                <w:bCs/>
                <w:sz w:val="20"/>
                <w:szCs w:val="20"/>
              </w:rPr>
            </w:pPr>
            <w:r w:rsidRPr="001569FB">
              <w:rPr>
                <w:bCs/>
                <w:sz w:val="20"/>
                <w:szCs w:val="20"/>
              </w:rPr>
              <w:t>Protein-Calorie Malnutrition</w:t>
            </w:r>
          </w:p>
        </w:tc>
        <w:tc>
          <w:tcPr>
            <w:tcW w:w="1885" w:type="dxa"/>
            <w:noWrap/>
            <w:hideMark/>
          </w:tcPr>
          <w:p w14:paraId="75C5CDB8" w14:textId="77777777" w:rsidR="009A7430" w:rsidRPr="001569FB" w:rsidRDefault="009A7430" w:rsidP="008D4E91">
            <w:pPr>
              <w:pStyle w:val="ListParagraph"/>
              <w:ind w:left="33"/>
              <w:jc w:val="center"/>
              <w:rPr>
                <w:bCs/>
                <w:sz w:val="20"/>
                <w:szCs w:val="20"/>
              </w:rPr>
            </w:pPr>
            <w:r w:rsidRPr="001569FB">
              <w:rPr>
                <w:bCs/>
                <w:sz w:val="20"/>
                <w:szCs w:val="20"/>
              </w:rPr>
              <w:t>0.593</w:t>
            </w:r>
          </w:p>
        </w:tc>
      </w:tr>
      <w:tr w:rsidR="009A7430" w:rsidRPr="001569FB" w14:paraId="0B8A2E9C" w14:textId="77777777" w:rsidTr="008D4E91">
        <w:trPr>
          <w:trHeight w:val="315"/>
        </w:trPr>
        <w:tc>
          <w:tcPr>
            <w:tcW w:w="3053" w:type="dxa"/>
            <w:noWrap/>
            <w:hideMark/>
          </w:tcPr>
          <w:p w14:paraId="6E094AEF" w14:textId="77777777" w:rsidR="009A7430" w:rsidRPr="001569FB" w:rsidRDefault="009A7430" w:rsidP="008D4E91">
            <w:pPr>
              <w:pStyle w:val="ListParagraph"/>
              <w:ind w:left="115"/>
              <w:rPr>
                <w:bCs/>
                <w:sz w:val="20"/>
                <w:szCs w:val="20"/>
              </w:rPr>
            </w:pPr>
            <w:r w:rsidRPr="001569FB">
              <w:rPr>
                <w:bCs/>
                <w:sz w:val="20"/>
                <w:szCs w:val="20"/>
              </w:rPr>
              <w:t>HCC22</w:t>
            </w:r>
          </w:p>
        </w:tc>
        <w:tc>
          <w:tcPr>
            <w:tcW w:w="4412" w:type="dxa"/>
            <w:hideMark/>
          </w:tcPr>
          <w:p w14:paraId="758CAD41" w14:textId="77777777" w:rsidR="009A7430" w:rsidRPr="001569FB" w:rsidRDefault="009A7430" w:rsidP="008D4E91">
            <w:pPr>
              <w:pStyle w:val="ListParagraph"/>
              <w:ind w:left="120"/>
              <w:rPr>
                <w:bCs/>
                <w:sz w:val="20"/>
                <w:szCs w:val="20"/>
              </w:rPr>
            </w:pPr>
            <w:r w:rsidRPr="001569FB">
              <w:rPr>
                <w:bCs/>
                <w:sz w:val="20"/>
                <w:szCs w:val="20"/>
              </w:rPr>
              <w:t>Morbid Obesity</w:t>
            </w:r>
          </w:p>
        </w:tc>
        <w:tc>
          <w:tcPr>
            <w:tcW w:w="1885" w:type="dxa"/>
            <w:noWrap/>
            <w:hideMark/>
          </w:tcPr>
          <w:p w14:paraId="30DF8F53" w14:textId="77777777" w:rsidR="009A7430" w:rsidRPr="001569FB" w:rsidRDefault="009A7430" w:rsidP="008D4E91">
            <w:pPr>
              <w:pStyle w:val="ListParagraph"/>
              <w:ind w:left="33"/>
              <w:jc w:val="center"/>
              <w:rPr>
                <w:bCs/>
                <w:sz w:val="20"/>
                <w:szCs w:val="20"/>
              </w:rPr>
            </w:pPr>
            <w:r w:rsidRPr="001569FB">
              <w:rPr>
                <w:bCs/>
                <w:sz w:val="20"/>
                <w:szCs w:val="20"/>
              </w:rPr>
              <w:t>0.278</w:t>
            </w:r>
          </w:p>
        </w:tc>
      </w:tr>
      <w:tr w:rsidR="009A7430" w:rsidRPr="001569FB" w14:paraId="20D8C538" w14:textId="77777777" w:rsidTr="008D4E91">
        <w:trPr>
          <w:trHeight w:val="315"/>
        </w:trPr>
        <w:tc>
          <w:tcPr>
            <w:tcW w:w="3053" w:type="dxa"/>
            <w:noWrap/>
            <w:hideMark/>
          </w:tcPr>
          <w:p w14:paraId="4F2AC6C6" w14:textId="77777777" w:rsidR="009A7430" w:rsidRPr="001569FB" w:rsidRDefault="009A7430" w:rsidP="008D4E91">
            <w:pPr>
              <w:pStyle w:val="ListParagraph"/>
              <w:ind w:left="115"/>
              <w:rPr>
                <w:bCs/>
                <w:sz w:val="20"/>
                <w:szCs w:val="20"/>
              </w:rPr>
            </w:pPr>
            <w:r w:rsidRPr="001569FB">
              <w:rPr>
                <w:bCs/>
                <w:sz w:val="20"/>
                <w:szCs w:val="20"/>
              </w:rPr>
              <w:t>HCC23</w:t>
            </w:r>
          </w:p>
        </w:tc>
        <w:tc>
          <w:tcPr>
            <w:tcW w:w="4412" w:type="dxa"/>
            <w:hideMark/>
          </w:tcPr>
          <w:p w14:paraId="37188B4C" w14:textId="77777777" w:rsidR="009A7430" w:rsidRPr="001569FB" w:rsidRDefault="009A7430" w:rsidP="008D4E91">
            <w:pPr>
              <w:pStyle w:val="ListParagraph"/>
              <w:ind w:left="120"/>
              <w:rPr>
                <w:bCs/>
                <w:sz w:val="20"/>
                <w:szCs w:val="20"/>
              </w:rPr>
            </w:pPr>
            <w:r w:rsidRPr="001569FB">
              <w:rPr>
                <w:bCs/>
                <w:sz w:val="20"/>
                <w:szCs w:val="20"/>
              </w:rPr>
              <w:t>Other Significant Endocrine and Metabolic Disorders</w:t>
            </w:r>
          </w:p>
        </w:tc>
        <w:tc>
          <w:tcPr>
            <w:tcW w:w="1885" w:type="dxa"/>
            <w:noWrap/>
            <w:hideMark/>
          </w:tcPr>
          <w:p w14:paraId="43A4B5A1"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041316FD" w14:textId="77777777" w:rsidTr="008D4E91">
        <w:trPr>
          <w:trHeight w:val="315"/>
        </w:trPr>
        <w:tc>
          <w:tcPr>
            <w:tcW w:w="3053" w:type="dxa"/>
            <w:noWrap/>
            <w:hideMark/>
          </w:tcPr>
          <w:p w14:paraId="3712C61E" w14:textId="77777777" w:rsidR="009A7430" w:rsidRPr="001569FB" w:rsidRDefault="009A7430" w:rsidP="008D4E91">
            <w:pPr>
              <w:pStyle w:val="ListParagraph"/>
              <w:ind w:left="115"/>
              <w:rPr>
                <w:bCs/>
                <w:sz w:val="20"/>
                <w:szCs w:val="20"/>
              </w:rPr>
            </w:pPr>
            <w:r w:rsidRPr="001569FB">
              <w:rPr>
                <w:bCs/>
                <w:sz w:val="20"/>
                <w:szCs w:val="20"/>
              </w:rPr>
              <w:t>HCC27</w:t>
            </w:r>
          </w:p>
        </w:tc>
        <w:tc>
          <w:tcPr>
            <w:tcW w:w="4412" w:type="dxa"/>
            <w:hideMark/>
          </w:tcPr>
          <w:p w14:paraId="66473F64" w14:textId="77777777" w:rsidR="009A7430" w:rsidRPr="001569FB" w:rsidRDefault="009A7430" w:rsidP="008D4E91">
            <w:pPr>
              <w:pStyle w:val="ListParagraph"/>
              <w:ind w:left="120"/>
              <w:rPr>
                <w:bCs/>
                <w:sz w:val="20"/>
                <w:szCs w:val="20"/>
              </w:rPr>
            </w:pPr>
            <w:r w:rsidRPr="001569FB">
              <w:rPr>
                <w:bCs/>
                <w:sz w:val="20"/>
                <w:szCs w:val="20"/>
              </w:rPr>
              <w:t>End-Stage Liver Disease</w:t>
            </w:r>
          </w:p>
        </w:tc>
        <w:tc>
          <w:tcPr>
            <w:tcW w:w="1885" w:type="dxa"/>
            <w:noWrap/>
            <w:hideMark/>
          </w:tcPr>
          <w:p w14:paraId="5657DF01" w14:textId="77777777" w:rsidR="009A7430" w:rsidRPr="001569FB" w:rsidRDefault="009A7430" w:rsidP="008D4E91">
            <w:pPr>
              <w:pStyle w:val="ListParagraph"/>
              <w:ind w:left="33"/>
              <w:jc w:val="center"/>
              <w:rPr>
                <w:bCs/>
                <w:sz w:val="20"/>
                <w:szCs w:val="20"/>
              </w:rPr>
            </w:pPr>
            <w:r w:rsidRPr="001569FB">
              <w:rPr>
                <w:bCs/>
                <w:sz w:val="20"/>
                <w:szCs w:val="20"/>
              </w:rPr>
              <w:t>1.028</w:t>
            </w:r>
          </w:p>
        </w:tc>
      </w:tr>
      <w:tr w:rsidR="009A7430" w:rsidRPr="001569FB" w14:paraId="5084D170" w14:textId="77777777" w:rsidTr="008D4E91">
        <w:trPr>
          <w:trHeight w:val="315"/>
        </w:trPr>
        <w:tc>
          <w:tcPr>
            <w:tcW w:w="3053" w:type="dxa"/>
            <w:noWrap/>
            <w:hideMark/>
          </w:tcPr>
          <w:p w14:paraId="6B65916B" w14:textId="77777777" w:rsidR="009A7430" w:rsidRPr="001569FB" w:rsidRDefault="009A7430" w:rsidP="008D4E91">
            <w:pPr>
              <w:pStyle w:val="ListParagraph"/>
              <w:ind w:left="115"/>
              <w:rPr>
                <w:bCs/>
                <w:sz w:val="20"/>
                <w:szCs w:val="20"/>
              </w:rPr>
            </w:pPr>
            <w:r w:rsidRPr="001569FB">
              <w:rPr>
                <w:bCs/>
                <w:sz w:val="20"/>
                <w:szCs w:val="20"/>
              </w:rPr>
              <w:t>HCC28</w:t>
            </w:r>
          </w:p>
        </w:tc>
        <w:tc>
          <w:tcPr>
            <w:tcW w:w="4412" w:type="dxa"/>
            <w:hideMark/>
          </w:tcPr>
          <w:p w14:paraId="3288A7D7" w14:textId="77777777" w:rsidR="009A7430" w:rsidRPr="001569FB" w:rsidRDefault="009A7430" w:rsidP="008D4E91">
            <w:pPr>
              <w:pStyle w:val="ListParagraph"/>
              <w:ind w:left="120"/>
              <w:rPr>
                <w:bCs/>
                <w:sz w:val="20"/>
                <w:szCs w:val="20"/>
              </w:rPr>
            </w:pPr>
            <w:r w:rsidRPr="001569FB">
              <w:rPr>
                <w:bCs/>
                <w:sz w:val="20"/>
                <w:szCs w:val="20"/>
              </w:rPr>
              <w:t>Cirrhosis of Liver</w:t>
            </w:r>
          </w:p>
        </w:tc>
        <w:tc>
          <w:tcPr>
            <w:tcW w:w="1885" w:type="dxa"/>
            <w:noWrap/>
            <w:hideMark/>
          </w:tcPr>
          <w:p w14:paraId="3F9BA139" w14:textId="77777777" w:rsidR="009A7430" w:rsidRPr="001569FB" w:rsidRDefault="009A7430" w:rsidP="008D4E91">
            <w:pPr>
              <w:pStyle w:val="ListParagraph"/>
              <w:ind w:left="33"/>
              <w:jc w:val="center"/>
              <w:rPr>
                <w:bCs/>
                <w:sz w:val="20"/>
                <w:szCs w:val="20"/>
              </w:rPr>
            </w:pPr>
            <w:r w:rsidRPr="001569FB">
              <w:rPr>
                <w:bCs/>
                <w:sz w:val="20"/>
                <w:szCs w:val="20"/>
              </w:rPr>
              <w:t>0.384</w:t>
            </w:r>
          </w:p>
        </w:tc>
      </w:tr>
      <w:tr w:rsidR="009A7430" w:rsidRPr="001569FB" w14:paraId="59FAE5A9" w14:textId="77777777" w:rsidTr="008D4E91">
        <w:trPr>
          <w:trHeight w:val="315"/>
        </w:trPr>
        <w:tc>
          <w:tcPr>
            <w:tcW w:w="3053" w:type="dxa"/>
            <w:noWrap/>
            <w:hideMark/>
          </w:tcPr>
          <w:p w14:paraId="12638557" w14:textId="77777777" w:rsidR="009A7430" w:rsidRPr="001569FB" w:rsidRDefault="009A7430" w:rsidP="008D4E91">
            <w:pPr>
              <w:pStyle w:val="ListParagraph"/>
              <w:ind w:left="115"/>
              <w:rPr>
                <w:bCs/>
                <w:sz w:val="20"/>
                <w:szCs w:val="20"/>
              </w:rPr>
            </w:pPr>
            <w:r w:rsidRPr="001569FB">
              <w:rPr>
                <w:bCs/>
                <w:sz w:val="20"/>
                <w:szCs w:val="20"/>
              </w:rPr>
              <w:t>HCC29</w:t>
            </w:r>
          </w:p>
        </w:tc>
        <w:tc>
          <w:tcPr>
            <w:tcW w:w="4412" w:type="dxa"/>
            <w:hideMark/>
          </w:tcPr>
          <w:p w14:paraId="0EFF114E" w14:textId="77777777" w:rsidR="009A7430" w:rsidRPr="001569FB" w:rsidRDefault="009A7430" w:rsidP="008D4E91">
            <w:pPr>
              <w:pStyle w:val="ListParagraph"/>
              <w:ind w:left="120"/>
              <w:rPr>
                <w:bCs/>
                <w:sz w:val="20"/>
                <w:szCs w:val="20"/>
              </w:rPr>
            </w:pPr>
            <w:r w:rsidRPr="001569FB">
              <w:rPr>
                <w:bCs/>
                <w:sz w:val="20"/>
                <w:szCs w:val="20"/>
              </w:rPr>
              <w:t>Chronic Hepatitis</w:t>
            </w:r>
          </w:p>
        </w:tc>
        <w:tc>
          <w:tcPr>
            <w:tcW w:w="1885" w:type="dxa"/>
            <w:noWrap/>
            <w:hideMark/>
          </w:tcPr>
          <w:p w14:paraId="6A47A7BD"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1791BEF1" w14:textId="77777777" w:rsidTr="008D4E91">
        <w:trPr>
          <w:trHeight w:val="315"/>
        </w:trPr>
        <w:tc>
          <w:tcPr>
            <w:tcW w:w="3053" w:type="dxa"/>
            <w:noWrap/>
            <w:hideMark/>
          </w:tcPr>
          <w:p w14:paraId="094962BC" w14:textId="77777777" w:rsidR="009A7430" w:rsidRPr="001569FB" w:rsidRDefault="009A7430" w:rsidP="008D4E91">
            <w:pPr>
              <w:pStyle w:val="ListParagraph"/>
              <w:ind w:left="115"/>
              <w:rPr>
                <w:bCs/>
                <w:sz w:val="20"/>
                <w:szCs w:val="20"/>
              </w:rPr>
            </w:pPr>
            <w:r w:rsidRPr="001569FB">
              <w:rPr>
                <w:bCs/>
                <w:sz w:val="20"/>
                <w:szCs w:val="20"/>
              </w:rPr>
              <w:t>HCC33</w:t>
            </w:r>
          </w:p>
        </w:tc>
        <w:tc>
          <w:tcPr>
            <w:tcW w:w="4412" w:type="dxa"/>
            <w:hideMark/>
          </w:tcPr>
          <w:p w14:paraId="5F5D6DB5" w14:textId="77777777" w:rsidR="009A7430" w:rsidRPr="001569FB" w:rsidRDefault="009A7430" w:rsidP="008D4E91">
            <w:pPr>
              <w:pStyle w:val="ListParagraph"/>
              <w:ind w:left="120"/>
              <w:rPr>
                <w:bCs/>
                <w:sz w:val="20"/>
                <w:szCs w:val="20"/>
              </w:rPr>
            </w:pPr>
            <w:r w:rsidRPr="001569FB">
              <w:rPr>
                <w:bCs/>
                <w:sz w:val="20"/>
                <w:szCs w:val="20"/>
              </w:rPr>
              <w:t>Intestinal Obstruction/Perforation</w:t>
            </w:r>
          </w:p>
        </w:tc>
        <w:tc>
          <w:tcPr>
            <w:tcW w:w="1885" w:type="dxa"/>
            <w:noWrap/>
            <w:hideMark/>
          </w:tcPr>
          <w:p w14:paraId="1E46A76D" w14:textId="77777777" w:rsidR="009A7430" w:rsidRPr="001569FB" w:rsidRDefault="009A7430" w:rsidP="008D4E91">
            <w:pPr>
              <w:pStyle w:val="ListParagraph"/>
              <w:ind w:left="33"/>
              <w:jc w:val="center"/>
              <w:rPr>
                <w:bCs/>
                <w:sz w:val="20"/>
                <w:szCs w:val="20"/>
              </w:rPr>
            </w:pPr>
            <w:r w:rsidRPr="001569FB">
              <w:rPr>
                <w:bCs/>
                <w:sz w:val="20"/>
                <w:szCs w:val="20"/>
              </w:rPr>
              <w:t>0.285</w:t>
            </w:r>
          </w:p>
        </w:tc>
      </w:tr>
      <w:tr w:rsidR="009A7430" w:rsidRPr="001569FB" w14:paraId="12B5F3B8" w14:textId="77777777" w:rsidTr="008D4E91">
        <w:trPr>
          <w:trHeight w:val="315"/>
        </w:trPr>
        <w:tc>
          <w:tcPr>
            <w:tcW w:w="3053" w:type="dxa"/>
            <w:noWrap/>
            <w:hideMark/>
          </w:tcPr>
          <w:p w14:paraId="4D56DBD2" w14:textId="77777777" w:rsidR="009A7430" w:rsidRPr="001569FB" w:rsidRDefault="009A7430" w:rsidP="008D4E91">
            <w:pPr>
              <w:pStyle w:val="ListParagraph"/>
              <w:ind w:left="115"/>
              <w:rPr>
                <w:bCs/>
                <w:sz w:val="20"/>
                <w:szCs w:val="20"/>
              </w:rPr>
            </w:pPr>
            <w:r w:rsidRPr="001569FB">
              <w:rPr>
                <w:bCs/>
                <w:sz w:val="20"/>
                <w:szCs w:val="20"/>
              </w:rPr>
              <w:t>HCC34</w:t>
            </w:r>
          </w:p>
        </w:tc>
        <w:tc>
          <w:tcPr>
            <w:tcW w:w="4412" w:type="dxa"/>
            <w:hideMark/>
          </w:tcPr>
          <w:p w14:paraId="183BF0F1" w14:textId="77777777" w:rsidR="009A7430" w:rsidRPr="001569FB" w:rsidRDefault="009A7430" w:rsidP="008D4E91">
            <w:pPr>
              <w:pStyle w:val="ListParagraph"/>
              <w:ind w:left="120"/>
              <w:rPr>
                <w:bCs/>
                <w:sz w:val="20"/>
                <w:szCs w:val="20"/>
              </w:rPr>
            </w:pPr>
            <w:r w:rsidRPr="001569FB">
              <w:rPr>
                <w:bCs/>
                <w:sz w:val="20"/>
                <w:szCs w:val="20"/>
              </w:rPr>
              <w:t>Chronic Pancreatitis</w:t>
            </w:r>
          </w:p>
        </w:tc>
        <w:tc>
          <w:tcPr>
            <w:tcW w:w="1885" w:type="dxa"/>
            <w:noWrap/>
            <w:hideMark/>
          </w:tcPr>
          <w:p w14:paraId="4E97055F" w14:textId="77777777" w:rsidR="009A7430" w:rsidRPr="001569FB" w:rsidRDefault="009A7430" w:rsidP="008D4E91">
            <w:pPr>
              <w:pStyle w:val="ListParagraph"/>
              <w:ind w:left="33"/>
              <w:jc w:val="center"/>
              <w:rPr>
                <w:bCs/>
                <w:sz w:val="20"/>
                <w:szCs w:val="20"/>
              </w:rPr>
            </w:pPr>
            <w:r w:rsidRPr="001569FB">
              <w:rPr>
                <w:bCs/>
                <w:sz w:val="20"/>
                <w:szCs w:val="20"/>
              </w:rPr>
              <w:t>0.282</w:t>
            </w:r>
          </w:p>
        </w:tc>
      </w:tr>
      <w:tr w:rsidR="009A7430" w:rsidRPr="001569FB" w14:paraId="64D6350F" w14:textId="77777777" w:rsidTr="008D4E91">
        <w:trPr>
          <w:trHeight w:val="315"/>
        </w:trPr>
        <w:tc>
          <w:tcPr>
            <w:tcW w:w="3053" w:type="dxa"/>
            <w:noWrap/>
            <w:hideMark/>
          </w:tcPr>
          <w:p w14:paraId="69538407" w14:textId="77777777" w:rsidR="009A7430" w:rsidRPr="001569FB" w:rsidRDefault="009A7430" w:rsidP="008D4E91">
            <w:pPr>
              <w:pStyle w:val="ListParagraph"/>
              <w:ind w:left="115"/>
              <w:rPr>
                <w:bCs/>
                <w:sz w:val="20"/>
                <w:szCs w:val="20"/>
              </w:rPr>
            </w:pPr>
            <w:r w:rsidRPr="001569FB">
              <w:rPr>
                <w:bCs/>
                <w:sz w:val="20"/>
                <w:szCs w:val="20"/>
              </w:rPr>
              <w:t>HCC35</w:t>
            </w:r>
          </w:p>
        </w:tc>
        <w:tc>
          <w:tcPr>
            <w:tcW w:w="4412" w:type="dxa"/>
            <w:hideMark/>
          </w:tcPr>
          <w:p w14:paraId="43FCE47F" w14:textId="77777777" w:rsidR="009A7430" w:rsidRPr="001569FB" w:rsidRDefault="009A7430" w:rsidP="008D4E91">
            <w:pPr>
              <w:pStyle w:val="ListParagraph"/>
              <w:ind w:left="120"/>
              <w:rPr>
                <w:bCs/>
                <w:sz w:val="20"/>
                <w:szCs w:val="20"/>
              </w:rPr>
            </w:pPr>
            <w:r w:rsidRPr="001569FB">
              <w:rPr>
                <w:bCs/>
                <w:sz w:val="20"/>
                <w:szCs w:val="20"/>
              </w:rPr>
              <w:t>Inflammatory Bowel Disease</w:t>
            </w:r>
          </w:p>
        </w:tc>
        <w:tc>
          <w:tcPr>
            <w:tcW w:w="1885" w:type="dxa"/>
            <w:noWrap/>
            <w:hideMark/>
          </w:tcPr>
          <w:p w14:paraId="57D6C1D0" w14:textId="77777777" w:rsidR="009A7430" w:rsidRPr="001569FB" w:rsidRDefault="009A7430" w:rsidP="008D4E91">
            <w:pPr>
              <w:pStyle w:val="ListParagraph"/>
              <w:ind w:left="33"/>
              <w:jc w:val="center"/>
              <w:rPr>
                <w:bCs/>
                <w:sz w:val="20"/>
                <w:szCs w:val="20"/>
              </w:rPr>
            </w:pPr>
            <w:r w:rsidRPr="001569FB">
              <w:rPr>
                <w:bCs/>
                <w:sz w:val="20"/>
                <w:szCs w:val="20"/>
              </w:rPr>
              <w:t>0.362</w:t>
            </w:r>
          </w:p>
        </w:tc>
      </w:tr>
      <w:tr w:rsidR="009A7430" w:rsidRPr="001569FB" w14:paraId="35CF50AB" w14:textId="77777777" w:rsidTr="008D4E91">
        <w:trPr>
          <w:trHeight w:val="315"/>
        </w:trPr>
        <w:tc>
          <w:tcPr>
            <w:tcW w:w="3053" w:type="dxa"/>
            <w:noWrap/>
            <w:hideMark/>
          </w:tcPr>
          <w:p w14:paraId="08BE5AE4" w14:textId="77777777" w:rsidR="009A7430" w:rsidRPr="001569FB" w:rsidRDefault="009A7430" w:rsidP="008D4E91">
            <w:pPr>
              <w:pStyle w:val="ListParagraph"/>
              <w:ind w:left="115"/>
              <w:rPr>
                <w:bCs/>
                <w:sz w:val="20"/>
                <w:szCs w:val="20"/>
              </w:rPr>
            </w:pPr>
            <w:r w:rsidRPr="001569FB">
              <w:rPr>
                <w:bCs/>
                <w:sz w:val="20"/>
                <w:szCs w:val="20"/>
              </w:rPr>
              <w:t>HCC39</w:t>
            </w:r>
          </w:p>
        </w:tc>
        <w:tc>
          <w:tcPr>
            <w:tcW w:w="4412" w:type="dxa"/>
            <w:hideMark/>
          </w:tcPr>
          <w:p w14:paraId="09B19986" w14:textId="77777777" w:rsidR="009A7430" w:rsidRPr="001569FB" w:rsidRDefault="009A7430" w:rsidP="008D4E91">
            <w:pPr>
              <w:pStyle w:val="ListParagraph"/>
              <w:ind w:left="120"/>
              <w:rPr>
                <w:bCs/>
                <w:sz w:val="20"/>
                <w:szCs w:val="20"/>
              </w:rPr>
            </w:pPr>
            <w:r w:rsidRPr="001569FB">
              <w:rPr>
                <w:bCs/>
                <w:sz w:val="20"/>
                <w:szCs w:val="20"/>
              </w:rPr>
              <w:t>Bone/Joint/Muscle Infections/Necrosis</w:t>
            </w:r>
          </w:p>
        </w:tc>
        <w:tc>
          <w:tcPr>
            <w:tcW w:w="1885" w:type="dxa"/>
            <w:noWrap/>
            <w:hideMark/>
          </w:tcPr>
          <w:p w14:paraId="7D5B6219" w14:textId="77777777" w:rsidR="009A7430" w:rsidRPr="001569FB" w:rsidRDefault="009A7430" w:rsidP="008D4E91">
            <w:pPr>
              <w:pStyle w:val="ListParagraph"/>
              <w:ind w:left="33"/>
              <w:jc w:val="center"/>
              <w:rPr>
                <w:bCs/>
                <w:sz w:val="20"/>
                <w:szCs w:val="20"/>
              </w:rPr>
            </w:pPr>
            <w:r w:rsidRPr="001569FB">
              <w:rPr>
                <w:bCs/>
                <w:sz w:val="20"/>
                <w:szCs w:val="20"/>
              </w:rPr>
              <w:t>0.468</w:t>
            </w:r>
          </w:p>
        </w:tc>
      </w:tr>
      <w:tr w:rsidR="009A7430" w:rsidRPr="001569FB" w14:paraId="26ED929B" w14:textId="77777777" w:rsidTr="008D4E91">
        <w:trPr>
          <w:trHeight w:val="630"/>
        </w:trPr>
        <w:tc>
          <w:tcPr>
            <w:tcW w:w="3053" w:type="dxa"/>
            <w:noWrap/>
            <w:hideMark/>
          </w:tcPr>
          <w:p w14:paraId="6D568610" w14:textId="77777777" w:rsidR="009A7430" w:rsidRPr="001569FB" w:rsidRDefault="009A7430" w:rsidP="008D4E91">
            <w:pPr>
              <w:pStyle w:val="ListParagraph"/>
              <w:ind w:left="115"/>
              <w:rPr>
                <w:bCs/>
                <w:sz w:val="20"/>
                <w:szCs w:val="20"/>
              </w:rPr>
            </w:pPr>
            <w:r w:rsidRPr="001569FB">
              <w:rPr>
                <w:bCs/>
                <w:sz w:val="20"/>
                <w:szCs w:val="20"/>
              </w:rPr>
              <w:t>HCC40</w:t>
            </w:r>
          </w:p>
        </w:tc>
        <w:tc>
          <w:tcPr>
            <w:tcW w:w="4412" w:type="dxa"/>
            <w:hideMark/>
          </w:tcPr>
          <w:p w14:paraId="2B61FAC4" w14:textId="77777777" w:rsidR="009A7430" w:rsidRPr="001569FB" w:rsidRDefault="009A7430" w:rsidP="008D4E91">
            <w:pPr>
              <w:pStyle w:val="ListParagraph"/>
              <w:ind w:left="120"/>
              <w:rPr>
                <w:bCs/>
                <w:sz w:val="20"/>
                <w:szCs w:val="20"/>
              </w:rPr>
            </w:pPr>
            <w:r w:rsidRPr="001569FB">
              <w:rPr>
                <w:bCs/>
                <w:sz w:val="20"/>
                <w:szCs w:val="20"/>
              </w:rPr>
              <w:t>Rheumatoid Arthritis and Inflammatory Connective Tissue Disease</w:t>
            </w:r>
          </w:p>
        </w:tc>
        <w:tc>
          <w:tcPr>
            <w:tcW w:w="1885" w:type="dxa"/>
            <w:noWrap/>
            <w:hideMark/>
          </w:tcPr>
          <w:p w14:paraId="68DDFADB" w14:textId="77777777" w:rsidR="009A7430" w:rsidRPr="001569FB" w:rsidRDefault="009A7430" w:rsidP="008D4E91">
            <w:pPr>
              <w:pStyle w:val="ListParagraph"/>
              <w:ind w:left="33"/>
              <w:jc w:val="center"/>
              <w:rPr>
                <w:bCs/>
                <w:sz w:val="20"/>
                <w:szCs w:val="20"/>
              </w:rPr>
            </w:pPr>
            <w:r w:rsidRPr="001569FB">
              <w:rPr>
                <w:bCs/>
                <w:sz w:val="20"/>
                <w:szCs w:val="20"/>
              </w:rPr>
              <w:t>0.398</w:t>
            </w:r>
          </w:p>
        </w:tc>
      </w:tr>
      <w:tr w:rsidR="009A7430" w:rsidRPr="001569FB" w14:paraId="3939E567" w14:textId="77777777" w:rsidTr="008D4E91">
        <w:trPr>
          <w:trHeight w:val="315"/>
        </w:trPr>
        <w:tc>
          <w:tcPr>
            <w:tcW w:w="3053" w:type="dxa"/>
            <w:noWrap/>
            <w:hideMark/>
          </w:tcPr>
          <w:p w14:paraId="031DFF22" w14:textId="77777777" w:rsidR="009A7430" w:rsidRPr="001569FB" w:rsidRDefault="009A7430" w:rsidP="008D4E91">
            <w:pPr>
              <w:pStyle w:val="ListParagraph"/>
              <w:ind w:left="115"/>
              <w:rPr>
                <w:bCs/>
                <w:sz w:val="20"/>
                <w:szCs w:val="20"/>
              </w:rPr>
            </w:pPr>
            <w:r w:rsidRPr="001569FB">
              <w:rPr>
                <w:bCs/>
                <w:sz w:val="20"/>
                <w:szCs w:val="20"/>
              </w:rPr>
              <w:t>HCC46</w:t>
            </w:r>
          </w:p>
        </w:tc>
        <w:tc>
          <w:tcPr>
            <w:tcW w:w="4412" w:type="dxa"/>
            <w:hideMark/>
          </w:tcPr>
          <w:p w14:paraId="30D15F05" w14:textId="77777777" w:rsidR="009A7430" w:rsidRPr="001569FB" w:rsidRDefault="009A7430" w:rsidP="008D4E91">
            <w:pPr>
              <w:pStyle w:val="ListParagraph"/>
              <w:ind w:left="120"/>
              <w:rPr>
                <w:bCs/>
                <w:sz w:val="20"/>
                <w:szCs w:val="20"/>
              </w:rPr>
            </w:pPr>
            <w:r w:rsidRPr="001569FB">
              <w:rPr>
                <w:bCs/>
                <w:sz w:val="20"/>
                <w:szCs w:val="20"/>
              </w:rPr>
              <w:t>Severe Hematological Disorders</w:t>
            </w:r>
          </w:p>
        </w:tc>
        <w:tc>
          <w:tcPr>
            <w:tcW w:w="1885" w:type="dxa"/>
            <w:noWrap/>
            <w:hideMark/>
          </w:tcPr>
          <w:p w14:paraId="6B3707FA" w14:textId="77777777" w:rsidR="009A7430" w:rsidRPr="001569FB" w:rsidRDefault="009A7430" w:rsidP="008D4E91">
            <w:pPr>
              <w:pStyle w:val="ListParagraph"/>
              <w:ind w:left="33"/>
              <w:jc w:val="center"/>
              <w:rPr>
                <w:bCs/>
                <w:sz w:val="20"/>
                <w:szCs w:val="20"/>
              </w:rPr>
            </w:pPr>
            <w:r w:rsidRPr="001569FB">
              <w:rPr>
                <w:bCs/>
                <w:sz w:val="20"/>
                <w:szCs w:val="20"/>
              </w:rPr>
              <w:t>1.325</w:t>
            </w:r>
          </w:p>
        </w:tc>
      </w:tr>
      <w:tr w:rsidR="009A7430" w:rsidRPr="001569FB" w14:paraId="228B50D8" w14:textId="77777777" w:rsidTr="008D4E91">
        <w:trPr>
          <w:trHeight w:val="315"/>
        </w:trPr>
        <w:tc>
          <w:tcPr>
            <w:tcW w:w="3053" w:type="dxa"/>
            <w:noWrap/>
            <w:hideMark/>
          </w:tcPr>
          <w:p w14:paraId="7D226353" w14:textId="77777777" w:rsidR="009A7430" w:rsidRPr="001569FB" w:rsidRDefault="009A7430" w:rsidP="008D4E91">
            <w:pPr>
              <w:pStyle w:val="ListParagraph"/>
              <w:ind w:left="115"/>
              <w:rPr>
                <w:bCs/>
                <w:sz w:val="20"/>
                <w:szCs w:val="20"/>
              </w:rPr>
            </w:pPr>
            <w:r w:rsidRPr="001569FB">
              <w:rPr>
                <w:bCs/>
                <w:sz w:val="20"/>
                <w:szCs w:val="20"/>
              </w:rPr>
              <w:t>HCC47</w:t>
            </w:r>
          </w:p>
        </w:tc>
        <w:tc>
          <w:tcPr>
            <w:tcW w:w="4412" w:type="dxa"/>
            <w:hideMark/>
          </w:tcPr>
          <w:p w14:paraId="2B496F39" w14:textId="77777777" w:rsidR="009A7430" w:rsidRPr="001569FB" w:rsidRDefault="009A7430" w:rsidP="008D4E91">
            <w:pPr>
              <w:pStyle w:val="ListParagraph"/>
              <w:ind w:left="120"/>
              <w:rPr>
                <w:bCs/>
                <w:sz w:val="20"/>
                <w:szCs w:val="20"/>
              </w:rPr>
            </w:pPr>
            <w:r w:rsidRPr="001569FB">
              <w:rPr>
                <w:bCs/>
                <w:sz w:val="20"/>
                <w:szCs w:val="20"/>
              </w:rPr>
              <w:t>Disorders of Immunity</w:t>
            </w:r>
          </w:p>
        </w:tc>
        <w:tc>
          <w:tcPr>
            <w:tcW w:w="1885" w:type="dxa"/>
            <w:noWrap/>
            <w:hideMark/>
          </w:tcPr>
          <w:p w14:paraId="3B3CB227" w14:textId="77777777" w:rsidR="009A7430" w:rsidRPr="001569FB" w:rsidRDefault="009A7430" w:rsidP="008D4E91">
            <w:pPr>
              <w:pStyle w:val="ListParagraph"/>
              <w:ind w:left="33"/>
              <w:jc w:val="center"/>
              <w:rPr>
                <w:bCs/>
                <w:sz w:val="20"/>
                <w:szCs w:val="20"/>
              </w:rPr>
            </w:pPr>
            <w:r w:rsidRPr="001569FB">
              <w:rPr>
                <w:bCs/>
                <w:sz w:val="20"/>
                <w:szCs w:val="20"/>
              </w:rPr>
              <w:t>0.688</w:t>
            </w:r>
          </w:p>
        </w:tc>
      </w:tr>
      <w:tr w:rsidR="009A7430" w:rsidRPr="001569FB" w14:paraId="3BC1E05A" w14:textId="77777777" w:rsidTr="008D4E91">
        <w:trPr>
          <w:trHeight w:val="630"/>
        </w:trPr>
        <w:tc>
          <w:tcPr>
            <w:tcW w:w="3053" w:type="dxa"/>
            <w:noWrap/>
            <w:hideMark/>
          </w:tcPr>
          <w:p w14:paraId="55A93DAB" w14:textId="77777777" w:rsidR="009A7430" w:rsidRPr="001569FB" w:rsidRDefault="009A7430" w:rsidP="008D4E91">
            <w:pPr>
              <w:pStyle w:val="ListParagraph"/>
              <w:ind w:left="115"/>
              <w:rPr>
                <w:bCs/>
                <w:sz w:val="20"/>
                <w:szCs w:val="20"/>
              </w:rPr>
            </w:pPr>
            <w:r w:rsidRPr="001569FB">
              <w:rPr>
                <w:bCs/>
                <w:sz w:val="20"/>
                <w:szCs w:val="20"/>
              </w:rPr>
              <w:t>HCC48</w:t>
            </w:r>
          </w:p>
        </w:tc>
        <w:tc>
          <w:tcPr>
            <w:tcW w:w="4412" w:type="dxa"/>
            <w:hideMark/>
          </w:tcPr>
          <w:p w14:paraId="58AFA2BC" w14:textId="77777777" w:rsidR="009A7430" w:rsidRPr="001569FB" w:rsidRDefault="009A7430" w:rsidP="008D4E91">
            <w:pPr>
              <w:pStyle w:val="ListParagraph"/>
              <w:ind w:left="120"/>
              <w:rPr>
                <w:bCs/>
                <w:sz w:val="20"/>
                <w:szCs w:val="20"/>
              </w:rPr>
            </w:pPr>
            <w:r w:rsidRPr="001569FB">
              <w:rPr>
                <w:bCs/>
                <w:sz w:val="20"/>
                <w:szCs w:val="20"/>
              </w:rPr>
              <w:t>Coagulation Defects and Other Specified Hematological Disorders</w:t>
            </w:r>
          </w:p>
        </w:tc>
        <w:tc>
          <w:tcPr>
            <w:tcW w:w="1885" w:type="dxa"/>
            <w:noWrap/>
            <w:hideMark/>
          </w:tcPr>
          <w:p w14:paraId="6502E96D"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49F191CE" w14:textId="77777777" w:rsidTr="008D4E91">
        <w:trPr>
          <w:trHeight w:val="315"/>
        </w:trPr>
        <w:tc>
          <w:tcPr>
            <w:tcW w:w="3053" w:type="dxa"/>
            <w:noWrap/>
            <w:hideMark/>
          </w:tcPr>
          <w:p w14:paraId="17C8A9CD" w14:textId="77777777" w:rsidR="009A7430" w:rsidRPr="001569FB" w:rsidRDefault="009A7430" w:rsidP="008D4E91">
            <w:pPr>
              <w:pStyle w:val="ListParagraph"/>
              <w:ind w:left="115"/>
              <w:rPr>
                <w:bCs/>
                <w:sz w:val="20"/>
                <w:szCs w:val="20"/>
              </w:rPr>
            </w:pPr>
            <w:r w:rsidRPr="001569FB">
              <w:rPr>
                <w:bCs/>
                <w:sz w:val="20"/>
                <w:szCs w:val="20"/>
              </w:rPr>
              <w:t>HCC51</w:t>
            </w:r>
          </w:p>
        </w:tc>
        <w:tc>
          <w:tcPr>
            <w:tcW w:w="4412" w:type="dxa"/>
            <w:hideMark/>
          </w:tcPr>
          <w:p w14:paraId="0826CD6E" w14:textId="77777777" w:rsidR="009A7430" w:rsidRPr="001569FB" w:rsidRDefault="009A7430" w:rsidP="008D4E91">
            <w:pPr>
              <w:pStyle w:val="ListParagraph"/>
              <w:ind w:left="120"/>
              <w:rPr>
                <w:bCs/>
                <w:sz w:val="20"/>
                <w:szCs w:val="20"/>
              </w:rPr>
            </w:pPr>
            <w:r w:rsidRPr="001569FB">
              <w:rPr>
                <w:bCs/>
                <w:sz w:val="20"/>
                <w:szCs w:val="20"/>
              </w:rPr>
              <w:t>Dementia With Complications</w:t>
            </w:r>
          </w:p>
        </w:tc>
        <w:tc>
          <w:tcPr>
            <w:tcW w:w="1885" w:type="dxa"/>
            <w:noWrap/>
            <w:hideMark/>
          </w:tcPr>
          <w:p w14:paraId="53A3B207"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1AD298B8" w14:textId="77777777" w:rsidTr="008D4E91">
        <w:trPr>
          <w:trHeight w:val="315"/>
        </w:trPr>
        <w:tc>
          <w:tcPr>
            <w:tcW w:w="3053" w:type="dxa"/>
            <w:noWrap/>
            <w:hideMark/>
          </w:tcPr>
          <w:p w14:paraId="53736ED1" w14:textId="77777777" w:rsidR="009A7430" w:rsidRPr="001569FB" w:rsidRDefault="009A7430" w:rsidP="008D4E91">
            <w:pPr>
              <w:pStyle w:val="ListParagraph"/>
              <w:ind w:left="115"/>
              <w:rPr>
                <w:bCs/>
                <w:sz w:val="20"/>
                <w:szCs w:val="20"/>
              </w:rPr>
            </w:pPr>
            <w:r w:rsidRPr="001569FB">
              <w:rPr>
                <w:bCs/>
                <w:sz w:val="20"/>
                <w:szCs w:val="20"/>
              </w:rPr>
              <w:t>HCC52</w:t>
            </w:r>
          </w:p>
        </w:tc>
        <w:tc>
          <w:tcPr>
            <w:tcW w:w="4412" w:type="dxa"/>
            <w:hideMark/>
          </w:tcPr>
          <w:p w14:paraId="0E6F1FBF" w14:textId="77777777" w:rsidR="009A7430" w:rsidRPr="001569FB" w:rsidRDefault="009A7430" w:rsidP="008D4E91">
            <w:pPr>
              <w:pStyle w:val="ListParagraph"/>
              <w:ind w:left="120"/>
              <w:rPr>
                <w:bCs/>
                <w:sz w:val="20"/>
                <w:szCs w:val="20"/>
              </w:rPr>
            </w:pPr>
            <w:r w:rsidRPr="001569FB">
              <w:rPr>
                <w:bCs/>
                <w:sz w:val="20"/>
                <w:szCs w:val="20"/>
              </w:rPr>
              <w:t>Dementia Without Complication</w:t>
            </w:r>
          </w:p>
        </w:tc>
        <w:tc>
          <w:tcPr>
            <w:tcW w:w="1885" w:type="dxa"/>
            <w:noWrap/>
            <w:hideMark/>
          </w:tcPr>
          <w:p w14:paraId="5821915E" w14:textId="77777777" w:rsidR="009A7430" w:rsidRPr="001569FB" w:rsidRDefault="009A7430" w:rsidP="008D4E91">
            <w:pPr>
              <w:pStyle w:val="ListParagraph"/>
              <w:ind w:left="33"/>
              <w:jc w:val="center"/>
              <w:rPr>
                <w:bCs/>
                <w:sz w:val="20"/>
                <w:szCs w:val="20"/>
              </w:rPr>
            </w:pPr>
            <w:r w:rsidRPr="001569FB">
              <w:rPr>
                <w:bCs/>
                <w:sz w:val="20"/>
                <w:szCs w:val="20"/>
              </w:rPr>
              <w:t>0.328</w:t>
            </w:r>
          </w:p>
        </w:tc>
      </w:tr>
      <w:tr w:rsidR="009A7430" w:rsidRPr="001569FB" w14:paraId="1FC05038" w14:textId="77777777" w:rsidTr="008D4E91">
        <w:trPr>
          <w:trHeight w:val="315"/>
        </w:trPr>
        <w:tc>
          <w:tcPr>
            <w:tcW w:w="3053" w:type="dxa"/>
            <w:noWrap/>
            <w:hideMark/>
          </w:tcPr>
          <w:p w14:paraId="1C398EF5" w14:textId="77777777" w:rsidR="009A7430" w:rsidRPr="001569FB" w:rsidRDefault="009A7430" w:rsidP="008D4E91">
            <w:pPr>
              <w:pStyle w:val="ListParagraph"/>
              <w:ind w:left="115"/>
              <w:rPr>
                <w:bCs/>
                <w:sz w:val="20"/>
                <w:szCs w:val="20"/>
              </w:rPr>
            </w:pPr>
            <w:r w:rsidRPr="001569FB">
              <w:rPr>
                <w:bCs/>
                <w:sz w:val="20"/>
                <w:szCs w:val="20"/>
              </w:rPr>
              <w:t>HCC54</w:t>
            </w:r>
          </w:p>
        </w:tc>
        <w:tc>
          <w:tcPr>
            <w:tcW w:w="4412" w:type="dxa"/>
            <w:hideMark/>
          </w:tcPr>
          <w:p w14:paraId="672E04C0" w14:textId="77777777" w:rsidR="009A7430" w:rsidRPr="001569FB" w:rsidRDefault="009A7430" w:rsidP="008D4E91">
            <w:pPr>
              <w:pStyle w:val="ListParagraph"/>
              <w:ind w:left="120"/>
              <w:rPr>
                <w:bCs/>
                <w:sz w:val="20"/>
                <w:szCs w:val="20"/>
              </w:rPr>
            </w:pPr>
            <w:r w:rsidRPr="001569FB">
              <w:rPr>
                <w:bCs/>
                <w:sz w:val="20"/>
                <w:szCs w:val="20"/>
              </w:rPr>
              <w:t>Drug/Alcohol Psychosis</w:t>
            </w:r>
          </w:p>
        </w:tc>
        <w:tc>
          <w:tcPr>
            <w:tcW w:w="1885" w:type="dxa"/>
            <w:noWrap/>
            <w:hideMark/>
          </w:tcPr>
          <w:p w14:paraId="6B7918FB"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1D36D77" w14:textId="77777777" w:rsidTr="008D4E91">
        <w:trPr>
          <w:trHeight w:val="315"/>
        </w:trPr>
        <w:tc>
          <w:tcPr>
            <w:tcW w:w="3053" w:type="dxa"/>
            <w:noWrap/>
            <w:hideMark/>
          </w:tcPr>
          <w:p w14:paraId="2FD231B6" w14:textId="77777777" w:rsidR="009A7430" w:rsidRPr="001569FB" w:rsidRDefault="009A7430" w:rsidP="008D4E91">
            <w:pPr>
              <w:pStyle w:val="ListParagraph"/>
              <w:ind w:left="115"/>
              <w:rPr>
                <w:bCs/>
                <w:sz w:val="20"/>
                <w:szCs w:val="20"/>
              </w:rPr>
            </w:pPr>
            <w:r w:rsidRPr="001569FB">
              <w:rPr>
                <w:bCs/>
                <w:sz w:val="20"/>
                <w:szCs w:val="20"/>
              </w:rPr>
              <w:t>HCC55</w:t>
            </w:r>
          </w:p>
        </w:tc>
        <w:tc>
          <w:tcPr>
            <w:tcW w:w="4412" w:type="dxa"/>
            <w:hideMark/>
          </w:tcPr>
          <w:p w14:paraId="2DC9E3E4" w14:textId="77777777" w:rsidR="009A7430" w:rsidRPr="001569FB" w:rsidRDefault="009A7430" w:rsidP="008D4E91">
            <w:pPr>
              <w:pStyle w:val="ListParagraph"/>
              <w:ind w:left="120"/>
              <w:rPr>
                <w:bCs/>
                <w:sz w:val="20"/>
                <w:szCs w:val="20"/>
              </w:rPr>
            </w:pPr>
            <w:r w:rsidRPr="001569FB">
              <w:rPr>
                <w:bCs/>
                <w:sz w:val="20"/>
                <w:szCs w:val="20"/>
              </w:rPr>
              <w:t>Drug/Alcohol Dependence</w:t>
            </w:r>
          </w:p>
        </w:tc>
        <w:tc>
          <w:tcPr>
            <w:tcW w:w="1885" w:type="dxa"/>
            <w:noWrap/>
            <w:hideMark/>
          </w:tcPr>
          <w:p w14:paraId="35387453"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F8C697B" w14:textId="77777777" w:rsidTr="008D4E91">
        <w:trPr>
          <w:trHeight w:val="315"/>
        </w:trPr>
        <w:tc>
          <w:tcPr>
            <w:tcW w:w="3053" w:type="dxa"/>
            <w:noWrap/>
            <w:hideMark/>
          </w:tcPr>
          <w:p w14:paraId="371B5BDA" w14:textId="77777777" w:rsidR="009A7430" w:rsidRPr="001569FB" w:rsidRDefault="009A7430" w:rsidP="008D4E91">
            <w:pPr>
              <w:pStyle w:val="ListParagraph"/>
              <w:ind w:left="115"/>
              <w:rPr>
                <w:bCs/>
                <w:sz w:val="20"/>
                <w:szCs w:val="20"/>
              </w:rPr>
            </w:pPr>
            <w:r w:rsidRPr="001569FB">
              <w:rPr>
                <w:bCs/>
                <w:sz w:val="20"/>
                <w:szCs w:val="20"/>
              </w:rPr>
              <w:t>HCC57</w:t>
            </w:r>
          </w:p>
        </w:tc>
        <w:tc>
          <w:tcPr>
            <w:tcW w:w="4412" w:type="dxa"/>
            <w:hideMark/>
          </w:tcPr>
          <w:p w14:paraId="2F9F8A12" w14:textId="77777777" w:rsidR="009A7430" w:rsidRPr="001569FB" w:rsidRDefault="009A7430" w:rsidP="008D4E91">
            <w:pPr>
              <w:pStyle w:val="ListParagraph"/>
              <w:ind w:left="120"/>
              <w:rPr>
                <w:bCs/>
                <w:sz w:val="20"/>
                <w:szCs w:val="20"/>
              </w:rPr>
            </w:pPr>
            <w:r w:rsidRPr="001569FB">
              <w:rPr>
                <w:bCs/>
                <w:sz w:val="20"/>
                <w:szCs w:val="20"/>
              </w:rPr>
              <w:t>Schizophrenia</w:t>
            </w:r>
          </w:p>
        </w:tc>
        <w:tc>
          <w:tcPr>
            <w:tcW w:w="1885" w:type="dxa"/>
            <w:noWrap/>
            <w:hideMark/>
          </w:tcPr>
          <w:p w14:paraId="1680A025" w14:textId="77777777" w:rsidR="009A7430" w:rsidRPr="001569FB" w:rsidRDefault="009A7430" w:rsidP="008D4E91">
            <w:pPr>
              <w:pStyle w:val="ListParagraph"/>
              <w:ind w:left="33"/>
              <w:jc w:val="center"/>
              <w:rPr>
                <w:bCs/>
                <w:sz w:val="20"/>
                <w:szCs w:val="20"/>
              </w:rPr>
            </w:pPr>
            <w:r w:rsidRPr="001569FB">
              <w:rPr>
                <w:bCs/>
                <w:sz w:val="20"/>
                <w:szCs w:val="20"/>
              </w:rPr>
              <w:t>0.442</w:t>
            </w:r>
          </w:p>
        </w:tc>
      </w:tr>
      <w:tr w:rsidR="009A7430" w:rsidRPr="001569FB" w14:paraId="1D94F896" w14:textId="77777777" w:rsidTr="008D4E91">
        <w:trPr>
          <w:trHeight w:val="315"/>
        </w:trPr>
        <w:tc>
          <w:tcPr>
            <w:tcW w:w="3053" w:type="dxa"/>
            <w:noWrap/>
            <w:hideMark/>
          </w:tcPr>
          <w:p w14:paraId="28B77CCF" w14:textId="77777777" w:rsidR="009A7430" w:rsidRPr="001569FB" w:rsidRDefault="009A7430" w:rsidP="008D4E91">
            <w:pPr>
              <w:pStyle w:val="ListParagraph"/>
              <w:ind w:left="115"/>
              <w:rPr>
                <w:bCs/>
                <w:sz w:val="20"/>
                <w:szCs w:val="20"/>
              </w:rPr>
            </w:pPr>
            <w:r w:rsidRPr="001569FB">
              <w:rPr>
                <w:bCs/>
                <w:sz w:val="20"/>
                <w:szCs w:val="20"/>
              </w:rPr>
              <w:t>HCC58</w:t>
            </w:r>
          </w:p>
        </w:tc>
        <w:tc>
          <w:tcPr>
            <w:tcW w:w="4412" w:type="dxa"/>
            <w:hideMark/>
          </w:tcPr>
          <w:p w14:paraId="223BE4F9" w14:textId="77777777" w:rsidR="009A7430" w:rsidRPr="001569FB" w:rsidRDefault="009A7430" w:rsidP="008D4E91">
            <w:pPr>
              <w:pStyle w:val="ListParagraph"/>
              <w:ind w:left="120"/>
              <w:rPr>
                <w:bCs/>
                <w:sz w:val="20"/>
                <w:szCs w:val="20"/>
              </w:rPr>
            </w:pPr>
            <w:r w:rsidRPr="001569FB">
              <w:rPr>
                <w:bCs/>
                <w:sz w:val="20"/>
                <w:szCs w:val="20"/>
              </w:rPr>
              <w:t>Major Depressive, Bipolar, and Paranoid Disorders</w:t>
            </w:r>
          </w:p>
        </w:tc>
        <w:tc>
          <w:tcPr>
            <w:tcW w:w="1885" w:type="dxa"/>
            <w:noWrap/>
            <w:hideMark/>
          </w:tcPr>
          <w:p w14:paraId="6ECBDAC7" w14:textId="77777777" w:rsidR="009A7430" w:rsidRPr="001569FB" w:rsidRDefault="009A7430" w:rsidP="008D4E91">
            <w:pPr>
              <w:pStyle w:val="ListParagraph"/>
              <w:ind w:left="33"/>
              <w:jc w:val="center"/>
              <w:rPr>
                <w:bCs/>
                <w:sz w:val="20"/>
                <w:szCs w:val="20"/>
              </w:rPr>
            </w:pPr>
            <w:r w:rsidRPr="001569FB">
              <w:rPr>
                <w:bCs/>
                <w:sz w:val="20"/>
                <w:szCs w:val="20"/>
              </w:rPr>
              <w:t>0.260</w:t>
            </w:r>
          </w:p>
        </w:tc>
      </w:tr>
      <w:tr w:rsidR="009A7430" w:rsidRPr="001569FB" w14:paraId="554C0F87" w14:textId="77777777" w:rsidTr="008D4E91">
        <w:trPr>
          <w:trHeight w:val="315"/>
        </w:trPr>
        <w:tc>
          <w:tcPr>
            <w:tcW w:w="3053" w:type="dxa"/>
            <w:noWrap/>
            <w:hideMark/>
          </w:tcPr>
          <w:p w14:paraId="7711425E" w14:textId="77777777" w:rsidR="009A7430" w:rsidRPr="001569FB" w:rsidRDefault="009A7430" w:rsidP="008D4E91">
            <w:pPr>
              <w:pStyle w:val="ListParagraph"/>
              <w:ind w:left="115"/>
              <w:rPr>
                <w:bCs/>
                <w:sz w:val="20"/>
                <w:szCs w:val="20"/>
              </w:rPr>
            </w:pPr>
            <w:r w:rsidRPr="001569FB">
              <w:rPr>
                <w:bCs/>
                <w:sz w:val="20"/>
                <w:szCs w:val="20"/>
              </w:rPr>
              <w:t>HCC70</w:t>
            </w:r>
          </w:p>
        </w:tc>
        <w:tc>
          <w:tcPr>
            <w:tcW w:w="4412" w:type="dxa"/>
            <w:hideMark/>
          </w:tcPr>
          <w:p w14:paraId="6C2C12F9" w14:textId="77777777" w:rsidR="009A7430" w:rsidRPr="001569FB" w:rsidRDefault="009A7430" w:rsidP="008D4E91">
            <w:pPr>
              <w:pStyle w:val="ListParagraph"/>
              <w:ind w:left="120"/>
              <w:rPr>
                <w:bCs/>
                <w:sz w:val="20"/>
                <w:szCs w:val="20"/>
              </w:rPr>
            </w:pPr>
            <w:r w:rsidRPr="001569FB">
              <w:rPr>
                <w:bCs/>
                <w:sz w:val="20"/>
                <w:szCs w:val="20"/>
              </w:rPr>
              <w:t>Quadriplegia</w:t>
            </w:r>
          </w:p>
        </w:tc>
        <w:tc>
          <w:tcPr>
            <w:tcW w:w="1885" w:type="dxa"/>
            <w:noWrap/>
            <w:hideMark/>
          </w:tcPr>
          <w:p w14:paraId="71E0B9FD" w14:textId="77777777" w:rsidR="009A7430" w:rsidRPr="001569FB" w:rsidRDefault="009A7430" w:rsidP="008D4E91">
            <w:pPr>
              <w:pStyle w:val="ListParagraph"/>
              <w:ind w:left="33"/>
              <w:jc w:val="center"/>
              <w:rPr>
                <w:bCs/>
                <w:sz w:val="20"/>
                <w:szCs w:val="20"/>
              </w:rPr>
            </w:pPr>
            <w:r w:rsidRPr="001569FB">
              <w:rPr>
                <w:bCs/>
                <w:sz w:val="20"/>
                <w:szCs w:val="20"/>
              </w:rPr>
              <w:t>1.112</w:t>
            </w:r>
          </w:p>
        </w:tc>
      </w:tr>
      <w:tr w:rsidR="009A7430" w:rsidRPr="001569FB" w14:paraId="2EBBB3D4" w14:textId="77777777" w:rsidTr="008D4E91">
        <w:trPr>
          <w:trHeight w:val="315"/>
        </w:trPr>
        <w:tc>
          <w:tcPr>
            <w:tcW w:w="3053" w:type="dxa"/>
            <w:noWrap/>
            <w:hideMark/>
          </w:tcPr>
          <w:p w14:paraId="61FC882E" w14:textId="77777777" w:rsidR="009A7430" w:rsidRPr="001569FB" w:rsidRDefault="009A7430" w:rsidP="008D4E91">
            <w:pPr>
              <w:pStyle w:val="ListParagraph"/>
              <w:ind w:left="115"/>
              <w:rPr>
                <w:bCs/>
                <w:sz w:val="20"/>
                <w:szCs w:val="20"/>
              </w:rPr>
            </w:pPr>
            <w:r w:rsidRPr="001569FB">
              <w:rPr>
                <w:bCs/>
                <w:sz w:val="20"/>
                <w:szCs w:val="20"/>
              </w:rPr>
              <w:t>HCC71</w:t>
            </w:r>
          </w:p>
        </w:tc>
        <w:tc>
          <w:tcPr>
            <w:tcW w:w="4412" w:type="dxa"/>
            <w:hideMark/>
          </w:tcPr>
          <w:p w14:paraId="30013A42" w14:textId="77777777" w:rsidR="009A7430" w:rsidRPr="001569FB" w:rsidRDefault="009A7430" w:rsidP="008D4E91">
            <w:pPr>
              <w:pStyle w:val="ListParagraph"/>
              <w:ind w:left="120"/>
              <w:rPr>
                <w:bCs/>
                <w:sz w:val="20"/>
                <w:szCs w:val="20"/>
              </w:rPr>
            </w:pPr>
            <w:r w:rsidRPr="001569FB">
              <w:rPr>
                <w:bCs/>
                <w:sz w:val="20"/>
                <w:szCs w:val="20"/>
              </w:rPr>
              <w:t>Paraplegia</w:t>
            </w:r>
          </w:p>
        </w:tc>
        <w:tc>
          <w:tcPr>
            <w:tcW w:w="1885" w:type="dxa"/>
            <w:noWrap/>
            <w:hideMark/>
          </w:tcPr>
          <w:p w14:paraId="3A24BEE2" w14:textId="77777777" w:rsidR="009A7430" w:rsidRPr="001569FB" w:rsidRDefault="009A7430" w:rsidP="008D4E91">
            <w:pPr>
              <w:pStyle w:val="ListParagraph"/>
              <w:ind w:left="33"/>
              <w:jc w:val="center"/>
              <w:rPr>
                <w:bCs/>
                <w:sz w:val="20"/>
                <w:szCs w:val="20"/>
              </w:rPr>
            </w:pPr>
            <w:r w:rsidRPr="001569FB">
              <w:rPr>
                <w:bCs/>
                <w:sz w:val="20"/>
                <w:szCs w:val="20"/>
              </w:rPr>
              <w:t>0.943</w:t>
            </w:r>
          </w:p>
        </w:tc>
      </w:tr>
      <w:tr w:rsidR="009A7430" w:rsidRPr="001569FB" w14:paraId="20DA8462" w14:textId="77777777" w:rsidTr="008D4E91">
        <w:trPr>
          <w:trHeight w:val="315"/>
        </w:trPr>
        <w:tc>
          <w:tcPr>
            <w:tcW w:w="3053" w:type="dxa"/>
            <w:noWrap/>
            <w:hideMark/>
          </w:tcPr>
          <w:p w14:paraId="71EE89AE" w14:textId="77777777" w:rsidR="009A7430" w:rsidRPr="001569FB" w:rsidRDefault="009A7430" w:rsidP="008D4E91">
            <w:pPr>
              <w:pStyle w:val="ListParagraph"/>
              <w:ind w:left="115"/>
              <w:rPr>
                <w:bCs/>
                <w:sz w:val="20"/>
                <w:szCs w:val="20"/>
              </w:rPr>
            </w:pPr>
            <w:r w:rsidRPr="001569FB">
              <w:rPr>
                <w:bCs/>
                <w:sz w:val="20"/>
                <w:szCs w:val="20"/>
              </w:rPr>
              <w:t>HCC72</w:t>
            </w:r>
          </w:p>
        </w:tc>
        <w:tc>
          <w:tcPr>
            <w:tcW w:w="4412" w:type="dxa"/>
            <w:hideMark/>
          </w:tcPr>
          <w:p w14:paraId="6724C4DB" w14:textId="77777777" w:rsidR="009A7430" w:rsidRPr="001569FB" w:rsidRDefault="009A7430" w:rsidP="008D4E91">
            <w:pPr>
              <w:pStyle w:val="ListParagraph"/>
              <w:ind w:left="120"/>
              <w:rPr>
                <w:bCs/>
                <w:sz w:val="20"/>
                <w:szCs w:val="20"/>
              </w:rPr>
            </w:pPr>
            <w:r w:rsidRPr="001569FB">
              <w:rPr>
                <w:bCs/>
                <w:sz w:val="20"/>
                <w:szCs w:val="20"/>
              </w:rPr>
              <w:t>Spinal Cord Disorders/Injuries</w:t>
            </w:r>
          </w:p>
        </w:tc>
        <w:tc>
          <w:tcPr>
            <w:tcW w:w="1885" w:type="dxa"/>
            <w:noWrap/>
            <w:hideMark/>
          </w:tcPr>
          <w:p w14:paraId="08A0EE16"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29F8E819" w14:textId="77777777" w:rsidTr="008D4E91">
        <w:trPr>
          <w:trHeight w:val="630"/>
        </w:trPr>
        <w:tc>
          <w:tcPr>
            <w:tcW w:w="3053" w:type="dxa"/>
            <w:noWrap/>
            <w:hideMark/>
          </w:tcPr>
          <w:p w14:paraId="7A155487" w14:textId="77777777" w:rsidR="009A7430" w:rsidRPr="001569FB" w:rsidRDefault="009A7430" w:rsidP="008D4E91">
            <w:pPr>
              <w:pStyle w:val="ListParagraph"/>
              <w:ind w:left="115"/>
              <w:rPr>
                <w:bCs/>
                <w:sz w:val="20"/>
                <w:szCs w:val="20"/>
              </w:rPr>
            </w:pPr>
            <w:r w:rsidRPr="001569FB">
              <w:rPr>
                <w:bCs/>
                <w:sz w:val="20"/>
                <w:szCs w:val="20"/>
              </w:rPr>
              <w:lastRenderedPageBreak/>
              <w:t>HCC73</w:t>
            </w:r>
          </w:p>
        </w:tc>
        <w:tc>
          <w:tcPr>
            <w:tcW w:w="4412" w:type="dxa"/>
            <w:hideMark/>
          </w:tcPr>
          <w:p w14:paraId="1F58B056" w14:textId="77777777" w:rsidR="009A7430" w:rsidRPr="001569FB" w:rsidRDefault="009A7430" w:rsidP="008D4E91">
            <w:pPr>
              <w:pStyle w:val="ListParagraph"/>
              <w:ind w:left="120"/>
              <w:rPr>
                <w:bCs/>
                <w:sz w:val="20"/>
                <w:szCs w:val="20"/>
              </w:rPr>
            </w:pPr>
            <w:r w:rsidRPr="001569FB">
              <w:rPr>
                <w:bCs/>
                <w:sz w:val="20"/>
                <w:szCs w:val="20"/>
              </w:rPr>
              <w:t>Amyotrophic Lateral Sclerosis and Other Motor Neuron Disease</w:t>
            </w:r>
          </w:p>
        </w:tc>
        <w:tc>
          <w:tcPr>
            <w:tcW w:w="1885" w:type="dxa"/>
            <w:noWrap/>
            <w:hideMark/>
          </w:tcPr>
          <w:p w14:paraId="28719F4C" w14:textId="77777777" w:rsidR="009A7430" w:rsidRPr="001569FB" w:rsidRDefault="009A7430" w:rsidP="008D4E91">
            <w:pPr>
              <w:pStyle w:val="ListParagraph"/>
              <w:ind w:left="33"/>
              <w:jc w:val="center"/>
              <w:rPr>
                <w:bCs/>
                <w:sz w:val="20"/>
                <w:szCs w:val="20"/>
              </w:rPr>
            </w:pPr>
            <w:r w:rsidRPr="001569FB">
              <w:rPr>
                <w:bCs/>
                <w:sz w:val="20"/>
                <w:szCs w:val="20"/>
              </w:rPr>
              <w:t>1.030</w:t>
            </w:r>
          </w:p>
        </w:tc>
      </w:tr>
      <w:tr w:rsidR="009A7430" w:rsidRPr="001569FB" w14:paraId="397A86A9" w14:textId="77777777" w:rsidTr="008D4E91">
        <w:trPr>
          <w:trHeight w:val="315"/>
        </w:trPr>
        <w:tc>
          <w:tcPr>
            <w:tcW w:w="3053" w:type="dxa"/>
            <w:noWrap/>
            <w:hideMark/>
          </w:tcPr>
          <w:p w14:paraId="4CECD77B" w14:textId="77777777" w:rsidR="009A7430" w:rsidRPr="001569FB" w:rsidRDefault="009A7430" w:rsidP="008D4E91">
            <w:pPr>
              <w:pStyle w:val="ListParagraph"/>
              <w:ind w:left="115"/>
              <w:rPr>
                <w:bCs/>
                <w:sz w:val="20"/>
                <w:szCs w:val="20"/>
              </w:rPr>
            </w:pPr>
            <w:r w:rsidRPr="001569FB">
              <w:rPr>
                <w:bCs/>
                <w:sz w:val="20"/>
                <w:szCs w:val="20"/>
              </w:rPr>
              <w:t>HCC74</w:t>
            </w:r>
          </w:p>
        </w:tc>
        <w:tc>
          <w:tcPr>
            <w:tcW w:w="4412" w:type="dxa"/>
            <w:hideMark/>
          </w:tcPr>
          <w:p w14:paraId="35135FB4" w14:textId="77777777" w:rsidR="009A7430" w:rsidRPr="001569FB" w:rsidRDefault="009A7430" w:rsidP="008D4E91">
            <w:pPr>
              <w:pStyle w:val="ListParagraph"/>
              <w:ind w:left="120"/>
              <w:rPr>
                <w:bCs/>
                <w:sz w:val="20"/>
                <w:szCs w:val="20"/>
              </w:rPr>
            </w:pPr>
            <w:r w:rsidRPr="001569FB">
              <w:rPr>
                <w:bCs/>
                <w:sz w:val="20"/>
                <w:szCs w:val="20"/>
              </w:rPr>
              <w:t>Cerebral Palsy</w:t>
            </w:r>
          </w:p>
        </w:tc>
        <w:tc>
          <w:tcPr>
            <w:tcW w:w="1885" w:type="dxa"/>
            <w:noWrap/>
            <w:hideMark/>
          </w:tcPr>
          <w:p w14:paraId="434B43F3" w14:textId="77777777" w:rsidR="009A7430" w:rsidRPr="001569FB" w:rsidRDefault="009A7430" w:rsidP="008D4E91">
            <w:pPr>
              <w:pStyle w:val="ListParagraph"/>
              <w:ind w:left="33"/>
              <w:jc w:val="center"/>
              <w:rPr>
                <w:bCs/>
                <w:sz w:val="20"/>
                <w:szCs w:val="20"/>
              </w:rPr>
            </w:pPr>
            <w:r w:rsidRPr="001569FB">
              <w:rPr>
                <w:bCs/>
                <w:sz w:val="20"/>
                <w:szCs w:val="20"/>
              </w:rPr>
              <w:t>-</w:t>
            </w:r>
          </w:p>
        </w:tc>
      </w:tr>
      <w:tr w:rsidR="009A7430" w:rsidRPr="001569FB" w14:paraId="13105875" w14:textId="77777777" w:rsidTr="008D4E91">
        <w:trPr>
          <w:trHeight w:val="315"/>
        </w:trPr>
        <w:tc>
          <w:tcPr>
            <w:tcW w:w="3053" w:type="dxa"/>
            <w:noWrap/>
            <w:hideMark/>
          </w:tcPr>
          <w:p w14:paraId="2C8CE2E1" w14:textId="77777777" w:rsidR="009A7430" w:rsidRPr="001569FB" w:rsidRDefault="009A7430" w:rsidP="008D4E91">
            <w:pPr>
              <w:pStyle w:val="ListParagraph"/>
              <w:ind w:left="115"/>
              <w:rPr>
                <w:bCs/>
                <w:sz w:val="20"/>
                <w:szCs w:val="20"/>
              </w:rPr>
            </w:pPr>
            <w:r w:rsidRPr="001569FB">
              <w:rPr>
                <w:bCs/>
                <w:sz w:val="20"/>
                <w:szCs w:val="20"/>
              </w:rPr>
              <w:t>HCC75</w:t>
            </w:r>
          </w:p>
        </w:tc>
        <w:tc>
          <w:tcPr>
            <w:tcW w:w="4412" w:type="dxa"/>
            <w:hideMark/>
          </w:tcPr>
          <w:p w14:paraId="33E89147" w14:textId="77777777" w:rsidR="009A7430" w:rsidRPr="001569FB" w:rsidRDefault="009A7430" w:rsidP="008D4E91">
            <w:pPr>
              <w:pStyle w:val="ListParagraph"/>
              <w:ind w:left="120"/>
              <w:rPr>
                <w:bCs/>
                <w:sz w:val="20"/>
                <w:szCs w:val="20"/>
              </w:rPr>
            </w:pPr>
            <w:r w:rsidRPr="001569FB">
              <w:rPr>
                <w:bCs/>
                <w:sz w:val="20"/>
                <w:szCs w:val="20"/>
              </w:rPr>
              <w:t>Polyneuropathy</w:t>
            </w:r>
          </w:p>
        </w:tc>
        <w:tc>
          <w:tcPr>
            <w:tcW w:w="1885" w:type="dxa"/>
            <w:noWrap/>
            <w:hideMark/>
          </w:tcPr>
          <w:p w14:paraId="7C1A2BD4" w14:textId="77777777" w:rsidR="009A7430" w:rsidRPr="001569FB" w:rsidRDefault="009A7430" w:rsidP="008D4E91">
            <w:pPr>
              <w:pStyle w:val="ListParagraph"/>
              <w:ind w:left="33"/>
              <w:jc w:val="center"/>
              <w:rPr>
                <w:bCs/>
                <w:sz w:val="20"/>
                <w:szCs w:val="20"/>
              </w:rPr>
            </w:pPr>
            <w:r w:rsidRPr="001569FB">
              <w:rPr>
                <w:bCs/>
                <w:sz w:val="20"/>
                <w:szCs w:val="20"/>
              </w:rPr>
              <w:t>0.284</w:t>
            </w:r>
          </w:p>
        </w:tc>
      </w:tr>
      <w:tr w:rsidR="009A7430" w:rsidRPr="001569FB" w14:paraId="2202F3A2" w14:textId="77777777" w:rsidTr="008D4E91">
        <w:trPr>
          <w:trHeight w:val="315"/>
        </w:trPr>
        <w:tc>
          <w:tcPr>
            <w:tcW w:w="3053" w:type="dxa"/>
            <w:noWrap/>
            <w:hideMark/>
          </w:tcPr>
          <w:p w14:paraId="751E3E77" w14:textId="77777777" w:rsidR="009A7430" w:rsidRPr="001569FB" w:rsidRDefault="009A7430" w:rsidP="008D4E91">
            <w:pPr>
              <w:pStyle w:val="ListParagraph"/>
              <w:ind w:left="115"/>
              <w:rPr>
                <w:bCs/>
                <w:sz w:val="20"/>
                <w:szCs w:val="20"/>
              </w:rPr>
            </w:pPr>
            <w:r w:rsidRPr="001569FB">
              <w:rPr>
                <w:bCs/>
                <w:sz w:val="20"/>
                <w:szCs w:val="20"/>
              </w:rPr>
              <w:t>HCC76</w:t>
            </w:r>
          </w:p>
        </w:tc>
        <w:tc>
          <w:tcPr>
            <w:tcW w:w="4412" w:type="dxa"/>
            <w:hideMark/>
          </w:tcPr>
          <w:p w14:paraId="244F63C0" w14:textId="77777777" w:rsidR="009A7430" w:rsidRPr="001569FB" w:rsidRDefault="009A7430" w:rsidP="008D4E91">
            <w:pPr>
              <w:pStyle w:val="ListParagraph"/>
              <w:ind w:left="120"/>
              <w:rPr>
                <w:bCs/>
                <w:sz w:val="20"/>
                <w:szCs w:val="20"/>
              </w:rPr>
            </w:pPr>
            <w:r w:rsidRPr="001569FB">
              <w:rPr>
                <w:bCs/>
                <w:sz w:val="20"/>
                <w:szCs w:val="20"/>
              </w:rPr>
              <w:t>Muscular Dystrophy</w:t>
            </w:r>
          </w:p>
        </w:tc>
        <w:tc>
          <w:tcPr>
            <w:tcW w:w="1885" w:type="dxa"/>
            <w:noWrap/>
            <w:hideMark/>
          </w:tcPr>
          <w:p w14:paraId="14B294CB" w14:textId="77777777" w:rsidR="009A7430" w:rsidRPr="001569FB" w:rsidRDefault="009A7430" w:rsidP="008D4E91">
            <w:pPr>
              <w:pStyle w:val="ListParagraph"/>
              <w:ind w:left="33"/>
              <w:jc w:val="center"/>
              <w:rPr>
                <w:bCs/>
                <w:sz w:val="20"/>
                <w:szCs w:val="20"/>
              </w:rPr>
            </w:pPr>
            <w:r w:rsidRPr="001569FB">
              <w:rPr>
                <w:bCs/>
                <w:sz w:val="20"/>
                <w:szCs w:val="20"/>
              </w:rPr>
              <w:t>0.544</w:t>
            </w:r>
          </w:p>
        </w:tc>
      </w:tr>
      <w:tr w:rsidR="009A7430" w:rsidRPr="001569FB" w14:paraId="1553FD0C" w14:textId="77777777" w:rsidTr="008D4E91">
        <w:trPr>
          <w:trHeight w:val="315"/>
        </w:trPr>
        <w:tc>
          <w:tcPr>
            <w:tcW w:w="3053" w:type="dxa"/>
            <w:noWrap/>
            <w:hideMark/>
          </w:tcPr>
          <w:p w14:paraId="6649570E" w14:textId="77777777" w:rsidR="009A7430" w:rsidRPr="001569FB" w:rsidRDefault="009A7430" w:rsidP="008D4E91">
            <w:pPr>
              <w:pStyle w:val="ListParagraph"/>
              <w:ind w:left="115"/>
              <w:rPr>
                <w:bCs/>
                <w:sz w:val="20"/>
                <w:szCs w:val="20"/>
              </w:rPr>
            </w:pPr>
            <w:r w:rsidRPr="001569FB">
              <w:rPr>
                <w:bCs/>
                <w:sz w:val="20"/>
                <w:szCs w:val="20"/>
              </w:rPr>
              <w:t>HCC77</w:t>
            </w:r>
          </w:p>
        </w:tc>
        <w:tc>
          <w:tcPr>
            <w:tcW w:w="4412" w:type="dxa"/>
            <w:hideMark/>
          </w:tcPr>
          <w:p w14:paraId="269D9FAF" w14:textId="77777777" w:rsidR="009A7430" w:rsidRPr="001569FB" w:rsidRDefault="009A7430" w:rsidP="008D4E91">
            <w:pPr>
              <w:pStyle w:val="ListParagraph"/>
              <w:ind w:left="120"/>
              <w:rPr>
                <w:bCs/>
                <w:sz w:val="20"/>
                <w:szCs w:val="20"/>
              </w:rPr>
            </w:pPr>
            <w:r w:rsidRPr="001569FB">
              <w:rPr>
                <w:bCs/>
                <w:sz w:val="20"/>
                <w:szCs w:val="20"/>
              </w:rPr>
              <w:t>Multiple Sclerosis</w:t>
            </w:r>
          </w:p>
        </w:tc>
        <w:tc>
          <w:tcPr>
            <w:tcW w:w="1885" w:type="dxa"/>
            <w:noWrap/>
            <w:hideMark/>
          </w:tcPr>
          <w:p w14:paraId="0803D01F" w14:textId="77777777" w:rsidR="009A7430" w:rsidRPr="001569FB" w:rsidRDefault="009A7430" w:rsidP="008D4E91">
            <w:pPr>
              <w:pStyle w:val="ListParagraph"/>
              <w:ind w:left="33"/>
              <w:jc w:val="center"/>
              <w:rPr>
                <w:bCs/>
                <w:sz w:val="20"/>
                <w:szCs w:val="20"/>
              </w:rPr>
            </w:pPr>
            <w:r w:rsidRPr="001569FB">
              <w:rPr>
                <w:bCs/>
                <w:sz w:val="20"/>
                <w:szCs w:val="20"/>
              </w:rPr>
              <w:t>0.546</w:t>
            </w:r>
          </w:p>
        </w:tc>
      </w:tr>
      <w:tr w:rsidR="009A7430" w:rsidRPr="001569FB" w14:paraId="7EDD58FE" w14:textId="77777777" w:rsidTr="008D4E91">
        <w:trPr>
          <w:trHeight w:val="315"/>
        </w:trPr>
        <w:tc>
          <w:tcPr>
            <w:tcW w:w="3053" w:type="dxa"/>
            <w:noWrap/>
            <w:hideMark/>
          </w:tcPr>
          <w:p w14:paraId="521F6949" w14:textId="77777777" w:rsidR="009A7430" w:rsidRPr="001569FB" w:rsidRDefault="009A7430" w:rsidP="008D4E91">
            <w:pPr>
              <w:pStyle w:val="ListParagraph"/>
              <w:ind w:left="115"/>
              <w:rPr>
                <w:bCs/>
                <w:sz w:val="20"/>
                <w:szCs w:val="20"/>
              </w:rPr>
            </w:pPr>
            <w:r w:rsidRPr="001569FB">
              <w:rPr>
                <w:bCs/>
                <w:sz w:val="20"/>
                <w:szCs w:val="20"/>
              </w:rPr>
              <w:t>HCC78</w:t>
            </w:r>
          </w:p>
        </w:tc>
        <w:tc>
          <w:tcPr>
            <w:tcW w:w="4412" w:type="dxa"/>
            <w:hideMark/>
          </w:tcPr>
          <w:p w14:paraId="1A16EAA4" w14:textId="77777777" w:rsidR="009A7430" w:rsidRPr="001569FB" w:rsidRDefault="009A7430" w:rsidP="008D4E91">
            <w:pPr>
              <w:pStyle w:val="ListParagraph"/>
              <w:ind w:left="120"/>
              <w:rPr>
                <w:bCs/>
                <w:sz w:val="20"/>
                <w:szCs w:val="20"/>
              </w:rPr>
            </w:pPr>
            <w:r w:rsidRPr="001569FB">
              <w:rPr>
                <w:bCs/>
                <w:sz w:val="20"/>
                <w:szCs w:val="20"/>
              </w:rPr>
              <w:t>Parkinson's and Huntington's Diseases</w:t>
            </w:r>
          </w:p>
        </w:tc>
        <w:tc>
          <w:tcPr>
            <w:tcW w:w="1885" w:type="dxa"/>
            <w:noWrap/>
            <w:hideMark/>
          </w:tcPr>
          <w:p w14:paraId="7C34563D" w14:textId="77777777" w:rsidR="009A7430" w:rsidRPr="001569FB" w:rsidRDefault="009A7430" w:rsidP="008D4E91">
            <w:pPr>
              <w:pStyle w:val="ListParagraph"/>
              <w:ind w:left="33"/>
              <w:jc w:val="center"/>
              <w:rPr>
                <w:bCs/>
                <w:sz w:val="20"/>
                <w:szCs w:val="20"/>
              </w:rPr>
            </w:pPr>
            <w:r w:rsidRPr="001569FB">
              <w:rPr>
                <w:bCs/>
                <w:sz w:val="20"/>
                <w:szCs w:val="20"/>
              </w:rPr>
              <w:t>0.583</w:t>
            </w:r>
          </w:p>
        </w:tc>
      </w:tr>
      <w:tr w:rsidR="009A7430" w:rsidRPr="001569FB" w14:paraId="301AE8CC" w14:textId="77777777" w:rsidTr="008D4E91">
        <w:trPr>
          <w:trHeight w:val="315"/>
        </w:trPr>
        <w:tc>
          <w:tcPr>
            <w:tcW w:w="3053" w:type="dxa"/>
            <w:noWrap/>
            <w:hideMark/>
          </w:tcPr>
          <w:p w14:paraId="0CAC0BC7" w14:textId="77777777" w:rsidR="009A7430" w:rsidRPr="001569FB" w:rsidRDefault="009A7430" w:rsidP="008D4E91">
            <w:pPr>
              <w:pStyle w:val="ListParagraph"/>
              <w:ind w:left="115"/>
              <w:rPr>
                <w:bCs/>
                <w:sz w:val="20"/>
                <w:szCs w:val="20"/>
              </w:rPr>
            </w:pPr>
            <w:r w:rsidRPr="001569FB">
              <w:rPr>
                <w:bCs/>
                <w:sz w:val="20"/>
                <w:szCs w:val="20"/>
              </w:rPr>
              <w:t>HCC79</w:t>
            </w:r>
          </w:p>
        </w:tc>
        <w:tc>
          <w:tcPr>
            <w:tcW w:w="4412" w:type="dxa"/>
            <w:hideMark/>
          </w:tcPr>
          <w:p w14:paraId="3F4C7C61" w14:textId="77777777" w:rsidR="009A7430" w:rsidRPr="001569FB" w:rsidRDefault="009A7430" w:rsidP="008D4E91">
            <w:pPr>
              <w:pStyle w:val="ListParagraph"/>
              <w:ind w:left="120"/>
              <w:rPr>
                <w:bCs/>
                <w:sz w:val="20"/>
                <w:szCs w:val="20"/>
              </w:rPr>
            </w:pPr>
            <w:r w:rsidRPr="001569FB">
              <w:rPr>
                <w:bCs/>
                <w:sz w:val="20"/>
                <w:szCs w:val="20"/>
              </w:rPr>
              <w:t>Seizure Disorders and Convulsions</w:t>
            </w:r>
          </w:p>
        </w:tc>
        <w:tc>
          <w:tcPr>
            <w:tcW w:w="1885" w:type="dxa"/>
            <w:noWrap/>
            <w:hideMark/>
          </w:tcPr>
          <w:p w14:paraId="744C59B8" w14:textId="77777777" w:rsidR="009A7430" w:rsidRPr="001569FB" w:rsidRDefault="009A7430" w:rsidP="008D4E91">
            <w:pPr>
              <w:pStyle w:val="ListParagraph"/>
              <w:ind w:left="33"/>
              <w:jc w:val="center"/>
              <w:rPr>
                <w:bCs/>
                <w:sz w:val="20"/>
                <w:szCs w:val="20"/>
              </w:rPr>
            </w:pPr>
            <w:r w:rsidRPr="001569FB">
              <w:rPr>
                <w:bCs/>
                <w:sz w:val="20"/>
                <w:szCs w:val="20"/>
              </w:rPr>
              <w:t>0.221</w:t>
            </w:r>
          </w:p>
        </w:tc>
      </w:tr>
      <w:tr w:rsidR="009A7430" w:rsidRPr="001569FB" w14:paraId="26BD4E64" w14:textId="77777777" w:rsidTr="008D4E91">
        <w:trPr>
          <w:trHeight w:val="315"/>
        </w:trPr>
        <w:tc>
          <w:tcPr>
            <w:tcW w:w="3053" w:type="dxa"/>
            <w:noWrap/>
            <w:hideMark/>
          </w:tcPr>
          <w:p w14:paraId="1361A4D1" w14:textId="77777777" w:rsidR="009A7430" w:rsidRPr="001569FB" w:rsidRDefault="009A7430" w:rsidP="008D4E91">
            <w:pPr>
              <w:pStyle w:val="ListParagraph"/>
              <w:ind w:left="115"/>
              <w:rPr>
                <w:bCs/>
                <w:sz w:val="20"/>
                <w:szCs w:val="20"/>
              </w:rPr>
            </w:pPr>
            <w:r w:rsidRPr="001569FB">
              <w:rPr>
                <w:bCs/>
                <w:sz w:val="20"/>
                <w:szCs w:val="20"/>
              </w:rPr>
              <w:t>HCC80</w:t>
            </w:r>
          </w:p>
        </w:tc>
        <w:tc>
          <w:tcPr>
            <w:tcW w:w="4412" w:type="dxa"/>
            <w:hideMark/>
          </w:tcPr>
          <w:p w14:paraId="23FC9D13" w14:textId="77777777" w:rsidR="009A7430" w:rsidRPr="001569FB" w:rsidRDefault="009A7430" w:rsidP="008D4E91">
            <w:pPr>
              <w:pStyle w:val="ListParagraph"/>
              <w:ind w:left="120"/>
              <w:rPr>
                <w:bCs/>
                <w:sz w:val="20"/>
                <w:szCs w:val="20"/>
              </w:rPr>
            </w:pPr>
            <w:r w:rsidRPr="001569FB">
              <w:rPr>
                <w:bCs/>
                <w:sz w:val="20"/>
                <w:szCs w:val="20"/>
              </w:rPr>
              <w:t>Coma, Brain Compression/Anoxic Damage</w:t>
            </w:r>
          </w:p>
        </w:tc>
        <w:tc>
          <w:tcPr>
            <w:tcW w:w="1885" w:type="dxa"/>
            <w:noWrap/>
            <w:hideMark/>
          </w:tcPr>
          <w:p w14:paraId="2D22AFC1"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419D7AF3" w14:textId="77777777" w:rsidTr="008D4E91">
        <w:trPr>
          <w:trHeight w:val="315"/>
        </w:trPr>
        <w:tc>
          <w:tcPr>
            <w:tcW w:w="3053" w:type="dxa"/>
            <w:noWrap/>
            <w:hideMark/>
          </w:tcPr>
          <w:p w14:paraId="47750C8C" w14:textId="77777777" w:rsidR="009A7430" w:rsidRPr="001569FB" w:rsidRDefault="009A7430" w:rsidP="008D4E91">
            <w:pPr>
              <w:pStyle w:val="ListParagraph"/>
              <w:ind w:left="115"/>
              <w:rPr>
                <w:bCs/>
                <w:sz w:val="20"/>
                <w:szCs w:val="20"/>
              </w:rPr>
            </w:pPr>
            <w:r w:rsidRPr="001569FB">
              <w:rPr>
                <w:bCs/>
                <w:sz w:val="20"/>
                <w:szCs w:val="20"/>
              </w:rPr>
              <w:t>HCC82</w:t>
            </w:r>
          </w:p>
        </w:tc>
        <w:tc>
          <w:tcPr>
            <w:tcW w:w="4412" w:type="dxa"/>
            <w:hideMark/>
          </w:tcPr>
          <w:p w14:paraId="706F35DE" w14:textId="77777777" w:rsidR="009A7430" w:rsidRPr="001569FB" w:rsidRDefault="009A7430" w:rsidP="008D4E91">
            <w:pPr>
              <w:pStyle w:val="ListParagraph"/>
              <w:ind w:left="120"/>
              <w:rPr>
                <w:bCs/>
                <w:sz w:val="20"/>
                <w:szCs w:val="20"/>
              </w:rPr>
            </w:pPr>
            <w:r w:rsidRPr="001569FB">
              <w:rPr>
                <w:bCs/>
                <w:sz w:val="20"/>
                <w:szCs w:val="20"/>
              </w:rPr>
              <w:t>Respirator Dependence/Tracheostomy Status</w:t>
            </w:r>
          </w:p>
        </w:tc>
        <w:tc>
          <w:tcPr>
            <w:tcW w:w="1885" w:type="dxa"/>
            <w:noWrap/>
            <w:hideMark/>
          </w:tcPr>
          <w:p w14:paraId="75726BC6" w14:textId="77777777" w:rsidR="009A7430" w:rsidRPr="001569FB" w:rsidRDefault="009A7430" w:rsidP="008D4E91">
            <w:pPr>
              <w:pStyle w:val="ListParagraph"/>
              <w:ind w:left="33"/>
              <w:jc w:val="center"/>
              <w:rPr>
                <w:bCs/>
                <w:sz w:val="20"/>
                <w:szCs w:val="20"/>
              </w:rPr>
            </w:pPr>
            <w:r w:rsidRPr="001569FB">
              <w:rPr>
                <w:bCs/>
                <w:sz w:val="20"/>
                <w:szCs w:val="20"/>
              </w:rPr>
              <w:t>1.231</w:t>
            </w:r>
          </w:p>
        </w:tc>
      </w:tr>
      <w:tr w:rsidR="009A7430" w:rsidRPr="001569FB" w14:paraId="25C42BF5" w14:textId="77777777" w:rsidTr="008D4E91">
        <w:trPr>
          <w:trHeight w:val="315"/>
        </w:trPr>
        <w:tc>
          <w:tcPr>
            <w:tcW w:w="3053" w:type="dxa"/>
            <w:noWrap/>
            <w:hideMark/>
          </w:tcPr>
          <w:p w14:paraId="51828508" w14:textId="77777777" w:rsidR="009A7430" w:rsidRPr="001569FB" w:rsidRDefault="009A7430" w:rsidP="008D4E91">
            <w:pPr>
              <w:pStyle w:val="ListParagraph"/>
              <w:ind w:left="115"/>
              <w:rPr>
                <w:bCs/>
                <w:sz w:val="20"/>
                <w:szCs w:val="20"/>
              </w:rPr>
            </w:pPr>
            <w:r w:rsidRPr="001569FB">
              <w:rPr>
                <w:bCs/>
                <w:sz w:val="20"/>
                <w:szCs w:val="20"/>
              </w:rPr>
              <w:t>HCC83</w:t>
            </w:r>
          </w:p>
        </w:tc>
        <w:tc>
          <w:tcPr>
            <w:tcW w:w="4412" w:type="dxa"/>
            <w:hideMark/>
          </w:tcPr>
          <w:p w14:paraId="17366C0F" w14:textId="77777777" w:rsidR="009A7430" w:rsidRPr="001569FB" w:rsidRDefault="009A7430" w:rsidP="008D4E91">
            <w:pPr>
              <w:pStyle w:val="ListParagraph"/>
              <w:ind w:left="120"/>
              <w:rPr>
                <w:bCs/>
                <w:sz w:val="20"/>
                <w:szCs w:val="20"/>
              </w:rPr>
            </w:pPr>
            <w:r w:rsidRPr="001569FB">
              <w:rPr>
                <w:bCs/>
                <w:sz w:val="20"/>
                <w:szCs w:val="20"/>
              </w:rPr>
              <w:t>Respiratory Arrest</w:t>
            </w:r>
          </w:p>
        </w:tc>
        <w:tc>
          <w:tcPr>
            <w:tcW w:w="1885" w:type="dxa"/>
            <w:noWrap/>
            <w:hideMark/>
          </w:tcPr>
          <w:p w14:paraId="1DDC415C" w14:textId="77777777" w:rsidR="009A7430" w:rsidRPr="001569FB" w:rsidRDefault="009A7430" w:rsidP="008D4E91">
            <w:pPr>
              <w:pStyle w:val="ListParagraph"/>
              <w:ind w:left="33"/>
              <w:jc w:val="center"/>
              <w:rPr>
                <w:bCs/>
                <w:sz w:val="20"/>
                <w:szCs w:val="20"/>
              </w:rPr>
            </w:pPr>
            <w:r w:rsidRPr="001569FB">
              <w:rPr>
                <w:bCs/>
                <w:sz w:val="20"/>
                <w:szCs w:val="20"/>
              </w:rPr>
              <w:t>0.540</w:t>
            </w:r>
          </w:p>
        </w:tc>
      </w:tr>
      <w:tr w:rsidR="009A7430" w:rsidRPr="001569FB" w14:paraId="59097D24" w14:textId="77777777" w:rsidTr="008D4E91">
        <w:trPr>
          <w:trHeight w:val="315"/>
        </w:trPr>
        <w:tc>
          <w:tcPr>
            <w:tcW w:w="3053" w:type="dxa"/>
            <w:noWrap/>
            <w:hideMark/>
          </w:tcPr>
          <w:p w14:paraId="71D71F0E" w14:textId="77777777" w:rsidR="009A7430" w:rsidRPr="001569FB" w:rsidRDefault="009A7430" w:rsidP="008D4E91">
            <w:pPr>
              <w:pStyle w:val="ListParagraph"/>
              <w:ind w:left="115"/>
              <w:rPr>
                <w:bCs/>
                <w:sz w:val="20"/>
                <w:szCs w:val="20"/>
              </w:rPr>
            </w:pPr>
            <w:r w:rsidRPr="001569FB">
              <w:rPr>
                <w:bCs/>
                <w:sz w:val="20"/>
                <w:szCs w:val="20"/>
              </w:rPr>
              <w:t>HCC84</w:t>
            </w:r>
          </w:p>
        </w:tc>
        <w:tc>
          <w:tcPr>
            <w:tcW w:w="4412" w:type="dxa"/>
            <w:hideMark/>
          </w:tcPr>
          <w:p w14:paraId="64CF601C" w14:textId="77777777" w:rsidR="009A7430" w:rsidRPr="001569FB" w:rsidRDefault="009A7430" w:rsidP="008D4E91">
            <w:pPr>
              <w:pStyle w:val="ListParagraph"/>
              <w:ind w:left="120"/>
              <w:rPr>
                <w:bCs/>
                <w:sz w:val="20"/>
                <w:szCs w:val="20"/>
              </w:rPr>
            </w:pPr>
            <w:r w:rsidRPr="001569FB">
              <w:rPr>
                <w:bCs/>
                <w:sz w:val="20"/>
                <w:szCs w:val="20"/>
              </w:rPr>
              <w:t>Cardio-Respiratory Failure and Shock</w:t>
            </w:r>
          </w:p>
        </w:tc>
        <w:tc>
          <w:tcPr>
            <w:tcW w:w="1885" w:type="dxa"/>
            <w:noWrap/>
            <w:hideMark/>
          </w:tcPr>
          <w:p w14:paraId="02A6EE1D" w14:textId="77777777" w:rsidR="009A7430" w:rsidRPr="001569FB" w:rsidRDefault="009A7430" w:rsidP="008D4E91">
            <w:pPr>
              <w:pStyle w:val="ListParagraph"/>
              <w:ind w:left="33"/>
              <w:jc w:val="center"/>
              <w:rPr>
                <w:bCs/>
                <w:sz w:val="20"/>
                <w:szCs w:val="20"/>
              </w:rPr>
            </w:pPr>
            <w:r w:rsidRPr="001569FB">
              <w:rPr>
                <w:bCs/>
                <w:sz w:val="20"/>
                <w:szCs w:val="20"/>
              </w:rPr>
              <w:t>0.345</w:t>
            </w:r>
          </w:p>
        </w:tc>
      </w:tr>
      <w:tr w:rsidR="009A7430" w:rsidRPr="001569FB" w14:paraId="3DE0F599" w14:textId="77777777" w:rsidTr="008D4E91">
        <w:trPr>
          <w:trHeight w:val="315"/>
        </w:trPr>
        <w:tc>
          <w:tcPr>
            <w:tcW w:w="3053" w:type="dxa"/>
            <w:noWrap/>
            <w:hideMark/>
          </w:tcPr>
          <w:p w14:paraId="5C12A72B" w14:textId="77777777" w:rsidR="009A7430" w:rsidRPr="001569FB" w:rsidRDefault="009A7430" w:rsidP="008D4E91">
            <w:pPr>
              <w:pStyle w:val="ListParagraph"/>
              <w:ind w:left="115"/>
              <w:rPr>
                <w:bCs/>
                <w:sz w:val="20"/>
                <w:szCs w:val="20"/>
              </w:rPr>
            </w:pPr>
            <w:r w:rsidRPr="001569FB">
              <w:rPr>
                <w:bCs/>
                <w:sz w:val="20"/>
                <w:szCs w:val="20"/>
              </w:rPr>
              <w:t>HCC85</w:t>
            </w:r>
          </w:p>
        </w:tc>
        <w:tc>
          <w:tcPr>
            <w:tcW w:w="4412" w:type="dxa"/>
            <w:hideMark/>
          </w:tcPr>
          <w:p w14:paraId="52A40C57" w14:textId="77777777" w:rsidR="009A7430" w:rsidRPr="001569FB" w:rsidRDefault="009A7430" w:rsidP="008D4E91">
            <w:pPr>
              <w:pStyle w:val="ListParagraph"/>
              <w:ind w:left="120"/>
              <w:rPr>
                <w:bCs/>
                <w:sz w:val="20"/>
                <w:szCs w:val="20"/>
              </w:rPr>
            </w:pPr>
            <w:r w:rsidRPr="001569FB">
              <w:rPr>
                <w:bCs/>
                <w:sz w:val="20"/>
                <w:szCs w:val="20"/>
              </w:rPr>
              <w:t>Congestive Heart Failure</w:t>
            </w:r>
          </w:p>
        </w:tc>
        <w:tc>
          <w:tcPr>
            <w:tcW w:w="1885" w:type="dxa"/>
            <w:noWrap/>
            <w:hideMark/>
          </w:tcPr>
          <w:p w14:paraId="7A7A38C6" w14:textId="77777777" w:rsidR="009A7430" w:rsidRPr="001569FB" w:rsidRDefault="009A7430" w:rsidP="008D4E91">
            <w:pPr>
              <w:pStyle w:val="ListParagraph"/>
              <w:ind w:left="33"/>
              <w:jc w:val="center"/>
              <w:rPr>
                <w:bCs/>
                <w:sz w:val="20"/>
                <w:szCs w:val="20"/>
              </w:rPr>
            </w:pPr>
            <w:r w:rsidRPr="001569FB">
              <w:rPr>
                <w:bCs/>
                <w:sz w:val="20"/>
                <w:szCs w:val="20"/>
              </w:rPr>
              <w:t>0.336</w:t>
            </w:r>
          </w:p>
        </w:tc>
      </w:tr>
      <w:tr w:rsidR="009A7430" w:rsidRPr="001569FB" w14:paraId="705B7712" w14:textId="77777777" w:rsidTr="008D4E91">
        <w:trPr>
          <w:trHeight w:val="315"/>
        </w:trPr>
        <w:tc>
          <w:tcPr>
            <w:tcW w:w="3053" w:type="dxa"/>
            <w:noWrap/>
            <w:hideMark/>
          </w:tcPr>
          <w:p w14:paraId="7A3AB72F" w14:textId="77777777" w:rsidR="009A7430" w:rsidRPr="001569FB" w:rsidRDefault="009A7430" w:rsidP="008D4E91">
            <w:pPr>
              <w:pStyle w:val="ListParagraph"/>
              <w:ind w:left="115"/>
              <w:rPr>
                <w:bCs/>
                <w:sz w:val="20"/>
                <w:szCs w:val="20"/>
              </w:rPr>
            </w:pPr>
            <w:r w:rsidRPr="001569FB">
              <w:rPr>
                <w:bCs/>
                <w:sz w:val="20"/>
                <w:szCs w:val="20"/>
              </w:rPr>
              <w:t>HCC86</w:t>
            </w:r>
          </w:p>
        </w:tc>
        <w:tc>
          <w:tcPr>
            <w:tcW w:w="4412" w:type="dxa"/>
            <w:hideMark/>
          </w:tcPr>
          <w:p w14:paraId="399286A7" w14:textId="77777777" w:rsidR="009A7430" w:rsidRPr="001569FB" w:rsidRDefault="009A7430" w:rsidP="008D4E91">
            <w:pPr>
              <w:pStyle w:val="ListParagraph"/>
              <w:ind w:left="120"/>
              <w:rPr>
                <w:bCs/>
                <w:sz w:val="20"/>
                <w:szCs w:val="20"/>
              </w:rPr>
            </w:pPr>
            <w:r w:rsidRPr="001569FB">
              <w:rPr>
                <w:bCs/>
                <w:sz w:val="20"/>
                <w:szCs w:val="20"/>
              </w:rPr>
              <w:t>Acute Myocardial Infarction</w:t>
            </w:r>
          </w:p>
        </w:tc>
        <w:tc>
          <w:tcPr>
            <w:tcW w:w="1885" w:type="dxa"/>
            <w:noWrap/>
            <w:hideMark/>
          </w:tcPr>
          <w:p w14:paraId="454482D1"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04CFDFB7" w14:textId="77777777" w:rsidTr="008D4E91">
        <w:trPr>
          <w:trHeight w:val="315"/>
        </w:trPr>
        <w:tc>
          <w:tcPr>
            <w:tcW w:w="3053" w:type="dxa"/>
            <w:noWrap/>
            <w:hideMark/>
          </w:tcPr>
          <w:p w14:paraId="7FF3E3FF" w14:textId="77777777" w:rsidR="009A7430" w:rsidRPr="001569FB" w:rsidRDefault="009A7430" w:rsidP="008D4E91">
            <w:pPr>
              <w:pStyle w:val="ListParagraph"/>
              <w:ind w:left="115"/>
              <w:rPr>
                <w:bCs/>
                <w:sz w:val="20"/>
                <w:szCs w:val="20"/>
              </w:rPr>
            </w:pPr>
            <w:r w:rsidRPr="001569FB">
              <w:rPr>
                <w:bCs/>
                <w:sz w:val="20"/>
                <w:szCs w:val="20"/>
              </w:rPr>
              <w:t>HCC87</w:t>
            </w:r>
          </w:p>
        </w:tc>
        <w:tc>
          <w:tcPr>
            <w:tcW w:w="4412" w:type="dxa"/>
            <w:hideMark/>
          </w:tcPr>
          <w:p w14:paraId="4A7EB495" w14:textId="77777777" w:rsidR="009A7430" w:rsidRPr="001569FB" w:rsidRDefault="009A7430" w:rsidP="008D4E91">
            <w:pPr>
              <w:pStyle w:val="ListParagraph"/>
              <w:ind w:left="120"/>
              <w:rPr>
                <w:bCs/>
                <w:sz w:val="20"/>
                <w:szCs w:val="20"/>
              </w:rPr>
            </w:pPr>
            <w:r w:rsidRPr="001569FB">
              <w:rPr>
                <w:bCs/>
                <w:sz w:val="20"/>
                <w:szCs w:val="20"/>
              </w:rPr>
              <w:t>Unstable Angina and Other Acute Ischemic Heart Disease</w:t>
            </w:r>
          </w:p>
        </w:tc>
        <w:tc>
          <w:tcPr>
            <w:tcW w:w="1885" w:type="dxa"/>
            <w:noWrap/>
            <w:hideMark/>
          </w:tcPr>
          <w:p w14:paraId="79E29736"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11D5830D" w14:textId="77777777" w:rsidTr="008D4E91">
        <w:trPr>
          <w:trHeight w:val="315"/>
        </w:trPr>
        <w:tc>
          <w:tcPr>
            <w:tcW w:w="3053" w:type="dxa"/>
            <w:noWrap/>
            <w:hideMark/>
          </w:tcPr>
          <w:p w14:paraId="35C634F1" w14:textId="77777777" w:rsidR="009A7430" w:rsidRPr="001569FB" w:rsidRDefault="009A7430" w:rsidP="008D4E91">
            <w:pPr>
              <w:pStyle w:val="ListParagraph"/>
              <w:ind w:left="115"/>
              <w:rPr>
                <w:bCs/>
                <w:sz w:val="20"/>
                <w:szCs w:val="20"/>
              </w:rPr>
            </w:pPr>
            <w:r w:rsidRPr="001569FB">
              <w:rPr>
                <w:bCs/>
                <w:sz w:val="20"/>
                <w:szCs w:val="20"/>
              </w:rPr>
              <w:t>HCC88</w:t>
            </w:r>
          </w:p>
        </w:tc>
        <w:tc>
          <w:tcPr>
            <w:tcW w:w="4412" w:type="dxa"/>
            <w:hideMark/>
          </w:tcPr>
          <w:p w14:paraId="0FE9C3A4" w14:textId="77777777" w:rsidR="009A7430" w:rsidRPr="001569FB" w:rsidRDefault="009A7430" w:rsidP="008D4E91">
            <w:pPr>
              <w:pStyle w:val="ListParagraph"/>
              <w:ind w:left="120"/>
              <w:rPr>
                <w:bCs/>
                <w:sz w:val="20"/>
                <w:szCs w:val="20"/>
              </w:rPr>
            </w:pPr>
            <w:r w:rsidRPr="001569FB">
              <w:rPr>
                <w:bCs/>
                <w:sz w:val="20"/>
                <w:szCs w:val="20"/>
              </w:rPr>
              <w:t>Angina Pectoris</w:t>
            </w:r>
          </w:p>
        </w:tc>
        <w:tc>
          <w:tcPr>
            <w:tcW w:w="1885" w:type="dxa"/>
            <w:noWrap/>
            <w:hideMark/>
          </w:tcPr>
          <w:p w14:paraId="16032600" w14:textId="77777777" w:rsidR="009A7430" w:rsidRPr="001569FB" w:rsidRDefault="009A7430" w:rsidP="008D4E91">
            <w:pPr>
              <w:pStyle w:val="ListParagraph"/>
              <w:ind w:left="33"/>
              <w:jc w:val="center"/>
              <w:rPr>
                <w:bCs/>
                <w:sz w:val="20"/>
                <w:szCs w:val="20"/>
              </w:rPr>
            </w:pPr>
            <w:r w:rsidRPr="001569FB">
              <w:rPr>
                <w:bCs/>
                <w:sz w:val="20"/>
                <w:szCs w:val="20"/>
              </w:rPr>
              <w:t>0.129</w:t>
            </w:r>
          </w:p>
        </w:tc>
      </w:tr>
      <w:tr w:rsidR="009A7430" w:rsidRPr="001569FB" w14:paraId="7E2CC41F" w14:textId="77777777" w:rsidTr="008D4E91">
        <w:trPr>
          <w:trHeight w:val="315"/>
        </w:trPr>
        <w:tc>
          <w:tcPr>
            <w:tcW w:w="3053" w:type="dxa"/>
            <w:noWrap/>
            <w:hideMark/>
          </w:tcPr>
          <w:p w14:paraId="47115447" w14:textId="77777777" w:rsidR="009A7430" w:rsidRPr="001569FB" w:rsidRDefault="009A7430" w:rsidP="008D4E91">
            <w:pPr>
              <w:pStyle w:val="ListParagraph"/>
              <w:ind w:left="115"/>
              <w:rPr>
                <w:bCs/>
                <w:sz w:val="20"/>
                <w:szCs w:val="20"/>
              </w:rPr>
            </w:pPr>
            <w:r w:rsidRPr="001569FB">
              <w:rPr>
                <w:bCs/>
                <w:sz w:val="20"/>
                <w:szCs w:val="20"/>
              </w:rPr>
              <w:t>HCC96</w:t>
            </w:r>
          </w:p>
        </w:tc>
        <w:tc>
          <w:tcPr>
            <w:tcW w:w="4412" w:type="dxa"/>
            <w:hideMark/>
          </w:tcPr>
          <w:p w14:paraId="7EDAF75D" w14:textId="77777777" w:rsidR="009A7430" w:rsidRPr="001569FB" w:rsidRDefault="009A7430" w:rsidP="008D4E91">
            <w:pPr>
              <w:pStyle w:val="ListParagraph"/>
              <w:ind w:left="120"/>
              <w:rPr>
                <w:bCs/>
                <w:sz w:val="20"/>
                <w:szCs w:val="20"/>
              </w:rPr>
            </w:pPr>
            <w:r w:rsidRPr="001569FB">
              <w:rPr>
                <w:bCs/>
                <w:sz w:val="20"/>
                <w:szCs w:val="20"/>
              </w:rPr>
              <w:t>Specified Heart Arrhythmias</w:t>
            </w:r>
          </w:p>
        </w:tc>
        <w:tc>
          <w:tcPr>
            <w:tcW w:w="1885" w:type="dxa"/>
            <w:noWrap/>
            <w:hideMark/>
          </w:tcPr>
          <w:p w14:paraId="3150A73E" w14:textId="77777777" w:rsidR="009A7430" w:rsidRPr="001569FB" w:rsidRDefault="009A7430" w:rsidP="008D4E91">
            <w:pPr>
              <w:pStyle w:val="ListParagraph"/>
              <w:ind w:left="33"/>
              <w:jc w:val="center"/>
              <w:rPr>
                <w:bCs/>
                <w:sz w:val="20"/>
                <w:szCs w:val="20"/>
              </w:rPr>
            </w:pPr>
            <w:r w:rsidRPr="001569FB">
              <w:rPr>
                <w:bCs/>
                <w:sz w:val="20"/>
                <w:szCs w:val="20"/>
              </w:rPr>
              <w:t>0.303</w:t>
            </w:r>
          </w:p>
        </w:tc>
      </w:tr>
      <w:tr w:rsidR="009A7430" w:rsidRPr="001569FB" w14:paraId="1A39D347" w14:textId="77777777" w:rsidTr="008D4E91">
        <w:trPr>
          <w:trHeight w:val="315"/>
        </w:trPr>
        <w:tc>
          <w:tcPr>
            <w:tcW w:w="3053" w:type="dxa"/>
            <w:noWrap/>
            <w:hideMark/>
          </w:tcPr>
          <w:p w14:paraId="166CC7DC" w14:textId="77777777" w:rsidR="009A7430" w:rsidRPr="001569FB" w:rsidRDefault="009A7430" w:rsidP="008D4E91">
            <w:pPr>
              <w:pStyle w:val="ListParagraph"/>
              <w:ind w:left="115"/>
              <w:rPr>
                <w:bCs/>
                <w:sz w:val="20"/>
                <w:szCs w:val="20"/>
              </w:rPr>
            </w:pPr>
            <w:r w:rsidRPr="001569FB">
              <w:rPr>
                <w:bCs/>
                <w:sz w:val="20"/>
                <w:szCs w:val="20"/>
              </w:rPr>
              <w:t>HCC99</w:t>
            </w:r>
          </w:p>
        </w:tc>
        <w:tc>
          <w:tcPr>
            <w:tcW w:w="4412" w:type="dxa"/>
            <w:hideMark/>
          </w:tcPr>
          <w:p w14:paraId="663BFA4B" w14:textId="77777777" w:rsidR="009A7430" w:rsidRPr="001569FB" w:rsidRDefault="009A7430" w:rsidP="008D4E91">
            <w:pPr>
              <w:pStyle w:val="ListParagraph"/>
              <w:ind w:left="120"/>
              <w:rPr>
                <w:bCs/>
                <w:sz w:val="20"/>
                <w:szCs w:val="20"/>
              </w:rPr>
            </w:pPr>
            <w:r w:rsidRPr="001569FB">
              <w:rPr>
                <w:bCs/>
                <w:sz w:val="20"/>
                <w:szCs w:val="20"/>
              </w:rPr>
              <w:t>Cerebral Hemorrhage</w:t>
            </w:r>
          </w:p>
        </w:tc>
        <w:tc>
          <w:tcPr>
            <w:tcW w:w="1885" w:type="dxa"/>
            <w:noWrap/>
            <w:hideMark/>
          </w:tcPr>
          <w:p w14:paraId="25FDF201"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2B16003D" w14:textId="77777777" w:rsidTr="008D4E91">
        <w:trPr>
          <w:trHeight w:val="315"/>
        </w:trPr>
        <w:tc>
          <w:tcPr>
            <w:tcW w:w="3053" w:type="dxa"/>
            <w:noWrap/>
            <w:hideMark/>
          </w:tcPr>
          <w:p w14:paraId="376B0623" w14:textId="77777777" w:rsidR="009A7430" w:rsidRPr="001569FB" w:rsidRDefault="009A7430" w:rsidP="008D4E91">
            <w:pPr>
              <w:pStyle w:val="ListParagraph"/>
              <w:ind w:left="115"/>
              <w:rPr>
                <w:bCs/>
                <w:sz w:val="20"/>
                <w:szCs w:val="20"/>
              </w:rPr>
            </w:pPr>
            <w:r w:rsidRPr="001569FB">
              <w:rPr>
                <w:bCs/>
                <w:sz w:val="20"/>
                <w:szCs w:val="20"/>
              </w:rPr>
              <w:t>HCC100</w:t>
            </w:r>
          </w:p>
        </w:tc>
        <w:tc>
          <w:tcPr>
            <w:tcW w:w="4412" w:type="dxa"/>
            <w:hideMark/>
          </w:tcPr>
          <w:p w14:paraId="1FD74129" w14:textId="77777777" w:rsidR="009A7430" w:rsidRPr="001569FB" w:rsidRDefault="009A7430" w:rsidP="008D4E91">
            <w:pPr>
              <w:pStyle w:val="ListParagraph"/>
              <w:ind w:left="120"/>
              <w:rPr>
                <w:bCs/>
                <w:sz w:val="20"/>
                <w:szCs w:val="20"/>
              </w:rPr>
            </w:pPr>
            <w:r w:rsidRPr="001569FB">
              <w:rPr>
                <w:bCs/>
                <w:sz w:val="20"/>
                <w:szCs w:val="20"/>
              </w:rPr>
              <w:t>Ischemic or Unspecified Stroke</w:t>
            </w:r>
          </w:p>
        </w:tc>
        <w:tc>
          <w:tcPr>
            <w:tcW w:w="1885" w:type="dxa"/>
            <w:noWrap/>
            <w:hideMark/>
          </w:tcPr>
          <w:p w14:paraId="1FEB9092"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631C40FD" w14:textId="77777777" w:rsidTr="008D4E91">
        <w:trPr>
          <w:trHeight w:val="315"/>
        </w:trPr>
        <w:tc>
          <w:tcPr>
            <w:tcW w:w="3053" w:type="dxa"/>
            <w:noWrap/>
            <w:hideMark/>
          </w:tcPr>
          <w:p w14:paraId="0613FDC7" w14:textId="77777777" w:rsidR="009A7430" w:rsidRPr="001569FB" w:rsidRDefault="009A7430" w:rsidP="008D4E91">
            <w:pPr>
              <w:pStyle w:val="ListParagraph"/>
              <w:ind w:left="115"/>
              <w:rPr>
                <w:bCs/>
                <w:sz w:val="20"/>
                <w:szCs w:val="20"/>
              </w:rPr>
            </w:pPr>
            <w:r w:rsidRPr="001569FB">
              <w:rPr>
                <w:bCs/>
                <w:sz w:val="20"/>
                <w:szCs w:val="20"/>
              </w:rPr>
              <w:t>HCC103</w:t>
            </w:r>
          </w:p>
        </w:tc>
        <w:tc>
          <w:tcPr>
            <w:tcW w:w="4412" w:type="dxa"/>
            <w:hideMark/>
          </w:tcPr>
          <w:p w14:paraId="47FB780F" w14:textId="77777777" w:rsidR="009A7430" w:rsidRPr="001569FB" w:rsidRDefault="009A7430" w:rsidP="008D4E91">
            <w:pPr>
              <w:pStyle w:val="ListParagraph"/>
              <w:ind w:left="120"/>
              <w:rPr>
                <w:bCs/>
                <w:sz w:val="20"/>
                <w:szCs w:val="20"/>
              </w:rPr>
            </w:pPr>
            <w:r w:rsidRPr="001569FB">
              <w:rPr>
                <w:bCs/>
                <w:sz w:val="20"/>
                <w:szCs w:val="20"/>
              </w:rPr>
              <w:t>Hemiplegia/Hemiparesis</w:t>
            </w:r>
          </w:p>
        </w:tc>
        <w:tc>
          <w:tcPr>
            <w:tcW w:w="1885" w:type="dxa"/>
            <w:noWrap/>
            <w:hideMark/>
          </w:tcPr>
          <w:p w14:paraId="1539BD34" w14:textId="77777777" w:rsidR="009A7430" w:rsidRPr="001569FB" w:rsidRDefault="009A7430" w:rsidP="008D4E91">
            <w:pPr>
              <w:pStyle w:val="ListParagraph"/>
              <w:ind w:left="33"/>
              <w:jc w:val="center"/>
              <w:rPr>
                <w:bCs/>
                <w:sz w:val="20"/>
                <w:szCs w:val="20"/>
              </w:rPr>
            </w:pPr>
            <w:r w:rsidRPr="001569FB">
              <w:rPr>
                <w:bCs/>
                <w:sz w:val="20"/>
                <w:szCs w:val="20"/>
              </w:rPr>
              <w:t>0.467</w:t>
            </w:r>
          </w:p>
        </w:tc>
      </w:tr>
      <w:tr w:rsidR="009A7430" w:rsidRPr="001569FB" w14:paraId="23C6FCCA" w14:textId="77777777" w:rsidTr="008D4E91">
        <w:trPr>
          <w:trHeight w:val="315"/>
        </w:trPr>
        <w:tc>
          <w:tcPr>
            <w:tcW w:w="3053" w:type="dxa"/>
            <w:noWrap/>
            <w:hideMark/>
          </w:tcPr>
          <w:p w14:paraId="4DF62697" w14:textId="77777777" w:rsidR="009A7430" w:rsidRPr="001569FB" w:rsidRDefault="009A7430" w:rsidP="008D4E91">
            <w:pPr>
              <w:pStyle w:val="ListParagraph"/>
              <w:ind w:left="115"/>
              <w:rPr>
                <w:bCs/>
                <w:sz w:val="20"/>
                <w:szCs w:val="20"/>
              </w:rPr>
            </w:pPr>
            <w:r w:rsidRPr="001569FB">
              <w:rPr>
                <w:bCs/>
                <w:sz w:val="20"/>
                <w:szCs w:val="20"/>
              </w:rPr>
              <w:t>HCC104</w:t>
            </w:r>
          </w:p>
        </w:tc>
        <w:tc>
          <w:tcPr>
            <w:tcW w:w="4412" w:type="dxa"/>
            <w:hideMark/>
          </w:tcPr>
          <w:p w14:paraId="77335248" w14:textId="77777777" w:rsidR="009A7430" w:rsidRPr="001569FB" w:rsidRDefault="009A7430" w:rsidP="008D4E91">
            <w:pPr>
              <w:pStyle w:val="ListParagraph"/>
              <w:ind w:left="120"/>
              <w:rPr>
                <w:bCs/>
                <w:sz w:val="20"/>
                <w:szCs w:val="20"/>
              </w:rPr>
            </w:pPr>
            <w:r w:rsidRPr="001569FB">
              <w:rPr>
                <w:bCs/>
                <w:sz w:val="20"/>
                <w:szCs w:val="20"/>
              </w:rPr>
              <w:t>Monoplegia, Other Paralytic Syndromes</w:t>
            </w:r>
          </w:p>
        </w:tc>
        <w:tc>
          <w:tcPr>
            <w:tcW w:w="1885" w:type="dxa"/>
            <w:noWrap/>
            <w:hideMark/>
          </w:tcPr>
          <w:p w14:paraId="06E895C9" w14:textId="77777777" w:rsidR="009A7430" w:rsidRPr="001569FB" w:rsidRDefault="009A7430" w:rsidP="008D4E91">
            <w:pPr>
              <w:pStyle w:val="ListParagraph"/>
              <w:ind w:left="33"/>
              <w:jc w:val="center"/>
              <w:rPr>
                <w:bCs/>
                <w:sz w:val="20"/>
                <w:szCs w:val="20"/>
              </w:rPr>
            </w:pPr>
            <w:r w:rsidRPr="001569FB">
              <w:rPr>
                <w:bCs/>
                <w:sz w:val="20"/>
                <w:szCs w:val="20"/>
              </w:rPr>
              <w:t>0.307</w:t>
            </w:r>
          </w:p>
        </w:tc>
      </w:tr>
      <w:tr w:rsidR="009A7430" w:rsidRPr="001569FB" w14:paraId="2F018423" w14:textId="77777777" w:rsidTr="008D4E91">
        <w:trPr>
          <w:trHeight w:val="630"/>
        </w:trPr>
        <w:tc>
          <w:tcPr>
            <w:tcW w:w="3053" w:type="dxa"/>
            <w:noWrap/>
            <w:hideMark/>
          </w:tcPr>
          <w:p w14:paraId="23DC90C6" w14:textId="77777777" w:rsidR="009A7430" w:rsidRPr="001569FB" w:rsidRDefault="009A7430" w:rsidP="008D4E91">
            <w:pPr>
              <w:pStyle w:val="ListParagraph"/>
              <w:ind w:left="115"/>
              <w:rPr>
                <w:bCs/>
                <w:sz w:val="20"/>
                <w:szCs w:val="20"/>
              </w:rPr>
            </w:pPr>
            <w:r w:rsidRPr="001569FB">
              <w:rPr>
                <w:bCs/>
                <w:sz w:val="20"/>
                <w:szCs w:val="20"/>
              </w:rPr>
              <w:t>HCC106</w:t>
            </w:r>
          </w:p>
        </w:tc>
        <w:tc>
          <w:tcPr>
            <w:tcW w:w="4412" w:type="dxa"/>
            <w:hideMark/>
          </w:tcPr>
          <w:p w14:paraId="5FAAC907" w14:textId="77777777" w:rsidR="009A7430" w:rsidRPr="001569FB" w:rsidRDefault="009A7430" w:rsidP="008D4E91">
            <w:pPr>
              <w:pStyle w:val="ListParagraph"/>
              <w:ind w:left="120"/>
              <w:rPr>
                <w:bCs/>
                <w:sz w:val="20"/>
                <w:szCs w:val="20"/>
              </w:rPr>
            </w:pPr>
            <w:r w:rsidRPr="001569FB">
              <w:rPr>
                <w:bCs/>
                <w:sz w:val="20"/>
                <w:szCs w:val="20"/>
              </w:rPr>
              <w:t>Atherosclerosis of the Extremities with Ulceration or Gangrene</w:t>
            </w:r>
          </w:p>
        </w:tc>
        <w:tc>
          <w:tcPr>
            <w:tcW w:w="1885" w:type="dxa"/>
            <w:noWrap/>
            <w:hideMark/>
          </w:tcPr>
          <w:p w14:paraId="35EF0E39" w14:textId="77777777" w:rsidR="009A7430" w:rsidRPr="001569FB" w:rsidRDefault="009A7430" w:rsidP="008D4E91">
            <w:pPr>
              <w:pStyle w:val="ListParagraph"/>
              <w:ind w:left="33"/>
              <w:jc w:val="center"/>
              <w:rPr>
                <w:bCs/>
                <w:sz w:val="20"/>
                <w:szCs w:val="20"/>
              </w:rPr>
            </w:pPr>
            <w:r w:rsidRPr="001569FB">
              <w:rPr>
                <w:bCs/>
                <w:sz w:val="20"/>
                <w:szCs w:val="20"/>
              </w:rPr>
              <w:t>1.385</w:t>
            </w:r>
          </w:p>
        </w:tc>
      </w:tr>
      <w:tr w:rsidR="009A7430" w:rsidRPr="001569FB" w14:paraId="20C35E3A" w14:textId="77777777" w:rsidTr="008D4E91">
        <w:trPr>
          <w:trHeight w:val="315"/>
        </w:trPr>
        <w:tc>
          <w:tcPr>
            <w:tcW w:w="3053" w:type="dxa"/>
            <w:noWrap/>
            <w:hideMark/>
          </w:tcPr>
          <w:p w14:paraId="68370DFA" w14:textId="77777777" w:rsidR="009A7430" w:rsidRPr="001569FB" w:rsidRDefault="009A7430" w:rsidP="008D4E91">
            <w:pPr>
              <w:pStyle w:val="ListParagraph"/>
              <w:ind w:left="115"/>
              <w:rPr>
                <w:bCs/>
                <w:sz w:val="20"/>
                <w:szCs w:val="20"/>
              </w:rPr>
            </w:pPr>
            <w:r w:rsidRPr="001569FB">
              <w:rPr>
                <w:bCs/>
                <w:sz w:val="20"/>
                <w:szCs w:val="20"/>
              </w:rPr>
              <w:t>HCC107</w:t>
            </w:r>
          </w:p>
        </w:tc>
        <w:tc>
          <w:tcPr>
            <w:tcW w:w="4412" w:type="dxa"/>
            <w:hideMark/>
          </w:tcPr>
          <w:p w14:paraId="232012CD" w14:textId="77777777" w:rsidR="009A7430" w:rsidRPr="001569FB" w:rsidRDefault="009A7430" w:rsidP="008D4E91">
            <w:pPr>
              <w:pStyle w:val="ListParagraph"/>
              <w:ind w:left="120"/>
              <w:rPr>
                <w:bCs/>
                <w:sz w:val="20"/>
                <w:szCs w:val="20"/>
              </w:rPr>
            </w:pPr>
            <w:r w:rsidRPr="001569FB">
              <w:rPr>
                <w:bCs/>
                <w:sz w:val="20"/>
                <w:szCs w:val="20"/>
              </w:rPr>
              <w:t>Vascular Disease with Complications</w:t>
            </w:r>
          </w:p>
        </w:tc>
        <w:tc>
          <w:tcPr>
            <w:tcW w:w="1885" w:type="dxa"/>
            <w:noWrap/>
            <w:hideMark/>
          </w:tcPr>
          <w:p w14:paraId="207E1A4A" w14:textId="77777777" w:rsidR="009A7430" w:rsidRPr="001569FB" w:rsidRDefault="009A7430" w:rsidP="008D4E91">
            <w:pPr>
              <w:pStyle w:val="ListParagraph"/>
              <w:ind w:left="33"/>
              <w:jc w:val="center"/>
              <w:rPr>
                <w:bCs/>
                <w:sz w:val="20"/>
                <w:szCs w:val="20"/>
              </w:rPr>
            </w:pPr>
            <w:r w:rsidRPr="001569FB">
              <w:rPr>
                <w:bCs/>
                <w:sz w:val="20"/>
                <w:szCs w:val="20"/>
              </w:rPr>
              <w:t>0.431</w:t>
            </w:r>
          </w:p>
        </w:tc>
      </w:tr>
      <w:tr w:rsidR="009A7430" w:rsidRPr="001569FB" w14:paraId="7A7DF398" w14:textId="77777777" w:rsidTr="008D4E91">
        <w:trPr>
          <w:trHeight w:val="315"/>
        </w:trPr>
        <w:tc>
          <w:tcPr>
            <w:tcW w:w="3053" w:type="dxa"/>
            <w:noWrap/>
            <w:hideMark/>
          </w:tcPr>
          <w:p w14:paraId="0202ACA4" w14:textId="77777777" w:rsidR="009A7430" w:rsidRPr="001569FB" w:rsidRDefault="009A7430" w:rsidP="008D4E91">
            <w:pPr>
              <w:pStyle w:val="ListParagraph"/>
              <w:ind w:left="115"/>
              <w:rPr>
                <w:bCs/>
                <w:sz w:val="20"/>
                <w:szCs w:val="20"/>
              </w:rPr>
            </w:pPr>
            <w:r w:rsidRPr="001569FB">
              <w:rPr>
                <w:bCs/>
                <w:sz w:val="20"/>
                <w:szCs w:val="20"/>
              </w:rPr>
              <w:t>HCC108</w:t>
            </w:r>
          </w:p>
        </w:tc>
        <w:tc>
          <w:tcPr>
            <w:tcW w:w="4412" w:type="dxa"/>
            <w:hideMark/>
          </w:tcPr>
          <w:p w14:paraId="3BA5D3B0" w14:textId="77777777" w:rsidR="009A7430" w:rsidRPr="001569FB" w:rsidRDefault="009A7430" w:rsidP="008D4E91">
            <w:pPr>
              <w:pStyle w:val="ListParagraph"/>
              <w:ind w:left="120"/>
              <w:rPr>
                <w:bCs/>
                <w:sz w:val="20"/>
                <w:szCs w:val="20"/>
              </w:rPr>
            </w:pPr>
            <w:r w:rsidRPr="001569FB">
              <w:rPr>
                <w:bCs/>
                <w:sz w:val="20"/>
                <w:szCs w:val="20"/>
              </w:rPr>
              <w:t>Vascular Disease</w:t>
            </w:r>
          </w:p>
        </w:tc>
        <w:tc>
          <w:tcPr>
            <w:tcW w:w="1885" w:type="dxa"/>
            <w:noWrap/>
            <w:hideMark/>
          </w:tcPr>
          <w:p w14:paraId="63B6E50C" w14:textId="77777777" w:rsidR="009A7430" w:rsidRPr="001569FB" w:rsidRDefault="009A7430" w:rsidP="008D4E91">
            <w:pPr>
              <w:pStyle w:val="ListParagraph"/>
              <w:ind w:left="33"/>
              <w:jc w:val="center"/>
              <w:rPr>
                <w:bCs/>
                <w:sz w:val="20"/>
                <w:szCs w:val="20"/>
              </w:rPr>
            </w:pPr>
            <w:r w:rsidRPr="001569FB">
              <w:rPr>
                <w:bCs/>
                <w:sz w:val="20"/>
                <w:szCs w:val="20"/>
              </w:rPr>
              <w:t>0.271</w:t>
            </w:r>
          </w:p>
        </w:tc>
      </w:tr>
      <w:tr w:rsidR="009A7430" w:rsidRPr="001569FB" w14:paraId="48EBC713" w14:textId="77777777" w:rsidTr="008D4E91">
        <w:trPr>
          <w:trHeight w:val="315"/>
        </w:trPr>
        <w:tc>
          <w:tcPr>
            <w:tcW w:w="3053" w:type="dxa"/>
            <w:noWrap/>
            <w:hideMark/>
          </w:tcPr>
          <w:p w14:paraId="4CF7002F" w14:textId="77777777" w:rsidR="009A7430" w:rsidRPr="001569FB" w:rsidRDefault="009A7430" w:rsidP="008D4E91">
            <w:pPr>
              <w:pStyle w:val="ListParagraph"/>
              <w:ind w:left="115"/>
              <w:rPr>
                <w:bCs/>
                <w:sz w:val="20"/>
                <w:szCs w:val="20"/>
              </w:rPr>
            </w:pPr>
            <w:r w:rsidRPr="001569FB">
              <w:rPr>
                <w:bCs/>
                <w:sz w:val="20"/>
                <w:szCs w:val="20"/>
              </w:rPr>
              <w:t>HCC110</w:t>
            </w:r>
          </w:p>
        </w:tc>
        <w:tc>
          <w:tcPr>
            <w:tcW w:w="4412" w:type="dxa"/>
            <w:hideMark/>
          </w:tcPr>
          <w:p w14:paraId="3ACEEF8E" w14:textId="77777777" w:rsidR="009A7430" w:rsidRPr="001569FB" w:rsidRDefault="009A7430" w:rsidP="008D4E91">
            <w:pPr>
              <w:pStyle w:val="ListParagraph"/>
              <w:ind w:left="120"/>
              <w:rPr>
                <w:bCs/>
                <w:sz w:val="20"/>
                <w:szCs w:val="20"/>
              </w:rPr>
            </w:pPr>
            <w:r w:rsidRPr="001569FB">
              <w:rPr>
                <w:bCs/>
                <w:sz w:val="20"/>
                <w:szCs w:val="20"/>
              </w:rPr>
              <w:t>Cystic Fibrosis</w:t>
            </w:r>
          </w:p>
        </w:tc>
        <w:tc>
          <w:tcPr>
            <w:tcW w:w="1885" w:type="dxa"/>
            <w:noWrap/>
            <w:hideMark/>
          </w:tcPr>
          <w:p w14:paraId="2FC8E451" w14:textId="77777777" w:rsidR="009A7430" w:rsidRPr="001569FB" w:rsidRDefault="009A7430" w:rsidP="008D4E91">
            <w:pPr>
              <w:pStyle w:val="ListParagraph"/>
              <w:ind w:left="33"/>
              <w:jc w:val="center"/>
              <w:rPr>
                <w:bCs/>
                <w:sz w:val="20"/>
                <w:szCs w:val="20"/>
              </w:rPr>
            </w:pPr>
            <w:r w:rsidRPr="001569FB">
              <w:rPr>
                <w:bCs/>
                <w:sz w:val="20"/>
                <w:szCs w:val="20"/>
              </w:rPr>
              <w:t>0.494</w:t>
            </w:r>
          </w:p>
        </w:tc>
      </w:tr>
      <w:tr w:rsidR="009A7430" w:rsidRPr="001569FB" w14:paraId="2F1A1908" w14:textId="77777777" w:rsidTr="008D4E91">
        <w:trPr>
          <w:trHeight w:val="315"/>
        </w:trPr>
        <w:tc>
          <w:tcPr>
            <w:tcW w:w="3053" w:type="dxa"/>
            <w:noWrap/>
            <w:hideMark/>
          </w:tcPr>
          <w:p w14:paraId="184100F7" w14:textId="77777777" w:rsidR="009A7430" w:rsidRPr="001569FB" w:rsidRDefault="009A7430" w:rsidP="008D4E91">
            <w:pPr>
              <w:pStyle w:val="ListParagraph"/>
              <w:ind w:left="115"/>
              <w:rPr>
                <w:bCs/>
                <w:sz w:val="20"/>
                <w:szCs w:val="20"/>
              </w:rPr>
            </w:pPr>
            <w:r w:rsidRPr="001569FB">
              <w:rPr>
                <w:bCs/>
                <w:sz w:val="20"/>
                <w:szCs w:val="20"/>
              </w:rPr>
              <w:t>HCC111</w:t>
            </w:r>
          </w:p>
        </w:tc>
        <w:tc>
          <w:tcPr>
            <w:tcW w:w="4412" w:type="dxa"/>
            <w:hideMark/>
          </w:tcPr>
          <w:p w14:paraId="10CECE23" w14:textId="77777777" w:rsidR="009A7430" w:rsidRPr="001569FB" w:rsidRDefault="009A7430" w:rsidP="008D4E91">
            <w:pPr>
              <w:pStyle w:val="ListParagraph"/>
              <w:ind w:left="120"/>
              <w:rPr>
                <w:bCs/>
                <w:sz w:val="20"/>
                <w:szCs w:val="20"/>
              </w:rPr>
            </w:pPr>
            <w:r w:rsidRPr="001569FB">
              <w:rPr>
                <w:bCs/>
                <w:sz w:val="20"/>
                <w:szCs w:val="20"/>
              </w:rPr>
              <w:t>Chronic Obstructive Pulmonary Disease</w:t>
            </w:r>
          </w:p>
        </w:tc>
        <w:tc>
          <w:tcPr>
            <w:tcW w:w="1885" w:type="dxa"/>
            <w:noWrap/>
            <w:hideMark/>
          </w:tcPr>
          <w:p w14:paraId="68C6D65A" w14:textId="77777777" w:rsidR="009A7430" w:rsidRPr="001569FB" w:rsidRDefault="009A7430" w:rsidP="008D4E91">
            <w:pPr>
              <w:pStyle w:val="ListParagraph"/>
              <w:ind w:left="33"/>
              <w:jc w:val="center"/>
              <w:rPr>
                <w:bCs/>
                <w:sz w:val="20"/>
                <w:szCs w:val="20"/>
              </w:rPr>
            </w:pPr>
            <w:r w:rsidRPr="001569FB">
              <w:rPr>
                <w:bCs/>
                <w:sz w:val="20"/>
                <w:szCs w:val="20"/>
              </w:rPr>
              <w:t>0.313</w:t>
            </w:r>
          </w:p>
        </w:tc>
      </w:tr>
      <w:tr w:rsidR="009A7430" w:rsidRPr="001569FB" w14:paraId="4E34ABAF" w14:textId="77777777" w:rsidTr="008D4E91">
        <w:trPr>
          <w:trHeight w:val="315"/>
        </w:trPr>
        <w:tc>
          <w:tcPr>
            <w:tcW w:w="3053" w:type="dxa"/>
            <w:noWrap/>
            <w:hideMark/>
          </w:tcPr>
          <w:p w14:paraId="173F15AF" w14:textId="77777777" w:rsidR="009A7430" w:rsidRPr="001569FB" w:rsidRDefault="009A7430" w:rsidP="008D4E91">
            <w:pPr>
              <w:pStyle w:val="ListParagraph"/>
              <w:ind w:left="115"/>
              <w:rPr>
                <w:bCs/>
                <w:sz w:val="20"/>
                <w:szCs w:val="20"/>
              </w:rPr>
            </w:pPr>
            <w:r w:rsidRPr="001569FB">
              <w:rPr>
                <w:bCs/>
                <w:sz w:val="20"/>
                <w:szCs w:val="20"/>
              </w:rPr>
              <w:t>HCC112</w:t>
            </w:r>
          </w:p>
        </w:tc>
        <w:tc>
          <w:tcPr>
            <w:tcW w:w="4412" w:type="dxa"/>
            <w:hideMark/>
          </w:tcPr>
          <w:p w14:paraId="6A2FA2E1" w14:textId="77777777" w:rsidR="009A7430" w:rsidRPr="001569FB" w:rsidRDefault="009A7430" w:rsidP="008D4E91">
            <w:pPr>
              <w:pStyle w:val="ListParagraph"/>
              <w:ind w:left="120"/>
              <w:rPr>
                <w:bCs/>
                <w:sz w:val="20"/>
                <w:szCs w:val="20"/>
              </w:rPr>
            </w:pPr>
            <w:r w:rsidRPr="001569FB">
              <w:rPr>
                <w:bCs/>
                <w:sz w:val="20"/>
                <w:szCs w:val="20"/>
              </w:rPr>
              <w:t>Fibrosis of Lung and Other Chronic Lung Disorders</w:t>
            </w:r>
          </w:p>
        </w:tc>
        <w:tc>
          <w:tcPr>
            <w:tcW w:w="1885" w:type="dxa"/>
            <w:noWrap/>
            <w:hideMark/>
          </w:tcPr>
          <w:p w14:paraId="40887671" w14:textId="77777777" w:rsidR="009A7430" w:rsidRPr="001569FB" w:rsidRDefault="009A7430" w:rsidP="008D4E91">
            <w:pPr>
              <w:pStyle w:val="ListParagraph"/>
              <w:ind w:left="33"/>
              <w:jc w:val="center"/>
              <w:rPr>
                <w:bCs/>
                <w:sz w:val="20"/>
                <w:szCs w:val="20"/>
              </w:rPr>
            </w:pPr>
            <w:r w:rsidRPr="001569FB">
              <w:rPr>
                <w:bCs/>
                <w:sz w:val="20"/>
                <w:szCs w:val="20"/>
              </w:rPr>
              <w:t>0.281</w:t>
            </w:r>
          </w:p>
        </w:tc>
      </w:tr>
      <w:tr w:rsidR="009A7430" w:rsidRPr="001569FB" w14:paraId="7F2C2273" w14:textId="77777777" w:rsidTr="008D4E91">
        <w:trPr>
          <w:trHeight w:val="315"/>
        </w:trPr>
        <w:tc>
          <w:tcPr>
            <w:tcW w:w="3053" w:type="dxa"/>
            <w:noWrap/>
            <w:hideMark/>
          </w:tcPr>
          <w:p w14:paraId="55AB4239" w14:textId="77777777" w:rsidR="009A7430" w:rsidRPr="001569FB" w:rsidRDefault="009A7430" w:rsidP="008D4E91">
            <w:pPr>
              <w:pStyle w:val="ListParagraph"/>
              <w:ind w:left="115"/>
              <w:rPr>
                <w:bCs/>
                <w:sz w:val="20"/>
                <w:szCs w:val="20"/>
              </w:rPr>
            </w:pPr>
            <w:r w:rsidRPr="001569FB">
              <w:rPr>
                <w:bCs/>
                <w:sz w:val="20"/>
                <w:szCs w:val="20"/>
              </w:rPr>
              <w:t>HCC114</w:t>
            </w:r>
          </w:p>
        </w:tc>
        <w:tc>
          <w:tcPr>
            <w:tcW w:w="4412" w:type="dxa"/>
            <w:hideMark/>
          </w:tcPr>
          <w:p w14:paraId="261862E5" w14:textId="77777777" w:rsidR="009A7430" w:rsidRPr="001569FB" w:rsidRDefault="009A7430" w:rsidP="008D4E91">
            <w:pPr>
              <w:pStyle w:val="ListParagraph"/>
              <w:ind w:left="120"/>
              <w:rPr>
                <w:bCs/>
                <w:sz w:val="20"/>
                <w:szCs w:val="20"/>
              </w:rPr>
            </w:pPr>
            <w:r w:rsidRPr="001569FB">
              <w:rPr>
                <w:bCs/>
                <w:sz w:val="20"/>
                <w:szCs w:val="20"/>
              </w:rPr>
              <w:t>Aspiration and Specified Bacterial Pneumonias</w:t>
            </w:r>
          </w:p>
        </w:tc>
        <w:tc>
          <w:tcPr>
            <w:tcW w:w="1885" w:type="dxa"/>
            <w:noWrap/>
            <w:hideMark/>
          </w:tcPr>
          <w:p w14:paraId="1096AB09" w14:textId="77777777" w:rsidR="009A7430" w:rsidRPr="001569FB" w:rsidRDefault="009A7430" w:rsidP="008D4E91">
            <w:pPr>
              <w:pStyle w:val="ListParagraph"/>
              <w:ind w:left="33"/>
              <w:jc w:val="center"/>
              <w:rPr>
                <w:bCs/>
                <w:sz w:val="20"/>
                <w:szCs w:val="20"/>
              </w:rPr>
            </w:pPr>
            <w:r w:rsidRPr="001569FB">
              <w:rPr>
                <w:bCs/>
                <w:sz w:val="20"/>
                <w:szCs w:val="20"/>
              </w:rPr>
              <w:t>0.596</w:t>
            </w:r>
          </w:p>
        </w:tc>
      </w:tr>
      <w:tr w:rsidR="009A7430" w:rsidRPr="001569FB" w14:paraId="1F0260A9" w14:textId="77777777" w:rsidTr="008D4E91">
        <w:trPr>
          <w:trHeight w:val="315"/>
        </w:trPr>
        <w:tc>
          <w:tcPr>
            <w:tcW w:w="3053" w:type="dxa"/>
            <w:noWrap/>
            <w:hideMark/>
          </w:tcPr>
          <w:p w14:paraId="5B32A018" w14:textId="77777777" w:rsidR="009A7430" w:rsidRPr="001569FB" w:rsidRDefault="009A7430" w:rsidP="008D4E91">
            <w:pPr>
              <w:pStyle w:val="ListParagraph"/>
              <w:ind w:left="115"/>
              <w:rPr>
                <w:bCs/>
                <w:sz w:val="20"/>
                <w:szCs w:val="20"/>
              </w:rPr>
            </w:pPr>
            <w:r w:rsidRPr="001569FB">
              <w:rPr>
                <w:bCs/>
                <w:sz w:val="20"/>
                <w:szCs w:val="20"/>
              </w:rPr>
              <w:t>HCC115</w:t>
            </w:r>
          </w:p>
        </w:tc>
        <w:tc>
          <w:tcPr>
            <w:tcW w:w="4412" w:type="dxa"/>
            <w:hideMark/>
          </w:tcPr>
          <w:p w14:paraId="40349E8C" w14:textId="77777777" w:rsidR="009A7430" w:rsidRPr="001569FB" w:rsidRDefault="009A7430" w:rsidP="008D4E91">
            <w:pPr>
              <w:pStyle w:val="ListParagraph"/>
              <w:ind w:left="120"/>
              <w:rPr>
                <w:bCs/>
                <w:sz w:val="20"/>
                <w:szCs w:val="20"/>
              </w:rPr>
            </w:pPr>
            <w:r w:rsidRPr="001569FB">
              <w:rPr>
                <w:bCs/>
                <w:sz w:val="20"/>
                <w:szCs w:val="20"/>
              </w:rPr>
              <w:t>Pneumococcal Pneumonia, Empyema, Lung Abscess</w:t>
            </w:r>
          </w:p>
        </w:tc>
        <w:tc>
          <w:tcPr>
            <w:tcW w:w="1885" w:type="dxa"/>
            <w:noWrap/>
            <w:hideMark/>
          </w:tcPr>
          <w:p w14:paraId="3DB334EE" w14:textId="77777777" w:rsidR="009A7430" w:rsidRPr="001569FB" w:rsidRDefault="009A7430" w:rsidP="008D4E91">
            <w:pPr>
              <w:pStyle w:val="ListParagraph"/>
              <w:ind w:left="33"/>
              <w:jc w:val="center"/>
              <w:rPr>
                <w:bCs/>
                <w:sz w:val="20"/>
                <w:szCs w:val="20"/>
              </w:rPr>
            </w:pPr>
            <w:r w:rsidRPr="001569FB">
              <w:rPr>
                <w:bCs/>
                <w:sz w:val="20"/>
                <w:szCs w:val="20"/>
              </w:rPr>
              <w:t>0.155</w:t>
            </w:r>
          </w:p>
        </w:tc>
      </w:tr>
      <w:tr w:rsidR="009A7430" w:rsidRPr="001569FB" w14:paraId="2D4CA0ED" w14:textId="77777777" w:rsidTr="008D4E91">
        <w:trPr>
          <w:trHeight w:val="630"/>
        </w:trPr>
        <w:tc>
          <w:tcPr>
            <w:tcW w:w="3053" w:type="dxa"/>
            <w:noWrap/>
            <w:hideMark/>
          </w:tcPr>
          <w:p w14:paraId="3942F0D6" w14:textId="77777777" w:rsidR="009A7430" w:rsidRPr="001569FB" w:rsidRDefault="009A7430" w:rsidP="008D4E91">
            <w:pPr>
              <w:pStyle w:val="ListParagraph"/>
              <w:ind w:left="115"/>
              <w:rPr>
                <w:bCs/>
                <w:sz w:val="20"/>
                <w:szCs w:val="20"/>
              </w:rPr>
            </w:pPr>
            <w:r w:rsidRPr="001569FB">
              <w:rPr>
                <w:bCs/>
                <w:sz w:val="20"/>
                <w:szCs w:val="20"/>
              </w:rPr>
              <w:t>HCC122</w:t>
            </w:r>
          </w:p>
        </w:tc>
        <w:tc>
          <w:tcPr>
            <w:tcW w:w="4412" w:type="dxa"/>
            <w:hideMark/>
          </w:tcPr>
          <w:p w14:paraId="581E197B" w14:textId="77777777" w:rsidR="009A7430" w:rsidRPr="001569FB" w:rsidRDefault="009A7430" w:rsidP="008D4E91">
            <w:pPr>
              <w:pStyle w:val="ListParagraph"/>
              <w:ind w:left="120"/>
              <w:rPr>
                <w:bCs/>
                <w:sz w:val="20"/>
                <w:szCs w:val="20"/>
              </w:rPr>
            </w:pPr>
            <w:r w:rsidRPr="001569FB">
              <w:rPr>
                <w:bCs/>
                <w:sz w:val="20"/>
                <w:szCs w:val="20"/>
              </w:rPr>
              <w:t>Proliferative Diabetic Retinopathy and Vitreous Hemorrhage</w:t>
            </w:r>
          </w:p>
        </w:tc>
        <w:tc>
          <w:tcPr>
            <w:tcW w:w="1885" w:type="dxa"/>
            <w:noWrap/>
            <w:hideMark/>
          </w:tcPr>
          <w:p w14:paraId="15C4786D" w14:textId="77777777" w:rsidR="009A7430" w:rsidRPr="001569FB" w:rsidRDefault="009A7430" w:rsidP="008D4E91">
            <w:pPr>
              <w:pStyle w:val="ListParagraph"/>
              <w:ind w:left="33"/>
              <w:jc w:val="center"/>
              <w:rPr>
                <w:bCs/>
                <w:sz w:val="20"/>
                <w:szCs w:val="20"/>
              </w:rPr>
            </w:pPr>
            <w:r w:rsidRPr="001569FB">
              <w:rPr>
                <w:bCs/>
                <w:sz w:val="20"/>
                <w:szCs w:val="20"/>
              </w:rPr>
              <w:t>0.248</w:t>
            </w:r>
          </w:p>
        </w:tc>
      </w:tr>
      <w:tr w:rsidR="009A7430" w:rsidRPr="001569FB" w14:paraId="5753A557" w14:textId="77777777" w:rsidTr="008D4E91">
        <w:trPr>
          <w:trHeight w:val="315"/>
        </w:trPr>
        <w:tc>
          <w:tcPr>
            <w:tcW w:w="3053" w:type="dxa"/>
            <w:noWrap/>
            <w:hideMark/>
          </w:tcPr>
          <w:p w14:paraId="6FC667D5" w14:textId="77777777" w:rsidR="009A7430" w:rsidRPr="001569FB" w:rsidRDefault="009A7430" w:rsidP="008D4E91">
            <w:pPr>
              <w:pStyle w:val="ListParagraph"/>
              <w:ind w:left="115"/>
              <w:rPr>
                <w:bCs/>
                <w:sz w:val="20"/>
                <w:szCs w:val="20"/>
              </w:rPr>
            </w:pPr>
            <w:r w:rsidRPr="001569FB">
              <w:rPr>
                <w:bCs/>
                <w:sz w:val="20"/>
                <w:szCs w:val="20"/>
              </w:rPr>
              <w:t>HCC124</w:t>
            </w:r>
          </w:p>
        </w:tc>
        <w:tc>
          <w:tcPr>
            <w:tcW w:w="4412" w:type="dxa"/>
            <w:hideMark/>
          </w:tcPr>
          <w:p w14:paraId="298A3803" w14:textId="77777777" w:rsidR="009A7430" w:rsidRPr="001569FB" w:rsidRDefault="009A7430" w:rsidP="008D4E91">
            <w:pPr>
              <w:pStyle w:val="ListParagraph"/>
              <w:ind w:left="120"/>
              <w:rPr>
                <w:bCs/>
                <w:sz w:val="20"/>
                <w:szCs w:val="20"/>
              </w:rPr>
            </w:pPr>
            <w:r w:rsidRPr="001569FB">
              <w:rPr>
                <w:bCs/>
                <w:sz w:val="20"/>
                <w:szCs w:val="20"/>
              </w:rPr>
              <w:t>Exudative Macular Degeneration</w:t>
            </w:r>
          </w:p>
        </w:tc>
        <w:tc>
          <w:tcPr>
            <w:tcW w:w="1885" w:type="dxa"/>
            <w:noWrap/>
            <w:hideMark/>
          </w:tcPr>
          <w:p w14:paraId="369398A4" w14:textId="77777777" w:rsidR="009A7430" w:rsidRPr="001569FB" w:rsidRDefault="009A7430" w:rsidP="008D4E91">
            <w:pPr>
              <w:pStyle w:val="ListParagraph"/>
              <w:ind w:left="33"/>
              <w:jc w:val="center"/>
              <w:rPr>
                <w:bCs/>
                <w:sz w:val="20"/>
                <w:szCs w:val="20"/>
              </w:rPr>
            </w:pPr>
            <w:r w:rsidRPr="001569FB">
              <w:rPr>
                <w:bCs/>
                <w:sz w:val="20"/>
                <w:szCs w:val="20"/>
              </w:rPr>
              <w:t>0.512</w:t>
            </w:r>
          </w:p>
        </w:tc>
      </w:tr>
      <w:tr w:rsidR="009A7430" w:rsidRPr="001569FB" w14:paraId="776B90AE" w14:textId="77777777" w:rsidTr="008D4E91">
        <w:trPr>
          <w:trHeight w:val="375"/>
        </w:trPr>
        <w:tc>
          <w:tcPr>
            <w:tcW w:w="3053" w:type="dxa"/>
            <w:noWrap/>
            <w:hideMark/>
          </w:tcPr>
          <w:p w14:paraId="3EFAEBAC" w14:textId="77777777" w:rsidR="009A7430" w:rsidRPr="001569FB" w:rsidRDefault="009A7430" w:rsidP="008D4E91">
            <w:pPr>
              <w:pStyle w:val="ListParagraph"/>
              <w:ind w:left="115"/>
              <w:rPr>
                <w:bCs/>
                <w:sz w:val="20"/>
                <w:szCs w:val="20"/>
              </w:rPr>
            </w:pPr>
            <w:r w:rsidRPr="001569FB">
              <w:rPr>
                <w:bCs/>
                <w:sz w:val="20"/>
                <w:szCs w:val="20"/>
              </w:rPr>
              <w:t xml:space="preserve">HCC134 </w:t>
            </w:r>
          </w:p>
        </w:tc>
        <w:tc>
          <w:tcPr>
            <w:tcW w:w="4412" w:type="dxa"/>
            <w:hideMark/>
          </w:tcPr>
          <w:p w14:paraId="3B3002FF" w14:textId="77777777" w:rsidR="009A7430" w:rsidRPr="001569FB" w:rsidRDefault="009A7430" w:rsidP="008D4E91">
            <w:pPr>
              <w:pStyle w:val="ListParagraph"/>
              <w:ind w:left="120"/>
              <w:rPr>
                <w:bCs/>
                <w:sz w:val="20"/>
                <w:szCs w:val="20"/>
              </w:rPr>
            </w:pPr>
            <w:r w:rsidRPr="001569FB">
              <w:rPr>
                <w:bCs/>
                <w:sz w:val="20"/>
                <w:szCs w:val="20"/>
              </w:rPr>
              <w:t>Dialysis Status</w:t>
            </w:r>
          </w:p>
        </w:tc>
        <w:tc>
          <w:tcPr>
            <w:tcW w:w="1885" w:type="dxa"/>
            <w:noWrap/>
            <w:hideMark/>
          </w:tcPr>
          <w:p w14:paraId="3BEFBE7D"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3A5778AE" w14:textId="77777777" w:rsidTr="008D4E91">
        <w:trPr>
          <w:trHeight w:val="315"/>
        </w:trPr>
        <w:tc>
          <w:tcPr>
            <w:tcW w:w="3053" w:type="dxa"/>
            <w:noWrap/>
            <w:hideMark/>
          </w:tcPr>
          <w:p w14:paraId="749A6A27" w14:textId="77777777" w:rsidR="009A7430" w:rsidRPr="001569FB" w:rsidRDefault="009A7430" w:rsidP="008D4E91">
            <w:pPr>
              <w:pStyle w:val="ListParagraph"/>
              <w:ind w:left="115"/>
              <w:rPr>
                <w:bCs/>
                <w:sz w:val="20"/>
                <w:szCs w:val="20"/>
              </w:rPr>
            </w:pPr>
            <w:r w:rsidRPr="001569FB">
              <w:rPr>
                <w:bCs/>
                <w:sz w:val="20"/>
                <w:szCs w:val="20"/>
              </w:rPr>
              <w:t>HCC135</w:t>
            </w:r>
          </w:p>
        </w:tc>
        <w:tc>
          <w:tcPr>
            <w:tcW w:w="4412" w:type="dxa"/>
            <w:hideMark/>
          </w:tcPr>
          <w:p w14:paraId="62E75F9D" w14:textId="77777777" w:rsidR="009A7430" w:rsidRPr="001569FB" w:rsidRDefault="009A7430" w:rsidP="008D4E91">
            <w:pPr>
              <w:pStyle w:val="ListParagraph"/>
              <w:ind w:left="120"/>
              <w:rPr>
                <w:bCs/>
                <w:sz w:val="20"/>
                <w:szCs w:val="20"/>
              </w:rPr>
            </w:pPr>
            <w:r w:rsidRPr="001569FB">
              <w:rPr>
                <w:bCs/>
                <w:sz w:val="20"/>
                <w:szCs w:val="20"/>
              </w:rPr>
              <w:t>Acute Renal Failure</w:t>
            </w:r>
          </w:p>
        </w:tc>
        <w:tc>
          <w:tcPr>
            <w:tcW w:w="1885" w:type="dxa"/>
            <w:noWrap/>
            <w:hideMark/>
          </w:tcPr>
          <w:p w14:paraId="614BF7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6545D93D" w14:textId="77777777" w:rsidTr="008D4E91">
        <w:trPr>
          <w:trHeight w:val="315"/>
        </w:trPr>
        <w:tc>
          <w:tcPr>
            <w:tcW w:w="3053" w:type="dxa"/>
            <w:noWrap/>
            <w:hideMark/>
          </w:tcPr>
          <w:p w14:paraId="48BD8F8A" w14:textId="77777777" w:rsidR="009A7430" w:rsidRPr="001569FB" w:rsidRDefault="009A7430" w:rsidP="008D4E91">
            <w:pPr>
              <w:pStyle w:val="ListParagraph"/>
              <w:ind w:left="115"/>
              <w:rPr>
                <w:bCs/>
                <w:sz w:val="20"/>
                <w:szCs w:val="20"/>
              </w:rPr>
            </w:pPr>
            <w:r w:rsidRPr="001569FB">
              <w:rPr>
                <w:bCs/>
                <w:sz w:val="20"/>
                <w:szCs w:val="20"/>
              </w:rPr>
              <w:t>HCC136</w:t>
            </w:r>
          </w:p>
        </w:tc>
        <w:tc>
          <w:tcPr>
            <w:tcW w:w="4412" w:type="dxa"/>
            <w:hideMark/>
          </w:tcPr>
          <w:p w14:paraId="2B38834A" w14:textId="77777777" w:rsidR="009A7430" w:rsidRPr="001569FB" w:rsidRDefault="009A7430" w:rsidP="008D4E91">
            <w:pPr>
              <w:pStyle w:val="ListParagraph"/>
              <w:ind w:left="120"/>
              <w:rPr>
                <w:bCs/>
                <w:sz w:val="20"/>
                <w:szCs w:val="20"/>
              </w:rPr>
            </w:pPr>
            <w:r w:rsidRPr="001569FB">
              <w:rPr>
                <w:bCs/>
                <w:sz w:val="20"/>
                <w:szCs w:val="20"/>
              </w:rPr>
              <w:t>Chronic Kidney Disease, Stage 5</w:t>
            </w:r>
          </w:p>
        </w:tc>
        <w:tc>
          <w:tcPr>
            <w:tcW w:w="1885" w:type="dxa"/>
            <w:noWrap/>
            <w:hideMark/>
          </w:tcPr>
          <w:p w14:paraId="321185C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59DABB4" w14:textId="77777777" w:rsidTr="008D4E91">
        <w:trPr>
          <w:trHeight w:val="315"/>
        </w:trPr>
        <w:tc>
          <w:tcPr>
            <w:tcW w:w="3053" w:type="dxa"/>
            <w:noWrap/>
            <w:hideMark/>
          </w:tcPr>
          <w:p w14:paraId="43ABF0F8" w14:textId="77777777" w:rsidR="009A7430" w:rsidRPr="001569FB" w:rsidRDefault="009A7430" w:rsidP="008D4E91">
            <w:pPr>
              <w:pStyle w:val="ListParagraph"/>
              <w:ind w:left="115"/>
              <w:rPr>
                <w:bCs/>
                <w:sz w:val="20"/>
                <w:szCs w:val="20"/>
              </w:rPr>
            </w:pPr>
            <w:r w:rsidRPr="001569FB">
              <w:rPr>
                <w:bCs/>
                <w:sz w:val="20"/>
                <w:szCs w:val="20"/>
              </w:rPr>
              <w:t>HCC137</w:t>
            </w:r>
          </w:p>
        </w:tc>
        <w:tc>
          <w:tcPr>
            <w:tcW w:w="4412" w:type="dxa"/>
            <w:hideMark/>
          </w:tcPr>
          <w:p w14:paraId="364844F1" w14:textId="77777777" w:rsidR="009A7430" w:rsidRPr="001569FB" w:rsidRDefault="009A7430" w:rsidP="008D4E91">
            <w:pPr>
              <w:pStyle w:val="ListParagraph"/>
              <w:ind w:left="120"/>
              <w:rPr>
                <w:bCs/>
                <w:sz w:val="20"/>
                <w:szCs w:val="20"/>
              </w:rPr>
            </w:pPr>
            <w:r w:rsidRPr="001569FB">
              <w:rPr>
                <w:bCs/>
                <w:sz w:val="20"/>
                <w:szCs w:val="20"/>
              </w:rPr>
              <w:t>Chronic Kidney Disease, Severe (Stage 4)</w:t>
            </w:r>
          </w:p>
        </w:tc>
        <w:tc>
          <w:tcPr>
            <w:tcW w:w="1885" w:type="dxa"/>
            <w:noWrap/>
            <w:hideMark/>
          </w:tcPr>
          <w:p w14:paraId="0D89AC2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3EA178A" w14:textId="77777777" w:rsidTr="008D4E91">
        <w:trPr>
          <w:trHeight w:val="315"/>
        </w:trPr>
        <w:tc>
          <w:tcPr>
            <w:tcW w:w="3053" w:type="dxa"/>
            <w:noWrap/>
            <w:hideMark/>
          </w:tcPr>
          <w:p w14:paraId="3CD1154C" w14:textId="77777777" w:rsidR="009A7430" w:rsidRPr="001569FB" w:rsidRDefault="009A7430" w:rsidP="008D4E91">
            <w:pPr>
              <w:pStyle w:val="ListParagraph"/>
              <w:ind w:left="115"/>
              <w:rPr>
                <w:bCs/>
                <w:sz w:val="20"/>
                <w:szCs w:val="20"/>
              </w:rPr>
            </w:pPr>
            <w:r w:rsidRPr="001569FB">
              <w:rPr>
                <w:bCs/>
                <w:sz w:val="20"/>
                <w:szCs w:val="20"/>
              </w:rPr>
              <w:lastRenderedPageBreak/>
              <w:t>HCC138</w:t>
            </w:r>
          </w:p>
        </w:tc>
        <w:tc>
          <w:tcPr>
            <w:tcW w:w="4412" w:type="dxa"/>
            <w:hideMark/>
          </w:tcPr>
          <w:p w14:paraId="3C2AD6A8" w14:textId="77777777" w:rsidR="009A7430" w:rsidRPr="001569FB" w:rsidRDefault="009A7430" w:rsidP="008D4E91">
            <w:pPr>
              <w:pStyle w:val="ListParagraph"/>
              <w:ind w:left="120"/>
              <w:rPr>
                <w:bCs/>
                <w:sz w:val="20"/>
                <w:szCs w:val="20"/>
              </w:rPr>
            </w:pPr>
            <w:r w:rsidRPr="001569FB">
              <w:rPr>
                <w:bCs/>
                <w:sz w:val="20"/>
                <w:szCs w:val="20"/>
              </w:rPr>
              <w:t>Chronic Kidney Disease, Moderate (Stage 3)</w:t>
            </w:r>
          </w:p>
        </w:tc>
        <w:tc>
          <w:tcPr>
            <w:tcW w:w="1885" w:type="dxa"/>
            <w:noWrap/>
            <w:hideMark/>
          </w:tcPr>
          <w:p w14:paraId="5279C0E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611216A" w14:textId="77777777" w:rsidTr="008D4E91">
        <w:trPr>
          <w:trHeight w:val="630"/>
        </w:trPr>
        <w:tc>
          <w:tcPr>
            <w:tcW w:w="3053" w:type="dxa"/>
            <w:noWrap/>
            <w:hideMark/>
          </w:tcPr>
          <w:p w14:paraId="6695D6C2" w14:textId="77777777" w:rsidR="009A7430" w:rsidRPr="001569FB" w:rsidRDefault="009A7430" w:rsidP="008D4E91">
            <w:pPr>
              <w:pStyle w:val="ListParagraph"/>
              <w:ind w:left="115"/>
              <w:rPr>
                <w:bCs/>
                <w:sz w:val="20"/>
                <w:szCs w:val="20"/>
              </w:rPr>
            </w:pPr>
            <w:r w:rsidRPr="001569FB">
              <w:rPr>
                <w:bCs/>
                <w:sz w:val="20"/>
                <w:szCs w:val="20"/>
              </w:rPr>
              <w:t>HCC139</w:t>
            </w:r>
          </w:p>
        </w:tc>
        <w:tc>
          <w:tcPr>
            <w:tcW w:w="4412" w:type="dxa"/>
            <w:hideMark/>
          </w:tcPr>
          <w:p w14:paraId="1D5CB136" w14:textId="77777777" w:rsidR="009A7430" w:rsidRPr="001569FB" w:rsidRDefault="009A7430" w:rsidP="008D4E91">
            <w:pPr>
              <w:pStyle w:val="ListParagraph"/>
              <w:ind w:left="120"/>
              <w:rPr>
                <w:bCs/>
                <w:sz w:val="20"/>
                <w:szCs w:val="20"/>
              </w:rPr>
            </w:pPr>
            <w:r w:rsidRPr="001569FB">
              <w:rPr>
                <w:bCs/>
                <w:sz w:val="20"/>
                <w:szCs w:val="20"/>
              </w:rPr>
              <w:t>Chronic Kidney Disease, Mild or Unspecified (Stages 1-2 or Unspecified)</w:t>
            </w:r>
          </w:p>
        </w:tc>
        <w:tc>
          <w:tcPr>
            <w:tcW w:w="1885" w:type="dxa"/>
            <w:noWrap/>
            <w:hideMark/>
          </w:tcPr>
          <w:p w14:paraId="08072B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7CB885E" w14:textId="77777777" w:rsidTr="008D4E91">
        <w:trPr>
          <w:trHeight w:val="315"/>
        </w:trPr>
        <w:tc>
          <w:tcPr>
            <w:tcW w:w="3053" w:type="dxa"/>
            <w:noWrap/>
            <w:hideMark/>
          </w:tcPr>
          <w:p w14:paraId="2A3BA9D7" w14:textId="77777777" w:rsidR="009A7430" w:rsidRPr="001569FB" w:rsidRDefault="009A7430" w:rsidP="008D4E91">
            <w:pPr>
              <w:pStyle w:val="ListParagraph"/>
              <w:ind w:left="115"/>
              <w:rPr>
                <w:bCs/>
                <w:sz w:val="20"/>
                <w:szCs w:val="20"/>
              </w:rPr>
            </w:pPr>
            <w:r w:rsidRPr="001569FB">
              <w:rPr>
                <w:bCs/>
                <w:sz w:val="20"/>
                <w:szCs w:val="20"/>
              </w:rPr>
              <w:t>HCC140</w:t>
            </w:r>
          </w:p>
        </w:tc>
        <w:tc>
          <w:tcPr>
            <w:tcW w:w="4412" w:type="dxa"/>
            <w:hideMark/>
          </w:tcPr>
          <w:p w14:paraId="4DEF57C6" w14:textId="77777777" w:rsidR="009A7430" w:rsidRPr="001569FB" w:rsidRDefault="009A7430" w:rsidP="008D4E91">
            <w:pPr>
              <w:pStyle w:val="ListParagraph"/>
              <w:ind w:left="120"/>
              <w:rPr>
                <w:bCs/>
                <w:sz w:val="20"/>
                <w:szCs w:val="20"/>
              </w:rPr>
            </w:pPr>
            <w:r w:rsidRPr="001569FB">
              <w:rPr>
                <w:bCs/>
                <w:sz w:val="20"/>
                <w:szCs w:val="20"/>
              </w:rPr>
              <w:t>Unspecified Renal Failure</w:t>
            </w:r>
          </w:p>
        </w:tc>
        <w:tc>
          <w:tcPr>
            <w:tcW w:w="1885" w:type="dxa"/>
            <w:noWrap/>
            <w:hideMark/>
          </w:tcPr>
          <w:p w14:paraId="72072962"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E2855D3" w14:textId="77777777" w:rsidTr="008D4E91">
        <w:trPr>
          <w:trHeight w:val="315"/>
        </w:trPr>
        <w:tc>
          <w:tcPr>
            <w:tcW w:w="3053" w:type="dxa"/>
            <w:noWrap/>
            <w:hideMark/>
          </w:tcPr>
          <w:p w14:paraId="763B4A0C" w14:textId="77777777" w:rsidR="009A7430" w:rsidRPr="001569FB" w:rsidRDefault="009A7430" w:rsidP="008D4E91">
            <w:pPr>
              <w:pStyle w:val="ListParagraph"/>
              <w:ind w:left="115"/>
              <w:rPr>
                <w:bCs/>
                <w:sz w:val="20"/>
                <w:szCs w:val="20"/>
              </w:rPr>
            </w:pPr>
            <w:r w:rsidRPr="001569FB">
              <w:rPr>
                <w:bCs/>
                <w:sz w:val="20"/>
                <w:szCs w:val="20"/>
              </w:rPr>
              <w:t>HCC141</w:t>
            </w:r>
          </w:p>
        </w:tc>
        <w:tc>
          <w:tcPr>
            <w:tcW w:w="4412" w:type="dxa"/>
            <w:hideMark/>
          </w:tcPr>
          <w:p w14:paraId="5B94AEA3" w14:textId="77777777" w:rsidR="009A7430" w:rsidRPr="001569FB" w:rsidRDefault="009A7430" w:rsidP="008D4E91">
            <w:pPr>
              <w:pStyle w:val="ListParagraph"/>
              <w:ind w:left="120"/>
              <w:rPr>
                <w:bCs/>
                <w:sz w:val="20"/>
                <w:szCs w:val="20"/>
              </w:rPr>
            </w:pPr>
            <w:r w:rsidRPr="001569FB">
              <w:rPr>
                <w:bCs/>
                <w:sz w:val="20"/>
                <w:szCs w:val="20"/>
              </w:rPr>
              <w:t>Nephritis</w:t>
            </w:r>
          </w:p>
        </w:tc>
        <w:tc>
          <w:tcPr>
            <w:tcW w:w="1885" w:type="dxa"/>
            <w:noWrap/>
            <w:hideMark/>
          </w:tcPr>
          <w:p w14:paraId="71FC7BDA"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4BF3BEA1" w14:textId="77777777" w:rsidTr="008D4E91">
        <w:trPr>
          <w:trHeight w:val="630"/>
        </w:trPr>
        <w:tc>
          <w:tcPr>
            <w:tcW w:w="3053" w:type="dxa"/>
            <w:noWrap/>
            <w:hideMark/>
          </w:tcPr>
          <w:p w14:paraId="6C7174C3" w14:textId="77777777" w:rsidR="009A7430" w:rsidRPr="001569FB" w:rsidRDefault="009A7430" w:rsidP="008D4E91">
            <w:pPr>
              <w:pStyle w:val="ListParagraph"/>
              <w:ind w:left="115"/>
              <w:rPr>
                <w:bCs/>
                <w:sz w:val="20"/>
                <w:szCs w:val="20"/>
              </w:rPr>
            </w:pPr>
            <w:r w:rsidRPr="001569FB">
              <w:rPr>
                <w:bCs/>
                <w:sz w:val="20"/>
                <w:szCs w:val="20"/>
              </w:rPr>
              <w:t>HCC157</w:t>
            </w:r>
          </w:p>
        </w:tc>
        <w:tc>
          <w:tcPr>
            <w:tcW w:w="4412" w:type="dxa"/>
            <w:hideMark/>
          </w:tcPr>
          <w:p w14:paraId="57995972" w14:textId="77777777" w:rsidR="009A7430" w:rsidRPr="001569FB" w:rsidRDefault="009A7430" w:rsidP="008D4E91">
            <w:pPr>
              <w:pStyle w:val="ListParagraph"/>
              <w:ind w:left="120"/>
              <w:rPr>
                <w:bCs/>
                <w:sz w:val="20"/>
                <w:szCs w:val="20"/>
              </w:rPr>
            </w:pPr>
            <w:r w:rsidRPr="001569FB">
              <w:rPr>
                <w:bCs/>
                <w:sz w:val="20"/>
                <w:szCs w:val="20"/>
              </w:rPr>
              <w:t>Pressure Ulcer of Skin with Necrosis Through to Muscle, Tendon, or Bone</w:t>
            </w:r>
          </w:p>
        </w:tc>
        <w:tc>
          <w:tcPr>
            <w:tcW w:w="1885" w:type="dxa"/>
            <w:noWrap/>
            <w:hideMark/>
          </w:tcPr>
          <w:p w14:paraId="310946F4" w14:textId="77777777" w:rsidR="009A7430" w:rsidRPr="001569FB" w:rsidRDefault="009A7430" w:rsidP="008D4E91">
            <w:pPr>
              <w:pStyle w:val="ListParagraph"/>
              <w:ind w:left="33"/>
              <w:jc w:val="center"/>
              <w:rPr>
                <w:bCs/>
                <w:sz w:val="20"/>
                <w:szCs w:val="20"/>
              </w:rPr>
            </w:pPr>
            <w:r w:rsidRPr="001569FB">
              <w:rPr>
                <w:bCs/>
                <w:sz w:val="20"/>
                <w:szCs w:val="20"/>
              </w:rPr>
              <w:t>2.492</w:t>
            </w:r>
          </w:p>
        </w:tc>
      </w:tr>
      <w:tr w:rsidR="009A7430" w:rsidRPr="001569FB" w14:paraId="249F49D0" w14:textId="77777777" w:rsidTr="008D4E91">
        <w:trPr>
          <w:trHeight w:val="315"/>
        </w:trPr>
        <w:tc>
          <w:tcPr>
            <w:tcW w:w="3053" w:type="dxa"/>
            <w:noWrap/>
            <w:hideMark/>
          </w:tcPr>
          <w:p w14:paraId="60E504F9" w14:textId="77777777" w:rsidR="009A7430" w:rsidRPr="001569FB" w:rsidRDefault="009A7430" w:rsidP="008D4E91">
            <w:pPr>
              <w:pStyle w:val="ListParagraph"/>
              <w:ind w:left="115"/>
              <w:rPr>
                <w:bCs/>
                <w:sz w:val="20"/>
                <w:szCs w:val="20"/>
              </w:rPr>
            </w:pPr>
            <w:r w:rsidRPr="001569FB">
              <w:rPr>
                <w:bCs/>
                <w:sz w:val="20"/>
                <w:szCs w:val="20"/>
              </w:rPr>
              <w:t>HCC158</w:t>
            </w:r>
          </w:p>
        </w:tc>
        <w:tc>
          <w:tcPr>
            <w:tcW w:w="4412" w:type="dxa"/>
            <w:hideMark/>
          </w:tcPr>
          <w:p w14:paraId="4CFCA02B" w14:textId="77777777" w:rsidR="009A7430" w:rsidRPr="001569FB" w:rsidRDefault="009A7430" w:rsidP="008D4E91">
            <w:pPr>
              <w:pStyle w:val="ListParagraph"/>
              <w:ind w:left="120"/>
              <w:rPr>
                <w:bCs/>
                <w:sz w:val="20"/>
                <w:szCs w:val="20"/>
              </w:rPr>
            </w:pPr>
            <w:r w:rsidRPr="001569FB">
              <w:rPr>
                <w:bCs/>
                <w:sz w:val="20"/>
                <w:szCs w:val="20"/>
              </w:rPr>
              <w:t>Pressure Ulcer of Skin with Full Thickness Skin Loss</w:t>
            </w:r>
          </w:p>
        </w:tc>
        <w:tc>
          <w:tcPr>
            <w:tcW w:w="1885" w:type="dxa"/>
            <w:noWrap/>
            <w:hideMark/>
          </w:tcPr>
          <w:p w14:paraId="1299780D" w14:textId="77777777" w:rsidR="009A7430" w:rsidRPr="001569FB" w:rsidRDefault="009A7430" w:rsidP="008D4E91">
            <w:pPr>
              <w:pStyle w:val="ListParagraph"/>
              <w:ind w:left="33"/>
              <w:jc w:val="center"/>
              <w:rPr>
                <w:bCs/>
                <w:sz w:val="20"/>
                <w:szCs w:val="20"/>
              </w:rPr>
            </w:pPr>
            <w:r w:rsidRPr="001569FB">
              <w:rPr>
                <w:bCs/>
                <w:sz w:val="20"/>
                <w:szCs w:val="20"/>
              </w:rPr>
              <w:t>1.285</w:t>
            </w:r>
          </w:p>
        </w:tc>
      </w:tr>
      <w:tr w:rsidR="009A7430" w:rsidRPr="001569FB" w14:paraId="439F0187" w14:textId="77777777" w:rsidTr="008D4E91">
        <w:trPr>
          <w:trHeight w:val="315"/>
        </w:trPr>
        <w:tc>
          <w:tcPr>
            <w:tcW w:w="3053" w:type="dxa"/>
            <w:noWrap/>
            <w:hideMark/>
          </w:tcPr>
          <w:p w14:paraId="0DDF8828" w14:textId="77777777" w:rsidR="009A7430" w:rsidRPr="001569FB" w:rsidRDefault="009A7430" w:rsidP="008D4E91">
            <w:pPr>
              <w:pStyle w:val="ListParagraph"/>
              <w:ind w:left="115"/>
              <w:rPr>
                <w:bCs/>
                <w:sz w:val="20"/>
                <w:szCs w:val="20"/>
              </w:rPr>
            </w:pPr>
            <w:r w:rsidRPr="001569FB">
              <w:rPr>
                <w:bCs/>
                <w:sz w:val="20"/>
                <w:szCs w:val="20"/>
              </w:rPr>
              <w:t>HCC159</w:t>
            </w:r>
          </w:p>
        </w:tc>
        <w:tc>
          <w:tcPr>
            <w:tcW w:w="4412" w:type="dxa"/>
            <w:hideMark/>
          </w:tcPr>
          <w:p w14:paraId="537726F8" w14:textId="77777777" w:rsidR="009A7430" w:rsidRPr="001569FB" w:rsidRDefault="009A7430" w:rsidP="008D4E91">
            <w:pPr>
              <w:pStyle w:val="ListParagraph"/>
              <w:ind w:left="120"/>
              <w:rPr>
                <w:bCs/>
                <w:sz w:val="20"/>
                <w:szCs w:val="20"/>
              </w:rPr>
            </w:pPr>
            <w:r w:rsidRPr="001569FB">
              <w:rPr>
                <w:bCs/>
                <w:sz w:val="20"/>
                <w:szCs w:val="20"/>
              </w:rPr>
              <w:t>Pressure Ulcer of Skin with Partial Thickness Skin Loss</w:t>
            </w:r>
          </w:p>
        </w:tc>
        <w:tc>
          <w:tcPr>
            <w:tcW w:w="1885" w:type="dxa"/>
            <w:noWrap/>
            <w:hideMark/>
          </w:tcPr>
          <w:p w14:paraId="1D1EDA07" w14:textId="77777777" w:rsidR="009A7430" w:rsidRPr="001569FB" w:rsidRDefault="009A7430" w:rsidP="008D4E91">
            <w:pPr>
              <w:pStyle w:val="ListParagraph"/>
              <w:ind w:left="33"/>
              <w:jc w:val="center"/>
              <w:rPr>
                <w:bCs/>
                <w:sz w:val="20"/>
                <w:szCs w:val="20"/>
              </w:rPr>
            </w:pPr>
            <w:r w:rsidRPr="001569FB">
              <w:rPr>
                <w:bCs/>
                <w:sz w:val="20"/>
                <w:szCs w:val="20"/>
              </w:rPr>
              <w:t>0.955</w:t>
            </w:r>
          </w:p>
        </w:tc>
      </w:tr>
      <w:tr w:rsidR="009A7430" w:rsidRPr="001569FB" w14:paraId="5FA60D29" w14:textId="77777777" w:rsidTr="008D4E91">
        <w:trPr>
          <w:trHeight w:val="315"/>
        </w:trPr>
        <w:tc>
          <w:tcPr>
            <w:tcW w:w="3053" w:type="dxa"/>
            <w:noWrap/>
            <w:hideMark/>
          </w:tcPr>
          <w:p w14:paraId="460A80B8" w14:textId="77777777" w:rsidR="009A7430" w:rsidRPr="001569FB" w:rsidRDefault="009A7430" w:rsidP="008D4E91">
            <w:pPr>
              <w:pStyle w:val="ListParagraph"/>
              <w:ind w:left="115"/>
              <w:rPr>
                <w:bCs/>
                <w:sz w:val="20"/>
                <w:szCs w:val="20"/>
              </w:rPr>
            </w:pPr>
            <w:r w:rsidRPr="001569FB">
              <w:rPr>
                <w:bCs/>
                <w:sz w:val="20"/>
                <w:szCs w:val="20"/>
              </w:rPr>
              <w:t>HCC160</w:t>
            </w:r>
          </w:p>
        </w:tc>
        <w:tc>
          <w:tcPr>
            <w:tcW w:w="4412" w:type="dxa"/>
            <w:hideMark/>
          </w:tcPr>
          <w:p w14:paraId="1BF8E32B" w14:textId="77777777" w:rsidR="009A7430" w:rsidRPr="001569FB" w:rsidRDefault="009A7430" w:rsidP="008D4E91">
            <w:pPr>
              <w:pStyle w:val="ListParagraph"/>
              <w:ind w:left="120"/>
              <w:rPr>
                <w:bCs/>
                <w:sz w:val="20"/>
                <w:szCs w:val="20"/>
              </w:rPr>
            </w:pPr>
            <w:r w:rsidRPr="001569FB">
              <w:rPr>
                <w:bCs/>
                <w:sz w:val="20"/>
                <w:szCs w:val="20"/>
              </w:rPr>
              <w:t>Pressure Pre-Ulcer Skin Changes or Unspecified Stage</w:t>
            </w:r>
          </w:p>
        </w:tc>
        <w:tc>
          <w:tcPr>
            <w:tcW w:w="1885" w:type="dxa"/>
            <w:noWrap/>
            <w:hideMark/>
          </w:tcPr>
          <w:p w14:paraId="362FB7AC" w14:textId="77777777" w:rsidR="009A7430" w:rsidRPr="001569FB" w:rsidRDefault="009A7430" w:rsidP="008D4E91">
            <w:pPr>
              <w:pStyle w:val="ListParagraph"/>
              <w:ind w:left="33"/>
              <w:jc w:val="center"/>
              <w:rPr>
                <w:bCs/>
                <w:sz w:val="20"/>
                <w:szCs w:val="20"/>
              </w:rPr>
            </w:pPr>
            <w:r w:rsidRPr="001569FB">
              <w:rPr>
                <w:bCs/>
                <w:sz w:val="20"/>
                <w:szCs w:val="20"/>
              </w:rPr>
              <w:t>0.799</w:t>
            </w:r>
          </w:p>
        </w:tc>
      </w:tr>
      <w:tr w:rsidR="009A7430" w:rsidRPr="001569FB" w14:paraId="0310101C" w14:textId="77777777" w:rsidTr="008D4E91">
        <w:trPr>
          <w:trHeight w:val="315"/>
        </w:trPr>
        <w:tc>
          <w:tcPr>
            <w:tcW w:w="3053" w:type="dxa"/>
            <w:noWrap/>
            <w:hideMark/>
          </w:tcPr>
          <w:p w14:paraId="0053C945" w14:textId="77777777" w:rsidR="009A7430" w:rsidRPr="001569FB" w:rsidRDefault="009A7430" w:rsidP="008D4E91">
            <w:pPr>
              <w:pStyle w:val="ListParagraph"/>
              <w:ind w:left="115"/>
              <w:rPr>
                <w:bCs/>
                <w:sz w:val="20"/>
                <w:szCs w:val="20"/>
              </w:rPr>
            </w:pPr>
            <w:r w:rsidRPr="001569FB">
              <w:rPr>
                <w:bCs/>
                <w:sz w:val="20"/>
                <w:szCs w:val="20"/>
              </w:rPr>
              <w:t>HCC161</w:t>
            </w:r>
          </w:p>
        </w:tc>
        <w:tc>
          <w:tcPr>
            <w:tcW w:w="4412" w:type="dxa"/>
            <w:hideMark/>
          </w:tcPr>
          <w:p w14:paraId="295D1AB5" w14:textId="77777777" w:rsidR="009A7430" w:rsidRPr="001569FB" w:rsidRDefault="009A7430" w:rsidP="008D4E91">
            <w:pPr>
              <w:pStyle w:val="ListParagraph"/>
              <w:ind w:left="120"/>
              <w:rPr>
                <w:bCs/>
                <w:sz w:val="20"/>
                <w:szCs w:val="20"/>
              </w:rPr>
            </w:pPr>
            <w:r w:rsidRPr="001569FB">
              <w:rPr>
                <w:bCs/>
                <w:sz w:val="20"/>
                <w:szCs w:val="20"/>
              </w:rPr>
              <w:t>Chronic Ulcer of Skin, Except Pressure</w:t>
            </w:r>
          </w:p>
        </w:tc>
        <w:tc>
          <w:tcPr>
            <w:tcW w:w="1885" w:type="dxa"/>
            <w:noWrap/>
            <w:hideMark/>
          </w:tcPr>
          <w:p w14:paraId="73D665E6" w14:textId="77777777" w:rsidR="009A7430" w:rsidRPr="001569FB" w:rsidRDefault="009A7430" w:rsidP="008D4E91">
            <w:pPr>
              <w:pStyle w:val="ListParagraph"/>
              <w:ind w:left="33"/>
              <w:jc w:val="center"/>
              <w:rPr>
                <w:bCs/>
                <w:sz w:val="20"/>
                <w:szCs w:val="20"/>
              </w:rPr>
            </w:pPr>
            <w:r w:rsidRPr="001569FB">
              <w:rPr>
                <w:bCs/>
                <w:sz w:val="20"/>
                <w:szCs w:val="20"/>
              </w:rPr>
              <w:t>0.503</w:t>
            </w:r>
          </w:p>
        </w:tc>
      </w:tr>
      <w:tr w:rsidR="009A7430" w:rsidRPr="001569FB" w14:paraId="4F81F362" w14:textId="77777777" w:rsidTr="008D4E91">
        <w:trPr>
          <w:trHeight w:val="315"/>
        </w:trPr>
        <w:tc>
          <w:tcPr>
            <w:tcW w:w="3053" w:type="dxa"/>
            <w:noWrap/>
            <w:hideMark/>
          </w:tcPr>
          <w:p w14:paraId="1A46B6D9" w14:textId="77777777" w:rsidR="009A7430" w:rsidRPr="001569FB" w:rsidRDefault="009A7430" w:rsidP="008D4E91">
            <w:pPr>
              <w:pStyle w:val="ListParagraph"/>
              <w:ind w:left="115"/>
              <w:rPr>
                <w:bCs/>
                <w:sz w:val="20"/>
                <w:szCs w:val="20"/>
              </w:rPr>
            </w:pPr>
            <w:r w:rsidRPr="001569FB">
              <w:rPr>
                <w:bCs/>
                <w:sz w:val="20"/>
                <w:szCs w:val="20"/>
              </w:rPr>
              <w:t>HCC162</w:t>
            </w:r>
          </w:p>
        </w:tc>
        <w:tc>
          <w:tcPr>
            <w:tcW w:w="4412" w:type="dxa"/>
            <w:hideMark/>
          </w:tcPr>
          <w:p w14:paraId="25E170E9" w14:textId="77777777" w:rsidR="009A7430" w:rsidRPr="001569FB" w:rsidRDefault="009A7430" w:rsidP="008D4E91">
            <w:pPr>
              <w:pStyle w:val="ListParagraph"/>
              <w:ind w:left="120"/>
              <w:rPr>
                <w:bCs/>
                <w:sz w:val="20"/>
                <w:szCs w:val="20"/>
              </w:rPr>
            </w:pPr>
            <w:r w:rsidRPr="001569FB">
              <w:rPr>
                <w:bCs/>
                <w:sz w:val="20"/>
                <w:szCs w:val="20"/>
              </w:rPr>
              <w:t>Severe Skin Burn or Condition</w:t>
            </w:r>
          </w:p>
        </w:tc>
        <w:tc>
          <w:tcPr>
            <w:tcW w:w="1885" w:type="dxa"/>
            <w:noWrap/>
            <w:hideMark/>
          </w:tcPr>
          <w:p w14:paraId="54B56F76" w14:textId="77777777" w:rsidR="009A7430" w:rsidRPr="001569FB" w:rsidRDefault="009A7430" w:rsidP="008D4E91">
            <w:pPr>
              <w:pStyle w:val="ListParagraph"/>
              <w:ind w:left="33"/>
              <w:jc w:val="center"/>
              <w:rPr>
                <w:bCs/>
                <w:sz w:val="20"/>
                <w:szCs w:val="20"/>
              </w:rPr>
            </w:pPr>
            <w:r w:rsidRPr="001569FB">
              <w:rPr>
                <w:bCs/>
                <w:sz w:val="20"/>
                <w:szCs w:val="20"/>
              </w:rPr>
              <w:t>0.370</w:t>
            </w:r>
          </w:p>
        </w:tc>
      </w:tr>
      <w:tr w:rsidR="009A7430" w:rsidRPr="001569FB" w14:paraId="40685912" w14:textId="77777777" w:rsidTr="008D4E91">
        <w:trPr>
          <w:trHeight w:val="315"/>
        </w:trPr>
        <w:tc>
          <w:tcPr>
            <w:tcW w:w="3053" w:type="dxa"/>
            <w:noWrap/>
            <w:hideMark/>
          </w:tcPr>
          <w:p w14:paraId="4762D78F" w14:textId="77777777" w:rsidR="009A7430" w:rsidRPr="001569FB" w:rsidRDefault="009A7430" w:rsidP="008D4E91">
            <w:pPr>
              <w:pStyle w:val="ListParagraph"/>
              <w:ind w:left="115"/>
              <w:rPr>
                <w:bCs/>
                <w:sz w:val="20"/>
                <w:szCs w:val="20"/>
              </w:rPr>
            </w:pPr>
            <w:r w:rsidRPr="001569FB">
              <w:rPr>
                <w:bCs/>
                <w:sz w:val="20"/>
                <w:szCs w:val="20"/>
              </w:rPr>
              <w:t>HCC166</w:t>
            </w:r>
          </w:p>
        </w:tc>
        <w:tc>
          <w:tcPr>
            <w:tcW w:w="4412" w:type="dxa"/>
            <w:hideMark/>
          </w:tcPr>
          <w:p w14:paraId="35F46470" w14:textId="77777777" w:rsidR="009A7430" w:rsidRPr="001569FB" w:rsidRDefault="009A7430" w:rsidP="008D4E91">
            <w:pPr>
              <w:pStyle w:val="ListParagraph"/>
              <w:ind w:left="120"/>
              <w:rPr>
                <w:bCs/>
                <w:sz w:val="20"/>
                <w:szCs w:val="20"/>
              </w:rPr>
            </w:pPr>
            <w:r w:rsidRPr="001569FB">
              <w:rPr>
                <w:bCs/>
                <w:sz w:val="20"/>
                <w:szCs w:val="20"/>
              </w:rPr>
              <w:t>Severe Head Injury</w:t>
            </w:r>
          </w:p>
        </w:tc>
        <w:tc>
          <w:tcPr>
            <w:tcW w:w="1885" w:type="dxa"/>
            <w:noWrap/>
            <w:hideMark/>
          </w:tcPr>
          <w:p w14:paraId="7BBDEE35"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63016150" w14:textId="77777777" w:rsidTr="008D4E91">
        <w:trPr>
          <w:trHeight w:val="315"/>
        </w:trPr>
        <w:tc>
          <w:tcPr>
            <w:tcW w:w="3053" w:type="dxa"/>
            <w:noWrap/>
            <w:hideMark/>
          </w:tcPr>
          <w:p w14:paraId="7E2DDE14" w14:textId="77777777" w:rsidR="009A7430" w:rsidRPr="001569FB" w:rsidRDefault="009A7430" w:rsidP="008D4E91">
            <w:pPr>
              <w:pStyle w:val="ListParagraph"/>
              <w:ind w:left="115"/>
              <w:rPr>
                <w:bCs/>
                <w:sz w:val="20"/>
                <w:szCs w:val="20"/>
              </w:rPr>
            </w:pPr>
            <w:r w:rsidRPr="001569FB">
              <w:rPr>
                <w:bCs/>
                <w:sz w:val="20"/>
                <w:szCs w:val="20"/>
              </w:rPr>
              <w:t>HCC167</w:t>
            </w:r>
          </w:p>
        </w:tc>
        <w:tc>
          <w:tcPr>
            <w:tcW w:w="4412" w:type="dxa"/>
            <w:hideMark/>
          </w:tcPr>
          <w:p w14:paraId="40AD9D9A" w14:textId="77777777" w:rsidR="009A7430" w:rsidRPr="001569FB" w:rsidRDefault="009A7430" w:rsidP="008D4E91">
            <w:pPr>
              <w:pStyle w:val="ListParagraph"/>
              <w:ind w:left="120"/>
              <w:rPr>
                <w:bCs/>
                <w:sz w:val="20"/>
                <w:szCs w:val="20"/>
              </w:rPr>
            </w:pPr>
            <w:r w:rsidRPr="001569FB">
              <w:rPr>
                <w:bCs/>
                <w:sz w:val="20"/>
                <w:szCs w:val="20"/>
              </w:rPr>
              <w:t>Major Head Injury</w:t>
            </w:r>
          </w:p>
        </w:tc>
        <w:tc>
          <w:tcPr>
            <w:tcW w:w="1885" w:type="dxa"/>
            <w:noWrap/>
            <w:hideMark/>
          </w:tcPr>
          <w:p w14:paraId="5F83EBFE"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3FDB668F" w14:textId="77777777" w:rsidTr="008D4E91">
        <w:trPr>
          <w:trHeight w:val="315"/>
        </w:trPr>
        <w:tc>
          <w:tcPr>
            <w:tcW w:w="3053" w:type="dxa"/>
            <w:noWrap/>
            <w:hideMark/>
          </w:tcPr>
          <w:p w14:paraId="46FF256F" w14:textId="77777777" w:rsidR="009A7430" w:rsidRPr="001569FB" w:rsidRDefault="009A7430" w:rsidP="008D4E91">
            <w:pPr>
              <w:pStyle w:val="ListParagraph"/>
              <w:ind w:left="115"/>
              <w:rPr>
                <w:bCs/>
                <w:sz w:val="20"/>
                <w:szCs w:val="20"/>
              </w:rPr>
            </w:pPr>
            <w:r w:rsidRPr="001569FB">
              <w:rPr>
                <w:bCs/>
                <w:sz w:val="20"/>
                <w:szCs w:val="20"/>
              </w:rPr>
              <w:t>HCC169</w:t>
            </w:r>
          </w:p>
        </w:tc>
        <w:tc>
          <w:tcPr>
            <w:tcW w:w="4412" w:type="dxa"/>
            <w:hideMark/>
          </w:tcPr>
          <w:p w14:paraId="454BF854" w14:textId="77777777" w:rsidR="009A7430" w:rsidRPr="001569FB" w:rsidRDefault="009A7430" w:rsidP="008D4E91">
            <w:pPr>
              <w:pStyle w:val="ListParagraph"/>
              <w:ind w:left="120"/>
              <w:rPr>
                <w:bCs/>
                <w:sz w:val="20"/>
                <w:szCs w:val="20"/>
              </w:rPr>
            </w:pPr>
            <w:r w:rsidRPr="001569FB">
              <w:rPr>
                <w:bCs/>
                <w:sz w:val="20"/>
                <w:szCs w:val="20"/>
              </w:rPr>
              <w:t>Vertebral Fractures without Spinal Cord Injury</w:t>
            </w:r>
          </w:p>
        </w:tc>
        <w:tc>
          <w:tcPr>
            <w:tcW w:w="1885" w:type="dxa"/>
            <w:noWrap/>
            <w:hideMark/>
          </w:tcPr>
          <w:p w14:paraId="0E8282AA"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72D5285C" w14:textId="77777777" w:rsidTr="008D4E91">
        <w:trPr>
          <w:trHeight w:val="315"/>
        </w:trPr>
        <w:tc>
          <w:tcPr>
            <w:tcW w:w="3053" w:type="dxa"/>
            <w:noWrap/>
            <w:hideMark/>
          </w:tcPr>
          <w:p w14:paraId="5EFA5BA2" w14:textId="77777777" w:rsidR="009A7430" w:rsidRPr="001569FB" w:rsidRDefault="009A7430" w:rsidP="008D4E91">
            <w:pPr>
              <w:pStyle w:val="ListParagraph"/>
              <w:ind w:left="115"/>
              <w:rPr>
                <w:bCs/>
                <w:sz w:val="20"/>
                <w:szCs w:val="20"/>
              </w:rPr>
            </w:pPr>
            <w:r w:rsidRPr="001569FB">
              <w:rPr>
                <w:bCs/>
                <w:sz w:val="20"/>
                <w:szCs w:val="20"/>
              </w:rPr>
              <w:t>HCC170</w:t>
            </w:r>
          </w:p>
        </w:tc>
        <w:tc>
          <w:tcPr>
            <w:tcW w:w="4412" w:type="dxa"/>
            <w:hideMark/>
          </w:tcPr>
          <w:p w14:paraId="459A2DF8" w14:textId="77777777" w:rsidR="009A7430" w:rsidRPr="001569FB" w:rsidRDefault="009A7430" w:rsidP="008D4E91">
            <w:pPr>
              <w:pStyle w:val="ListParagraph"/>
              <w:ind w:left="120"/>
              <w:rPr>
                <w:bCs/>
                <w:sz w:val="20"/>
                <w:szCs w:val="20"/>
              </w:rPr>
            </w:pPr>
            <w:r w:rsidRPr="001569FB">
              <w:rPr>
                <w:bCs/>
                <w:sz w:val="20"/>
                <w:szCs w:val="20"/>
              </w:rPr>
              <w:t>Hip Fracture/Dislocation</w:t>
            </w:r>
          </w:p>
        </w:tc>
        <w:tc>
          <w:tcPr>
            <w:tcW w:w="1885" w:type="dxa"/>
            <w:noWrap/>
            <w:hideMark/>
          </w:tcPr>
          <w:p w14:paraId="46E24DF2"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710286BD" w14:textId="77777777" w:rsidTr="008D4E91">
        <w:trPr>
          <w:trHeight w:val="315"/>
        </w:trPr>
        <w:tc>
          <w:tcPr>
            <w:tcW w:w="3053" w:type="dxa"/>
            <w:noWrap/>
            <w:hideMark/>
          </w:tcPr>
          <w:p w14:paraId="767A3D64" w14:textId="77777777" w:rsidR="009A7430" w:rsidRPr="001569FB" w:rsidRDefault="009A7430" w:rsidP="008D4E91">
            <w:pPr>
              <w:pStyle w:val="ListParagraph"/>
              <w:ind w:left="115"/>
              <w:rPr>
                <w:bCs/>
                <w:sz w:val="20"/>
                <w:szCs w:val="20"/>
              </w:rPr>
            </w:pPr>
            <w:r w:rsidRPr="001569FB">
              <w:rPr>
                <w:bCs/>
                <w:sz w:val="20"/>
                <w:szCs w:val="20"/>
              </w:rPr>
              <w:t>HCC173</w:t>
            </w:r>
          </w:p>
        </w:tc>
        <w:tc>
          <w:tcPr>
            <w:tcW w:w="4412" w:type="dxa"/>
            <w:hideMark/>
          </w:tcPr>
          <w:p w14:paraId="4A921BCA" w14:textId="77777777" w:rsidR="009A7430" w:rsidRPr="001569FB" w:rsidRDefault="009A7430" w:rsidP="008D4E91">
            <w:pPr>
              <w:pStyle w:val="ListParagraph"/>
              <w:ind w:left="120"/>
              <w:rPr>
                <w:bCs/>
                <w:sz w:val="20"/>
                <w:szCs w:val="20"/>
              </w:rPr>
            </w:pPr>
            <w:r w:rsidRPr="001569FB">
              <w:rPr>
                <w:bCs/>
                <w:sz w:val="20"/>
                <w:szCs w:val="20"/>
              </w:rPr>
              <w:t>Traumatic Amputations and Complications</w:t>
            </w:r>
          </w:p>
        </w:tc>
        <w:tc>
          <w:tcPr>
            <w:tcW w:w="1885" w:type="dxa"/>
            <w:noWrap/>
            <w:hideMark/>
          </w:tcPr>
          <w:p w14:paraId="6240F4F7" w14:textId="77777777" w:rsidR="009A7430" w:rsidRPr="001569FB" w:rsidRDefault="009A7430" w:rsidP="008D4E91">
            <w:pPr>
              <w:pStyle w:val="ListParagraph"/>
              <w:ind w:left="33"/>
              <w:jc w:val="center"/>
              <w:rPr>
                <w:bCs/>
                <w:sz w:val="20"/>
                <w:szCs w:val="20"/>
              </w:rPr>
            </w:pPr>
            <w:r w:rsidRPr="001569FB">
              <w:rPr>
                <w:bCs/>
                <w:sz w:val="20"/>
                <w:szCs w:val="20"/>
              </w:rPr>
              <w:t>0.290</w:t>
            </w:r>
          </w:p>
        </w:tc>
      </w:tr>
      <w:tr w:rsidR="009A7430" w:rsidRPr="001569FB" w14:paraId="48624B3F" w14:textId="77777777" w:rsidTr="008D4E91">
        <w:trPr>
          <w:trHeight w:val="315"/>
        </w:trPr>
        <w:tc>
          <w:tcPr>
            <w:tcW w:w="3053" w:type="dxa"/>
            <w:noWrap/>
            <w:hideMark/>
          </w:tcPr>
          <w:p w14:paraId="08F7E6CB" w14:textId="77777777" w:rsidR="009A7430" w:rsidRPr="001569FB" w:rsidRDefault="009A7430" w:rsidP="008D4E91">
            <w:pPr>
              <w:pStyle w:val="ListParagraph"/>
              <w:ind w:left="115"/>
              <w:rPr>
                <w:bCs/>
                <w:sz w:val="20"/>
                <w:szCs w:val="20"/>
              </w:rPr>
            </w:pPr>
            <w:r w:rsidRPr="001569FB">
              <w:rPr>
                <w:bCs/>
                <w:sz w:val="20"/>
                <w:szCs w:val="20"/>
              </w:rPr>
              <w:t>HCC176</w:t>
            </w:r>
          </w:p>
        </w:tc>
        <w:tc>
          <w:tcPr>
            <w:tcW w:w="4412" w:type="dxa"/>
            <w:hideMark/>
          </w:tcPr>
          <w:p w14:paraId="295D9D0A" w14:textId="77777777" w:rsidR="009A7430" w:rsidRPr="001569FB" w:rsidRDefault="009A7430" w:rsidP="008D4E91">
            <w:pPr>
              <w:pStyle w:val="ListParagraph"/>
              <w:ind w:left="120"/>
              <w:rPr>
                <w:bCs/>
                <w:sz w:val="20"/>
                <w:szCs w:val="20"/>
              </w:rPr>
            </w:pPr>
            <w:r w:rsidRPr="001569FB">
              <w:rPr>
                <w:bCs/>
                <w:sz w:val="20"/>
                <w:szCs w:val="20"/>
              </w:rPr>
              <w:t>Complications of Specified Implanted Device or Graft</w:t>
            </w:r>
          </w:p>
        </w:tc>
        <w:tc>
          <w:tcPr>
            <w:tcW w:w="1885" w:type="dxa"/>
            <w:noWrap/>
            <w:hideMark/>
          </w:tcPr>
          <w:p w14:paraId="075E5151" w14:textId="77777777" w:rsidR="009A7430" w:rsidRPr="001569FB" w:rsidRDefault="009A7430" w:rsidP="008D4E91">
            <w:pPr>
              <w:pStyle w:val="ListParagraph"/>
              <w:ind w:left="33"/>
              <w:jc w:val="center"/>
              <w:rPr>
                <w:bCs/>
                <w:sz w:val="20"/>
                <w:szCs w:val="20"/>
              </w:rPr>
            </w:pPr>
            <w:r w:rsidRPr="001569FB">
              <w:rPr>
                <w:bCs/>
                <w:sz w:val="20"/>
                <w:szCs w:val="20"/>
              </w:rPr>
              <w:t>0.599</w:t>
            </w:r>
          </w:p>
        </w:tc>
      </w:tr>
      <w:tr w:rsidR="009A7430" w:rsidRPr="001569FB" w14:paraId="63D50151" w14:textId="77777777" w:rsidTr="008D4E91">
        <w:trPr>
          <w:trHeight w:val="315"/>
        </w:trPr>
        <w:tc>
          <w:tcPr>
            <w:tcW w:w="3053" w:type="dxa"/>
            <w:noWrap/>
            <w:hideMark/>
          </w:tcPr>
          <w:p w14:paraId="7DED79EA" w14:textId="77777777" w:rsidR="009A7430" w:rsidRPr="001569FB" w:rsidRDefault="009A7430" w:rsidP="008D4E91">
            <w:pPr>
              <w:pStyle w:val="ListParagraph"/>
              <w:ind w:left="115"/>
              <w:rPr>
                <w:bCs/>
                <w:sz w:val="20"/>
                <w:szCs w:val="20"/>
              </w:rPr>
            </w:pPr>
            <w:r w:rsidRPr="001569FB">
              <w:rPr>
                <w:bCs/>
                <w:sz w:val="20"/>
                <w:szCs w:val="20"/>
              </w:rPr>
              <w:t>HCC186</w:t>
            </w:r>
          </w:p>
        </w:tc>
        <w:tc>
          <w:tcPr>
            <w:tcW w:w="4412" w:type="dxa"/>
            <w:hideMark/>
          </w:tcPr>
          <w:p w14:paraId="1A6AF188" w14:textId="77777777" w:rsidR="009A7430" w:rsidRPr="001569FB" w:rsidRDefault="009A7430" w:rsidP="008D4E91">
            <w:pPr>
              <w:pStyle w:val="ListParagraph"/>
              <w:ind w:left="120"/>
              <w:rPr>
                <w:bCs/>
                <w:sz w:val="20"/>
                <w:szCs w:val="20"/>
              </w:rPr>
            </w:pPr>
            <w:r w:rsidRPr="001569FB">
              <w:rPr>
                <w:bCs/>
                <w:sz w:val="20"/>
                <w:szCs w:val="20"/>
              </w:rPr>
              <w:t>Major Organ Transplant or Replacement Status</w:t>
            </w:r>
          </w:p>
        </w:tc>
        <w:tc>
          <w:tcPr>
            <w:tcW w:w="1885" w:type="dxa"/>
            <w:noWrap/>
            <w:hideMark/>
          </w:tcPr>
          <w:p w14:paraId="13C0BB10" w14:textId="77777777" w:rsidR="009A7430" w:rsidRPr="001569FB" w:rsidRDefault="009A7430" w:rsidP="008D4E91">
            <w:pPr>
              <w:pStyle w:val="ListParagraph"/>
              <w:ind w:left="33"/>
              <w:jc w:val="center"/>
              <w:rPr>
                <w:bCs/>
                <w:sz w:val="20"/>
                <w:szCs w:val="20"/>
              </w:rPr>
            </w:pPr>
            <w:r w:rsidRPr="001569FB">
              <w:rPr>
                <w:bCs/>
                <w:sz w:val="20"/>
                <w:szCs w:val="20"/>
              </w:rPr>
              <w:t>0.075</w:t>
            </w:r>
          </w:p>
        </w:tc>
      </w:tr>
      <w:tr w:rsidR="009A7430" w:rsidRPr="001569FB" w14:paraId="0D679BCC" w14:textId="77777777" w:rsidTr="008D4E91">
        <w:trPr>
          <w:trHeight w:val="315"/>
        </w:trPr>
        <w:tc>
          <w:tcPr>
            <w:tcW w:w="3053" w:type="dxa"/>
            <w:noWrap/>
            <w:hideMark/>
          </w:tcPr>
          <w:p w14:paraId="7DA07C94" w14:textId="77777777" w:rsidR="009A7430" w:rsidRPr="001569FB" w:rsidRDefault="009A7430" w:rsidP="008D4E91">
            <w:pPr>
              <w:pStyle w:val="ListParagraph"/>
              <w:ind w:left="115"/>
              <w:rPr>
                <w:bCs/>
                <w:sz w:val="20"/>
                <w:szCs w:val="20"/>
              </w:rPr>
            </w:pPr>
            <w:r w:rsidRPr="001569FB">
              <w:rPr>
                <w:bCs/>
                <w:sz w:val="20"/>
                <w:szCs w:val="20"/>
              </w:rPr>
              <w:t>HCC188</w:t>
            </w:r>
          </w:p>
        </w:tc>
        <w:tc>
          <w:tcPr>
            <w:tcW w:w="4412" w:type="dxa"/>
            <w:hideMark/>
          </w:tcPr>
          <w:p w14:paraId="10D83926" w14:textId="77777777" w:rsidR="009A7430" w:rsidRPr="001569FB" w:rsidRDefault="009A7430" w:rsidP="008D4E91">
            <w:pPr>
              <w:pStyle w:val="ListParagraph"/>
              <w:ind w:left="120"/>
              <w:rPr>
                <w:bCs/>
                <w:sz w:val="20"/>
                <w:szCs w:val="20"/>
              </w:rPr>
            </w:pPr>
            <w:r w:rsidRPr="001569FB">
              <w:rPr>
                <w:bCs/>
                <w:sz w:val="20"/>
                <w:szCs w:val="20"/>
              </w:rPr>
              <w:t>Artificial Openings for Feeding or Elimination</w:t>
            </w:r>
          </w:p>
        </w:tc>
        <w:tc>
          <w:tcPr>
            <w:tcW w:w="1885" w:type="dxa"/>
            <w:noWrap/>
            <w:hideMark/>
          </w:tcPr>
          <w:p w14:paraId="52151230"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73FDEFC3" w14:textId="77777777" w:rsidTr="008D4E91">
        <w:trPr>
          <w:trHeight w:val="315"/>
        </w:trPr>
        <w:tc>
          <w:tcPr>
            <w:tcW w:w="3053" w:type="dxa"/>
            <w:noWrap/>
            <w:hideMark/>
          </w:tcPr>
          <w:p w14:paraId="5AD0AB36" w14:textId="77777777" w:rsidR="009A7430" w:rsidRPr="001569FB" w:rsidRDefault="009A7430" w:rsidP="008D4E91">
            <w:pPr>
              <w:pStyle w:val="ListParagraph"/>
              <w:ind w:left="115"/>
              <w:rPr>
                <w:bCs/>
                <w:sz w:val="20"/>
                <w:szCs w:val="20"/>
              </w:rPr>
            </w:pPr>
            <w:r w:rsidRPr="001569FB">
              <w:rPr>
                <w:bCs/>
                <w:sz w:val="20"/>
                <w:szCs w:val="20"/>
              </w:rPr>
              <w:t>HCC189</w:t>
            </w:r>
          </w:p>
        </w:tc>
        <w:tc>
          <w:tcPr>
            <w:tcW w:w="4412" w:type="dxa"/>
            <w:hideMark/>
          </w:tcPr>
          <w:p w14:paraId="1245291C" w14:textId="77777777" w:rsidR="009A7430" w:rsidRPr="001569FB" w:rsidRDefault="009A7430" w:rsidP="008D4E91">
            <w:pPr>
              <w:pStyle w:val="ListParagraph"/>
              <w:ind w:left="120"/>
              <w:rPr>
                <w:bCs/>
                <w:sz w:val="20"/>
                <w:szCs w:val="20"/>
              </w:rPr>
            </w:pPr>
            <w:r w:rsidRPr="001569FB">
              <w:rPr>
                <w:bCs/>
                <w:sz w:val="20"/>
                <w:szCs w:val="20"/>
              </w:rPr>
              <w:t>Amputation Status, Lower Limb/Amputation Complications</w:t>
            </w:r>
          </w:p>
        </w:tc>
        <w:tc>
          <w:tcPr>
            <w:tcW w:w="1885" w:type="dxa"/>
            <w:noWrap/>
            <w:hideMark/>
          </w:tcPr>
          <w:p w14:paraId="0246DFA2" w14:textId="77777777" w:rsidR="009A7430" w:rsidRPr="001569FB" w:rsidRDefault="009A7430" w:rsidP="008D4E91">
            <w:pPr>
              <w:pStyle w:val="ListParagraph"/>
              <w:ind w:left="33"/>
              <w:jc w:val="center"/>
              <w:rPr>
                <w:bCs/>
                <w:sz w:val="20"/>
                <w:szCs w:val="20"/>
              </w:rPr>
            </w:pPr>
            <w:r w:rsidRPr="001569FB">
              <w:rPr>
                <w:bCs/>
                <w:sz w:val="20"/>
                <w:szCs w:val="20"/>
              </w:rPr>
              <w:t>0.654 </w:t>
            </w:r>
          </w:p>
        </w:tc>
      </w:tr>
      <w:tr w:rsidR="009A7430" w:rsidRPr="001569FB" w14:paraId="1A2AB09F" w14:textId="77777777" w:rsidTr="008D4E91">
        <w:trPr>
          <w:trHeight w:val="315"/>
        </w:trPr>
        <w:tc>
          <w:tcPr>
            <w:tcW w:w="9350" w:type="dxa"/>
            <w:gridSpan w:val="3"/>
            <w:noWrap/>
            <w:hideMark/>
          </w:tcPr>
          <w:p w14:paraId="6FE40898" w14:textId="77777777" w:rsidR="009A7430" w:rsidRPr="001569FB" w:rsidRDefault="009A7430" w:rsidP="008D4E91">
            <w:pPr>
              <w:pStyle w:val="ListParagraph"/>
              <w:ind w:left="115"/>
              <w:rPr>
                <w:bCs/>
                <w:sz w:val="20"/>
                <w:szCs w:val="20"/>
              </w:rPr>
            </w:pPr>
            <w:r w:rsidRPr="001569FB">
              <w:rPr>
                <w:b/>
                <w:bCs/>
                <w:sz w:val="20"/>
                <w:szCs w:val="20"/>
              </w:rPr>
              <w:t>Disease Interactions</w:t>
            </w:r>
            <w:r w:rsidRPr="001569FB">
              <w:rPr>
                <w:bCs/>
                <w:sz w:val="20"/>
                <w:szCs w:val="20"/>
              </w:rPr>
              <w:t> </w:t>
            </w:r>
          </w:p>
        </w:tc>
      </w:tr>
      <w:tr w:rsidR="009A7430" w:rsidRPr="001569FB" w14:paraId="5AA17FB7" w14:textId="77777777" w:rsidTr="008D4E91">
        <w:trPr>
          <w:trHeight w:val="315"/>
        </w:trPr>
        <w:tc>
          <w:tcPr>
            <w:tcW w:w="3053" w:type="dxa"/>
            <w:noWrap/>
            <w:hideMark/>
          </w:tcPr>
          <w:p w14:paraId="72C691E9" w14:textId="77777777" w:rsidR="009A7430" w:rsidRPr="001569FB" w:rsidRDefault="009A7430" w:rsidP="008D4E91">
            <w:pPr>
              <w:pStyle w:val="ListParagraph"/>
              <w:ind w:left="115"/>
              <w:rPr>
                <w:bCs/>
                <w:sz w:val="20"/>
                <w:szCs w:val="20"/>
              </w:rPr>
            </w:pPr>
            <w:r w:rsidRPr="001569FB">
              <w:rPr>
                <w:bCs/>
                <w:sz w:val="20"/>
                <w:szCs w:val="20"/>
              </w:rPr>
              <w:t>SEPSIS_CARD_RESP_FAIL</w:t>
            </w:r>
          </w:p>
        </w:tc>
        <w:tc>
          <w:tcPr>
            <w:tcW w:w="4412" w:type="dxa"/>
            <w:hideMark/>
          </w:tcPr>
          <w:p w14:paraId="46D882CB" w14:textId="77777777" w:rsidR="009A7430" w:rsidRPr="001569FB" w:rsidRDefault="009A7430" w:rsidP="008D4E91">
            <w:pPr>
              <w:pStyle w:val="ListParagraph"/>
              <w:ind w:left="120"/>
              <w:rPr>
                <w:bCs/>
                <w:sz w:val="20"/>
                <w:szCs w:val="20"/>
              </w:rPr>
            </w:pPr>
            <w:r w:rsidRPr="001569FB">
              <w:rPr>
                <w:bCs/>
                <w:sz w:val="20"/>
                <w:szCs w:val="20"/>
              </w:rPr>
              <w:t>Sepsis*Cardiorespiratory Failure</w:t>
            </w:r>
          </w:p>
        </w:tc>
        <w:tc>
          <w:tcPr>
            <w:tcW w:w="1885" w:type="dxa"/>
            <w:noWrap/>
            <w:hideMark/>
          </w:tcPr>
          <w:p w14:paraId="7B1E75FE" w14:textId="77777777" w:rsidR="009A7430" w:rsidRPr="001569FB" w:rsidRDefault="009A7430" w:rsidP="008D4E91">
            <w:pPr>
              <w:pStyle w:val="ListParagraph"/>
              <w:ind w:left="33"/>
              <w:jc w:val="center"/>
              <w:rPr>
                <w:bCs/>
                <w:sz w:val="20"/>
                <w:szCs w:val="20"/>
              </w:rPr>
            </w:pPr>
            <w:r w:rsidRPr="001569FB">
              <w:rPr>
                <w:bCs/>
                <w:sz w:val="20"/>
                <w:szCs w:val="20"/>
              </w:rPr>
              <w:t>0.133</w:t>
            </w:r>
          </w:p>
        </w:tc>
      </w:tr>
      <w:tr w:rsidR="009A7430" w:rsidRPr="001569FB" w14:paraId="5FB572C1" w14:textId="77777777" w:rsidTr="008D4E91">
        <w:trPr>
          <w:trHeight w:val="315"/>
        </w:trPr>
        <w:tc>
          <w:tcPr>
            <w:tcW w:w="3053" w:type="dxa"/>
            <w:noWrap/>
            <w:hideMark/>
          </w:tcPr>
          <w:p w14:paraId="00AD85CC" w14:textId="77777777" w:rsidR="009A7430" w:rsidRPr="001569FB" w:rsidRDefault="009A7430" w:rsidP="008D4E91">
            <w:pPr>
              <w:pStyle w:val="ListParagraph"/>
              <w:ind w:left="115"/>
              <w:rPr>
                <w:bCs/>
                <w:sz w:val="20"/>
                <w:szCs w:val="20"/>
              </w:rPr>
            </w:pPr>
            <w:r w:rsidRPr="001569FB">
              <w:rPr>
                <w:bCs/>
                <w:sz w:val="20"/>
                <w:szCs w:val="20"/>
              </w:rPr>
              <w:t>CANCER_IMMUNE</w:t>
            </w:r>
          </w:p>
        </w:tc>
        <w:tc>
          <w:tcPr>
            <w:tcW w:w="4412" w:type="dxa"/>
            <w:hideMark/>
          </w:tcPr>
          <w:p w14:paraId="1BF28F52" w14:textId="77777777" w:rsidR="009A7430" w:rsidRPr="001569FB" w:rsidRDefault="009A7430" w:rsidP="008D4E91">
            <w:pPr>
              <w:pStyle w:val="ListParagraph"/>
              <w:ind w:left="120"/>
              <w:rPr>
                <w:bCs/>
                <w:sz w:val="20"/>
                <w:szCs w:val="20"/>
              </w:rPr>
            </w:pPr>
            <w:r w:rsidRPr="001569FB">
              <w:rPr>
                <w:bCs/>
                <w:sz w:val="20"/>
                <w:szCs w:val="20"/>
              </w:rPr>
              <w:t>Cancer*Immune Disorders</w:t>
            </w:r>
          </w:p>
        </w:tc>
        <w:tc>
          <w:tcPr>
            <w:tcW w:w="1885" w:type="dxa"/>
            <w:noWrap/>
            <w:hideMark/>
          </w:tcPr>
          <w:p w14:paraId="4370F6B6" w14:textId="77777777" w:rsidR="009A7430" w:rsidRPr="001569FB" w:rsidRDefault="009A7430" w:rsidP="008D4E91">
            <w:pPr>
              <w:pStyle w:val="ListParagraph"/>
              <w:ind w:left="33"/>
              <w:jc w:val="center"/>
              <w:rPr>
                <w:bCs/>
                <w:sz w:val="20"/>
                <w:szCs w:val="20"/>
              </w:rPr>
            </w:pPr>
            <w:r w:rsidRPr="001569FB">
              <w:rPr>
                <w:bCs/>
                <w:sz w:val="20"/>
                <w:szCs w:val="20"/>
              </w:rPr>
              <w:t>0.773</w:t>
            </w:r>
          </w:p>
        </w:tc>
      </w:tr>
      <w:tr w:rsidR="009A7430" w:rsidRPr="001569FB" w14:paraId="59B9C8F3" w14:textId="77777777" w:rsidTr="008D4E91">
        <w:trPr>
          <w:trHeight w:val="315"/>
        </w:trPr>
        <w:tc>
          <w:tcPr>
            <w:tcW w:w="3053" w:type="dxa"/>
            <w:noWrap/>
            <w:hideMark/>
          </w:tcPr>
          <w:p w14:paraId="4F0034F9" w14:textId="77777777" w:rsidR="009A7430" w:rsidRPr="001569FB" w:rsidRDefault="009A7430" w:rsidP="008D4E91">
            <w:pPr>
              <w:pStyle w:val="ListParagraph"/>
              <w:ind w:left="115"/>
              <w:rPr>
                <w:bCs/>
                <w:sz w:val="20"/>
                <w:szCs w:val="20"/>
              </w:rPr>
            </w:pPr>
            <w:r w:rsidRPr="001569FB">
              <w:rPr>
                <w:bCs/>
                <w:sz w:val="20"/>
                <w:szCs w:val="20"/>
              </w:rPr>
              <w:t>DIABETES_CHF</w:t>
            </w:r>
          </w:p>
        </w:tc>
        <w:tc>
          <w:tcPr>
            <w:tcW w:w="4412" w:type="dxa"/>
            <w:hideMark/>
          </w:tcPr>
          <w:p w14:paraId="55FD0CA6" w14:textId="77777777" w:rsidR="009A7430" w:rsidRPr="001569FB" w:rsidRDefault="009A7430" w:rsidP="008D4E91">
            <w:pPr>
              <w:pStyle w:val="ListParagraph"/>
              <w:ind w:left="120"/>
              <w:rPr>
                <w:bCs/>
                <w:sz w:val="20"/>
                <w:szCs w:val="20"/>
              </w:rPr>
            </w:pPr>
            <w:r w:rsidRPr="001569FB">
              <w:rPr>
                <w:bCs/>
                <w:sz w:val="20"/>
                <w:szCs w:val="20"/>
              </w:rPr>
              <w:t>Diabetes*Congestive Heart Failure</w:t>
            </w:r>
          </w:p>
        </w:tc>
        <w:tc>
          <w:tcPr>
            <w:tcW w:w="1885" w:type="dxa"/>
            <w:noWrap/>
            <w:hideMark/>
          </w:tcPr>
          <w:p w14:paraId="67DB0E20" w14:textId="77777777" w:rsidR="009A7430" w:rsidRPr="001569FB" w:rsidRDefault="009A7430" w:rsidP="008D4E91">
            <w:pPr>
              <w:pStyle w:val="ListParagraph"/>
              <w:ind w:left="33"/>
              <w:jc w:val="center"/>
              <w:rPr>
                <w:bCs/>
                <w:sz w:val="20"/>
                <w:szCs w:val="20"/>
              </w:rPr>
            </w:pPr>
            <w:r w:rsidRPr="001569FB">
              <w:rPr>
                <w:bCs/>
                <w:sz w:val="20"/>
                <w:szCs w:val="20"/>
              </w:rPr>
              <w:t>0.160</w:t>
            </w:r>
          </w:p>
        </w:tc>
      </w:tr>
      <w:tr w:rsidR="009A7430" w:rsidRPr="001569FB" w14:paraId="16DAAA46" w14:textId="77777777" w:rsidTr="008D4E91">
        <w:trPr>
          <w:trHeight w:val="630"/>
        </w:trPr>
        <w:tc>
          <w:tcPr>
            <w:tcW w:w="3053" w:type="dxa"/>
            <w:noWrap/>
            <w:hideMark/>
          </w:tcPr>
          <w:p w14:paraId="475EFEA0" w14:textId="77777777" w:rsidR="009A7430" w:rsidRPr="001569FB" w:rsidRDefault="009A7430" w:rsidP="008D4E91">
            <w:pPr>
              <w:pStyle w:val="ListParagraph"/>
              <w:ind w:left="115"/>
              <w:rPr>
                <w:bCs/>
                <w:sz w:val="20"/>
                <w:szCs w:val="20"/>
              </w:rPr>
            </w:pPr>
            <w:r w:rsidRPr="001569FB">
              <w:rPr>
                <w:bCs/>
                <w:sz w:val="20"/>
                <w:szCs w:val="20"/>
              </w:rPr>
              <w:t>CHF_COPD</w:t>
            </w:r>
          </w:p>
        </w:tc>
        <w:tc>
          <w:tcPr>
            <w:tcW w:w="4412" w:type="dxa"/>
            <w:hideMark/>
          </w:tcPr>
          <w:p w14:paraId="225B0CA1" w14:textId="77777777" w:rsidR="009A7430" w:rsidRPr="001569FB" w:rsidRDefault="009A7430" w:rsidP="008D4E91">
            <w:pPr>
              <w:pStyle w:val="ListParagraph"/>
              <w:ind w:left="120"/>
              <w:rPr>
                <w:bCs/>
                <w:sz w:val="20"/>
                <w:szCs w:val="20"/>
              </w:rPr>
            </w:pPr>
            <w:r w:rsidRPr="001569FB">
              <w:rPr>
                <w:bCs/>
                <w:sz w:val="20"/>
                <w:szCs w:val="20"/>
              </w:rPr>
              <w:t>Congestive Heart Failure*Chronic Obstructive Pulmonary Disease</w:t>
            </w:r>
          </w:p>
        </w:tc>
        <w:tc>
          <w:tcPr>
            <w:tcW w:w="1885" w:type="dxa"/>
            <w:noWrap/>
            <w:hideMark/>
          </w:tcPr>
          <w:p w14:paraId="1A00416D" w14:textId="77777777" w:rsidR="009A7430" w:rsidRPr="001569FB" w:rsidRDefault="009A7430" w:rsidP="008D4E91">
            <w:pPr>
              <w:pStyle w:val="ListParagraph"/>
              <w:ind w:left="33"/>
              <w:jc w:val="center"/>
              <w:rPr>
                <w:bCs/>
                <w:sz w:val="20"/>
                <w:szCs w:val="20"/>
              </w:rPr>
            </w:pPr>
            <w:r w:rsidRPr="001569FB">
              <w:rPr>
                <w:bCs/>
                <w:sz w:val="20"/>
                <w:szCs w:val="20"/>
              </w:rPr>
              <w:t>0.227</w:t>
            </w:r>
          </w:p>
        </w:tc>
      </w:tr>
      <w:tr w:rsidR="009A7430" w:rsidRPr="001569FB" w14:paraId="48B6A5E0" w14:textId="77777777" w:rsidTr="008D4E91">
        <w:trPr>
          <w:trHeight w:val="315"/>
        </w:trPr>
        <w:tc>
          <w:tcPr>
            <w:tcW w:w="3053" w:type="dxa"/>
            <w:noWrap/>
            <w:hideMark/>
          </w:tcPr>
          <w:p w14:paraId="5DC2F155" w14:textId="77777777" w:rsidR="009A7430" w:rsidRPr="001569FB" w:rsidRDefault="009A7430" w:rsidP="008D4E91">
            <w:pPr>
              <w:pStyle w:val="ListParagraph"/>
              <w:ind w:left="115"/>
              <w:rPr>
                <w:bCs/>
                <w:sz w:val="20"/>
                <w:szCs w:val="20"/>
              </w:rPr>
            </w:pPr>
            <w:r w:rsidRPr="001569FB">
              <w:rPr>
                <w:bCs/>
                <w:sz w:val="20"/>
                <w:szCs w:val="20"/>
              </w:rPr>
              <w:t xml:space="preserve">CHF_RENAL </w:t>
            </w:r>
          </w:p>
        </w:tc>
        <w:tc>
          <w:tcPr>
            <w:tcW w:w="4412" w:type="dxa"/>
            <w:hideMark/>
          </w:tcPr>
          <w:p w14:paraId="1AB122AC" w14:textId="77777777" w:rsidR="009A7430" w:rsidRPr="001569FB" w:rsidRDefault="009A7430" w:rsidP="008D4E91">
            <w:pPr>
              <w:pStyle w:val="ListParagraph"/>
              <w:ind w:left="120"/>
              <w:rPr>
                <w:bCs/>
                <w:sz w:val="20"/>
                <w:szCs w:val="20"/>
              </w:rPr>
            </w:pPr>
            <w:r w:rsidRPr="001569FB">
              <w:rPr>
                <w:bCs/>
                <w:sz w:val="20"/>
                <w:szCs w:val="20"/>
              </w:rPr>
              <w:t>Congestive Heart Failure*Renal Disease</w:t>
            </w:r>
          </w:p>
        </w:tc>
        <w:tc>
          <w:tcPr>
            <w:tcW w:w="1885" w:type="dxa"/>
            <w:noWrap/>
            <w:hideMark/>
          </w:tcPr>
          <w:p w14:paraId="188BDD5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79A830E" w14:textId="77777777" w:rsidTr="008D4E91">
        <w:trPr>
          <w:trHeight w:val="630"/>
        </w:trPr>
        <w:tc>
          <w:tcPr>
            <w:tcW w:w="3053" w:type="dxa"/>
            <w:noWrap/>
            <w:hideMark/>
          </w:tcPr>
          <w:p w14:paraId="22064B5B" w14:textId="77777777" w:rsidR="009A7430" w:rsidRPr="001569FB" w:rsidRDefault="009A7430" w:rsidP="008D4E91">
            <w:pPr>
              <w:pStyle w:val="ListParagraph"/>
              <w:ind w:left="115"/>
              <w:rPr>
                <w:bCs/>
                <w:sz w:val="20"/>
                <w:szCs w:val="20"/>
              </w:rPr>
            </w:pPr>
            <w:r w:rsidRPr="001569FB">
              <w:rPr>
                <w:bCs/>
                <w:sz w:val="20"/>
                <w:szCs w:val="20"/>
              </w:rPr>
              <w:t>COPD_CARD_RESP_FAIL</w:t>
            </w:r>
          </w:p>
        </w:tc>
        <w:tc>
          <w:tcPr>
            <w:tcW w:w="4412" w:type="dxa"/>
            <w:hideMark/>
          </w:tcPr>
          <w:p w14:paraId="6685B8C0" w14:textId="77777777" w:rsidR="009A7430" w:rsidRPr="001569FB" w:rsidRDefault="009A7430" w:rsidP="008D4E91">
            <w:pPr>
              <w:pStyle w:val="ListParagraph"/>
              <w:ind w:left="120"/>
              <w:rPr>
                <w:bCs/>
                <w:sz w:val="20"/>
                <w:szCs w:val="20"/>
              </w:rPr>
            </w:pPr>
            <w:r w:rsidRPr="001569FB">
              <w:rPr>
                <w:bCs/>
                <w:sz w:val="20"/>
                <w:szCs w:val="20"/>
              </w:rPr>
              <w:t>Chronic Obstructive Pulmonary Disease*Cardiorespiratory Failure</w:t>
            </w:r>
          </w:p>
        </w:tc>
        <w:tc>
          <w:tcPr>
            <w:tcW w:w="1885" w:type="dxa"/>
            <w:noWrap/>
            <w:hideMark/>
          </w:tcPr>
          <w:p w14:paraId="330D7DA9" w14:textId="77777777" w:rsidR="009A7430" w:rsidRPr="001569FB" w:rsidRDefault="009A7430" w:rsidP="008D4E91">
            <w:pPr>
              <w:pStyle w:val="ListParagraph"/>
              <w:ind w:left="33"/>
              <w:jc w:val="center"/>
              <w:rPr>
                <w:bCs/>
                <w:sz w:val="20"/>
                <w:szCs w:val="20"/>
              </w:rPr>
            </w:pPr>
            <w:r w:rsidRPr="001569FB">
              <w:rPr>
                <w:bCs/>
                <w:sz w:val="20"/>
                <w:szCs w:val="20"/>
              </w:rPr>
              <w:t>0.453</w:t>
            </w:r>
          </w:p>
        </w:tc>
      </w:tr>
      <w:tr w:rsidR="009A7430" w:rsidRPr="001569FB" w14:paraId="0B78E9FA" w14:textId="77777777" w:rsidTr="008D4E91">
        <w:trPr>
          <w:trHeight w:val="300"/>
        </w:trPr>
        <w:tc>
          <w:tcPr>
            <w:tcW w:w="9350" w:type="dxa"/>
            <w:gridSpan w:val="3"/>
            <w:noWrap/>
            <w:hideMark/>
          </w:tcPr>
          <w:p w14:paraId="6DA26E93" w14:textId="77777777" w:rsidR="009A7430" w:rsidRPr="001569FB" w:rsidRDefault="009A7430" w:rsidP="008D4E91">
            <w:pPr>
              <w:rPr>
                <w:bCs/>
                <w:sz w:val="20"/>
                <w:szCs w:val="20"/>
              </w:rPr>
            </w:pPr>
            <w:r w:rsidRPr="001569FB">
              <w:rPr>
                <w:b/>
                <w:bCs/>
                <w:sz w:val="20"/>
                <w:szCs w:val="20"/>
              </w:rPr>
              <w:t>NonAged (Age &lt;65)/Disease Interactions</w:t>
            </w:r>
            <w:r w:rsidRPr="001569FB">
              <w:rPr>
                <w:bCs/>
                <w:sz w:val="20"/>
                <w:szCs w:val="20"/>
              </w:rPr>
              <w:t> </w:t>
            </w:r>
          </w:p>
        </w:tc>
      </w:tr>
      <w:tr w:rsidR="009A7430" w:rsidRPr="001569FB" w14:paraId="6FB49CC4" w14:textId="77777777" w:rsidTr="008D4E91">
        <w:trPr>
          <w:trHeight w:val="315"/>
        </w:trPr>
        <w:tc>
          <w:tcPr>
            <w:tcW w:w="3053" w:type="dxa"/>
            <w:noWrap/>
            <w:hideMark/>
          </w:tcPr>
          <w:p w14:paraId="38B4D6F1" w14:textId="77777777" w:rsidR="009A7430" w:rsidRPr="001569FB" w:rsidRDefault="009A7430" w:rsidP="008D4E91">
            <w:pPr>
              <w:pStyle w:val="ListParagraph"/>
              <w:ind w:left="115"/>
              <w:rPr>
                <w:bCs/>
                <w:sz w:val="20"/>
                <w:szCs w:val="20"/>
              </w:rPr>
            </w:pPr>
            <w:r w:rsidRPr="001569FB">
              <w:rPr>
                <w:bCs/>
                <w:sz w:val="20"/>
                <w:szCs w:val="20"/>
              </w:rPr>
              <w:t>NONAGED_HCC6</w:t>
            </w:r>
          </w:p>
        </w:tc>
        <w:tc>
          <w:tcPr>
            <w:tcW w:w="4412" w:type="dxa"/>
            <w:hideMark/>
          </w:tcPr>
          <w:p w14:paraId="0CA69B18" w14:textId="77777777" w:rsidR="009A7430" w:rsidRPr="001569FB" w:rsidRDefault="009A7430" w:rsidP="008D4E91">
            <w:pPr>
              <w:pStyle w:val="ListParagraph"/>
              <w:ind w:left="120"/>
              <w:rPr>
                <w:bCs/>
                <w:sz w:val="20"/>
                <w:szCs w:val="20"/>
              </w:rPr>
            </w:pPr>
            <w:r w:rsidRPr="001569FB">
              <w:rPr>
                <w:bCs/>
                <w:sz w:val="20"/>
                <w:szCs w:val="20"/>
              </w:rPr>
              <w:t>NonAged, Opportunistic Infections</w:t>
            </w:r>
          </w:p>
        </w:tc>
        <w:tc>
          <w:tcPr>
            <w:tcW w:w="1885" w:type="dxa"/>
            <w:noWrap/>
            <w:hideMark/>
          </w:tcPr>
          <w:p w14:paraId="6E989C64" w14:textId="77777777" w:rsidR="009A7430" w:rsidRPr="001569FB" w:rsidRDefault="009A7430" w:rsidP="008D4E91">
            <w:pPr>
              <w:pStyle w:val="ListParagraph"/>
              <w:ind w:left="33"/>
              <w:jc w:val="center"/>
              <w:rPr>
                <w:bCs/>
                <w:sz w:val="20"/>
                <w:szCs w:val="20"/>
              </w:rPr>
            </w:pPr>
            <w:r w:rsidRPr="001569FB">
              <w:rPr>
                <w:bCs/>
                <w:sz w:val="20"/>
                <w:szCs w:val="20"/>
              </w:rPr>
              <w:t>0.561</w:t>
            </w:r>
          </w:p>
        </w:tc>
      </w:tr>
      <w:tr w:rsidR="009A7430" w:rsidRPr="001569FB" w14:paraId="7BDE72F6" w14:textId="77777777" w:rsidTr="008D4E91">
        <w:trPr>
          <w:trHeight w:val="315"/>
        </w:trPr>
        <w:tc>
          <w:tcPr>
            <w:tcW w:w="3053" w:type="dxa"/>
            <w:noWrap/>
            <w:hideMark/>
          </w:tcPr>
          <w:p w14:paraId="7EEEEF87" w14:textId="77777777" w:rsidR="009A7430" w:rsidRPr="001569FB" w:rsidRDefault="009A7430" w:rsidP="008D4E91">
            <w:pPr>
              <w:pStyle w:val="ListParagraph"/>
              <w:ind w:left="115"/>
              <w:rPr>
                <w:bCs/>
                <w:sz w:val="20"/>
                <w:szCs w:val="20"/>
              </w:rPr>
            </w:pPr>
            <w:r w:rsidRPr="001569FB">
              <w:rPr>
                <w:bCs/>
                <w:sz w:val="20"/>
                <w:szCs w:val="20"/>
              </w:rPr>
              <w:t>NONAGED_HCC34</w:t>
            </w:r>
          </w:p>
        </w:tc>
        <w:tc>
          <w:tcPr>
            <w:tcW w:w="4412" w:type="dxa"/>
            <w:hideMark/>
          </w:tcPr>
          <w:p w14:paraId="2F6816A3" w14:textId="77777777" w:rsidR="009A7430" w:rsidRPr="001569FB" w:rsidRDefault="009A7430" w:rsidP="008D4E91">
            <w:pPr>
              <w:pStyle w:val="ListParagraph"/>
              <w:ind w:left="120"/>
              <w:rPr>
                <w:bCs/>
                <w:sz w:val="20"/>
                <w:szCs w:val="20"/>
              </w:rPr>
            </w:pPr>
            <w:r w:rsidRPr="001569FB">
              <w:rPr>
                <w:bCs/>
                <w:sz w:val="20"/>
                <w:szCs w:val="20"/>
              </w:rPr>
              <w:t>NonAged, Chronic Pancreatitis</w:t>
            </w:r>
          </w:p>
        </w:tc>
        <w:tc>
          <w:tcPr>
            <w:tcW w:w="1885" w:type="dxa"/>
            <w:noWrap/>
            <w:hideMark/>
          </w:tcPr>
          <w:p w14:paraId="47394A26" w14:textId="77777777" w:rsidR="009A7430" w:rsidRPr="001569FB" w:rsidRDefault="009A7430" w:rsidP="008D4E91">
            <w:pPr>
              <w:pStyle w:val="ListParagraph"/>
              <w:ind w:left="33"/>
              <w:jc w:val="center"/>
              <w:rPr>
                <w:bCs/>
                <w:sz w:val="20"/>
                <w:szCs w:val="20"/>
              </w:rPr>
            </w:pPr>
            <w:r w:rsidRPr="001569FB">
              <w:rPr>
                <w:bCs/>
                <w:sz w:val="20"/>
                <w:szCs w:val="20"/>
              </w:rPr>
              <w:t>0.534</w:t>
            </w:r>
          </w:p>
        </w:tc>
      </w:tr>
      <w:tr w:rsidR="009A7430" w:rsidRPr="001569FB" w14:paraId="030B5A80" w14:textId="77777777" w:rsidTr="008D4E91">
        <w:trPr>
          <w:trHeight w:val="315"/>
        </w:trPr>
        <w:tc>
          <w:tcPr>
            <w:tcW w:w="3053" w:type="dxa"/>
            <w:noWrap/>
            <w:hideMark/>
          </w:tcPr>
          <w:p w14:paraId="1FED3B6F" w14:textId="77777777" w:rsidR="009A7430" w:rsidRPr="001569FB" w:rsidRDefault="009A7430" w:rsidP="008D4E91">
            <w:pPr>
              <w:pStyle w:val="ListParagraph"/>
              <w:ind w:left="115"/>
              <w:rPr>
                <w:bCs/>
                <w:sz w:val="20"/>
                <w:szCs w:val="20"/>
              </w:rPr>
            </w:pPr>
            <w:r w:rsidRPr="001569FB">
              <w:rPr>
                <w:bCs/>
                <w:sz w:val="20"/>
                <w:szCs w:val="20"/>
              </w:rPr>
              <w:t>NONAGED_HCC46</w:t>
            </w:r>
          </w:p>
        </w:tc>
        <w:tc>
          <w:tcPr>
            <w:tcW w:w="4412" w:type="dxa"/>
            <w:hideMark/>
          </w:tcPr>
          <w:p w14:paraId="6B0DD2BC" w14:textId="77777777" w:rsidR="009A7430" w:rsidRPr="001569FB" w:rsidRDefault="009A7430" w:rsidP="008D4E91">
            <w:pPr>
              <w:pStyle w:val="ListParagraph"/>
              <w:ind w:left="120"/>
              <w:rPr>
                <w:bCs/>
                <w:sz w:val="20"/>
                <w:szCs w:val="20"/>
              </w:rPr>
            </w:pPr>
            <w:r w:rsidRPr="001569FB">
              <w:rPr>
                <w:bCs/>
                <w:sz w:val="20"/>
                <w:szCs w:val="20"/>
              </w:rPr>
              <w:t>NonAged, Severe Hematological Disorders</w:t>
            </w:r>
          </w:p>
        </w:tc>
        <w:tc>
          <w:tcPr>
            <w:tcW w:w="1885" w:type="dxa"/>
            <w:noWrap/>
            <w:hideMark/>
          </w:tcPr>
          <w:p w14:paraId="0C5A6618" w14:textId="77777777" w:rsidR="009A7430" w:rsidRPr="001569FB" w:rsidRDefault="009A7430" w:rsidP="008D4E91">
            <w:pPr>
              <w:pStyle w:val="ListParagraph"/>
              <w:ind w:left="33"/>
              <w:jc w:val="center"/>
              <w:rPr>
                <w:bCs/>
                <w:sz w:val="20"/>
                <w:szCs w:val="20"/>
              </w:rPr>
            </w:pPr>
            <w:r w:rsidRPr="001569FB">
              <w:rPr>
                <w:bCs/>
                <w:sz w:val="20"/>
                <w:szCs w:val="20"/>
              </w:rPr>
              <w:t>2.791</w:t>
            </w:r>
          </w:p>
        </w:tc>
      </w:tr>
      <w:tr w:rsidR="009A7430" w:rsidRPr="001569FB" w14:paraId="5B18E54A" w14:textId="77777777" w:rsidTr="008D4E91">
        <w:trPr>
          <w:trHeight w:val="315"/>
        </w:trPr>
        <w:tc>
          <w:tcPr>
            <w:tcW w:w="3053" w:type="dxa"/>
            <w:noWrap/>
            <w:hideMark/>
          </w:tcPr>
          <w:p w14:paraId="659B8151" w14:textId="77777777" w:rsidR="009A7430" w:rsidRPr="001569FB" w:rsidRDefault="009A7430" w:rsidP="008D4E91">
            <w:pPr>
              <w:pStyle w:val="ListParagraph"/>
              <w:ind w:left="115"/>
              <w:rPr>
                <w:bCs/>
                <w:sz w:val="20"/>
                <w:szCs w:val="20"/>
              </w:rPr>
            </w:pPr>
            <w:r w:rsidRPr="001569FB">
              <w:rPr>
                <w:bCs/>
                <w:sz w:val="20"/>
                <w:szCs w:val="20"/>
              </w:rPr>
              <w:t>NONAGED_HCC54</w:t>
            </w:r>
          </w:p>
        </w:tc>
        <w:tc>
          <w:tcPr>
            <w:tcW w:w="4412" w:type="dxa"/>
            <w:hideMark/>
          </w:tcPr>
          <w:p w14:paraId="19BCEFB3" w14:textId="77777777" w:rsidR="009A7430" w:rsidRPr="001569FB" w:rsidRDefault="009A7430" w:rsidP="008D4E91">
            <w:pPr>
              <w:pStyle w:val="ListParagraph"/>
              <w:ind w:left="120"/>
              <w:rPr>
                <w:bCs/>
                <w:sz w:val="20"/>
                <w:szCs w:val="20"/>
              </w:rPr>
            </w:pPr>
            <w:r w:rsidRPr="001569FB">
              <w:rPr>
                <w:bCs/>
                <w:sz w:val="20"/>
                <w:szCs w:val="20"/>
              </w:rPr>
              <w:t>NonAged, Drug/Alcohol Psychosis</w:t>
            </w:r>
          </w:p>
        </w:tc>
        <w:tc>
          <w:tcPr>
            <w:tcW w:w="1885" w:type="dxa"/>
            <w:noWrap/>
            <w:hideMark/>
          </w:tcPr>
          <w:p w14:paraId="00446665" w14:textId="77777777" w:rsidR="009A7430" w:rsidRPr="001569FB" w:rsidRDefault="009A7430" w:rsidP="008D4E91">
            <w:pPr>
              <w:pStyle w:val="ListParagraph"/>
              <w:ind w:left="33"/>
              <w:jc w:val="center"/>
              <w:rPr>
                <w:bCs/>
                <w:sz w:val="20"/>
                <w:szCs w:val="20"/>
              </w:rPr>
            </w:pPr>
            <w:r w:rsidRPr="001569FB">
              <w:rPr>
                <w:bCs/>
                <w:sz w:val="20"/>
                <w:szCs w:val="20"/>
              </w:rPr>
              <w:t>0.549</w:t>
            </w:r>
          </w:p>
        </w:tc>
      </w:tr>
      <w:tr w:rsidR="009A7430" w:rsidRPr="001569FB" w14:paraId="3E8FEC59" w14:textId="77777777" w:rsidTr="008D4E91">
        <w:trPr>
          <w:trHeight w:val="315"/>
        </w:trPr>
        <w:tc>
          <w:tcPr>
            <w:tcW w:w="3053" w:type="dxa"/>
            <w:noWrap/>
            <w:hideMark/>
          </w:tcPr>
          <w:p w14:paraId="6521355A" w14:textId="77777777" w:rsidR="009A7430" w:rsidRPr="001569FB" w:rsidRDefault="009A7430" w:rsidP="008D4E91">
            <w:pPr>
              <w:pStyle w:val="ListParagraph"/>
              <w:ind w:left="115"/>
              <w:rPr>
                <w:bCs/>
                <w:sz w:val="20"/>
                <w:szCs w:val="20"/>
              </w:rPr>
            </w:pPr>
            <w:r w:rsidRPr="001569FB">
              <w:rPr>
                <w:bCs/>
                <w:sz w:val="20"/>
                <w:szCs w:val="20"/>
              </w:rPr>
              <w:lastRenderedPageBreak/>
              <w:t>NONAGED_HCC55</w:t>
            </w:r>
          </w:p>
        </w:tc>
        <w:tc>
          <w:tcPr>
            <w:tcW w:w="4412" w:type="dxa"/>
            <w:hideMark/>
          </w:tcPr>
          <w:p w14:paraId="4608B462" w14:textId="77777777" w:rsidR="009A7430" w:rsidRPr="001569FB" w:rsidRDefault="009A7430" w:rsidP="008D4E91">
            <w:pPr>
              <w:pStyle w:val="ListParagraph"/>
              <w:ind w:left="120"/>
              <w:rPr>
                <w:bCs/>
                <w:sz w:val="20"/>
                <w:szCs w:val="20"/>
              </w:rPr>
            </w:pPr>
            <w:r w:rsidRPr="001569FB">
              <w:rPr>
                <w:bCs/>
                <w:sz w:val="20"/>
                <w:szCs w:val="20"/>
              </w:rPr>
              <w:t>NonAged, Drug/Alcohol Dependence</w:t>
            </w:r>
          </w:p>
        </w:tc>
        <w:tc>
          <w:tcPr>
            <w:tcW w:w="1885" w:type="dxa"/>
            <w:noWrap/>
            <w:hideMark/>
          </w:tcPr>
          <w:p w14:paraId="56FCE2A6" w14:textId="77777777" w:rsidR="009A7430" w:rsidRPr="001569FB" w:rsidRDefault="009A7430" w:rsidP="008D4E91">
            <w:pPr>
              <w:pStyle w:val="ListParagraph"/>
              <w:ind w:left="33"/>
              <w:jc w:val="center"/>
              <w:rPr>
                <w:bCs/>
                <w:sz w:val="20"/>
                <w:szCs w:val="20"/>
              </w:rPr>
            </w:pPr>
            <w:r w:rsidRPr="001569FB">
              <w:rPr>
                <w:bCs/>
                <w:sz w:val="20"/>
                <w:szCs w:val="20"/>
              </w:rPr>
              <w:t>0.066</w:t>
            </w:r>
          </w:p>
        </w:tc>
      </w:tr>
      <w:tr w:rsidR="009A7430" w:rsidRPr="001569FB" w14:paraId="7E2B2016" w14:textId="77777777" w:rsidTr="008D4E91">
        <w:trPr>
          <w:trHeight w:val="315"/>
        </w:trPr>
        <w:tc>
          <w:tcPr>
            <w:tcW w:w="3053" w:type="dxa"/>
            <w:noWrap/>
            <w:hideMark/>
          </w:tcPr>
          <w:p w14:paraId="326AD758" w14:textId="77777777" w:rsidR="009A7430" w:rsidRPr="001569FB" w:rsidRDefault="009A7430" w:rsidP="008D4E91">
            <w:pPr>
              <w:pStyle w:val="ListParagraph"/>
              <w:ind w:left="115"/>
              <w:rPr>
                <w:bCs/>
                <w:sz w:val="20"/>
                <w:szCs w:val="20"/>
              </w:rPr>
            </w:pPr>
            <w:r w:rsidRPr="001569FB">
              <w:rPr>
                <w:bCs/>
                <w:sz w:val="20"/>
                <w:szCs w:val="20"/>
              </w:rPr>
              <w:t>NONAGED_HCC110</w:t>
            </w:r>
          </w:p>
        </w:tc>
        <w:tc>
          <w:tcPr>
            <w:tcW w:w="4412" w:type="dxa"/>
            <w:hideMark/>
          </w:tcPr>
          <w:p w14:paraId="47D4099C" w14:textId="77777777" w:rsidR="009A7430" w:rsidRPr="001569FB" w:rsidRDefault="009A7430" w:rsidP="008D4E91">
            <w:pPr>
              <w:pStyle w:val="ListParagraph"/>
              <w:ind w:left="120"/>
              <w:rPr>
                <w:bCs/>
                <w:sz w:val="20"/>
                <w:szCs w:val="20"/>
              </w:rPr>
            </w:pPr>
            <w:r w:rsidRPr="001569FB">
              <w:rPr>
                <w:bCs/>
                <w:sz w:val="20"/>
                <w:szCs w:val="20"/>
              </w:rPr>
              <w:t>NonAged, Cystic Fibrosis</w:t>
            </w:r>
          </w:p>
        </w:tc>
        <w:tc>
          <w:tcPr>
            <w:tcW w:w="1885" w:type="dxa"/>
            <w:noWrap/>
            <w:hideMark/>
          </w:tcPr>
          <w:p w14:paraId="2C8179D1" w14:textId="77777777" w:rsidR="009A7430" w:rsidRPr="001569FB" w:rsidRDefault="009A7430" w:rsidP="008D4E91">
            <w:pPr>
              <w:pStyle w:val="ListParagraph"/>
              <w:ind w:left="33"/>
              <w:jc w:val="center"/>
              <w:rPr>
                <w:bCs/>
                <w:sz w:val="20"/>
                <w:szCs w:val="20"/>
              </w:rPr>
            </w:pPr>
            <w:r w:rsidRPr="001569FB">
              <w:rPr>
                <w:bCs/>
                <w:sz w:val="20"/>
                <w:szCs w:val="20"/>
              </w:rPr>
              <w:t>2.746</w:t>
            </w:r>
          </w:p>
        </w:tc>
      </w:tr>
      <w:tr w:rsidR="009A7430" w:rsidRPr="001569FB" w14:paraId="08D7C249" w14:textId="77777777" w:rsidTr="008D4E91">
        <w:trPr>
          <w:trHeight w:val="630"/>
        </w:trPr>
        <w:tc>
          <w:tcPr>
            <w:tcW w:w="3053" w:type="dxa"/>
            <w:noWrap/>
            <w:hideMark/>
          </w:tcPr>
          <w:p w14:paraId="577AF20A" w14:textId="77777777" w:rsidR="009A7430" w:rsidRPr="001569FB" w:rsidRDefault="009A7430" w:rsidP="008D4E91">
            <w:pPr>
              <w:pStyle w:val="ListParagraph"/>
              <w:ind w:left="115"/>
              <w:rPr>
                <w:bCs/>
                <w:sz w:val="20"/>
                <w:szCs w:val="20"/>
              </w:rPr>
            </w:pPr>
            <w:r w:rsidRPr="001569FB">
              <w:rPr>
                <w:bCs/>
                <w:sz w:val="20"/>
                <w:szCs w:val="20"/>
              </w:rPr>
              <w:t xml:space="preserve">NONAGED_HCC176 </w:t>
            </w:r>
          </w:p>
        </w:tc>
        <w:tc>
          <w:tcPr>
            <w:tcW w:w="4412" w:type="dxa"/>
            <w:hideMark/>
          </w:tcPr>
          <w:p w14:paraId="22A441D3" w14:textId="77777777" w:rsidR="009A7430" w:rsidRPr="001569FB" w:rsidRDefault="009A7430" w:rsidP="008D4E91">
            <w:pPr>
              <w:pStyle w:val="ListParagraph"/>
              <w:ind w:left="120"/>
              <w:rPr>
                <w:bCs/>
                <w:sz w:val="20"/>
                <w:szCs w:val="20"/>
              </w:rPr>
            </w:pPr>
            <w:r w:rsidRPr="001569FB">
              <w:rPr>
                <w:bCs/>
                <w:sz w:val="20"/>
                <w:szCs w:val="20"/>
              </w:rPr>
              <w:t>NonAged, Complications of Specified Implanted Device or Graft</w:t>
            </w:r>
          </w:p>
        </w:tc>
        <w:tc>
          <w:tcPr>
            <w:tcW w:w="1885" w:type="dxa"/>
            <w:noWrap/>
            <w:hideMark/>
          </w:tcPr>
          <w:p w14:paraId="127E0D7A" w14:textId="77777777" w:rsidR="009A7430" w:rsidRPr="001569FB" w:rsidRDefault="009A7430" w:rsidP="008D4E91">
            <w:pPr>
              <w:pStyle w:val="ListParagraph"/>
              <w:ind w:left="33"/>
              <w:jc w:val="center"/>
              <w:rPr>
                <w:bCs/>
                <w:sz w:val="20"/>
                <w:szCs w:val="20"/>
              </w:rPr>
            </w:pPr>
            <w:r w:rsidRPr="001569FB">
              <w:rPr>
                <w:sz w:val="20"/>
                <w:szCs w:val="20"/>
              </w:rPr>
              <w:t>–</w:t>
            </w:r>
          </w:p>
        </w:tc>
      </w:tr>
    </w:tbl>
    <w:p w14:paraId="7162915D" w14:textId="77777777" w:rsidR="009A7430" w:rsidRPr="001569FB" w:rsidRDefault="009A7430" w:rsidP="002707EC">
      <w:pPr>
        <w:spacing w:before="120"/>
        <w:rPr>
          <w:b/>
          <w:sz w:val="18"/>
          <w:szCs w:val="18"/>
        </w:rPr>
      </w:pPr>
      <w:r w:rsidRPr="001569FB">
        <w:rPr>
          <w:b/>
          <w:sz w:val="18"/>
          <w:szCs w:val="18"/>
        </w:rPr>
        <w:t>NOTES:</w:t>
      </w:r>
    </w:p>
    <w:p w14:paraId="6D6F8814" w14:textId="0ADF2399"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r w:rsidRPr="001569FB">
        <w:rPr>
          <w:sz w:val="18"/>
          <w:szCs w:val="18"/>
        </w:rPr>
        <w:t>The Denominator used to calculate the relative factors is $9,366.89.</w:t>
      </w:r>
    </w:p>
    <w:p w14:paraId="6AC46BA9" w14:textId="2D654F4B" w:rsidR="009A7430" w:rsidRPr="001569FB" w:rsidRDefault="009A7430" w:rsidP="002707EC">
      <w:pPr>
        <w:spacing w:before="40" w:line="240" w:lineRule="auto"/>
        <w:ind w:left="720" w:right="180" w:hanging="360"/>
        <w:rPr>
          <w:sz w:val="18"/>
          <w:szCs w:val="18"/>
        </w:rPr>
      </w:pPr>
      <w:r w:rsidRPr="001569FB">
        <w:rPr>
          <w:sz w:val="18"/>
          <w:szCs w:val="18"/>
        </w:rPr>
        <w:t>2.</w:t>
      </w:r>
      <w:r w:rsidR="00EE73C0"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545F6BEA" w14:textId="646C5E71"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Disabled terms refer to beneficiaries originally entitled to Medicare for reasons of disability other than ESRD. </w:t>
      </w:r>
    </w:p>
    <w:p w14:paraId="6BBBD60F" w14:textId="605CCDC5" w:rsidR="009A7430" w:rsidRPr="001569FB" w:rsidRDefault="009A7430" w:rsidP="00AC78D9">
      <w:pPr>
        <w:pStyle w:val="ListParagraph"/>
        <w:numPr>
          <w:ilvl w:val="0"/>
          <w:numId w:val="26"/>
        </w:numPr>
        <w:spacing w:before="40" w:line="240" w:lineRule="auto"/>
        <w:rPr>
          <w:sz w:val="18"/>
          <w:szCs w:val="18"/>
        </w:rPr>
      </w:pPr>
      <w:r w:rsidRPr="001569FB">
        <w:rPr>
          <w:sz w:val="18"/>
          <w:szCs w:val="18"/>
        </w:rPr>
        <w:t xml:space="preserve">In the </w:t>
      </w:r>
      <w:r w:rsidR="00A24AFE" w:rsidRPr="001569FB">
        <w:rPr>
          <w:sz w:val="18"/>
          <w:szCs w:val="18"/>
        </w:rPr>
        <w:t>“</w:t>
      </w:r>
      <w:r w:rsidRPr="001569FB">
        <w:rPr>
          <w:sz w:val="18"/>
          <w:szCs w:val="18"/>
        </w:rPr>
        <w:t>disease interactions,</w:t>
      </w:r>
      <w:r w:rsidR="00A24AFE" w:rsidRPr="001569FB">
        <w:rPr>
          <w:sz w:val="18"/>
          <w:szCs w:val="18"/>
        </w:rPr>
        <w:t>”</w:t>
      </w:r>
      <w:r w:rsidRPr="001569FB">
        <w:rPr>
          <w:sz w:val="18"/>
          <w:szCs w:val="18"/>
        </w:rPr>
        <w:t xml:space="preserve"> the variables are defined as follows:</w:t>
      </w:r>
    </w:p>
    <w:p w14:paraId="200FE66D" w14:textId="77777777" w:rsidR="009A7430" w:rsidRPr="001569FB" w:rsidRDefault="009A7430" w:rsidP="002707EC">
      <w:pPr>
        <w:spacing w:line="240" w:lineRule="auto"/>
        <w:ind w:left="1080"/>
        <w:rPr>
          <w:sz w:val="18"/>
          <w:szCs w:val="18"/>
        </w:rPr>
      </w:pPr>
      <w:r w:rsidRPr="001569FB">
        <w:rPr>
          <w:sz w:val="18"/>
          <w:szCs w:val="18"/>
        </w:rPr>
        <w:t>Sepsis = HCC 2.</w:t>
      </w:r>
    </w:p>
    <w:p w14:paraId="1D07A98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9FEA5C2" w14:textId="77777777" w:rsidR="009A7430" w:rsidRPr="001569FB" w:rsidRDefault="009A7430" w:rsidP="002707EC">
      <w:pPr>
        <w:spacing w:line="240" w:lineRule="auto"/>
        <w:ind w:left="1080"/>
        <w:rPr>
          <w:sz w:val="18"/>
          <w:szCs w:val="18"/>
        </w:rPr>
      </w:pPr>
      <w:r w:rsidRPr="001569FB">
        <w:rPr>
          <w:sz w:val="18"/>
          <w:szCs w:val="18"/>
        </w:rPr>
        <w:t>Cancer = HCCs 8-12.</w:t>
      </w:r>
    </w:p>
    <w:p w14:paraId="4929F2E5"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695818D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73BE3EFB"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64831094"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48BE9A0C" w14:textId="6593FFA3" w:rsidR="009A7430" w:rsidRPr="001569FB" w:rsidRDefault="009A7430" w:rsidP="002707EC">
      <w:pPr>
        <w:spacing w:line="240" w:lineRule="auto"/>
        <w:ind w:left="1080"/>
        <w:rPr>
          <w:sz w:val="18"/>
          <w:szCs w:val="18"/>
        </w:rPr>
      </w:pPr>
      <w:r w:rsidRPr="001569FB">
        <w:rPr>
          <w:sz w:val="18"/>
          <w:szCs w:val="18"/>
        </w:rPr>
        <w:t>Renal Disease = HCCs 134-141.</w:t>
      </w:r>
    </w:p>
    <w:p w14:paraId="58CDDDE7" w14:textId="79C2FFA1" w:rsidR="009A7430" w:rsidRPr="001569FB" w:rsidRDefault="009A7430" w:rsidP="002707EC">
      <w:pPr>
        <w:spacing w:before="60" w:line="240" w:lineRule="auto"/>
      </w:pPr>
      <w:r w:rsidRPr="001569FB">
        <w:rPr>
          <w:b/>
          <w:bCs/>
          <w:sz w:val="18"/>
          <w:szCs w:val="18"/>
        </w:rPr>
        <w:t xml:space="preserve">SOURCE:  </w:t>
      </w:r>
      <w:r w:rsidRPr="001569FB">
        <w:rPr>
          <w:bCs/>
          <w:sz w:val="18"/>
          <w:szCs w:val="18"/>
        </w:rPr>
        <w:t>RTI International analysis of 2014/2015 100% ESRD sample claims and enrollment data and 2014/2015 Medicare 100% sample.</w:t>
      </w:r>
    </w:p>
    <w:p w14:paraId="22788626" w14:textId="53126D57" w:rsidR="009A7430" w:rsidRPr="001569FB" w:rsidRDefault="009A7430" w:rsidP="00E177CD">
      <w:pPr>
        <w:pStyle w:val="HeadingA"/>
      </w:pPr>
      <w:r w:rsidRPr="001569FB">
        <w:rPr>
          <w:b w:val="0"/>
          <w:bCs w:val="0"/>
        </w:rPr>
        <w:br w:type="page"/>
      </w:r>
      <w:bookmarkStart w:id="600" w:name="_Toc503950936"/>
      <w:bookmarkStart w:id="601" w:name="_Toc503980161"/>
      <w:bookmarkStart w:id="602" w:name="_Toc505253822"/>
      <w:r w:rsidRPr="001569FB">
        <w:lastRenderedPageBreak/>
        <w:t xml:space="preserve">Table </w:t>
      </w:r>
      <w:r w:rsidR="00440F3D" w:rsidRPr="001569FB">
        <w:t>V-</w:t>
      </w:r>
      <w:r w:rsidR="000B6CFC" w:rsidRPr="001569FB">
        <w:t>10</w:t>
      </w:r>
      <w:r w:rsidRPr="001569FB">
        <w:t>. ESRD Model Functioning Graft Relative Factors for Institutionalized Population</w:t>
      </w:r>
      <w:bookmarkEnd w:id="600"/>
      <w:bookmarkEnd w:id="601"/>
      <w:bookmarkEnd w:id="602"/>
    </w:p>
    <w:tbl>
      <w:tblPr>
        <w:tblStyle w:val="TableGrid"/>
        <w:tblW w:w="0" w:type="auto"/>
        <w:tblLook w:val="04A0" w:firstRow="1" w:lastRow="0" w:firstColumn="1" w:lastColumn="0" w:noHBand="0" w:noVBand="1"/>
      </w:tblPr>
      <w:tblGrid>
        <w:gridCol w:w="3694"/>
        <w:gridCol w:w="3556"/>
        <w:gridCol w:w="2100"/>
      </w:tblGrid>
      <w:tr w:rsidR="009A7430" w:rsidRPr="001569FB" w14:paraId="700C234E" w14:textId="77777777" w:rsidTr="00E177CD">
        <w:trPr>
          <w:cantSplit/>
          <w:trHeight w:val="315"/>
          <w:tblHeader/>
        </w:trPr>
        <w:tc>
          <w:tcPr>
            <w:tcW w:w="3694" w:type="dxa"/>
            <w:noWrap/>
            <w:hideMark/>
          </w:tcPr>
          <w:p w14:paraId="04BF15FB" w14:textId="77777777" w:rsidR="009A7430" w:rsidRPr="001569FB" w:rsidRDefault="009A7430" w:rsidP="008D4E91">
            <w:pPr>
              <w:rPr>
                <w:b/>
                <w:sz w:val="20"/>
                <w:szCs w:val="20"/>
              </w:rPr>
            </w:pPr>
            <w:r w:rsidRPr="001569FB">
              <w:rPr>
                <w:b/>
                <w:sz w:val="20"/>
                <w:szCs w:val="20"/>
              </w:rPr>
              <w:t>Variable</w:t>
            </w:r>
          </w:p>
        </w:tc>
        <w:tc>
          <w:tcPr>
            <w:tcW w:w="3556" w:type="dxa"/>
            <w:noWrap/>
            <w:hideMark/>
          </w:tcPr>
          <w:p w14:paraId="31BAFE2C" w14:textId="77777777" w:rsidR="009A7430" w:rsidRPr="001569FB" w:rsidRDefault="009A7430" w:rsidP="008D4E91">
            <w:pPr>
              <w:rPr>
                <w:b/>
                <w:bCs/>
                <w:sz w:val="20"/>
                <w:szCs w:val="20"/>
              </w:rPr>
            </w:pPr>
            <w:r w:rsidRPr="001569FB">
              <w:rPr>
                <w:b/>
                <w:bCs/>
                <w:sz w:val="20"/>
                <w:szCs w:val="20"/>
              </w:rPr>
              <w:t>Description Label</w:t>
            </w:r>
          </w:p>
        </w:tc>
        <w:tc>
          <w:tcPr>
            <w:tcW w:w="2100" w:type="dxa"/>
            <w:noWrap/>
            <w:hideMark/>
          </w:tcPr>
          <w:p w14:paraId="6DB5BC77"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25BB175F" w14:textId="77777777" w:rsidTr="008D4E91">
        <w:trPr>
          <w:trHeight w:val="315"/>
        </w:trPr>
        <w:tc>
          <w:tcPr>
            <w:tcW w:w="9350" w:type="dxa"/>
            <w:gridSpan w:val="3"/>
            <w:noWrap/>
            <w:hideMark/>
          </w:tcPr>
          <w:p w14:paraId="1CB34DC4" w14:textId="77777777" w:rsidR="009A7430" w:rsidRPr="001569FB" w:rsidRDefault="009A7430" w:rsidP="008D4E91">
            <w:pPr>
              <w:rPr>
                <w:sz w:val="20"/>
                <w:szCs w:val="20"/>
              </w:rPr>
            </w:pPr>
            <w:r w:rsidRPr="001569FB">
              <w:rPr>
                <w:b/>
                <w:bCs/>
                <w:sz w:val="20"/>
                <w:szCs w:val="20"/>
              </w:rPr>
              <w:t>Functioning Graft Factors</w:t>
            </w:r>
            <w:r w:rsidRPr="001569FB">
              <w:rPr>
                <w:sz w:val="20"/>
                <w:szCs w:val="20"/>
              </w:rPr>
              <w:t> </w:t>
            </w:r>
          </w:p>
        </w:tc>
      </w:tr>
      <w:tr w:rsidR="009A7430" w:rsidRPr="001569FB" w14:paraId="7EDF45A0" w14:textId="77777777" w:rsidTr="008D4E91">
        <w:trPr>
          <w:trHeight w:val="315"/>
        </w:trPr>
        <w:tc>
          <w:tcPr>
            <w:tcW w:w="7250" w:type="dxa"/>
            <w:gridSpan w:val="2"/>
            <w:noWrap/>
            <w:hideMark/>
          </w:tcPr>
          <w:p w14:paraId="157C4FB6" w14:textId="77777777" w:rsidR="009A7430" w:rsidRPr="001569FB" w:rsidRDefault="009A7430" w:rsidP="008D4E91">
            <w:pPr>
              <w:rPr>
                <w:sz w:val="20"/>
                <w:szCs w:val="20"/>
              </w:rPr>
            </w:pPr>
            <w:r w:rsidRPr="001569FB">
              <w:rPr>
                <w:sz w:val="20"/>
                <w:szCs w:val="20"/>
              </w:rPr>
              <w:t>Aged 65+, with duration since transplant of 4-9 months </w:t>
            </w:r>
          </w:p>
        </w:tc>
        <w:tc>
          <w:tcPr>
            <w:tcW w:w="2100" w:type="dxa"/>
            <w:noWrap/>
            <w:hideMark/>
          </w:tcPr>
          <w:p w14:paraId="5D0AB56F" w14:textId="77777777" w:rsidR="009A7430" w:rsidRPr="001569FB" w:rsidRDefault="009A7430" w:rsidP="008D4E91">
            <w:pPr>
              <w:jc w:val="center"/>
              <w:rPr>
                <w:sz w:val="20"/>
                <w:szCs w:val="20"/>
              </w:rPr>
            </w:pPr>
            <w:r w:rsidRPr="001569FB">
              <w:rPr>
                <w:sz w:val="20"/>
                <w:szCs w:val="20"/>
              </w:rPr>
              <w:t>2.562</w:t>
            </w:r>
          </w:p>
        </w:tc>
      </w:tr>
      <w:tr w:rsidR="009A7430" w:rsidRPr="001569FB" w14:paraId="0EA28435" w14:textId="77777777" w:rsidTr="008D4E91">
        <w:trPr>
          <w:trHeight w:val="315"/>
        </w:trPr>
        <w:tc>
          <w:tcPr>
            <w:tcW w:w="7250" w:type="dxa"/>
            <w:gridSpan w:val="2"/>
            <w:noWrap/>
            <w:hideMark/>
          </w:tcPr>
          <w:p w14:paraId="567F1751" w14:textId="77777777" w:rsidR="009A7430" w:rsidRPr="001569FB" w:rsidRDefault="009A7430" w:rsidP="008D4E91">
            <w:pPr>
              <w:rPr>
                <w:sz w:val="20"/>
                <w:szCs w:val="20"/>
              </w:rPr>
            </w:pPr>
            <w:r w:rsidRPr="001569FB">
              <w:rPr>
                <w:sz w:val="20"/>
                <w:szCs w:val="20"/>
              </w:rPr>
              <w:t>Aged &lt;65, with duration since transplant of 4-9 months </w:t>
            </w:r>
          </w:p>
        </w:tc>
        <w:tc>
          <w:tcPr>
            <w:tcW w:w="2100" w:type="dxa"/>
            <w:noWrap/>
            <w:hideMark/>
          </w:tcPr>
          <w:p w14:paraId="64AE5291" w14:textId="77777777" w:rsidR="009A7430" w:rsidRPr="001569FB" w:rsidRDefault="009A7430" w:rsidP="008D4E91">
            <w:pPr>
              <w:jc w:val="center"/>
              <w:rPr>
                <w:sz w:val="20"/>
                <w:szCs w:val="20"/>
              </w:rPr>
            </w:pPr>
            <w:r w:rsidRPr="001569FB">
              <w:rPr>
                <w:sz w:val="20"/>
                <w:szCs w:val="20"/>
              </w:rPr>
              <w:t>2.174</w:t>
            </w:r>
          </w:p>
        </w:tc>
      </w:tr>
      <w:tr w:rsidR="009A7430" w:rsidRPr="001569FB" w14:paraId="0AEDCA2C" w14:textId="77777777" w:rsidTr="008D4E91">
        <w:trPr>
          <w:trHeight w:val="315"/>
        </w:trPr>
        <w:tc>
          <w:tcPr>
            <w:tcW w:w="7250" w:type="dxa"/>
            <w:gridSpan w:val="2"/>
            <w:noWrap/>
            <w:hideMark/>
          </w:tcPr>
          <w:p w14:paraId="0BB69E94" w14:textId="77777777" w:rsidR="009A7430" w:rsidRPr="001569FB" w:rsidRDefault="009A7430" w:rsidP="008D4E91">
            <w:pPr>
              <w:rPr>
                <w:sz w:val="20"/>
                <w:szCs w:val="20"/>
              </w:rPr>
            </w:pPr>
            <w:r w:rsidRPr="001569FB">
              <w:rPr>
                <w:sz w:val="20"/>
                <w:szCs w:val="20"/>
              </w:rPr>
              <w:t>Aged 65+, with duration since transplant of 10 months or more </w:t>
            </w:r>
          </w:p>
        </w:tc>
        <w:tc>
          <w:tcPr>
            <w:tcW w:w="2100" w:type="dxa"/>
            <w:noWrap/>
            <w:hideMark/>
          </w:tcPr>
          <w:p w14:paraId="77EE4584" w14:textId="77777777" w:rsidR="009A7430" w:rsidRPr="001569FB" w:rsidRDefault="009A7430" w:rsidP="008D4E91">
            <w:pPr>
              <w:jc w:val="center"/>
              <w:rPr>
                <w:sz w:val="20"/>
                <w:szCs w:val="20"/>
              </w:rPr>
            </w:pPr>
            <w:r w:rsidRPr="001569FB">
              <w:rPr>
                <w:sz w:val="20"/>
                <w:szCs w:val="20"/>
              </w:rPr>
              <w:t>1.121</w:t>
            </w:r>
          </w:p>
        </w:tc>
      </w:tr>
      <w:tr w:rsidR="009A7430" w:rsidRPr="001569FB" w14:paraId="15197AB9" w14:textId="77777777" w:rsidTr="008D4E91">
        <w:trPr>
          <w:trHeight w:val="315"/>
        </w:trPr>
        <w:tc>
          <w:tcPr>
            <w:tcW w:w="7250" w:type="dxa"/>
            <w:gridSpan w:val="2"/>
            <w:noWrap/>
            <w:hideMark/>
          </w:tcPr>
          <w:p w14:paraId="5F71BF24" w14:textId="77777777" w:rsidR="009A7430" w:rsidRPr="001569FB" w:rsidRDefault="009A7430" w:rsidP="008D4E91">
            <w:pPr>
              <w:rPr>
                <w:sz w:val="20"/>
                <w:szCs w:val="20"/>
              </w:rPr>
            </w:pPr>
            <w:r w:rsidRPr="001569FB">
              <w:rPr>
                <w:sz w:val="20"/>
                <w:szCs w:val="20"/>
              </w:rPr>
              <w:t>Aged &lt;65, with duration since transplant of 10 months or more </w:t>
            </w:r>
          </w:p>
        </w:tc>
        <w:tc>
          <w:tcPr>
            <w:tcW w:w="2100" w:type="dxa"/>
            <w:noWrap/>
            <w:hideMark/>
          </w:tcPr>
          <w:p w14:paraId="29BEBB05" w14:textId="77777777" w:rsidR="009A7430" w:rsidRPr="001569FB" w:rsidRDefault="009A7430" w:rsidP="008D4E91">
            <w:pPr>
              <w:jc w:val="center"/>
              <w:rPr>
                <w:sz w:val="20"/>
                <w:szCs w:val="20"/>
              </w:rPr>
            </w:pPr>
            <w:r w:rsidRPr="001569FB">
              <w:rPr>
                <w:sz w:val="20"/>
                <w:szCs w:val="20"/>
              </w:rPr>
              <w:t>0.840</w:t>
            </w:r>
          </w:p>
        </w:tc>
      </w:tr>
      <w:tr w:rsidR="009A7430" w:rsidRPr="001569FB" w14:paraId="5EF3F11D" w14:textId="77777777" w:rsidTr="008D4E91">
        <w:trPr>
          <w:trHeight w:val="315"/>
        </w:trPr>
        <w:tc>
          <w:tcPr>
            <w:tcW w:w="9350" w:type="dxa"/>
            <w:gridSpan w:val="3"/>
            <w:noWrap/>
            <w:hideMark/>
          </w:tcPr>
          <w:p w14:paraId="0D85BEC3" w14:textId="77777777" w:rsidR="009A7430" w:rsidRPr="001569FB" w:rsidRDefault="009A7430" w:rsidP="008D4E91">
            <w:pPr>
              <w:rPr>
                <w:sz w:val="20"/>
                <w:szCs w:val="20"/>
              </w:rPr>
            </w:pPr>
            <w:r w:rsidRPr="001569FB">
              <w:rPr>
                <w:b/>
                <w:bCs/>
                <w:sz w:val="20"/>
                <w:szCs w:val="20"/>
              </w:rPr>
              <w:t>Female </w:t>
            </w:r>
          </w:p>
        </w:tc>
      </w:tr>
      <w:tr w:rsidR="009A7430" w:rsidRPr="001569FB" w14:paraId="6C8E43EC" w14:textId="77777777" w:rsidTr="008D4E91">
        <w:trPr>
          <w:trHeight w:val="315"/>
        </w:trPr>
        <w:tc>
          <w:tcPr>
            <w:tcW w:w="3694" w:type="dxa"/>
            <w:noWrap/>
            <w:hideMark/>
          </w:tcPr>
          <w:p w14:paraId="4F75E12B" w14:textId="77777777" w:rsidR="009A7430" w:rsidRPr="001569FB" w:rsidRDefault="009A7430" w:rsidP="008D4E91">
            <w:pPr>
              <w:rPr>
                <w:sz w:val="20"/>
                <w:szCs w:val="20"/>
              </w:rPr>
            </w:pPr>
            <w:r w:rsidRPr="001569FB">
              <w:rPr>
                <w:sz w:val="20"/>
                <w:szCs w:val="20"/>
              </w:rPr>
              <w:t>0-34 Years</w:t>
            </w:r>
          </w:p>
        </w:tc>
        <w:tc>
          <w:tcPr>
            <w:tcW w:w="3556" w:type="dxa"/>
            <w:noWrap/>
            <w:hideMark/>
          </w:tcPr>
          <w:p w14:paraId="784BFD38" w14:textId="77777777" w:rsidR="009A7430" w:rsidRPr="001569FB" w:rsidRDefault="009A7430" w:rsidP="008D4E91">
            <w:pPr>
              <w:rPr>
                <w:sz w:val="20"/>
                <w:szCs w:val="20"/>
              </w:rPr>
            </w:pPr>
            <w:r w:rsidRPr="001569FB">
              <w:rPr>
                <w:sz w:val="20"/>
                <w:szCs w:val="20"/>
              </w:rPr>
              <w:t> </w:t>
            </w:r>
          </w:p>
        </w:tc>
        <w:tc>
          <w:tcPr>
            <w:tcW w:w="2100" w:type="dxa"/>
            <w:noWrap/>
            <w:hideMark/>
          </w:tcPr>
          <w:p w14:paraId="163E3BF1" w14:textId="77777777" w:rsidR="009A7430" w:rsidRPr="001569FB" w:rsidRDefault="009A7430" w:rsidP="008D4E91">
            <w:pPr>
              <w:jc w:val="center"/>
              <w:rPr>
                <w:sz w:val="20"/>
                <w:szCs w:val="20"/>
              </w:rPr>
            </w:pPr>
            <w:r w:rsidRPr="001569FB">
              <w:rPr>
                <w:sz w:val="20"/>
                <w:szCs w:val="20"/>
              </w:rPr>
              <w:t>0.848</w:t>
            </w:r>
          </w:p>
        </w:tc>
      </w:tr>
      <w:tr w:rsidR="009A7430" w:rsidRPr="001569FB" w14:paraId="5DD1F861" w14:textId="77777777" w:rsidTr="008D4E91">
        <w:trPr>
          <w:trHeight w:val="315"/>
        </w:trPr>
        <w:tc>
          <w:tcPr>
            <w:tcW w:w="3694" w:type="dxa"/>
            <w:noWrap/>
            <w:hideMark/>
          </w:tcPr>
          <w:p w14:paraId="28D0977E"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65507FD5" w14:textId="77777777" w:rsidR="009A7430" w:rsidRPr="001569FB" w:rsidRDefault="009A7430" w:rsidP="008D4E91">
            <w:pPr>
              <w:rPr>
                <w:sz w:val="20"/>
                <w:szCs w:val="20"/>
              </w:rPr>
            </w:pPr>
            <w:r w:rsidRPr="001569FB">
              <w:rPr>
                <w:sz w:val="20"/>
                <w:szCs w:val="20"/>
              </w:rPr>
              <w:t> </w:t>
            </w:r>
          </w:p>
        </w:tc>
        <w:tc>
          <w:tcPr>
            <w:tcW w:w="2100" w:type="dxa"/>
            <w:noWrap/>
            <w:hideMark/>
          </w:tcPr>
          <w:p w14:paraId="5C44FE05" w14:textId="77777777" w:rsidR="009A7430" w:rsidRPr="001569FB" w:rsidRDefault="009A7430" w:rsidP="008D4E91">
            <w:pPr>
              <w:jc w:val="center"/>
              <w:rPr>
                <w:sz w:val="20"/>
                <w:szCs w:val="20"/>
              </w:rPr>
            </w:pPr>
            <w:r w:rsidRPr="001569FB">
              <w:rPr>
                <w:sz w:val="20"/>
                <w:szCs w:val="20"/>
              </w:rPr>
              <w:t>1.061</w:t>
            </w:r>
          </w:p>
        </w:tc>
      </w:tr>
      <w:tr w:rsidR="009A7430" w:rsidRPr="001569FB" w14:paraId="3DFE1EA0" w14:textId="77777777" w:rsidTr="008D4E91">
        <w:trPr>
          <w:trHeight w:val="315"/>
        </w:trPr>
        <w:tc>
          <w:tcPr>
            <w:tcW w:w="3694" w:type="dxa"/>
            <w:noWrap/>
            <w:hideMark/>
          </w:tcPr>
          <w:p w14:paraId="5B329706"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3ED8AFB3" w14:textId="77777777" w:rsidR="009A7430" w:rsidRPr="001569FB" w:rsidRDefault="009A7430" w:rsidP="008D4E91">
            <w:pPr>
              <w:rPr>
                <w:sz w:val="20"/>
                <w:szCs w:val="20"/>
              </w:rPr>
            </w:pPr>
            <w:r w:rsidRPr="001569FB">
              <w:rPr>
                <w:sz w:val="20"/>
                <w:szCs w:val="20"/>
              </w:rPr>
              <w:t> </w:t>
            </w:r>
          </w:p>
        </w:tc>
        <w:tc>
          <w:tcPr>
            <w:tcW w:w="2100" w:type="dxa"/>
            <w:noWrap/>
            <w:hideMark/>
          </w:tcPr>
          <w:p w14:paraId="19D93CCC" w14:textId="77777777" w:rsidR="009A7430" w:rsidRPr="001569FB" w:rsidRDefault="009A7430" w:rsidP="008D4E91">
            <w:pPr>
              <w:jc w:val="center"/>
              <w:rPr>
                <w:sz w:val="20"/>
                <w:szCs w:val="20"/>
              </w:rPr>
            </w:pPr>
            <w:r w:rsidRPr="001569FB">
              <w:rPr>
                <w:sz w:val="20"/>
                <w:szCs w:val="20"/>
              </w:rPr>
              <w:t>0.992</w:t>
            </w:r>
          </w:p>
        </w:tc>
      </w:tr>
      <w:tr w:rsidR="009A7430" w:rsidRPr="001569FB" w14:paraId="04E6665E" w14:textId="77777777" w:rsidTr="008D4E91">
        <w:trPr>
          <w:trHeight w:val="315"/>
        </w:trPr>
        <w:tc>
          <w:tcPr>
            <w:tcW w:w="3694" w:type="dxa"/>
            <w:noWrap/>
            <w:hideMark/>
          </w:tcPr>
          <w:p w14:paraId="58E9A2A9"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161212A0" w14:textId="77777777" w:rsidR="009A7430" w:rsidRPr="001569FB" w:rsidRDefault="009A7430" w:rsidP="008D4E91">
            <w:pPr>
              <w:rPr>
                <w:sz w:val="20"/>
                <w:szCs w:val="20"/>
              </w:rPr>
            </w:pPr>
            <w:r w:rsidRPr="001569FB">
              <w:rPr>
                <w:sz w:val="20"/>
                <w:szCs w:val="20"/>
              </w:rPr>
              <w:t> </w:t>
            </w:r>
          </w:p>
        </w:tc>
        <w:tc>
          <w:tcPr>
            <w:tcW w:w="2100" w:type="dxa"/>
            <w:noWrap/>
            <w:hideMark/>
          </w:tcPr>
          <w:p w14:paraId="4E6146D0" w14:textId="77777777" w:rsidR="009A7430" w:rsidRPr="001569FB" w:rsidRDefault="009A7430" w:rsidP="008D4E91">
            <w:pPr>
              <w:jc w:val="center"/>
              <w:rPr>
                <w:sz w:val="20"/>
                <w:szCs w:val="20"/>
              </w:rPr>
            </w:pPr>
            <w:r w:rsidRPr="001569FB">
              <w:rPr>
                <w:sz w:val="20"/>
                <w:szCs w:val="20"/>
              </w:rPr>
              <w:t>1.014</w:t>
            </w:r>
          </w:p>
        </w:tc>
      </w:tr>
      <w:tr w:rsidR="009A7430" w:rsidRPr="001569FB" w14:paraId="1FF494BC" w14:textId="77777777" w:rsidTr="008D4E91">
        <w:trPr>
          <w:trHeight w:val="315"/>
        </w:trPr>
        <w:tc>
          <w:tcPr>
            <w:tcW w:w="3694" w:type="dxa"/>
            <w:noWrap/>
            <w:hideMark/>
          </w:tcPr>
          <w:p w14:paraId="15F1DE98"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7AF53AC4" w14:textId="77777777" w:rsidR="009A7430" w:rsidRPr="001569FB" w:rsidRDefault="009A7430" w:rsidP="008D4E91">
            <w:pPr>
              <w:rPr>
                <w:sz w:val="20"/>
                <w:szCs w:val="20"/>
              </w:rPr>
            </w:pPr>
            <w:r w:rsidRPr="001569FB">
              <w:rPr>
                <w:sz w:val="20"/>
                <w:szCs w:val="20"/>
              </w:rPr>
              <w:t> </w:t>
            </w:r>
          </w:p>
        </w:tc>
        <w:tc>
          <w:tcPr>
            <w:tcW w:w="2100" w:type="dxa"/>
            <w:noWrap/>
            <w:hideMark/>
          </w:tcPr>
          <w:p w14:paraId="2CDC7155" w14:textId="77777777" w:rsidR="009A7430" w:rsidRPr="001569FB" w:rsidRDefault="009A7430" w:rsidP="008D4E91">
            <w:pPr>
              <w:jc w:val="center"/>
              <w:rPr>
                <w:sz w:val="20"/>
                <w:szCs w:val="20"/>
              </w:rPr>
            </w:pPr>
            <w:r w:rsidRPr="001569FB">
              <w:rPr>
                <w:sz w:val="20"/>
                <w:szCs w:val="20"/>
              </w:rPr>
              <w:t>1.017</w:t>
            </w:r>
          </w:p>
        </w:tc>
      </w:tr>
      <w:tr w:rsidR="009A7430" w:rsidRPr="001569FB" w14:paraId="0A44BE1F" w14:textId="77777777" w:rsidTr="008D4E91">
        <w:trPr>
          <w:trHeight w:val="315"/>
        </w:trPr>
        <w:tc>
          <w:tcPr>
            <w:tcW w:w="3694" w:type="dxa"/>
            <w:noWrap/>
            <w:hideMark/>
          </w:tcPr>
          <w:p w14:paraId="04FAB562"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210D3636" w14:textId="77777777" w:rsidR="009A7430" w:rsidRPr="001569FB" w:rsidRDefault="009A7430" w:rsidP="008D4E91">
            <w:pPr>
              <w:rPr>
                <w:sz w:val="20"/>
                <w:szCs w:val="20"/>
              </w:rPr>
            </w:pPr>
            <w:r w:rsidRPr="001569FB">
              <w:rPr>
                <w:sz w:val="20"/>
                <w:szCs w:val="20"/>
              </w:rPr>
              <w:t> </w:t>
            </w:r>
          </w:p>
        </w:tc>
        <w:tc>
          <w:tcPr>
            <w:tcW w:w="2100" w:type="dxa"/>
            <w:noWrap/>
            <w:hideMark/>
          </w:tcPr>
          <w:p w14:paraId="12E585A5" w14:textId="77777777" w:rsidR="009A7430" w:rsidRPr="001569FB" w:rsidRDefault="009A7430" w:rsidP="008D4E91">
            <w:pPr>
              <w:jc w:val="center"/>
              <w:rPr>
                <w:sz w:val="20"/>
                <w:szCs w:val="20"/>
              </w:rPr>
            </w:pPr>
            <w:r w:rsidRPr="001569FB">
              <w:rPr>
                <w:sz w:val="20"/>
                <w:szCs w:val="20"/>
              </w:rPr>
              <w:t>1.212</w:t>
            </w:r>
          </w:p>
        </w:tc>
      </w:tr>
      <w:tr w:rsidR="009A7430" w:rsidRPr="001569FB" w14:paraId="1B6D7394" w14:textId="77777777" w:rsidTr="008D4E91">
        <w:trPr>
          <w:trHeight w:val="315"/>
        </w:trPr>
        <w:tc>
          <w:tcPr>
            <w:tcW w:w="3694" w:type="dxa"/>
            <w:noWrap/>
            <w:hideMark/>
          </w:tcPr>
          <w:p w14:paraId="0A3E6110"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161E6653" w14:textId="77777777" w:rsidR="009A7430" w:rsidRPr="001569FB" w:rsidRDefault="009A7430" w:rsidP="008D4E91">
            <w:pPr>
              <w:rPr>
                <w:sz w:val="20"/>
                <w:szCs w:val="20"/>
              </w:rPr>
            </w:pPr>
            <w:r w:rsidRPr="001569FB">
              <w:rPr>
                <w:sz w:val="20"/>
                <w:szCs w:val="20"/>
              </w:rPr>
              <w:t> </w:t>
            </w:r>
          </w:p>
        </w:tc>
        <w:tc>
          <w:tcPr>
            <w:tcW w:w="2100" w:type="dxa"/>
            <w:noWrap/>
            <w:hideMark/>
          </w:tcPr>
          <w:p w14:paraId="27484AE1" w14:textId="77777777" w:rsidR="009A7430" w:rsidRPr="001569FB" w:rsidRDefault="009A7430" w:rsidP="008D4E91">
            <w:pPr>
              <w:jc w:val="center"/>
              <w:rPr>
                <w:sz w:val="20"/>
                <w:szCs w:val="20"/>
              </w:rPr>
            </w:pPr>
            <w:r w:rsidRPr="001569FB">
              <w:rPr>
                <w:sz w:val="20"/>
                <w:szCs w:val="20"/>
              </w:rPr>
              <w:t>1.120</w:t>
            </w:r>
          </w:p>
        </w:tc>
      </w:tr>
      <w:tr w:rsidR="009A7430" w:rsidRPr="001569FB" w14:paraId="2AB03687" w14:textId="77777777" w:rsidTr="008D4E91">
        <w:trPr>
          <w:trHeight w:val="315"/>
        </w:trPr>
        <w:tc>
          <w:tcPr>
            <w:tcW w:w="3694" w:type="dxa"/>
            <w:noWrap/>
            <w:hideMark/>
          </w:tcPr>
          <w:p w14:paraId="50F7C670"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4C849014" w14:textId="77777777" w:rsidR="009A7430" w:rsidRPr="001569FB" w:rsidRDefault="009A7430" w:rsidP="008D4E91">
            <w:pPr>
              <w:rPr>
                <w:sz w:val="20"/>
                <w:szCs w:val="20"/>
              </w:rPr>
            </w:pPr>
            <w:r w:rsidRPr="001569FB">
              <w:rPr>
                <w:sz w:val="20"/>
                <w:szCs w:val="20"/>
              </w:rPr>
              <w:t> </w:t>
            </w:r>
          </w:p>
        </w:tc>
        <w:tc>
          <w:tcPr>
            <w:tcW w:w="2100" w:type="dxa"/>
            <w:noWrap/>
            <w:hideMark/>
          </w:tcPr>
          <w:p w14:paraId="14981D7E" w14:textId="77777777" w:rsidR="009A7430" w:rsidRPr="001569FB" w:rsidRDefault="009A7430" w:rsidP="008D4E91">
            <w:pPr>
              <w:jc w:val="center"/>
              <w:rPr>
                <w:sz w:val="20"/>
                <w:szCs w:val="20"/>
              </w:rPr>
            </w:pPr>
            <w:r w:rsidRPr="001569FB">
              <w:rPr>
                <w:sz w:val="20"/>
                <w:szCs w:val="20"/>
              </w:rPr>
              <w:t>0.988</w:t>
            </w:r>
          </w:p>
        </w:tc>
      </w:tr>
      <w:tr w:rsidR="009A7430" w:rsidRPr="001569FB" w14:paraId="21D95481" w14:textId="77777777" w:rsidTr="008D4E91">
        <w:trPr>
          <w:trHeight w:val="315"/>
        </w:trPr>
        <w:tc>
          <w:tcPr>
            <w:tcW w:w="3694" w:type="dxa"/>
            <w:noWrap/>
            <w:hideMark/>
          </w:tcPr>
          <w:p w14:paraId="4528A505"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434F91B3" w14:textId="77777777" w:rsidR="009A7430" w:rsidRPr="001569FB" w:rsidRDefault="009A7430" w:rsidP="008D4E91">
            <w:pPr>
              <w:rPr>
                <w:sz w:val="20"/>
                <w:szCs w:val="20"/>
              </w:rPr>
            </w:pPr>
            <w:r w:rsidRPr="001569FB">
              <w:rPr>
                <w:sz w:val="20"/>
                <w:szCs w:val="20"/>
              </w:rPr>
              <w:t> </w:t>
            </w:r>
          </w:p>
        </w:tc>
        <w:tc>
          <w:tcPr>
            <w:tcW w:w="2100" w:type="dxa"/>
            <w:noWrap/>
            <w:hideMark/>
          </w:tcPr>
          <w:p w14:paraId="5E95548B" w14:textId="77777777" w:rsidR="009A7430" w:rsidRPr="001569FB" w:rsidRDefault="009A7430" w:rsidP="008D4E91">
            <w:pPr>
              <w:jc w:val="center"/>
              <w:rPr>
                <w:sz w:val="20"/>
                <w:szCs w:val="20"/>
              </w:rPr>
            </w:pPr>
            <w:r w:rsidRPr="001569FB">
              <w:rPr>
                <w:sz w:val="20"/>
                <w:szCs w:val="20"/>
              </w:rPr>
              <w:t>0.861</w:t>
            </w:r>
          </w:p>
        </w:tc>
      </w:tr>
      <w:tr w:rsidR="009A7430" w:rsidRPr="001569FB" w14:paraId="7A26A12B" w14:textId="77777777" w:rsidTr="008D4E91">
        <w:trPr>
          <w:trHeight w:val="315"/>
        </w:trPr>
        <w:tc>
          <w:tcPr>
            <w:tcW w:w="3694" w:type="dxa"/>
            <w:noWrap/>
            <w:hideMark/>
          </w:tcPr>
          <w:p w14:paraId="298BA3F1"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6D1D2E8A" w14:textId="77777777" w:rsidR="009A7430" w:rsidRPr="001569FB" w:rsidRDefault="009A7430" w:rsidP="008D4E91">
            <w:pPr>
              <w:rPr>
                <w:sz w:val="20"/>
                <w:szCs w:val="20"/>
              </w:rPr>
            </w:pPr>
            <w:r w:rsidRPr="001569FB">
              <w:rPr>
                <w:sz w:val="20"/>
                <w:szCs w:val="20"/>
              </w:rPr>
              <w:t> </w:t>
            </w:r>
          </w:p>
        </w:tc>
        <w:tc>
          <w:tcPr>
            <w:tcW w:w="2100" w:type="dxa"/>
            <w:noWrap/>
            <w:hideMark/>
          </w:tcPr>
          <w:p w14:paraId="138F43BF" w14:textId="77777777" w:rsidR="009A7430" w:rsidRPr="001569FB" w:rsidRDefault="009A7430" w:rsidP="008D4E91">
            <w:pPr>
              <w:jc w:val="center"/>
              <w:rPr>
                <w:sz w:val="20"/>
                <w:szCs w:val="20"/>
              </w:rPr>
            </w:pPr>
            <w:r w:rsidRPr="001569FB">
              <w:rPr>
                <w:sz w:val="20"/>
                <w:szCs w:val="20"/>
              </w:rPr>
              <w:t>0.780</w:t>
            </w:r>
          </w:p>
        </w:tc>
      </w:tr>
      <w:tr w:rsidR="009A7430" w:rsidRPr="001569FB" w14:paraId="2608241A" w14:textId="77777777" w:rsidTr="008D4E91">
        <w:trPr>
          <w:trHeight w:val="315"/>
        </w:trPr>
        <w:tc>
          <w:tcPr>
            <w:tcW w:w="3694" w:type="dxa"/>
            <w:noWrap/>
            <w:hideMark/>
          </w:tcPr>
          <w:p w14:paraId="3701E3F6"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5E93193A" w14:textId="77777777" w:rsidR="009A7430" w:rsidRPr="001569FB" w:rsidRDefault="009A7430" w:rsidP="008D4E91">
            <w:pPr>
              <w:rPr>
                <w:sz w:val="20"/>
                <w:szCs w:val="20"/>
              </w:rPr>
            </w:pPr>
            <w:r w:rsidRPr="001569FB">
              <w:rPr>
                <w:sz w:val="20"/>
                <w:szCs w:val="20"/>
              </w:rPr>
              <w:t> </w:t>
            </w:r>
          </w:p>
        </w:tc>
        <w:tc>
          <w:tcPr>
            <w:tcW w:w="2100" w:type="dxa"/>
            <w:noWrap/>
            <w:hideMark/>
          </w:tcPr>
          <w:p w14:paraId="4C3B9D23" w14:textId="77777777" w:rsidR="009A7430" w:rsidRPr="001569FB" w:rsidRDefault="009A7430" w:rsidP="008D4E91">
            <w:pPr>
              <w:jc w:val="center"/>
              <w:rPr>
                <w:sz w:val="20"/>
                <w:szCs w:val="20"/>
              </w:rPr>
            </w:pPr>
            <w:r w:rsidRPr="001569FB">
              <w:rPr>
                <w:sz w:val="20"/>
                <w:szCs w:val="20"/>
              </w:rPr>
              <w:t>0.651</w:t>
            </w:r>
          </w:p>
        </w:tc>
      </w:tr>
      <w:tr w:rsidR="009A7430" w:rsidRPr="001569FB" w14:paraId="1C94702D" w14:textId="77777777" w:rsidTr="008D4E91">
        <w:trPr>
          <w:trHeight w:val="315"/>
        </w:trPr>
        <w:tc>
          <w:tcPr>
            <w:tcW w:w="3694" w:type="dxa"/>
            <w:noWrap/>
            <w:hideMark/>
          </w:tcPr>
          <w:p w14:paraId="215DD1DD"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2748CBA7" w14:textId="77777777" w:rsidR="009A7430" w:rsidRPr="001569FB" w:rsidRDefault="009A7430" w:rsidP="008D4E91">
            <w:pPr>
              <w:rPr>
                <w:sz w:val="20"/>
                <w:szCs w:val="20"/>
              </w:rPr>
            </w:pPr>
            <w:r w:rsidRPr="001569FB">
              <w:rPr>
                <w:sz w:val="20"/>
                <w:szCs w:val="20"/>
              </w:rPr>
              <w:t> </w:t>
            </w:r>
          </w:p>
        </w:tc>
        <w:tc>
          <w:tcPr>
            <w:tcW w:w="2100" w:type="dxa"/>
            <w:noWrap/>
            <w:hideMark/>
          </w:tcPr>
          <w:p w14:paraId="2EB97A45" w14:textId="77777777" w:rsidR="009A7430" w:rsidRPr="001569FB" w:rsidRDefault="009A7430" w:rsidP="008D4E91">
            <w:pPr>
              <w:jc w:val="center"/>
              <w:rPr>
                <w:sz w:val="20"/>
                <w:szCs w:val="20"/>
              </w:rPr>
            </w:pPr>
            <w:r w:rsidRPr="001569FB">
              <w:rPr>
                <w:sz w:val="20"/>
                <w:szCs w:val="20"/>
              </w:rPr>
              <w:t>0.484</w:t>
            </w:r>
          </w:p>
        </w:tc>
      </w:tr>
      <w:tr w:rsidR="009A7430" w:rsidRPr="001569FB" w14:paraId="6D69345D" w14:textId="77777777" w:rsidTr="008D4E91">
        <w:trPr>
          <w:trHeight w:val="315"/>
        </w:trPr>
        <w:tc>
          <w:tcPr>
            <w:tcW w:w="9350" w:type="dxa"/>
            <w:gridSpan w:val="3"/>
            <w:noWrap/>
            <w:hideMark/>
          </w:tcPr>
          <w:p w14:paraId="05A0304A" w14:textId="77777777" w:rsidR="009A7430" w:rsidRPr="001569FB" w:rsidRDefault="009A7430" w:rsidP="008D4E91">
            <w:pPr>
              <w:rPr>
                <w:sz w:val="20"/>
                <w:szCs w:val="20"/>
              </w:rPr>
            </w:pPr>
            <w:r w:rsidRPr="001569FB">
              <w:rPr>
                <w:b/>
                <w:bCs/>
                <w:sz w:val="20"/>
                <w:szCs w:val="20"/>
              </w:rPr>
              <w:t>Male </w:t>
            </w:r>
          </w:p>
        </w:tc>
      </w:tr>
      <w:tr w:rsidR="009A7430" w:rsidRPr="001569FB" w14:paraId="2D845DF1" w14:textId="77777777" w:rsidTr="008D4E91">
        <w:trPr>
          <w:trHeight w:val="315"/>
        </w:trPr>
        <w:tc>
          <w:tcPr>
            <w:tcW w:w="3694" w:type="dxa"/>
            <w:noWrap/>
            <w:hideMark/>
          </w:tcPr>
          <w:p w14:paraId="780AB770" w14:textId="77777777" w:rsidR="009A7430" w:rsidRPr="001569FB" w:rsidRDefault="009A7430" w:rsidP="008D4E91">
            <w:pPr>
              <w:rPr>
                <w:sz w:val="20"/>
                <w:szCs w:val="20"/>
              </w:rPr>
            </w:pPr>
            <w:r w:rsidRPr="001569FB">
              <w:rPr>
                <w:sz w:val="20"/>
                <w:szCs w:val="20"/>
              </w:rPr>
              <w:t xml:space="preserve">0-34 Years </w:t>
            </w:r>
          </w:p>
        </w:tc>
        <w:tc>
          <w:tcPr>
            <w:tcW w:w="3556" w:type="dxa"/>
            <w:noWrap/>
            <w:hideMark/>
          </w:tcPr>
          <w:p w14:paraId="4E2C3401" w14:textId="77777777" w:rsidR="009A7430" w:rsidRPr="001569FB" w:rsidRDefault="009A7430" w:rsidP="008D4E91">
            <w:pPr>
              <w:rPr>
                <w:sz w:val="20"/>
                <w:szCs w:val="20"/>
              </w:rPr>
            </w:pPr>
            <w:r w:rsidRPr="001569FB">
              <w:rPr>
                <w:sz w:val="20"/>
                <w:szCs w:val="20"/>
              </w:rPr>
              <w:t> </w:t>
            </w:r>
          </w:p>
        </w:tc>
        <w:tc>
          <w:tcPr>
            <w:tcW w:w="2100" w:type="dxa"/>
            <w:noWrap/>
            <w:hideMark/>
          </w:tcPr>
          <w:p w14:paraId="10D3EEFF" w14:textId="77777777" w:rsidR="009A7430" w:rsidRPr="001569FB" w:rsidRDefault="009A7430" w:rsidP="008D4E91">
            <w:pPr>
              <w:jc w:val="center"/>
              <w:rPr>
                <w:sz w:val="20"/>
                <w:szCs w:val="20"/>
              </w:rPr>
            </w:pPr>
            <w:r w:rsidRPr="001569FB">
              <w:rPr>
                <w:sz w:val="20"/>
                <w:szCs w:val="20"/>
              </w:rPr>
              <w:t>1.055</w:t>
            </w:r>
          </w:p>
        </w:tc>
      </w:tr>
      <w:tr w:rsidR="009A7430" w:rsidRPr="001569FB" w14:paraId="15FA0BAD" w14:textId="77777777" w:rsidTr="008D4E91">
        <w:trPr>
          <w:trHeight w:val="315"/>
        </w:trPr>
        <w:tc>
          <w:tcPr>
            <w:tcW w:w="3694" w:type="dxa"/>
            <w:noWrap/>
            <w:hideMark/>
          </w:tcPr>
          <w:p w14:paraId="4A14ADF5"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16626DD1" w14:textId="77777777" w:rsidR="009A7430" w:rsidRPr="001569FB" w:rsidRDefault="009A7430" w:rsidP="008D4E91">
            <w:pPr>
              <w:rPr>
                <w:sz w:val="20"/>
                <w:szCs w:val="20"/>
              </w:rPr>
            </w:pPr>
            <w:r w:rsidRPr="001569FB">
              <w:rPr>
                <w:sz w:val="20"/>
                <w:szCs w:val="20"/>
              </w:rPr>
              <w:t> </w:t>
            </w:r>
          </w:p>
        </w:tc>
        <w:tc>
          <w:tcPr>
            <w:tcW w:w="2100" w:type="dxa"/>
            <w:noWrap/>
            <w:hideMark/>
          </w:tcPr>
          <w:p w14:paraId="591BAE49" w14:textId="77777777" w:rsidR="009A7430" w:rsidRPr="001569FB" w:rsidRDefault="009A7430" w:rsidP="008D4E91">
            <w:pPr>
              <w:jc w:val="center"/>
              <w:rPr>
                <w:sz w:val="20"/>
                <w:szCs w:val="20"/>
              </w:rPr>
            </w:pPr>
            <w:r w:rsidRPr="001569FB">
              <w:rPr>
                <w:sz w:val="20"/>
                <w:szCs w:val="20"/>
              </w:rPr>
              <w:t>0.956</w:t>
            </w:r>
          </w:p>
        </w:tc>
      </w:tr>
      <w:tr w:rsidR="009A7430" w:rsidRPr="001569FB" w14:paraId="69F2A686" w14:textId="77777777" w:rsidTr="008D4E91">
        <w:trPr>
          <w:trHeight w:val="315"/>
        </w:trPr>
        <w:tc>
          <w:tcPr>
            <w:tcW w:w="3694" w:type="dxa"/>
            <w:noWrap/>
            <w:hideMark/>
          </w:tcPr>
          <w:p w14:paraId="349EA791"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458F3699" w14:textId="77777777" w:rsidR="009A7430" w:rsidRPr="001569FB" w:rsidRDefault="009A7430" w:rsidP="008D4E91">
            <w:pPr>
              <w:rPr>
                <w:sz w:val="20"/>
                <w:szCs w:val="20"/>
              </w:rPr>
            </w:pPr>
            <w:r w:rsidRPr="001569FB">
              <w:rPr>
                <w:sz w:val="20"/>
                <w:szCs w:val="20"/>
              </w:rPr>
              <w:t> </w:t>
            </w:r>
          </w:p>
        </w:tc>
        <w:tc>
          <w:tcPr>
            <w:tcW w:w="2100" w:type="dxa"/>
            <w:noWrap/>
            <w:hideMark/>
          </w:tcPr>
          <w:p w14:paraId="222E6C04" w14:textId="77777777" w:rsidR="009A7430" w:rsidRPr="001569FB" w:rsidRDefault="009A7430" w:rsidP="008D4E91">
            <w:pPr>
              <w:jc w:val="center"/>
              <w:rPr>
                <w:sz w:val="20"/>
                <w:szCs w:val="20"/>
              </w:rPr>
            </w:pPr>
            <w:r w:rsidRPr="001569FB">
              <w:rPr>
                <w:sz w:val="20"/>
                <w:szCs w:val="20"/>
              </w:rPr>
              <w:t>0.924</w:t>
            </w:r>
          </w:p>
        </w:tc>
      </w:tr>
      <w:tr w:rsidR="009A7430" w:rsidRPr="001569FB" w14:paraId="535A29C1" w14:textId="77777777" w:rsidTr="008D4E91">
        <w:trPr>
          <w:trHeight w:val="315"/>
        </w:trPr>
        <w:tc>
          <w:tcPr>
            <w:tcW w:w="3694" w:type="dxa"/>
            <w:noWrap/>
            <w:hideMark/>
          </w:tcPr>
          <w:p w14:paraId="1CEB510D"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0A91288E" w14:textId="77777777" w:rsidR="009A7430" w:rsidRPr="001569FB" w:rsidRDefault="009A7430" w:rsidP="008D4E91">
            <w:pPr>
              <w:rPr>
                <w:sz w:val="20"/>
                <w:szCs w:val="20"/>
              </w:rPr>
            </w:pPr>
            <w:r w:rsidRPr="001569FB">
              <w:rPr>
                <w:sz w:val="20"/>
                <w:szCs w:val="20"/>
              </w:rPr>
              <w:t> </w:t>
            </w:r>
          </w:p>
        </w:tc>
        <w:tc>
          <w:tcPr>
            <w:tcW w:w="2100" w:type="dxa"/>
            <w:noWrap/>
            <w:hideMark/>
          </w:tcPr>
          <w:p w14:paraId="7DCD9856" w14:textId="77777777" w:rsidR="009A7430" w:rsidRPr="001569FB" w:rsidRDefault="009A7430" w:rsidP="008D4E91">
            <w:pPr>
              <w:jc w:val="center"/>
              <w:rPr>
                <w:sz w:val="20"/>
                <w:szCs w:val="20"/>
              </w:rPr>
            </w:pPr>
            <w:r w:rsidRPr="001569FB">
              <w:rPr>
                <w:sz w:val="20"/>
                <w:szCs w:val="20"/>
              </w:rPr>
              <w:t>0.971</w:t>
            </w:r>
          </w:p>
        </w:tc>
      </w:tr>
      <w:tr w:rsidR="009A7430" w:rsidRPr="001569FB" w14:paraId="3DC8E4A7" w14:textId="77777777" w:rsidTr="008D4E91">
        <w:trPr>
          <w:trHeight w:val="315"/>
        </w:trPr>
        <w:tc>
          <w:tcPr>
            <w:tcW w:w="3694" w:type="dxa"/>
            <w:noWrap/>
            <w:hideMark/>
          </w:tcPr>
          <w:p w14:paraId="4500BD89"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4874043D" w14:textId="77777777" w:rsidR="009A7430" w:rsidRPr="001569FB" w:rsidRDefault="009A7430" w:rsidP="008D4E91">
            <w:pPr>
              <w:rPr>
                <w:sz w:val="20"/>
                <w:szCs w:val="20"/>
              </w:rPr>
            </w:pPr>
            <w:r w:rsidRPr="001569FB">
              <w:rPr>
                <w:sz w:val="20"/>
                <w:szCs w:val="20"/>
              </w:rPr>
              <w:t> </w:t>
            </w:r>
          </w:p>
        </w:tc>
        <w:tc>
          <w:tcPr>
            <w:tcW w:w="2100" w:type="dxa"/>
            <w:noWrap/>
            <w:hideMark/>
          </w:tcPr>
          <w:p w14:paraId="25D37F57" w14:textId="77777777" w:rsidR="009A7430" w:rsidRPr="001569FB" w:rsidRDefault="009A7430" w:rsidP="008D4E91">
            <w:pPr>
              <w:jc w:val="center"/>
              <w:rPr>
                <w:sz w:val="20"/>
                <w:szCs w:val="20"/>
              </w:rPr>
            </w:pPr>
            <w:r w:rsidRPr="001569FB">
              <w:rPr>
                <w:sz w:val="20"/>
                <w:szCs w:val="20"/>
              </w:rPr>
              <w:t>1.013</w:t>
            </w:r>
          </w:p>
        </w:tc>
      </w:tr>
      <w:tr w:rsidR="009A7430" w:rsidRPr="001569FB" w14:paraId="7CEF0459" w14:textId="77777777" w:rsidTr="008D4E91">
        <w:trPr>
          <w:trHeight w:val="315"/>
        </w:trPr>
        <w:tc>
          <w:tcPr>
            <w:tcW w:w="3694" w:type="dxa"/>
            <w:noWrap/>
            <w:hideMark/>
          </w:tcPr>
          <w:p w14:paraId="5EF8AF69"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056E39B2" w14:textId="77777777" w:rsidR="009A7430" w:rsidRPr="001569FB" w:rsidRDefault="009A7430" w:rsidP="008D4E91">
            <w:pPr>
              <w:rPr>
                <w:sz w:val="20"/>
                <w:szCs w:val="20"/>
              </w:rPr>
            </w:pPr>
            <w:r w:rsidRPr="001569FB">
              <w:rPr>
                <w:sz w:val="20"/>
                <w:szCs w:val="20"/>
              </w:rPr>
              <w:t> </w:t>
            </w:r>
          </w:p>
        </w:tc>
        <w:tc>
          <w:tcPr>
            <w:tcW w:w="2100" w:type="dxa"/>
            <w:noWrap/>
            <w:hideMark/>
          </w:tcPr>
          <w:p w14:paraId="70A82060" w14:textId="77777777" w:rsidR="009A7430" w:rsidRPr="001569FB" w:rsidRDefault="009A7430" w:rsidP="008D4E91">
            <w:pPr>
              <w:jc w:val="center"/>
              <w:rPr>
                <w:sz w:val="20"/>
                <w:szCs w:val="20"/>
              </w:rPr>
            </w:pPr>
            <w:r w:rsidRPr="001569FB">
              <w:rPr>
                <w:sz w:val="20"/>
                <w:szCs w:val="20"/>
              </w:rPr>
              <w:t>1.267</w:t>
            </w:r>
          </w:p>
        </w:tc>
      </w:tr>
      <w:tr w:rsidR="009A7430" w:rsidRPr="001569FB" w14:paraId="752A750F" w14:textId="77777777" w:rsidTr="008D4E91">
        <w:trPr>
          <w:trHeight w:val="315"/>
        </w:trPr>
        <w:tc>
          <w:tcPr>
            <w:tcW w:w="3694" w:type="dxa"/>
            <w:noWrap/>
            <w:hideMark/>
          </w:tcPr>
          <w:p w14:paraId="7886C5BC"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655CC3CB" w14:textId="77777777" w:rsidR="009A7430" w:rsidRPr="001569FB" w:rsidRDefault="009A7430" w:rsidP="008D4E91">
            <w:pPr>
              <w:rPr>
                <w:sz w:val="20"/>
                <w:szCs w:val="20"/>
              </w:rPr>
            </w:pPr>
            <w:r w:rsidRPr="001569FB">
              <w:rPr>
                <w:sz w:val="20"/>
                <w:szCs w:val="20"/>
              </w:rPr>
              <w:t> </w:t>
            </w:r>
          </w:p>
        </w:tc>
        <w:tc>
          <w:tcPr>
            <w:tcW w:w="2100" w:type="dxa"/>
            <w:noWrap/>
            <w:hideMark/>
          </w:tcPr>
          <w:p w14:paraId="32D01E62" w14:textId="77777777" w:rsidR="009A7430" w:rsidRPr="001569FB" w:rsidRDefault="009A7430" w:rsidP="008D4E91">
            <w:pPr>
              <w:jc w:val="center"/>
              <w:rPr>
                <w:sz w:val="20"/>
                <w:szCs w:val="20"/>
              </w:rPr>
            </w:pPr>
            <w:r w:rsidRPr="001569FB">
              <w:rPr>
                <w:sz w:val="20"/>
                <w:szCs w:val="20"/>
              </w:rPr>
              <w:t>1.306</w:t>
            </w:r>
          </w:p>
        </w:tc>
      </w:tr>
      <w:tr w:rsidR="009A7430" w:rsidRPr="001569FB" w14:paraId="78D82362" w14:textId="77777777" w:rsidTr="008D4E91">
        <w:trPr>
          <w:trHeight w:val="315"/>
        </w:trPr>
        <w:tc>
          <w:tcPr>
            <w:tcW w:w="3694" w:type="dxa"/>
            <w:noWrap/>
            <w:hideMark/>
          </w:tcPr>
          <w:p w14:paraId="78D9AA05"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515C7F78" w14:textId="77777777" w:rsidR="009A7430" w:rsidRPr="001569FB" w:rsidRDefault="009A7430" w:rsidP="008D4E91">
            <w:pPr>
              <w:rPr>
                <w:sz w:val="20"/>
                <w:szCs w:val="20"/>
              </w:rPr>
            </w:pPr>
            <w:r w:rsidRPr="001569FB">
              <w:rPr>
                <w:sz w:val="20"/>
                <w:szCs w:val="20"/>
              </w:rPr>
              <w:t> </w:t>
            </w:r>
          </w:p>
        </w:tc>
        <w:tc>
          <w:tcPr>
            <w:tcW w:w="2100" w:type="dxa"/>
            <w:noWrap/>
            <w:hideMark/>
          </w:tcPr>
          <w:p w14:paraId="64930FF5" w14:textId="77777777" w:rsidR="009A7430" w:rsidRPr="001569FB" w:rsidRDefault="009A7430" w:rsidP="008D4E91">
            <w:pPr>
              <w:jc w:val="center"/>
              <w:rPr>
                <w:sz w:val="20"/>
                <w:szCs w:val="20"/>
              </w:rPr>
            </w:pPr>
            <w:r w:rsidRPr="001569FB">
              <w:rPr>
                <w:sz w:val="20"/>
                <w:szCs w:val="20"/>
              </w:rPr>
              <w:t>1.295</w:t>
            </w:r>
          </w:p>
        </w:tc>
      </w:tr>
      <w:tr w:rsidR="009A7430" w:rsidRPr="001569FB" w14:paraId="2E03F248" w14:textId="77777777" w:rsidTr="008D4E91">
        <w:trPr>
          <w:trHeight w:val="315"/>
        </w:trPr>
        <w:tc>
          <w:tcPr>
            <w:tcW w:w="3694" w:type="dxa"/>
            <w:noWrap/>
            <w:hideMark/>
          </w:tcPr>
          <w:p w14:paraId="16D270B2"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223A2D84" w14:textId="77777777" w:rsidR="009A7430" w:rsidRPr="001569FB" w:rsidRDefault="009A7430" w:rsidP="008D4E91">
            <w:pPr>
              <w:rPr>
                <w:sz w:val="20"/>
                <w:szCs w:val="20"/>
              </w:rPr>
            </w:pPr>
            <w:r w:rsidRPr="001569FB">
              <w:rPr>
                <w:sz w:val="20"/>
                <w:szCs w:val="20"/>
              </w:rPr>
              <w:t> </w:t>
            </w:r>
          </w:p>
        </w:tc>
        <w:tc>
          <w:tcPr>
            <w:tcW w:w="2100" w:type="dxa"/>
            <w:noWrap/>
            <w:hideMark/>
          </w:tcPr>
          <w:p w14:paraId="2CF0D40E" w14:textId="77777777" w:rsidR="009A7430" w:rsidRPr="001569FB" w:rsidRDefault="009A7430" w:rsidP="008D4E91">
            <w:pPr>
              <w:jc w:val="center"/>
              <w:rPr>
                <w:sz w:val="20"/>
                <w:szCs w:val="20"/>
              </w:rPr>
            </w:pPr>
            <w:r w:rsidRPr="001569FB">
              <w:rPr>
                <w:sz w:val="20"/>
                <w:szCs w:val="20"/>
              </w:rPr>
              <w:t>1.188</w:t>
            </w:r>
          </w:p>
        </w:tc>
      </w:tr>
      <w:tr w:rsidR="009A7430" w:rsidRPr="001569FB" w14:paraId="3B16184F" w14:textId="77777777" w:rsidTr="008D4E91">
        <w:trPr>
          <w:trHeight w:val="315"/>
        </w:trPr>
        <w:tc>
          <w:tcPr>
            <w:tcW w:w="3694" w:type="dxa"/>
            <w:noWrap/>
            <w:hideMark/>
          </w:tcPr>
          <w:p w14:paraId="68727BC9"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0B03C0BD" w14:textId="77777777" w:rsidR="009A7430" w:rsidRPr="001569FB" w:rsidRDefault="009A7430" w:rsidP="008D4E91">
            <w:pPr>
              <w:rPr>
                <w:sz w:val="20"/>
                <w:szCs w:val="20"/>
              </w:rPr>
            </w:pPr>
            <w:r w:rsidRPr="001569FB">
              <w:rPr>
                <w:sz w:val="20"/>
                <w:szCs w:val="20"/>
              </w:rPr>
              <w:t> </w:t>
            </w:r>
          </w:p>
        </w:tc>
        <w:tc>
          <w:tcPr>
            <w:tcW w:w="2100" w:type="dxa"/>
            <w:noWrap/>
            <w:hideMark/>
          </w:tcPr>
          <w:p w14:paraId="2A05C9A9" w14:textId="77777777" w:rsidR="009A7430" w:rsidRPr="001569FB" w:rsidRDefault="009A7430" w:rsidP="008D4E91">
            <w:pPr>
              <w:jc w:val="center"/>
              <w:rPr>
                <w:sz w:val="20"/>
                <w:szCs w:val="20"/>
              </w:rPr>
            </w:pPr>
            <w:r w:rsidRPr="001569FB">
              <w:rPr>
                <w:sz w:val="20"/>
                <w:szCs w:val="20"/>
              </w:rPr>
              <w:t>1.101</w:t>
            </w:r>
          </w:p>
        </w:tc>
      </w:tr>
      <w:tr w:rsidR="009A7430" w:rsidRPr="001569FB" w14:paraId="5BC66002" w14:textId="77777777" w:rsidTr="008D4E91">
        <w:trPr>
          <w:trHeight w:val="315"/>
        </w:trPr>
        <w:tc>
          <w:tcPr>
            <w:tcW w:w="3694" w:type="dxa"/>
            <w:noWrap/>
            <w:hideMark/>
          </w:tcPr>
          <w:p w14:paraId="59AF6637"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38F12BD1" w14:textId="77777777" w:rsidR="009A7430" w:rsidRPr="001569FB" w:rsidRDefault="009A7430" w:rsidP="008D4E91">
            <w:pPr>
              <w:rPr>
                <w:sz w:val="20"/>
                <w:szCs w:val="20"/>
              </w:rPr>
            </w:pPr>
            <w:r w:rsidRPr="001569FB">
              <w:rPr>
                <w:sz w:val="20"/>
                <w:szCs w:val="20"/>
              </w:rPr>
              <w:t> </w:t>
            </w:r>
          </w:p>
        </w:tc>
        <w:tc>
          <w:tcPr>
            <w:tcW w:w="2100" w:type="dxa"/>
            <w:noWrap/>
            <w:hideMark/>
          </w:tcPr>
          <w:p w14:paraId="172AB09E" w14:textId="77777777" w:rsidR="009A7430" w:rsidRPr="001569FB" w:rsidRDefault="009A7430" w:rsidP="008D4E91">
            <w:pPr>
              <w:jc w:val="center"/>
              <w:rPr>
                <w:sz w:val="20"/>
                <w:szCs w:val="20"/>
              </w:rPr>
            </w:pPr>
            <w:r w:rsidRPr="001569FB">
              <w:rPr>
                <w:sz w:val="20"/>
                <w:szCs w:val="20"/>
              </w:rPr>
              <w:t>0.969</w:t>
            </w:r>
          </w:p>
        </w:tc>
      </w:tr>
      <w:tr w:rsidR="009A7430" w:rsidRPr="001569FB" w14:paraId="1EB0661D" w14:textId="77777777" w:rsidTr="008D4E91">
        <w:trPr>
          <w:trHeight w:val="315"/>
        </w:trPr>
        <w:tc>
          <w:tcPr>
            <w:tcW w:w="3694" w:type="dxa"/>
            <w:noWrap/>
            <w:hideMark/>
          </w:tcPr>
          <w:p w14:paraId="645E18EC"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08EEFAAB" w14:textId="77777777" w:rsidR="009A7430" w:rsidRPr="001569FB" w:rsidRDefault="009A7430" w:rsidP="008D4E91">
            <w:pPr>
              <w:rPr>
                <w:sz w:val="20"/>
                <w:szCs w:val="20"/>
              </w:rPr>
            </w:pPr>
            <w:r w:rsidRPr="001569FB">
              <w:rPr>
                <w:sz w:val="20"/>
                <w:szCs w:val="20"/>
              </w:rPr>
              <w:t> </w:t>
            </w:r>
          </w:p>
        </w:tc>
        <w:tc>
          <w:tcPr>
            <w:tcW w:w="2100" w:type="dxa"/>
            <w:noWrap/>
            <w:hideMark/>
          </w:tcPr>
          <w:p w14:paraId="531318EF" w14:textId="77777777" w:rsidR="009A7430" w:rsidRPr="001569FB" w:rsidRDefault="009A7430" w:rsidP="008D4E91">
            <w:pPr>
              <w:jc w:val="center"/>
              <w:rPr>
                <w:sz w:val="20"/>
                <w:szCs w:val="20"/>
              </w:rPr>
            </w:pPr>
            <w:r w:rsidRPr="001569FB">
              <w:rPr>
                <w:sz w:val="20"/>
                <w:szCs w:val="20"/>
              </w:rPr>
              <w:t>0.799</w:t>
            </w:r>
          </w:p>
        </w:tc>
      </w:tr>
      <w:tr w:rsidR="009A7430" w:rsidRPr="001569FB" w14:paraId="66A68D52" w14:textId="77777777" w:rsidTr="008D4E91">
        <w:trPr>
          <w:trHeight w:val="315"/>
        </w:trPr>
        <w:tc>
          <w:tcPr>
            <w:tcW w:w="9350" w:type="dxa"/>
            <w:gridSpan w:val="3"/>
            <w:noWrap/>
            <w:hideMark/>
          </w:tcPr>
          <w:p w14:paraId="704A1F7A" w14:textId="77777777" w:rsidR="009A7430" w:rsidRPr="001569FB" w:rsidRDefault="009A7430" w:rsidP="008D4E91">
            <w:pPr>
              <w:rPr>
                <w:sz w:val="20"/>
                <w:szCs w:val="20"/>
              </w:rPr>
            </w:pPr>
            <w:r w:rsidRPr="001569FB">
              <w:rPr>
                <w:b/>
                <w:bCs/>
                <w:sz w:val="20"/>
                <w:szCs w:val="20"/>
              </w:rPr>
              <w:t>Medicaid and Originally Disabled </w:t>
            </w:r>
          </w:p>
        </w:tc>
      </w:tr>
      <w:tr w:rsidR="009A7430" w:rsidRPr="001569FB" w14:paraId="568FA23B" w14:textId="77777777" w:rsidTr="008D4E91">
        <w:trPr>
          <w:trHeight w:val="315"/>
        </w:trPr>
        <w:tc>
          <w:tcPr>
            <w:tcW w:w="3694" w:type="dxa"/>
            <w:noWrap/>
            <w:hideMark/>
          </w:tcPr>
          <w:p w14:paraId="1E886253" w14:textId="77777777" w:rsidR="009A7430" w:rsidRPr="001569FB" w:rsidRDefault="009A7430" w:rsidP="008D4E91">
            <w:pPr>
              <w:rPr>
                <w:sz w:val="20"/>
                <w:szCs w:val="20"/>
              </w:rPr>
            </w:pPr>
            <w:r w:rsidRPr="001569FB">
              <w:rPr>
                <w:sz w:val="20"/>
                <w:szCs w:val="20"/>
              </w:rPr>
              <w:t>Medicaid</w:t>
            </w:r>
          </w:p>
        </w:tc>
        <w:tc>
          <w:tcPr>
            <w:tcW w:w="3556" w:type="dxa"/>
            <w:noWrap/>
            <w:hideMark/>
          </w:tcPr>
          <w:p w14:paraId="7130D454" w14:textId="77777777" w:rsidR="009A7430" w:rsidRPr="001569FB" w:rsidRDefault="009A7430" w:rsidP="008D4E91">
            <w:pPr>
              <w:rPr>
                <w:sz w:val="20"/>
                <w:szCs w:val="20"/>
              </w:rPr>
            </w:pPr>
            <w:r w:rsidRPr="001569FB">
              <w:rPr>
                <w:sz w:val="20"/>
                <w:szCs w:val="20"/>
              </w:rPr>
              <w:t> </w:t>
            </w:r>
          </w:p>
        </w:tc>
        <w:tc>
          <w:tcPr>
            <w:tcW w:w="2100" w:type="dxa"/>
            <w:noWrap/>
            <w:hideMark/>
          </w:tcPr>
          <w:p w14:paraId="794E93F9" w14:textId="77777777" w:rsidR="009A7430" w:rsidRPr="001569FB" w:rsidRDefault="009A7430" w:rsidP="008D4E91">
            <w:pPr>
              <w:jc w:val="center"/>
              <w:rPr>
                <w:sz w:val="20"/>
                <w:szCs w:val="20"/>
              </w:rPr>
            </w:pPr>
            <w:r w:rsidRPr="001569FB">
              <w:rPr>
                <w:sz w:val="20"/>
                <w:szCs w:val="20"/>
              </w:rPr>
              <w:t>0.074</w:t>
            </w:r>
          </w:p>
        </w:tc>
      </w:tr>
      <w:tr w:rsidR="009A7430" w:rsidRPr="001569FB" w14:paraId="5BC9F357" w14:textId="77777777" w:rsidTr="008D4E91">
        <w:trPr>
          <w:trHeight w:val="315"/>
        </w:trPr>
        <w:tc>
          <w:tcPr>
            <w:tcW w:w="3694" w:type="dxa"/>
            <w:noWrap/>
            <w:hideMark/>
          </w:tcPr>
          <w:p w14:paraId="5F4F8520" w14:textId="77777777" w:rsidR="009A7430" w:rsidRPr="001569FB" w:rsidRDefault="009A7430" w:rsidP="008D4E91">
            <w:pPr>
              <w:rPr>
                <w:sz w:val="20"/>
                <w:szCs w:val="20"/>
              </w:rPr>
            </w:pPr>
            <w:r w:rsidRPr="001569FB">
              <w:rPr>
                <w:sz w:val="20"/>
                <w:szCs w:val="20"/>
              </w:rPr>
              <w:t>Originally Disabled_Age ≥65</w:t>
            </w:r>
          </w:p>
        </w:tc>
        <w:tc>
          <w:tcPr>
            <w:tcW w:w="3556" w:type="dxa"/>
            <w:noWrap/>
            <w:hideMark/>
          </w:tcPr>
          <w:p w14:paraId="08B318B6" w14:textId="77777777" w:rsidR="009A7430" w:rsidRPr="001569FB" w:rsidRDefault="009A7430" w:rsidP="008D4E91">
            <w:pPr>
              <w:rPr>
                <w:sz w:val="20"/>
                <w:szCs w:val="20"/>
              </w:rPr>
            </w:pPr>
            <w:r w:rsidRPr="001569FB">
              <w:rPr>
                <w:sz w:val="20"/>
                <w:szCs w:val="20"/>
              </w:rPr>
              <w:t> </w:t>
            </w:r>
          </w:p>
        </w:tc>
        <w:tc>
          <w:tcPr>
            <w:tcW w:w="2100" w:type="dxa"/>
            <w:noWrap/>
            <w:hideMark/>
          </w:tcPr>
          <w:p w14:paraId="59C7A9CD" w14:textId="77777777" w:rsidR="009A7430" w:rsidRPr="001569FB" w:rsidRDefault="009A7430" w:rsidP="008D4E91">
            <w:pPr>
              <w:jc w:val="center"/>
              <w:rPr>
                <w:sz w:val="20"/>
                <w:szCs w:val="20"/>
              </w:rPr>
            </w:pPr>
            <w:r w:rsidRPr="001569FB">
              <w:rPr>
                <w:sz w:val="20"/>
                <w:szCs w:val="20"/>
              </w:rPr>
              <w:t>-</w:t>
            </w:r>
          </w:p>
        </w:tc>
      </w:tr>
      <w:tr w:rsidR="009A7430" w:rsidRPr="001569FB" w14:paraId="4319DE7B" w14:textId="77777777" w:rsidTr="008D4E91">
        <w:trPr>
          <w:trHeight w:val="315"/>
        </w:trPr>
        <w:tc>
          <w:tcPr>
            <w:tcW w:w="9350" w:type="dxa"/>
            <w:gridSpan w:val="3"/>
            <w:noWrap/>
            <w:hideMark/>
          </w:tcPr>
          <w:p w14:paraId="6D893096" w14:textId="77777777" w:rsidR="009A7430" w:rsidRPr="001569FB" w:rsidRDefault="009A7430" w:rsidP="008D4E91">
            <w:pPr>
              <w:rPr>
                <w:sz w:val="20"/>
                <w:szCs w:val="20"/>
              </w:rPr>
            </w:pPr>
            <w:r w:rsidRPr="001569FB">
              <w:rPr>
                <w:b/>
                <w:bCs/>
                <w:sz w:val="20"/>
                <w:szCs w:val="20"/>
              </w:rPr>
              <w:t>Disease Coefficients</w:t>
            </w:r>
          </w:p>
        </w:tc>
      </w:tr>
      <w:tr w:rsidR="009A7430" w:rsidRPr="001569FB" w14:paraId="7CC166DE" w14:textId="77777777" w:rsidTr="008D4E91">
        <w:trPr>
          <w:trHeight w:val="315"/>
        </w:trPr>
        <w:tc>
          <w:tcPr>
            <w:tcW w:w="3694" w:type="dxa"/>
            <w:hideMark/>
          </w:tcPr>
          <w:p w14:paraId="5278F56A" w14:textId="77777777" w:rsidR="009A7430" w:rsidRPr="001569FB" w:rsidRDefault="009A7430" w:rsidP="008D4E91">
            <w:pPr>
              <w:rPr>
                <w:sz w:val="20"/>
                <w:szCs w:val="20"/>
              </w:rPr>
            </w:pPr>
            <w:r w:rsidRPr="001569FB">
              <w:rPr>
                <w:sz w:val="20"/>
                <w:szCs w:val="20"/>
              </w:rPr>
              <w:t>HCC1</w:t>
            </w:r>
          </w:p>
        </w:tc>
        <w:tc>
          <w:tcPr>
            <w:tcW w:w="3556" w:type="dxa"/>
            <w:hideMark/>
          </w:tcPr>
          <w:p w14:paraId="056BD075" w14:textId="77777777" w:rsidR="009A7430" w:rsidRPr="001569FB" w:rsidRDefault="009A7430" w:rsidP="008D4E91">
            <w:pPr>
              <w:rPr>
                <w:sz w:val="20"/>
                <w:szCs w:val="20"/>
              </w:rPr>
            </w:pPr>
            <w:r w:rsidRPr="001569FB">
              <w:rPr>
                <w:sz w:val="20"/>
                <w:szCs w:val="20"/>
              </w:rPr>
              <w:t>HIV/AIDS</w:t>
            </w:r>
          </w:p>
        </w:tc>
        <w:tc>
          <w:tcPr>
            <w:tcW w:w="2100" w:type="dxa"/>
            <w:noWrap/>
            <w:hideMark/>
          </w:tcPr>
          <w:p w14:paraId="1428D007" w14:textId="77777777" w:rsidR="009A7430" w:rsidRPr="001569FB" w:rsidRDefault="009A7430" w:rsidP="008D4E91">
            <w:pPr>
              <w:jc w:val="center"/>
              <w:rPr>
                <w:sz w:val="20"/>
                <w:szCs w:val="20"/>
              </w:rPr>
            </w:pPr>
            <w:r w:rsidRPr="001569FB">
              <w:rPr>
                <w:sz w:val="20"/>
                <w:szCs w:val="20"/>
              </w:rPr>
              <w:t>1.708</w:t>
            </w:r>
          </w:p>
        </w:tc>
      </w:tr>
      <w:tr w:rsidR="009A7430" w:rsidRPr="001569FB" w14:paraId="105FA738" w14:textId="77777777" w:rsidTr="008D4E91">
        <w:trPr>
          <w:trHeight w:val="630"/>
        </w:trPr>
        <w:tc>
          <w:tcPr>
            <w:tcW w:w="3694" w:type="dxa"/>
            <w:hideMark/>
          </w:tcPr>
          <w:p w14:paraId="22945A0C" w14:textId="77777777" w:rsidR="009A7430" w:rsidRPr="001569FB" w:rsidRDefault="009A7430" w:rsidP="008D4E91">
            <w:pPr>
              <w:rPr>
                <w:sz w:val="20"/>
                <w:szCs w:val="20"/>
              </w:rPr>
            </w:pPr>
            <w:r w:rsidRPr="001569FB">
              <w:rPr>
                <w:sz w:val="20"/>
                <w:szCs w:val="20"/>
              </w:rPr>
              <w:lastRenderedPageBreak/>
              <w:t>HCC2</w:t>
            </w:r>
          </w:p>
        </w:tc>
        <w:tc>
          <w:tcPr>
            <w:tcW w:w="3556" w:type="dxa"/>
            <w:hideMark/>
          </w:tcPr>
          <w:p w14:paraId="304F3A87"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2100" w:type="dxa"/>
            <w:noWrap/>
            <w:hideMark/>
          </w:tcPr>
          <w:p w14:paraId="6A852169" w14:textId="77777777" w:rsidR="009A7430" w:rsidRPr="001569FB" w:rsidRDefault="009A7430" w:rsidP="008D4E91">
            <w:pPr>
              <w:jc w:val="center"/>
              <w:rPr>
                <w:sz w:val="20"/>
                <w:szCs w:val="20"/>
              </w:rPr>
            </w:pPr>
            <w:r w:rsidRPr="001569FB">
              <w:rPr>
                <w:sz w:val="20"/>
                <w:szCs w:val="20"/>
              </w:rPr>
              <w:t>0.274</w:t>
            </w:r>
          </w:p>
        </w:tc>
      </w:tr>
      <w:tr w:rsidR="009A7430" w:rsidRPr="001569FB" w14:paraId="6DA1D80F" w14:textId="77777777" w:rsidTr="008D4E91">
        <w:trPr>
          <w:trHeight w:val="315"/>
        </w:trPr>
        <w:tc>
          <w:tcPr>
            <w:tcW w:w="3694" w:type="dxa"/>
            <w:hideMark/>
          </w:tcPr>
          <w:p w14:paraId="409EBC4D" w14:textId="77777777" w:rsidR="009A7430" w:rsidRPr="001569FB" w:rsidRDefault="009A7430" w:rsidP="008D4E91">
            <w:pPr>
              <w:rPr>
                <w:sz w:val="20"/>
                <w:szCs w:val="20"/>
              </w:rPr>
            </w:pPr>
            <w:r w:rsidRPr="001569FB">
              <w:rPr>
                <w:sz w:val="20"/>
                <w:szCs w:val="20"/>
              </w:rPr>
              <w:t>HCC6</w:t>
            </w:r>
          </w:p>
        </w:tc>
        <w:tc>
          <w:tcPr>
            <w:tcW w:w="3556" w:type="dxa"/>
            <w:hideMark/>
          </w:tcPr>
          <w:p w14:paraId="24AAAF37" w14:textId="77777777" w:rsidR="009A7430" w:rsidRPr="001569FB" w:rsidRDefault="009A7430" w:rsidP="008D4E91">
            <w:pPr>
              <w:rPr>
                <w:sz w:val="20"/>
                <w:szCs w:val="20"/>
              </w:rPr>
            </w:pPr>
            <w:r w:rsidRPr="001569FB">
              <w:rPr>
                <w:sz w:val="20"/>
                <w:szCs w:val="20"/>
              </w:rPr>
              <w:t>Opportunistic Infections</w:t>
            </w:r>
          </w:p>
        </w:tc>
        <w:tc>
          <w:tcPr>
            <w:tcW w:w="2100" w:type="dxa"/>
            <w:noWrap/>
            <w:hideMark/>
          </w:tcPr>
          <w:p w14:paraId="43109145" w14:textId="77777777" w:rsidR="009A7430" w:rsidRPr="001569FB" w:rsidRDefault="009A7430" w:rsidP="008D4E91">
            <w:pPr>
              <w:jc w:val="center"/>
              <w:rPr>
                <w:sz w:val="20"/>
                <w:szCs w:val="20"/>
              </w:rPr>
            </w:pPr>
            <w:r w:rsidRPr="001569FB">
              <w:rPr>
                <w:sz w:val="20"/>
                <w:szCs w:val="20"/>
              </w:rPr>
              <w:t>0.568</w:t>
            </w:r>
          </w:p>
        </w:tc>
      </w:tr>
      <w:tr w:rsidR="009A7430" w:rsidRPr="001569FB" w14:paraId="2DC41232" w14:textId="77777777" w:rsidTr="008D4E91">
        <w:trPr>
          <w:trHeight w:val="315"/>
        </w:trPr>
        <w:tc>
          <w:tcPr>
            <w:tcW w:w="3694" w:type="dxa"/>
            <w:hideMark/>
          </w:tcPr>
          <w:p w14:paraId="74EAA90A" w14:textId="77777777" w:rsidR="009A7430" w:rsidRPr="001569FB" w:rsidRDefault="009A7430" w:rsidP="008D4E91">
            <w:pPr>
              <w:rPr>
                <w:sz w:val="20"/>
                <w:szCs w:val="20"/>
              </w:rPr>
            </w:pPr>
            <w:r w:rsidRPr="001569FB">
              <w:rPr>
                <w:sz w:val="20"/>
                <w:szCs w:val="20"/>
              </w:rPr>
              <w:t>HCC8</w:t>
            </w:r>
          </w:p>
        </w:tc>
        <w:tc>
          <w:tcPr>
            <w:tcW w:w="3556" w:type="dxa"/>
            <w:hideMark/>
          </w:tcPr>
          <w:p w14:paraId="6963CC8E" w14:textId="77777777" w:rsidR="009A7430" w:rsidRPr="001569FB" w:rsidRDefault="009A7430" w:rsidP="008D4E91">
            <w:pPr>
              <w:rPr>
                <w:sz w:val="20"/>
                <w:szCs w:val="20"/>
              </w:rPr>
            </w:pPr>
            <w:r w:rsidRPr="001569FB">
              <w:rPr>
                <w:sz w:val="20"/>
                <w:szCs w:val="20"/>
              </w:rPr>
              <w:t>Metastatic Cancer and Acute Leukemia</w:t>
            </w:r>
          </w:p>
        </w:tc>
        <w:tc>
          <w:tcPr>
            <w:tcW w:w="2100" w:type="dxa"/>
            <w:noWrap/>
            <w:hideMark/>
          </w:tcPr>
          <w:p w14:paraId="34AB6164" w14:textId="77777777" w:rsidR="009A7430" w:rsidRPr="001569FB" w:rsidRDefault="009A7430" w:rsidP="008D4E91">
            <w:pPr>
              <w:jc w:val="center"/>
              <w:rPr>
                <w:sz w:val="20"/>
                <w:szCs w:val="20"/>
              </w:rPr>
            </w:pPr>
            <w:r w:rsidRPr="001569FB">
              <w:rPr>
                <w:sz w:val="20"/>
                <w:szCs w:val="20"/>
              </w:rPr>
              <w:t>1.289</w:t>
            </w:r>
          </w:p>
        </w:tc>
      </w:tr>
      <w:tr w:rsidR="009A7430" w:rsidRPr="001569FB" w14:paraId="0DD35202" w14:textId="77777777" w:rsidTr="008D4E91">
        <w:trPr>
          <w:trHeight w:val="315"/>
        </w:trPr>
        <w:tc>
          <w:tcPr>
            <w:tcW w:w="3694" w:type="dxa"/>
            <w:hideMark/>
          </w:tcPr>
          <w:p w14:paraId="55FACBF9" w14:textId="77777777" w:rsidR="009A7430" w:rsidRPr="001569FB" w:rsidRDefault="009A7430" w:rsidP="008D4E91">
            <w:pPr>
              <w:rPr>
                <w:sz w:val="20"/>
                <w:szCs w:val="20"/>
              </w:rPr>
            </w:pPr>
            <w:r w:rsidRPr="001569FB">
              <w:rPr>
                <w:sz w:val="20"/>
                <w:szCs w:val="20"/>
              </w:rPr>
              <w:t>HCC9</w:t>
            </w:r>
          </w:p>
        </w:tc>
        <w:tc>
          <w:tcPr>
            <w:tcW w:w="3556" w:type="dxa"/>
            <w:hideMark/>
          </w:tcPr>
          <w:p w14:paraId="116FF80F" w14:textId="77777777" w:rsidR="009A7430" w:rsidRPr="001569FB" w:rsidRDefault="009A7430" w:rsidP="008D4E91">
            <w:pPr>
              <w:rPr>
                <w:sz w:val="20"/>
                <w:szCs w:val="20"/>
              </w:rPr>
            </w:pPr>
            <w:r w:rsidRPr="001569FB">
              <w:rPr>
                <w:sz w:val="20"/>
                <w:szCs w:val="20"/>
              </w:rPr>
              <w:t>Lung and Other Severe Cancers</w:t>
            </w:r>
          </w:p>
        </w:tc>
        <w:tc>
          <w:tcPr>
            <w:tcW w:w="2100" w:type="dxa"/>
            <w:noWrap/>
            <w:hideMark/>
          </w:tcPr>
          <w:p w14:paraId="0F8C20CF" w14:textId="77777777" w:rsidR="009A7430" w:rsidRPr="001569FB" w:rsidRDefault="009A7430" w:rsidP="008D4E91">
            <w:pPr>
              <w:jc w:val="center"/>
              <w:rPr>
                <w:sz w:val="20"/>
                <w:szCs w:val="20"/>
              </w:rPr>
            </w:pPr>
            <w:r w:rsidRPr="001569FB">
              <w:rPr>
                <w:sz w:val="20"/>
                <w:szCs w:val="20"/>
              </w:rPr>
              <w:t>0.604</w:t>
            </w:r>
          </w:p>
        </w:tc>
      </w:tr>
      <w:tr w:rsidR="009A7430" w:rsidRPr="001569FB" w14:paraId="48C26F2C" w14:textId="77777777" w:rsidTr="008D4E91">
        <w:trPr>
          <w:trHeight w:val="315"/>
        </w:trPr>
        <w:tc>
          <w:tcPr>
            <w:tcW w:w="3694" w:type="dxa"/>
            <w:hideMark/>
          </w:tcPr>
          <w:p w14:paraId="7EFDE207" w14:textId="77777777" w:rsidR="009A7430" w:rsidRPr="001569FB" w:rsidRDefault="009A7430" w:rsidP="008D4E91">
            <w:pPr>
              <w:rPr>
                <w:sz w:val="20"/>
                <w:szCs w:val="20"/>
              </w:rPr>
            </w:pPr>
            <w:r w:rsidRPr="001569FB">
              <w:rPr>
                <w:sz w:val="20"/>
                <w:szCs w:val="20"/>
              </w:rPr>
              <w:t>HCC10</w:t>
            </w:r>
          </w:p>
        </w:tc>
        <w:tc>
          <w:tcPr>
            <w:tcW w:w="3556" w:type="dxa"/>
            <w:hideMark/>
          </w:tcPr>
          <w:p w14:paraId="6CD5156F" w14:textId="77777777" w:rsidR="009A7430" w:rsidRPr="001569FB" w:rsidRDefault="009A7430" w:rsidP="008D4E91">
            <w:pPr>
              <w:rPr>
                <w:sz w:val="20"/>
                <w:szCs w:val="20"/>
              </w:rPr>
            </w:pPr>
            <w:r w:rsidRPr="001569FB">
              <w:rPr>
                <w:sz w:val="20"/>
                <w:szCs w:val="20"/>
              </w:rPr>
              <w:t>Lymphoma and Other Cancers</w:t>
            </w:r>
          </w:p>
        </w:tc>
        <w:tc>
          <w:tcPr>
            <w:tcW w:w="2100" w:type="dxa"/>
            <w:noWrap/>
            <w:hideMark/>
          </w:tcPr>
          <w:p w14:paraId="45A43CEF" w14:textId="77777777" w:rsidR="009A7430" w:rsidRPr="001569FB" w:rsidRDefault="009A7430" w:rsidP="008D4E91">
            <w:pPr>
              <w:jc w:val="center"/>
              <w:rPr>
                <w:sz w:val="20"/>
                <w:szCs w:val="20"/>
              </w:rPr>
            </w:pPr>
            <w:r w:rsidRPr="001569FB">
              <w:rPr>
                <w:sz w:val="20"/>
                <w:szCs w:val="20"/>
              </w:rPr>
              <w:t>0.451</w:t>
            </w:r>
          </w:p>
        </w:tc>
      </w:tr>
      <w:tr w:rsidR="009A7430" w:rsidRPr="001569FB" w14:paraId="48417496" w14:textId="77777777" w:rsidTr="008D4E91">
        <w:trPr>
          <w:trHeight w:val="315"/>
        </w:trPr>
        <w:tc>
          <w:tcPr>
            <w:tcW w:w="3694" w:type="dxa"/>
            <w:hideMark/>
          </w:tcPr>
          <w:p w14:paraId="662FB65C" w14:textId="77777777" w:rsidR="009A7430" w:rsidRPr="001569FB" w:rsidRDefault="009A7430" w:rsidP="008D4E91">
            <w:pPr>
              <w:rPr>
                <w:sz w:val="20"/>
                <w:szCs w:val="20"/>
              </w:rPr>
            </w:pPr>
            <w:r w:rsidRPr="001569FB">
              <w:rPr>
                <w:sz w:val="20"/>
                <w:szCs w:val="20"/>
              </w:rPr>
              <w:t>HCC11</w:t>
            </w:r>
          </w:p>
        </w:tc>
        <w:tc>
          <w:tcPr>
            <w:tcW w:w="3556" w:type="dxa"/>
            <w:hideMark/>
          </w:tcPr>
          <w:p w14:paraId="4F73DD49" w14:textId="77777777" w:rsidR="009A7430" w:rsidRPr="001569FB" w:rsidRDefault="009A7430" w:rsidP="008D4E91">
            <w:pPr>
              <w:rPr>
                <w:sz w:val="20"/>
                <w:szCs w:val="20"/>
              </w:rPr>
            </w:pPr>
            <w:r w:rsidRPr="001569FB">
              <w:rPr>
                <w:sz w:val="20"/>
                <w:szCs w:val="20"/>
              </w:rPr>
              <w:t>Colorectal, Bladder, and Other Cancers</w:t>
            </w:r>
          </w:p>
        </w:tc>
        <w:tc>
          <w:tcPr>
            <w:tcW w:w="2100" w:type="dxa"/>
            <w:noWrap/>
            <w:hideMark/>
          </w:tcPr>
          <w:p w14:paraId="2AFD08A5" w14:textId="77777777" w:rsidR="009A7430" w:rsidRPr="001569FB" w:rsidRDefault="009A7430" w:rsidP="008D4E91">
            <w:pPr>
              <w:jc w:val="center"/>
              <w:rPr>
                <w:sz w:val="20"/>
                <w:szCs w:val="20"/>
              </w:rPr>
            </w:pPr>
            <w:r w:rsidRPr="001569FB">
              <w:rPr>
                <w:sz w:val="20"/>
                <w:szCs w:val="20"/>
              </w:rPr>
              <w:t>0.284</w:t>
            </w:r>
          </w:p>
        </w:tc>
      </w:tr>
      <w:tr w:rsidR="009A7430" w:rsidRPr="001569FB" w14:paraId="1747118F" w14:textId="77777777" w:rsidTr="008D4E91">
        <w:trPr>
          <w:trHeight w:val="315"/>
        </w:trPr>
        <w:tc>
          <w:tcPr>
            <w:tcW w:w="3694" w:type="dxa"/>
            <w:hideMark/>
          </w:tcPr>
          <w:p w14:paraId="122285BF" w14:textId="77777777" w:rsidR="009A7430" w:rsidRPr="001569FB" w:rsidRDefault="009A7430" w:rsidP="008D4E91">
            <w:pPr>
              <w:rPr>
                <w:sz w:val="20"/>
                <w:szCs w:val="20"/>
              </w:rPr>
            </w:pPr>
            <w:r w:rsidRPr="001569FB">
              <w:rPr>
                <w:sz w:val="20"/>
                <w:szCs w:val="20"/>
              </w:rPr>
              <w:t>HCC12</w:t>
            </w:r>
          </w:p>
        </w:tc>
        <w:tc>
          <w:tcPr>
            <w:tcW w:w="3556" w:type="dxa"/>
            <w:hideMark/>
          </w:tcPr>
          <w:p w14:paraId="5171AF67" w14:textId="77777777" w:rsidR="009A7430" w:rsidRPr="001569FB" w:rsidRDefault="009A7430" w:rsidP="008D4E91">
            <w:pPr>
              <w:rPr>
                <w:sz w:val="20"/>
                <w:szCs w:val="20"/>
              </w:rPr>
            </w:pPr>
            <w:r w:rsidRPr="001569FB">
              <w:rPr>
                <w:sz w:val="20"/>
                <w:szCs w:val="20"/>
              </w:rPr>
              <w:t>Breast, Prostate, and Other Cancers and Tumors</w:t>
            </w:r>
          </w:p>
        </w:tc>
        <w:tc>
          <w:tcPr>
            <w:tcW w:w="2100" w:type="dxa"/>
            <w:noWrap/>
            <w:hideMark/>
          </w:tcPr>
          <w:p w14:paraId="1162D30B" w14:textId="77777777" w:rsidR="009A7430" w:rsidRPr="001569FB" w:rsidRDefault="009A7430" w:rsidP="008D4E91">
            <w:pPr>
              <w:jc w:val="center"/>
              <w:rPr>
                <w:sz w:val="20"/>
                <w:szCs w:val="20"/>
              </w:rPr>
            </w:pPr>
            <w:r w:rsidRPr="001569FB">
              <w:rPr>
                <w:sz w:val="20"/>
                <w:szCs w:val="20"/>
              </w:rPr>
              <w:t>0.194</w:t>
            </w:r>
          </w:p>
        </w:tc>
      </w:tr>
      <w:tr w:rsidR="009A7430" w:rsidRPr="001569FB" w14:paraId="3D5C309D" w14:textId="77777777" w:rsidTr="008D4E91">
        <w:trPr>
          <w:trHeight w:val="315"/>
        </w:trPr>
        <w:tc>
          <w:tcPr>
            <w:tcW w:w="3694" w:type="dxa"/>
            <w:hideMark/>
          </w:tcPr>
          <w:p w14:paraId="1C795625" w14:textId="77777777" w:rsidR="009A7430" w:rsidRPr="001569FB" w:rsidRDefault="009A7430" w:rsidP="008D4E91">
            <w:pPr>
              <w:rPr>
                <w:sz w:val="20"/>
                <w:szCs w:val="20"/>
              </w:rPr>
            </w:pPr>
            <w:r w:rsidRPr="001569FB">
              <w:rPr>
                <w:sz w:val="20"/>
                <w:szCs w:val="20"/>
              </w:rPr>
              <w:t>HCC17</w:t>
            </w:r>
          </w:p>
        </w:tc>
        <w:tc>
          <w:tcPr>
            <w:tcW w:w="3556" w:type="dxa"/>
            <w:hideMark/>
          </w:tcPr>
          <w:p w14:paraId="75EA8FF2" w14:textId="77777777" w:rsidR="009A7430" w:rsidRPr="001569FB" w:rsidRDefault="009A7430" w:rsidP="008D4E91">
            <w:pPr>
              <w:rPr>
                <w:sz w:val="20"/>
                <w:szCs w:val="20"/>
              </w:rPr>
            </w:pPr>
            <w:r w:rsidRPr="001569FB">
              <w:rPr>
                <w:sz w:val="20"/>
                <w:szCs w:val="20"/>
              </w:rPr>
              <w:t>Diabetes with Acute Complications</w:t>
            </w:r>
          </w:p>
        </w:tc>
        <w:tc>
          <w:tcPr>
            <w:tcW w:w="2100" w:type="dxa"/>
            <w:noWrap/>
            <w:hideMark/>
          </w:tcPr>
          <w:p w14:paraId="42A13432" w14:textId="77777777" w:rsidR="009A7430" w:rsidRPr="001569FB" w:rsidRDefault="009A7430" w:rsidP="008D4E91">
            <w:pPr>
              <w:jc w:val="center"/>
              <w:rPr>
                <w:sz w:val="20"/>
                <w:szCs w:val="20"/>
              </w:rPr>
            </w:pPr>
            <w:r w:rsidRPr="001569FB">
              <w:rPr>
                <w:sz w:val="20"/>
                <w:szCs w:val="20"/>
              </w:rPr>
              <w:t>0.373</w:t>
            </w:r>
          </w:p>
        </w:tc>
      </w:tr>
      <w:tr w:rsidR="009A7430" w:rsidRPr="001569FB" w14:paraId="7DE5D26C" w14:textId="77777777" w:rsidTr="008D4E91">
        <w:trPr>
          <w:trHeight w:val="315"/>
        </w:trPr>
        <w:tc>
          <w:tcPr>
            <w:tcW w:w="3694" w:type="dxa"/>
            <w:hideMark/>
          </w:tcPr>
          <w:p w14:paraId="14C1D7B2" w14:textId="77777777" w:rsidR="009A7430" w:rsidRPr="001569FB" w:rsidRDefault="009A7430" w:rsidP="008D4E91">
            <w:pPr>
              <w:rPr>
                <w:sz w:val="20"/>
                <w:szCs w:val="20"/>
              </w:rPr>
            </w:pPr>
            <w:r w:rsidRPr="001569FB">
              <w:rPr>
                <w:sz w:val="20"/>
                <w:szCs w:val="20"/>
              </w:rPr>
              <w:t>HCC18</w:t>
            </w:r>
          </w:p>
        </w:tc>
        <w:tc>
          <w:tcPr>
            <w:tcW w:w="3556" w:type="dxa"/>
            <w:hideMark/>
          </w:tcPr>
          <w:p w14:paraId="6B7C8747" w14:textId="77777777" w:rsidR="009A7430" w:rsidRPr="001569FB" w:rsidRDefault="009A7430" w:rsidP="008D4E91">
            <w:pPr>
              <w:rPr>
                <w:sz w:val="20"/>
                <w:szCs w:val="20"/>
              </w:rPr>
            </w:pPr>
            <w:r w:rsidRPr="001569FB">
              <w:rPr>
                <w:sz w:val="20"/>
                <w:szCs w:val="20"/>
              </w:rPr>
              <w:t>Diabetes with Chronic Complications</w:t>
            </w:r>
          </w:p>
        </w:tc>
        <w:tc>
          <w:tcPr>
            <w:tcW w:w="2100" w:type="dxa"/>
            <w:noWrap/>
            <w:hideMark/>
          </w:tcPr>
          <w:p w14:paraId="235E90CD" w14:textId="77777777" w:rsidR="009A7430" w:rsidRPr="001569FB" w:rsidRDefault="009A7430" w:rsidP="008D4E91">
            <w:pPr>
              <w:jc w:val="center"/>
              <w:rPr>
                <w:sz w:val="20"/>
                <w:szCs w:val="20"/>
              </w:rPr>
            </w:pPr>
            <w:r w:rsidRPr="001569FB">
              <w:rPr>
                <w:sz w:val="20"/>
                <w:szCs w:val="20"/>
              </w:rPr>
              <w:t>0.373</w:t>
            </w:r>
          </w:p>
        </w:tc>
      </w:tr>
      <w:tr w:rsidR="009A7430" w:rsidRPr="001569FB" w14:paraId="386D9B83" w14:textId="77777777" w:rsidTr="008D4E91">
        <w:trPr>
          <w:trHeight w:val="315"/>
        </w:trPr>
        <w:tc>
          <w:tcPr>
            <w:tcW w:w="3694" w:type="dxa"/>
            <w:hideMark/>
          </w:tcPr>
          <w:p w14:paraId="74C68426" w14:textId="77777777" w:rsidR="009A7430" w:rsidRPr="001569FB" w:rsidRDefault="009A7430" w:rsidP="008D4E91">
            <w:pPr>
              <w:rPr>
                <w:sz w:val="20"/>
                <w:szCs w:val="20"/>
              </w:rPr>
            </w:pPr>
            <w:r w:rsidRPr="001569FB">
              <w:rPr>
                <w:sz w:val="20"/>
                <w:szCs w:val="20"/>
              </w:rPr>
              <w:t>HCC19</w:t>
            </w:r>
          </w:p>
        </w:tc>
        <w:tc>
          <w:tcPr>
            <w:tcW w:w="3556" w:type="dxa"/>
            <w:hideMark/>
          </w:tcPr>
          <w:p w14:paraId="7EC89D03" w14:textId="77777777" w:rsidR="009A7430" w:rsidRPr="001569FB" w:rsidRDefault="009A7430" w:rsidP="008D4E91">
            <w:pPr>
              <w:rPr>
                <w:sz w:val="20"/>
                <w:szCs w:val="20"/>
              </w:rPr>
            </w:pPr>
            <w:r w:rsidRPr="001569FB">
              <w:rPr>
                <w:sz w:val="20"/>
                <w:szCs w:val="20"/>
              </w:rPr>
              <w:t>Diabetes without Complication</w:t>
            </w:r>
          </w:p>
        </w:tc>
        <w:tc>
          <w:tcPr>
            <w:tcW w:w="2100" w:type="dxa"/>
            <w:noWrap/>
            <w:hideMark/>
          </w:tcPr>
          <w:p w14:paraId="713C7BFD" w14:textId="77777777" w:rsidR="009A7430" w:rsidRPr="001569FB" w:rsidRDefault="009A7430" w:rsidP="008D4E91">
            <w:pPr>
              <w:jc w:val="center"/>
              <w:rPr>
                <w:sz w:val="20"/>
                <w:szCs w:val="20"/>
              </w:rPr>
            </w:pPr>
            <w:r w:rsidRPr="001569FB">
              <w:rPr>
                <w:sz w:val="20"/>
                <w:szCs w:val="20"/>
              </w:rPr>
              <w:t>0.165</w:t>
            </w:r>
          </w:p>
        </w:tc>
      </w:tr>
      <w:tr w:rsidR="009A7430" w:rsidRPr="001569FB" w14:paraId="0BF03663" w14:textId="77777777" w:rsidTr="008D4E91">
        <w:trPr>
          <w:trHeight w:val="315"/>
        </w:trPr>
        <w:tc>
          <w:tcPr>
            <w:tcW w:w="3694" w:type="dxa"/>
            <w:hideMark/>
          </w:tcPr>
          <w:p w14:paraId="5FF3BB24" w14:textId="77777777" w:rsidR="009A7430" w:rsidRPr="001569FB" w:rsidRDefault="009A7430" w:rsidP="008D4E91">
            <w:pPr>
              <w:rPr>
                <w:sz w:val="20"/>
                <w:szCs w:val="20"/>
              </w:rPr>
            </w:pPr>
            <w:r w:rsidRPr="001569FB">
              <w:rPr>
                <w:sz w:val="20"/>
                <w:szCs w:val="20"/>
              </w:rPr>
              <w:t>HCC21</w:t>
            </w:r>
          </w:p>
        </w:tc>
        <w:tc>
          <w:tcPr>
            <w:tcW w:w="3556" w:type="dxa"/>
            <w:hideMark/>
          </w:tcPr>
          <w:p w14:paraId="245F4A04" w14:textId="77777777" w:rsidR="009A7430" w:rsidRPr="001569FB" w:rsidRDefault="009A7430" w:rsidP="008D4E91">
            <w:pPr>
              <w:rPr>
                <w:sz w:val="20"/>
                <w:szCs w:val="20"/>
              </w:rPr>
            </w:pPr>
            <w:r w:rsidRPr="001569FB">
              <w:rPr>
                <w:sz w:val="20"/>
                <w:szCs w:val="20"/>
              </w:rPr>
              <w:t>Protein-Calorie Malnutrition</w:t>
            </w:r>
          </w:p>
        </w:tc>
        <w:tc>
          <w:tcPr>
            <w:tcW w:w="2100" w:type="dxa"/>
            <w:noWrap/>
            <w:hideMark/>
          </w:tcPr>
          <w:p w14:paraId="76A7518B" w14:textId="77777777" w:rsidR="009A7430" w:rsidRPr="001569FB" w:rsidRDefault="009A7430" w:rsidP="008D4E91">
            <w:pPr>
              <w:jc w:val="center"/>
              <w:rPr>
                <w:sz w:val="20"/>
                <w:szCs w:val="20"/>
              </w:rPr>
            </w:pPr>
            <w:r w:rsidRPr="001569FB">
              <w:rPr>
                <w:sz w:val="20"/>
                <w:szCs w:val="20"/>
              </w:rPr>
              <w:t>0.252</w:t>
            </w:r>
          </w:p>
        </w:tc>
      </w:tr>
      <w:tr w:rsidR="009A7430" w:rsidRPr="001569FB" w14:paraId="78E9EE1D" w14:textId="77777777" w:rsidTr="008D4E91">
        <w:trPr>
          <w:trHeight w:val="315"/>
        </w:trPr>
        <w:tc>
          <w:tcPr>
            <w:tcW w:w="3694" w:type="dxa"/>
            <w:hideMark/>
          </w:tcPr>
          <w:p w14:paraId="1963353B" w14:textId="77777777" w:rsidR="009A7430" w:rsidRPr="001569FB" w:rsidRDefault="009A7430" w:rsidP="008D4E91">
            <w:pPr>
              <w:rPr>
                <w:sz w:val="20"/>
                <w:szCs w:val="20"/>
              </w:rPr>
            </w:pPr>
            <w:r w:rsidRPr="001569FB">
              <w:rPr>
                <w:sz w:val="20"/>
                <w:szCs w:val="20"/>
              </w:rPr>
              <w:t>HCC22</w:t>
            </w:r>
          </w:p>
        </w:tc>
        <w:tc>
          <w:tcPr>
            <w:tcW w:w="3556" w:type="dxa"/>
            <w:hideMark/>
          </w:tcPr>
          <w:p w14:paraId="0DFDD3EE" w14:textId="77777777" w:rsidR="009A7430" w:rsidRPr="001569FB" w:rsidRDefault="009A7430" w:rsidP="008D4E91">
            <w:pPr>
              <w:rPr>
                <w:sz w:val="20"/>
                <w:szCs w:val="20"/>
              </w:rPr>
            </w:pPr>
            <w:r w:rsidRPr="001569FB">
              <w:rPr>
                <w:sz w:val="20"/>
                <w:szCs w:val="20"/>
              </w:rPr>
              <w:t>Morbid Obesity</w:t>
            </w:r>
          </w:p>
        </w:tc>
        <w:tc>
          <w:tcPr>
            <w:tcW w:w="2100" w:type="dxa"/>
            <w:noWrap/>
            <w:hideMark/>
          </w:tcPr>
          <w:p w14:paraId="5DB80D7A" w14:textId="77777777" w:rsidR="009A7430" w:rsidRPr="001569FB" w:rsidRDefault="009A7430" w:rsidP="008D4E91">
            <w:pPr>
              <w:jc w:val="center"/>
              <w:rPr>
                <w:sz w:val="20"/>
                <w:szCs w:val="20"/>
              </w:rPr>
            </w:pPr>
            <w:r w:rsidRPr="001569FB">
              <w:rPr>
                <w:sz w:val="20"/>
                <w:szCs w:val="20"/>
              </w:rPr>
              <w:t>0.429</w:t>
            </w:r>
          </w:p>
        </w:tc>
      </w:tr>
      <w:tr w:rsidR="009A7430" w:rsidRPr="001569FB" w14:paraId="3B48FC6B" w14:textId="77777777" w:rsidTr="008D4E91">
        <w:trPr>
          <w:trHeight w:val="315"/>
        </w:trPr>
        <w:tc>
          <w:tcPr>
            <w:tcW w:w="3694" w:type="dxa"/>
            <w:hideMark/>
          </w:tcPr>
          <w:p w14:paraId="4160C4D9" w14:textId="77777777" w:rsidR="009A7430" w:rsidRPr="001569FB" w:rsidRDefault="009A7430" w:rsidP="008D4E91">
            <w:pPr>
              <w:rPr>
                <w:sz w:val="20"/>
                <w:szCs w:val="20"/>
              </w:rPr>
            </w:pPr>
            <w:r w:rsidRPr="001569FB">
              <w:rPr>
                <w:sz w:val="20"/>
                <w:szCs w:val="20"/>
              </w:rPr>
              <w:t>HCC23</w:t>
            </w:r>
          </w:p>
        </w:tc>
        <w:tc>
          <w:tcPr>
            <w:tcW w:w="3556" w:type="dxa"/>
            <w:hideMark/>
          </w:tcPr>
          <w:p w14:paraId="386C8B7B" w14:textId="77777777" w:rsidR="009A7430" w:rsidRPr="001569FB" w:rsidRDefault="009A7430" w:rsidP="008D4E91">
            <w:pPr>
              <w:rPr>
                <w:sz w:val="20"/>
                <w:szCs w:val="20"/>
              </w:rPr>
            </w:pPr>
            <w:r w:rsidRPr="001569FB">
              <w:rPr>
                <w:sz w:val="20"/>
                <w:szCs w:val="20"/>
              </w:rPr>
              <w:t>Other Significant Endocrine and Metabolic Disorders</w:t>
            </w:r>
          </w:p>
        </w:tc>
        <w:tc>
          <w:tcPr>
            <w:tcW w:w="2100" w:type="dxa"/>
            <w:noWrap/>
            <w:hideMark/>
          </w:tcPr>
          <w:p w14:paraId="372FAE93" w14:textId="77777777" w:rsidR="009A7430" w:rsidRPr="001569FB" w:rsidRDefault="009A7430" w:rsidP="008D4E91">
            <w:pPr>
              <w:jc w:val="center"/>
              <w:rPr>
                <w:sz w:val="20"/>
                <w:szCs w:val="20"/>
              </w:rPr>
            </w:pPr>
            <w:r w:rsidRPr="001569FB">
              <w:rPr>
                <w:sz w:val="20"/>
                <w:szCs w:val="20"/>
              </w:rPr>
              <w:t>0.359</w:t>
            </w:r>
          </w:p>
        </w:tc>
      </w:tr>
      <w:tr w:rsidR="009A7430" w:rsidRPr="001569FB" w14:paraId="012FEC17" w14:textId="77777777" w:rsidTr="008D4E91">
        <w:trPr>
          <w:trHeight w:val="315"/>
        </w:trPr>
        <w:tc>
          <w:tcPr>
            <w:tcW w:w="3694" w:type="dxa"/>
            <w:hideMark/>
          </w:tcPr>
          <w:p w14:paraId="7A08657E" w14:textId="77777777" w:rsidR="009A7430" w:rsidRPr="001569FB" w:rsidRDefault="009A7430" w:rsidP="008D4E91">
            <w:pPr>
              <w:rPr>
                <w:sz w:val="20"/>
                <w:szCs w:val="20"/>
              </w:rPr>
            </w:pPr>
            <w:r w:rsidRPr="001569FB">
              <w:rPr>
                <w:sz w:val="20"/>
                <w:szCs w:val="20"/>
              </w:rPr>
              <w:t>HCC27</w:t>
            </w:r>
          </w:p>
        </w:tc>
        <w:tc>
          <w:tcPr>
            <w:tcW w:w="3556" w:type="dxa"/>
            <w:hideMark/>
          </w:tcPr>
          <w:p w14:paraId="2F2A7DB3" w14:textId="77777777" w:rsidR="009A7430" w:rsidRPr="001569FB" w:rsidRDefault="009A7430" w:rsidP="008D4E91">
            <w:pPr>
              <w:rPr>
                <w:sz w:val="20"/>
                <w:szCs w:val="20"/>
              </w:rPr>
            </w:pPr>
            <w:r w:rsidRPr="001569FB">
              <w:rPr>
                <w:sz w:val="20"/>
                <w:szCs w:val="20"/>
              </w:rPr>
              <w:t>End-Stage Liver Disease</w:t>
            </w:r>
          </w:p>
        </w:tc>
        <w:tc>
          <w:tcPr>
            <w:tcW w:w="2100" w:type="dxa"/>
            <w:noWrap/>
            <w:hideMark/>
          </w:tcPr>
          <w:p w14:paraId="0C24F74D" w14:textId="77777777" w:rsidR="009A7430" w:rsidRPr="001569FB" w:rsidRDefault="009A7430" w:rsidP="008D4E91">
            <w:pPr>
              <w:jc w:val="center"/>
              <w:rPr>
                <w:sz w:val="20"/>
                <w:szCs w:val="20"/>
              </w:rPr>
            </w:pPr>
            <w:r w:rsidRPr="001569FB">
              <w:rPr>
                <w:sz w:val="20"/>
                <w:szCs w:val="20"/>
              </w:rPr>
              <w:t>0.863</w:t>
            </w:r>
          </w:p>
        </w:tc>
      </w:tr>
      <w:tr w:rsidR="009A7430" w:rsidRPr="001569FB" w14:paraId="3162D5E3" w14:textId="77777777" w:rsidTr="008D4E91">
        <w:trPr>
          <w:trHeight w:val="315"/>
        </w:trPr>
        <w:tc>
          <w:tcPr>
            <w:tcW w:w="3694" w:type="dxa"/>
            <w:hideMark/>
          </w:tcPr>
          <w:p w14:paraId="2680DACA" w14:textId="77777777" w:rsidR="009A7430" w:rsidRPr="001569FB" w:rsidRDefault="009A7430" w:rsidP="008D4E91">
            <w:pPr>
              <w:rPr>
                <w:sz w:val="20"/>
                <w:szCs w:val="20"/>
              </w:rPr>
            </w:pPr>
            <w:r w:rsidRPr="001569FB">
              <w:rPr>
                <w:sz w:val="20"/>
                <w:szCs w:val="20"/>
              </w:rPr>
              <w:t>HCC28</w:t>
            </w:r>
          </w:p>
        </w:tc>
        <w:tc>
          <w:tcPr>
            <w:tcW w:w="3556" w:type="dxa"/>
            <w:hideMark/>
          </w:tcPr>
          <w:p w14:paraId="38564636" w14:textId="77777777" w:rsidR="009A7430" w:rsidRPr="001569FB" w:rsidRDefault="009A7430" w:rsidP="008D4E91">
            <w:pPr>
              <w:rPr>
                <w:sz w:val="20"/>
                <w:szCs w:val="20"/>
              </w:rPr>
            </w:pPr>
            <w:r w:rsidRPr="001569FB">
              <w:rPr>
                <w:sz w:val="20"/>
                <w:szCs w:val="20"/>
              </w:rPr>
              <w:t>Cirrhosis of Liver</w:t>
            </w:r>
          </w:p>
        </w:tc>
        <w:tc>
          <w:tcPr>
            <w:tcW w:w="2100" w:type="dxa"/>
            <w:noWrap/>
            <w:hideMark/>
          </w:tcPr>
          <w:p w14:paraId="60D047E4" w14:textId="77777777" w:rsidR="009A7430" w:rsidRPr="001569FB" w:rsidRDefault="009A7430" w:rsidP="008D4E91">
            <w:pPr>
              <w:jc w:val="center"/>
              <w:rPr>
                <w:sz w:val="20"/>
                <w:szCs w:val="20"/>
              </w:rPr>
            </w:pPr>
            <w:r w:rsidRPr="001569FB">
              <w:rPr>
                <w:sz w:val="20"/>
                <w:szCs w:val="20"/>
              </w:rPr>
              <w:t>0.479</w:t>
            </w:r>
          </w:p>
        </w:tc>
      </w:tr>
      <w:tr w:rsidR="009A7430" w:rsidRPr="001569FB" w14:paraId="2C9379EE" w14:textId="77777777" w:rsidTr="008D4E91">
        <w:trPr>
          <w:trHeight w:val="315"/>
        </w:trPr>
        <w:tc>
          <w:tcPr>
            <w:tcW w:w="3694" w:type="dxa"/>
            <w:hideMark/>
          </w:tcPr>
          <w:p w14:paraId="37B43A0F" w14:textId="77777777" w:rsidR="009A7430" w:rsidRPr="001569FB" w:rsidRDefault="009A7430" w:rsidP="008D4E91">
            <w:pPr>
              <w:rPr>
                <w:sz w:val="20"/>
                <w:szCs w:val="20"/>
              </w:rPr>
            </w:pPr>
            <w:r w:rsidRPr="001569FB">
              <w:rPr>
                <w:sz w:val="20"/>
                <w:szCs w:val="20"/>
              </w:rPr>
              <w:t>HCC29</w:t>
            </w:r>
          </w:p>
        </w:tc>
        <w:tc>
          <w:tcPr>
            <w:tcW w:w="3556" w:type="dxa"/>
            <w:hideMark/>
          </w:tcPr>
          <w:p w14:paraId="18242E10" w14:textId="77777777" w:rsidR="009A7430" w:rsidRPr="001569FB" w:rsidRDefault="009A7430" w:rsidP="008D4E91">
            <w:pPr>
              <w:rPr>
                <w:sz w:val="20"/>
                <w:szCs w:val="20"/>
              </w:rPr>
            </w:pPr>
            <w:r w:rsidRPr="001569FB">
              <w:rPr>
                <w:sz w:val="20"/>
                <w:szCs w:val="20"/>
              </w:rPr>
              <w:t>Chronic Hepatitis</w:t>
            </w:r>
          </w:p>
        </w:tc>
        <w:tc>
          <w:tcPr>
            <w:tcW w:w="2100" w:type="dxa"/>
            <w:noWrap/>
            <w:hideMark/>
          </w:tcPr>
          <w:p w14:paraId="3F07E2C5" w14:textId="77777777" w:rsidR="009A7430" w:rsidRPr="001569FB" w:rsidRDefault="009A7430" w:rsidP="008D4E91">
            <w:pPr>
              <w:jc w:val="center"/>
              <w:rPr>
                <w:sz w:val="20"/>
                <w:szCs w:val="20"/>
              </w:rPr>
            </w:pPr>
            <w:r w:rsidRPr="001569FB">
              <w:rPr>
                <w:sz w:val="20"/>
                <w:szCs w:val="20"/>
              </w:rPr>
              <w:t>0.479</w:t>
            </w:r>
          </w:p>
        </w:tc>
      </w:tr>
      <w:tr w:rsidR="009A7430" w:rsidRPr="001569FB" w14:paraId="29F92830" w14:textId="77777777" w:rsidTr="008D4E91">
        <w:trPr>
          <w:trHeight w:val="315"/>
        </w:trPr>
        <w:tc>
          <w:tcPr>
            <w:tcW w:w="3694" w:type="dxa"/>
            <w:hideMark/>
          </w:tcPr>
          <w:p w14:paraId="30B97B8D" w14:textId="77777777" w:rsidR="009A7430" w:rsidRPr="001569FB" w:rsidRDefault="009A7430" w:rsidP="008D4E91">
            <w:pPr>
              <w:rPr>
                <w:sz w:val="20"/>
                <w:szCs w:val="20"/>
              </w:rPr>
            </w:pPr>
            <w:r w:rsidRPr="001569FB">
              <w:rPr>
                <w:sz w:val="20"/>
                <w:szCs w:val="20"/>
              </w:rPr>
              <w:t>HCC33</w:t>
            </w:r>
          </w:p>
        </w:tc>
        <w:tc>
          <w:tcPr>
            <w:tcW w:w="3556" w:type="dxa"/>
            <w:hideMark/>
          </w:tcPr>
          <w:p w14:paraId="56C58CC3" w14:textId="77777777" w:rsidR="009A7430" w:rsidRPr="001569FB" w:rsidRDefault="009A7430" w:rsidP="008D4E91">
            <w:pPr>
              <w:rPr>
                <w:sz w:val="20"/>
                <w:szCs w:val="20"/>
              </w:rPr>
            </w:pPr>
            <w:r w:rsidRPr="001569FB">
              <w:rPr>
                <w:sz w:val="20"/>
                <w:szCs w:val="20"/>
              </w:rPr>
              <w:t>Intestinal Obstruction/Perforation</w:t>
            </w:r>
          </w:p>
        </w:tc>
        <w:tc>
          <w:tcPr>
            <w:tcW w:w="2100" w:type="dxa"/>
            <w:noWrap/>
            <w:hideMark/>
          </w:tcPr>
          <w:p w14:paraId="73B60C0C" w14:textId="77777777" w:rsidR="009A7430" w:rsidRPr="001569FB" w:rsidRDefault="009A7430" w:rsidP="008D4E91">
            <w:pPr>
              <w:jc w:val="center"/>
              <w:rPr>
                <w:sz w:val="20"/>
                <w:szCs w:val="20"/>
              </w:rPr>
            </w:pPr>
            <w:r w:rsidRPr="001569FB">
              <w:rPr>
                <w:sz w:val="20"/>
                <w:szCs w:val="20"/>
              </w:rPr>
              <w:t>0.346</w:t>
            </w:r>
          </w:p>
        </w:tc>
      </w:tr>
      <w:tr w:rsidR="009A7430" w:rsidRPr="001569FB" w14:paraId="6384C7D2" w14:textId="77777777" w:rsidTr="008D4E91">
        <w:trPr>
          <w:trHeight w:val="315"/>
        </w:trPr>
        <w:tc>
          <w:tcPr>
            <w:tcW w:w="3694" w:type="dxa"/>
            <w:hideMark/>
          </w:tcPr>
          <w:p w14:paraId="56878EC8" w14:textId="77777777" w:rsidR="009A7430" w:rsidRPr="001569FB" w:rsidRDefault="009A7430" w:rsidP="008D4E91">
            <w:pPr>
              <w:rPr>
                <w:sz w:val="20"/>
                <w:szCs w:val="20"/>
              </w:rPr>
            </w:pPr>
            <w:r w:rsidRPr="001569FB">
              <w:rPr>
                <w:sz w:val="20"/>
                <w:szCs w:val="20"/>
              </w:rPr>
              <w:t>HCC34</w:t>
            </w:r>
          </w:p>
        </w:tc>
        <w:tc>
          <w:tcPr>
            <w:tcW w:w="3556" w:type="dxa"/>
            <w:hideMark/>
          </w:tcPr>
          <w:p w14:paraId="297D643A" w14:textId="77777777" w:rsidR="009A7430" w:rsidRPr="001569FB" w:rsidRDefault="009A7430" w:rsidP="008D4E91">
            <w:pPr>
              <w:rPr>
                <w:sz w:val="20"/>
                <w:szCs w:val="20"/>
              </w:rPr>
            </w:pPr>
            <w:r w:rsidRPr="001569FB">
              <w:rPr>
                <w:sz w:val="20"/>
                <w:szCs w:val="20"/>
              </w:rPr>
              <w:t>Chronic Pancreatitis</w:t>
            </w:r>
          </w:p>
        </w:tc>
        <w:tc>
          <w:tcPr>
            <w:tcW w:w="2100" w:type="dxa"/>
            <w:noWrap/>
            <w:hideMark/>
          </w:tcPr>
          <w:p w14:paraId="4A7AC92E" w14:textId="77777777" w:rsidR="009A7430" w:rsidRPr="001569FB" w:rsidRDefault="009A7430" w:rsidP="008D4E91">
            <w:pPr>
              <w:jc w:val="center"/>
              <w:rPr>
                <w:sz w:val="20"/>
                <w:szCs w:val="20"/>
              </w:rPr>
            </w:pPr>
            <w:r w:rsidRPr="001569FB">
              <w:rPr>
                <w:sz w:val="20"/>
                <w:szCs w:val="20"/>
              </w:rPr>
              <w:t>0.422</w:t>
            </w:r>
          </w:p>
        </w:tc>
      </w:tr>
      <w:tr w:rsidR="009A7430" w:rsidRPr="001569FB" w14:paraId="345B6396" w14:textId="77777777" w:rsidTr="008D4E91">
        <w:trPr>
          <w:trHeight w:val="315"/>
        </w:trPr>
        <w:tc>
          <w:tcPr>
            <w:tcW w:w="3694" w:type="dxa"/>
            <w:hideMark/>
          </w:tcPr>
          <w:p w14:paraId="77F2A285" w14:textId="77777777" w:rsidR="009A7430" w:rsidRPr="001569FB" w:rsidRDefault="009A7430" w:rsidP="008D4E91">
            <w:pPr>
              <w:rPr>
                <w:sz w:val="20"/>
                <w:szCs w:val="20"/>
              </w:rPr>
            </w:pPr>
            <w:r w:rsidRPr="001569FB">
              <w:rPr>
                <w:sz w:val="20"/>
                <w:szCs w:val="20"/>
              </w:rPr>
              <w:t>HCC35</w:t>
            </w:r>
          </w:p>
        </w:tc>
        <w:tc>
          <w:tcPr>
            <w:tcW w:w="3556" w:type="dxa"/>
            <w:hideMark/>
          </w:tcPr>
          <w:p w14:paraId="3251C35A" w14:textId="77777777" w:rsidR="009A7430" w:rsidRPr="001569FB" w:rsidRDefault="009A7430" w:rsidP="008D4E91">
            <w:pPr>
              <w:rPr>
                <w:sz w:val="20"/>
                <w:szCs w:val="20"/>
              </w:rPr>
            </w:pPr>
            <w:r w:rsidRPr="001569FB">
              <w:rPr>
                <w:sz w:val="20"/>
                <w:szCs w:val="20"/>
              </w:rPr>
              <w:t>Inflammatory Bowel Disease</w:t>
            </w:r>
          </w:p>
        </w:tc>
        <w:tc>
          <w:tcPr>
            <w:tcW w:w="2100" w:type="dxa"/>
            <w:noWrap/>
            <w:hideMark/>
          </w:tcPr>
          <w:p w14:paraId="05C01111" w14:textId="77777777" w:rsidR="009A7430" w:rsidRPr="001569FB" w:rsidRDefault="009A7430" w:rsidP="008D4E91">
            <w:pPr>
              <w:jc w:val="center"/>
              <w:rPr>
                <w:sz w:val="20"/>
                <w:szCs w:val="20"/>
              </w:rPr>
            </w:pPr>
            <w:r w:rsidRPr="001569FB">
              <w:rPr>
                <w:sz w:val="20"/>
                <w:szCs w:val="20"/>
              </w:rPr>
              <w:t>0.341</w:t>
            </w:r>
          </w:p>
        </w:tc>
      </w:tr>
      <w:tr w:rsidR="009A7430" w:rsidRPr="001569FB" w14:paraId="16096864" w14:textId="77777777" w:rsidTr="008D4E91">
        <w:trPr>
          <w:trHeight w:val="315"/>
        </w:trPr>
        <w:tc>
          <w:tcPr>
            <w:tcW w:w="3694" w:type="dxa"/>
            <w:hideMark/>
          </w:tcPr>
          <w:p w14:paraId="310843FD" w14:textId="77777777" w:rsidR="009A7430" w:rsidRPr="001569FB" w:rsidRDefault="009A7430" w:rsidP="008D4E91">
            <w:pPr>
              <w:rPr>
                <w:sz w:val="20"/>
                <w:szCs w:val="20"/>
              </w:rPr>
            </w:pPr>
            <w:r w:rsidRPr="001569FB">
              <w:rPr>
                <w:sz w:val="20"/>
                <w:szCs w:val="20"/>
              </w:rPr>
              <w:t>HCC39</w:t>
            </w:r>
          </w:p>
        </w:tc>
        <w:tc>
          <w:tcPr>
            <w:tcW w:w="3556" w:type="dxa"/>
            <w:hideMark/>
          </w:tcPr>
          <w:p w14:paraId="25251A3A" w14:textId="77777777" w:rsidR="009A7430" w:rsidRPr="001569FB" w:rsidRDefault="009A7430" w:rsidP="008D4E91">
            <w:pPr>
              <w:rPr>
                <w:sz w:val="20"/>
                <w:szCs w:val="20"/>
              </w:rPr>
            </w:pPr>
            <w:r w:rsidRPr="001569FB">
              <w:rPr>
                <w:sz w:val="20"/>
                <w:szCs w:val="20"/>
              </w:rPr>
              <w:t>Bone/Joint/Muscle Infections/Necrosis</w:t>
            </w:r>
          </w:p>
        </w:tc>
        <w:tc>
          <w:tcPr>
            <w:tcW w:w="2100" w:type="dxa"/>
            <w:noWrap/>
            <w:hideMark/>
          </w:tcPr>
          <w:p w14:paraId="1B6BEA54" w14:textId="77777777" w:rsidR="009A7430" w:rsidRPr="001569FB" w:rsidRDefault="009A7430" w:rsidP="008D4E91">
            <w:pPr>
              <w:jc w:val="center"/>
              <w:rPr>
                <w:sz w:val="20"/>
                <w:szCs w:val="20"/>
              </w:rPr>
            </w:pPr>
            <w:r w:rsidRPr="001569FB">
              <w:rPr>
                <w:sz w:val="20"/>
                <w:szCs w:val="20"/>
              </w:rPr>
              <w:t>0.375</w:t>
            </w:r>
          </w:p>
        </w:tc>
      </w:tr>
      <w:tr w:rsidR="009A7430" w:rsidRPr="001569FB" w14:paraId="7A5D7AEA" w14:textId="77777777" w:rsidTr="008D4E91">
        <w:trPr>
          <w:trHeight w:val="630"/>
        </w:trPr>
        <w:tc>
          <w:tcPr>
            <w:tcW w:w="3694" w:type="dxa"/>
            <w:hideMark/>
          </w:tcPr>
          <w:p w14:paraId="01F68FEF" w14:textId="77777777" w:rsidR="009A7430" w:rsidRPr="001569FB" w:rsidRDefault="009A7430" w:rsidP="008D4E91">
            <w:pPr>
              <w:rPr>
                <w:sz w:val="20"/>
                <w:szCs w:val="20"/>
              </w:rPr>
            </w:pPr>
            <w:r w:rsidRPr="001569FB">
              <w:rPr>
                <w:sz w:val="20"/>
                <w:szCs w:val="20"/>
              </w:rPr>
              <w:t>HCC40</w:t>
            </w:r>
          </w:p>
        </w:tc>
        <w:tc>
          <w:tcPr>
            <w:tcW w:w="3556" w:type="dxa"/>
            <w:hideMark/>
          </w:tcPr>
          <w:p w14:paraId="6AFC81DD"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2100" w:type="dxa"/>
            <w:noWrap/>
            <w:hideMark/>
          </w:tcPr>
          <w:p w14:paraId="740EE469" w14:textId="77777777" w:rsidR="009A7430" w:rsidRPr="001569FB" w:rsidRDefault="009A7430" w:rsidP="008D4E91">
            <w:pPr>
              <w:jc w:val="center"/>
              <w:rPr>
                <w:sz w:val="20"/>
                <w:szCs w:val="20"/>
              </w:rPr>
            </w:pPr>
            <w:r w:rsidRPr="001569FB">
              <w:rPr>
                <w:sz w:val="20"/>
                <w:szCs w:val="20"/>
              </w:rPr>
              <w:t>0.274</w:t>
            </w:r>
          </w:p>
        </w:tc>
      </w:tr>
      <w:tr w:rsidR="009A7430" w:rsidRPr="001569FB" w14:paraId="454FF4CA" w14:textId="77777777" w:rsidTr="008D4E91">
        <w:trPr>
          <w:trHeight w:val="315"/>
        </w:trPr>
        <w:tc>
          <w:tcPr>
            <w:tcW w:w="3694" w:type="dxa"/>
            <w:hideMark/>
          </w:tcPr>
          <w:p w14:paraId="6F415D10" w14:textId="77777777" w:rsidR="009A7430" w:rsidRPr="001569FB" w:rsidRDefault="009A7430" w:rsidP="008D4E91">
            <w:pPr>
              <w:rPr>
                <w:sz w:val="20"/>
                <w:szCs w:val="20"/>
              </w:rPr>
            </w:pPr>
            <w:r w:rsidRPr="001569FB">
              <w:rPr>
                <w:sz w:val="20"/>
                <w:szCs w:val="20"/>
              </w:rPr>
              <w:t>HCC46</w:t>
            </w:r>
          </w:p>
        </w:tc>
        <w:tc>
          <w:tcPr>
            <w:tcW w:w="3556" w:type="dxa"/>
            <w:hideMark/>
          </w:tcPr>
          <w:p w14:paraId="399C2AF8" w14:textId="77777777" w:rsidR="009A7430" w:rsidRPr="001569FB" w:rsidRDefault="009A7430" w:rsidP="008D4E91">
            <w:pPr>
              <w:rPr>
                <w:sz w:val="20"/>
                <w:szCs w:val="20"/>
              </w:rPr>
            </w:pPr>
            <w:r w:rsidRPr="001569FB">
              <w:rPr>
                <w:sz w:val="20"/>
                <w:szCs w:val="20"/>
              </w:rPr>
              <w:t>Severe Hematological Disorders</w:t>
            </w:r>
          </w:p>
        </w:tc>
        <w:tc>
          <w:tcPr>
            <w:tcW w:w="2100" w:type="dxa"/>
            <w:noWrap/>
            <w:hideMark/>
          </w:tcPr>
          <w:p w14:paraId="3729452F" w14:textId="77777777" w:rsidR="009A7430" w:rsidRPr="001569FB" w:rsidRDefault="009A7430" w:rsidP="008D4E91">
            <w:pPr>
              <w:jc w:val="center"/>
              <w:rPr>
                <w:sz w:val="20"/>
                <w:szCs w:val="20"/>
              </w:rPr>
            </w:pPr>
            <w:r w:rsidRPr="001569FB">
              <w:rPr>
                <w:sz w:val="20"/>
                <w:szCs w:val="20"/>
              </w:rPr>
              <w:t>0.766</w:t>
            </w:r>
          </w:p>
        </w:tc>
      </w:tr>
      <w:tr w:rsidR="009A7430" w:rsidRPr="001569FB" w14:paraId="21609A34" w14:textId="77777777" w:rsidTr="008D4E91">
        <w:trPr>
          <w:trHeight w:val="315"/>
        </w:trPr>
        <w:tc>
          <w:tcPr>
            <w:tcW w:w="3694" w:type="dxa"/>
            <w:hideMark/>
          </w:tcPr>
          <w:p w14:paraId="276EC59F" w14:textId="77777777" w:rsidR="009A7430" w:rsidRPr="001569FB" w:rsidRDefault="009A7430" w:rsidP="008D4E91">
            <w:pPr>
              <w:rPr>
                <w:sz w:val="20"/>
                <w:szCs w:val="20"/>
              </w:rPr>
            </w:pPr>
            <w:r w:rsidRPr="001569FB">
              <w:rPr>
                <w:sz w:val="20"/>
                <w:szCs w:val="20"/>
              </w:rPr>
              <w:t>HCC47</w:t>
            </w:r>
          </w:p>
        </w:tc>
        <w:tc>
          <w:tcPr>
            <w:tcW w:w="3556" w:type="dxa"/>
            <w:hideMark/>
          </w:tcPr>
          <w:p w14:paraId="5FA02F3D" w14:textId="77777777" w:rsidR="009A7430" w:rsidRPr="001569FB" w:rsidRDefault="009A7430" w:rsidP="008D4E91">
            <w:pPr>
              <w:rPr>
                <w:sz w:val="20"/>
                <w:szCs w:val="20"/>
              </w:rPr>
            </w:pPr>
            <w:r w:rsidRPr="001569FB">
              <w:rPr>
                <w:sz w:val="20"/>
                <w:szCs w:val="20"/>
              </w:rPr>
              <w:t>Disorders of Immunity</w:t>
            </w:r>
          </w:p>
        </w:tc>
        <w:tc>
          <w:tcPr>
            <w:tcW w:w="2100" w:type="dxa"/>
            <w:noWrap/>
            <w:hideMark/>
          </w:tcPr>
          <w:p w14:paraId="1F412622" w14:textId="77777777" w:rsidR="009A7430" w:rsidRPr="001569FB" w:rsidRDefault="009A7430" w:rsidP="008D4E91">
            <w:pPr>
              <w:jc w:val="center"/>
              <w:rPr>
                <w:sz w:val="20"/>
                <w:szCs w:val="20"/>
              </w:rPr>
            </w:pPr>
            <w:r w:rsidRPr="001569FB">
              <w:rPr>
                <w:sz w:val="20"/>
                <w:szCs w:val="20"/>
              </w:rPr>
              <w:t>0.549</w:t>
            </w:r>
          </w:p>
        </w:tc>
      </w:tr>
      <w:tr w:rsidR="009A7430" w:rsidRPr="001569FB" w14:paraId="63BA65B2" w14:textId="77777777" w:rsidTr="008D4E91">
        <w:trPr>
          <w:trHeight w:val="630"/>
        </w:trPr>
        <w:tc>
          <w:tcPr>
            <w:tcW w:w="3694" w:type="dxa"/>
            <w:hideMark/>
          </w:tcPr>
          <w:p w14:paraId="12088B0B" w14:textId="77777777" w:rsidR="009A7430" w:rsidRPr="001569FB" w:rsidRDefault="009A7430" w:rsidP="008D4E91">
            <w:pPr>
              <w:rPr>
                <w:sz w:val="20"/>
                <w:szCs w:val="20"/>
              </w:rPr>
            </w:pPr>
            <w:r w:rsidRPr="001569FB">
              <w:rPr>
                <w:sz w:val="20"/>
                <w:szCs w:val="20"/>
              </w:rPr>
              <w:t>HCC48</w:t>
            </w:r>
          </w:p>
        </w:tc>
        <w:tc>
          <w:tcPr>
            <w:tcW w:w="3556" w:type="dxa"/>
            <w:hideMark/>
          </w:tcPr>
          <w:p w14:paraId="6CCAE9C7"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2100" w:type="dxa"/>
            <w:noWrap/>
            <w:hideMark/>
          </w:tcPr>
          <w:p w14:paraId="3F776DC1" w14:textId="77777777" w:rsidR="009A7430" w:rsidRPr="001569FB" w:rsidRDefault="009A7430" w:rsidP="008D4E91">
            <w:pPr>
              <w:jc w:val="center"/>
              <w:rPr>
                <w:sz w:val="20"/>
                <w:szCs w:val="20"/>
              </w:rPr>
            </w:pPr>
            <w:r w:rsidRPr="001569FB">
              <w:rPr>
                <w:sz w:val="20"/>
                <w:szCs w:val="20"/>
              </w:rPr>
              <w:t>0.173</w:t>
            </w:r>
          </w:p>
        </w:tc>
      </w:tr>
      <w:tr w:rsidR="009A7430" w:rsidRPr="001569FB" w14:paraId="14BBC29D" w14:textId="77777777" w:rsidTr="008D4E91">
        <w:trPr>
          <w:trHeight w:val="315"/>
        </w:trPr>
        <w:tc>
          <w:tcPr>
            <w:tcW w:w="3694" w:type="dxa"/>
            <w:hideMark/>
          </w:tcPr>
          <w:p w14:paraId="00DC3CAD" w14:textId="77777777" w:rsidR="009A7430" w:rsidRPr="001569FB" w:rsidRDefault="009A7430" w:rsidP="008D4E91">
            <w:pPr>
              <w:rPr>
                <w:sz w:val="20"/>
                <w:szCs w:val="20"/>
              </w:rPr>
            </w:pPr>
            <w:r w:rsidRPr="001569FB">
              <w:rPr>
                <w:sz w:val="20"/>
                <w:szCs w:val="20"/>
              </w:rPr>
              <w:t>HCC51</w:t>
            </w:r>
          </w:p>
        </w:tc>
        <w:tc>
          <w:tcPr>
            <w:tcW w:w="3556" w:type="dxa"/>
            <w:hideMark/>
          </w:tcPr>
          <w:p w14:paraId="1C10789D" w14:textId="77777777" w:rsidR="009A7430" w:rsidRPr="001569FB" w:rsidRDefault="009A7430" w:rsidP="008D4E91">
            <w:pPr>
              <w:rPr>
                <w:sz w:val="20"/>
                <w:szCs w:val="20"/>
              </w:rPr>
            </w:pPr>
            <w:r w:rsidRPr="001569FB">
              <w:rPr>
                <w:sz w:val="20"/>
                <w:szCs w:val="20"/>
              </w:rPr>
              <w:t>Dementia With Complications</w:t>
            </w:r>
          </w:p>
        </w:tc>
        <w:tc>
          <w:tcPr>
            <w:tcW w:w="2100" w:type="dxa"/>
            <w:noWrap/>
            <w:hideMark/>
          </w:tcPr>
          <w:p w14:paraId="3EEFE89E" w14:textId="77777777" w:rsidR="009A7430" w:rsidRPr="001569FB" w:rsidRDefault="009A7430" w:rsidP="008D4E91">
            <w:pPr>
              <w:jc w:val="center"/>
              <w:rPr>
                <w:sz w:val="20"/>
                <w:szCs w:val="20"/>
              </w:rPr>
            </w:pPr>
            <w:r w:rsidRPr="001569FB">
              <w:rPr>
                <w:sz w:val="20"/>
                <w:szCs w:val="20"/>
              </w:rPr>
              <w:t>-</w:t>
            </w:r>
          </w:p>
        </w:tc>
      </w:tr>
      <w:tr w:rsidR="009A7430" w:rsidRPr="001569FB" w14:paraId="40F28801" w14:textId="77777777" w:rsidTr="008D4E91">
        <w:trPr>
          <w:trHeight w:val="315"/>
        </w:trPr>
        <w:tc>
          <w:tcPr>
            <w:tcW w:w="3694" w:type="dxa"/>
            <w:hideMark/>
          </w:tcPr>
          <w:p w14:paraId="0225CEAA" w14:textId="77777777" w:rsidR="009A7430" w:rsidRPr="001569FB" w:rsidRDefault="009A7430" w:rsidP="008D4E91">
            <w:pPr>
              <w:rPr>
                <w:sz w:val="20"/>
                <w:szCs w:val="20"/>
              </w:rPr>
            </w:pPr>
            <w:r w:rsidRPr="001569FB">
              <w:rPr>
                <w:sz w:val="20"/>
                <w:szCs w:val="20"/>
              </w:rPr>
              <w:t>HCC52</w:t>
            </w:r>
          </w:p>
        </w:tc>
        <w:tc>
          <w:tcPr>
            <w:tcW w:w="3556" w:type="dxa"/>
            <w:hideMark/>
          </w:tcPr>
          <w:p w14:paraId="7F760A20" w14:textId="77777777" w:rsidR="009A7430" w:rsidRPr="001569FB" w:rsidRDefault="009A7430" w:rsidP="008D4E91">
            <w:pPr>
              <w:rPr>
                <w:sz w:val="20"/>
                <w:szCs w:val="20"/>
              </w:rPr>
            </w:pPr>
            <w:r w:rsidRPr="001569FB">
              <w:rPr>
                <w:sz w:val="20"/>
                <w:szCs w:val="20"/>
              </w:rPr>
              <w:t>Dementia Without Complication</w:t>
            </w:r>
          </w:p>
        </w:tc>
        <w:tc>
          <w:tcPr>
            <w:tcW w:w="2100" w:type="dxa"/>
            <w:noWrap/>
            <w:hideMark/>
          </w:tcPr>
          <w:p w14:paraId="6E6F5A92" w14:textId="77777777" w:rsidR="009A7430" w:rsidRPr="001569FB" w:rsidRDefault="009A7430" w:rsidP="008D4E91">
            <w:pPr>
              <w:jc w:val="center"/>
              <w:rPr>
                <w:sz w:val="20"/>
                <w:szCs w:val="20"/>
              </w:rPr>
            </w:pPr>
            <w:r w:rsidRPr="001569FB">
              <w:rPr>
                <w:sz w:val="20"/>
                <w:szCs w:val="20"/>
              </w:rPr>
              <w:t>-</w:t>
            </w:r>
          </w:p>
        </w:tc>
      </w:tr>
      <w:tr w:rsidR="009A7430" w:rsidRPr="001569FB" w14:paraId="376A952B" w14:textId="77777777" w:rsidTr="008D4E91">
        <w:trPr>
          <w:trHeight w:val="315"/>
        </w:trPr>
        <w:tc>
          <w:tcPr>
            <w:tcW w:w="3694" w:type="dxa"/>
            <w:hideMark/>
          </w:tcPr>
          <w:p w14:paraId="335856AC" w14:textId="77777777" w:rsidR="009A7430" w:rsidRPr="001569FB" w:rsidRDefault="009A7430" w:rsidP="008D4E91">
            <w:pPr>
              <w:rPr>
                <w:sz w:val="20"/>
                <w:szCs w:val="20"/>
              </w:rPr>
            </w:pPr>
            <w:r w:rsidRPr="001569FB">
              <w:rPr>
                <w:sz w:val="20"/>
                <w:szCs w:val="20"/>
              </w:rPr>
              <w:t>HCC54</w:t>
            </w:r>
          </w:p>
        </w:tc>
        <w:tc>
          <w:tcPr>
            <w:tcW w:w="3556" w:type="dxa"/>
            <w:hideMark/>
          </w:tcPr>
          <w:p w14:paraId="5F01C2D3" w14:textId="77777777" w:rsidR="009A7430" w:rsidRPr="001569FB" w:rsidRDefault="009A7430" w:rsidP="008D4E91">
            <w:pPr>
              <w:rPr>
                <w:sz w:val="20"/>
                <w:szCs w:val="20"/>
              </w:rPr>
            </w:pPr>
            <w:r w:rsidRPr="001569FB">
              <w:rPr>
                <w:sz w:val="20"/>
                <w:szCs w:val="20"/>
              </w:rPr>
              <w:t>Drug/Alcohol Psychosis</w:t>
            </w:r>
          </w:p>
        </w:tc>
        <w:tc>
          <w:tcPr>
            <w:tcW w:w="2100" w:type="dxa"/>
            <w:noWrap/>
            <w:hideMark/>
          </w:tcPr>
          <w:p w14:paraId="619BF749" w14:textId="77777777" w:rsidR="009A7430" w:rsidRPr="001569FB" w:rsidRDefault="009A7430" w:rsidP="008D4E91">
            <w:pPr>
              <w:jc w:val="center"/>
              <w:rPr>
                <w:sz w:val="20"/>
                <w:szCs w:val="20"/>
              </w:rPr>
            </w:pPr>
            <w:r w:rsidRPr="001569FB">
              <w:rPr>
                <w:sz w:val="20"/>
                <w:szCs w:val="20"/>
              </w:rPr>
              <w:t>0.112</w:t>
            </w:r>
          </w:p>
        </w:tc>
      </w:tr>
      <w:tr w:rsidR="009A7430" w:rsidRPr="001569FB" w14:paraId="2A04B5AB" w14:textId="77777777" w:rsidTr="008D4E91">
        <w:trPr>
          <w:trHeight w:val="315"/>
        </w:trPr>
        <w:tc>
          <w:tcPr>
            <w:tcW w:w="3694" w:type="dxa"/>
            <w:hideMark/>
          </w:tcPr>
          <w:p w14:paraId="0EE970CF" w14:textId="77777777" w:rsidR="009A7430" w:rsidRPr="001569FB" w:rsidRDefault="009A7430" w:rsidP="008D4E91">
            <w:pPr>
              <w:rPr>
                <w:sz w:val="20"/>
                <w:szCs w:val="20"/>
              </w:rPr>
            </w:pPr>
            <w:r w:rsidRPr="001569FB">
              <w:rPr>
                <w:sz w:val="20"/>
                <w:szCs w:val="20"/>
              </w:rPr>
              <w:t>HCC55</w:t>
            </w:r>
          </w:p>
        </w:tc>
        <w:tc>
          <w:tcPr>
            <w:tcW w:w="3556" w:type="dxa"/>
            <w:hideMark/>
          </w:tcPr>
          <w:p w14:paraId="2C99750A" w14:textId="77777777" w:rsidR="009A7430" w:rsidRPr="001569FB" w:rsidRDefault="009A7430" w:rsidP="008D4E91">
            <w:pPr>
              <w:rPr>
                <w:sz w:val="20"/>
                <w:szCs w:val="20"/>
              </w:rPr>
            </w:pPr>
            <w:r w:rsidRPr="001569FB">
              <w:rPr>
                <w:sz w:val="20"/>
                <w:szCs w:val="20"/>
              </w:rPr>
              <w:t>Drug/Alcohol Dependence</w:t>
            </w:r>
          </w:p>
        </w:tc>
        <w:tc>
          <w:tcPr>
            <w:tcW w:w="2100" w:type="dxa"/>
            <w:noWrap/>
            <w:hideMark/>
          </w:tcPr>
          <w:p w14:paraId="162BD12F" w14:textId="77777777" w:rsidR="009A7430" w:rsidRPr="001569FB" w:rsidRDefault="009A7430" w:rsidP="008D4E91">
            <w:pPr>
              <w:jc w:val="center"/>
              <w:rPr>
                <w:sz w:val="20"/>
                <w:szCs w:val="20"/>
              </w:rPr>
            </w:pPr>
            <w:r w:rsidRPr="001569FB">
              <w:rPr>
                <w:sz w:val="20"/>
                <w:szCs w:val="20"/>
              </w:rPr>
              <w:t>0.112</w:t>
            </w:r>
          </w:p>
        </w:tc>
      </w:tr>
      <w:tr w:rsidR="009A7430" w:rsidRPr="001569FB" w14:paraId="3E1BAAA0" w14:textId="77777777" w:rsidTr="008D4E91">
        <w:trPr>
          <w:trHeight w:val="315"/>
        </w:trPr>
        <w:tc>
          <w:tcPr>
            <w:tcW w:w="3694" w:type="dxa"/>
            <w:hideMark/>
          </w:tcPr>
          <w:p w14:paraId="11BA2070" w14:textId="77777777" w:rsidR="009A7430" w:rsidRPr="001569FB" w:rsidRDefault="009A7430" w:rsidP="008D4E91">
            <w:pPr>
              <w:rPr>
                <w:sz w:val="20"/>
                <w:szCs w:val="20"/>
              </w:rPr>
            </w:pPr>
            <w:r w:rsidRPr="001569FB">
              <w:rPr>
                <w:sz w:val="20"/>
                <w:szCs w:val="20"/>
              </w:rPr>
              <w:t>HCC57</w:t>
            </w:r>
          </w:p>
        </w:tc>
        <w:tc>
          <w:tcPr>
            <w:tcW w:w="3556" w:type="dxa"/>
            <w:hideMark/>
          </w:tcPr>
          <w:p w14:paraId="2C7B2ED2" w14:textId="77777777" w:rsidR="009A7430" w:rsidRPr="001569FB" w:rsidRDefault="009A7430" w:rsidP="008D4E91">
            <w:pPr>
              <w:rPr>
                <w:sz w:val="20"/>
                <w:szCs w:val="20"/>
              </w:rPr>
            </w:pPr>
            <w:r w:rsidRPr="001569FB">
              <w:rPr>
                <w:sz w:val="20"/>
                <w:szCs w:val="20"/>
              </w:rPr>
              <w:t>Schizophrenia</w:t>
            </w:r>
          </w:p>
        </w:tc>
        <w:tc>
          <w:tcPr>
            <w:tcW w:w="2100" w:type="dxa"/>
            <w:noWrap/>
            <w:hideMark/>
          </w:tcPr>
          <w:p w14:paraId="0CC008BB" w14:textId="77777777" w:rsidR="009A7430" w:rsidRPr="001569FB" w:rsidRDefault="009A7430" w:rsidP="008D4E91">
            <w:pPr>
              <w:jc w:val="center"/>
              <w:rPr>
                <w:sz w:val="20"/>
                <w:szCs w:val="20"/>
              </w:rPr>
            </w:pPr>
            <w:r w:rsidRPr="001569FB">
              <w:rPr>
                <w:sz w:val="20"/>
                <w:szCs w:val="20"/>
              </w:rPr>
              <w:t>0.217</w:t>
            </w:r>
          </w:p>
        </w:tc>
      </w:tr>
      <w:tr w:rsidR="009A7430" w:rsidRPr="001569FB" w14:paraId="5BBBCEE1" w14:textId="77777777" w:rsidTr="008D4E91">
        <w:trPr>
          <w:trHeight w:val="315"/>
        </w:trPr>
        <w:tc>
          <w:tcPr>
            <w:tcW w:w="3694" w:type="dxa"/>
            <w:hideMark/>
          </w:tcPr>
          <w:p w14:paraId="466D9AE9" w14:textId="77777777" w:rsidR="009A7430" w:rsidRPr="001569FB" w:rsidRDefault="009A7430" w:rsidP="008D4E91">
            <w:pPr>
              <w:rPr>
                <w:sz w:val="20"/>
                <w:szCs w:val="20"/>
              </w:rPr>
            </w:pPr>
            <w:r w:rsidRPr="001569FB">
              <w:rPr>
                <w:sz w:val="20"/>
                <w:szCs w:val="20"/>
              </w:rPr>
              <w:t>HCC58</w:t>
            </w:r>
          </w:p>
        </w:tc>
        <w:tc>
          <w:tcPr>
            <w:tcW w:w="3556" w:type="dxa"/>
            <w:hideMark/>
          </w:tcPr>
          <w:p w14:paraId="75DCADDD" w14:textId="77777777" w:rsidR="009A7430" w:rsidRPr="001569FB" w:rsidRDefault="009A7430" w:rsidP="008D4E91">
            <w:pPr>
              <w:rPr>
                <w:sz w:val="20"/>
                <w:szCs w:val="20"/>
              </w:rPr>
            </w:pPr>
            <w:r w:rsidRPr="001569FB">
              <w:rPr>
                <w:sz w:val="20"/>
                <w:szCs w:val="20"/>
              </w:rPr>
              <w:t>Major Depressive, Bipolar, and Paranoid Disorders</w:t>
            </w:r>
          </w:p>
        </w:tc>
        <w:tc>
          <w:tcPr>
            <w:tcW w:w="2100" w:type="dxa"/>
            <w:noWrap/>
            <w:hideMark/>
          </w:tcPr>
          <w:p w14:paraId="2E06F398" w14:textId="77777777" w:rsidR="009A7430" w:rsidRPr="001569FB" w:rsidRDefault="009A7430" w:rsidP="008D4E91">
            <w:pPr>
              <w:jc w:val="center"/>
              <w:rPr>
                <w:sz w:val="20"/>
                <w:szCs w:val="20"/>
              </w:rPr>
            </w:pPr>
            <w:r w:rsidRPr="001569FB">
              <w:rPr>
                <w:sz w:val="20"/>
                <w:szCs w:val="20"/>
              </w:rPr>
              <w:t>0.217</w:t>
            </w:r>
          </w:p>
        </w:tc>
      </w:tr>
      <w:tr w:rsidR="009A7430" w:rsidRPr="001569FB" w14:paraId="5D601FF6" w14:textId="77777777" w:rsidTr="008D4E91">
        <w:trPr>
          <w:trHeight w:val="315"/>
        </w:trPr>
        <w:tc>
          <w:tcPr>
            <w:tcW w:w="3694" w:type="dxa"/>
            <w:hideMark/>
          </w:tcPr>
          <w:p w14:paraId="4EFC8493" w14:textId="77777777" w:rsidR="009A7430" w:rsidRPr="001569FB" w:rsidRDefault="009A7430" w:rsidP="008D4E91">
            <w:pPr>
              <w:rPr>
                <w:sz w:val="20"/>
                <w:szCs w:val="20"/>
              </w:rPr>
            </w:pPr>
            <w:r w:rsidRPr="001569FB">
              <w:rPr>
                <w:sz w:val="20"/>
                <w:szCs w:val="20"/>
              </w:rPr>
              <w:t>HCC70</w:t>
            </w:r>
          </w:p>
        </w:tc>
        <w:tc>
          <w:tcPr>
            <w:tcW w:w="3556" w:type="dxa"/>
            <w:hideMark/>
          </w:tcPr>
          <w:p w14:paraId="4876D863" w14:textId="77777777" w:rsidR="009A7430" w:rsidRPr="001569FB" w:rsidRDefault="009A7430" w:rsidP="008D4E91">
            <w:pPr>
              <w:rPr>
                <w:sz w:val="20"/>
                <w:szCs w:val="20"/>
              </w:rPr>
            </w:pPr>
            <w:r w:rsidRPr="001569FB">
              <w:rPr>
                <w:sz w:val="20"/>
                <w:szCs w:val="20"/>
              </w:rPr>
              <w:t>Quadriplegia</w:t>
            </w:r>
          </w:p>
        </w:tc>
        <w:tc>
          <w:tcPr>
            <w:tcW w:w="2100" w:type="dxa"/>
            <w:noWrap/>
            <w:hideMark/>
          </w:tcPr>
          <w:p w14:paraId="125837C4" w14:textId="77777777" w:rsidR="009A7430" w:rsidRPr="001569FB" w:rsidRDefault="009A7430" w:rsidP="008D4E91">
            <w:pPr>
              <w:jc w:val="center"/>
              <w:rPr>
                <w:sz w:val="20"/>
                <w:szCs w:val="20"/>
              </w:rPr>
            </w:pPr>
            <w:r w:rsidRPr="001569FB">
              <w:rPr>
                <w:sz w:val="20"/>
                <w:szCs w:val="20"/>
              </w:rPr>
              <w:t>0.512</w:t>
            </w:r>
          </w:p>
        </w:tc>
      </w:tr>
      <w:tr w:rsidR="009A7430" w:rsidRPr="001569FB" w14:paraId="2F4DC1CA" w14:textId="77777777" w:rsidTr="008D4E91">
        <w:trPr>
          <w:trHeight w:val="315"/>
        </w:trPr>
        <w:tc>
          <w:tcPr>
            <w:tcW w:w="3694" w:type="dxa"/>
            <w:hideMark/>
          </w:tcPr>
          <w:p w14:paraId="4BB6FE54" w14:textId="77777777" w:rsidR="009A7430" w:rsidRPr="001569FB" w:rsidRDefault="009A7430" w:rsidP="008D4E91">
            <w:pPr>
              <w:rPr>
                <w:sz w:val="20"/>
                <w:szCs w:val="20"/>
              </w:rPr>
            </w:pPr>
            <w:r w:rsidRPr="001569FB">
              <w:rPr>
                <w:sz w:val="20"/>
                <w:szCs w:val="20"/>
              </w:rPr>
              <w:t>HCC71</w:t>
            </w:r>
          </w:p>
        </w:tc>
        <w:tc>
          <w:tcPr>
            <w:tcW w:w="3556" w:type="dxa"/>
            <w:hideMark/>
          </w:tcPr>
          <w:p w14:paraId="4647ADD0" w14:textId="77777777" w:rsidR="009A7430" w:rsidRPr="001569FB" w:rsidRDefault="009A7430" w:rsidP="008D4E91">
            <w:pPr>
              <w:rPr>
                <w:sz w:val="20"/>
                <w:szCs w:val="20"/>
              </w:rPr>
            </w:pPr>
            <w:r w:rsidRPr="001569FB">
              <w:rPr>
                <w:sz w:val="20"/>
                <w:szCs w:val="20"/>
              </w:rPr>
              <w:t>Paraplegia</w:t>
            </w:r>
          </w:p>
        </w:tc>
        <w:tc>
          <w:tcPr>
            <w:tcW w:w="2100" w:type="dxa"/>
            <w:noWrap/>
            <w:hideMark/>
          </w:tcPr>
          <w:p w14:paraId="46E3E179" w14:textId="77777777" w:rsidR="009A7430" w:rsidRPr="001569FB" w:rsidRDefault="009A7430" w:rsidP="008D4E91">
            <w:pPr>
              <w:jc w:val="center"/>
              <w:rPr>
                <w:sz w:val="20"/>
                <w:szCs w:val="20"/>
              </w:rPr>
            </w:pPr>
            <w:r w:rsidRPr="001569FB">
              <w:rPr>
                <w:sz w:val="20"/>
                <w:szCs w:val="20"/>
              </w:rPr>
              <w:t>0.435</w:t>
            </w:r>
          </w:p>
        </w:tc>
      </w:tr>
      <w:tr w:rsidR="009A7430" w:rsidRPr="001569FB" w14:paraId="3F073586" w14:textId="77777777" w:rsidTr="008D4E91">
        <w:trPr>
          <w:trHeight w:val="315"/>
        </w:trPr>
        <w:tc>
          <w:tcPr>
            <w:tcW w:w="3694" w:type="dxa"/>
            <w:hideMark/>
          </w:tcPr>
          <w:p w14:paraId="55102C43" w14:textId="77777777" w:rsidR="009A7430" w:rsidRPr="001569FB" w:rsidRDefault="009A7430" w:rsidP="008D4E91">
            <w:pPr>
              <w:rPr>
                <w:sz w:val="20"/>
                <w:szCs w:val="20"/>
              </w:rPr>
            </w:pPr>
            <w:r w:rsidRPr="001569FB">
              <w:rPr>
                <w:sz w:val="20"/>
                <w:szCs w:val="20"/>
              </w:rPr>
              <w:t>HCC72</w:t>
            </w:r>
          </w:p>
        </w:tc>
        <w:tc>
          <w:tcPr>
            <w:tcW w:w="3556" w:type="dxa"/>
            <w:hideMark/>
          </w:tcPr>
          <w:p w14:paraId="687EE3EC" w14:textId="77777777" w:rsidR="009A7430" w:rsidRPr="001569FB" w:rsidRDefault="009A7430" w:rsidP="008D4E91">
            <w:pPr>
              <w:rPr>
                <w:sz w:val="20"/>
                <w:szCs w:val="20"/>
              </w:rPr>
            </w:pPr>
            <w:r w:rsidRPr="001569FB">
              <w:rPr>
                <w:sz w:val="20"/>
                <w:szCs w:val="20"/>
              </w:rPr>
              <w:t>Spinal Cord Disorders/Injuries</w:t>
            </w:r>
          </w:p>
        </w:tc>
        <w:tc>
          <w:tcPr>
            <w:tcW w:w="2100" w:type="dxa"/>
            <w:noWrap/>
            <w:hideMark/>
          </w:tcPr>
          <w:p w14:paraId="66FACFEA" w14:textId="77777777" w:rsidR="009A7430" w:rsidRPr="001569FB" w:rsidRDefault="009A7430" w:rsidP="008D4E91">
            <w:pPr>
              <w:jc w:val="center"/>
              <w:rPr>
                <w:sz w:val="20"/>
                <w:szCs w:val="20"/>
              </w:rPr>
            </w:pPr>
            <w:r w:rsidRPr="001569FB">
              <w:rPr>
                <w:sz w:val="20"/>
                <w:szCs w:val="20"/>
              </w:rPr>
              <w:t>0.256</w:t>
            </w:r>
          </w:p>
        </w:tc>
      </w:tr>
      <w:tr w:rsidR="009A7430" w:rsidRPr="001569FB" w14:paraId="204FD476" w14:textId="77777777" w:rsidTr="008D4E91">
        <w:trPr>
          <w:trHeight w:val="630"/>
        </w:trPr>
        <w:tc>
          <w:tcPr>
            <w:tcW w:w="3694" w:type="dxa"/>
            <w:hideMark/>
          </w:tcPr>
          <w:p w14:paraId="129D36A4" w14:textId="77777777" w:rsidR="009A7430" w:rsidRPr="001569FB" w:rsidRDefault="009A7430" w:rsidP="008D4E91">
            <w:pPr>
              <w:rPr>
                <w:sz w:val="20"/>
                <w:szCs w:val="20"/>
              </w:rPr>
            </w:pPr>
            <w:r w:rsidRPr="001569FB">
              <w:rPr>
                <w:sz w:val="20"/>
                <w:szCs w:val="20"/>
              </w:rPr>
              <w:lastRenderedPageBreak/>
              <w:t>HCC73</w:t>
            </w:r>
          </w:p>
        </w:tc>
        <w:tc>
          <w:tcPr>
            <w:tcW w:w="3556" w:type="dxa"/>
            <w:hideMark/>
          </w:tcPr>
          <w:p w14:paraId="3445E6B4" w14:textId="77777777" w:rsidR="009A7430" w:rsidRPr="001569FB" w:rsidRDefault="009A7430" w:rsidP="008D4E91">
            <w:pPr>
              <w:rPr>
                <w:sz w:val="20"/>
                <w:szCs w:val="20"/>
              </w:rPr>
            </w:pPr>
            <w:r w:rsidRPr="001569FB">
              <w:rPr>
                <w:sz w:val="20"/>
                <w:szCs w:val="20"/>
              </w:rPr>
              <w:t>Amyotrophic Lateral Sclerosis and Other Motor Neuron Disease</w:t>
            </w:r>
          </w:p>
        </w:tc>
        <w:tc>
          <w:tcPr>
            <w:tcW w:w="2100" w:type="dxa"/>
            <w:noWrap/>
            <w:hideMark/>
          </w:tcPr>
          <w:p w14:paraId="78B058E9" w14:textId="77777777" w:rsidR="009A7430" w:rsidRPr="001569FB" w:rsidRDefault="009A7430" w:rsidP="008D4E91">
            <w:pPr>
              <w:jc w:val="center"/>
              <w:rPr>
                <w:sz w:val="20"/>
                <w:szCs w:val="20"/>
              </w:rPr>
            </w:pPr>
            <w:r w:rsidRPr="001569FB">
              <w:rPr>
                <w:sz w:val="20"/>
                <w:szCs w:val="20"/>
              </w:rPr>
              <w:t>0.446</w:t>
            </w:r>
          </w:p>
        </w:tc>
      </w:tr>
      <w:tr w:rsidR="009A7430" w:rsidRPr="001569FB" w14:paraId="501C9A4A" w14:textId="77777777" w:rsidTr="008D4E91">
        <w:trPr>
          <w:trHeight w:val="315"/>
        </w:trPr>
        <w:tc>
          <w:tcPr>
            <w:tcW w:w="3694" w:type="dxa"/>
            <w:hideMark/>
          </w:tcPr>
          <w:p w14:paraId="31968969" w14:textId="77777777" w:rsidR="009A7430" w:rsidRPr="001569FB" w:rsidRDefault="009A7430" w:rsidP="008D4E91">
            <w:pPr>
              <w:rPr>
                <w:sz w:val="20"/>
                <w:szCs w:val="20"/>
              </w:rPr>
            </w:pPr>
            <w:r w:rsidRPr="001569FB">
              <w:rPr>
                <w:sz w:val="20"/>
                <w:szCs w:val="20"/>
              </w:rPr>
              <w:t>HCC74</w:t>
            </w:r>
          </w:p>
        </w:tc>
        <w:tc>
          <w:tcPr>
            <w:tcW w:w="3556" w:type="dxa"/>
            <w:hideMark/>
          </w:tcPr>
          <w:p w14:paraId="7722531D" w14:textId="77777777" w:rsidR="009A7430" w:rsidRPr="001569FB" w:rsidRDefault="009A7430" w:rsidP="008D4E91">
            <w:pPr>
              <w:rPr>
                <w:sz w:val="20"/>
                <w:szCs w:val="20"/>
              </w:rPr>
            </w:pPr>
            <w:r w:rsidRPr="001569FB">
              <w:rPr>
                <w:sz w:val="20"/>
                <w:szCs w:val="20"/>
              </w:rPr>
              <w:t>Cerebral Palsy</w:t>
            </w:r>
          </w:p>
        </w:tc>
        <w:tc>
          <w:tcPr>
            <w:tcW w:w="2100" w:type="dxa"/>
            <w:noWrap/>
            <w:hideMark/>
          </w:tcPr>
          <w:p w14:paraId="7ADB74CB" w14:textId="77777777" w:rsidR="009A7430" w:rsidRPr="001569FB" w:rsidRDefault="009A7430" w:rsidP="008D4E91">
            <w:pPr>
              <w:jc w:val="center"/>
              <w:rPr>
                <w:sz w:val="20"/>
                <w:szCs w:val="20"/>
              </w:rPr>
            </w:pPr>
            <w:r w:rsidRPr="001569FB">
              <w:rPr>
                <w:sz w:val="20"/>
                <w:szCs w:val="20"/>
              </w:rPr>
              <w:t>-</w:t>
            </w:r>
          </w:p>
        </w:tc>
      </w:tr>
      <w:tr w:rsidR="009A7430" w:rsidRPr="001569FB" w14:paraId="5B710235" w14:textId="77777777" w:rsidTr="008D4E91">
        <w:trPr>
          <w:trHeight w:val="315"/>
        </w:trPr>
        <w:tc>
          <w:tcPr>
            <w:tcW w:w="3694" w:type="dxa"/>
            <w:hideMark/>
          </w:tcPr>
          <w:p w14:paraId="7457DD2D" w14:textId="77777777" w:rsidR="009A7430" w:rsidRPr="001569FB" w:rsidRDefault="009A7430" w:rsidP="008D4E91">
            <w:pPr>
              <w:rPr>
                <w:sz w:val="20"/>
                <w:szCs w:val="20"/>
              </w:rPr>
            </w:pPr>
            <w:r w:rsidRPr="001569FB">
              <w:rPr>
                <w:sz w:val="20"/>
                <w:szCs w:val="20"/>
              </w:rPr>
              <w:t>HCC75</w:t>
            </w:r>
          </w:p>
        </w:tc>
        <w:tc>
          <w:tcPr>
            <w:tcW w:w="3556" w:type="dxa"/>
            <w:hideMark/>
          </w:tcPr>
          <w:p w14:paraId="69CCEE72" w14:textId="77777777" w:rsidR="009A7430" w:rsidRPr="001569FB" w:rsidRDefault="009A7430" w:rsidP="008D4E91">
            <w:pPr>
              <w:rPr>
                <w:sz w:val="20"/>
                <w:szCs w:val="20"/>
              </w:rPr>
            </w:pPr>
            <w:r w:rsidRPr="001569FB">
              <w:rPr>
                <w:sz w:val="20"/>
                <w:szCs w:val="20"/>
              </w:rPr>
              <w:t>Polyneuropathy</w:t>
            </w:r>
          </w:p>
        </w:tc>
        <w:tc>
          <w:tcPr>
            <w:tcW w:w="2100" w:type="dxa"/>
            <w:noWrap/>
            <w:hideMark/>
          </w:tcPr>
          <w:p w14:paraId="75E48937" w14:textId="77777777" w:rsidR="009A7430" w:rsidRPr="001569FB" w:rsidRDefault="009A7430" w:rsidP="008D4E91">
            <w:pPr>
              <w:jc w:val="center"/>
              <w:rPr>
                <w:sz w:val="20"/>
                <w:szCs w:val="20"/>
              </w:rPr>
            </w:pPr>
            <w:r w:rsidRPr="001569FB">
              <w:rPr>
                <w:sz w:val="20"/>
                <w:szCs w:val="20"/>
              </w:rPr>
              <w:t>0.323</w:t>
            </w:r>
          </w:p>
        </w:tc>
      </w:tr>
      <w:tr w:rsidR="009A7430" w:rsidRPr="001569FB" w14:paraId="55AD81AD" w14:textId="77777777" w:rsidTr="008D4E91">
        <w:trPr>
          <w:trHeight w:val="315"/>
        </w:trPr>
        <w:tc>
          <w:tcPr>
            <w:tcW w:w="3694" w:type="dxa"/>
            <w:hideMark/>
          </w:tcPr>
          <w:p w14:paraId="196E9594" w14:textId="77777777" w:rsidR="009A7430" w:rsidRPr="001569FB" w:rsidRDefault="009A7430" w:rsidP="008D4E91">
            <w:pPr>
              <w:rPr>
                <w:sz w:val="20"/>
                <w:szCs w:val="20"/>
              </w:rPr>
            </w:pPr>
            <w:r w:rsidRPr="001569FB">
              <w:rPr>
                <w:sz w:val="20"/>
                <w:szCs w:val="20"/>
              </w:rPr>
              <w:t>HCC76</w:t>
            </w:r>
          </w:p>
        </w:tc>
        <w:tc>
          <w:tcPr>
            <w:tcW w:w="3556" w:type="dxa"/>
            <w:hideMark/>
          </w:tcPr>
          <w:p w14:paraId="426D1EF0" w14:textId="77777777" w:rsidR="009A7430" w:rsidRPr="001569FB" w:rsidRDefault="009A7430" w:rsidP="008D4E91">
            <w:pPr>
              <w:rPr>
                <w:sz w:val="20"/>
                <w:szCs w:val="20"/>
              </w:rPr>
            </w:pPr>
            <w:r w:rsidRPr="001569FB">
              <w:rPr>
                <w:sz w:val="20"/>
                <w:szCs w:val="20"/>
              </w:rPr>
              <w:t>Muscular Dystrophy</w:t>
            </w:r>
          </w:p>
        </w:tc>
        <w:tc>
          <w:tcPr>
            <w:tcW w:w="2100" w:type="dxa"/>
            <w:noWrap/>
            <w:hideMark/>
          </w:tcPr>
          <w:p w14:paraId="6F48C4A9" w14:textId="77777777" w:rsidR="009A7430" w:rsidRPr="001569FB" w:rsidRDefault="009A7430" w:rsidP="008D4E91">
            <w:pPr>
              <w:jc w:val="center"/>
              <w:rPr>
                <w:sz w:val="20"/>
                <w:szCs w:val="20"/>
              </w:rPr>
            </w:pPr>
            <w:r w:rsidRPr="001569FB">
              <w:rPr>
                <w:sz w:val="20"/>
                <w:szCs w:val="20"/>
              </w:rPr>
              <w:t>0.296</w:t>
            </w:r>
          </w:p>
        </w:tc>
      </w:tr>
      <w:tr w:rsidR="009A7430" w:rsidRPr="001569FB" w14:paraId="7091DB32" w14:textId="77777777" w:rsidTr="008D4E91">
        <w:trPr>
          <w:trHeight w:val="315"/>
        </w:trPr>
        <w:tc>
          <w:tcPr>
            <w:tcW w:w="3694" w:type="dxa"/>
            <w:hideMark/>
          </w:tcPr>
          <w:p w14:paraId="7C54B478" w14:textId="77777777" w:rsidR="009A7430" w:rsidRPr="001569FB" w:rsidRDefault="009A7430" w:rsidP="008D4E91">
            <w:pPr>
              <w:rPr>
                <w:sz w:val="20"/>
                <w:szCs w:val="20"/>
              </w:rPr>
            </w:pPr>
            <w:r w:rsidRPr="001569FB">
              <w:rPr>
                <w:sz w:val="20"/>
                <w:szCs w:val="20"/>
              </w:rPr>
              <w:t>HCC77</w:t>
            </w:r>
          </w:p>
        </w:tc>
        <w:tc>
          <w:tcPr>
            <w:tcW w:w="3556" w:type="dxa"/>
            <w:hideMark/>
          </w:tcPr>
          <w:p w14:paraId="589C4BA4" w14:textId="77777777" w:rsidR="009A7430" w:rsidRPr="001569FB" w:rsidRDefault="009A7430" w:rsidP="008D4E91">
            <w:pPr>
              <w:rPr>
                <w:sz w:val="20"/>
                <w:szCs w:val="20"/>
              </w:rPr>
            </w:pPr>
            <w:r w:rsidRPr="001569FB">
              <w:rPr>
                <w:sz w:val="20"/>
                <w:szCs w:val="20"/>
              </w:rPr>
              <w:t>Multiple Sclerosis</w:t>
            </w:r>
          </w:p>
        </w:tc>
        <w:tc>
          <w:tcPr>
            <w:tcW w:w="2100" w:type="dxa"/>
            <w:noWrap/>
            <w:hideMark/>
          </w:tcPr>
          <w:p w14:paraId="7F0EA9B7" w14:textId="77777777" w:rsidR="009A7430" w:rsidRPr="001569FB" w:rsidRDefault="009A7430" w:rsidP="008D4E91">
            <w:pPr>
              <w:jc w:val="center"/>
              <w:rPr>
                <w:sz w:val="20"/>
                <w:szCs w:val="20"/>
              </w:rPr>
            </w:pPr>
            <w:r w:rsidRPr="001569FB">
              <w:rPr>
                <w:sz w:val="20"/>
                <w:szCs w:val="20"/>
              </w:rPr>
              <w:t>-</w:t>
            </w:r>
          </w:p>
        </w:tc>
      </w:tr>
      <w:tr w:rsidR="009A7430" w:rsidRPr="001569FB" w14:paraId="66C7C9E0" w14:textId="77777777" w:rsidTr="008D4E91">
        <w:trPr>
          <w:trHeight w:val="315"/>
        </w:trPr>
        <w:tc>
          <w:tcPr>
            <w:tcW w:w="3694" w:type="dxa"/>
            <w:hideMark/>
          </w:tcPr>
          <w:p w14:paraId="269307F9" w14:textId="77777777" w:rsidR="009A7430" w:rsidRPr="001569FB" w:rsidRDefault="009A7430" w:rsidP="008D4E91">
            <w:pPr>
              <w:rPr>
                <w:sz w:val="20"/>
                <w:szCs w:val="20"/>
              </w:rPr>
            </w:pPr>
            <w:r w:rsidRPr="001569FB">
              <w:rPr>
                <w:sz w:val="20"/>
                <w:szCs w:val="20"/>
              </w:rPr>
              <w:t>HCC78</w:t>
            </w:r>
          </w:p>
        </w:tc>
        <w:tc>
          <w:tcPr>
            <w:tcW w:w="3556" w:type="dxa"/>
            <w:hideMark/>
          </w:tcPr>
          <w:p w14:paraId="71A5AA34" w14:textId="77777777" w:rsidR="009A7430" w:rsidRPr="001569FB" w:rsidRDefault="009A7430" w:rsidP="008D4E91">
            <w:pPr>
              <w:rPr>
                <w:sz w:val="20"/>
                <w:szCs w:val="20"/>
              </w:rPr>
            </w:pPr>
            <w:r w:rsidRPr="001569FB">
              <w:rPr>
                <w:sz w:val="20"/>
                <w:szCs w:val="20"/>
              </w:rPr>
              <w:t>Parkinson's and Huntington's Diseases</w:t>
            </w:r>
          </w:p>
        </w:tc>
        <w:tc>
          <w:tcPr>
            <w:tcW w:w="2100" w:type="dxa"/>
            <w:noWrap/>
            <w:hideMark/>
          </w:tcPr>
          <w:p w14:paraId="7B7F896B" w14:textId="77777777" w:rsidR="009A7430" w:rsidRPr="001569FB" w:rsidRDefault="009A7430" w:rsidP="008D4E91">
            <w:pPr>
              <w:jc w:val="center"/>
              <w:rPr>
                <w:sz w:val="20"/>
                <w:szCs w:val="20"/>
              </w:rPr>
            </w:pPr>
            <w:r w:rsidRPr="001569FB">
              <w:rPr>
                <w:sz w:val="20"/>
                <w:szCs w:val="20"/>
              </w:rPr>
              <w:t>0.141</w:t>
            </w:r>
          </w:p>
        </w:tc>
      </w:tr>
      <w:tr w:rsidR="009A7430" w:rsidRPr="001569FB" w14:paraId="115A64C0" w14:textId="77777777" w:rsidTr="008D4E91">
        <w:trPr>
          <w:trHeight w:val="315"/>
        </w:trPr>
        <w:tc>
          <w:tcPr>
            <w:tcW w:w="3694" w:type="dxa"/>
            <w:hideMark/>
          </w:tcPr>
          <w:p w14:paraId="199887E5" w14:textId="77777777" w:rsidR="009A7430" w:rsidRPr="001569FB" w:rsidRDefault="009A7430" w:rsidP="008D4E91">
            <w:pPr>
              <w:rPr>
                <w:sz w:val="20"/>
                <w:szCs w:val="20"/>
              </w:rPr>
            </w:pPr>
            <w:r w:rsidRPr="001569FB">
              <w:rPr>
                <w:sz w:val="20"/>
                <w:szCs w:val="20"/>
              </w:rPr>
              <w:t>HCC79</w:t>
            </w:r>
          </w:p>
        </w:tc>
        <w:tc>
          <w:tcPr>
            <w:tcW w:w="3556" w:type="dxa"/>
            <w:hideMark/>
          </w:tcPr>
          <w:p w14:paraId="0BA216CA" w14:textId="77777777" w:rsidR="009A7430" w:rsidRPr="001569FB" w:rsidRDefault="009A7430" w:rsidP="008D4E91">
            <w:pPr>
              <w:rPr>
                <w:sz w:val="20"/>
                <w:szCs w:val="20"/>
              </w:rPr>
            </w:pPr>
            <w:r w:rsidRPr="001569FB">
              <w:rPr>
                <w:sz w:val="20"/>
                <w:szCs w:val="20"/>
              </w:rPr>
              <w:t>Seizure Disorders and Convulsions</w:t>
            </w:r>
          </w:p>
        </w:tc>
        <w:tc>
          <w:tcPr>
            <w:tcW w:w="2100" w:type="dxa"/>
            <w:noWrap/>
            <w:hideMark/>
          </w:tcPr>
          <w:p w14:paraId="6450F881" w14:textId="77777777" w:rsidR="009A7430" w:rsidRPr="001569FB" w:rsidRDefault="009A7430" w:rsidP="008D4E91">
            <w:pPr>
              <w:jc w:val="center"/>
              <w:rPr>
                <w:sz w:val="20"/>
                <w:szCs w:val="20"/>
              </w:rPr>
            </w:pPr>
            <w:r w:rsidRPr="001569FB">
              <w:rPr>
                <w:sz w:val="20"/>
                <w:szCs w:val="20"/>
              </w:rPr>
              <w:t>0.065</w:t>
            </w:r>
          </w:p>
        </w:tc>
      </w:tr>
      <w:tr w:rsidR="009A7430" w:rsidRPr="001569FB" w14:paraId="0FEBCE9F" w14:textId="77777777" w:rsidTr="008D4E91">
        <w:trPr>
          <w:trHeight w:val="315"/>
        </w:trPr>
        <w:tc>
          <w:tcPr>
            <w:tcW w:w="3694" w:type="dxa"/>
            <w:hideMark/>
          </w:tcPr>
          <w:p w14:paraId="53D7E534" w14:textId="77777777" w:rsidR="009A7430" w:rsidRPr="001569FB" w:rsidRDefault="009A7430" w:rsidP="008D4E91">
            <w:pPr>
              <w:rPr>
                <w:sz w:val="20"/>
                <w:szCs w:val="20"/>
              </w:rPr>
            </w:pPr>
            <w:r w:rsidRPr="001569FB">
              <w:rPr>
                <w:sz w:val="20"/>
                <w:szCs w:val="20"/>
              </w:rPr>
              <w:t>HCC80</w:t>
            </w:r>
          </w:p>
        </w:tc>
        <w:tc>
          <w:tcPr>
            <w:tcW w:w="3556" w:type="dxa"/>
            <w:hideMark/>
          </w:tcPr>
          <w:p w14:paraId="1C80D25C" w14:textId="77777777" w:rsidR="009A7430" w:rsidRPr="001569FB" w:rsidRDefault="009A7430" w:rsidP="008D4E91">
            <w:pPr>
              <w:rPr>
                <w:sz w:val="20"/>
                <w:szCs w:val="20"/>
              </w:rPr>
            </w:pPr>
            <w:r w:rsidRPr="001569FB">
              <w:rPr>
                <w:sz w:val="20"/>
                <w:szCs w:val="20"/>
              </w:rPr>
              <w:t>Coma, Brain Compression/Anoxic Damage</w:t>
            </w:r>
          </w:p>
        </w:tc>
        <w:tc>
          <w:tcPr>
            <w:tcW w:w="2100" w:type="dxa"/>
            <w:noWrap/>
            <w:hideMark/>
          </w:tcPr>
          <w:p w14:paraId="1512DE6E" w14:textId="77777777" w:rsidR="009A7430" w:rsidRPr="001569FB" w:rsidRDefault="009A7430" w:rsidP="008D4E91">
            <w:pPr>
              <w:jc w:val="center"/>
              <w:rPr>
                <w:sz w:val="20"/>
                <w:szCs w:val="20"/>
              </w:rPr>
            </w:pPr>
            <w:r w:rsidRPr="001569FB">
              <w:rPr>
                <w:sz w:val="20"/>
                <w:szCs w:val="20"/>
              </w:rPr>
              <w:t>-</w:t>
            </w:r>
          </w:p>
        </w:tc>
      </w:tr>
      <w:tr w:rsidR="009A7430" w:rsidRPr="001569FB" w14:paraId="0D91108F" w14:textId="77777777" w:rsidTr="008D4E91">
        <w:trPr>
          <w:trHeight w:val="315"/>
        </w:trPr>
        <w:tc>
          <w:tcPr>
            <w:tcW w:w="3694" w:type="dxa"/>
            <w:hideMark/>
          </w:tcPr>
          <w:p w14:paraId="64626720" w14:textId="77777777" w:rsidR="009A7430" w:rsidRPr="001569FB" w:rsidRDefault="009A7430" w:rsidP="008D4E91">
            <w:pPr>
              <w:rPr>
                <w:sz w:val="20"/>
                <w:szCs w:val="20"/>
              </w:rPr>
            </w:pPr>
            <w:r w:rsidRPr="001569FB">
              <w:rPr>
                <w:sz w:val="20"/>
                <w:szCs w:val="20"/>
              </w:rPr>
              <w:t>HCC82</w:t>
            </w:r>
          </w:p>
        </w:tc>
        <w:tc>
          <w:tcPr>
            <w:tcW w:w="3556" w:type="dxa"/>
            <w:hideMark/>
          </w:tcPr>
          <w:p w14:paraId="2E1B2DC3" w14:textId="77777777" w:rsidR="009A7430" w:rsidRPr="001569FB" w:rsidRDefault="009A7430" w:rsidP="008D4E91">
            <w:pPr>
              <w:rPr>
                <w:sz w:val="20"/>
                <w:szCs w:val="20"/>
              </w:rPr>
            </w:pPr>
            <w:r w:rsidRPr="001569FB">
              <w:rPr>
                <w:sz w:val="20"/>
                <w:szCs w:val="20"/>
              </w:rPr>
              <w:t>Respirator Dependence/Tracheostomy Status</w:t>
            </w:r>
          </w:p>
        </w:tc>
        <w:tc>
          <w:tcPr>
            <w:tcW w:w="2100" w:type="dxa"/>
            <w:noWrap/>
            <w:hideMark/>
          </w:tcPr>
          <w:p w14:paraId="63B76456" w14:textId="77777777" w:rsidR="009A7430" w:rsidRPr="001569FB" w:rsidRDefault="009A7430" w:rsidP="008D4E91">
            <w:pPr>
              <w:jc w:val="center"/>
              <w:rPr>
                <w:sz w:val="20"/>
                <w:szCs w:val="20"/>
              </w:rPr>
            </w:pPr>
            <w:r w:rsidRPr="001569FB">
              <w:rPr>
                <w:sz w:val="20"/>
                <w:szCs w:val="20"/>
              </w:rPr>
              <w:t>1.602</w:t>
            </w:r>
          </w:p>
        </w:tc>
      </w:tr>
      <w:tr w:rsidR="009A7430" w:rsidRPr="001569FB" w14:paraId="085CD043" w14:textId="77777777" w:rsidTr="008D4E91">
        <w:trPr>
          <w:trHeight w:val="315"/>
        </w:trPr>
        <w:tc>
          <w:tcPr>
            <w:tcW w:w="3694" w:type="dxa"/>
            <w:hideMark/>
          </w:tcPr>
          <w:p w14:paraId="11350536" w14:textId="77777777" w:rsidR="009A7430" w:rsidRPr="001569FB" w:rsidRDefault="009A7430" w:rsidP="008D4E91">
            <w:pPr>
              <w:rPr>
                <w:sz w:val="20"/>
                <w:szCs w:val="20"/>
              </w:rPr>
            </w:pPr>
            <w:r w:rsidRPr="001569FB">
              <w:rPr>
                <w:sz w:val="20"/>
                <w:szCs w:val="20"/>
              </w:rPr>
              <w:t>HCC83</w:t>
            </w:r>
          </w:p>
        </w:tc>
        <w:tc>
          <w:tcPr>
            <w:tcW w:w="3556" w:type="dxa"/>
            <w:hideMark/>
          </w:tcPr>
          <w:p w14:paraId="3A159221" w14:textId="77777777" w:rsidR="009A7430" w:rsidRPr="001569FB" w:rsidRDefault="009A7430" w:rsidP="008D4E91">
            <w:pPr>
              <w:rPr>
                <w:sz w:val="20"/>
                <w:szCs w:val="20"/>
              </w:rPr>
            </w:pPr>
            <w:r w:rsidRPr="001569FB">
              <w:rPr>
                <w:sz w:val="20"/>
                <w:szCs w:val="20"/>
              </w:rPr>
              <w:t>Respiratory Arrest</w:t>
            </w:r>
          </w:p>
        </w:tc>
        <w:tc>
          <w:tcPr>
            <w:tcW w:w="2100" w:type="dxa"/>
            <w:noWrap/>
            <w:hideMark/>
          </w:tcPr>
          <w:p w14:paraId="6893C797" w14:textId="77777777" w:rsidR="009A7430" w:rsidRPr="001569FB" w:rsidRDefault="009A7430" w:rsidP="008D4E91">
            <w:pPr>
              <w:jc w:val="center"/>
              <w:rPr>
                <w:sz w:val="20"/>
                <w:szCs w:val="20"/>
              </w:rPr>
            </w:pPr>
            <w:r w:rsidRPr="001569FB">
              <w:rPr>
                <w:sz w:val="20"/>
                <w:szCs w:val="20"/>
              </w:rPr>
              <w:t>0.466</w:t>
            </w:r>
          </w:p>
        </w:tc>
      </w:tr>
      <w:tr w:rsidR="009A7430" w:rsidRPr="001569FB" w14:paraId="2D78B1CA" w14:textId="77777777" w:rsidTr="008D4E91">
        <w:trPr>
          <w:trHeight w:val="315"/>
        </w:trPr>
        <w:tc>
          <w:tcPr>
            <w:tcW w:w="3694" w:type="dxa"/>
            <w:hideMark/>
          </w:tcPr>
          <w:p w14:paraId="6BAE5D19" w14:textId="77777777" w:rsidR="009A7430" w:rsidRPr="001569FB" w:rsidRDefault="009A7430" w:rsidP="008D4E91">
            <w:pPr>
              <w:rPr>
                <w:sz w:val="20"/>
                <w:szCs w:val="20"/>
              </w:rPr>
            </w:pPr>
            <w:r w:rsidRPr="001569FB">
              <w:rPr>
                <w:sz w:val="20"/>
                <w:szCs w:val="20"/>
              </w:rPr>
              <w:t>HCC84</w:t>
            </w:r>
          </w:p>
        </w:tc>
        <w:tc>
          <w:tcPr>
            <w:tcW w:w="3556" w:type="dxa"/>
            <w:hideMark/>
          </w:tcPr>
          <w:p w14:paraId="1B368238" w14:textId="77777777" w:rsidR="009A7430" w:rsidRPr="001569FB" w:rsidRDefault="009A7430" w:rsidP="008D4E91">
            <w:pPr>
              <w:rPr>
                <w:sz w:val="20"/>
                <w:szCs w:val="20"/>
              </w:rPr>
            </w:pPr>
            <w:r w:rsidRPr="001569FB">
              <w:rPr>
                <w:sz w:val="20"/>
                <w:szCs w:val="20"/>
              </w:rPr>
              <w:t>Cardio-Respiratory Failure and Shock</w:t>
            </w:r>
          </w:p>
        </w:tc>
        <w:tc>
          <w:tcPr>
            <w:tcW w:w="2100" w:type="dxa"/>
            <w:noWrap/>
            <w:hideMark/>
          </w:tcPr>
          <w:p w14:paraId="152E54D2" w14:textId="77777777" w:rsidR="009A7430" w:rsidRPr="001569FB" w:rsidRDefault="009A7430" w:rsidP="008D4E91">
            <w:pPr>
              <w:jc w:val="center"/>
              <w:rPr>
                <w:sz w:val="20"/>
                <w:szCs w:val="20"/>
              </w:rPr>
            </w:pPr>
            <w:r w:rsidRPr="001569FB">
              <w:rPr>
                <w:sz w:val="20"/>
                <w:szCs w:val="20"/>
              </w:rPr>
              <w:t>0.311</w:t>
            </w:r>
          </w:p>
        </w:tc>
      </w:tr>
      <w:tr w:rsidR="009A7430" w:rsidRPr="001569FB" w14:paraId="3C0A60AD" w14:textId="77777777" w:rsidTr="008D4E91">
        <w:trPr>
          <w:trHeight w:val="315"/>
        </w:trPr>
        <w:tc>
          <w:tcPr>
            <w:tcW w:w="3694" w:type="dxa"/>
            <w:hideMark/>
          </w:tcPr>
          <w:p w14:paraId="0A496063" w14:textId="77777777" w:rsidR="009A7430" w:rsidRPr="001569FB" w:rsidRDefault="009A7430" w:rsidP="008D4E91">
            <w:pPr>
              <w:rPr>
                <w:sz w:val="20"/>
                <w:szCs w:val="20"/>
              </w:rPr>
            </w:pPr>
            <w:r w:rsidRPr="001569FB">
              <w:rPr>
                <w:sz w:val="20"/>
                <w:szCs w:val="20"/>
              </w:rPr>
              <w:t>HCC85</w:t>
            </w:r>
          </w:p>
        </w:tc>
        <w:tc>
          <w:tcPr>
            <w:tcW w:w="3556" w:type="dxa"/>
            <w:hideMark/>
          </w:tcPr>
          <w:p w14:paraId="3C036CD0" w14:textId="77777777" w:rsidR="009A7430" w:rsidRPr="001569FB" w:rsidRDefault="009A7430" w:rsidP="008D4E91">
            <w:pPr>
              <w:rPr>
                <w:sz w:val="20"/>
                <w:szCs w:val="20"/>
              </w:rPr>
            </w:pPr>
            <w:r w:rsidRPr="001569FB">
              <w:rPr>
                <w:sz w:val="20"/>
                <w:szCs w:val="20"/>
              </w:rPr>
              <w:t>Congestive Heart Failure</w:t>
            </w:r>
          </w:p>
        </w:tc>
        <w:tc>
          <w:tcPr>
            <w:tcW w:w="2100" w:type="dxa"/>
            <w:noWrap/>
            <w:hideMark/>
          </w:tcPr>
          <w:p w14:paraId="6A723FE7" w14:textId="77777777" w:rsidR="009A7430" w:rsidRPr="001569FB" w:rsidRDefault="009A7430" w:rsidP="008D4E91">
            <w:pPr>
              <w:jc w:val="center"/>
              <w:rPr>
                <w:sz w:val="20"/>
                <w:szCs w:val="20"/>
              </w:rPr>
            </w:pPr>
            <w:r w:rsidRPr="001569FB">
              <w:rPr>
                <w:sz w:val="20"/>
                <w:szCs w:val="20"/>
              </w:rPr>
              <w:t>0.186</w:t>
            </w:r>
          </w:p>
        </w:tc>
      </w:tr>
      <w:tr w:rsidR="009A7430" w:rsidRPr="001569FB" w14:paraId="442EEB3B" w14:textId="77777777" w:rsidTr="008D4E91">
        <w:trPr>
          <w:trHeight w:val="315"/>
        </w:trPr>
        <w:tc>
          <w:tcPr>
            <w:tcW w:w="3694" w:type="dxa"/>
            <w:hideMark/>
          </w:tcPr>
          <w:p w14:paraId="752BABEE" w14:textId="77777777" w:rsidR="009A7430" w:rsidRPr="001569FB" w:rsidRDefault="009A7430" w:rsidP="008D4E91">
            <w:pPr>
              <w:rPr>
                <w:sz w:val="20"/>
                <w:szCs w:val="20"/>
              </w:rPr>
            </w:pPr>
            <w:r w:rsidRPr="001569FB">
              <w:rPr>
                <w:sz w:val="20"/>
                <w:szCs w:val="20"/>
              </w:rPr>
              <w:t>HCC86</w:t>
            </w:r>
          </w:p>
        </w:tc>
        <w:tc>
          <w:tcPr>
            <w:tcW w:w="3556" w:type="dxa"/>
            <w:hideMark/>
          </w:tcPr>
          <w:p w14:paraId="276FB68F" w14:textId="77777777" w:rsidR="009A7430" w:rsidRPr="001569FB" w:rsidRDefault="009A7430" w:rsidP="008D4E91">
            <w:pPr>
              <w:rPr>
                <w:sz w:val="20"/>
                <w:szCs w:val="20"/>
              </w:rPr>
            </w:pPr>
            <w:r w:rsidRPr="001569FB">
              <w:rPr>
                <w:sz w:val="20"/>
                <w:szCs w:val="20"/>
              </w:rPr>
              <w:t>Acute Myocardial Infarction</w:t>
            </w:r>
          </w:p>
        </w:tc>
        <w:tc>
          <w:tcPr>
            <w:tcW w:w="2100" w:type="dxa"/>
            <w:noWrap/>
            <w:hideMark/>
          </w:tcPr>
          <w:p w14:paraId="03BB5169" w14:textId="77777777" w:rsidR="009A7430" w:rsidRPr="001569FB" w:rsidRDefault="009A7430" w:rsidP="008D4E91">
            <w:pPr>
              <w:jc w:val="center"/>
              <w:rPr>
                <w:sz w:val="20"/>
                <w:szCs w:val="20"/>
              </w:rPr>
            </w:pPr>
            <w:r w:rsidRPr="001569FB">
              <w:rPr>
                <w:sz w:val="20"/>
                <w:szCs w:val="20"/>
              </w:rPr>
              <w:t>0.392</w:t>
            </w:r>
          </w:p>
        </w:tc>
      </w:tr>
      <w:tr w:rsidR="009A7430" w:rsidRPr="001569FB" w14:paraId="7D3E7275" w14:textId="77777777" w:rsidTr="008D4E91">
        <w:trPr>
          <w:trHeight w:val="315"/>
        </w:trPr>
        <w:tc>
          <w:tcPr>
            <w:tcW w:w="3694" w:type="dxa"/>
            <w:hideMark/>
          </w:tcPr>
          <w:p w14:paraId="57031837" w14:textId="77777777" w:rsidR="009A7430" w:rsidRPr="001569FB" w:rsidRDefault="009A7430" w:rsidP="008D4E91">
            <w:pPr>
              <w:rPr>
                <w:sz w:val="20"/>
                <w:szCs w:val="20"/>
              </w:rPr>
            </w:pPr>
            <w:r w:rsidRPr="001569FB">
              <w:rPr>
                <w:sz w:val="20"/>
                <w:szCs w:val="20"/>
              </w:rPr>
              <w:t>HCC87</w:t>
            </w:r>
          </w:p>
        </w:tc>
        <w:tc>
          <w:tcPr>
            <w:tcW w:w="3556" w:type="dxa"/>
            <w:hideMark/>
          </w:tcPr>
          <w:p w14:paraId="2CC4D165" w14:textId="77777777" w:rsidR="009A7430" w:rsidRPr="001569FB" w:rsidRDefault="009A7430" w:rsidP="008D4E91">
            <w:pPr>
              <w:rPr>
                <w:sz w:val="20"/>
                <w:szCs w:val="20"/>
              </w:rPr>
            </w:pPr>
            <w:r w:rsidRPr="001569FB">
              <w:rPr>
                <w:sz w:val="20"/>
                <w:szCs w:val="20"/>
              </w:rPr>
              <w:t>Unstable Angina and Other Acute Ischemic Heart Disease</w:t>
            </w:r>
          </w:p>
        </w:tc>
        <w:tc>
          <w:tcPr>
            <w:tcW w:w="2100" w:type="dxa"/>
            <w:noWrap/>
            <w:hideMark/>
          </w:tcPr>
          <w:p w14:paraId="15A1DA3F" w14:textId="77777777" w:rsidR="009A7430" w:rsidRPr="001569FB" w:rsidRDefault="009A7430" w:rsidP="008D4E91">
            <w:pPr>
              <w:jc w:val="center"/>
              <w:rPr>
                <w:sz w:val="20"/>
                <w:szCs w:val="20"/>
              </w:rPr>
            </w:pPr>
            <w:r w:rsidRPr="001569FB">
              <w:rPr>
                <w:sz w:val="20"/>
                <w:szCs w:val="20"/>
              </w:rPr>
              <w:t>0.392</w:t>
            </w:r>
          </w:p>
        </w:tc>
      </w:tr>
      <w:tr w:rsidR="009A7430" w:rsidRPr="001569FB" w14:paraId="4AFA20E3" w14:textId="77777777" w:rsidTr="008D4E91">
        <w:trPr>
          <w:trHeight w:val="315"/>
        </w:trPr>
        <w:tc>
          <w:tcPr>
            <w:tcW w:w="3694" w:type="dxa"/>
            <w:hideMark/>
          </w:tcPr>
          <w:p w14:paraId="5FB9EEF5" w14:textId="77777777" w:rsidR="009A7430" w:rsidRPr="001569FB" w:rsidRDefault="009A7430" w:rsidP="008D4E91">
            <w:pPr>
              <w:rPr>
                <w:sz w:val="20"/>
                <w:szCs w:val="20"/>
              </w:rPr>
            </w:pPr>
            <w:r w:rsidRPr="001569FB">
              <w:rPr>
                <w:sz w:val="20"/>
                <w:szCs w:val="20"/>
              </w:rPr>
              <w:t>HCC88</w:t>
            </w:r>
          </w:p>
        </w:tc>
        <w:tc>
          <w:tcPr>
            <w:tcW w:w="3556" w:type="dxa"/>
            <w:hideMark/>
          </w:tcPr>
          <w:p w14:paraId="7B1121F7" w14:textId="77777777" w:rsidR="009A7430" w:rsidRPr="001569FB" w:rsidRDefault="009A7430" w:rsidP="008D4E91">
            <w:pPr>
              <w:rPr>
                <w:sz w:val="20"/>
                <w:szCs w:val="20"/>
              </w:rPr>
            </w:pPr>
            <w:r w:rsidRPr="001569FB">
              <w:rPr>
                <w:sz w:val="20"/>
                <w:szCs w:val="20"/>
              </w:rPr>
              <w:t>Angina Pectoris</w:t>
            </w:r>
          </w:p>
        </w:tc>
        <w:tc>
          <w:tcPr>
            <w:tcW w:w="2100" w:type="dxa"/>
            <w:noWrap/>
            <w:hideMark/>
          </w:tcPr>
          <w:p w14:paraId="5B50EF53" w14:textId="77777777" w:rsidR="009A7430" w:rsidRPr="001569FB" w:rsidRDefault="009A7430" w:rsidP="008D4E91">
            <w:pPr>
              <w:jc w:val="center"/>
              <w:rPr>
                <w:sz w:val="20"/>
                <w:szCs w:val="20"/>
              </w:rPr>
            </w:pPr>
            <w:r w:rsidRPr="001569FB">
              <w:rPr>
                <w:sz w:val="20"/>
                <w:szCs w:val="20"/>
              </w:rPr>
              <w:t>0.392</w:t>
            </w:r>
          </w:p>
        </w:tc>
      </w:tr>
      <w:tr w:rsidR="009A7430" w:rsidRPr="001569FB" w14:paraId="3F9ECB20" w14:textId="77777777" w:rsidTr="008D4E91">
        <w:trPr>
          <w:trHeight w:val="315"/>
        </w:trPr>
        <w:tc>
          <w:tcPr>
            <w:tcW w:w="3694" w:type="dxa"/>
            <w:hideMark/>
          </w:tcPr>
          <w:p w14:paraId="78CC8738" w14:textId="77777777" w:rsidR="009A7430" w:rsidRPr="001569FB" w:rsidRDefault="009A7430" w:rsidP="008D4E91">
            <w:pPr>
              <w:rPr>
                <w:sz w:val="20"/>
                <w:szCs w:val="20"/>
              </w:rPr>
            </w:pPr>
            <w:r w:rsidRPr="001569FB">
              <w:rPr>
                <w:sz w:val="20"/>
                <w:szCs w:val="20"/>
              </w:rPr>
              <w:t>HCC96</w:t>
            </w:r>
          </w:p>
        </w:tc>
        <w:tc>
          <w:tcPr>
            <w:tcW w:w="3556" w:type="dxa"/>
            <w:hideMark/>
          </w:tcPr>
          <w:p w14:paraId="596C589E" w14:textId="77777777" w:rsidR="009A7430" w:rsidRPr="001569FB" w:rsidRDefault="009A7430" w:rsidP="008D4E91">
            <w:pPr>
              <w:rPr>
                <w:sz w:val="20"/>
                <w:szCs w:val="20"/>
              </w:rPr>
            </w:pPr>
            <w:r w:rsidRPr="001569FB">
              <w:rPr>
                <w:sz w:val="20"/>
                <w:szCs w:val="20"/>
              </w:rPr>
              <w:t>Specified Heart Arrhythmias</w:t>
            </w:r>
          </w:p>
        </w:tc>
        <w:tc>
          <w:tcPr>
            <w:tcW w:w="2100" w:type="dxa"/>
            <w:noWrap/>
            <w:hideMark/>
          </w:tcPr>
          <w:p w14:paraId="2C90872E" w14:textId="77777777" w:rsidR="009A7430" w:rsidRPr="001569FB" w:rsidRDefault="009A7430" w:rsidP="008D4E91">
            <w:pPr>
              <w:jc w:val="center"/>
              <w:rPr>
                <w:sz w:val="20"/>
                <w:szCs w:val="20"/>
              </w:rPr>
            </w:pPr>
            <w:r w:rsidRPr="001569FB">
              <w:rPr>
                <w:sz w:val="20"/>
                <w:szCs w:val="20"/>
              </w:rPr>
              <w:t>0.247</w:t>
            </w:r>
          </w:p>
        </w:tc>
      </w:tr>
      <w:tr w:rsidR="009A7430" w:rsidRPr="001569FB" w14:paraId="2F604090" w14:textId="77777777" w:rsidTr="008D4E91">
        <w:trPr>
          <w:trHeight w:val="315"/>
        </w:trPr>
        <w:tc>
          <w:tcPr>
            <w:tcW w:w="3694" w:type="dxa"/>
            <w:hideMark/>
          </w:tcPr>
          <w:p w14:paraId="49E3552E" w14:textId="77777777" w:rsidR="009A7430" w:rsidRPr="001569FB" w:rsidRDefault="009A7430" w:rsidP="008D4E91">
            <w:pPr>
              <w:rPr>
                <w:sz w:val="20"/>
                <w:szCs w:val="20"/>
              </w:rPr>
            </w:pPr>
            <w:r w:rsidRPr="001569FB">
              <w:rPr>
                <w:sz w:val="20"/>
                <w:szCs w:val="20"/>
              </w:rPr>
              <w:t>HCC99</w:t>
            </w:r>
          </w:p>
        </w:tc>
        <w:tc>
          <w:tcPr>
            <w:tcW w:w="3556" w:type="dxa"/>
            <w:hideMark/>
          </w:tcPr>
          <w:p w14:paraId="31479549" w14:textId="77777777" w:rsidR="009A7430" w:rsidRPr="001569FB" w:rsidRDefault="009A7430" w:rsidP="008D4E91">
            <w:pPr>
              <w:rPr>
                <w:sz w:val="20"/>
                <w:szCs w:val="20"/>
              </w:rPr>
            </w:pPr>
            <w:r w:rsidRPr="001569FB">
              <w:rPr>
                <w:sz w:val="20"/>
                <w:szCs w:val="20"/>
              </w:rPr>
              <w:t>Cerebral Hemorrhage</w:t>
            </w:r>
          </w:p>
        </w:tc>
        <w:tc>
          <w:tcPr>
            <w:tcW w:w="2100" w:type="dxa"/>
            <w:noWrap/>
            <w:hideMark/>
          </w:tcPr>
          <w:p w14:paraId="2236E79D" w14:textId="77777777" w:rsidR="009A7430" w:rsidRPr="001569FB" w:rsidRDefault="009A7430" w:rsidP="008D4E91">
            <w:pPr>
              <w:jc w:val="center"/>
              <w:rPr>
                <w:sz w:val="20"/>
                <w:szCs w:val="20"/>
              </w:rPr>
            </w:pPr>
            <w:r w:rsidRPr="001569FB">
              <w:rPr>
                <w:sz w:val="20"/>
                <w:szCs w:val="20"/>
              </w:rPr>
              <w:t>0.105</w:t>
            </w:r>
          </w:p>
        </w:tc>
      </w:tr>
      <w:tr w:rsidR="009A7430" w:rsidRPr="001569FB" w14:paraId="0F9A57DC" w14:textId="77777777" w:rsidTr="008D4E91">
        <w:trPr>
          <w:trHeight w:val="315"/>
        </w:trPr>
        <w:tc>
          <w:tcPr>
            <w:tcW w:w="3694" w:type="dxa"/>
            <w:hideMark/>
          </w:tcPr>
          <w:p w14:paraId="1A999594" w14:textId="77777777" w:rsidR="009A7430" w:rsidRPr="001569FB" w:rsidRDefault="009A7430" w:rsidP="008D4E91">
            <w:pPr>
              <w:rPr>
                <w:sz w:val="20"/>
                <w:szCs w:val="20"/>
              </w:rPr>
            </w:pPr>
            <w:r w:rsidRPr="001569FB">
              <w:rPr>
                <w:sz w:val="20"/>
                <w:szCs w:val="20"/>
              </w:rPr>
              <w:t>HCC100</w:t>
            </w:r>
          </w:p>
        </w:tc>
        <w:tc>
          <w:tcPr>
            <w:tcW w:w="3556" w:type="dxa"/>
            <w:hideMark/>
          </w:tcPr>
          <w:p w14:paraId="110C0A43" w14:textId="77777777" w:rsidR="009A7430" w:rsidRPr="001569FB" w:rsidRDefault="009A7430" w:rsidP="008D4E91">
            <w:pPr>
              <w:rPr>
                <w:sz w:val="20"/>
                <w:szCs w:val="20"/>
              </w:rPr>
            </w:pPr>
            <w:r w:rsidRPr="001569FB">
              <w:rPr>
                <w:sz w:val="20"/>
                <w:szCs w:val="20"/>
              </w:rPr>
              <w:t>Ischemic or Unspecified Stroke</w:t>
            </w:r>
          </w:p>
        </w:tc>
        <w:tc>
          <w:tcPr>
            <w:tcW w:w="2100" w:type="dxa"/>
            <w:noWrap/>
            <w:hideMark/>
          </w:tcPr>
          <w:p w14:paraId="15F2685C" w14:textId="77777777" w:rsidR="009A7430" w:rsidRPr="001569FB" w:rsidRDefault="009A7430" w:rsidP="008D4E91">
            <w:pPr>
              <w:jc w:val="center"/>
              <w:rPr>
                <w:sz w:val="20"/>
                <w:szCs w:val="20"/>
              </w:rPr>
            </w:pPr>
            <w:r w:rsidRPr="001569FB">
              <w:rPr>
                <w:sz w:val="20"/>
                <w:szCs w:val="20"/>
              </w:rPr>
              <w:t>0.105</w:t>
            </w:r>
          </w:p>
        </w:tc>
      </w:tr>
      <w:tr w:rsidR="009A7430" w:rsidRPr="001569FB" w14:paraId="1BB3F0D4" w14:textId="77777777" w:rsidTr="008D4E91">
        <w:trPr>
          <w:trHeight w:val="315"/>
        </w:trPr>
        <w:tc>
          <w:tcPr>
            <w:tcW w:w="3694" w:type="dxa"/>
            <w:hideMark/>
          </w:tcPr>
          <w:p w14:paraId="2F293C82" w14:textId="77777777" w:rsidR="009A7430" w:rsidRPr="001569FB" w:rsidRDefault="009A7430" w:rsidP="008D4E91">
            <w:pPr>
              <w:rPr>
                <w:sz w:val="20"/>
                <w:szCs w:val="20"/>
              </w:rPr>
            </w:pPr>
            <w:r w:rsidRPr="001569FB">
              <w:rPr>
                <w:sz w:val="20"/>
                <w:szCs w:val="20"/>
              </w:rPr>
              <w:t>HCC103</w:t>
            </w:r>
          </w:p>
        </w:tc>
        <w:tc>
          <w:tcPr>
            <w:tcW w:w="3556" w:type="dxa"/>
            <w:hideMark/>
          </w:tcPr>
          <w:p w14:paraId="5C0319CC" w14:textId="77777777" w:rsidR="009A7430" w:rsidRPr="001569FB" w:rsidRDefault="009A7430" w:rsidP="008D4E91">
            <w:pPr>
              <w:rPr>
                <w:sz w:val="20"/>
                <w:szCs w:val="20"/>
              </w:rPr>
            </w:pPr>
            <w:r w:rsidRPr="001569FB">
              <w:rPr>
                <w:sz w:val="20"/>
                <w:szCs w:val="20"/>
              </w:rPr>
              <w:t>Hemiplegia/Hemiparesis</w:t>
            </w:r>
          </w:p>
        </w:tc>
        <w:tc>
          <w:tcPr>
            <w:tcW w:w="2100" w:type="dxa"/>
            <w:noWrap/>
            <w:hideMark/>
          </w:tcPr>
          <w:p w14:paraId="7E018764" w14:textId="77777777" w:rsidR="009A7430" w:rsidRPr="001569FB" w:rsidRDefault="009A7430" w:rsidP="008D4E91">
            <w:pPr>
              <w:jc w:val="center"/>
              <w:rPr>
                <w:sz w:val="20"/>
                <w:szCs w:val="20"/>
              </w:rPr>
            </w:pPr>
            <w:r w:rsidRPr="001569FB">
              <w:rPr>
                <w:sz w:val="20"/>
                <w:szCs w:val="20"/>
              </w:rPr>
              <w:t>-</w:t>
            </w:r>
          </w:p>
        </w:tc>
      </w:tr>
      <w:tr w:rsidR="009A7430" w:rsidRPr="001569FB" w14:paraId="49F743EC" w14:textId="77777777" w:rsidTr="008D4E91">
        <w:trPr>
          <w:trHeight w:val="315"/>
        </w:trPr>
        <w:tc>
          <w:tcPr>
            <w:tcW w:w="3694" w:type="dxa"/>
            <w:hideMark/>
          </w:tcPr>
          <w:p w14:paraId="612AC543" w14:textId="77777777" w:rsidR="009A7430" w:rsidRPr="001569FB" w:rsidRDefault="009A7430" w:rsidP="008D4E91">
            <w:pPr>
              <w:rPr>
                <w:sz w:val="20"/>
                <w:szCs w:val="20"/>
              </w:rPr>
            </w:pPr>
            <w:r w:rsidRPr="001569FB">
              <w:rPr>
                <w:sz w:val="20"/>
                <w:szCs w:val="20"/>
              </w:rPr>
              <w:t>HCC104</w:t>
            </w:r>
          </w:p>
        </w:tc>
        <w:tc>
          <w:tcPr>
            <w:tcW w:w="3556" w:type="dxa"/>
            <w:hideMark/>
          </w:tcPr>
          <w:p w14:paraId="40DE89C9" w14:textId="77777777" w:rsidR="009A7430" w:rsidRPr="001569FB" w:rsidRDefault="009A7430" w:rsidP="008D4E91">
            <w:pPr>
              <w:rPr>
                <w:sz w:val="20"/>
                <w:szCs w:val="20"/>
              </w:rPr>
            </w:pPr>
            <w:r w:rsidRPr="001569FB">
              <w:rPr>
                <w:sz w:val="20"/>
                <w:szCs w:val="20"/>
              </w:rPr>
              <w:t>Monoplegia, Other Paralytic Syndromes</w:t>
            </w:r>
          </w:p>
        </w:tc>
        <w:tc>
          <w:tcPr>
            <w:tcW w:w="2100" w:type="dxa"/>
            <w:noWrap/>
            <w:hideMark/>
          </w:tcPr>
          <w:p w14:paraId="3458B3D2" w14:textId="77777777" w:rsidR="009A7430" w:rsidRPr="001569FB" w:rsidRDefault="009A7430" w:rsidP="008D4E91">
            <w:pPr>
              <w:jc w:val="center"/>
              <w:rPr>
                <w:sz w:val="20"/>
                <w:szCs w:val="20"/>
              </w:rPr>
            </w:pPr>
            <w:r w:rsidRPr="001569FB">
              <w:rPr>
                <w:sz w:val="20"/>
                <w:szCs w:val="20"/>
              </w:rPr>
              <w:t>-</w:t>
            </w:r>
          </w:p>
        </w:tc>
      </w:tr>
      <w:tr w:rsidR="009A7430" w:rsidRPr="001569FB" w14:paraId="00F24438" w14:textId="77777777" w:rsidTr="008D4E91">
        <w:trPr>
          <w:trHeight w:val="630"/>
        </w:trPr>
        <w:tc>
          <w:tcPr>
            <w:tcW w:w="3694" w:type="dxa"/>
            <w:hideMark/>
          </w:tcPr>
          <w:p w14:paraId="2DF59D43" w14:textId="77777777" w:rsidR="009A7430" w:rsidRPr="001569FB" w:rsidRDefault="009A7430" w:rsidP="008D4E91">
            <w:pPr>
              <w:rPr>
                <w:sz w:val="20"/>
                <w:szCs w:val="20"/>
              </w:rPr>
            </w:pPr>
            <w:r w:rsidRPr="001569FB">
              <w:rPr>
                <w:sz w:val="20"/>
                <w:szCs w:val="20"/>
              </w:rPr>
              <w:t>HCC106</w:t>
            </w:r>
          </w:p>
        </w:tc>
        <w:tc>
          <w:tcPr>
            <w:tcW w:w="3556" w:type="dxa"/>
            <w:hideMark/>
          </w:tcPr>
          <w:p w14:paraId="429ED5BA"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2100" w:type="dxa"/>
            <w:noWrap/>
            <w:hideMark/>
          </w:tcPr>
          <w:p w14:paraId="627A17DC" w14:textId="77777777" w:rsidR="009A7430" w:rsidRPr="001569FB" w:rsidRDefault="009A7430" w:rsidP="008D4E91">
            <w:pPr>
              <w:jc w:val="center"/>
              <w:rPr>
                <w:sz w:val="20"/>
                <w:szCs w:val="20"/>
              </w:rPr>
            </w:pPr>
            <w:r w:rsidRPr="001569FB">
              <w:rPr>
                <w:sz w:val="20"/>
                <w:szCs w:val="20"/>
              </w:rPr>
              <w:t>0.754</w:t>
            </w:r>
          </w:p>
        </w:tc>
      </w:tr>
      <w:tr w:rsidR="009A7430" w:rsidRPr="001569FB" w14:paraId="344C6D9B" w14:textId="77777777" w:rsidTr="008D4E91">
        <w:trPr>
          <w:trHeight w:val="315"/>
        </w:trPr>
        <w:tc>
          <w:tcPr>
            <w:tcW w:w="3694" w:type="dxa"/>
            <w:hideMark/>
          </w:tcPr>
          <w:p w14:paraId="692FBE08" w14:textId="77777777" w:rsidR="009A7430" w:rsidRPr="001569FB" w:rsidRDefault="009A7430" w:rsidP="008D4E91">
            <w:pPr>
              <w:rPr>
                <w:sz w:val="20"/>
                <w:szCs w:val="20"/>
              </w:rPr>
            </w:pPr>
            <w:r w:rsidRPr="001569FB">
              <w:rPr>
                <w:sz w:val="20"/>
                <w:szCs w:val="20"/>
              </w:rPr>
              <w:t>HCC107</w:t>
            </w:r>
          </w:p>
        </w:tc>
        <w:tc>
          <w:tcPr>
            <w:tcW w:w="3556" w:type="dxa"/>
            <w:hideMark/>
          </w:tcPr>
          <w:p w14:paraId="679A20C2" w14:textId="77777777" w:rsidR="009A7430" w:rsidRPr="001569FB" w:rsidRDefault="009A7430" w:rsidP="008D4E91">
            <w:pPr>
              <w:rPr>
                <w:sz w:val="20"/>
                <w:szCs w:val="20"/>
              </w:rPr>
            </w:pPr>
            <w:r w:rsidRPr="001569FB">
              <w:rPr>
                <w:sz w:val="20"/>
                <w:szCs w:val="20"/>
              </w:rPr>
              <w:t>Vascular Disease with Complications</w:t>
            </w:r>
          </w:p>
        </w:tc>
        <w:tc>
          <w:tcPr>
            <w:tcW w:w="2100" w:type="dxa"/>
            <w:noWrap/>
            <w:hideMark/>
          </w:tcPr>
          <w:p w14:paraId="1EE78E57" w14:textId="77777777" w:rsidR="009A7430" w:rsidRPr="001569FB" w:rsidRDefault="009A7430" w:rsidP="008D4E91">
            <w:pPr>
              <w:jc w:val="center"/>
              <w:rPr>
                <w:sz w:val="20"/>
                <w:szCs w:val="20"/>
              </w:rPr>
            </w:pPr>
            <w:r w:rsidRPr="001569FB">
              <w:rPr>
                <w:sz w:val="20"/>
                <w:szCs w:val="20"/>
              </w:rPr>
              <w:t>0.300</w:t>
            </w:r>
          </w:p>
        </w:tc>
      </w:tr>
      <w:tr w:rsidR="009A7430" w:rsidRPr="001569FB" w14:paraId="179E4657" w14:textId="77777777" w:rsidTr="008D4E91">
        <w:trPr>
          <w:trHeight w:val="315"/>
        </w:trPr>
        <w:tc>
          <w:tcPr>
            <w:tcW w:w="3694" w:type="dxa"/>
            <w:hideMark/>
          </w:tcPr>
          <w:p w14:paraId="7315B084" w14:textId="77777777" w:rsidR="009A7430" w:rsidRPr="001569FB" w:rsidRDefault="009A7430" w:rsidP="008D4E91">
            <w:pPr>
              <w:rPr>
                <w:sz w:val="20"/>
                <w:szCs w:val="20"/>
              </w:rPr>
            </w:pPr>
            <w:r w:rsidRPr="001569FB">
              <w:rPr>
                <w:sz w:val="20"/>
                <w:szCs w:val="20"/>
              </w:rPr>
              <w:t>HCC108</w:t>
            </w:r>
          </w:p>
        </w:tc>
        <w:tc>
          <w:tcPr>
            <w:tcW w:w="3556" w:type="dxa"/>
            <w:hideMark/>
          </w:tcPr>
          <w:p w14:paraId="2221B6A9" w14:textId="77777777" w:rsidR="009A7430" w:rsidRPr="001569FB" w:rsidRDefault="009A7430" w:rsidP="008D4E91">
            <w:pPr>
              <w:rPr>
                <w:sz w:val="20"/>
                <w:szCs w:val="20"/>
              </w:rPr>
            </w:pPr>
            <w:r w:rsidRPr="001569FB">
              <w:rPr>
                <w:sz w:val="20"/>
                <w:szCs w:val="20"/>
              </w:rPr>
              <w:t>Vascular Disease</w:t>
            </w:r>
          </w:p>
        </w:tc>
        <w:tc>
          <w:tcPr>
            <w:tcW w:w="2100" w:type="dxa"/>
            <w:noWrap/>
            <w:hideMark/>
          </w:tcPr>
          <w:p w14:paraId="02692ADE" w14:textId="77777777" w:rsidR="009A7430" w:rsidRPr="001569FB" w:rsidRDefault="009A7430" w:rsidP="008D4E91">
            <w:pPr>
              <w:jc w:val="center"/>
              <w:rPr>
                <w:sz w:val="20"/>
                <w:szCs w:val="20"/>
              </w:rPr>
            </w:pPr>
            <w:r w:rsidRPr="001569FB">
              <w:rPr>
                <w:sz w:val="20"/>
                <w:szCs w:val="20"/>
              </w:rPr>
              <w:t>0.086</w:t>
            </w:r>
          </w:p>
        </w:tc>
      </w:tr>
      <w:tr w:rsidR="009A7430" w:rsidRPr="001569FB" w14:paraId="5CBEC067" w14:textId="77777777" w:rsidTr="008D4E91">
        <w:trPr>
          <w:trHeight w:val="315"/>
        </w:trPr>
        <w:tc>
          <w:tcPr>
            <w:tcW w:w="3694" w:type="dxa"/>
            <w:hideMark/>
          </w:tcPr>
          <w:p w14:paraId="2DFD3A38" w14:textId="77777777" w:rsidR="009A7430" w:rsidRPr="001569FB" w:rsidRDefault="009A7430" w:rsidP="008D4E91">
            <w:pPr>
              <w:rPr>
                <w:sz w:val="20"/>
                <w:szCs w:val="20"/>
              </w:rPr>
            </w:pPr>
            <w:r w:rsidRPr="001569FB">
              <w:rPr>
                <w:sz w:val="20"/>
                <w:szCs w:val="20"/>
              </w:rPr>
              <w:t>HCC110</w:t>
            </w:r>
          </w:p>
        </w:tc>
        <w:tc>
          <w:tcPr>
            <w:tcW w:w="3556" w:type="dxa"/>
            <w:hideMark/>
          </w:tcPr>
          <w:p w14:paraId="66AF532E" w14:textId="77777777" w:rsidR="009A7430" w:rsidRPr="001569FB" w:rsidRDefault="009A7430" w:rsidP="008D4E91">
            <w:pPr>
              <w:rPr>
                <w:sz w:val="20"/>
                <w:szCs w:val="20"/>
              </w:rPr>
            </w:pPr>
            <w:r w:rsidRPr="001569FB">
              <w:rPr>
                <w:sz w:val="20"/>
                <w:szCs w:val="20"/>
              </w:rPr>
              <w:t>Cystic Fibrosis</w:t>
            </w:r>
          </w:p>
        </w:tc>
        <w:tc>
          <w:tcPr>
            <w:tcW w:w="2100" w:type="dxa"/>
            <w:noWrap/>
            <w:hideMark/>
          </w:tcPr>
          <w:p w14:paraId="6F16E792" w14:textId="77777777" w:rsidR="009A7430" w:rsidRPr="001569FB" w:rsidRDefault="009A7430" w:rsidP="008D4E91">
            <w:pPr>
              <w:jc w:val="center"/>
              <w:rPr>
                <w:sz w:val="20"/>
                <w:szCs w:val="20"/>
              </w:rPr>
            </w:pPr>
            <w:r w:rsidRPr="001569FB">
              <w:rPr>
                <w:sz w:val="20"/>
                <w:szCs w:val="20"/>
              </w:rPr>
              <w:t>0.435</w:t>
            </w:r>
          </w:p>
        </w:tc>
      </w:tr>
      <w:tr w:rsidR="009A7430" w:rsidRPr="001569FB" w14:paraId="7F0D6337" w14:textId="77777777" w:rsidTr="008D4E91">
        <w:trPr>
          <w:trHeight w:val="315"/>
        </w:trPr>
        <w:tc>
          <w:tcPr>
            <w:tcW w:w="3694" w:type="dxa"/>
            <w:hideMark/>
          </w:tcPr>
          <w:p w14:paraId="1CE80CB5" w14:textId="77777777" w:rsidR="009A7430" w:rsidRPr="001569FB" w:rsidRDefault="009A7430" w:rsidP="008D4E91">
            <w:pPr>
              <w:rPr>
                <w:sz w:val="20"/>
                <w:szCs w:val="20"/>
              </w:rPr>
            </w:pPr>
            <w:r w:rsidRPr="001569FB">
              <w:rPr>
                <w:sz w:val="20"/>
                <w:szCs w:val="20"/>
              </w:rPr>
              <w:t>HCC111</w:t>
            </w:r>
          </w:p>
        </w:tc>
        <w:tc>
          <w:tcPr>
            <w:tcW w:w="3556" w:type="dxa"/>
            <w:hideMark/>
          </w:tcPr>
          <w:p w14:paraId="0D3C34B4" w14:textId="77777777" w:rsidR="009A7430" w:rsidRPr="001569FB" w:rsidRDefault="009A7430" w:rsidP="008D4E91">
            <w:pPr>
              <w:rPr>
                <w:sz w:val="20"/>
                <w:szCs w:val="20"/>
              </w:rPr>
            </w:pPr>
            <w:r w:rsidRPr="001569FB">
              <w:rPr>
                <w:sz w:val="20"/>
                <w:szCs w:val="20"/>
              </w:rPr>
              <w:t>Chronic Obstructive Pulmonary Disease</w:t>
            </w:r>
          </w:p>
        </w:tc>
        <w:tc>
          <w:tcPr>
            <w:tcW w:w="2100" w:type="dxa"/>
            <w:noWrap/>
            <w:hideMark/>
          </w:tcPr>
          <w:p w14:paraId="59BE92AA" w14:textId="77777777" w:rsidR="009A7430" w:rsidRPr="001569FB" w:rsidRDefault="009A7430" w:rsidP="008D4E91">
            <w:pPr>
              <w:jc w:val="center"/>
              <w:rPr>
                <w:sz w:val="20"/>
                <w:szCs w:val="20"/>
              </w:rPr>
            </w:pPr>
            <w:r w:rsidRPr="001569FB">
              <w:rPr>
                <w:sz w:val="20"/>
                <w:szCs w:val="20"/>
              </w:rPr>
              <w:t>0.299</w:t>
            </w:r>
          </w:p>
        </w:tc>
      </w:tr>
      <w:tr w:rsidR="009A7430" w:rsidRPr="001569FB" w14:paraId="71EBCA2C" w14:textId="77777777" w:rsidTr="008D4E91">
        <w:trPr>
          <w:trHeight w:val="315"/>
        </w:trPr>
        <w:tc>
          <w:tcPr>
            <w:tcW w:w="3694" w:type="dxa"/>
            <w:hideMark/>
          </w:tcPr>
          <w:p w14:paraId="3FA41E8E" w14:textId="77777777" w:rsidR="009A7430" w:rsidRPr="001569FB" w:rsidRDefault="009A7430" w:rsidP="008D4E91">
            <w:pPr>
              <w:rPr>
                <w:sz w:val="20"/>
                <w:szCs w:val="20"/>
              </w:rPr>
            </w:pPr>
            <w:r w:rsidRPr="001569FB">
              <w:rPr>
                <w:sz w:val="20"/>
                <w:szCs w:val="20"/>
              </w:rPr>
              <w:t>HCC112</w:t>
            </w:r>
          </w:p>
        </w:tc>
        <w:tc>
          <w:tcPr>
            <w:tcW w:w="3556" w:type="dxa"/>
            <w:hideMark/>
          </w:tcPr>
          <w:p w14:paraId="163504E1" w14:textId="77777777" w:rsidR="009A7430" w:rsidRPr="001569FB" w:rsidRDefault="009A7430" w:rsidP="008D4E91">
            <w:pPr>
              <w:rPr>
                <w:sz w:val="20"/>
                <w:szCs w:val="20"/>
              </w:rPr>
            </w:pPr>
            <w:r w:rsidRPr="001569FB">
              <w:rPr>
                <w:sz w:val="20"/>
                <w:szCs w:val="20"/>
              </w:rPr>
              <w:t>Fibrosis of Lung and Other Chronic Lung Disorders</w:t>
            </w:r>
          </w:p>
        </w:tc>
        <w:tc>
          <w:tcPr>
            <w:tcW w:w="2100" w:type="dxa"/>
            <w:noWrap/>
            <w:hideMark/>
          </w:tcPr>
          <w:p w14:paraId="0B08F6AC" w14:textId="77777777" w:rsidR="009A7430" w:rsidRPr="001569FB" w:rsidRDefault="009A7430" w:rsidP="008D4E91">
            <w:pPr>
              <w:jc w:val="center"/>
              <w:rPr>
                <w:sz w:val="20"/>
                <w:szCs w:val="20"/>
              </w:rPr>
            </w:pPr>
            <w:r w:rsidRPr="001569FB">
              <w:rPr>
                <w:sz w:val="20"/>
                <w:szCs w:val="20"/>
              </w:rPr>
              <w:t>0.299</w:t>
            </w:r>
          </w:p>
        </w:tc>
      </w:tr>
      <w:tr w:rsidR="009A7430" w:rsidRPr="001569FB" w14:paraId="2878804B" w14:textId="77777777" w:rsidTr="008D4E91">
        <w:trPr>
          <w:trHeight w:val="315"/>
        </w:trPr>
        <w:tc>
          <w:tcPr>
            <w:tcW w:w="3694" w:type="dxa"/>
            <w:hideMark/>
          </w:tcPr>
          <w:p w14:paraId="7DB7E1D5" w14:textId="77777777" w:rsidR="009A7430" w:rsidRPr="001569FB" w:rsidRDefault="009A7430" w:rsidP="008D4E91">
            <w:pPr>
              <w:rPr>
                <w:sz w:val="20"/>
                <w:szCs w:val="20"/>
              </w:rPr>
            </w:pPr>
            <w:r w:rsidRPr="001569FB">
              <w:rPr>
                <w:sz w:val="20"/>
                <w:szCs w:val="20"/>
              </w:rPr>
              <w:t>HCC114</w:t>
            </w:r>
          </w:p>
        </w:tc>
        <w:tc>
          <w:tcPr>
            <w:tcW w:w="3556" w:type="dxa"/>
            <w:hideMark/>
          </w:tcPr>
          <w:p w14:paraId="125F9F4B" w14:textId="77777777" w:rsidR="009A7430" w:rsidRPr="001569FB" w:rsidRDefault="009A7430" w:rsidP="008D4E91">
            <w:pPr>
              <w:rPr>
                <w:sz w:val="20"/>
                <w:szCs w:val="20"/>
              </w:rPr>
            </w:pPr>
            <w:r w:rsidRPr="001569FB">
              <w:rPr>
                <w:sz w:val="20"/>
                <w:szCs w:val="20"/>
              </w:rPr>
              <w:t>Aspiration and Specified Bacterial Pneumonias</w:t>
            </w:r>
          </w:p>
        </w:tc>
        <w:tc>
          <w:tcPr>
            <w:tcW w:w="2100" w:type="dxa"/>
            <w:noWrap/>
            <w:hideMark/>
          </w:tcPr>
          <w:p w14:paraId="796EBDE9" w14:textId="77777777" w:rsidR="009A7430" w:rsidRPr="001569FB" w:rsidRDefault="009A7430" w:rsidP="008D4E91">
            <w:pPr>
              <w:jc w:val="center"/>
              <w:rPr>
                <w:sz w:val="20"/>
                <w:szCs w:val="20"/>
              </w:rPr>
            </w:pPr>
            <w:r w:rsidRPr="001569FB">
              <w:rPr>
                <w:sz w:val="20"/>
                <w:szCs w:val="20"/>
              </w:rPr>
              <w:t>0.143</w:t>
            </w:r>
          </w:p>
        </w:tc>
      </w:tr>
      <w:tr w:rsidR="009A7430" w:rsidRPr="001569FB" w14:paraId="327E5EF5" w14:textId="77777777" w:rsidTr="008D4E91">
        <w:trPr>
          <w:trHeight w:val="315"/>
        </w:trPr>
        <w:tc>
          <w:tcPr>
            <w:tcW w:w="3694" w:type="dxa"/>
            <w:hideMark/>
          </w:tcPr>
          <w:p w14:paraId="31DE7F69" w14:textId="77777777" w:rsidR="009A7430" w:rsidRPr="001569FB" w:rsidRDefault="009A7430" w:rsidP="008D4E91">
            <w:pPr>
              <w:rPr>
                <w:sz w:val="20"/>
                <w:szCs w:val="20"/>
              </w:rPr>
            </w:pPr>
            <w:r w:rsidRPr="001569FB">
              <w:rPr>
                <w:sz w:val="20"/>
                <w:szCs w:val="20"/>
              </w:rPr>
              <w:t>HCC115</w:t>
            </w:r>
          </w:p>
        </w:tc>
        <w:tc>
          <w:tcPr>
            <w:tcW w:w="3556" w:type="dxa"/>
            <w:hideMark/>
          </w:tcPr>
          <w:p w14:paraId="3FCAA188" w14:textId="77777777" w:rsidR="009A7430" w:rsidRPr="001569FB" w:rsidRDefault="009A7430" w:rsidP="008D4E91">
            <w:pPr>
              <w:rPr>
                <w:sz w:val="20"/>
                <w:szCs w:val="20"/>
              </w:rPr>
            </w:pPr>
            <w:r w:rsidRPr="001569FB">
              <w:rPr>
                <w:sz w:val="20"/>
                <w:szCs w:val="20"/>
              </w:rPr>
              <w:t>Pneumococcal Pneumonia, Empyema, Lung Abscess</w:t>
            </w:r>
          </w:p>
        </w:tc>
        <w:tc>
          <w:tcPr>
            <w:tcW w:w="2100" w:type="dxa"/>
            <w:noWrap/>
            <w:hideMark/>
          </w:tcPr>
          <w:p w14:paraId="5BA3B5B2" w14:textId="77777777" w:rsidR="009A7430" w:rsidRPr="001569FB" w:rsidRDefault="009A7430" w:rsidP="008D4E91">
            <w:pPr>
              <w:jc w:val="center"/>
              <w:rPr>
                <w:sz w:val="20"/>
                <w:szCs w:val="20"/>
              </w:rPr>
            </w:pPr>
            <w:r w:rsidRPr="001569FB">
              <w:rPr>
                <w:sz w:val="20"/>
                <w:szCs w:val="20"/>
              </w:rPr>
              <w:t>0.143</w:t>
            </w:r>
          </w:p>
        </w:tc>
      </w:tr>
      <w:tr w:rsidR="009A7430" w:rsidRPr="001569FB" w14:paraId="0B78E883" w14:textId="77777777" w:rsidTr="008D4E91">
        <w:trPr>
          <w:trHeight w:val="315"/>
        </w:trPr>
        <w:tc>
          <w:tcPr>
            <w:tcW w:w="3694" w:type="dxa"/>
            <w:hideMark/>
          </w:tcPr>
          <w:p w14:paraId="350DA90F" w14:textId="77777777" w:rsidR="009A7430" w:rsidRPr="001569FB" w:rsidRDefault="009A7430" w:rsidP="008D4E91">
            <w:pPr>
              <w:rPr>
                <w:sz w:val="20"/>
                <w:szCs w:val="20"/>
              </w:rPr>
            </w:pPr>
            <w:r w:rsidRPr="001569FB">
              <w:rPr>
                <w:sz w:val="20"/>
                <w:szCs w:val="20"/>
              </w:rPr>
              <w:t>HCC122</w:t>
            </w:r>
          </w:p>
        </w:tc>
        <w:tc>
          <w:tcPr>
            <w:tcW w:w="3556" w:type="dxa"/>
            <w:hideMark/>
          </w:tcPr>
          <w:p w14:paraId="681B65EF" w14:textId="77777777" w:rsidR="009A7430" w:rsidRPr="001569FB" w:rsidRDefault="009A7430" w:rsidP="008D4E91">
            <w:pPr>
              <w:rPr>
                <w:sz w:val="20"/>
                <w:szCs w:val="20"/>
              </w:rPr>
            </w:pPr>
            <w:r w:rsidRPr="001569FB">
              <w:rPr>
                <w:sz w:val="20"/>
                <w:szCs w:val="20"/>
              </w:rPr>
              <w:t>Proliferative Diabetic Retinopathy and Vitreous Hemorrhage</w:t>
            </w:r>
          </w:p>
        </w:tc>
        <w:tc>
          <w:tcPr>
            <w:tcW w:w="2100" w:type="dxa"/>
            <w:noWrap/>
            <w:hideMark/>
          </w:tcPr>
          <w:p w14:paraId="7E227895" w14:textId="77777777" w:rsidR="009A7430" w:rsidRPr="001569FB" w:rsidRDefault="009A7430" w:rsidP="008D4E91">
            <w:pPr>
              <w:jc w:val="center"/>
              <w:rPr>
                <w:sz w:val="20"/>
                <w:szCs w:val="20"/>
              </w:rPr>
            </w:pPr>
            <w:r w:rsidRPr="001569FB">
              <w:rPr>
                <w:sz w:val="20"/>
                <w:szCs w:val="20"/>
              </w:rPr>
              <w:t>0.388</w:t>
            </w:r>
          </w:p>
        </w:tc>
      </w:tr>
      <w:tr w:rsidR="009A7430" w:rsidRPr="001569FB" w14:paraId="00388B47" w14:textId="77777777" w:rsidTr="008D4E91">
        <w:trPr>
          <w:trHeight w:val="315"/>
        </w:trPr>
        <w:tc>
          <w:tcPr>
            <w:tcW w:w="3694" w:type="dxa"/>
            <w:hideMark/>
          </w:tcPr>
          <w:p w14:paraId="387CB126" w14:textId="77777777" w:rsidR="009A7430" w:rsidRPr="001569FB" w:rsidRDefault="009A7430" w:rsidP="008D4E91">
            <w:pPr>
              <w:rPr>
                <w:sz w:val="20"/>
                <w:szCs w:val="20"/>
              </w:rPr>
            </w:pPr>
            <w:r w:rsidRPr="001569FB">
              <w:rPr>
                <w:sz w:val="20"/>
                <w:szCs w:val="20"/>
              </w:rPr>
              <w:t>HCC124</w:t>
            </w:r>
          </w:p>
        </w:tc>
        <w:tc>
          <w:tcPr>
            <w:tcW w:w="3556" w:type="dxa"/>
            <w:hideMark/>
          </w:tcPr>
          <w:p w14:paraId="22A4C431" w14:textId="77777777" w:rsidR="009A7430" w:rsidRPr="001569FB" w:rsidRDefault="009A7430" w:rsidP="008D4E91">
            <w:pPr>
              <w:rPr>
                <w:sz w:val="20"/>
                <w:szCs w:val="20"/>
              </w:rPr>
            </w:pPr>
            <w:r w:rsidRPr="001569FB">
              <w:rPr>
                <w:sz w:val="20"/>
                <w:szCs w:val="20"/>
              </w:rPr>
              <w:t>Exudative Macular Degeneration</w:t>
            </w:r>
          </w:p>
        </w:tc>
        <w:tc>
          <w:tcPr>
            <w:tcW w:w="2100" w:type="dxa"/>
            <w:noWrap/>
            <w:hideMark/>
          </w:tcPr>
          <w:p w14:paraId="260746EC" w14:textId="77777777" w:rsidR="009A7430" w:rsidRPr="001569FB" w:rsidRDefault="009A7430" w:rsidP="008D4E91">
            <w:pPr>
              <w:jc w:val="center"/>
              <w:rPr>
                <w:sz w:val="20"/>
                <w:szCs w:val="20"/>
              </w:rPr>
            </w:pPr>
            <w:r w:rsidRPr="001569FB">
              <w:rPr>
                <w:sz w:val="20"/>
                <w:szCs w:val="20"/>
              </w:rPr>
              <w:t>0.209</w:t>
            </w:r>
          </w:p>
        </w:tc>
      </w:tr>
      <w:tr w:rsidR="009A7430" w:rsidRPr="001569FB" w14:paraId="48B18565" w14:textId="77777777" w:rsidTr="008D4E91">
        <w:trPr>
          <w:trHeight w:val="375"/>
        </w:trPr>
        <w:tc>
          <w:tcPr>
            <w:tcW w:w="3694" w:type="dxa"/>
            <w:hideMark/>
          </w:tcPr>
          <w:p w14:paraId="1443D778" w14:textId="77777777" w:rsidR="009A7430" w:rsidRPr="001569FB" w:rsidRDefault="009A7430" w:rsidP="008D4E91">
            <w:pPr>
              <w:rPr>
                <w:sz w:val="20"/>
                <w:szCs w:val="20"/>
              </w:rPr>
            </w:pPr>
            <w:r w:rsidRPr="001569FB">
              <w:rPr>
                <w:sz w:val="20"/>
                <w:szCs w:val="20"/>
              </w:rPr>
              <w:t xml:space="preserve">HCC134 </w:t>
            </w:r>
          </w:p>
        </w:tc>
        <w:tc>
          <w:tcPr>
            <w:tcW w:w="3556" w:type="dxa"/>
            <w:hideMark/>
          </w:tcPr>
          <w:p w14:paraId="09ADE4AD" w14:textId="77777777" w:rsidR="009A7430" w:rsidRPr="001569FB" w:rsidRDefault="009A7430" w:rsidP="008D4E91">
            <w:pPr>
              <w:rPr>
                <w:sz w:val="20"/>
                <w:szCs w:val="20"/>
              </w:rPr>
            </w:pPr>
            <w:r w:rsidRPr="001569FB">
              <w:rPr>
                <w:sz w:val="20"/>
                <w:szCs w:val="20"/>
              </w:rPr>
              <w:t>Dialysis Status</w:t>
            </w:r>
          </w:p>
        </w:tc>
        <w:tc>
          <w:tcPr>
            <w:tcW w:w="2100" w:type="dxa"/>
            <w:noWrap/>
            <w:hideMark/>
          </w:tcPr>
          <w:p w14:paraId="6F2A66AA" w14:textId="77777777" w:rsidR="009A7430" w:rsidRPr="001569FB" w:rsidRDefault="009A7430" w:rsidP="008D4E91">
            <w:pPr>
              <w:jc w:val="center"/>
              <w:rPr>
                <w:sz w:val="20"/>
                <w:szCs w:val="20"/>
              </w:rPr>
            </w:pPr>
            <w:r w:rsidRPr="001569FB">
              <w:rPr>
                <w:sz w:val="20"/>
                <w:szCs w:val="20"/>
              </w:rPr>
              <w:t>–</w:t>
            </w:r>
          </w:p>
        </w:tc>
      </w:tr>
      <w:tr w:rsidR="009A7430" w:rsidRPr="001569FB" w14:paraId="6E868C45" w14:textId="77777777" w:rsidTr="008D4E91">
        <w:trPr>
          <w:trHeight w:val="315"/>
        </w:trPr>
        <w:tc>
          <w:tcPr>
            <w:tcW w:w="3694" w:type="dxa"/>
            <w:hideMark/>
          </w:tcPr>
          <w:p w14:paraId="5D57467C" w14:textId="77777777" w:rsidR="009A7430" w:rsidRPr="001569FB" w:rsidRDefault="009A7430" w:rsidP="008D4E91">
            <w:pPr>
              <w:rPr>
                <w:sz w:val="20"/>
                <w:szCs w:val="20"/>
              </w:rPr>
            </w:pPr>
            <w:r w:rsidRPr="001569FB">
              <w:rPr>
                <w:sz w:val="20"/>
                <w:szCs w:val="20"/>
              </w:rPr>
              <w:t>HCC135</w:t>
            </w:r>
          </w:p>
        </w:tc>
        <w:tc>
          <w:tcPr>
            <w:tcW w:w="3556" w:type="dxa"/>
            <w:hideMark/>
          </w:tcPr>
          <w:p w14:paraId="7837F83B" w14:textId="77777777" w:rsidR="009A7430" w:rsidRPr="001569FB" w:rsidRDefault="009A7430" w:rsidP="008D4E91">
            <w:pPr>
              <w:rPr>
                <w:sz w:val="20"/>
                <w:szCs w:val="20"/>
              </w:rPr>
            </w:pPr>
            <w:r w:rsidRPr="001569FB">
              <w:rPr>
                <w:sz w:val="20"/>
                <w:szCs w:val="20"/>
              </w:rPr>
              <w:t>Acute Renal Failure</w:t>
            </w:r>
          </w:p>
        </w:tc>
        <w:tc>
          <w:tcPr>
            <w:tcW w:w="2100" w:type="dxa"/>
            <w:noWrap/>
            <w:hideMark/>
          </w:tcPr>
          <w:p w14:paraId="163AF2F0" w14:textId="77777777" w:rsidR="009A7430" w:rsidRPr="001569FB" w:rsidRDefault="009A7430" w:rsidP="008D4E91">
            <w:pPr>
              <w:jc w:val="center"/>
              <w:rPr>
                <w:sz w:val="20"/>
                <w:szCs w:val="20"/>
              </w:rPr>
            </w:pPr>
            <w:r w:rsidRPr="001569FB">
              <w:rPr>
                <w:sz w:val="20"/>
                <w:szCs w:val="20"/>
              </w:rPr>
              <w:t>–</w:t>
            </w:r>
          </w:p>
        </w:tc>
      </w:tr>
      <w:tr w:rsidR="009A7430" w:rsidRPr="001569FB" w14:paraId="5272AE17" w14:textId="77777777" w:rsidTr="008D4E91">
        <w:trPr>
          <w:trHeight w:val="315"/>
        </w:trPr>
        <w:tc>
          <w:tcPr>
            <w:tcW w:w="3694" w:type="dxa"/>
            <w:hideMark/>
          </w:tcPr>
          <w:p w14:paraId="3AC01DEA" w14:textId="77777777" w:rsidR="009A7430" w:rsidRPr="001569FB" w:rsidRDefault="009A7430" w:rsidP="008D4E91">
            <w:pPr>
              <w:rPr>
                <w:sz w:val="20"/>
                <w:szCs w:val="20"/>
              </w:rPr>
            </w:pPr>
            <w:r w:rsidRPr="001569FB">
              <w:rPr>
                <w:sz w:val="20"/>
                <w:szCs w:val="20"/>
              </w:rPr>
              <w:lastRenderedPageBreak/>
              <w:t>HCC136</w:t>
            </w:r>
          </w:p>
        </w:tc>
        <w:tc>
          <w:tcPr>
            <w:tcW w:w="3556" w:type="dxa"/>
            <w:hideMark/>
          </w:tcPr>
          <w:p w14:paraId="774874BE" w14:textId="77777777" w:rsidR="009A7430" w:rsidRPr="001569FB" w:rsidRDefault="009A7430" w:rsidP="008D4E91">
            <w:pPr>
              <w:rPr>
                <w:sz w:val="20"/>
                <w:szCs w:val="20"/>
              </w:rPr>
            </w:pPr>
            <w:r w:rsidRPr="001569FB">
              <w:rPr>
                <w:sz w:val="20"/>
                <w:szCs w:val="20"/>
              </w:rPr>
              <w:t>Chronic Kidney Disease, Stage 5</w:t>
            </w:r>
          </w:p>
        </w:tc>
        <w:tc>
          <w:tcPr>
            <w:tcW w:w="2100" w:type="dxa"/>
            <w:noWrap/>
            <w:hideMark/>
          </w:tcPr>
          <w:p w14:paraId="31B39BF4" w14:textId="77777777" w:rsidR="009A7430" w:rsidRPr="001569FB" w:rsidRDefault="009A7430" w:rsidP="008D4E91">
            <w:pPr>
              <w:jc w:val="center"/>
              <w:rPr>
                <w:sz w:val="20"/>
                <w:szCs w:val="20"/>
              </w:rPr>
            </w:pPr>
            <w:r w:rsidRPr="001569FB">
              <w:rPr>
                <w:sz w:val="20"/>
                <w:szCs w:val="20"/>
              </w:rPr>
              <w:t>–</w:t>
            </w:r>
          </w:p>
        </w:tc>
      </w:tr>
      <w:tr w:rsidR="009A7430" w:rsidRPr="001569FB" w14:paraId="1DFE5908" w14:textId="77777777" w:rsidTr="008D4E91">
        <w:trPr>
          <w:trHeight w:val="315"/>
        </w:trPr>
        <w:tc>
          <w:tcPr>
            <w:tcW w:w="3694" w:type="dxa"/>
            <w:hideMark/>
          </w:tcPr>
          <w:p w14:paraId="148D8904" w14:textId="77777777" w:rsidR="009A7430" w:rsidRPr="001569FB" w:rsidRDefault="009A7430" w:rsidP="008D4E91">
            <w:pPr>
              <w:rPr>
                <w:sz w:val="20"/>
                <w:szCs w:val="20"/>
              </w:rPr>
            </w:pPr>
            <w:r w:rsidRPr="001569FB">
              <w:rPr>
                <w:sz w:val="20"/>
                <w:szCs w:val="20"/>
              </w:rPr>
              <w:t>HCC137</w:t>
            </w:r>
          </w:p>
        </w:tc>
        <w:tc>
          <w:tcPr>
            <w:tcW w:w="3556" w:type="dxa"/>
            <w:hideMark/>
          </w:tcPr>
          <w:p w14:paraId="14CE1E12" w14:textId="77777777" w:rsidR="009A7430" w:rsidRPr="001569FB" w:rsidRDefault="009A7430" w:rsidP="008D4E91">
            <w:pPr>
              <w:rPr>
                <w:sz w:val="20"/>
                <w:szCs w:val="20"/>
              </w:rPr>
            </w:pPr>
            <w:r w:rsidRPr="001569FB">
              <w:rPr>
                <w:sz w:val="20"/>
                <w:szCs w:val="20"/>
              </w:rPr>
              <w:t>Chronic Kidney Disease, Severe (Stage 4)</w:t>
            </w:r>
          </w:p>
        </w:tc>
        <w:tc>
          <w:tcPr>
            <w:tcW w:w="2100" w:type="dxa"/>
            <w:noWrap/>
            <w:hideMark/>
          </w:tcPr>
          <w:p w14:paraId="4264542F" w14:textId="77777777" w:rsidR="009A7430" w:rsidRPr="001569FB" w:rsidRDefault="009A7430" w:rsidP="008D4E91">
            <w:pPr>
              <w:jc w:val="center"/>
              <w:rPr>
                <w:sz w:val="20"/>
                <w:szCs w:val="20"/>
              </w:rPr>
            </w:pPr>
            <w:r w:rsidRPr="001569FB">
              <w:rPr>
                <w:sz w:val="20"/>
                <w:szCs w:val="20"/>
              </w:rPr>
              <w:t>–</w:t>
            </w:r>
          </w:p>
        </w:tc>
      </w:tr>
      <w:tr w:rsidR="009A7430" w:rsidRPr="001569FB" w14:paraId="7E4BC182" w14:textId="77777777" w:rsidTr="008D4E91">
        <w:trPr>
          <w:trHeight w:val="315"/>
        </w:trPr>
        <w:tc>
          <w:tcPr>
            <w:tcW w:w="3694" w:type="dxa"/>
            <w:hideMark/>
          </w:tcPr>
          <w:p w14:paraId="41AA4619" w14:textId="77777777" w:rsidR="009A7430" w:rsidRPr="001569FB" w:rsidRDefault="009A7430" w:rsidP="008D4E91">
            <w:pPr>
              <w:rPr>
                <w:sz w:val="20"/>
                <w:szCs w:val="20"/>
              </w:rPr>
            </w:pPr>
            <w:r w:rsidRPr="001569FB">
              <w:rPr>
                <w:sz w:val="20"/>
                <w:szCs w:val="20"/>
              </w:rPr>
              <w:t>HCC138</w:t>
            </w:r>
          </w:p>
        </w:tc>
        <w:tc>
          <w:tcPr>
            <w:tcW w:w="3556" w:type="dxa"/>
            <w:hideMark/>
          </w:tcPr>
          <w:p w14:paraId="3C4FFDC8" w14:textId="77777777" w:rsidR="009A7430" w:rsidRPr="001569FB" w:rsidRDefault="009A7430" w:rsidP="008D4E91">
            <w:pPr>
              <w:rPr>
                <w:sz w:val="20"/>
                <w:szCs w:val="20"/>
              </w:rPr>
            </w:pPr>
            <w:r w:rsidRPr="001569FB">
              <w:rPr>
                <w:sz w:val="20"/>
                <w:szCs w:val="20"/>
              </w:rPr>
              <w:t>Chronic Kidney Disease, Moderate (Stage 3)</w:t>
            </w:r>
          </w:p>
        </w:tc>
        <w:tc>
          <w:tcPr>
            <w:tcW w:w="2100" w:type="dxa"/>
            <w:noWrap/>
            <w:hideMark/>
          </w:tcPr>
          <w:p w14:paraId="63C7AD2F" w14:textId="77777777" w:rsidR="009A7430" w:rsidRPr="001569FB" w:rsidRDefault="009A7430" w:rsidP="008D4E91">
            <w:pPr>
              <w:jc w:val="center"/>
              <w:rPr>
                <w:sz w:val="20"/>
                <w:szCs w:val="20"/>
              </w:rPr>
            </w:pPr>
            <w:r w:rsidRPr="001569FB">
              <w:rPr>
                <w:sz w:val="20"/>
                <w:szCs w:val="20"/>
              </w:rPr>
              <w:t>–</w:t>
            </w:r>
          </w:p>
        </w:tc>
      </w:tr>
      <w:tr w:rsidR="009A7430" w:rsidRPr="001569FB" w14:paraId="7288B63A" w14:textId="77777777" w:rsidTr="008D4E91">
        <w:trPr>
          <w:trHeight w:val="630"/>
        </w:trPr>
        <w:tc>
          <w:tcPr>
            <w:tcW w:w="3694" w:type="dxa"/>
            <w:hideMark/>
          </w:tcPr>
          <w:p w14:paraId="3B4B8579" w14:textId="77777777" w:rsidR="009A7430" w:rsidRPr="001569FB" w:rsidRDefault="009A7430" w:rsidP="008D4E91">
            <w:pPr>
              <w:rPr>
                <w:sz w:val="20"/>
                <w:szCs w:val="20"/>
              </w:rPr>
            </w:pPr>
            <w:r w:rsidRPr="001569FB">
              <w:rPr>
                <w:sz w:val="20"/>
                <w:szCs w:val="20"/>
              </w:rPr>
              <w:t>HCC139</w:t>
            </w:r>
          </w:p>
        </w:tc>
        <w:tc>
          <w:tcPr>
            <w:tcW w:w="3556" w:type="dxa"/>
            <w:hideMark/>
          </w:tcPr>
          <w:p w14:paraId="5B4C4680" w14:textId="77777777" w:rsidR="009A7430" w:rsidRPr="001569FB" w:rsidRDefault="009A7430" w:rsidP="008D4E91">
            <w:pPr>
              <w:rPr>
                <w:sz w:val="20"/>
                <w:szCs w:val="20"/>
              </w:rPr>
            </w:pPr>
            <w:r w:rsidRPr="001569FB">
              <w:rPr>
                <w:sz w:val="20"/>
                <w:szCs w:val="20"/>
              </w:rPr>
              <w:t>Chronic Kidney Disease, Mild or Unspecified (Stages 1-2 or Unspecified)</w:t>
            </w:r>
          </w:p>
        </w:tc>
        <w:tc>
          <w:tcPr>
            <w:tcW w:w="2100" w:type="dxa"/>
            <w:noWrap/>
            <w:hideMark/>
          </w:tcPr>
          <w:p w14:paraId="18398AA6" w14:textId="77777777" w:rsidR="009A7430" w:rsidRPr="001569FB" w:rsidRDefault="009A7430" w:rsidP="008D4E91">
            <w:pPr>
              <w:jc w:val="center"/>
              <w:rPr>
                <w:sz w:val="20"/>
                <w:szCs w:val="20"/>
              </w:rPr>
            </w:pPr>
            <w:r w:rsidRPr="001569FB">
              <w:rPr>
                <w:sz w:val="20"/>
                <w:szCs w:val="20"/>
              </w:rPr>
              <w:t>–</w:t>
            </w:r>
          </w:p>
        </w:tc>
      </w:tr>
      <w:tr w:rsidR="009A7430" w:rsidRPr="001569FB" w14:paraId="27D95233" w14:textId="77777777" w:rsidTr="008D4E91">
        <w:trPr>
          <w:trHeight w:val="315"/>
        </w:trPr>
        <w:tc>
          <w:tcPr>
            <w:tcW w:w="3694" w:type="dxa"/>
            <w:hideMark/>
          </w:tcPr>
          <w:p w14:paraId="01C3CA8E" w14:textId="77777777" w:rsidR="009A7430" w:rsidRPr="001569FB" w:rsidRDefault="009A7430" w:rsidP="008D4E91">
            <w:pPr>
              <w:rPr>
                <w:sz w:val="20"/>
                <w:szCs w:val="20"/>
              </w:rPr>
            </w:pPr>
            <w:r w:rsidRPr="001569FB">
              <w:rPr>
                <w:sz w:val="20"/>
                <w:szCs w:val="20"/>
              </w:rPr>
              <w:t>HCC140</w:t>
            </w:r>
          </w:p>
        </w:tc>
        <w:tc>
          <w:tcPr>
            <w:tcW w:w="3556" w:type="dxa"/>
            <w:hideMark/>
          </w:tcPr>
          <w:p w14:paraId="4F3E6A40" w14:textId="77777777" w:rsidR="009A7430" w:rsidRPr="001569FB" w:rsidRDefault="009A7430" w:rsidP="008D4E91">
            <w:pPr>
              <w:rPr>
                <w:sz w:val="20"/>
                <w:szCs w:val="20"/>
              </w:rPr>
            </w:pPr>
            <w:r w:rsidRPr="001569FB">
              <w:rPr>
                <w:sz w:val="20"/>
                <w:szCs w:val="20"/>
              </w:rPr>
              <w:t>Unspecified Renal Failure</w:t>
            </w:r>
          </w:p>
        </w:tc>
        <w:tc>
          <w:tcPr>
            <w:tcW w:w="2100" w:type="dxa"/>
            <w:noWrap/>
            <w:hideMark/>
          </w:tcPr>
          <w:p w14:paraId="287EE9BA" w14:textId="77777777" w:rsidR="009A7430" w:rsidRPr="001569FB" w:rsidRDefault="009A7430" w:rsidP="008D4E91">
            <w:pPr>
              <w:jc w:val="center"/>
              <w:rPr>
                <w:sz w:val="20"/>
                <w:szCs w:val="20"/>
              </w:rPr>
            </w:pPr>
            <w:r w:rsidRPr="001569FB">
              <w:rPr>
                <w:sz w:val="20"/>
                <w:szCs w:val="20"/>
              </w:rPr>
              <w:t>–</w:t>
            </w:r>
          </w:p>
        </w:tc>
      </w:tr>
      <w:tr w:rsidR="009A7430" w:rsidRPr="001569FB" w14:paraId="3EFD8046" w14:textId="77777777" w:rsidTr="008D4E91">
        <w:trPr>
          <w:trHeight w:val="315"/>
        </w:trPr>
        <w:tc>
          <w:tcPr>
            <w:tcW w:w="3694" w:type="dxa"/>
            <w:hideMark/>
          </w:tcPr>
          <w:p w14:paraId="573328E5" w14:textId="77777777" w:rsidR="009A7430" w:rsidRPr="001569FB" w:rsidRDefault="009A7430" w:rsidP="008D4E91">
            <w:pPr>
              <w:rPr>
                <w:sz w:val="20"/>
                <w:szCs w:val="20"/>
              </w:rPr>
            </w:pPr>
            <w:r w:rsidRPr="001569FB">
              <w:rPr>
                <w:sz w:val="20"/>
                <w:szCs w:val="20"/>
              </w:rPr>
              <w:t>HCC141</w:t>
            </w:r>
          </w:p>
        </w:tc>
        <w:tc>
          <w:tcPr>
            <w:tcW w:w="3556" w:type="dxa"/>
            <w:hideMark/>
          </w:tcPr>
          <w:p w14:paraId="60B4C623" w14:textId="77777777" w:rsidR="009A7430" w:rsidRPr="001569FB" w:rsidRDefault="009A7430" w:rsidP="008D4E91">
            <w:pPr>
              <w:rPr>
                <w:sz w:val="20"/>
                <w:szCs w:val="20"/>
              </w:rPr>
            </w:pPr>
            <w:r w:rsidRPr="001569FB">
              <w:rPr>
                <w:sz w:val="20"/>
                <w:szCs w:val="20"/>
              </w:rPr>
              <w:t>Nephritis</w:t>
            </w:r>
          </w:p>
        </w:tc>
        <w:tc>
          <w:tcPr>
            <w:tcW w:w="2100" w:type="dxa"/>
            <w:noWrap/>
            <w:hideMark/>
          </w:tcPr>
          <w:p w14:paraId="12220A9A" w14:textId="77777777" w:rsidR="009A7430" w:rsidRPr="001569FB" w:rsidRDefault="009A7430" w:rsidP="008D4E91">
            <w:pPr>
              <w:jc w:val="center"/>
              <w:rPr>
                <w:sz w:val="20"/>
                <w:szCs w:val="20"/>
              </w:rPr>
            </w:pPr>
            <w:r w:rsidRPr="001569FB">
              <w:rPr>
                <w:sz w:val="20"/>
                <w:szCs w:val="20"/>
              </w:rPr>
              <w:t>–</w:t>
            </w:r>
          </w:p>
        </w:tc>
      </w:tr>
      <w:tr w:rsidR="009A7430" w:rsidRPr="001569FB" w14:paraId="6BC26B69" w14:textId="77777777" w:rsidTr="008D4E91">
        <w:trPr>
          <w:trHeight w:val="630"/>
        </w:trPr>
        <w:tc>
          <w:tcPr>
            <w:tcW w:w="3694" w:type="dxa"/>
            <w:hideMark/>
          </w:tcPr>
          <w:p w14:paraId="1E2EDE77" w14:textId="77777777" w:rsidR="009A7430" w:rsidRPr="001569FB" w:rsidRDefault="009A7430" w:rsidP="008D4E91">
            <w:pPr>
              <w:rPr>
                <w:sz w:val="20"/>
                <w:szCs w:val="20"/>
              </w:rPr>
            </w:pPr>
            <w:r w:rsidRPr="001569FB">
              <w:rPr>
                <w:sz w:val="20"/>
                <w:szCs w:val="20"/>
              </w:rPr>
              <w:t>HCC157</w:t>
            </w:r>
          </w:p>
        </w:tc>
        <w:tc>
          <w:tcPr>
            <w:tcW w:w="3556" w:type="dxa"/>
            <w:hideMark/>
          </w:tcPr>
          <w:p w14:paraId="07193754"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2100" w:type="dxa"/>
            <w:noWrap/>
            <w:hideMark/>
          </w:tcPr>
          <w:p w14:paraId="6D6C388D" w14:textId="77777777" w:rsidR="009A7430" w:rsidRPr="001569FB" w:rsidRDefault="009A7430" w:rsidP="008D4E91">
            <w:pPr>
              <w:jc w:val="center"/>
              <w:rPr>
                <w:sz w:val="20"/>
                <w:szCs w:val="20"/>
              </w:rPr>
            </w:pPr>
            <w:r w:rsidRPr="001569FB">
              <w:rPr>
                <w:sz w:val="20"/>
                <w:szCs w:val="20"/>
              </w:rPr>
              <w:t>0.968</w:t>
            </w:r>
          </w:p>
        </w:tc>
      </w:tr>
      <w:tr w:rsidR="009A7430" w:rsidRPr="001569FB" w14:paraId="0BDD6394" w14:textId="77777777" w:rsidTr="008D4E91">
        <w:trPr>
          <w:trHeight w:val="315"/>
        </w:trPr>
        <w:tc>
          <w:tcPr>
            <w:tcW w:w="3694" w:type="dxa"/>
            <w:hideMark/>
          </w:tcPr>
          <w:p w14:paraId="1C9F9475" w14:textId="77777777" w:rsidR="009A7430" w:rsidRPr="001569FB" w:rsidRDefault="009A7430" w:rsidP="008D4E91">
            <w:pPr>
              <w:rPr>
                <w:sz w:val="20"/>
                <w:szCs w:val="20"/>
              </w:rPr>
            </w:pPr>
            <w:r w:rsidRPr="001569FB">
              <w:rPr>
                <w:sz w:val="20"/>
                <w:szCs w:val="20"/>
              </w:rPr>
              <w:t>HCC158</w:t>
            </w:r>
          </w:p>
        </w:tc>
        <w:tc>
          <w:tcPr>
            <w:tcW w:w="3556" w:type="dxa"/>
            <w:hideMark/>
          </w:tcPr>
          <w:p w14:paraId="310F02FA" w14:textId="77777777" w:rsidR="009A7430" w:rsidRPr="001569FB" w:rsidRDefault="009A7430" w:rsidP="008D4E91">
            <w:pPr>
              <w:rPr>
                <w:sz w:val="20"/>
                <w:szCs w:val="20"/>
              </w:rPr>
            </w:pPr>
            <w:r w:rsidRPr="001569FB">
              <w:rPr>
                <w:sz w:val="20"/>
                <w:szCs w:val="20"/>
              </w:rPr>
              <w:t>Pressure Ulcer of Skin with Full Thickness Skin Loss</w:t>
            </w:r>
          </w:p>
        </w:tc>
        <w:tc>
          <w:tcPr>
            <w:tcW w:w="2100" w:type="dxa"/>
            <w:noWrap/>
            <w:hideMark/>
          </w:tcPr>
          <w:p w14:paraId="27F20CAF" w14:textId="77777777" w:rsidR="009A7430" w:rsidRPr="001569FB" w:rsidRDefault="009A7430" w:rsidP="008D4E91">
            <w:pPr>
              <w:jc w:val="center"/>
              <w:rPr>
                <w:sz w:val="20"/>
                <w:szCs w:val="20"/>
              </w:rPr>
            </w:pPr>
            <w:r w:rsidRPr="001569FB">
              <w:rPr>
                <w:sz w:val="20"/>
                <w:szCs w:val="20"/>
              </w:rPr>
              <w:t>0.378</w:t>
            </w:r>
          </w:p>
        </w:tc>
      </w:tr>
      <w:tr w:rsidR="009A7430" w:rsidRPr="001569FB" w14:paraId="62EAFDEF" w14:textId="77777777" w:rsidTr="008D4E91">
        <w:trPr>
          <w:trHeight w:val="315"/>
        </w:trPr>
        <w:tc>
          <w:tcPr>
            <w:tcW w:w="3694" w:type="dxa"/>
            <w:hideMark/>
          </w:tcPr>
          <w:p w14:paraId="4741DB9D" w14:textId="77777777" w:rsidR="009A7430" w:rsidRPr="001569FB" w:rsidRDefault="009A7430" w:rsidP="008D4E91">
            <w:pPr>
              <w:rPr>
                <w:sz w:val="20"/>
                <w:szCs w:val="20"/>
              </w:rPr>
            </w:pPr>
            <w:r w:rsidRPr="001569FB">
              <w:rPr>
                <w:sz w:val="20"/>
                <w:szCs w:val="20"/>
              </w:rPr>
              <w:t>HCC159</w:t>
            </w:r>
          </w:p>
        </w:tc>
        <w:tc>
          <w:tcPr>
            <w:tcW w:w="3556" w:type="dxa"/>
            <w:hideMark/>
          </w:tcPr>
          <w:p w14:paraId="4492EE60" w14:textId="77777777" w:rsidR="009A7430" w:rsidRPr="001569FB" w:rsidRDefault="009A7430" w:rsidP="008D4E91">
            <w:pPr>
              <w:rPr>
                <w:sz w:val="20"/>
                <w:szCs w:val="20"/>
              </w:rPr>
            </w:pPr>
            <w:r w:rsidRPr="001569FB">
              <w:rPr>
                <w:sz w:val="20"/>
                <w:szCs w:val="20"/>
              </w:rPr>
              <w:t>Pressure Ulcer of Skin with Partial Thickness Skin Loss</w:t>
            </w:r>
          </w:p>
        </w:tc>
        <w:tc>
          <w:tcPr>
            <w:tcW w:w="2100" w:type="dxa"/>
            <w:noWrap/>
            <w:hideMark/>
          </w:tcPr>
          <w:p w14:paraId="53CFB8A2" w14:textId="77777777" w:rsidR="009A7430" w:rsidRPr="001569FB" w:rsidRDefault="009A7430" w:rsidP="008D4E91">
            <w:pPr>
              <w:jc w:val="center"/>
              <w:rPr>
                <w:sz w:val="20"/>
                <w:szCs w:val="20"/>
              </w:rPr>
            </w:pPr>
            <w:r w:rsidRPr="001569FB">
              <w:rPr>
                <w:sz w:val="20"/>
                <w:szCs w:val="20"/>
              </w:rPr>
              <w:t>0.225</w:t>
            </w:r>
          </w:p>
        </w:tc>
      </w:tr>
      <w:tr w:rsidR="009A7430" w:rsidRPr="001569FB" w14:paraId="42D651E7" w14:textId="77777777" w:rsidTr="008D4E91">
        <w:trPr>
          <w:trHeight w:val="315"/>
        </w:trPr>
        <w:tc>
          <w:tcPr>
            <w:tcW w:w="3694" w:type="dxa"/>
            <w:hideMark/>
          </w:tcPr>
          <w:p w14:paraId="6C1CA6EB" w14:textId="77777777" w:rsidR="009A7430" w:rsidRPr="001569FB" w:rsidRDefault="009A7430" w:rsidP="008D4E91">
            <w:pPr>
              <w:rPr>
                <w:sz w:val="20"/>
                <w:szCs w:val="20"/>
              </w:rPr>
            </w:pPr>
            <w:r w:rsidRPr="001569FB">
              <w:rPr>
                <w:sz w:val="20"/>
                <w:szCs w:val="20"/>
              </w:rPr>
              <w:t>HCC160</w:t>
            </w:r>
          </w:p>
        </w:tc>
        <w:tc>
          <w:tcPr>
            <w:tcW w:w="3556" w:type="dxa"/>
            <w:hideMark/>
          </w:tcPr>
          <w:p w14:paraId="223C7132" w14:textId="77777777" w:rsidR="009A7430" w:rsidRPr="001569FB" w:rsidRDefault="009A7430" w:rsidP="008D4E91">
            <w:pPr>
              <w:rPr>
                <w:sz w:val="20"/>
                <w:szCs w:val="20"/>
              </w:rPr>
            </w:pPr>
            <w:r w:rsidRPr="001569FB">
              <w:rPr>
                <w:sz w:val="20"/>
                <w:szCs w:val="20"/>
              </w:rPr>
              <w:t>Pressure Pre-Ulcer Skin Changes or Unspecified Stage</w:t>
            </w:r>
          </w:p>
        </w:tc>
        <w:tc>
          <w:tcPr>
            <w:tcW w:w="2100" w:type="dxa"/>
            <w:noWrap/>
            <w:hideMark/>
          </w:tcPr>
          <w:p w14:paraId="03CF4D54" w14:textId="77777777" w:rsidR="009A7430" w:rsidRPr="001569FB" w:rsidRDefault="009A7430" w:rsidP="008D4E91">
            <w:pPr>
              <w:jc w:val="center"/>
              <w:rPr>
                <w:sz w:val="20"/>
                <w:szCs w:val="20"/>
              </w:rPr>
            </w:pPr>
            <w:r w:rsidRPr="001569FB">
              <w:rPr>
                <w:sz w:val="20"/>
                <w:szCs w:val="20"/>
              </w:rPr>
              <w:t>0.225</w:t>
            </w:r>
          </w:p>
        </w:tc>
      </w:tr>
      <w:tr w:rsidR="009A7430" w:rsidRPr="001569FB" w14:paraId="3BFC9C7F" w14:textId="77777777" w:rsidTr="008D4E91">
        <w:trPr>
          <w:trHeight w:val="315"/>
        </w:trPr>
        <w:tc>
          <w:tcPr>
            <w:tcW w:w="3694" w:type="dxa"/>
            <w:hideMark/>
          </w:tcPr>
          <w:p w14:paraId="3310E236" w14:textId="77777777" w:rsidR="009A7430" w:rsidRPr="001569FB" w:rsidRDefault="009A7430" w:rsidP="008D4E91">
            <w:pPr>
              <w:rPr>
                <w:sz w:val="20"/>
                <w:szCs w:val="20"/>
              </w:rPr>
            </w:pPr>
            <w:r w:rsidRPr="001569FB">
              <w:rPr>
                <w:sz w:val="20"/>
                <w:szCs w:val="20"/>
              </w:rPr>
              <w:t>HCC161</w:t>
            </w:r>
          </w:p>
        </w:tc>
        <w:tc>
          <w:tcPr>
            <w:tcW w:w="3556" w:type="dxa"/>
            <w:hideMark/>
          </w:tcPr>
          <w:p w14:paraId="29C2FC8C" w14:textId="77777777" w:rsidR="009A7430" w:rsidRPr="001569FB" w:rsidRDefault="009A7430" w:rsidP="008D4E91">
            <w:pPr>
              <w:rPr>
                <w:sz w:val="20"/>
                <w:szCs w:val="20"/>
              </w:rPr>
            </w:pPr>
            <w:r w:rsidRPr="001569FB">
              <w:rPr>
                <w:sz w:val="20"/>
                <w:szCs w:val="20"/>
              </w:rPr>
              <w:t>Chronic Ulcer of Skin, Except Pressure</w:t>
            </w:r>
          </w:p>
        </w:tc>
        <w:tc>
          <w:tcPr>
            <w:tcW w:w="2100" w:type="dxa"/>
            <w:noWrap/>
            <w:hideMark/>
          </w:tcPr>
          <w:p w14:paraId="385F52EA" w14:textId="77777777" w:rsidR="009A7430" w:rsidRPr="001569FB" w:rsidRDefault="009A7430" w:rsidP="008D4E91">
            <w:pPr>
              <w:jc w:val="center"/>
              <w:rPr>
                <w:sz w:val="20"/>
                <w:szCs w:val="20"/>
              </w:rPr>
            </w:pPr>
            <w:r w:rsidRPr="001569FB">
              <w:rPr>
                <w:sz w:val="20"/>
                <w:szCs w:val="20"/>
              </w:rPr>
              <w:t>0.225</w:t>
            </w:r>
          </w:p>
        </w:tc>
      </w:tr>
      <w:tr w:rsidR="009A7430" w:rsidRPr="001569FB" w14:paraId="3BD5D7EF" w14:textId="77777777" w:rsidTr="008D4E91">
        <w:trPr>
          <w:trHeight w:val="315"/>
        </w:trPr>
        <w:tc>
          <w:tcPr>
            <w:tcW w:w="3694" w:type="dxa"/>
            <w:hideMark/>
          </w:tcPr>
          <w:p w14:paraId="650C8488" w14:textId="77777777" w:rsidR="009A7430" w:rsidRPr="001569FB" w:rsidRDefault="009A7430" w:rsidP="008D4E91">
            <w:pPr>
              <w:rPr>
                <w:sz w:val="20"/>
                <w:szCs w:val="20"/>
              </w:rPr>
            </w:pPr>
            <w:r w:rsidRPr="001569FB">
              <w:rPr>
                <w:sz w:val="20"/>
                <w:szCs w:val="20"/>
              </w:rPr>
              <w:t>HCC162</w:t>
            </w:r>
          </w:p>
        </w:tc>
        <w:tc>
          <w:tcPr>
            <w:tcW w:w="3556" w:type="dxa"/>
            <w:hideMark/>
          </w:tcPr>
          <w:p w14:paraId="2C4551CA" w14:textId="77777777" w:rsidR="009A7430" w:rsidRPr="001569FB" w:rsidRDefault="009A7430" w:rsidP="008D4E91">
            <w:pPr>
              <w:rPr>
                <w:sz w:val="20"/>
                <w:szCs w:val="20"/>
              </w:rPr>
            </w:pPr>
            <w:r w:rsidRPr="001569FB">
              <w:rPr>
                <w:sz w:val="20"/>
                <w:szCs w:val="20"/>
              </w:rPr>
              <w:t>Severe Skin Burn or Condition</w:t>
            </w:r>
          </w:p>
        </w:tc>
        <w:tc>
          <w:tcPr>
            <w:tcW w:w="2100" w:type="dxa"/>
            <w:noWrap/>
            <w:hideMark/>
          </w:tcPr>
          <w:p w14:paraId="7A5F79F0" w14:textId="77777777" w:rsidR="009A7430" w:rsidRPr="001569FB" w:rsidRDefault="009A7430" w:rsidP="008D4E91">
            <w:pPr>
              <w:jc w:val="center"/>
              <w:rPr>
                <w:sz w:val="20"/>
                <w:szCs w:val="20"/>
              </w:rPr>
            </w:pPr>
            <w:r w:rsidRPr="001569FB">
              <w:rPr>
                <w:sz w:val="20"/>
                <w:szCs w:val="20"/>
              </w:rPr>
              <w:t>-</w:t>
            </w:r>
          </w:p>
        </w:tc>
      </w:tr>
      <w:tr w:rsidR="009A7430" w:rsidRPr="001569FB" w14:paraId="1FA97D16" w14:textId="77777777" w:rsidTr="008D4E91">
        <w:trPr>
          <w:trHeight w:val="315"/>
        </w:trPr>
        <w:tc>
          <w:tcPr>
            <w:tcW w:w="3694" w:type="dxa"/>
            <w:hideMark/>
          </w:tcPr>
          <w:p w14:paraId="15C9CD75" w14:textId="77777777" w:rsidR="009A7430" w:rsidRPr="001569FB" w:rsidRDefault="009A7430" w:rsidP="008D4E91">
            <w:pPr>
              <w:rPr>
                <w:sz w:val="20"/>
                <w:szCs w:val="20"/>
              </w:rPr>
            </w:pPr>
            <w:r w:rsidRPr="001569FB">
              <w:rPr>
                <w:sz w:val="20"/>
                <w:szCs w:val="20"/>
              </w:rPr>
              <w:t>HCC166</w:t>
            </w:r>
          </w:p>
        </w:tc>
        <w:tc>
          <w:tcPr>
            <w:tcW w:w="3556" w:type="dxa"/>
            <w:hideMark/>
          </w:tcPr>
          <w:p w14:paraId="79DBCEFA" w14:textId="77777777" w:rsidR="009A7430" w:rsidRPr="001569FB" w:rsidRDefault="009A7430" w:rsidP="008D4E91">
            <w:pPr>
              <w:rPr>
                <w:sz w:val="20"/>
                <w:szCs w:val="20"/>
              </w:rPr>
            </w:pPr>
            <w:r w:rsidRPr="001569FB">
              <w:rPr>
                <w:sz w:val="20"/>
                <w:szCs w:val="20"/>
              </w:rPr>
              <w:t>Severe Head Injury</w:t>
            </w:r>
          </w:p>
        </w:tc>
        <w:tc>
          <w:tcPr>
            <w:tcW w:w="2100" w:type="dxa"/>
            <w:noWrap/>
            <w:hideMark/>
          </w:tcPr>
          <w:p w14:paraId="00A045FC" w14:textId="77777777" w:rsidR="009A7430" w:rsidRPr="001569FB" w:rsidRDefault="009A7430" w:rsidP="008D4E91">
            <w:pPr>
              <w:jc w:val="center"/>
              <w:rPr>
                <w:sz w:val="20"/>
                <w:szCs w:val="20"/>
              </w:rPr>
            </w:pPr>
            <w:r w:rsidRPr="001569FB">
              <w:rPr>
                <w:sz w:val="20"/>
                <w:szCs w:val="20"/>
              </w:rPr>
              <w:t>-</w:t>
            </w:r>
          </w:p>
        </w:tc>
      </w:tr>
      <w:tr w:rsidR="009A7430" w:rsidRPr="001569FB" w14:paraId="1AB5DFE1" w14:textId="77777777" w:rsidTr="008D4E91">
        <w:trPr>
          <w:trHeight w:val="315"/>
        </w:trPr>
        <w:tc>
          <w:tcPr>
            <w:tcW w:w="3694" w:type="dxa"/>
            <w:hideMark/>
          </w:tcPr>
          <w:p w14:paraId="443072BC" w14:textId="77777777" w:rsidR="009A7430" w:rsidRPr="001569FB" w:rsidRDefault="009A7430" w:rsidP="008D4E91">
            <w:pPr>
              <w:rPr>
                <w:sz w:val="20"/>
                <w:szCs w:val="20"/>
              </w:rPr>
            </w:pPr>
            <w:r w:rsidRPr="001569FB">
              <w:rPr>
                <w:sz w:val="20"/>
                <w:szCs w:val="20"/>
              </w:rPr>
              <w:t>HCC167</w:t>
            </w:r>
          </w:p>
        </w:tc>
        <w:tc>
          <w:tcPr>
            <w:tcW w:w="3556" w:type="dxa"/>
            <w:hideMark/>
          </w:tcPr>
          <w:p w14:paraId="11AE6F0D" w14:textId="77777777" w:rsidR="009A7430" w:rsidRPr="001569FB" w:rsidRDefault="009A7430" w:rsidP="008D4E91">
            <w:pPr>
              <w:rPr>
                <w:sz w:val="20"/>
                <w:szCs w:val="20"/>
              </w:rPr>
            </w:pPr>
            <w:r w:rsidRPr="001569FB">
              <w:rPr>
                <w:sz w:val="20"/>
                <w:szCs w:val="20"/>
              </w:rPr>
              <w:t>Major Head Injury</w:t>
            </w:r>
          </w:p>
        </w:tc>
        <w:tc>
          <w:tcPr>
            <w:tcW w:w="2100" w:type="dxa"/>
            <w:noWrap/>
            <w:hideMark/>
          </w:tcPr>
          <w:p w14:paraId="6BE7124C" w14:textId="77777777" w:rsidR="009A7430" w:rsidRPr="001569FB" w:rsidRDefault="009A7430" w:rsidP="008D4E91">
            <w:pPr>
              <w:jc w:val="center"/>
              <w:rPr>
                <w:sz w:val="20"/>
                <w:szCs w:val="20"/>
              </w:rPr>
            </w:pPr>
            <w:r w:rsidRPr="001569FB">
              <w:rPr>
                <w:sz w:val="20"/>
                <w:szCs w:val="20"/>
              </w:rPr>
              <w:t>-</w:t>
            </w:r>
          </w:p>
        </w:tc>
      </w:tr>
      <w:tr w:rsidR="009A7430" w:rsidRPr="001569FB" w14:paraId="75F9FB27" w14:textId="77777777" w:rsidTr="008D4E91">
        <w:trPr>
          <w:trHeight w:val="315"/>
        </w:trPr>
        <w:tc>
          <w:tcPr>
            <w:tcW w:w="3694" w:type="dxa"/>
            <w:hideMark/>
          </w:tcPr>
          <w:p w14:paraId="4E5A6E5D" w14:textId="77777777" w:rsidR="009A7430" w:rsidRPr="001569FB" w:rsidRDefault="009A7430" w:rsidP="008D4E91">
            <w:pPr>
              <w:rPr>
                <w:sz w:val="20"/>
                <w:szCs w:val="20"/>
              </w:rPr>
            </w:pPr>
            <w:r w:rsidRPr="001569FB">
              <w:rPr>
                <w:sz w:val="20"/>
                <w:szCs w:val="20"/>
              </w:rPr>
              <w:t>HCC169</w:t>
            </w:r>
          </w:p>
        </w:tc>
        <w:tc>
          <w:tcPr>
            <w:tcW w:w="3556" w:type="dxa"/>
            <w:hideMark/>
          </w:tcPr>
          <w:p w14:paraId="7E48C564" w14:textId="77777777" w:rsidR="009A7430" w:rsidRPr="001569FB" w:rsidRDefault="009A7430" w:rsidP="008D4E91">
            <w:pPr>
              <w:rPr>
                <w:sz w:val="20"/>
                <w:szCs w:val="20"/>
              </w:rPr>
            </w:pPr>
            <w:r w:rsidRPr="001569FB">
              <w:rPr>
                <w:sz w:val="20"/>
                <w:szCs w:val="20"/>
              </w:rPr>
              <w:t>Vertebral Fractures without Spinal Cord Injury</w:t>
            </w:r>
          </w:p>
        </w:tc>
        <w:tc>
          <w:tcPr>
            <w:tcW w:w="2100" w:type="dxa"/>
            <w:noWrap/>
            <w:hideMark/>
          </w:tcPr>
          <w:p w14:paraId="48C984D7" w14:textId="77777777" w:rsidR="009A7430" w:rsidRPr="001569FB" w:rsidRDefault="009A7430" w:rsidP="008D4E91">
            <w:pPr>
              <w:jc w:val="center"/>
              <w:rPr>
                <w:sz w:val="20"/>
                <w:szCs w:val="20"/>
              </w:rPr>
            </w:pPr>
            <w:r w:rsidRPr="001569FB">
              <w:rPr>
                <w:sz w:val="20"/>
                <w:szCs w:val="20"/>
              </w:rPr>
              <w:t>0.237</w:t>
            </w:r>
          </w:p>
        </w:tc>
      </w:tr>
      <w:tr w:rsidR="009A7430" w:rsidRPr="001569FB" w14:paraId="132B35EB" w14:textId="77777777" w:rsidTr="008D4E91">
        <w:trPr>
          <w:trHeight w:val="315"/>
        </w:trPr>
        <w:tc>
          <w:tcPr>
            <w:tcW w:w="3694" w:type="dxa"/>
            <w:hideMark/>
          </w:tcPr>
          <w:p w14:paraId="1224F936" w14:textId="77777777" w:rsidR="009A7430" w:rsidRPr="001569FB" w:rsidRDefault="009A7430" w:rsidP="008D4E91">
            <w:pPr>
              <w:rPr>
                <w:sz w:val="20"/>
                <w:szCs w:val="20"/>
              </w:rPr>
            </w:pPr>
            <w:r w:rsidRPr="001569FB">
              <w:rPr>
                <w:sz w:val="20"/>
                <w:szCs w:val="20"/>
              </w:rPr>
              <w:t>HCC170</w:t>
            </w:r>
          </w:p>
        </w:tc>
        <w:tc>
          <w:tcPr>
            <w:tcW w:w="3556" w:type="dxa"/>
            <w:hideMark/>
          </w:tcPr>
          <w:p w14:paraId="2F7951C7" w14:textId="77777777" w:rsidR="009A7430" w:rsidRPr="001569FB" w:rsidRDefault="009A7430" w:rsidP="008D4E91">
            <w:pPr>
              <w:rPr>
                <w:sz w:val="20"/>
                <w:szCs w:val="20"/>
              </w:rPr>
            </w:pPr>
            <w:r w:rsidRPr="001569FB">
              <w:rPr>
                <w:sz w:val="20"/>
                <w:szCs w:val="20"/>
              </w:rPr>
              <w:t>Hip Fracture/Dislocation</w:t>
            </w:r>
          </w:p>
        </w:tc>
        <w:tc>
          <w:tcPr>
            <w:tcW w:w="2100" w:type="dxa"/>
            <w:noWrap/>
            <w:hideMark/>
          </w:tcPr>
          <w:p w14:paraId="5C430BDE" w14:textId="77777777" w:rsidR="009A7430" w:rsidRPr="001569FB" w:rsidRDefault="009A7430" w:rsidP="008D4E91">
            <w:pPr>
              <w:jc w:val="center"/>
              <w:rPr>
                <w:sz w:val="20"/>
                <w:szCs w:val="20"/>
              </w:rPr>
            </w:pPr>
            <w:r w:rsidRPr="001569FB">
              <w:rPr>
                <w:sz w:val="20"/>
                <w:szCs w:val="20"/>
              </w:rPr>
              <w:t>-</w:t>
            </w:r>
          </w:p>
        </w:tc>
      </w:tr>
      <w:tr w:rsidR="009A7430" w:rsidRPr="001569FB" w14:paraId="3659CEEA" w14:textId="77777777" w:rsidTr="008D4E91">
        <w:trPr>
          <w:trHeight w:val="315"/>
        </w:trPr>
        <w:tc>
          <w:tcPr>
            <w:tcW w:w="3694" w:type="dxa"/>
            <w:hideMark/>
          </w:tcPr>
          <w:p w14:paraId="7BC02BEB" w14:textId="77777777" w:rsidR="009A7430" w:rsidRPr="001569FB" w:rsidRDefault="009A7430" w:rsidP="008D4E91">
            <w:pPr>
              <w:rPr>
                <w:sz w:val="20"/>
                <w:szCs w:val="20"/>
              </w:rPr>
            </w:pPr>
            <w:r w:rsidRPr="001569FB">
              <w:rPr>
                <w:sz w:val="20"/>
                <w:szCs w:val="20"/>
              </w:rPr>
              <w:t>HCC173</w:t>
            </w:r>
          </w:p>
        </w:tc>
        <w:tc>
          <w:tcPr>
            <w:tcW w:w="3556" w:type="dxa"/>
            <w:hideMark/>
          </w:tcPr>
          <w:p w14:paraId="1661D561" w14:textId="77777777" w:rsidR="009A7430" w:rsidRPr="001569FB" w:rsidRDefault="009A7430" w:rsidP="008D4E91">
            <w:pPr>
              <w:rPr>
                <w:sz w:val="20"/>
                <w:szCs w:val="20"/>
              </w:rPr>
            </w:pPr>
            <w:r w:rsidRPr="001569FB">
              <w:rPr>
                <w:sz w:val="20"/>
                <w:szCs w:val="20"/>
              </w:rPr>
              <w:t>Traumatic Amputations and Complications</w:t>
            </w:r>
          </w:p>
        </w:tc>
        <w:tc>
          <w:tcPr>
            <w:tcW w:w="2100" w:type="dxa"/>
            <w:noWrap/>
            <w:hideMark/>
          </w:tcPr>
          <w:p w14:paraId="42439938" w14:textId="77777777" w:rsidR="009A7430" w:rsidRPr="001569FB" w:rsidRDefault="009A7430" w:rsidP="008D4E91">
            <w:pPr>
              <w:jc w:val="center"/>
              <w:rPr>
                <w:sz w:val="20"/>
                <w:szCs w:val="20"/>
              </w:rPr>
            </w:pPr>
            <w:r w:rsidRPr="001569FB">
              <w:rPr>
                <w:sz w:val="20"/>
                <w:szCs w:val="20"/>
              </w:rPr>
              <w:t>0.061</w:t>
            </w:r>
          </w:p>
        </w:tc>
      </w:tr>
      <w:tr w:rsidR="009A7430" w:rsidRPr="001569FB" w14:paraId="0F31AD0A" w14:textId="77777777" w:rsidTr="008D4E91">
        <w:trPr>
          <w:trHeight w:val="315"/>
        </w:trPr>
        <w:tc>
          <w:tcPr>
            <w:tcW w:w="3694" w:type="dxa"/>
            <w:hideMark/>
          </w:tcPr>
          <w:p w14:paraId="2E63AB1E" w14:textId="77777777" w:rsidR="009A7430" w:rsidRPr="001569FB" w:rsidRDefault="009A7430" w:rsidP="008D4E91">
            <w:pPr>
              <w:rPr>
                <w:sz w:val="20"/>
                <w:szCs w:val="20"/>
              </w:rPr>
            </w:pPr>
            <w:r w:rsidRPr="001569FB">
              <w:rPr>
                <w:sz w:val="20"/>
                <w:szCs w:val="20"/>
              </w:rPr>
              <w:t>HCC176</w:t>
            </w:r>
          </w:p>
        </w:tc>
        <w:tc>
          <w:tcPr>
            <w:tcW w:w="3556" w:type="dxa"/>
            <w:hideMark/>
          </w:tcPr>
          <w:p w14:paraId="40A87C02" w14:textId="77777777" w:rsidR="009A7430" w:rsidRPr="001569FB" w:rsidRDefault="009A7430" w:rsidP="008D4E91">
            <w:pPr>
              <w:rPr>
                <w:sz w:val="20"/>
                <w:szCs w:val="20"/>
              </w:rPr>
            </w:pPr>
            <w:r w:rsidRPr="001569FB">
              <w:rPr>
                <w:sz w:val="20"/>
                <w:szCs w:val="20"/>
              </w:rPr>
              <w:t>Complications of Specified Implanted Device or Graft</w:t>
            </w:r>
          </w:p>
        </w:tc>
        <w:tc>
          <w:tcPr>
            <w:tcW w:w="2100" w:type="dxa"/>
            <w:noWrap/>
            <w:hideMark/>
          </w:tcPr>
          <w:p w14:paraId="1AAA37F7" w14:textId="77777777" w:rsidR="009A7430" w:rsidRPr="001569FB" w:rsidRDefault="009A7430" w:rsidP="008D4E91">
            <w:pPr>
              <w:jc w:val="center"/>
              <w:rPr>
                <w:sz w:val="20"/>
                <w:szCs w:val="20"/>
              </w:rPr>
            </w:pPr>
            <w:r w:rsidRPr="001569FB">
              <w:rPr>
                <w:sz w:val="20"/>
                <w:szCs w:val="20"/>
              </w:rPr>
              <w:t>0.599</w:t>
            </w:r>
          </w:p>
        </w:tc>
      </w:tr>
      <w:tr w:rsidR="009A7430" w:rsidRPr="001569FB" w14:paraId="16601282" w14:textId="77777777" w:rsidTr="008D4E91">
        <w:trPr>
          <w:trHeight w:val="315"/>
        </w:trPr>
        <w:tc>
          <w:tcPr>
            <w:tcW w:w="3694" w:type="dxa"/>
            <w:hideMark/>
          </w:tcPr>
          <w:p w14:paraId="7FC815D8" w14:textId="77777777" w:rsidR="009A7430" w:rsidRPr="001569FB" w:rsidRDefault="009A7430" w:rsidP="008D4E91">
            <w:pPr>
              <w:rPr>
                <w:sz w:val="20"/>
                <w:szCs w:val="20"/>
              </w:rPr>
            </w:pPr>
            <w:r w:rsidRPr="001569FB">
              <w:rPr>
                <w:sz w:val="20"/>
                <w:szCs w:val="20"/>
              </w:rPr>
              <w:t>HCC186</w:t>
            </w:r>
          </w:p>
        </w:tc>
        <w:tc>
          <w:tcPr>
            <w:tcW w:w="3556" w:type="dxa"/>
            <w:hideMark/>
          </w:tcPr>
          <w:p w14:paraId="39FB0F08" w14:textId="77777777" w:rsidR="009A7430" w:rsidRPr="001569FB" w:rsidRDefault="009A7430" w:rsidP="008D4E91">
            <w:pPr>
              <w:rPr>
                <w:sz w:val="20"/>
                <w:szCs w:val="20"/>
              </w:rPr>
            </w:pPr>
            <w:r w:rsidRPr="001569FB">
              <w:rPr>
                <w:sz w:val="20"/>
                <w:szCs w:val="20"/>
              </w:rPr>
              <w:t>Major Organ Transplant or Replacement Status</w:t>
            </w:r>
          </w:p>
        </w:tc>
        <w:tc>
          <w:tcPr>
            <w:tcW w:w="2100" w:type="dxa"/>
            <w:noWrap/>
            <w:hideMark/>
          </w:tcPr>
          <w:p w14:paraId="6F7C80A4" w14:textId="77777777" w:rsidR="009A7430" w:rsidRPr="001569FB" w:rsidRDefault="009A7430" w:rsidP="008D4E91">
            <w:pPr>
              <w:jc w:val="center"/>
              <w:rPr>
                <w:sz w:val="20"/>
                <w:szCs w:val="20"/>
              </w:rPr>
            </w:pPr>
            <w:r w:rsidRPr="001569FB">
              <w:rPr>
                <w:sz w:val="20"/>
                <w:szCs w:val="20"/>
              </w:rPr>
              <w:t>0.075</w:t>
            </w:r>
          </w:p>
        </w:tc>
      </w:tr>
      <w:tr w:rsidR="009A7430" w:rsidRPr="001569FB" w14:paraId="3FA9FFDA" w14:textId="77777777" w:rsidTr="008D4E91">
        <w:trPr>
          <w:trHeight w:val="315"/>
        </w:trPr>
        <w:tc>
          <w:tcPr>
            <w:tcW w:w="3694" w:type="dxa"/>
            <w:hideMark/>
          </w:tcPr>
          <w:p w14:paraId="7EB2D3AC" w14:textId="77777777" w:rsidR="009A7430" w:rsidRPr="001569FB" w:rsidRDefault="009A7430" w:rsidP="008D4E91">
            <w:pPr>
              <w:rPr>
                <w:sz w:val="20"/>
                <w:szCs w:val="20"/>
              </w:rPr>
            </w:pPr>
            <w:r w:rsidRPr="001569FB">
              <w:rPr>
                <w:sz w:val="20"/>
                <w:szCs w:val="20"/>
              </w:rPr>
              <w:t>HCC188</w:t>
            </w:r>
          </w:p>
        </w:tc>
        <w:tc>
          <w:tcPr>
            <w:tcW w:w="3556" w:type="dxa"/>
            <w:hideMark/>
          </w:tcPr>
          <w:p w14:paraId="2D6F7482" w14:textId="77777777" w:rsidR="009A7430" w:rsidRPr="001569FB" w:rsidRDefault="009A7430" w:rsidP="008D4E91">
            <w:pPr>
              <w:rPr>
                <w:sz w:val="20"/>
                <w:szCs w:val="20"/>
              </w:rPr>
            </w:pPr>
            <w:r w:rsidRPr="001569FB">
              <w:rPr>
                <w:sz w:val="20"/>
                <w:szCs w:val="20"/>
              </w:rPr>
              <w:t>Artificial Openings for Feeding or Elimination</w:t>
            </w:r>
          </w:p>
        </w:tc>
        <w:tc>
          <w:tcPr>
            <w:tcW w:w="2100" w:type="dxa"/>
            <w:noWrap/>
            <w:hideMark/>
          </w:tcPr>
          <w:p w14:paraId="27D55EFE" w14:textId="77777777" w:rsidR="009A7430" w:rsidRPr="001569FB" w:rsidRDefault="009A7430" w:rsidP="008D4E91">
            <w:pPr>
              <w:jc w:val="center"/>
              <w:rPr>
                <w:sz w:val="20"/>
                <w:szCs w:val="20"/>
              </w:rPr>
            </w:pPr>
            <w:r w:rsidRPr="001569FB">
              <w:rPr>
                <w:sz w:val="20"/>
                <w:szCs w:val="20"/>
              </w:rPr>
              <w:t>0.482</w:t>
            </w:r>
          </w:p>
        </w:tc>
      </w:tr>
      <w:tr w:rsidR="009A7430" w:rsidRPr="001569FB" w14:paraId="32709261" w14:textId="77777777" w:rsidTr="008D4E91">
        <w:trPr>
          <w:trHeight w:val="315"/>
        </w:trPr>
        <w:tc>
          <w:tcPr>
            <w:tcW w:w="3694" w:type="dxa"/>
            <w:hideMark/>
          </w:tcPr>
          <w:p w14:paraId="77C93645" w14:textId="77777777" w:rsidR="009A7430" w:rsidRPr="001569FB" w:rsidRDefault="009A7430" w:rsidP="008D4E91">
            <w:pPr>
              <w:rPr>
                <w:sz w:val="20"/>
                <w:szCs w:val="20"/>
              </w:rPr>
            </w:pPr>
            <w:r w:rsidRPr="001569FB">
              <w:rPr>
                <w:sz w:val="20"/>
                <w:szCs w:val="20"/>
              </w:rPr>
              <w:t>HCC189</w:t>
            </w:r>
          </w:p>
        </w:tc>
        <w:tc>
          <w:tcPr>
            <w:tcW w:w="3556" w:type="dxa"/>
            <w:hideMark/>
          </w:tcPr>
          <w:p w14:paraId="7D33DA5E" w14:textId="77777777" w:rsidR="009A7430" w:rsidRPr="001569FB" w:rsidRDefault="009A7430" w:rsidP="008D4E91">
            <w:pPr>
              <w:rPr>
                <w:sz w:val="20"/>
                <w:szCs w:val="20"/>
              </w:rPr>
            </w:pPr>
            <w:r w:rsidRPr="001569FB">
              <w:rPr>
                <w:sz w:val="20"/>
                <w:szCs w:val="20"/>
              </w:rPr>
              <w:t>Amputation Status, Lower Limb/Amputation Complications</w:t>
            </w:r>
          </w:p>
        </w:tc>
        <w:tc>
          <w:tcPr>
            <w:tcW w:w="2100" w:type="dxa"/>
            <w:noWrap/>
            <w:hideMark/>
          </w:tcPr>
          <w:p w14:paraId="494D382A" w14:textId="77777777" w:rsidR="009A7430" w:rsidRPr="001569FB" w:rsidRDefault="009A7430" w:rsidP="008D4E91">
            <w:pPr>
              <w:jc w:val="center"/>
              <w:rPr>
                <w:sz w:val="20"/>
                <w:szCs w:val="20"/>
              </w:rPr>
            </w:pPr>
            <w:r w:rsidRPr="001569FB">
              <w:rPr>
                <w:sz w:val="20"/>
                <w:szCs w:val="20"/>
              </w:rPr>
              <w:t>0.339</w:t>
            </w:r>
          </w:p>
        </w:tc>
      </w:tr>
      <w:tr w:rsidR="009A7430" w:rsidRPr="001569FB" w14:paraId="2546B374" w14:textId="77777777" w:rsidTr="008D4E91">
        <w:trPr>
          <w:trHeight w:val="315"/>
        </w:trPr>
        <w:tc>
          <w:tcPr>
            <w:tcW w:w="9350" w:type="dxa"/>
            <w:gridSpan w:val="3"/>
            <w:hideMark/>
          </w:tcPr>
          <w:p w14:paraId="23AC5507" w14:textId="77777777" w:rsidR="009A7430" w:rsidRPr="001569FB" w:rsidRDefault="009A7430" w:rsidP="008D4E91">
            <w:pPr>
              <w:rPr>
                <w:sz w:val="20"/>
                <w:szCs w:val="20"/>
              </w:rPr>
            </w:pPr>
            <w:r w:rsidRPr="001569FB">
              <w:rPr>
                <w:b/>
                <w:bCs/>
                <w:sz w:val="20"/>
                <w:szCs w:val="20"/>
              </w:rPr>
              <w:t>Disease Interactions </w:t>
            </w:r>
          </w:p>
        </w:tc>
      </w:tr>
      <w:tr w:rsidR="009A7430" w:rsidRPr="001569FB" w14:paraId="7375BBB3" w14:textId="77777777" w:rsidTr="008D4E91">
        <w:trPr>
          <w:trHeight w:val="630"/>
        </w:trPr>
        <w:tc>
          <w:tcPr>
            <w:tcW w:w="3694" w:type="dxa"/>
            <w:hideMark/>
          </w:tcPr>
          <w:p w14:paraId="245F2EAD" w14:textId="77777777" w:rsidR="009A7430" w:rsidRPr="001569FB" w:rsidRDefault="009A7430" w:rsidP="008D4E91">
            <w:pPr>
              <w:rPr>
                <w:sz w:val="20"/>
                <w:szCs w:val="20"/>
              </w:rPr>
            </w:pPr>
            <w:r w:rsidRPr="001569FB">
              <w:rPr>
                <w:sz w:val="20"/>
                <w:szCs w:val="20"/>
              </w:rPr>
              <w:t>CHF_COPD</w:t>
            </w:r>
          </w:p>
        </w:tc>
        <w:tc>
          <w:tcPr>
            <w:tcW w:w="3556" w:type="dxa"/>
            <w:hideMark/>
          </w:tcPr>
          <w:p w14:paraId="728E6BE6" w14:textId="77777777" w:rsidR="009A7430" w:rsidRPr="001569FB" w:rsidRDefault="009A7430" w:rsidP="008D4E91">
            <w:pPr>
              <w:rPr>
                <w:sz w:val="20"/>
                <w:szCs w:val="20"/>
              </w:rPr>
            </w:pPr>
            <w:r w:rsidRPr="001569FB">
              <w:rPr>
                <w:sz w:val="20"/>
                <w:szCs w:val="20"/>
              </w:rPr>
              <w:t>Congestive Heart Failure*Chronic Obstructive Pulmonary Disease</w:t>
            </w:r>
          </w:p>
        </w:tc>
        <w:tc>
          <w:tcPr>
            <w:tcW w:w="2100" w:type="dxa"/>
            <w:noWrap/>
            <w:hideMark/>
          </w:tcPr>
          <w:p w14:paraId="5CCE5A94" w14:textId="77777777" w:rsidR="009A7430" w:rsidRPr="001569FB" w:rsidRDefault="009A7430" w:rsidP="008D4E91">
            <w:pPr>
              <w:jc w:val="center"/>
              <w:rPr>
                <w:sz w:val="20"/>
                <w:szCs w:val="20"/>
              </w:rPr>
            </w:pPr>
            <w:r w:rsidRPr="001569FB">
              <w:rPr>
                <w:sz w:val="20"/>
                <w:szCs w:val="20"/>
              </w:rPr>
              <w:t>0.190</w:t>
            </w:r>
          </w:p>
        </w:tc>
      </w:tr>
      <w:tr w:rsidR="009A7430" w:rsidRPr="001569FB" w14:paraId="60229581" w14:textId="77777777" w:rsidTr="008D4E91">
        <w:trPr>
          <w:trHeight w:val="630"/>
        </w:trPr>
        <w:tc>
          <w:tcPr>
            <w:tcW w:w="3694" w:type="dxa"/>
            <w:hideMark/>
          </w:tcPr>
          <w:p w14:paraId="06AEBD5D" w14:textId="77777777" w:rsidR="009A7430" w:rsidRPr="001569FB" w:rsidRDefault="009A7430" w:rsidP="008D4E91">
            <w:pPr>
              <w:rPr>
                <w:sz w:val="20"/>
                <w:szCs w:val="20"/>
              </w:rPr>
            </w:pPr>
            <w:r w:rsidRPr="001569FB">
              <w:rPr>
                <w:sz w:val="20"/>
                <w:szCs w:val="20"/>
              </w:rPr>
              <w:t>CRFAIL_COPD</w:t>
            </w:r>
          </w:p>
        </w:tc>
        <w:tc>
          <w:tcPr>
            <w:tcW w:w="3556" w:type="dxa"/>
            <w:hideMark/>
          </w:tcPr>
          <w:p w14:paraId="78A34BA9" w14:textId="77777777" w:rsidR="009A7430" w:rsidRPr="001569FB" w:rsidRDefault="009A7430" w:rsidP="008D4E91">
            <w:pPr>
              <w:rPr>
                <w:sz w:val="20"/>
                <w:szCs w:val="20"/>
              </w:rPr>
            </w:pPr>
            <w:r w:rsidRPr="001569FB">
              <w:rPr>
                <w:sz w:val="20"/>
                <w:szCs w:val="20"/>
              </w:rPr>
              <w:t>Cardiorespiratory Failure*Chronic Obstructive Pulmonary Disease</w:t>
            </w:r>
          </w:p>
        </w:tc>
        <w:tc>
          <w:tcPr>
            <w:tcW w:w="2100" w:type="dxa"/>
            <w:noWrap/>
            <w:hideMark/>
          </w:tcPr>
          <w:p w14:paraId="2B9A790C" w14:textId="77777777" w:rsidR="009A7430" w:rsidRPr="001569FB" w:rsidRDefault="009A7430" w:rsidP="008D4E91">
            <w:pPr>
              <w:jc w:val="center"/>
              <w:rPr>
                <w:sz w:val="20"/>
                <w:szCs w:val="20"/>
              </w:rPr>
            </w:pPr>
            <w:r w:rsidRPr="001569FB">
              <w:rPr>
                <w:sz w:val="20"/>
                <w:szCs w:val="20"/>
              </w:rPr>
              <w:t>0.416</w:t>
            </w:r>
          </w:p>
        </w:tc>
      </w:tr>
      <w:tr w:rsidR="009A7430" w:rsidRPr="001569FB" w14:paraId="5926984A" w14:textId="77777777" w:rsidTr="008D4E91">
        <w:trPr>
          <w:trHeight w:val="315"/>
        </w:trPr>
        <w:tc>
          <w:tcPr>
            <w:tcW w:w="3694" w:type="dxa"/>
            <w:hideMark/>
          </w:tcPr>
          <w:p w14:paraId="29CE4F08" w14:textId="77777777" w:rsidR="009A7430" w:rsidRPr="001569FB" w:rsidRDefault="009A7430" w:rsidP="008D4E91">
            <w:pPr>
              <w:rPr>
                <w:sz w:val="20"/>
                <w:szCs w:val="20"/>
              </w:rPr>
            </w:pPr>
            <w:r w:rsidRPr="001569FB">
              <w:rPr>
                <w:sz w:val="20"/>
                <w:szCs w:val="20"/>
              </w:rPr>
              <w:t>SEPSIS_PRESSURE_ULCER</w:t>
            </w:r>
          </w:p>
        </w:tc>
        <w:tc>
          <w:tcPr>
            <w:tcW w:w="3556" w:type="dxa"/>
            <w:hideMark/>
          </w:tcPr>
          <w:p w14:paraId="6ABA9F39" w14:textId="77777777" w:rsidR="009A7430" w:rsidRPr="001569FB" w:rsidRDefault="009A7430" w:rsidP="008D4E91">
            <w:pPr>
              <w:rPr>
                <w:sz w:val="20"/>
                <w:szCs w:val="20"/>
              </w:rPr>
            </w:pPr>
            <w:r w:rsidRPr="001569FB">
              <w:rPr>
                <w:sz w:val="20"/>
                <w:szCs w:val="20"/>
              </w:rPr>
              <w:t>Sepsis*Pressure Ulcer</w:t>
            </w:r>
          </w:p>
        </w:tc>
        <w:tc>
          <w:tcPr>
            <w:tcW w:w="2100" w:type="dxa"/>
            <w:noWrap/>
            <w:hideMark/>
          </w:tcPr>
          <w:p w14:paraId="147B4C30" w14:textId="77777777" w:rsidR="009A7430" w:rsidRPr="001569FB" w:rsidRDefault="009A7430" w:rsidP="008D4E91">
            <w:pPr>
              <w:jc w:val="center"/>
              <w:rPr>
                <w:sz w:val="20"/>
                <w:szCs w:val="20"/>
              </w:rPr>
            </w:pPr>
            <w:r w:rsidRPr="001569FB">
              <w:rPr>
                <w:sz w:val="20"/>
                <w:szCs w:val="20"/>
              </w:rPr>
              <w:t>0.226</w:t>
            </w:r>
          </w:p>
        </w:tc>
      </w:tr>
      <w:tr w:rsidR="009A7430" w:rsidRPr="001569FB" w14:paraId="7CE82EDC" w14:textId="77777777" w:rsidTr="008D4E91">
        <w:trPr>
          <w:trHeight w:val="315"/>
        </w:trPr>
        <w:tc>
          <w:tcPr>
            <w:tcW w:w="3694" w:type="dxa"/>
            <w:hideMark/>
          </w:tcPr>
          <w:p w14:paraId="38AD3A55" w14:textId="77777777" w:rsidR="009A7430" w:rsidRPr="001569FB" w:rsidRDefault="009A7430" w:rsidP="008D4E91">
            <w:pPr>
              <w:rPr>
                <w:sz w:val="20"/>
                <w:szCs w:val="20"/>
              </w:rPr>
            </w:pPr>
            <w:r w:rsidRPr="001569FB">
              <w:rPr>
                <w:sz w:val="20"/>
                <w:szCs w:val="20"/>
              </w:rPr>
              <w:t>SEPSIS_ARTIF_OPENINGS</w:t>
            </w:r>
          </w:p>
        </w:tc>
        <w:tc>
          <w:tcPr>
            <w:tcW w:w="3556" w:type="dxa"/>
            <w:hideMark/>
          </w:tcPr>
          <w:p w14:paraId="68A3947C" w14:textId="77777777" w:rsidR="009A7430" w:rsidRPr="001569FB" w:rsidRDefault="009A7430" w:rsidP="008D4E91">
            <w:pPr>
              <w:rPr>
                <w:sz w:val="20"/>
                <w:szCs w:val="20"/>
              </w:rPr>
            </w:pPr>
            <w:r w:rsidRPr="001569FB">
              <w:rPr>
                <w:sz w:val="20"/>
                <w:szCs w:val="20"/>
              </w:rPr>
              <w:t>Sepsis*Artificial Openings for Feeding or Elimination</w:t>
            </w:r>
          </w:p>
        </w:tc>
        <w:tc>
          <w:tcPr>
            <w:tcW w:w="2100" w:type="dxa"/>
            <w:noWrap/>
            <w:hideMark/>
          </w:tcPr>
          <w:p w14:paraId="66844F6E" w14:textId="77777777" w:rsidR="009A7430" w:rsidRPr="001569FB" w:rsidRDefault="009A7430" w:rsidP="008D4E91">
            <w:pPr>
              <w:jc w:val="center"/>
              <w:rPr>
                <w:sz w:val="20"/>
                <w:szCs w:val="20"/>
              </w:rPr>
            </w:pPr>
            <w:r w:rsidRPr="001569FB">
              <w:rPr>
                <w:sz w:val="20"/>
                <w:szCs w:val="20"/>
              </w:rPr>
              <w:t>0.452</w:t>
            </w:r>
          </w:p>
        </w:tc>
      </w:tr>
      <w:tr w:rsidR="009A7430" w:rsidRPr="001569FB" w14:paraId="31290C2A" w14:textId="77777777" w:rsidTr="008D4E91">
        <w:trPr>
          <w:trHeight w:val="630"/>
        </w:trPr>
        <w:tc>
          <w:tcPr>
            <w:tcW w:w="3694" w:type="dxa"/>
            <w:hideMark/>
          </w:tcPr>
          <w:p w14:paraId="725AB072" w14:textId="77777777" w:rsidR="009A7430" w:rsidRPr="001569FB" w:rsidRDefault="009A7430" w:rsidP="008D4E91">
            <w:pPr>
              <w:rPr>
                <w:sz w:val="20"/>
                <w:szCs w:val="20"/>
              </w:rPr>
            </w:pPr>
            <w:r w:rsidRPr="001569FB">
              <w:rPr>
                <w:sz w:val="20"/>
                <w:szCs w:val="20"/>
              </w:rPr>
              <w:lastRenderedPageBreak/>
              <w:t>ARTIF_OPENINGS_</w:t>
            </w:r>
            <w:r w:rsidRPr="001569FB">
              <w:rPr>
                <w:sz w:val="20"/>
                <w:szCs w:val="20"/>
              </w:rPr>
              <w:br/>
              <w:t>PRESSURE_ULCER</w:t>
            </w:r>
          </w:p>
        </w:tc>
        <w:tc>
          <w:tcPr>
            <w:tcW w:w="3556" w:type="dxa"/>
            <w:hideMark/>
          </w:tcPr>
          <w:p w14:paraId="1C2FEF71" w14:textId="77777777" w:rsidR="009A7430" w:rsidRPr="001569FB" w:rsidRDefault="009A7430" w:rsidP="008D4E91">
            <w:pPr>
              <w:rPr>
                <w:sz w:val="20"/>
                <w:szCs w:val="20"/>
              </w:rPr>
            </w:pPr>
            <w:r w:rsidRPr="001569FB">
              <w:rPr>
                <w:sz w:val="20"/>
                <w:szCs w:val="20"/>
              </w:rPr>
              <w:t>Artificial Openings for Feeding or Elimination*Pressure Ulcer</w:t>
            </w:r>
          </w:p>
        </w:tc>
        <w:tc>
          <w:tcPr>
            <w:tcW w:w="2100" w:type="dxa"/>
            <w:noWrap/>
            <w:hideMark/>
          </w:tcPr>
          <w:p w14:paraId="7601766C" w14:textId="77777777" w:rsidR="009A7430" w:rsidRPr="001569FB" w:rsidRDefault="009A7430" w:rsidP="008D4E91">
            <w:pPr>
              <w:jc w:val="center"/>
              <w:rPr>
                <w:sz w:val="20"/>
                <w:szCs w:val="20"/>
              </w:rPr>
            </w:pPr>
            <w:r w:rsidRPr="001569FB">
              <w:rPr>
                <w:sz w:val="20"/>
                <w:szCs w:val="20"/>
              </w:rPr>
              <w:t>0.295</w:t>
            </w:r>
          </w:p>
        </w:tc>
      </w:tr>
      <w:tr w:rsidR="009A7430" w:rsidRPr="001569FB" w14:paraId="432AAA45" w14:textId="77777777" w:rsidTr="008D4E91">
        <w:trPr>
          <w:trHeight w:val="315"/>
        </w:trPr>
        <w:tc>
          <w:tcPr>
            <w:tcW w:w="3694" w:type="dxa"/>
            <w:hideMark/>
          </w:tcPr>
          <w:p w14:paraId="0EC475B6" w14:textId="77777777" w:rsidR="009A7430" w:rsidRPr="001569FB" w:rsidRDefault="009A7430" w:rsidP="008D4E91">
            <w:pPr>
              <w:rPr>
                <w:sz w:val="20"/>
                <w:szCs w:val="20"/>
              </w:rPr>
            </w:pPr>
            <w:r w:rsidRPr="001569FB">
              <w:rPr>
                <w:sz w:val="20"/>
                <w:szCs w:val="20"/>
              </w:rPr>
              <w:t>DIABETES_CHF</w:t>
            </w:r>
          </w:p>
        </w:tc>
        <w:tc>
          <w:tcPr>
            <w:tcW w:w="3556" w:type="dxa"/>
            <w:hideMark/>
          </w:tcPr>
          <w:p w14:paraId="21E4816A" w14:textId="77777777" w:rsidR="009A7430" w:rsidRPr="001569FB" w:rsidRDefault="009A7430" w:rsidP="008D4E91">
            <w:pPr>
              <w:rPr>
                <w:sz w:val="20"/>
                <w:szCs w:val="20"/>
              </w:rPr>
            </w:pPr>
            <w:r w:rsidRPr="001569FB">
              <w:rPr>
                <w:sz w:val="20"/>
                <w:szCs w:val="20"/>
              </w:rPr>
              <w:t>Diabetes*Congestive Heart Failure</w:t>
            </w:r>
          </w:p>
        </w:tc>
        <w:tc>
          <w:tcPr>
            <w:tcW w:w="2100" w:type="dxa"/>
            <w:noWrap/>
            <w:hideMark/>
          </w:tcPr>
          <w:p w14:paraId="56457F1F" w14:textId="77777777" w:rsidR="009A7430" w:rsidRPr="001569FB" w:rsidRDefault="009A7430" w:rsidP="008D4E91">
            <w:pPr>
              <w:jc w:val="center"/>
              <w:rPr>
                <w:sz w:val="20"/>
                <w:szCs w:val="20"/>
              </w:rPr>
            </w:pPr>
            <w:r w:rsidRPr="001569FB">
              <w:rPr>
                <w:sz w:val="20"/>
                <w:szCs w:val="20"/>
              </w:rPr>
              <w:t>0.159</w:t>
            </w:r>
          </w:p>
        </w:tc>
      </w:tr>
      <w:tr w:rsidR="009A7430" w:rsidRPr="001569FB" w14:paraId="3016CF39" w14:textId="77777777" w:rsidTr="008D4E91">
        <w:trPr>
          <w:trHeight w:val="630"/>
        </w:trPr>
        <w:tc>
          <w:tcPr>
            <w:tcW w:w="3694" w:type="dxa"/>
            <w:hideMark/>
          </w:tcPr>
          <w:p w14:paraId="56D2E305" w14:textId="77777777" w:rsidR="009A7430" w:rsidRPr="001569FB" w:rsidRDefault="009A7430" w:rsidP="008D4E91">
            <w:pPr>
              <w:rPr>
                <w:sz w:val="20"/>
                <w:szCs w:val="20"/>
              </w:rPr>
            </w:pPr>
            <w:r w:rsidRPr="001569FB">
              <w:rPr>
                <w:sz w:val="20"/>
                <w:szCs w:val="20"/>
              </w:rPr>
              <w:t>COPD_ASP_SPEC_</w:t>
            </w:r>
            <w:r w:rsidRPr="001569FB">
              <w:rPr>
                <w:sz w:val="20"/>
                <w:szCs w:val="20"/>
              </w:rPr>
              <w:br/>
              <w:t>BACT_PNEUM</w:t>
            </w:r>
          </w:p>
        </w:tc>
        <w:tc>
          <w:tcPr>
            <w:tcW w:w="3556" w:type="dxa"/>
            <w:hideMark/>
          </w:tcPr>
          <w:p w14:paraId="735C1B5E" w14:textId="77777777" w:rsidR="009A7430" w:rsidRPr="001569FB" w:rsidRDefault="009A7430" w:rsidP="008D4E91">
            <w:pPr>
              <w:rPr>
                <w:sz w:val="20"/>
                <w:szCs w:val="20"/>
              </w:rPr>
            </w:pPr>
            <w:r w:rsidRPr="001569FB">
              <w:rPr>
                <w:sz w:val="20"/>
                <w:szCs w:val="20"/>
              </w:rPr>
              <w:t>Chronic Obstructive Pulmonary Disease*Aspiration and Specified Bacterial Pneumonias</w:t>
            </w:r>
          </w:p>
        </w:tc>
        <w:tc>
          <w:tcPr>
            <w:tcW w:w="2100" w:type="dxa"/>
            <w:noWrap/>
            <w:hideMark/>
          </w:tcPr>
          <w:p w14:paraId="2F92DC36" w14:textId="77777777" w:rsidR="009A7430" w:rsidRPr="001569FB" w:rsidRDefault="009A7430" w:rsidP="008D4E91">
            <w:pPr>
              <w:jc w:val="center"/>
              <w:rPr>
                <w:sz w:val="20"/>
                <w:szCs w:val="20"/>
              </w:rPr>
            </w:pPr>
            <w:r w:rsidRPr="001569FB">
              <w:rPr>
                <w:sz w:val="20"/>
                <w:szCs w:val="20"/>
              </w:rPr>
              <w:t>0.220</w:t>
            </w:r>
          </w:p>
        </w:tc>
      </w:tr>
      <w:tr w:rsidR="009A7430" w:rsidRPr="001569FB" w14:paraId="0BDC35FB" w14:textId="77777777" w:rsidTr="008D4E91">
        <w:trPr>
          <w:trHeight w:val="630"/>
        </w:trPr>
        <w:tc>
          <w:tcPr>
            <w:tcW w:w="3694" w:type="dxa"/>
            <w:hideMark/>
          </w:tcPr>
          <w:p w14:paraId="76187BBF" w14:textId="77777777" w:rsidR="009A7430" w:rsidRPr="001569FB" w:rsidRDefault="009A7430" w:rsidP="008D4E91">
            <w:pPr>
              <w:rPr>
                <w:sz w:val="20"/>
                <w:szCs w:val="20"/>
              </w:rPr>
            </w:pPr>
            <w:r w:rsidRPr="001569FB">
              <w:rPr>
                <w:sz w:val="20"/>
                <w:szCs w:val="20"/>
              </w:rPr>
              <w:t>ASP_SPEC_BACT_PNEUM_</w:t>
            </w:r>
            <w:r w:rsidRPr="001569FB">
              <w:rPr>
                <w:sz w:val="20"/>
                <w:szCs w:val="20"/>
              </w:rPr>
              <w:br/>
              <w:t>PRES_ULCER</w:t>
            </w:r>
          </w:p>
        </w:tc>
        <w:tc>
          <w:tcPr>
            <w:tcW w:w="3556" w:type="dxa"/>
            <w:hideMark/>
          </w:tcPr>
          <w:p w14:paraId="24503783" w14:textId="77777777" w:rsidR="009A7430" w:rsidRPr="001569FB" w:rsidRDefault="009A7430" w:rsidP="008D4E91">
            <w:pPr>
              <w:rPr>
                <w:sz w:val="20"/>
                <w:szCs w:val="20"/>
              </w:rPr>
            </w:pPr>
            <w:r w:rsidRPr="001569FB">
              <w:rPr>
                <w:sz w:val="20"/>
                <w:szCs w:val="20"/>
              </w:rPr>
              <w:t>Aspiration and Specified Bacterial Pneumonias*Pressure Ulcer</w:t>
            </w:r>
          </w:p>
        </w:tc>
        <w:tc>
          <w:tcPr>
            <w:tcW w:w="2100" w:type="dxa"/>
            <w:noWrap/>
            <w:hideMark/>
          </w:tcPr>
          <w:p w14:paraId="346E7070" w14:textId="77777777" w:rsidR="009A7430" w:rsidRPr="001569FB" w:rsidRDefault="009A7430" w:rsidP="008D4E91">
            <w:pPr>
              <w:jc w:val="center"/>
              <w:rPr>
                <w:sz w:val="20"/>
                <w:szCs w:val="20"/>
              </w:rPr>
            </w:pPr>
            <w:r w:rsidRPr="001569FB">
              <w:rPr>
                <w:sz w:val="20"/>
                <w:szCs w:val="20"/>
              </w:rPr>
              <w:t>0.252</w:t>
            </w:r>
          </w:p>
        </w:tc>
      </w:tr>
      <w:tr w:rsidR="009A7430" w:rsidRPr="001569FB" w14:paraId="53677853" w14:textId="77777777" w:rsidTr="008D4E91">
        <w:trPr>
          <w:trHeight w:val="630"/>
        </w:trPr>
        <w:tc>
          <w:tcPr>
            <w:tcW w:w="3694" w:type="dxa"/>
            <w:hideMark/>
          </w:tcPr>
          <w:p w14:paraId="1A0FA7FE" w14:textId="77777777" w:rsidR="009A7430" w:rsidRPr="001569FB" w:rsidRDefault="009A7430" w:rsidP="008D4E91">
            <w:pPr>
              <w:rPr>
                <w:sz w:val="20"/>
                <w:szCs w:val="20"/>
              </w:rPr>
            </w:pPr>
            <w:r w:rsidRPr="001569FB">
              <w:rPr>
                <w:sz w:val="20"/>
                <w:szCs w:val="20"/>
              </w:rPr>
              <w:t>SEPSIS_ASP_SPEC_</w:t>
            </w:r>
            <w:r w:rsidRPr="001569FB">
              <w:rPr>
                <w:sz w:val="20"/>
                <w:szCs w:val="20"/>
              </w:rPr>
              <w:br/>
              <w:t>BACT_PNEUM</w:t>
            </w:r>
          </w:p>
        </w:tc>
        <w:tc>
          <w:tcPr>
            <w:tcW w:w="3556" w:type="dxa"/>
            <w:hideMark/>
          </w:tcPr>
          <w:p w14:paraId="65AC6B86" w14:textId="77777777" w:rsidR="009A7430" w:rsidRPr="001569FB" w:rsidRDefault="009A7430" w:rsidP="008D4E91">
            <w:pPr>
              <w:rPr>
                <w:sz w:val="20"/>
                <w:szCs w:val="20"/>
              </w:rPr>
            </w:pPr>
            <w:r w:rsidRPr="001569FB">
              <w:rPr>
                <w:sz w:val="20"/>
                <w:szCs w:val="20"/>
              </w:rPr>
              <w:t>Sepsis*Aspiration and Specified Bacterial Pneumonias</w:t>
            </w:r>
          </w:p>
        </w:tc>
        <w:tc>
          <w:tcPr>
            <w:tcW w:w="2100" w:type="dxa"/>
            <w:noWrap/>
            <w:hideMark/>
          </w:tcPr>
          <w:p w14:paraId="22A5F2FC" w14:textId="77777777" w:rsidR="009A7430" w:rsidRPr="001569FB" w:rsidRDefault="009A7430" w:rsidP="008D4E91">
            <w:pPr>
              <w:jc w:val="center"/>
              <w:rPr>
                <w:sz w:val="20"/>
                <w:szCs w:val="20"/>
              </w:rPr>
            </w:pPr>
            <w:r w:rsidRPr="001569FB">
              <w:rPr>
                <w:sz w:val="20"/>
                <w:szCs w:val="20"/>
              </w:rPr>
              <w:t>0.347</w:t>
            </w:r>
          </w:p>
        </w:tc>
      </w:tr>
      <w:tr w:rsidR="009A7430" w:rsidRPr="001569FB" w14:paraId="10E9925B" w14:textId="77777777" w:rsidTr="008D4E91">
        <w:trPr>
          <w:trHeight w:val="315"/>
        </w:trPr>
        <w:tc>
          <w:tcPr>
            <w:tcW w:w="3694" w:type="dxa"/>
            <w:hideMark/>
          </w:tcPr>
          <w:p w14:paraId="437FECA2" w14:textId="77777777" w:rsidR="009A7430" w:rsidRPr="001569FB" w:rsidRDefault="009A7430" w:rsidP="008D4E91">
            <w:pPr>
              <w:rPr>
                <w:sz w:val="20"/>
                <w:szCs w:val="20"/>
              </w:rPr>
            </w:pPr>
            <w:r w:rsidRPr="001569FB">
              <w:rPr>
                <w:sz w:val="20"/>
                <w:szCs w:val="20"/>
              </w:rPr>
              <w:t>SCHIZOPHRENIA_COPD</w:t>
            </w:r>
          </w:p>
        </w:tc>
        <w:tc>
          <w:tcPr>
            <w:tcW w:w="3556" w:type="dxa"/>
            <w:hideMark/>
          </w:tcPr>
          <w:p w14:paraId="1DA5CC95" w14:textId="77777777" w:rsidR="009A7430" w:rsidRPr="001569FB" w:rsidRDefault="009A7430" w:rsidP="008D4E91">
            <w:pPr>
              <w:rPr>
                <w:sz w:val="20"/>
                <w:szCs w:val="20"/>
              </w:rPr>
            </w:pPr>
            <w:r w:rsidRPr="001569FB">
              <w:rPr>
                <w:sz w:val="20"/>
                <w:szCs w:val="20"/>
              </w:rPr>
              <w:t>Schizophrenia*Chronic Obstructive Pulmonary Disease</w:t>
            </w:r>
          </w:p>
        </w:tc>
        <w:tc>
          <w:tcPr>
            <w:tcW w:w="2100" w:type="dxa"/>
            <w:noWrap/>
            <w:hideMark/>
          </w:tcPr>
          <w:p w14:paraId="7CA63FC6" w14:textId="77777777" w:rsidR="009A7430" w:rsidRPr="001569FB" w:rsidRDefault="009A7430" w:rsidP="008D4E91">
            <w:pPr>
              <w:jc w:val="center"/>
              <w:rPr>
                <w:sz w:val="20"/>
                <w:szCs w:val="20"/>
              </w:rPr>
            </w:pPr>
            <w:r w:rsidRPr="001569FB">
              <w:rPr>
                <w:sz w:val="20"/>
                <w:szCs w:val="20"/>
              </w:rPr>
              <w:t>0.402</w:t>
            </w:r>
          </w:p>
        </w:tc>
      </w:tr>
      <w:tr w:rsidR="009A7430" w:rsidRPr="001569FB" w14:paraId="307B6478" w14:textId="77777777" w:rsidTr="008D4E91">
        <w:trPr>
          <w:trHeight w:val="315"/>
        </w:trPr>
        <w:tc>
          <w:tcPr>
            <w:tcW w:w="3694" w:type="dxa"/>
            <w:hideMark/>
          </w:tcPr>
          <w:p w14:paraId="6BA0779C" w14:textId="77777777" w:rsidR="009A7430" w:rsidRPr="001569FB" w:rsidRDefault="009A7430" w:rsidP="008D4E91">
            <w:pPr>
              <w:rPr>
                <w:sz w:val="20"/>
                <w:szCs w:val="20"/>
              </w:rPr>
            </w:pPr>
            <w:r w:rsidRPr="001569FB">
              <w:rPr>
                <w:sz w:val="20"/>
                <w:szCs w:val="20"/>
              </w:rPr>
              <w:t>SCHIZOPHRENIA_CHF</w:t>
            </w:r>
          </w:p>
        </w:tc>
        <w:tc>
          <w:tcPr>
            <w:tcW w:w="3556" w:type="dxa"/>
            <w:hideMark/>
          </w:tcPr>
          <w:p w14:paraId="0619919D" w14:textId="77777777" w:rsidR="009A7430" w:rsidRPr="001569FB" w:rsidRDefault="009A7430" w:rsidP="008D4E91">
            <w:pPr>
              <w:rPr>
                <w:sz w:val="20"/>
                <w:szCs w:val="20"/>
              </w:rPr>
            </w:pPr>
            <w:r w:rsidRPr="001569FB">
              <w:rPr>
                <w:sz w:val="20"/>
                <w:szCs w:val="20"/>
              </w:rPr>
              <w:t>Schizophrenia*Congestive Heart Failure</w:t>
            </w:r>
          </w:p>
        </w:tc>
        <w:tc>
          <w:tcPr>
            <w:tcW w:w="2100" w:type="dxa"/>
            <w:noWrap/>
            <w:hideMark/>
          </w:tcPr>
          <w:p w14:paraId="1DF3E3EB" w14:textId="77777777" w:rsidR="009A7430" w:rsidRPr="001569FB" w:rsidRDefault="009A7430" w:rsidP="008D4E91">
            <w:pPr>
              <w:jc w:val="center"/>
              <w:rPr>
                <w:sz w:val="20"/>
                <w:szCs w:val="20"/>
              </w:rPr>
            </w:pPr>
            <w:r w:rsidRPr="001569FB">
              <w:rPr>
                <w:sz w:val="20"/>
                <w:szCs w:val="20"/>
              </w:rPr>
              <w:t>0.122</w:t>
            </w:r>
          </w:p>
        </w:tc>
      </w:tr>
      <w:tr w:rsidR="009A7430" w:rsidRPr="001569FB" w14:paraId="410AF1C6" w14:textId="77777777" w:rsidTr="008D4E91">
        <w:trPr>
          <w:trHeight w:val="315"/>
        </w:trPr>
        <w:tc>
          <w:tcPr>
            <w:tcW w:w="3694" w:type="dxa"/>
            <w:hideMark/>
          </w:tcPr>
          <w:p w14:paraId="08CA2EFB" w14:textId="77777777" w:rsidR="009A7430" w:rsidRPr="001569FB" w:rsidRDefault="009A7430" w:rsidP="008D4E91">
            <w:pPr>
              <w:rPr>
                <w:sz w:val="20"/>
                <w:szCs w:val="20"/>
              </w:rPr>
            </w:pPr>
            <w:r w:rsidRPr="001569FB">
              <w:rPr>
                <w:sz w:val="20"/>
                <w:szCs w:val="20"/>
              </w:rPr>
              <w:t>SCHIZOPHRENIA_SEIZURES</w:t>
            </w:r>
          </w:p>
        </w:tc>
        <w:tc>
          <w:tcPr>
            <w:tcW w:w="3556" w:type="dxa"/>
            <w:hideMark/>
          </w:tcPr>
          <w:p w14:paraId="4F790F6D" w14:textId="77777777" w:rsidR="009A7430" w:rsidRPr="001569FB" w:rsidRDefault="009A7430" w:rsidP="008D4E91">
            <w:pPr>
              <w:rPr>
                <w:sz w:val="20"/>
                <w:szCs w:val="20"/>
              </w:rPr>
            </w:pPr>
            <w:r w:rsidRPr="001569FB">
              <w:rPr>
                <w:sz w:val="20"/>
                <w:szCs w:val="20"/>
              </w:rPr>
              <w:t>Schizophrenia*Seizure Disorders and Convulsions</w:t>
            </w:r>
          </w:p>
        </w:tc>
        <w:tc>
          <w:tcPr>
            <w:tcW w:w="2100" w:type="dxa"/>
            <w:noWrap/>
            <w:hideMark/>
          </w:tcPr>
          <w:p w14:paraId="7251A3EF" w14:textId="77777777" w:rsidR="009A7430" w:rsidRPr="001569FB" w:rsidRDefault="009A7430" w:rsidP="008D4E91">
            <w:pPr>
              <w:jc w:val="center"/>
              <w:rPr>
                <w:sz w:val="20"/>
                <w:szCs w:val="20"/>
              </w:rPr>
            </w:pPr>
            <w:r w:rsidRPr="001569FB">
              <w:rPr>
                <w:sz w:val="20"/>
                <w:szCs w:val="20"/>
              </w:rPr>
              <w:t>0.541</w:t>
            </w:r>
          </w:p>
        </w:tc>
      </w:tr>
      <w:tr w:rsidR="009A7430" w:rsidRPr="001569FB" w14:paraId="3CF8EB96" w14:textId="77777777" w:rsidTr="008D4E91">
        <w:trPr>
          <w:trHeight w:val="315"/>
        </w:trPr>
        <w:tc>
          <w:tcPr>
            <w:tcW w:w="9350" w:type="dxa"/>
            <w:gridSpan w:val="3"/>
            <w:noWrap/>
            <w:hideMark/>
          </w:tcPr>
          <w:p w14:paraId="5BEA0CC6" w14:textId="77777777" w:rsidR="009A7430" w:rsidRPr="001569FB" w:rsidRDefault="009A7430" w:rsidP="008D4E91">
            <w:pPr>
              <w:rPr>
                <w:sz w:val="20"/>
                <w:szCs w:val="20"/>
              </w:rPr>
            </w:pPr>
            <w:r w:rsidRPr="001569FB">
              <w:rPr>
                <w:b/>
                <w:bCs/>
                <w:sz w:val="20"/>
                <w:szCs w:val="20"/>
              </w:rPr>
              <w:t>NonAged (Age &lt;65)/Disease Interactions </w:t>
            </w:r>
          </w:p>
        </w:tc>
      </w:tr>
      <w:tr w:rsidR="009A7430" w:rsidRPr="001569FB" w14:paraId="01C918DF" w14:textId="77777777" w:rsidTr="008D4E91">
        <w:trPr>
          <w:trHeight w:val="315"/>
        </w:trPr>
        <w:tc>
          <w:tcPr>
            <w:tcW w:w="3694" w:type="dxa"/>
            <w:hideMark/>
          </w:tcPr>
          <w:p w14:paraId="3472A34C" w14:textId="77777777" w:rsidR="009A7430" w:rsidRPr="001569FB" w:rsidRDefault="009A7430" w:rsidP="008D4E91">
            <w:pPr>
              <w:rPr>
                <w:sz w:val="20"/>
                <w:szCs w:val="20"/>
              </w:rPr>
            </w:pPr>
            <w:r w:rsidRPr="001569FB">
              <w:rPr>
                <w:sz w:val="20"/>
                <w:szCs w:val="20"/>
              </w:rPr>
              <w:t>NONAGED_HCC85</w:t>
            </w:r>
          </w:p>
        </w:tc>
        <w:tc>
          <w:tcPr>
            <w:tcW w:w="3556" w:type="dxa"/>
            <w:hideMark/>
          </w:tcPr>
          <w:p w14:paraId="2CEF713A" w14:textId="77777777" w:rsidR="009A7430" w:rsidRPr="001569FB" w:rsidRDefault="009A7430" w:rsidP="008D4E91">
            <w:pPr>
              <w:rPr>
                <w:sz w:val="20"/>
                <w:szCs w:val="20"/>
              </w:rPr>
            </w:pPr>
            <w:r w:rsidRPr="001569FB">
              <w:rPr>
                <w:sz w:val="20"/>
                <w:szCs w:val="20"/>
              </w:rPr>
              <w:t>NonAged, Congestive Heart Failure</w:t>
            </w:r>
          </w:p>
        </w:tc>
        <w:tc>
          <w:tcPr>
            <w:tcW w:w="2100" w:type="dxa"/>
            <w:noWrap/>
            <w:hideMark/>
          </w:tcPr>
          <w:p w14:paraId="78D79702" w14:textId="77777777" w:rsidR="009A7430" w:rsidRPr="001569FB" w:rsidRDefault="009A7430" w:rsidP="008D4E91">
            <w:pPr>
              <w:jc w:val="center"/>
              <w:rPr>
                <w:sz w:val="20"/>
                <w:szCs w:val="20"/>
              </w:rPr>
            </w:pPr>
            <w:r w:rsidRPr="001569FB">
              <w:rPr>
                <w:sz w:val="20"/>
                <w:szCs w:val="20"/>
              </w:rPr>
              <w:t>0.263</w:t>
            </w:r>
          </w:p>
        </w:tc>
      </w:tr>
      <w:tr w:rsidR="009A7430" w:rsidRPr="001569FB" w14:paraId="1F20A98A" w14:textId="77777777" w:rsidTr="008D4E91">
        <w:trPr>
          <w:trHeight w:val="315"/>
        </w:trPr>
        <w:tc>
          <w:tcPr>
            <w:tcW w:w="3694" w:type="dxa"/>
            <w:hideMark/>
          </w:tcPr>
          <w:p w14:paraId="1ACBE148" w14:textId="77777777" w:rsidR="009A7430" w:rsidRPr="001569FB" w:rsidRDefault="009A7430" w:rsidP="008D4E91">
            <w:pPr>
              <w:rPr>
                <w:sz w:val="20"/>
                <w:szCs w:val="20"/>
              </w:rPr>
            </w:pPr>
            <w:r w:rsidRPr="001569FB">
              <w:rPr>
                <w:sz w:val="20"/>
                <w:szCs w:val="20"/>
              </w:rPr>
              <w:t>NONAGED_PRESSURE_ULCER</w:t>
            </w:r>
          </w:p>
        </w:tc>
        <w:tc>
          <w:tcPr>
            <w:tcW w:w="3556" w:type="dxa"/>
            <w:hideMark/>
          </w:tcPr>
          <w:p w14:paraId="1A8E3877" w14:textId="77777777" w:rsidR="009A7430" w:rsidRPr="001569FB" w:rsidRDefault="009A7430" w:rsidP="008D4E91">
            <w:pPr>
              <w:rPr>
                <w:sz w:val="20"/>
                <w:szCs w:val="20"/>
              </w:rPr>
            </w:pPr>
            <w:r w:rsidRPr="001569FB">
              <w:rPr>
                <w:sz w:val="20"/>
                <w:szCs w:val="20"/>
              </w:rPr>
              <w:t>NonAged, Pressure Ulcer</w:t>
            </w:r>
          </w:p>
        </w:tc>
        <w:tc>
          <w:tcPr>
            <w:tcW w:w="2100" w:type="dxa"/>
            <w:noWrap/>
            <w:hideMark/>
          </w:tcPr>
          <w:p w14:paraId="5D18E546" w14:textId="77777777" w:rsidR="009A7430" w:rsidRPr="001569FB" w:rsidRDefault="009A7430" w:rsidP="008D4E91">
            <w:pPr>
              <w:jc w:val="center"/>
              <w:rPr>
                <w:sz w:val="20"/>
                <w:szCs w:val="20"/>
              </w:rPr>
            </w:pPr>
            <w:r w:rsidRPr="001569FB">
              <w:rPr>
                <w:sz w:val="20"/>
                <w:szCs w:val="20"/>
              </w:rPr>
              <w:t>0.528</w:t>
            </w:r>
          </w:p>
        </w:tc>
      </w:tr>
      <w:tr w:rsidR="009A7430" w:rsidRPr="001569FB" w14:paraId="42CCD9DD" w14:textId="77777777" w:rsidTr="008D4E91">
        <w:trPr>
          <w:trHeight w:val="315"/>
        </w:trPr>
        <w:tc>
          <w:tcPr>
            <w:tcW w:w="3694" w:type="dxa"/>
            <w:hideMark/>
          </w:tcPr>
          <w:p w14:paraId="4314D751" w14:textId="77777777" w:rsidR="009A7430" w:rsidRPr="001569FB" w:rsidRDefault="009A7430" w:rsidP="008D4E91">
            <w:pPr>
              <w:rPr>
                <w:sz w:val="20"/>
                <w:szCs w:val="20"/>
              </w:rPr>
            </w:pPr>
            <w:r w:rsidRPr="001569FB">
              <w:rPr>
                <w:sz w:val="20"/>
                <w:szCs w:val="20"/>
              </w:rPr>
              <w:t>NONAGED_HCC161</w:t>
            </w:r>
          </w:p>
        </w:tc>
        <w:tc>
          <w:tcPr>
            <w:tcW w:w="3556" w:type="dxa"/>
            <w:hideMark/>
          </w:tcPr>
          <w:p w14:paraId="11952382" w14:textId="77777777" w:rsidR="009A7430" w:rsidRPr="001569FB" w:rsidRDefault="009A7430" w:rsidP="008D4E91">
            <w:pPr>
              <w:rPr>
                <w:sz w:val="20"/>
                <w:szCs w:val="20"/>
              </w:rPr>
            </w:pPr>
            <w:r w:rsidRPr="001569FB">
              <w:rPr>
                <w:sz w:val="20"/>
                <w:szCs w:val="20"/>
              </w:rPr>
              <w:t>NonAged, Chronic Ulcer of the Skin, Except Pressure Ulcer</w:t>
            </w:r>
          </w:p>
        </w:tc>
        <w:tc>
          <w:tcPr>
            <w:tcW w:w="2100" w:type="dxa"/>
            <w:noWrap/>
            <w:hideMark/>
          </w:tcPr>
          <w:p w14:paraId="217FE6FA" w14:textId="77777777" w:rsidR="009A7430" w:rsidRPr="001569FB" w:rsidRDefault="009A7430" w:rsidP="008D4E91">
            <w:pPr>
              <w:jc w:val="center"/>
              <w:rPr>
                <w:sz w:val="20"/>
                <w:szCs w:val="20"/>
              </w:rPr>
            </w:pPr>
            <w:r w:rsidRPr="001569FB">
              <w:rPr>
                <w:sz w:val="20"/>
                <w:szCs w:val="20"/>
              </w:rPr>
              <w:t>0.469</w:t>
            </w:r>
          </w:p>
        </w:tc>
      </w:tr>
      <w:tr w:rsidR="009A7430" w:rsidRPr="001569FB" w14:paraId="70963E0D" w14:textId="77777777" w:rsidTr="008D4E91">
        <w:trPr>
          <w:trHeight w:val="315"/>
        </w:trPr>
        <w:tc>
          <w:tcPr>
            <w:tcW w:w="3694" w:type="dxa"/>
            <w:hideMark/>
          </w:tcPr>
          <w:p w14:paraId="47CED358" w14:textId="77777777" w:rsidR="009A7430" w:rsidRPr="001569FB" w:rsidRDefault="009A7430" w:rsidP="008D4E91">
            <w:pPr>
              <w:rPr>
                <w:sz w:val="20"/>
                <w:szCs w:val="20"/>
              </w:rPr>
            </w:pPr>
            <w:r w:rsidRPr="001569FB">
              <w:rPr>
                <w:sz w:val="20"/>
                <w:szCs w:val="20"/>
              </w:rPr>
              <w:t>NONAGED_HCC39</w:t>
            </w:r>
          </w:p>
        </w:tc>
        <w:tc>
          <w:tcPr>
            <w:tcW w:w="3556" w:type="dxa"/>
            <w:hideMark/>
          </w:tcPr>
          <w:p w14:paraId="648EAB90" w14:textId="77777777" w:rsidR="009A7430" w:rsidRPr="001569FB" w:rsidRDefault="009A7430" w:rsidP="008D4E91">
            <w:pPr>
              <w:rPr>
                <w:sz w:val="20"/>
                <w:szCs w:val="20"/>
              </w:rPr>
            </w:pPr>
            <w:r w:rsidRPr="001569FB">
              <w:rPr>
                <w:sz w:val="20"/>
                <w:szCs w:val="20"/>
              </w:rPr>
              <w:t>NonAged, Bone/Joint Muscle Infections/Necrosis</w:t>
            </w:r>
          </w:p>
        </w:tc>
        <w:tc>
          <w:tcPr>
            <w:tcW w:w="2100" w:type="dxa"/>
            <w:noWrap/>
            <w:hideMark/>
          </w:tcPr>
          <w:p w14:paraId="50588FEC" w14:textId="77777777" w:rsidR="009A7430" w:rsidRPr="001569FB" w:rsidRDefault="009A7430" w:rsidP="008D4E91">
            <w:pPr>
              <w:jc w:val="center"/>
              <w:rPr>
                <w:sz w:val="20"/>
                <w:szCs w:val="20"/>
              </w:rPr>
            </w:pPr>
            <w:r w:rsidRPr="001569FB">
              <w:rPr>
                <w:sz w:val="20"/>
                <w:szCs w:val="20"/>
              </w:rPr>
              <w:t>0.447</w:t>
            </w:r>
          </w:p>
        </w:tc>
      </w:tr>
      <w:tr w:rsidR="009A7430" w:rsidRPr="001569FB" w14:paraId="71D5C56D" w14:textId="77777777" w:rsidTr="008D4E91">
        <w:trPr>
          <w:trHeight w:val="315"/>
        </w:trPr>
        <w:tc>
          <w:tcPr>
            <w:tcW w:w="3694" w:type="dxa"/>
            <w:hideMark/>
          </w:tcPr>
          <w:p w14:paraId="4ED77973" w14:textId="77777777" w:rsidR="009A7430" w:rsidRPr="001569FB" w:rsidRDefault="009A7430" w:rsidP="008D4E91">
            <w:pPr>
              <w:rPr>
                <w:sz w:val="20"/>
                <w:szCs w:val="20"/>
              </w:rPr>
            </w:pPr>
            <w:r w:rsidRPr="001569FB">
              <w:rPr>
                <w:sz w:val="20"/>
                <w:szCs w:val="20"/>
              </w:rPr>
              <w:t>NONAGED_HCC77</w:t>
            </w:r>
          </w:p>
        </w:tc>
        <w:tc>
          <w:tcPr>
            <w:tcW w:w="3556" w:type="dxa"/>
            <w:hideMark/>
          </w:tcPr>
          <w:p w14:paraId="3B5B0D04" w14:textId="77777777" w:rsidR="009A7430" w:rsidRPr="001569FB" w:rsidRDefault="009A7430" w:rsidP="008D4E91">
            <w:pPr>
              <w:rPr>
                <w:sz w:val="20"/>
                <w:szCs w:val="20"/>
              </w:rPr>
            </w:pPr>
            <w:r w:rsidRPr="001569FB">
              <w:rPr>
                <w:sz w:val="20"/>
                <w:szCs w:val="20"/>
              </w:rPr>
              <w:t>NonAged, Multiple Sclerosis</w:t>
            </w:r>
          </w:p>
        </w:tc>
        <w:tc>
          <w:tcPr>
            <w:tcW w:w="2100" w:type="dxa"/>
            <w:noWrap/>
            <w:hideMark/>
          </w:tcPr>
          <w:p w14:paraId="2F0F1CEF" w14:textId="77777777" w:rsidR="009A7430" w:rsidRPr="001569FB" w:rsidRDefault="009A7430" w:rsidP="008D4E91">
            <w:pPr>
              <w:jc w:val="center"/>
              <w:rPr>
                <w:sz w:val="20"/>
                <w:szCs w:val="20"/>
              </w:rPr>
            </w:pPr>
            <w:r w:rsidRPr="001569FB">
              <w:rPr>
                <w:sz w:val="20"/>
                <w:szCs w:val="20"/>
              </w:rPr>
              <w:t>0.448</w:t>
            </w:r>
          </w:p>
        </w:tc>
      </w:tr>
      <w:tr w:rsidR="009A7430" w:rsidRPr="001569FB" w14:paraId="3F0576C5" w14:textId="77777777" w:rsidTr="008D4E91">
        <w:trPr>
          <w:trHeight w:val="315"/>
        </w:trPr>
        <w:tc>
          <w:tcPr>
            <w:tcW w:w="3694" w:type="dxa"/>
            <w:hideMark/>
          </w:tcPr>
          <w:p w14:paraId="3103E72D" w14:textId="77777777" w:rsidR="009A7430" w:rsidRPr="001569FB" w:rsidRDefault="009A7430" w:rsidP="008D4E91">
            <w:pPr>
              <w:rPr>
                <w:sz w:val="20"/>
                <w:szCs w:val="20"/>
              </w:rPr>
            </w:pPr>
            <w:r w:rsidRPr="001569FB">
              <w:rPr>
                <w:sz w:val="20"/>
                <w:szCs w:val="20"/>
              </w:rPr>
              <w:t>NONAGED_HCC6</w:t>
            </w:r>
          </w:p>
        </w:tc>
        <w:tc>
          <w:tcPr>
            <w:tcW w:w="3556" w:type="dxa"/>
            <w:hideMark/>
          </w:tcPr>
          <w:p w14:paraId="7DC8777F" w14:textId="77777777" w:rsidR="009A7430" w:rsidRPr="001569FB" w:rsidRDefault="009A7430" w:rsidP="008D4E91">
            <w:pPr>
              <w:rPr>
                <w:sz w:val="20"/>
                <w:szCs w:val="20"/>
              </w:rPr>
            </w:pPr>
            <w:r w:rsidRPr="001569FB">
              <w:rPr>
                <w:sz w:val="20"/>
                <w:szCs w:val="20"/>
              </w:rPr>
              <w:t>NonAged, Opportunistic Infections</w:t>
            </w:r>
          </w:p>
        </w:tc>
        <w:tc>
          <w:tcPr>
            <w:tcW w:w="2100" w:type="dxa"/>
            <w:noWrap/>
            <w:hideMark/>
          </w:tcPr>
          <w:p w14:paraId="0E9D2E4A" w14:textId="77777777" w:rsidR="009A7430" w:rsidRPr="001569FB" w:rsidRDefault="009A7430" w:rsidP="008D4E91">
            <w:pPr>
              <w:jc w:val="center"/>
              <w:rPr>
                <w:sz w:val="20"/>
                <w:szCs w:val="20"/>
              </w:rPr>
            </w:pPr>
            <w:r w:rsidRPr="001569FB">
              <w:rPr>
                <w:sz w:val="20"/>
                <w:szCs w:val="20"/>
              </w:rPr>
              <w:t>0.314</w:t>
            </w:r>
          </w:p>
        </w:tc>
      </w:tr>
    </w:tbl>
    <w:p w14:paraId="4E594F1A" w14:textId="77777777" w:rsidR="009A7430" w:rsidRPr="001569FB" w:rsidRDefault="00EE48B5" w:rsidP="002707EC">
      <w:pPr>
        <w:spacing w:before="120" w:line="240" w:lineRule="auto"/>
        <w:rPr>
          <w:b/>
          <w:sz w:val="18"/>
          <w:szCs w:val="18"/>
        </w:rPr>
      </w:pPr>
      <w:r w:rsidRPr="001569FB">
        <w:rPr>
          <w:b/>
          <w:sz w:val="18"/>
          <w:szCs w:val="18"/>
        </w:rPr>
        <w:t>NOTES</w:t>
      </w:r>
      <w:r w:rsidR="009A7430" w:rsidRPr="001569FB">
        <w:rPr>
          <w:b/>
          <w:sz w:val="18"/>
          <w:szCs w:val="18"/>
        </w:rPr>
        <w:t>:</w:t>
      </w:r>
    </w:p>
    <w:p w14:paraId="533C8371" w14:textId="48D5C783" w:rsidR="009A7430" w:rsidRPr="001569FB" w:rsidRDefault="009A7430" w:rsidP="00EE48B5">
      <w:pPr>
        <w:spacing w:line="240" w:lineRule="auto"/>
        <w:ind w:left="720" w:hanging="360"/>
        <w:rPr>
          <w:sz w:val="18"/>
          <w:szCs w:val="18"/>
        </w:rPr>
      </w:pPr>
      <w:r w:rsidRPr="001569FB">
        <w:rPr>
          <w:sz w:val="18"/>
          <w:szCs w:val="18"/>
        </w:rPr>
        <w:t>1.</w:t>
      </w:r>
      <w:r w:rsidR="00EE48B5" w:rsidRPr="001569FB">
        <w:rPr>
          <w:sz w:val="18"/>
          <w:szCs w:val="18"/>
        </w:rPr>
        <w:tab/>
      </w:r>
      <w:r w:rsidRPr="001569FB">
        <w:rPr>
          <w:sz w:val="18"/>
          <w:szCs w:val="18"/>
        </w:rPr>
        <w:t>The Denominator used to calculate the relative factors is $9,366.89.</w:t>
      </w:r>
    </w:p>
    <w:p w14:paraId="538B6E93" w14:textId="4C53C887" w:rsidR="009A7430" w:rsidRPr="001569FB" w:rsidRDefault="009A7430" w:rsidP="002707EC">
      <w:pPr>
        <w:spacing w:before="40" w:line="240" w:lineRule="auto"/>
        <w:ind w:left="720" w:hanging="360"/>
        <w:rPr>
          <w:sz w:val="18"/>
          <w:szCs w:val="18"/>
        </w:rPr>
      </w:pPr>
      <w:r w:rsidRPr="001569FB">
        <w:rPr>
          <w:sz w:val="18"/>
          <w:szCs w:val="18"/>
        </w:rPr>
        <w:t>2.</w:t>
      </w:r>
      <w:r w:rsidR="00EE48B5"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271DE627" w14:textId="4540B803" w:rsidR="009A7430" w:rsidRPr="001569FB" w:rsidRDefault="009A7430" w:rsidP="002707EC">
      <w:pPr>
        <w:spacing w:before="40" w:line="240" w:lineRule="auto"/>
        <w:ind w:left="720" w:hanging="360"/>
        <w:rPr>
          <w:sz w:val="18"/>
          <w:szCs w:val="18"/>
        </w:rPr>
      </w:pPr>
      <w:r w:rsidRPr="001569FB">
        <w:rPr>
          <w:sz w:val="18"/>
          <w:szCs w:val="18"/>
        </w:rPr>
        <w:t>3.</w:t>
      </w:r>
      <w:r w:rsidR="00EE48B5" w:rsidRPr="001569FB">
        <w:rPr>
          <w:sz w:val="18"/>
          <w:szCs w:val="18"/>
        </w:rPr>
        <w:tab/>
      </w:r>
      <w:r w:rsidRPr="001569FB">
        <w:rPr>
          <w:sz w:val="18"/>
          <w:szCs w:val="18"/>
        </w:rPr>
        <w:t>Originally Disabled terms refer to beneficiaries originally entitled to Medicare for reasons of disability other than ESRD.</w:t>
      </w:r>
    </w:p>
    <w:p w14:paraId="1A29A2CC" w14:textId="66A5CD4F" w:rsidR="009A7430" w:rsidRPr="001569FB" w:rsidRDefault="00EE48B5" w:rsidP="002707EC">
      <w:pPr>
        <w:spacing w:before="40" w:line="240" w:lineRule="auto"/>
        <w:ind w:firstLine="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A24AFE" w:rsidRPr="001569FB">
        <w:rPr>
          <w:sz w:val="18"/>
          <w:szCs w:val="18"/>
        </w:rPr>
        <w:t>“</w:t>
      </w:r>
      <w:r w:rsidR="009A7430" w:rsidRPr="001569FB">
        <w:rPr>
          <w:sz w:val="18"/>
          <w:szCs w:val="18"/>
        </w:rPr>
        <w:t>Disease interactions</w:t>
      </w:r>
      <w:r w:rsidR="00A24AFE" w:rsidRPr="001569FB">
        <w:rPr>
          <w:sz w:val="18"/>
          <w:szCs w:val="18"/>
        </w:rPr>
        <w:t>”</w:t>
      </w:r>
      <w:r w:rsidR="009A7430" w:rsidRPr="001569FB">
        <w:rPr>
          <w:sz w:val="18"/>
          <w:szCs w:val="18"/>
        </w:rPr>
        <w:t xml:space="preserve"> and </w:t>
      </w:r>
      <w:r w:rsidR="00A24AFE" w:rsidRPr="001569FB">
        <w:rPr>
          <w:sz w:val="18"/>
          <w:szCs w:val="18"/>
        </w:rPr>
        <w:t>“</w:t>
      </w:r>
      <w:r w:rsidR="009A7430" w:rsidRPr="001569FB">
        <w:rPr>
          <w:sz w:val="18"/>
          <w:szCs w:val="18"/>
        </w:rPr>
        <w:t>Non</w:t>
      </w:r>
      <w:r w:rsidR="007A6384" w:rsidRPr="001569FB">
        <w:rPr>
          <w:sz w:val="18"/>
          <w:szCs w:val="18"/>
        </w:rPr>
        <w:t>-</w:t>
      </w:r>
      <w:r w:rsidR="009A7430" w:rsidRPr="001569FB">
        <w:rPr>
          <w:sz w:val="18"/>
          <w:szCs w:val="18"/>
        </w:rPr>
        <w:t>Aged interactions,</w:t>
      </w:r>
      <w:r w:rsidR="00A24AFE" w:rsidRPr="001569FB">
        <w:rPr>
          <w:sz w:val="18"/>
          <w:szCs w:val="18"/>
        </w:rPr>
        <w:t>”</w:t>
      </w:r>
      <w:r w:rsidR="009A7430" w:rsidRPr="001569FB">
        <w:rPr>
          <w:sz w:val="18"/>
          <w:szCs w:val="18"/>
        </w:rPr>
        <w:t xml:space="preserve"> the variables are defined as follows:</w:t>
      </w:r>
    </w:p>
    <w:p w14:paraId="4A573829" w14:textId="77777777" w:rsidR="009A7430" w:rsidRPr="001569FB" w:rsidRDefault="009A7430" w:rsidP="002707EC">
      <w:pPr>
        <w:spacing w:line="240" w:lineRule="auto"/>
        <w:ind w:left="1080"/>
        <w:rPr>
          <w:sz w:val="18"/>
          <w:szCs w:val="18"/>
        </w:rPr>
      </w:pPr>
      <w:r w:rsidRPr="001569FB">
        <w:rPr>
          <w:sz w:val="18"/>
          <w:szCs w:val="18"/>
        </w:rPr>
        <w:t>Sepsis = HCC 2.</w:t>
      </w:r>
    </w:p>
    <w:p w14:paraId="0F1264C0"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FAFC3C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24F6CC0A"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AFE6331"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7C30142E" w14:textId="77777777" w:rsidR="009A7430" w:rsidRPr="001569FB" w:rsidRDefault="009A7430" w:rsidP="002707EC">
      <w:pPr>
        <w:spacing w:line="240" w:lineRule="auto"/>
        <w:ind w:left="1080"/>
        <w:rPr>
          <w:sz w:val="18"/>
          <w:szCs w:val="18"/>
        </w:rPr>
      </w:pPr>
      <w:r w:rsidRPr="001569FB">
        <w:rPr>
          <w:sz w:val="18"/>
          <w:szCs w:val="18"/>
        </w:rPr>
        <w:t>Pressure Ulcer = HCCs 157-160.</w:t>
      </w:r>
    </w:p>
    <w:p w14:paraId="5B83308E" w14:textId="77777777" w:rsidR="009A7430" w:rsidRPr="001569FB" w:rsidRDefault="009A7430" w:rsidP="002707EC">
      <w:pPr>
        <w:spacing w:line="240" w:lineRule="auto"/>
        <w:ind w:left="1080"/>
        <w:rPr>
          <w:sz w:val="18"/>
          <w:szCs w:val="18"/>
        </w:rPr>
      </w:pPr>
      <w:r w:rsidRPr="001569FB">
        <w:rPr>
          <w:sz w:val="18"/>
          <w:szCs w:val="18"/>
        </w:rPr>
        <w:t>Artificial Openings for Feeding or Elimination = HCC 188.</w:t>
      </w:r>
    </w:p>
    <w:p w14:paraId="52EA9D90" w14:textId="77777777" w:rsidR="009A7430" w:rsidRPr="001569FB" w:rsidRDefault="009A7430" w:rsidP="002707EC">
      <w:pPr>
        <w:spacing w:line="240" w:lineRule="auto"/>
        <w:ind w:left="1080"/>
        <w:rPr>
          <w:sz w:val="18"/>
          <w:szCs w:val="18"/>
        </w:rPr>
      </w:pPr>
      <w:r w:rsidRPr="001569FB">
        <w:rPr>
          <w:sz w:val="18"/>
          <w:szCs w:val="18"/>
        </w:rPr>
        <w:t>Aspiration and Specified Bacterial Pneumonias = HCC 114.</w:t>
      </w:r>
    </w:p>
    <w:p w14:paraId="0DAB7F52" w14:textId="77777777" w:rsidR="009A7430" w:rsidRPr="001569FB" w:rsidRDefault="009A7430" w:rsidP="002707EC">
      <w:pPr>
        <w:spacing w:line="240" w:lineRule="auto"/>
        <w:ind w:left="1080"/>
        <w:rPr>
          <w:sz w:val="18"/>
          <w:szCs w:val="18"/>
        </w:rPr>
      </w:pPr>
      <w:r w:rsidRPr="001569FB">
        <w:rPr>
          <w:sz w:val="18"/>
          <w:szCs w:val="18"/>
        </w:rPr>
        <w:t>Schizophrenia = HCC 57.</w:t>
      </w:r>
    </w:p>
    <w:p w14:paraId="074036BF" w14:textId="77777777" w:rsidR="009A7430" w:rsidRPr="001569FB" w:rsidRDefault="009A7430" w:rsidP="002707EC">
      <w:pPr>
        <w:spacing w:line="240" w:lineRule="auto"/>
        <w:ind w:left="1080"/>
        <w:rPr>
          <w:sz w:val="18"/>
          <w:szCs w:val="18"/>
        </w:rPr>
      </w:pPr>
      <w:r w:rsidRPr="001569FB">
        <w:rPr>
          <w:sz w:val="18"/>
          <w:szCs w:val="18"/>
        </w:rPr>
        <w:t>Seizure Disorders and Convulsions = HCC 79.</w:t>
      </w:r>
    </w:p>
    <w:p w14:paraId="4580FB94" w14:textId="77777777" w:rsidR="009A7430" w:rsidRPr="001569FB" w:rsidRDefault="009A7430" w:rsidP="002707EC">
      <w:pPr>
        <w:spacing w:line="240" w:lineRule="auto"/>
        <w:ind w:left="1080"/>
        <w:rPr>
          <w:sz w:val="18"/>
          <w:szCs w:val="18"/>
        </w:rPr>
      </w:pPr>
      <w:r w:rsidRPr="001569FB">
        <w:rPr>
          <w:sz w:val="18"/>
          <w:szCs w:val="18"/>
        </w:rPr>
        <w:t>Chronic Ulcer of Skin, except Pressure = HCC 161.</w:t>
      </w:r>
    </w:p>
    <w:p w14:paraId="00402D78" w14:textId="77777777" w:rsidR="009A7430" w:rsidRPr="001569FB" w:rsidRDefault="009A7430" w:rsidP="002707EC">
      <w:pPr>
        <w:spacing w:line="240" w:lineRule="auto"/>
        <w:ind w:left="1080"/>
        <w:rPr>
          <w:sz w:val="18"/>
          <w:szCs w:val="18"/>
        </w:rPr>
      </w:pPr>
      <w:r w:rsidRPr="001569FB">
        <w:rPr>
          <w:sz w:val="18"/>
          <w:szCs w:val="18"/>
        </w:rPr>
        <w:t>Bone/Joint/Muscle Infections/Necrosis = HCC 39.</w:t>
      </w:r>
    </w:p>
    <w:p w14:paraId="391CF9C2" w14:textId="77777777" w:rsidR="009A7430" w:rsidRPr="001569FB" w:rsidRDefault="009A7430" w:rsidP="002707EC">
      <w:pPr>
        <w:spacing w:line="240" w:lineRule="auto"/>
        <w:ind w:left="1080"/>
        <w:rPr>
          <w:sz w:val="18"/>
          <w:szCs w:val="18"/>
        </w:rPr>
      </w:pPr>
      <w:r w:rsidRPr="001569FB">
        <w:rPr>
          <w:sz w:val="18"/>
          <w:szCs w:val="18"/>
        </w:rPr>
        <w:t>Multiple Sclerosis = HCC 77.</w:t>
      </w:r>
    </w:p>
    <w:p w14:paraId="27A664EA" w14:textId="77777777" w:rsidR="009A7430" w:rsidRPr="001569FB" w:rsidRDefault="009A7430" w:rsidP="002707EC">
      <w:pPr>
        <w:spacing w:line="240" w:lineRule="auto"/>
        <w:ind w:left="1080"/>
        <w:rPr>
          <w:sz w:val="18"/>
          <w:szCs w:val="18"/>
        </w:rPr>
      </w:pPr>
      <w:r w:rsidRPr="001569FB">
        <w:rPr>
          <w:sz w:val="18"/>
          <w:szCs w:val="18"/>
        </w:rPr>
        <w:t>Opportunistic Infections = HCC 6.</w:t>
      </w:r>
    </w:p>
    <w:p w14:paraId="357A3A47" w14:textId="01C25048" w:rsidR="009A7430" w:rsidRPr="001569FB" w:rsidRDefault="009A7430" w:rsidP="002707EC">
      <w:pPr>
        <w:spacing w:before="60" w:line="240" w:lineRule="auto"/>
        <w:rPr>
          <w:b/>
          <w:bCs/>
        </w:rPr>
      </w:pPr>
      <w:r w:rsidRPr="001569FB">
        <w:rPr>
          <w:b/>
          <w:bCs/>
          <w:sz w:val="18"/>
          <w:szCs w:val="18"/>
        </w:rPr>
        <w:lastRenderedPageBreak/>
        <w:t xml:space="preserve">SOURCE:  </w:t>
      </w:r>
      <w:r w:rsidRPr="001569FB">
        <w:rPr>
          <w:bCs/>
          <w:sz w:val="18"/>
          <w:szCs w:val="18"/>
        </w:rPr>
        <w:t>RTI International analysis of 2014/2015 100% ESRD sample claims and enrollment data and 2014/2015 Medicare 100% institutional sample.</w:t>
      </w:r>
    </w:p>
    <w:p w14:paraId="2D1A8465" w14:textId="4680075A" w:rsidR="009A7430" w:rsidRPr="001569FB" w:rsidRDefault="00E177CD" w:rsidP="00E177CD">
      <w:pPr>
        <w:pStyle w:val="HeadingA"/>
      </w:pPr>
      <w:bookmarkStart w:id="603" w:name="_Toc503950937"/>
      <w:bookmarkStart w:id="604" w:name="_Toc503980162"/>
      <w:r w:rsidRPr="001569FB">
        <w:br w:type="page"/>
      </w:r>
      <w:bookmarkStart w:id="605" w:name="_Toc505253823"/>
      <w:r w:rsidR="009A7430" w:rsidRPr="001569FB">
        <w:lastRenderedPageBreak/>
        <w:t xml:space="preserve">Table </w:t>
      </w:r>
      <w:r w:rsidR="00440F3D" w:rsidRPr="001569FB">
        <w:t>V-</w:t>
      </w:r>
      <w:r w:rsidR="000B6CFC" w:rsidRPr="001569FB">
        <w:t>11</w:t>
      </w:r>
      <w:r w:rsidR="009A7430" w:rsidRPr="001569FB">
        <w:t>. ESRD Model Demographic Relative Factors for Functioning Graft New Enrollees Duration Since Transplant of 4-9 Months</w:t>
      </w:r>
      <w:bookmarkEnd w:id="603"/>
      <w:bookmarkEnd w:id="604"/>
      <w:bookmarkEnd w:id="605"/>
    </w:p>
    <w:tbl>
      <w:tblPr>
        <w:tblStyle w:val="TableGrid"/>
        <w:tblpPr w:leftFromText="180" w:rightFromText="180" w:vertAnchor="text" w:tblpY="1"/>
        <w:tblOverlap w:val="never"/>
        <w:tblW w:w="0" w:type="auto"/>
        <w:tblLook w:val="04A0" w:firstRow="1" w:lastRow="0" w:firstColumn="1" w:lastColumn="0" w:noHBand="0" w:noVBand="1"/>
      </w:tblPr>
      <w:tblGrid>
        <w:gridCol w:w="1991"/>
        <w:gridCol w:w="1839"/>
        <w:gridCol w:w="1840"/>
        <w:gridCol w:w="1840"/>
        <w:gridCol w:w="1840"/>
      </w:tblGrid>
      <w:tr w:rsidR="009A7430" w:rsidRPr="001569FB" w14:paraId="446C681A" w14:textId="77777777" w:rsidTr="00E177CD">
        <w:trPr>
          <w:cantSplit/>
          <w:trHeight w:val="864"/>
          <w:tblHeader/>
        </w:trPr>
        <w:tc>
          <w:tcPr>
            <w:tcW w:w="2080" w:type="dxa"/>
            <w:tcBorders>
              <w:bottom w:val="single" w:sz="4" w:space="0" w:color="auto"/>
              <w:right w:val="single" w:sz="4" w:space="0" w:color="auto"/>
            </w:tcBorders>
            <w:noWrap/>
            <w:hideMark/>
          </w:tcPr>
          <w:p w14:paraId="6D55DEEB" w14:textId="77777777" w:rsidR="009A7430" w:rsidRPr="001569FB" w:rsidRDefault="009A7430" w:rsidP="00875BB1">
            <w:pPr>
              <w:jc w:val="center"/>
              <w:rPr>
                <w:sz w:val="20"/>
                <w:szCs w:val="20"/>
              </w:rPr>
            </w:pPr>
            <w:r w:rsidRPr="001569FB">
              <w:rPr>
                <w:sz w:val="20"/>
                <w:szCs w:val="20"/>
              </w:rPr>
              <w:t> </w:t>
            </w:r>
          </w:p>
        </w:tc>
        <w:tc>
          <w:tcPr>
            <w:tcW w:w="1920" w:type="dxa"/>
            <w:tcBorders>
              <w:left w:val="single" w:sz="4" w:space="0" w:color="auto"/>
              <w:bottom w:val="single" w:sz="4" w:space="0" w:color="auto"/>
              <w:right w:val="single" w:sz="4" w:space="0" w:color="auto"/>
            </w:tcBorders>
            <w:hideMark/>
          </w:tcPr>
          <w:p w14:paraId="1255E179" w14:textId="77777777" w:rsidR="009A7430" w:rsidRPr="001569FB" w:rsidRDefault="009A7430" w:rsidP="00875BB1">
            <w:pPr>
              <w:jc w:val="center"/>
              <w:rPr>
                <w:b/>
                <w:bCs/>
                <w:sz w:val="20"/>
                <w:szCs w:val="20"/>
              </w:rPr>
            </w:pPr>
            <w:r w:rsidRPr="001569FB">
              <w:rPr>
                <w:b/>
                <w:bCs/>
                <w:sz w:val="20"/>
                <w:szCs w:val="20"/>
              </w:rPr>
              <w:t>Non-Medicaid &amp; Non-Originally Disabled</w:t>
            </w:r>
          </w:p>
        </w:tc>
        <w:tc>
          <w:tcPr>
            <w:tcW w:w="1920" w:type="dxa"/>
            <w:tcBorders>
              <w:left w:val="single" w:sz="4" w:space="0" w:color="auto"/>
              <w:bottom w:val="single" w:sz="4" w:space="0" w:color="auto"/>
              <w:right w:val="single" w:sz="4" w:space="0" w:color="auto"/>
            </w:tcBorders>
            <w:hideMark/>
          </w:tcPr>
          <w:p w14:paraId="03B79B6E" w14:textId="77777777" w:rsidR="009A7430" w:rsidRPr="001569FB" w:rsidRDefault="009A7430" w:rsidP="00875BB1">
            <w:pPr>
              <w:jc w:val="center"/>
              <w:rPr>
                <w:b/>
                <w:bCs/>
                <w:sz w:val="20"/>
                <w:szCs w:val="20"/>
              </w:rPr>
            </w:pPr>
            <w:r w:rsidRPr="001569FB">
              <w:rPr>
                <w:b/>
                <w:bCs/>
                <w:sz w:val="20"/>
                <w:szCs w:val="20"/>
              </w:rPr>
              <w:t>Medicaid &amp; Non-Originally Disabled</w:t>
            </w:r>
          </w:p>
        </w:tc>
        <w:tc>
          <w:tcPr>
            <w:tcW w:w="1920" w:type="dxa"/>
            <w:tcBorders>
              <w:left w:val="single" w:sz="4" w:space="0" w:color="auto"/>
              <w:bottom w:val="single" w:sz="4" w:space="0" w:color="auto"/>
              <w:right w:val="single" w:sz="4" w:space="0" w:color="auto"/>
            </w:tcBorders>
            <w:hideMark/>
          </w:tcPr>
          <w:p w14:paraId="35D26E7A" w14:textId="77777777" w:rsidR="009A7430" w:rsidRPr="001569FB" w:rsidRDefault="009A7430" w:rsidP="00875BB1">
            <w:pPr>
              <w:jc w:val="center"/>
              <w:rPr>
                <w:b/>
                <w:bCs/>
                <w:sz w:val="20"/>
                <w:szCs w:val="20"/>
              </w:rPr>
            </w:pPr>
            <w:r w:rsidRPr="001569FB">
              <w:rPr>
                <w:b/>
                <w:bCs/>
                <w:sz w:val="20"/>
                <w:szCs w:val="20"/>
              </w:rPr>
              <w:t>Non-Medicaid &amp; Originally Disabled</w:t>
            </w:r>
          </w:p>
        </w:tc>
        <w:tc>
          <w:tcPr>
            <w:tcW w:w="1920" w:type="dxa"/>
            <w:tcBorders>
              <w:left w:val="single" w:sz="4" w:space="0" w:color="auto"/>
              <w:bottom w:val="single" w:sz="4" w:space="0" w:color="auto"/>
            </w:tcBorders>
            <w:hideMark/>
          </w:tcPr>
          <w:p w14:paraId="64E51BE7" w14:textId="77777777" w:rsidR="009A7430" w:rsidRPr="001569FB" w:rsidRDefault="009A7430" w:rsidP="00875BB1">
            <w:pPr>
              <w:jc w:val="center"/>
              <w:rPr>
                <w:b/>
                <w:bCs/>
                <w:sz w:val="20"/>
                <w:szCs w:val="20"/>
              </w:rPr>
            </w:pPr>
            <w:r w:rsidRPr="001569FB">
              <w:rPr>
                <w:b/>
                <w:bCs/>
                <w:sz w:val="20"/>
                <w:szCs w:val="20"/>
              </w:rPr>
              <w:t>Medicaid &amp; Originally Disabled</w:t>
            </w:r>
          </w:p>
        </w:tc>
      </w:tr>
      <w:tr w:rsidR="009A7430" w:rsidRPr="001569FB" w14:paraId="21BF9600" w14:textId="77777777" w:rsidTr="002707EC">
        <w:trPr>
          <w:trHeight w:hRule="exact" w:val="259"/>
        </w:trPr>
        <w:tc>
          <w:tcPr>
            <w:tcW w:w="2080" w:type="dxa"/>
            <w:tcBorders>
              <w:bottom w:val="nil"/>
              <w:right w:val="single" w:sz="4" w:space="0" w:color="auto"/>
            </w:tcBorders>
            <w:noWrap/>
            <w:vAlign w:val="center"/>
            <w:hideMark/>
          </w:tcPr>
          <w:p w14:paraId="0DE2789A" w14:textId="77777777" w:rsidR="009A7430" w:rsidRPr="001569FB" w:rsidRDefault="009A7430" w:rsidP="00875BB1">
            <w:pPr>
              <w:rPr>
                <w:b/>
                <w:bCs/>
                <w:sz w:val="20"/>
                <w:szCs w:val="20"/>
              </w:rPr>
            </w:pPr>
            <w:r w:rsidRPr="001569FB">
              <w:rPr>
                <w:b/>
                <w:bCs/>
                <w:sz w:val="20"/>
                <w:szCs w:val="20"/>
              </w:rPr>
              <w:t>Female</w:t>
            </w:r>
          </w:p>
        </w:tc>
        <w:tc>
          <w:tcPr>
            <w:tcW w:w="1920" w:type="dxa"/>
            <w:tcBorders>
              <w:left w:val="single" w:sz="4" w:space="0" w:color="auto"/>
              <w:bottom w:val="nil"/>
              <w:right w:val="single" w:sz="4" w:space="0" w:color="auto"/>
            </w:tcBorders>
            <w:noWrap/>
            <w:vAlign w:val="center"/>
            <w:hideMark/>
          </w:tcPr>
          <w:p w14:paraId="4439668A"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691F979E"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7C088048"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tcBorders>
            <w:noWrap/>
            <w:vAlign w:val="center"/>
            <w:hideMark/>
          </w:tcPr>
          <w:p w14:paraId="6D2E3BF8" w14:textId="77777777" w:rsidR="009A7430" w:rsidRPr="001569FB" w:rsidRDefault="009A7430" w:rsidP="00875BB1">
            <w:pPr>
              <w:rPr>
                <w:sz w:val="20"/>
                <w:szCs w:val="20"/>
              </w:rPr>
            </w:pPr>
            <w:r w:rsidRPr="001569FB">
              <w:rPr>
                <w:sz w:val="20"/>
                <w:szCs w:val="20"/>
              </w:rPr>
              <w:t> </w:t>
            </w:r>
          </w:p>
        </w:tc>
      </w:tr>
      <w:tr w:rsidR="009A7430" w:rsidRPr="001569FB" w14:paraId="7967FCC6" w14:textId="77777777" w:rsidTr="002707EC">
        <w:trPr>
          <w:trHeight w:hRule="exact" w:val="259"/>
        </w:trPr>
        <w:tc>
          <w:tcPr>
            <w:tcW w:w="2080" w:type="dxa"/>
            <w:tcBorders>
              <w:top w:val="nil"/>
              <w:bottom w:val="nil"/>
              <w:right w:val="single" w:sz="4" w:space="0" w:color="auto"/>
            </w:tcBorders>
            <w:noWrap/>
            <w:hideMark/>
          </w:tcPr>
          <w:p w14:paraId="4DEA500C"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310DB23A" w14:textId="77777777" w:rsidR="009A7430" w:rsidRPr="001569FB" w:rsidRDefault="009A7430" w:rsidP="00875BB1">
            <w:pPr>
              <w:jc w:val="center"/>
              <w:rPr>
                <w:sz w:val="20"/>
                <w:szCs w:val="20"/>
              </w:rPr>
            </w:pPr>
            <w:r w:rsidRPr="001569FB">
              <w:rPr>
                <w:sz w:val="20"/>
                <w:szCs w:val="20"/>
              </w:rPr>
              <w:t>2.978</w:t>
            </w:r>
          </w:p>
        </w:tc>
        <w:tc>
          <w:tcPr>
            <w:tcW w:w="1920" w:type="dxa"/>
            <w:tcBorders>
              <w:top w:val="nil"/>
              <w:left w:val="single" w:sz="4" w:space="0" w:color="auto"/>
              <w:bottom w:val="nil"/>
              <w:right w:val="single" w:sz="4" w:space="0" w:color="auto"/>
            </w:tcBorders>
            <w:shd w:val="clear" w:color="000000" w:fill="FFFFFF"/>
            <w:noWrap/>
            <w:hideMark/>
          </w:tcPr>
          <w:p w14:paraId="757B3B0D" w14:textId="77777777" w:rsidR="009A7430" w:rsidRPr="001569FB" w:rsidRDefault="009A7430" w:rsidP="00875BB1">
            <w:pPr>
              <w:jc w:val="center"/>
              <w:rPr>
                <w:sz w:val="20"/>
                <w:szCs w:val="20"/>
              </w:rPr>
            </w:pPr>
            <w:r w:rsidRPr="001569FB">
              <w:rPr>
                <w:sz w:val="20"/>
                <w:szCs w:val="20"/>
              </w:rPr>
              <w:t>3.143</w:t>
            </w:r>
          </w:p>
        </w:tc>
        <w:tc>
          <w:tcPr>
            <w:tcW w:w="1920" w:type="dxa"/>
            <w:tcBorders>
              <w:top w:val="nil"/>
              <w:left w:val="single" w:sz="4" w:space="0" w:color="auto"/>
              <w:bottom w:val="nil"/>
              <w:right w:val="single" w:sz="4" w:space="0" w:color="auto"/>
            </w:tcBorders>
            <w:noWrap/>
            <w:hideMark/>
          </w:tcPr>
          <w:p w14:paraId="139555B7"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30607D9" w14:textId="77777777" w:rsidR="009A7430" w:rsidRPr="001569FB" w:rsidRDefault="009A7430" w:rsidP="00875BB1">
            <w:pPr>
              <w:jc w:val="center"/>
              <w:rPr>
                <w:sz w:val="20"/>
                <w:szCs w:val="20"/>
              </w:rPr>
            </w:pPr>
            <w:r w:rsidRPr="001569FB">
              <w:rPr>
                <w:sz w:val="20"/>
                <w:szCs w:val="20"/>
              </w:rPr>
              <w:t>–</w:t>
            </w:r>
          </w:p>
        </w:tc>
      </w:tr>
      <w:tr w:rsidR="009A7430" w:rsidRPr="001569FB" w14:paraId="0B7CD8CD" w14:textId="77777777" w:rsidTr="002707EC">
        <w:trPr>
          <w:trHeight w:hRule="exact" w:val="259"/>
        </w:trPr>
        <w:tc>
          <w:tcPr>
            <w:tcW w:w="2080" w:type="dxa"/>
            <w:tcBorders>
              <w:top w:val="nil"/>
              <w:bottom w:val="nil"/>
              <w:right w:val="single" w:sz="4" w:space="0" w:color="auto"/>
            </w:tcBorders>
            <w:noWrap/>
            <w:hideMark/>
          </w:tcPr>
          <w:p w14:paraId="25593C2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6B667B1D" w14:textId="77777777" w:rsidR="009A7430" w:rsidRPr="001569FB" w:rsidRDefault="009A7430" w:rsidP="00875BB1">
            <w:pPr>
              <w:jc w:val="center"/>
              <w:rPr>
                <w:sz w:val="20"/>
                <w:szCs w:val="20"/>
              </w:rPr>
            </w:pPr>
            <w:r w:rsidRPr="001569FB">
              <w:rPr>
                <w:sz w:val="20"/>
                <w:szCs w:val="20"/>
              </w:rPr>
              <w:t>3.121</w:t>
            </w:r>
          </w:p>
        </w:tc>
        <w:tc>
          <w:tcPr>
            <w:tcW w:w="1920" w:type="dxa"/>
            <w:tcBorders>
              <w:top w:val="nil"/>
              <w:left w:val="single" w:sz="4" w:space="0" w:color="auto"/>
              <w:bottom w:val="nil"/>
              <w:right w:val="single" w:sz="4" w:space="0" w:color="auto"/>
            </w:tcBorders>
            <w:shd w:val="clear" w:color="000000" w:fill="FFFFFF"/>
            <w:noWrap/>
            <w:hideMark/>
          </w:tcPr>
          <w:p w14:paraId="558DEF89" w14:textId="77777777" w:rsidR="009A7430" w:rsidRPr="001569FB" w:rsidRDefault="009A7430" w:rsidP="00875BB1">
            <w:pPr>
              <w:jc w:val="center"/>
              <w:rPr>
                <w:sz w:val="20"/>
                <w:szCs w:val="20"/>
              </w:rPr>
            </w:pPr>
            <w:r w:rsidRPr="001569FB">
              <w:rPr>
                <w:sz w:val="20"/>
                <w:szCs w:val="20"/>
              </w:rPr>
              <w:t>3.376</w:t>
            </w:r>
          </w:p>
        </w:tc>
        <w:tc>
          <w:tcPr>
            <w:tcW w:w="1920" w:type="dxa"/>
            <w:tcBorders>
              <w:top w:val="nil"/>
              <w:left w:val="single" w:sz="4" w:space="0" w:color="auto"/>
              <w:bottom w:val="nil"/>
              <w:right w:val="single" w:sz="4" w:space="0" w:color="auto"/>
            </w:tcBorders>
            <w:noWrap/>
            <w:hideMark/>
          </w:tcPr>
          <w:p w14:paraId="412B391B"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323A8E96" w14:textId="77777777" w:rsidR="009A7430" w:rsidRPr="001569FB" w:rsidRDefault="009A7430" w:rsidP="00875BB1">
            <w:pPr>
              <w:jc w:val="center"/>
              <w:rPr>
                <w:sz w:val="20"/>
                <w:szCs w:val="20"/>
              </w:rPr>
            </w:pPr>
            <w:r w:rsidRPr="001569FB">
              <w:rPr>
                <w:sz w:val="20"/>
                <w:szCs w:val="20"/>
              </w:rPr>
              <w:t>–</w:t>
            </w:r>
          </w:p>
        </w:tc>
      </w:tr>
      <w:tr w:rsidR="009A7430" w:rsidRPr="001569FB" w14:paraId="429C5667" w14:textId="77777777" w:rsidTr="002707EC">
        <w:trPr>
          <w:trHeight w:hRule="exact" w:val="259"/>
        </w:trPr>
        <w:tc>
          <w:tcPr>
            <w:tcW w:w="2080" w:type="dxa"/>
            <w:tcBorders>
              <w:top w:val="nil"/>
              <w:bottom w:val="nil"/>
              <w:right w:val="single" w:sz="4" w:space="0" w:color="auto"/>
            </w:tcBorders>
            <w:noWrap/>
            <w:hideMark/>
          </w:tcPr>
          <w:p w14:paraId="4F95EED0"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45F78032" w14:textId="77777777" w:rsidR="009A7430" w:rsidRPr="001569FB" w:rsidRDefault="009A7430" w:rsidP="00875BB1">
            <w:pPr>
              <w:jc w:val="center"/>
              <w:rPr>
                <w:sz w:val="20"/>
                <w:szCs w:val="20"/>
              </w:rPr>
            </w:pPr>
            <w:r w:rsidRPr="001569FB">
              <w:rPr>
                <w:sz w:val="20"/>
                <w:szCs w:val="20"/>
              </w:rPr>
              <w:t>3.189</w:t>
            </w:r>
          </w:p>
        </w:tc>
        <w:tc>
          <w:tcPr>
            <w:tcW w:w="1920" w:type="dxa"/>
            <w:tcBorders>
              <w:top w:val="nil"/>
              <w:left w:val="single" w:sz="4" w:space="0" w:color="auto"/>
              <w:bottom w:val="nil"/>
              <w:right w:val="single" w:sz="4" w:space="0" w:color="auto"/>
            </w:tcBorders>
            <w:shd w:val="clear" w:color="000000" w:fill="FFFFFF"/>
            <w:noWrap/>
            <w:hideMark/>
          </w:tcPr>
          <w:p w14:paraId="42FDE7D0" w14:textId="77777777" w:rsidR="009A7430" w:rsidRPr="001569FB" w:rsidRDefault="009A7430" w:rsidP="00875BB1">
            <w:pPr>
              <w:jc w:val="center"/>
              <w:rPr>
                <w:sz w:val="20"/>
                <w:szCs w:val="20"/>
              </w:rPr>
            </w:pPr>
            <w:r w:rsidRPr="001569FB">
              <w:rPr>
                <w:sz w:val="20"/>
                <w:szCs w:val="20"/>
              </w:rPr>
              <w:t>3.479</w:t>
            </w:r>
          </w:p>
        </w:tc>
        <w:tc>
          <w:tcPr>
            <w:tcW w:w="1920" w:type="dxa"/>
            <w:tcBorders>
              <w:top w:val="nil"/>
              <w:left w:val="single" w:sz="4" w:space="0" w:color="auto"/>
              <w:bottom w:val="nil"/>
              <w:right w:val="single" w:sz="4" w:space="0" w:color="auto"/>
            </w:tcBorders>
            <w:noWrap/>
            <w:hideMark/>
          </w:tcPr>
          <w:p w14:paraId="21B2F4C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9642996" w14:textId="77777777" w:rsidR="009A7430" w:rsidRPr="001569FB" w:rsidRDefault="009A7430" w:rsidP="00875BB1">
            <w:pPr>
              <w:jc w:val="center"/>
              <w:rPr>
                <w:sz w:val="20"/>
                <w:szCs w:val="20"/>
              </w:rPr>
            </w:pPr>
            <w:r w:rsidRPr="001569FB">
              <w:rPr>
                <w:sz w:val="20"/>
                <w:szCs w:val="20"/>
              </w:rPr>
              <w:t>–</w:t>
            </w:r>
          </w:p>
        </w:tc>
      </w:tr>
      <w:tr w:rsidR="009A7430" w:rsidRPr="001569FB" w14:paraId="5CF2C876" w14:textId="77777777" w:rsidTr="002707EC">
        <w:trPr>
          <w:trHeight w:hRule="exact" w:val="259"/>
        </w:trPr>
        <w:tc>
          <w:tcPr>
            <w:tcW w:w="2080" w:type="dxa"/>
            <w:tcBorders>
              <w:top w:val="nil"/>
              <w:bottom w:val="nil"/>
              <w:right w:val="single" w:sz="4" w:space="0" w:color="auto"/>
            </w:tcBorders>
            <w:noWrap/>
            <w:hideMark/>
          </w:tcPr>
          <w:p w14:paraId="02AB9160"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0AF4CF31" w14:textId="77777777" w:rsidR="009A7430" w:rsidRPr="001569FB" w:rsidRDefault="009A7430" w:rsidP="00875BB1">
            <w:pPr>
              <w:jc w:val="center"/>
              <w:rPr>
                <w:sz w:val="20"/>
                <w:szCs w:val="20"/>
              </w:rPr>
            </w:pPr>
            <w:r w:rsidRPr="001569FB">
              <w:rPr>
                <w:sz w:val="20"/>
                <w:szCs w:val="20"/>
              </w:rPr>
              <w:t>3.190</w:t>
            </w:r>
          </w:p>
        </w:tc>
        <w:tc>
          <w:tcPr>
            <w:tcW w:w="1920" w:type="dxa"/>
            <w:tcBorders>
              <w:top w:val="nil"/>
              <w:left w:val="single" w:sz="4" w:space="0" w:color="auto"/>
              <w:bottom w:val="nil"/>
              <w:right w:val="single" w:sz="4" w:space="0" w:color="auto"/>
            </w:tcBorders>
            <w:shd w:val="clear" w:color="000000" w:fill="FFFFFF"/>
            <w:noWrap/>
            <w:hideMark/>
          </w:tcPr>
          <w:p w14:paraId="6CBD50EF"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noWrap/>
            <w:hideMark/>
          </w:tcPr>
          <w:p w14:paraId="35D6D24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D4CF8D5" w14:textId="77777777" w:rsidR="009A7430" w:rsidRPr="001569FB" w:rsidRDefault="009A7430" w:rsidP="00875BB1">
            <w:pPr>
              <w:jc w:val="center"/>
              <w:rPr>
                <w:sz w:val="20"/>
                <w:szCs w:val="20"/>
              </w:rPr>
            </w:pPr>
            <w:r w:rsidRPr="001569FB">
              <w:rPr>
                <w:sz w:val="20"/>
                <w:szCs w:val="20"/>
              </w:rPr>
              <w:t>–</w:t>
            </w:r>
          </w:p>
        </w:tc>
      </w:tr>
      <w:tr w:rsidR="009A7430" w:rsidRPr="001569FB" w14:paraId="6232A1D2" w14:textId="77777777" w:rsidTr="002707EC">
        <w:trPr>
          <w:trHeight w:hRule="exact" w:val="259"/>
        </w:trPr>
        <w:tc>
          <w:tcPr>
            <w:tcW w:w="2080" w:type="dxa"/>
            <w:tcBorders>
              <w:top w:val="nil"/>
              <w:bottom w:val="nil"/>
              <w:right w:val="single" w:sz="4" w:space="0" w:color="auto"/>
            </w:tcBorders>
            <w:noWrap/>
            <w:hideMark/>
          </w:tcPr>
          <w:p w14:paraId="690142D6"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06E0220" w14:textId="77777777" w:rsidR="009A7430" w:rsidRPr="001569FB" w:rsidRDefault="009A7430" w:rsidP="00875BB1">
            <w:pPr>
              <w:jc w:val="center"/>
              <w:rPr>
                <w:sz w:val="20"/>
                <w:szCs w:val="20"/>
              </w:rPr>
            </w:pPr>
            <w:r w:rsidRPr="001569FB">
              <w:rPr>
                <w:sz w:val="20"/>
                <w:szCs w:val="20"/>
              </w:rPr>
              <w:t>3.307</w:t>
            </w:r>
          </w:p>
        </w:tc>
        <w:tc>
          <w:tcPr>
            <w:tcW w:w="1920" w:type="dxa"/>
            <w:tcBorders>
              <w:top w:val="nil"/>
              <w:left w:val="single" w:sz="4" w:space="0" w:color="auto"/>
              <w:bottom w:val="nil"/>
              <w:right w:val="single" w:sz="4" w:space="0" w:color="auto"/>
            </w:tcBorders>
            <w:shd w:val="clear" w:color="000000" w:fill="FFFFFF"/>
            <w:noWrap/>
            <w:hideMark/>
          </w:tcPr>
          <w:p w14:paraId="47548587" w14:textId="77777777" w:rsidR="009A7430" w:rsidRPr="001569FB" w:rsidRDefault="009A7430" w:rsidP="00875BB1">
            <w:pPr>
              <w:jc w:val="center"/>
              <w:rPr>
                <w:sz w:val="20"/>
                <w:szCs w:val="20"/>
              </w:rPr>
            </w:pPr>
            <w:r w:rsidRPr="001569FB">
              <w:rPr>
                <w:sz w:val="20"/>
                <w:szCs w:val="20"/>
              </w:rPr>
              <w:t>3.582</w:t>
            </w:r>
          </w:p>
        </w:tc>
        <w:tc>
          <w:tcPr>
            <w:tcW w:w="1920" w:type="dxa"/>
            <w:tcBorders>
              <w:top w:val="nil"/>
              <w:left w:val="single" w:sz="4" w:space="0" w:color="auto"/>
              <w:bottom w:val="nil"/>
              <w:right w:val="single" w:sz="4" w:space="0" w:color="auto"/>
            </w:tcBorders>
            <w:noWrap/>
            <w:hideMark/>
          </w:tcPr>
          <w:p w14:paraId="1093684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2145CA4" w14:textId="77777777" w:rsidR="009A7430" w:rsidRPr="001569FB" w:rsidRDefault="009A7430" w:rsidP="00875BB1">
            <w:pPr>
              <w:jc w:val="center"/>
              <w:rPr>
                <w:sz w:val="20"/>
                <w:szCs w:val="20"/>
              </w:rPr>
            </w:pPr>
            <w:r w:rsidRPr="001569FB">
              <w:rPr>
                <w:sz w:val="20"/>
                <w:szCs w:val="20"/>
              </w:rPr>
              <w:t>–</w:t>
            </w:r>
          </w:p>
        </w:tc>
      </w:tr>
      <w:tr w:rsidR="009A7430" w:rsidRPr="001569FB" w14:paraId="00C58760" w14:textId="77777777" w:rsidTr="002707EC">
        <w:trPr>
          <w:trHeight w:hRule="exact" w:val="259"/>
        </w:trPr>
        <w:tc>
          <w:tcPr>
            <w:tcW w:w="2080" w:type="dxa"/>
            <w:tcBorders>
              <w:top w:val="nil"/>
              <w:bottom w:val="nil"/>
              <w:right w:val="single" w:sz="4" w:space="0" w:color="auto"/>
            </w:tcBorders>
            <w:noWrap/>
            <w:hideMark/>
          </w:tcPr>
          <w:p w14:paraId="4B76CF81"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28036D05" w14:textId="77777777" w:rsidR="009A7430" w:rsidRPr="001569FB" w:rsidRDefault="009A7430" w:rsidP="00875BB1">
            <w:pPr>
              <w:jc w:val="center"/>
              <w:rPr>
                <w:sz w:val="20"/>
                <w:szCs w:val="20"/>
              </w:rPr>
            </w:pPr>
            <w:r w:rsidRPr="001569FB">
              <w:rPr>
                <w:sz w:val="20"/>
                <w:szCs w:val="20"/>
              </w:rPr>
              <w:t>3.082</w:t>
            </w:r>
          </w:p>
        </w:tc>
        <w:tc>
          <w:tcPr>
            <w:tcW w:w="1920" w:type="dxa"/>
            <w:tcBorders>
              <w:top w:val="nil"/>
              <w:left w:val="single" w:sz="4" w:space="0" w:color="auto"/>
              <w:bottom w:val="nil"/>
              <w:right w:val="single" w:sz="4" w:space="0" w:color="auto"/>
            </w:tcBorders>
            <w:shd w:val="clear" w:color="000000" w:fill="FFFFFF"/>
            <w:noWrap/>
            <w:hideMark/>
          </w:tcPr>
          <w:p w14:paraId="267A1489" w14:textId="77777777" w:rsidR="009A7430" w:rsidRPr="001569FB" w:rsidRDefault="009A7430" w:rsidP="00875BB1">
            <w:pPr>
              <w:jc w:val="center"/>
              <w:rPr>
                <w:sz w:val="20"/>
                <w:szCs w:val="20"/>
              </w:rPr>
            </w:pPr>
            <w:r w:rsidRPr="001569FB">
              <w:rPr>
                <w:sz w:val="20"/>
                <w:szCs w:val="20"/>
              </w:rPr>
              <w:t>3.555</w:t>
            </w:r>
          </w:p>
        </w:tc>
        <w:tc>
          <w:tcPr>
            <w:tcW w:w="1920" w:type="dxa"/>
            <w:tcBorders>
              <w:top w:val="nil"/>
              <w:left w:val="single" w:sz="4" w:space="0" w:color="auto"/>
              <w:bottom w:val="nil"/>
              <w:right w:val="single" w:sz="4" w:space="0" w:color="auto"/>
            </w:tcBorders>
            <w:shd w:val="clear" w:color="000000" w:fill="FFFFFF"/>
            <w:noWrap/>
            <w:hideMark/>
          </w:tcPr>
          <w:p w14:paraId="34729CB1"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2BF212BC" w14:textId="77777777" w:rsidR="009A7430" w:rsidRPr="001569FB" w:rsidRDefault="009A7430" w:rsidP="00875BB1">
            <w:pPr>
              <w:jc w:val="center"/>
              <w:rPr>
                <w:sz w:val="20"/>
                <w:szCs w:val="20"/>
              </w:rPr>
            </w:pPr>
            <w:r w:rsidRPr="001569FB">
              <w:rPr>
                <w:sz w:val="20"/>
                <w:szCs w:val="20"/>
              </w:rPr>
              <w:t>4.019</w:t>
            </w:r>
          </w:p>
        </w:tc>
      </w:tr>
      <w:tr w:rsidR="009A7430" w:rsidRPr="001569FB" w14:paraId="042FD0B8" w14:textId="77777777" w:rsidTr="002707EC">
        <w:trPr>
          <w:trHeight w:hRule="exact" w:val="259"/>
        </w:trPr>
        <w:tc>
          <w:tcPr>
            <w:tcW w:w="2080" w:type="dxa"/>
            <w:tcBorders>
              <w:top w:val="nil"/>
              <w:bottom w:val="nil"/>
              <w:right w:val="single" w:sz="4" w:space="0" w:color="auto"/>
            </w:tcBorders>
            <w:noWrap/>
            <w:hideMark/>
          </w:tcPr>
          <w:p w14:paraId="34E70F85"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1F4B2A26"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219CC810" w14:textId="77777777" w:rsidR="009A7430" w:rsidRPr="001569FB" w:rsidRDefault="009A7430" w:rsidP="00875BB1">
            <w:pPr>
              <w:jc w:val="center"/>
              <w:rPr>
                <w:sz w:val="20"/>
                <w:szCs w:val="20"/>
              </w:rPr>
            </w:pPr>
            <w:r w:rsidRPr="001569FB">
              <w:rPr>
                <w:sz w:val="20"/>
                <w:szCs w:val="20"/>
              </w:rPr>
              <w:t>3.459</w:t>
            </w:r>
          </w:p>
        </w:tc>
        <w:tc>
          <w:tcPr>
            <w:tcW w:w="1920" w:type="dxa"/>
            <w:tcBorders>
              <w:top w:val="nil"/>
              <w:left w:val="single" w:sz="4" w:space="0" w:color="auto"/>
              <w:bottom w:val="nil"/>
              <w:right w:val="single" w:sz="4" w:space="0" w:color="auto"/>
            </w:tcBorders>
            <w:shd w:val="clear" w:color="000000" w:fill="FFFFFF"/>
            <w:noWrap/>
            <w:hideMark/>
          </w:tcPr>
          <w:p w14:paraId="16B3DE40"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D620393" w14:textId="77777777" w:rsidR="009A7430" w:rsidRPr="001569FB" w:rsidRDefault="009A7430" w:rsidP="00875BB1">
            <w:pPr>
              <w:jc w:val="center"/>
              <w:rPr>
                <w:sz w:val="20"/>
                <w:szCs w:val="20"/>
              </w:rPr>
            </w:pPr>
            <w:r w:rsidRPr="001569FB">
              <w:rPr>
                <w:sz w:val="20"/>
                <w:szCs w:val="20"/>
              </w:rPr>
              <w:t>4.019</w:t>
            </w:r>
          </w:p>
        </w:tc>
      </w:tr>
      <w:tr w:rsidR="009A7430" w:rsidRPr="001569FB" w14:paraId="0F828CBA" w14:textId="77777777" w:rsidTr="002707EC">
        <w:trPr>
          <w:trHeight w:hRule="exact" w:val="259"/>
        </w:trPr>
        <w:tc>
          <w:tcPr>
            <w:tcW w:w="2080" w:type="dxa"/>
            <w:tcBorders>
              <w:top w:val="nil"/>
              <w:bottom w:val="nil"/>
              <w:right w:val="single" w:sz="4" w:space="0" w:color="auto"/>
            </w:tcBorders>
            <w:noWrap/>
            <w:hideMark/>
          </w:tcPr>
          <w:p w14:paraId="3966E86A"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BEF0A3B" w14:textId="77777777" w:rsidR="009A7430" w:rsidRPr="001569FB" w:rsidRDefault="009A7430" w:rsidP="00875BB1">
            <w:pPr>
              <w:jc w:val="center"/>
              <w:rPr>
                <w:sz w:val="20"/>
                <w:szCs w:val="20"/>
              </w:rPr>
            </w:pPr>
            <w:r w:rsidRPr="001569FB">
              <w:rPr>
                <w:sz w:val="20"/>
                <w:szCs w:val="20"/>
              </w:rPr>
              <w:t>3.106</w:t>
            </w:r>
          </w:p>
        </w:tc>
        <w:tc>
          <w:tcPr>
            <w:tcW w:w="1920" w:type="dxa"/>
            <w:tcBorders>
              <w:top w:val="nil"/>
              <w:left w:val="single" w:sz="4" w:space="0" w:color="auto"/>
              <w:bottom w:val="nil"/>
              <w:right w:val="single" w:sz="4" w:space="0" w:color="auto"/>
            </w:tcBorders>
            <w:shd w:val="clear" w:color="000000" w:fill="FFFFFF"/>
            <w:noWrap/>
            <w:hideMark/>
          </w:tcPr>
          <w:p w14:paraId="5C6841D0"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shd w:val="clear" w:color="000000" w:fill="FFFFFF"/>
            <w:noWrap/>
            <w:hideMark/>
          </w:tcPr>
          <w:p w14:paraId="26B1B43C"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A5C3C50" w14:textId="77777777" w:rsidR="009A7430" w:rsidRPr="001569FB" w:rsidRDefault="009A7430" w:rsidP="00875BB1">
            <w:pPr>
              <w:jc w:val="center"/>
              <w:rPr>
                <w:sz w:val="20"/>
                <w:szCs w:val="20"/>
              </w:rPr>
            </w:pPr>
            <w:r w:rsidRPr="001569FB">
              <w:rPr>
                <w:sz w:val="20"/>
                <w:szCs w:val="20"/>
              </w:rPr>
              <w:t>4.565</w:t>
            </w:r>
          </w:p>
        </w:tc>
      </w:tr>
      <w:tr w:rsidR="009A7430" w:rsidRPr="001569FB" w14:paraId="3BB2FF0A" w14:textId="77777777" w:rsidTr="002707EC">
        <w:trPr>
          <w:trHeight w:hRule="exact" w:val="259"/>
        </w:trPr>
        <w:tc>
          <w:tcPr>
            <w:tcW w:w="2080" w:type="dxa"/>
            <w:tcBorders>
              <w:top w:val="nil"/>
              <w:bottom w:val="nil"/>
              <w:right w:val="single" w:sz="4" w:space="0" w:color="auto"/>
            </w:tcBorders>
            <w:noWrap/>
            <w:hideMark/>
          </w:tcPr>
          <w:p w14:paraId="1E5D6FDF"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01998F9D" w14:textId="77777777" w:rsidR="009A7430" w:rsidRPr="001569FB" w:rsidRDefault="009A7430" w:rsidP="00875BB1">
            <w:pPr>
              <w:jc w:val="center"/>
              <w:rPr>
                <w:sz w:val="20"/>
                <w:szCs w:val="20"/>
              </w:rPr>
            </w:pPr>
            <w:r w:rsidRPr="001569FB">
              <w:rPr>
                <w:sz w:val="20"/>
                <w:szCs w:val="20"/>
              </w:rPr>
              <w:t>3.159</w:t>
            </w:r>
          </w:p>
        </w:tc>
        <w:tc>
          <w:tcPr>
            <w:tcW w:w="1920" w:type="dxa"/>
            <w:tcBorders>
              <w:top w:val="nil"/>
              <w:left w:val="single" w:sz="4" w:space="0" w:color="auto"/>
              <w:bottom w:val="nil"/>
              <w:right w:val="single" w:sz="4" w:space="0" w:color="auto"/>
            </w:tcBorders>
            <w:shd w:val="clear" w:color="000000" w:fill="FFFFFF"/>
            <w:noWrap/>
            <w:hideMark/>
          </w:tcPr>
          <w:p w14:paraId="7B272617"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27ED3911"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52B3182B" w14:textId="77777777" w:rsidR="009A7430" w:rsidRPr="001569FB" w:rsidRDefault="009A7430" w:rsidP="00875BB1">
            <w:pPr>
              <w:jc w:val="center"/>
              <w:rPr>
                <w:sz w:val="20"/>
                <w:szCs w:val="20"/>
              </w:rPr>
            </w:pPr>
            <w:r w:rsidRPr="001569FB">
              <w:rPr>
                <w:sz w:val="20"/>
                <w:szCs w:val="20"/>
              </w:rPr>
              <w:t>4.565</w:t>
            </w:r>
          </w:p>
        </w:tc>
      </w:tr>
      <w:tr w:rsidR="009A7430" w:rsidRPr="001569FB" w14:paraId="69A3F5A7" w14:textId="77777777" w:rsidTr="002707EC">
        <w:trPr>
          <w:trHeight w:hRule="exact" w:val="259"/>
        </w:trPr>
        <w:tc>
          <w:tcPr>
            <w:tcW w:w="2080" w:type="dxa"/>
            <w:tcBorders>
              <w:top w:val="nil"/>
              <w:bottom w:val="nil"/>
              <w:right w:val="single" w:sz="4" w:space="0" w:color="auto"/>
            </w:tcBorders>
            <w:noWrap/>
            <w:hideMark/>
          </w:tcPr>
          <w:p w14:paraId="5CEEFF2B"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57BFFAF9" w14:textId="77777777" w:rsidR="009A7430" w:rsidRPr="001569FB" w:rsidRDefault="009A7430" w:rsidP="00875BB1">
            <w:pPr>
              <w:jc w:val="center"/>
              <w:rPr>
                <w:sz w:val="20"/>
                <w:szCs w:val="20"/>
              </w:rPr>
            </w:pPr>
            <w:r w:rsidRPr="001569FB">
              <w:rPr>
                <w:sz w:val="20"/>
                <w:szCs w:val="20"/>
              </w:rPr>
              <w:t>3.162</w:t>
            </w:r>
          </w:p>
        </w:tc>
        <w:tc>
          <w:tcPr>
            <w:tcW w:w="1920" w:type="dxa"/>
            <w:tcBorders>
              <w:top w:val="nil"/>
              <w:left w:val="single" w:sz="4" w:space="0" w:color="auto"/>
              <w:bottom w:val="nil"/>
              <w:right w:val="single" w:sz="4" w:space="0" w:color="auto"/>
            </w:tcBorders>
            <w:shd w:val="clear" w:color="000000" w:fill="FFFFFF"/>
            <w:noWrap/>
            <w:hideMark/>
          </w:tcPr>
          <w:p w14:paraId="7B0C00F0"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168CF944"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94365C4" w14:textId="77777777" w:rsidR="009A7430" w:rsidRPr="001569FB" w:rsidRDefault="009A7430" w:rsidP="00875BB1">
            <w:pPr>
              <w:jc w:val="center"/>
              <w:rPr>
                <w:sz w:val="20"/>
                <w:szCs w:val="20"/>
              </w:rPr>
            </w:pPr>
            <w:r w:rsidRPr="001569FB">
              <w:rPr>
                <w:sz w:val="20"/>
                <w:szCs w:val="20"/>
              </w:rPr>
              <w:t>4.565</w:t>
            </w:r>
          </w:p>
        </w:tc>
      </w:tr>
      <w:tr w:rsidR="009A7430" w:rsidRPr="001569FB" w14:paraId="0C452B44" w14:textId="77777777" w:rsidTr="002707EC">
        <w:trPr>
          <w:trHeight w:hRule="exact" w:val="259"/>
        </w:trPr>
        <w:tc>
          <w:tcPr>
            <w:tcW w:w="2080" w:type="dxa"/>
            <w:tcBorders>
              <w:top w:val="nil"/>
              <w:bottom w:val="nil"/>
              <w:right w:val="single" w:sz="4" w:space="0" w:color="auto"/>
            </w:tcBorders>
            <w:noWrap/>
            <w:hideMark/>
          </w:tcPr>
          <w:p w14:paraId="5214059F"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65288B90"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5F7EF53E" w14:textId="77777777" w:rsidR="009A7430" w:rsidRPr="001569FB" w:rsidRDefault="009A7430" w:rsidP="00875BB1">
            <w:pPr>
              <w:jc w:val="center"/>
              <w:rPr>
                <w:sz w:val="20"/>
                <w:szCs w:val="20"/>
              </w:rPr>
            </w:pPr>
            <w:r w:rsidRPr="001569FB">
              <w:rPr>
                <w:sz w:val="20"/>
                <w:szCs w:val="20"/>
              </w:rPr>
              <w:t>3.547</w:t>
            </w:r>
          </w:p>
        </w:tc>
        <w:tc>
          <w:tcPr>
            <w:tcW w:w="1920" w:type="dxa"/>
            <w:tcBorders>
              <w:top w:val="nil"/>
              <w:left w:val="single" w:sz="4" w:space="0" w:color="auto"/>
              <w:bottom w:val="nil"/>
              <w:right w:val="single" w:sz="4" w:space="0" w:color="auto"/>
            </w:tcBorders>
            <w:shd w:val="clear" w:color="000000" w:fill="FFFFFF"/>
            <w:noWrap/>
            <w:hideMark/>
          </w:tcPr>
          <w:p w14:paraId="249334E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E6037B0" w14:textId="77777777" w:rsidR="009A7430" w:rsidRPr="001569FB" w:rsidRDefault="009A7430" w:rsidP="00875BB1">
            <w:pPr>
              <w:jc w:val="center"/>
              <w:rPr>
                <w:sz w:val="20"/>
                <w:szCs w:val="20"/>
              </w:rPr>
            </w:pPr>
            <w:r w:rsidRPr="001569FB">
              <w:rPr>
                <w:sz w:val="20"/>
                <w:szCs w:val="20"/>
              </w:rPr>
              <w:t>4.565</w:t>
            </w:r>
          </w:p>
        </w:tc>
      </w:tr>
      <w:tr w:rsidR="009A7430" w:rsidRPr="001569FB" w14:paraId="098E8C11" w14:textId="77777777" w:rsidTr="002707EC">
        <w:trPr>
          <w:trHeight w:hRule="exact" w:val="259"/>
        </w:trPr>
        <w:tc>
          <w:tcPr>
            <w:tcW w:w="2080" w:type="dxa"/>
            <w:tcBorders>
              <w:top w:val="nil"/>
              <w:bottom w:val="nil"/>
              <w:right w:val="single" w:sz="4" w:space="0" w:color="auto"/>
            </w:tcBorders>
            <w:noWrap/>
            <w:hideMark/>
          </w:tcPr>
          <w:p w14:paraId="54997863"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EAC6002" w14:textId="77777777" w:rsidR="009A7430" w:rsidRPr="001569FB" w:rsidRDefault="009A7430" w:rsidP="00875BB1">
            <w:pPr>
              <w:jc w:val="center"/>
              <w:rPr>
                <w:sz w:val="20"/>
                <w:szCs w:val="20"/>
              </w:rPr>
            </w:pPr>
            <w:r w:rsidRPr="001569FB">
              <w:rPr>
                <w:sz w:val="20"/>
                <w:szCs w:val="20"/>
              </w:rPr>
              <w:t>3.422</w:t>
            </w:r>
          </w:p>
        </w:tc>
        <w:tc>
          <w:tcPr>
            <w:tcW w:w="1920" w:type="dxa"/>
            <w:tcBorders>
              <w:top w:val="nil"/>
              <w:left w:val="single" w:sz="4" w:space="0" w:color="auto"/>
              <w:bottom w:val="nil"/>
              <w:right w:val="single" w:sz="4" w:space="0" w:color="auto"/>
            </w:tcBorders>
            <w:shd w:val="clear" w:color="000000" w:fill="FFFFFF"/>
            <w:noWrap/>
            <w:hideMark/>
          </w:tcPr>
          <w:p w14:paraId="55EBF1BC" w14:textId="77777777" w:rsidR="009A7430" w:rsidRPr="001569FB" w:rsidRDefault="009A7430" w:rsidP="00875BB1">
            <w:pPr>
              <w:jc w:val="center"/>
              <w:rPr>
                <w:sz w:val="20"/>
                <w:szCs w:val="20"/>
              </w:rPr>
            </w:pPr>
            <w:r w:rsidRPr="001569FB">
              <w:rPr>
                <w:sz w:val="20"/>
                <w:szCs w:val="20"/>
              </w:rPr>
              <w:t>3.695</w:t>
            </w:r>
          </w:p>
        </w:tc>
        <w:tc>
          <w:tcPr>
            <w:tcW w:w="1920" w:type="dxa"/>
            <w:tcBorders>
              <w:top w:val="nil"/>
              <w:left w:val="single" w:sz="4" w:space="0" w:color="auto"/>
              <w:bottom w:val="nil"/>
              <w:right w:val="single" w:sz="4" w:space="0" w:color="auto"/>
            </w:tcBorders>
            <w:shd w:val="clear" w:color="000000" w:fill="FFFFFF"/>
            <w:noWrap/>
            <w:hideMark/>
          </w:tcPr>
          <w:p w14:paraId="57A59E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07B6C41F" w14:textId="77777777" w:rsidR="009A7430" w:rsidRPr="001569FB" w:rsidRDefault="009A7430" w:rsidP="00875BB1">
            <w:pPr>
              <w:jc w:val="center"/>
              <w:rPr>
                <w:sz w:val="20"/>
                <w:szCs w:val="20"/>
              </w:rPr>
            </w:pPr>
            <w:r w:rsidRPr="001569FB">
              <w:rPr>
                <w:sz w:val="20"/>
                <w:szCs w:val="20"/>
              </w:rPr>
              <w:t>4.565</w:t>
            </w:r>
          </w:p>
        </w:tc>
      </w:tr>
      <w:tr w:rsidR="009A7430" w:rsidRPr="001569FB" w14:paraId="538E9550" w14:textId="77777777" w:rsidTr="002707EC">
        <w:trPr>
          <w:trHeight w:hRule="exact" w:val="259"/>
        </w:trPr>
        <w:tc>
          <w:tcPr>
            <w:tcW w:w="2080" w:type="dxa"/>
            <w:tcBorders>
              <w:top w:val="nil"/>
              <w:bottom w:val="nil"/>
              <w:right w:val="single" w:sz="4" w:space="0" w:color="auto"/>
            </w:tcBorders>
            <w:noWrap/>
            <w:hideMark/>
          </w:tcPr>
          <w:p w14:paraId="3CA0217F"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6631DD40" w14:textId="77777777" w:rsidR="009A7430" w:rsidRPr="001569FB" w:rsidRDefault="009A7430" w:rsidP="00875BB1">
            <w:pPr>
              <w:jc w:val="center"/>
              <w:rPr>
                <w:sz w:val="20"/>
                <w:szCs w:val="20"/>
              </w:rPr>
            </w:pPr>
            <w:r w:rsidRPr="001569FB">
              <w:rPr>
                <w:sz w:val="20"/>
                <w:szCs w:val="20"/>
              </w:rPr>
              <w:t>3.576</w:t>
            </w:r>
          </w:p>
        </w:tc>
        <w:tc>
          <w:tcPr>
            <w:tcW w:w="1920" w:type="dxa"/>
            <w:tcBorders>
              <w:top w:val="nil"/>
              <w:left w:val="single" w:sz="4" w:space="0" w:color="auto"/>
              <w:bottom w:val="nil"/>
              <w:right w:val="single" w:sz="4" w:space="0" w:color="auto"/>
            </w:tcBorders>
            <w:shd w:val="clear" w:color="000000" w:fill="FFFFFF"/>
            <w:noWrap/>
            <w:hideMark/>
          </w:tcPr>
          <w:p w14:paraId="2201D178" w14:textId="77777777" w:rsidR="009A7430" w:rsidRPr="001569FB" w:rsidRDefault="009A7430" w:rsidP="00875BB1">
            <w:pPr>
              <w:jc w:val="center"/>
              <w:rPr>
                <w:sz w:val="20"/>
                <w:szCs w:val="20"/>
              </w:rPr>
            </w:pPr>
            <w:r w:rsidRPr="001569FB">
              <w:rPr>
                <w:sz w:val="20"/>
                <w:szCs w:val="20"/>
              </w:rPr>
              <w:t>3.914</w:t>
            </w:r>
          </w:p>
        </w:tc>
        <w:tc>
          <w:tcPr>
            <w:tcW w:w="1920" w:type="dxa"/>
            <w:tcBorders>
              <w:top w:val="nil"/>
              <w:left w:val="single" w:sz="4" w:space="0" w:color="auto"/>
              <w:bottom w:val="nil"/>
              <w:right w:val="single" w:sz="4" w:space="0" w:color="auto"/>
            </w:tcBorders>
            <w:shd w:val="clear" w:color="000000" w:fill="FFFFFF"/>
            <w:noWrap/>
            <w:hideMark/>
          </w:tcPr>
          <w:p w14:paraId="3ACDADAE"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F8CB1D1" w14:textId="77777777" w:rsidR="009A7430" w:rsidRPr="001569FB" w:rsidRDefault="009A7430" w:rsidP="00875BB1">
            <w:pPr>
              <w:jc w:val="center"/>
              <w:rPr>
                <w:sz w:val="20"/>
                <w:szCs w:val="20"/>
              </w:rPr>
            </w:pPr>
            <w:r w:rsidRPr="001569FB">
              <w:rPr>
                <w:sz w:val="20"/>
                <w:szCs w:val="20"/>
              </w:rPr>
              <w:t>4.565</w:t>
            </w:r>
          </w:p>
        </w:tc>
      </w:tr>
      <w:tr w:rsidR="009A7430" w:rsidRPr="001569FB" w14:paraId="32920E3C" w14:textId="77777777" w:rsidTr="002707EC">
        <w:trPr>
          <w:trHeight w:hRule="exact" w:val="259"/>
        </w:trPr>
        <w:tc>
          <w:tcPr>
            <w:tcW w:w="2080" w:type="dxa"/>
            <w:tcBorders>
              <w:top w:val="nil"/>
              <w:bottom w:val="nil"/>
              <w:right w:val="single" w:sz="4" w:space="0" w:color="auto"/>
            </w:tcBorders>
            <w:noWrap/>
            <w:hideMark/>
          </w:tcPr>
          <w:p w14:paraId="2002F79B"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2CE1AB1C"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686E14AE" w14:textId="77777777" w:rsidR="009A7430" w:rsidRPr="001569FB" w:rsidRDefault="009A7430" w:rsidP="00875BB1">
            <w:pPr>
              <w:jc w:val="center"/>
              <w:rPr>
                <w:sz w:val="20"/>
                <w:szCs w:val="20"/>
              </w:rPr>
            </w:pPr>
            <w:r w:rsidRPr="001569FB">
              <w:rPr>
                <w:sz w:val="20"/>
                <w:szCs w:val="20"/>
              </w:rPr>
              <w:t>4.097</w:t>
            </w:r>
          </w:p>
        </w:tc>
        <w:tc>
          <w:tcPr>
            <w:tcW w:w="1920" w:type="dxa"/>
            <w:tcBorders>
              <w:top w:val="nil"/>
              <w:left w:val="single" w:sz="4" w:space="0" w:color="auto"/>
              <w:bottom w:val="nil"/>
              <w:right w:val="single" w:sz="4" w:space="0" w:color="auto"/>
            </w:tcBorders>
            <w:shd w:val="clear" w:color="000000" w:fill="FFFFFF"/>
            <w:noWrap/>
            <w:hideMark/>
          </w:tcPr>
          <w:p w14:paraId="621C4A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25B45CF" w14:textId="77777777" w:rsidR="009A7430" w:rsidRPr="001569FB" w:rsidRDefault="009A7430" w:rsidP="00875BB1">
            <w:pPr>
              <w:jc w:val="center"/>
              <w:rPr>
                <w:sz w:val="20"/>
                <w:szCs w:val="20"/>
              </w:rPr>
            </w:pPr>
            <w:r w:rsidRPr="001569FB">
              <w:rPr>
                <w:sz w:val="20"/>
                <w:szCs w:val="20"/>
              </w:rPr>
              <w:t>4.565</w:t>
            </w:r>
          </w:p>
        </w:tc>
      </w:tr>
      <w:tr w:rsidR="009A7430" w:rsidRPr="001569FB" w14:paraId="2EC49D48" w14:textId="77777777" w:rsidTr="002707EC">
        <w:trPr>
          <w:trHeight w:hRule="exact" w:val="259"/>
        </w:trPr>
        <w:tc>
          <w:tcPr>
            <w:tcW w:w="2080" w:type="dxa"/>
            <w:tcBorders>
              <w:top w:val="nil"/>
              <w:bottom w:val="nil"/>
              <w:right w:val="single" w:sz="4" w:space="0" w:color="auto"/>
            </w:tcBorders>
            <w:noWrap/>
            <w:hideMark/>
          </w:tcPr>
          <w:p w14:paraId="2838ED57"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2AF5D868"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47BD14B"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0D18F6FA"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11C7884D" w14:textId="77777777" w:rsidR="009A7430" w:rsidRPr="001569FB" w:rsidRDefault="009A7430" w:rsidP="00875BB1">
            <w:pPr>
              <w:jc w:val="center"/>
              <w:rPr>
                <w:sz w:val="20"/>
                <w:szCs w:val="20"/>
              </w:rPr>
            </w:pPr>
            <w:r w:rsidRPr="001569FB">
              <w:rPr>
                <w:sz w:val="20"/>
                <w:szCs w:val="20"/>
              </w:rPr>
              <w:t>4.565</w:t>
            </w:r>
          </w:p>
        </w:tc>
      </w:tr>
      <w:tr w:rsidR="009A7430" w:rsidRPr="001569FB" w14:paraId="22A43988" w14:textId="77777777" w:rsidTr="002707EC">
        <w:trPr>
          <w:trHeight w:hRule="exact" w:val="259"/>
        </w:trPr>
        <w:tc>
          <w:tcPr>
            <w:tcW w:w="2080" w:type="dxa"/>
            <w:tcBorders>
              <w:top w:val="nil"/>
              <w:bottom w:val="nil"/>
              <w:right w:val="single" w:sz="4" w:space="0" w:color="auto"/>
            </w:tcBorders>
            <w:noWrap/>
            <w:hideMark/>
          </w:tcPr>
          <w:p w14:paraId="47D2AC8C"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nil"/>
              <w:right w:val="single" w:sz="4" w:space="0" w:color="auto"/>
            </w:tcBorders>
            <w:shd w:val="clear" w:color="000000" w:fill="FFFFFF"/>
            <w:noWrap/>
            <w:hideMark/>
          </w:tcPr>
          <w:p w14:paraId="78324515"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B9128BF"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4AD4F37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668BF789" w14:textId="77777777" w:rsidR="009A7430" w:rsidRPr="001569FB" w:rsidRDefault="009A7430" w:rsidP="00875BB1">
            <w:pPr>
              <w:jc w:val="center"/>
              <w:rPr>
                <w:sz w:val="20"/>
                <w:szCs w:val="20"/>
              </w:rPr>
            </w:pPr>
            <w:r w:rsidRPr="001569FB">
              <w:rPr>
                <w:sz w:val="20"/>
                <w:szCs w:val="20"/>
              </w:rPr>
              <w:t>4.565</w:t>
            </w:r>
          </w:p>
        </w:tc>
      </w:tr>
      <w:tr w:rsidR="009A7430" w:rsidRPr="001569FB" w14:paraId="276E4F1A" w14:textId="77777777" w:rsidTr="002707EC">
        <w:trPr>
          <w:trHeight w:hRule="exact" w:val="259"/>
        </w:trPr>
        <w:tc>
          <w:tcPr>
            <w:tcW w:w="2080" w:type="dxa"/>
            <w:tcBorders>
              <w:top w:val="nil"/>
              <w:bottom w:val="nil"/>
              <w:right w:val="single" w:sz="4" w:space="0" w:color="auto"/>
            </w:tcBorders>
            <w:noWrap/>
            <w:vAlign w:val="center"/>
            <w:hideMark/>
          </w:tcPr>
          <w:p w14:paraId="113FEC6D" w14:textId="77777777" w:rsidR="009A7430" w:rsidRPr="001569FB" w:rsidRDefault="009A7430" w:rsidP="00875BB1">
            <w:pPr>
              <w:rPr>
                <w:b/>
                <w:bCs/>
                <w:sz w:val="20"/>
                <w:szCs w:val="20"/>
              </w:rPr>
            </w:pPr>
            <w:r w:rsidRPr="001569FB">
              <w:rPr>
                <w:b/>
                <w:bCs/>
                <w:sz w:val="20"/>
                <w:szCs w:val="20"/>
              </w:rPr>
              <w:t>Male</w:t>
            </w:r>
          </w:p>
        </w:tc>
        <w:tc>
          <w:tcPr>
            <w:tcW w:w="1920" w:type="dxa"/>
            <w:tcBorders>
              <w:top w:val="nil"/>
              <w:left w:val="single" w:sz="4" w:space="0" w:color="auto"/>
              <w:bottom w:val="nil"/>
              <w:right w:val="single" w:sz="4" w:space="0" w:color="auto"/>
            </w:tcBorders>
            <w:noWrap/>
            <w:vAlign w:val="center"/>
            <w:hideMark/>
          </w:tcPr>
          <w:p w14:paraId="5C5DD927"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176098EB"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6FD72A7D" w14:textId="77777777" w:rsidR="009A7430" w:rsidRPr="001569FB" w:rsidRDefault="009A7430" w:rsidP="00875BB1">
            <w:pPr>
              <w:rPr>
                <w:sz w:val="20"/>
                <w:szCs w:val="20"/>
              </w:rPr>
            </w:pPr>
          </w:p>
        </w:tc>
        <w:tc>
          <w:tcPr>
            <w:tcW w:w="1920" w:type="dxa"/>
            <w:tcBorders>
              <w:top w:val="nil"/>
              <w:left w:val="single" w:sz="4" w:space="0" w:color="auto"/>
              <w:bottom w:val="nil"/>
            </w:tcBorders>
            <w:noWrap/>
            <w:vAlign w:val="center"/>
            <w:hideMark/>
          </w:tcPr>
          <w:p w14:paraId="2C85E350" w14:textId="77777777" w:rsidR="009A7430" w:rsidRPr="001569FB" w:rsidRDefault="009A7430" w:rsidP="00875BB1">
            <w:pPr>
              <w:rPr>
                <w:sz w:val="20"/>
                <w:szCs w:val="20"/>
              </w:rPr>
            </w:pPr>
          </w:p>
        </w:tc>
      </w:tr>
      <w:tr w:rsidR="009A7430" w:rsidRPr="001569FB" w14:paraId="6333566C" w14:textId="77777777" w:rsidTr="002707EC">
        <w:trPr>
          <w:trHeight w:hRule="exact" w:val="259"/>
        </w:trPr>
        <w:tc>
          <w:tcPr>
            <w:tcW w:w="2080" w:type="dxa"/>
            <w:tcBorders>
              <w:top w:val="nil"/>
              <w:bottom w:val="nil"/>
              <w:right w:val="single" w:sz="4" w:space="0" w:color="auto"/>
            </w:tcBorders>
            <w:noWrap/>
            <w:hideMark/>
          </w:tcPr>
          <w:p w14:paraId="4DDD6685"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41B2E07F" w14:textId="77777777" w:rsidR="009A7430" w:rsidRPr="001569FB" w:rsidRDefault="009A7430" w:rsidP="00875BB1">
            <w:pPr>
              <w:jc w:val="center"/>
              <w:rPr>
                <w:sz w:val="20"/>
                <w:szCs w:val="20"/>
              </w:rPr>
            </w:pPr>
            <w:r w:rsidRPr="001569FB">
              <w:rPr>
                <w:sz w:val="20"/>
                <w:szCs w:val="20"/>
              </w:rPr>
              <w:t>2.616</w:t>
            </w:r>
          </w:p>
        </w:tc>
        <w:tc>
          <w:tcPr>
            <w:tcW w:w="1920" w:type="dxa"/>
            <w:tcBorders>
              <w:top w:val="nil"/>
              <w:left w:val="single" w:sz="4" w:space="0" w:color="auto"/>
              <w:bottom w:val="nil"/>
              <w:right w:val="single" w:sz="4" w:space="0" w:color="auto"/>
            </w:tcBorders>
            <w:shd w:val="clear" w:color="000000" w:fill="FFFFFF"/>
            <w:noWrap/>
            <w:hideMark/>
          </w:tcPr>
          <w:p w14:paraId="065B3C5C" w14:textId="77777777" w:rsidR="009A7430" w:rsidRPr="001569FB" w:rsidRDefault="009A7430" w:rsidP="00875BB1">
            <w:pPr>
              <w:jc w:val="center"/>
              <w:rPr>
                <w:sz w:val="20"/>
                <w:szCs w:val="20"/>
              </w:rPr>
            </w:pPr>
            <w:r w:rsidRPr="001569FB">
              <w:rPr>
                <w:sz w:val="20"/>
                <w:szCs w:val="20"/>
              </w:rPr>
              <w:t>2.908</w:t>
            </w:r>
          </w:p>
        </w:tc>
        <w:tc>
          <w:tcPr>
            <w:tcW w:w="1920" w:type="dxa"/>
            <w:tcBorders>
              <w:top w:val="nil"/>
              <w:left w:val="single" w:sz="4" w:space="0" w:color="auto"/>
              <w:bottom w:val="nil"/>
              <w:right w:val="single" w:sz="4" w:space="0" w:color="auto"/>
            </w:tcBorders>
            <w:noWrap/>
            <w:hideMark/>
          </w:tcPr>
          <w:p w14:paraId="75274F3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015E65E" w14:textId="77777777" w:rsidR="009A7430" w:rsidRPr="001569FB" w:rsidRDefault="009A7430" w:rsidP="00875BB1">
            <w:pPr>
              <w:jc w:val="center"/>
              <w:rPr>
                <w:sz w:val="20"/>
                <w:szCs w:val="20"/>
              </w:rPr>
            </w:pPr>
            <w:r w:rsidRPr="001569FB">
              <w:rPr>
                <w:sz w:val="20"/>
                <w:szCs w:val="20"/>
              </w:rPr>
              <w:t>–</w:t>
            </w:r>
          </w:p>
        </w:tc>
      </w:tr>
      <w:tr w:rsidR="009A7430" w:rsidRPr="001569FB" w14:paraId="1E35B18F" w14:textId="77777777" w:rsidTr="002707EC">
        <w:trPr>
          <w:trHeight w:hRule="exact" w:val="259"/>
        </w:trPr>
        <w:tc>
          <w:tcPr>
            <w:tcW w:w="2080" w:type="dxa"/>
            <w:tcBorders>
              <w:top w:val="nil"/>
              <w:bottom w:val="nil"/>
              <w:right w:val="single" w:sz="4" w:space="0" w:color="auto"/>
            </w:tcBorders>
            <w:noWrap/>
            <w:hideMark/>
          </w:tcPr>
          <w:p w14:paraId="438768D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3CCEE8E3" w14:textId="77777777" w:rsidR="009A7430" w:rsidRPr="001569FB" w:rsidRDefault="009A7430" w:rsidP="00875BB1">
            <w:pPr>
              <w:jc w:val="center"/>
              <w:rPr>
                <w:sz w:val="20"/>
                <w:szCs w:val="20"/>
              </w:rPr>
            </w:pPr>
            <w:r w:rsidRPr="001569FB">
              <w:rPr>
                <w:sz w:val="20"/>
                <w:szCs w:val="20"/>
              </w:rPr>
              <w:t>2.831</w:t>
            </w:r>
          </w:p>
        </w:tc>
        <w:tc>
          <w:tcPr>
            <w:tcW w:w="1920" w:type="dxa"/>
            <w:tcBorders>
              <w:top w:val="nil"/>
              <w:left w:val="single" w:sz="4" w:space="0" w:color="auto"/>
              <w:bottom w:val="nil"/>
              <w:right w:val="single" w:sz="4" w:space="0" w:color="auto"/>
            </w:tcBorders>
            <w:shd w:val="clear" w:color="000000" w:fill="FFFFFF"/>
            <w:noWrap/>
            <w:hideMark/>
          </w:tcPr>
          <w:p w14:paraId="68C916F1" w14:textId="77777777" w:rsidR="009A7430" w:rsidRPr="001569FB" w:rsidRDefault="009A7430" w:rsidP="00875BB1">
            <w:pPr>
              <w:jc w:val="center"/>
              <w:rPr>
                <w:sz w:val="20"/>
                <w:szCs w:val="20"/>
              </w:rPr>
            </w:pPr>
            <w:r w:rsidRPr="001569FB">
              <w:rPr>
                <w:sz w:val="20"/>
                <w:szCs w:val="20"/>
              </w:rPr>
              <w:t>3.233</w:t>
            </w:r>
          </w:p>
        </w:tc>
        <w:tc>
          <w:tcPr>
            <w:tcW w:w="1920" w:type="dxa"/>
            <w:tcBorders>
              <w:top w:val="nil"/>
              <w:left w:val="single" w:sz="4" w:space="0" w:color="auto"/>
              <w:bottom w:val="nil"/>
              <w:right w:val="single" w:sz="4" w:space="0" w:color="auto"/>
            </w:tcBorders>
            <w:noWrap/>
            <w:hideMark/>
          </w:tcPr>
          <w:p w14:paraId="05820A86"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8DA6A87" w14:textId="77777777" w:rsidR="009A7430" w:rsidRPr="001569FB" w:rsidRDefault="009A7430" w:rsidP="00875BB1">
            <w:pPr>
              <w:jc w:val="center"/>
              <w:rPr>
                <w:sz w:val="20"/>
                <w:szCs w:val="20"/>
              </w:rPr>
            </w:pPr>
            <w:r w:rsidRPr="001569FB">
              <w:rPr>
                <w:sz w:val="20"/>
                <w:szCs w:val="20"/>
              </w:rPr>
              <w:t>–</w:t>
            </w:r>
          </w:p>
        </w:tc>
      </w:tr>
      <w:tr w:rsidR="009A7430" w:rsidRPr="001569FB" w14:paraId="4DEB9B4D" w14:textId="77777777" w:rsidTr="002707EC">
        <w:trPr>
          <w:trHeight w:hRule="exact" w:val="259"/>
        </w:trPr>
        <w:tc>
          <w:tcPr>
            <w:tcW w:w="2080" w:type="dxa"/>
            <w:tcBorders>
              <w:top w:val="nil"/>
              <w:bottom w:val="nil"/>
              <w:right w:val="single" w:sz="4" w:space="0" w:color="auto"/>
            </w:tcBorders>
            <w:noWrap/>
            <w:hideMark/>
          </w:tcPr>
          <w:p w14:paraId="0CE97FBD"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74D61F64" w14:textId="77777777" w:rsidR="009A7430" w:rsidRPr="001569FB" w:rsidRDefault="009A7430" w:rsidP="00875BB1">
            <w:pPr>
              <w:jc w:val="center"/>
              <w:rPr>
                <w:sz w:val="20"/>
                <w:szCs w:val="20"/>
              </w:rPr>
            </w:pPr>
            <w:r w:rsidRPr="001569FB">
              <w:rPr>
                <w:sz w:val="20"/>
                <w:szCs w:val="20"/>
              </w:rPr>
              <w:t>3.038</w:t>
            </w:r>
          </w:p>
        </w:tc>
        <w:tc>
          <w:tcPr>
            <w:tcW w:w="1920" w:type="dxa"/>
            <w:tcBorders>
              <w:top w:val="nil"/>
              <w:left w:val="single" w:sz="4" w:space="0" w:color="auto"/>
              <w:bottom w:val="nil"/>
              <w:right w:val="single" w:sz="4" w:space="0" w:color="auto"/>
            </w:tcBorders>
            <w:shd w:val="clear" w:color="000000" w:fill="FFFFFF"/>
            <w:noWrap/>
            <w:hideMark/>
          </w:tcPr>
          <w:p w14:paraId="557F4633" w14:textId="77777777" w:rsidR="009A7430" w:rsidRPr="001569FB" w:rsidRDefault="009A7430" w:rsidP="00875BB1">
            <w:pPr>
              <w:jc w:val="center"/>
              <w:rPr>
                <w:sz w:val="20"/>
                <w:szCs w:val="20"/>
              </w:rPr>
            </w:pPr>
            <w:r w:rsidRPr="001569FB">
              <w:rPr>
                <w:sz w:val="20"/>
                <w:szCs w:val="20"/>
              </w:rPr>
              <w:t>3.527</w:t>
            </w:r>
          </w:p>
        </w:tc>
        <w:tc>
          <w:tcPr>
            <w:tcW w:w="1920" w:type="dxa"/>
            <w:tcBorders>
              <w:top w:val="nil"/>
              <w:left w:val="single" w:sz="4" w:space="0" w:color="auto"/>
              <w:bottom w:val="nil"/>
              <w:right w:val="single" w:sz="4" w:space="0" w:color="auto"/>
            </w:tcBorders>
            <w:noWrap/>
            <w:hideMark/>
          </w:tcPr>
          <w:p w14:paraId="0EB4EA9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4D97A6EC" w14:textId="77777777" w:rsidR="009A7430" w:rsidRPr="001569FB" w:rsidRDefault="009A7430" w:rsidP="00875BB1">
            <w:pPr>
              <w:jc w:val="center"/>
              <w:rPr>
                <w:sz w:val="20"/>
                <w:szCs w:val="20"/>
              </w:rPr>
            </w:pPr>
            <w:r w:rsidRPr="001569FB">
              <w:rPr>
                <w:sz w:val="20"/>
                <w:szCs w:val="20"/>
              </w:rPr>
              <w:t>–</w:t>
            </w:r>
          </w:p>
        </w:tc>
      </w:tr>
      <w:tr w:rsidR="009A7430" w:rsidRPr="001569FB" w14:paraId="1B3B3065" w14:textId="77777777" w:rsidTr="002707EC">
        <w:trPr>
          <w:trHeight w:hRule="exact" w:val="259"/>
        </w:trPr>
        <w:tc>
          <w:tcPr>
            <w:tcW w:w="2080" w:type="dxa"/>
            <w:tcBorders>
              <w:top w:val="nil"/>
              <w:bottom w:val="nil"/>
              <w:right w:val="single" w:sz="4" w:space="0" w:color="auto"/>
            </w:tcBorders>
            <w:noWrap/>
            <w:hideMark/>
          </w:tcPr>
          <w:p w14:paraId="62B1C491"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58CEE895"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14BD8A47" w14:textId="77777777" w:rsidR="009A7430" w:rsidRPr="001569FB" w:rsidRDefault="009A7430" w:rsidP="00875BB1">
            <w:pPr>
              <w:jc w:val="center"/>
              <w:rPr>
                <w:sz w:val="20"/>
                <w:szCs w:val="20"/>
              </w:rPr>
            </w:pPr>
            <w:r w:rsidRPr="001569FB">
              <w:rPr>
                <w:sz w:val="20"/>
                <w:szCs w:val="20"/>
              </w:rPr>
              <w:t>3.592</w:t>
            </w:r>
          </w:p>
        </w:tc>
        <w:tc>
          <w:tcPr>
            <w:tcW w:w="1920" w:type="dxa"/>
            <w:tcBorders>
              <w:top w:val="nil"/>
              <w:left w:val="single" w:sz="4" w:space="0" w:color="auto"/>
              <w:bottom w:val="nil"/>
              <w:right w:val="single" w:sz="4" w:space="0" w:color="auto"/>
            </w:tcBorders>
            <w:noWrap/>
            <w:hideMark/>
          </w:tcPr>
          <w:p w14:paraId="466E79B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17405CF7" w14:textId="77777777" w:rsidR="009A7430" w:rsidRPr="001569FB" w:rsidRDefault="009A7430" w:rsidP="00875BB1">
            <w:pPr>
              <w:jc w:val="center"/>
              <w:rPr>
                <w:sz w:val="20"/>
                <w:szCs w:val="20"/>
              </w:rPr>
            </w:pPr>
            <w:r w:rsidRPr="001569FB">
              <w:rPr>
                <w:sz w:val="20"/>
                <w:szCs w:val="20"/>
              </w:rPr>
              <w:t>–</w:t>
            </w:r>
          </w:p>
        </w:tc>
      </w:tr>
      <w:tr w:rsidR="009A7430" w:rsidRPr="001569FB" w14:paraId="0601A39C" w14:textId="77777777" w:rsidTr="002707EC">
        <w:trPr>
          <w:trHeight w:hRule="exact" w:val="259"/>
        </w:trPr>
        <w:tc>
          <w:tcPr>
            <w:tcW w:w="2080" w:type="dxa"/>
            <w:tcBorders>
              <w:top w:val="nil"/>
              <w:bottom w:val="nil"/>
              <w:right w:val="single" w:sz="4" w:space="0" w:color="auto"/>
            </w:tcBorders>
            <w:noWrap/>
            <w:hideMark/>
          </w:tcPr>
          <w:p w14:paraId="48BC632A"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E351F3E" w14:textId="77777777" w:rsidR="009A7430" w:rsidRPr="001569FB" w:rsidRDefault="009A7430" w:rsidP="00875BB1">
            <w:pPr>
              <w:jc w:val="center"/>
              <w:rPr>
                <w:sz w:val="20"/>
                <w:szCs w:val="20"/>
              </w:rPr>
            </w:pPr>
            <w:r w:rsidRPr="001569FB">
              <w:rPr>
                <w:sz w:val="20"/>
                <w:szCs w:val="20"/>
              </w:rPr>
              <w:t>3.122</w:t>
            </w:r>
          </w:p>
        </w:tc>
        <w:tc>
          <w:tcPr>
            <w:tcW w:w="1920" w:type="dxa"/>
            <w:tcBorders>
              <w:top w:val="nil"/>
              <w:left w:val="single" w:sz="4" w:space="0" w:color="auto"/>
              <w:bottom w:val="nil"/>
              <w:right w:val="single" w:sz="4" w:space="0" w:color="auto"/>
            </w:tcBorders>
            <w:shd w:val="clear" w:color="000000" w:fill="FFFFFF"/>
            <w:noWrap/>
            <w:hideMark/>
          </w:tcPr>
          <w:p w14:paraId="56FC7752" w14:textId="77777777" w:rsidR="009A7430" w:rsidRPr="001569FB" w:rsidRDefault="009A7430" w:rsidP="00875BB1">
            <w:pPr>
              <w:jc w:val="center"/>
              <w:rPr>
                <w:sz w:val="20"/>
                <w:szCs w:val="20"/>
              </w:rPr>
            </w:pPr>
            <w:r w:rsidRPr="001569FB">
              <w:rPr>
                <w:sz w:val="20"/>
                <w:szCs w:val="20"/>
              </w:rPr>
              <w:t>3.724</w:t>
            </w:r>
          </w:p>
        </w:tc>
        <w:tc>
          <w:tcPr>
            <w:tcW w:w="1920" w:type="dxa"/>
            <w:tcBorders>
              <w:top w:val="nil"/>
              <w:left w:val="single" w:sz="4" w:space="0" w:color="auto"/>
              <w:bottom w:val="nil"/>
              <w:right w:val="single" w:sz="4" w:space="0" w:color="auto"/>
            </w:tcBorders>
            <w:noWrap/>
            <w:hideMark/>
          </w:tcPr>
          <w:p w14:paraId="2E7A70E9"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2A4A789B" w14:textId="77777777" w:rsidR="009A7430" w:rsidRPr="001569FB" w:rsidRDefault="009A7430" w:rsidP="00875BB1">
            <w:pPr>
              <w:jc w:val="center"/>
              <w:rPr>
                <w:sz w:val="20"/>
                <w:szCs w:val="20"/>
              </w:rPr>
            </w:pPr>
            <w:r w:rsidRPr="001569FB">
              <w:rPr>
                <w:sz w:val="20"/>
                <w:szCs w:val="20"/>
              </w:rPr>
              <w:t>–</w:t>
            </w:r>
          </w:p>
        </w:tc>
      </w:tr>
      <w:tr w:rsidR="009A7430" w:rsidRPr="001569FB" w14:paraId="065F0639" w14:textId="77777777" w:rsidTr="002707EC">
        <w:trPr>
          <w:trHeight w:hRule="exact" w:val="259"/>
        </w:trPr>
        <w:tc>
          <w:tcPr>
            <w:tcW w:w="2080" w:type="dxa"/>
            <w:tcBorders>
              <w:top w:val="nil"/>
              <w:bottom w:val="nil"/>
              <w:right w:val="single" w:sz="4" w:space="0" w:color="auto"/>
            </w:tcBorders>
            <w:noWrap/>
            <w:hideMark/>
          </w:tcPr>
          <w:p w14:paraId="07EE4E39"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5C3B9D2C" w14:textId="77777777" w:rsidR="009A7430" w:rsidRPr="001569FB" w:rsidRDefault="009A7430" w:rsidP="00875BB1">
            <w:pPr>
              <w:jc w:val="center"/>
              <w:rPr>
                <w:sz w:val="20"/>
                <w:szCs w:val="20"/>
              </w:rPr>
            </w:pPr>
            <w:r w:rsidRPr="001569FB">
              <w:rPr>
                <w:sz w:val="20"/>
                <w:szCs w:val="20"/>
              </w:rPr>
              <w:t>3.079</w:t>
            </w:r>
          </w:p>
        </w:tc>
        <w:tc>
          <w:tcPr>
            <w:tcW w:w="1920" w:type="dxa"/>
            <w:tcBorders>
              <w:top w:val="nil"/>
              <w:left w:val="single" w:sz="4" w:space="0" w:color="auto"/>
              <w:bottom w:val="nil"/>
              <w:right w:val="single" w:sz="4" w:space="0" w:color="auto"/>
            </w:tcBorders>
            <w:shd w:val="clear" w:color="000000" w:fill="FFFFFF"/>
            <w:noWrap/>
            <w:hideMark/>
          </w:tcPr>
          <w:p w14:paraId="76099139" w14:textId="77777777" w:rsidR="009A7430" w:rsidRPr="001569FB" w:rsidRDefault="009A7430" w:rsidP="00875BB1">
            <w:pPr>
              <w:jc w:val="center"/>
              <w:rPr>
                <w:sz w:val="20"/>
                <w:szCs w:val="20"/>
              </w:rPr>
            </w:pPr>
            <w:r w:rsidRPr="001569FB">
              <w:rPr>
                <w:sz w:val="20"/>
                <w:szCs w:val="20"/>
              </w:rPr>
              <w:t>3.706</w:t>
            </w:r>
          </w:p>
        </w:tc>
        <w:tc>
          <w:tcPr>
            <w:tcW w:w="1920" w:type="dxa"/>
            <w:tcBorders>
              <w:top w:val="nil"/>
              <w:left w:val="single" w:sz="4" w:space="0" w:color="auto"/>
              <w:bottom w:val="nil"/>
              <w:right w:val="single" w:sz="4" w:space="0" w:color="auto"/>
            </w:tcBorders>
            <w:shd w:val="clear" w:color="000000" w:fill="FFFFFF"/>
            <w:noWrap/>
            <w:hideMark/>
          </w:tcPr>
          <w:p w14:paraId="68153BA7" w14:textId="77777777" w:rsidR="009A7430" w:rsidRPr="001569FB" w:rsidRDefault="009A7430" w:rsidP="00875BB1">
            <w:pPr>
              <w:jc w:val="center"/>
              <w:rPr>
                <w:sz w:val="20"/>
                <w:szCs w:val="20"/>
              </w:rPr>
            </w:pPr>
            <w:r w:rsidRPr="001569FB">
              <w:rPr>
                <w:sz w:val="20"/>
                <w:szCs w:val="20"/>
              </w:rPr>
              <w:t>3.388</w:t>
            </w:r>
          </w:p>
        </w:tc>
        <w:tc>
          <w:tcPr>
            <w:tcW w:w="1920" w:type="dxa"/>
            <w:tcBorders>
              <w:top w:val="nil"/>
              <w:left w:val="single" w:sz="4" w:space="0" w:color="auto"/>
              <w:bottom w:val="nil"/>
              <w:right w:val="single" w:sz="4" w:space="0" w:color="auto"/>
            </w:tcBorders>
            <w:shd w:val="clear" w:color="000000" w:fill="FFFFFF"/>
            <w:noWrap/>
            <w:hideMark/>
          </w:tcPr>
          <w:p w14:paraId="119E70EE" w14:textId="77777777" w:rsidR="009A7430" w:rsidRPr="001569FB" w:rsidRDefault="009A7430" w:rsidP="00875BB1">
            <w:pPr>
              <w:jc w:val="center"/>
              <w:rPr>
                <w:sz w:val="20"/>
                <w:szCs w:val="20"/>
              </w:rPr>
            </w:pPr>
            <w:r w:rsidRPr="001569FB">
              <w:rPr>
                <w:sz w:val="20"/>
                <w:szCs w:val="20"/>
              </w:rPr>
              <w:t>4.373</w:t>
            </w:r>
          </w:p>
        </w:tc>
      </w:tr>
      <w:tr w:rsidR="009A7430" w:rsidRPr="001569FB" w14:paraId="7EC514C5" w14:textId="77777777" w:rsidTr="002707EC">
        <w:trPr>
          <w:trHeight w:hRule="exact" w:val="259"/>
        </w:trPr>
        <w:tc>
          <w:tcPr>
            <w:tcW w:w="2080" w:type="dxa"/>
            <w:tcBorders>
              <w:top w:val="nil"/>
              <w:bottom w:val="nil"/>
              <w:right w:val="single" w:sz="4" w:space="0" w:color="auto"/>
            </w:tcBorders>
            <w:noWrap/>
            <w:hideMark/>
          </w:tcPr>
          <w:p w14:paraId="067E6F2F"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3B7C1393" w14:textId="77777777" w:rsidR="009A7430" w:rsidRPr="001569FB" w:rsidRDefault="009A7430" w:rsidP="00875BB1">
            <w:pPr>
              <w:jc w:val="center"/>
              <w:rPr>
                <w:sz w:val="20"/>
                <w:szCs w:val="20"/>
              </w:rPr>
            </w:pPr>
            <w:r w:rsidRPr="001569FB">
              <w:rPr>
                <w:sz w:val="20"/>
                <w:szCs w:val="20"/>
              </w:rPr>
              <w:t>3.095</w:t>
            </w:r>
          </w:p>
        </w:tc>
        <w:tc>
          <w:tcPr>
            <w:tcW w:w="1920" w:type="dxa"/>
            <w:tcBorders>
              <w:top w:val="nil"/>
              <w:left w:val="single" w:sz="4" w:space="0" w:color="auto"/>
              <w:bottom w:val="nil"/>
              <w:right w:val="single" w:sz="4" w:space="0" w:color="auto"/>
            </w:tcBorders>
            <w:shd w:val="clear" w:color="000000" w:fill="FFFFFF"/>
            <w:noWrap/>
            <w:hideMark/>
          </w:tcPr>
          <w:p w14:paraId="2207BC68" w14:textId="77777777" w:rsidR="009A7430" w:rsidRPr="001569FB" w:rsidRDefault="009A7430" w:rsidP="00875BB1">
            <w:pPr>
              <w:jc w:val="center"/>
              <w:rPr>
                <w:sz w:val="20"/>
                <w:szCs w:val="20"/>
              </w:rPr>
            </w:pPr>
            <w:r w:rsidRPr="001569FB">
              <w:rPr>
                <w:sz w:val="20"/>
                <w:szCs w:val="20"/>
              </w:rPr>
              <w:t>3.656</w:t>
            </w:r>
          </w:p>
        </w:tc>
        <w:tc>
          <w:tcPr>
            <w:tcW w:w="1920" w:type="dxa"/>
            <w:tcBorders>
              <w:top w:val="nil"/>
              <w:left w:val="single" w:sz="4" w:space="0" w:color="auto"/>
              <w:bottom w:val="nil"/>
              <w:right w:val="single" w:sz="4" w:space="0" w:color="auto"/>
            </w:tcBorders>
            <w:shd w:val="clear" w:color="000000" w:fill="FFFFFF"/>
            <w:noWrap/>
            <w:hideMark/>
          </w:tcPr>
          <w:p w14:paraId="1DD398A2" w14:textId="77777777" w:rsidR="009A7430" w:rsidRPr="001569FB" w:rsidRDefault="009A7430" w:rsidP="00875BB1">
            <w:pPr>
              <w:jc w:val="center"/>
              <w:rPr>
                <w:sz w:val="20"/>
                <w:szCs w:val="20"/>
              </w:rPr>
            </w:pPr>
            <w:r w:rsidRPr="001569FB">
              <w:rPr>
                <w:sz w:val="20"/>
                <w:szCs w:val="20"/>
              </w:rPr>
              <w:t>3.633</w:t>
            </w:r>
          </w:p>
        </w:tc>
        <w:tc>
          <w:tcPr>
            <w:tcW w:w="1920" w:type="dxa"/>
            <w:tcBorders>
              <w:top w:val="nil"/>
              <w:left w:val="single" w:sz="4" w:space="0" w:color="auto"/>
              <w:bottom w:val="nil"/>
              <w:right w:val="single" w:sz="4" w:space="0" w:color="auto"/>
            </w:tcBorders>
            <w:shd w:val="clear" w:color="000000" w:fill="FFFFFF"/>
            <w:noWrap/>
            <w:hideMark/>
          </w:tcPr>
          <w:p w14:paraId="599330D4" w14:textId="77777777" w:rsidR="009A7430" w:rsidRPr="001569FB" w:rsidRDefault="009A7430" w:rsidP="00875BB1">
            <w:pPr>
              <w:jc w:val="center"/>
              <w:rPr>
                <w:sz w:val="20"/>
                <w:szCs w:val="20"/>
              </w:rPr>
            </w:pPr>
            <w:r w:rsidRPr="001569FB">
              <w:rPr>
                <w:sz w:val="20"/>
                <w:szCs w:val="20"/>
              </w:rPr>
              <w:t>4.760</w:t>
            </w:r>
          </w:p>
        </w:tc>
      </w:tr>
      <w:tr w:rsidR="009A7430" w:rsidRPr="001569FB" w14:paraId="66F28F34" w14:textId="77777777" w:rsidTr="002707EC">
        <w:trPr>
          <w:trHeight w:hRule="exact" w:val="259"/>
        </w:trPr>
        <w:tc>
          <w:tcPr>
            <w:tcW w:w="2080" w:type="dxa"/>
            <w:tcBorders>
              <w:top w:val="nil"/>
              <w:bottom w:val="nil"/>
              <w:right w:val="single" w:sz="4" w:space="0" w:color="auto"/>
            </w:tcBorders>
            <w:noWrap/>
            <w:hideMark/>
          </w:tcPr>
          <w:p w14:paraId="69BACF03"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EA49343" w14:textId="77777777" w:rsidR="009A7430" w:rsidRPr="001569FB" w:rsidRDefault="009A7430" w:rsidP="00875BB1">
            <w:pPr>
              <w:jc w:val="center"/>
              <w:rPr>
                <w:sz w:val="20"/>
                <w:szCs w:val="20"/>
              </w:rPr>
            </w:pPr>
            <w:r w:rsidRPr="001569FB">
              <w:rPr>
                <w:sz w:val="20"/>
                <w:szCs w:val="20"/>
              </w:rPr>
              <w:t>3.144</w:t>
            </w:r>
          </w:p>
        </w:tc>
        <w:tc>
          <w:tcPr>
            <w:tcW w:w="1920" w:type="dxa"/>
            <w:tcBorders>
              <w:top w:val="nil"/>
              <w:left w:val="single" w:sz="4" w:space="0" w:color="auto"/>
              <w:bottom w:val="nil"/>
              <w:right w:val="single" w:sz="4" w:space="0" w:color="auto"/>
            </w:tcBorders>
            <w:shd w:val="clear" w:color="000000" w:fill="FFFFFF"/>
            <w:noWrap/>
            <w:hideMark/>
          </w:tcPr>
          <w:p w14:paraId="4AB23DC4" w14:textId="77777777" w:rsidR="009A7430" w:rsidRPr="001569FB" w:rsidRDefault="009A7430" w:rsidP="00875BB1">
            <w:pPr>
              <w:jc w:val="center"/>
              <w:rPr>
                <w:sz w:val="20"/>
                <w:szCs w:val="20"/>
              </w:rPr>
            </w:pPr>
            <w:r w:rsidRPr="001569FB">
              <w:rPr>
                <w:sz w:val="20"/>
                <w:szCs w:val="20"/>
              </w:rPr>
              <w:t>3.713</w:t>
            </w:r>
          </w:p>
        </w:tc>
        <w:tc>
          <w:tcPr>
            <w:tcW w:w="1920" w:type="dxa"/>
            <w:tcBorders>
              <w:top w:val="nil"/>
              <w:left w:val="single" w:sz="4" w:space="0" w:color="auto"/>
              <w:bottom w:val="nil"/>
              <w:right w:val="single" w:sz="4" w:space="0" w:color="auto"/>
            </w:tcBorders>
            <w:shd w:val="clear" w:color="000000" w:fill="FFFFFF"/>
            <w:noWrap/>
            <w:hideMark/>
          </w:tcPr>
          <w:p w14:paraId="32F86C89"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7F687F8F" w14:textId="77777777" w:rsidR="009A7430" w:rsidRPr="001569FB" w:rsidRDefault="009A7430" w:rsidP="00875BB1">
            <w:pPr>
              <w:jc w:val="center"/>
              <w:rPr>
                <w:sz w:val="20"/>
                <w:szCs w:val="20"/>
              </w:rPr>
            </w:pPr>
            <w:r w:rsidRPr="001569FB">
              <w:rPr>
                <w:sz w:val="20"/>
                <w:szCs w:val="20"/>
              </w:rPr>
              <w:t>4.760</w:t>
            </w:r>
          </w:p>
        </w:tc>
      </w:tr>
      <w:tr w:rsidR="009A7430" w:rsidRPr="001569FB" w14:paraId="5371A061" w14:textId="77777777" w:rsidTr="002707EC">
        <w:trPr>
          <w:trHeight w:hRule="exact" w:val="259"/>
        </w:trPr>
        <w:tc>
          <w:tcPr>
            <w:tcW w:w="2080" w:type="dxa"/>
            <w:tcBorders>
              <w:top w:val="nil"/>
              <w:bottom w:val="nil"/>
              <w:right w:val="single" w:sz="4" w:space="0" w:color="auto"/>
            </w:tcBorders>
            <w:noWrap/>
            <w:hideMark/>
          </w:tcPr>
          <w:p w14:paraId="026C9A48"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1B676E36" w14:textId="77777777" w:rsidR="009A7430" w:rsidRPr="001569FB" w:rsidRDefault="009A7430" w:rsidP="00875BB1">
            <w:pPr>
              <w:jc w:val="center"/>
              <w:rPr>
                <w:sz w:val="20"/>
                <w:szCs w:val="20"/>
              </w:rPr>
            </w:pPr>
            <w:r w:rsidRPr="001569FB">
              <w:rPr>
                <w:sz w:val="20"/>
                <w:szCs w:val="20"/>
              </w:rPr>
              <w:t>3.188</w:t>
            </w:r>
          </w:p>
        </w:tc>
        <w:tc>
          <w:tcPr>
            <w:tcW w:w="1920" w:type="dxa"/>
            <w:tcBorders>
              <w:top w:val="nil"/>
              <w:left w:val="single" w:sz="4" w:space="0" w:color="auto"/>
              <w:bottom w:val="nil"/>
              <w:right w:val="single" w:sz="4" w:space="0" w:color="auto"/>
            </w:tcBorders>
            <w:shd w:val="clear" w:color="000000" w:fill="FFFFFF"/>
            <w:noWrap/>
            <w:hideMark/>
          </w:tcPr>
          <w:p w14:paraId="69FBCDFB"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7C1A0825"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0DB77E36" w14:textId="77777777" w:rsidR="009A7430" w:rsidRPr="001569FB" w:rsidRDefault="009A7430" w:rsidP="00875BB1">
            <w:pPr>
              <w:jc w:val="center"/>
              <w:rPr>
                <w:sz w:val="20"/>
                <w:szCs w:val="20"/>
              </w:rPr>
            </w:pPr>
            <w:r w:rsidRPr="001569FB">
              <w:rPr>
                <w:sz w:val="20"/>
                <w:szCs w:val="20"/>
              </w:rPr>
              <w:t>4.760</w:t>
            </w:r>
          </w:p>
        </w:tc>
      </w:tr>
      <w:tr w:rsidR="009A7430" w:rsidRPr="001569FB" w14:paraId="2DCED31A" w14:textId="77777777" w:rsidTr="002707EC">
        <w:trPr>
          <w:trHeight w:hRule="exact" w:val="259"/>
        </w:trPr>
        <w:tc>
          <w:tcPr>
            <w:tcW w:w="2080" w:type="dxa"/>
            <w:tcBorders>
              <w:top w:val="nil"/>
              <w:bottom w:val="nil"/>
              <w:right w:val="single" w:sz="4" w:space="0" w:color="auto"/>
            </w:tcBorders>
            <w:noWrap/>
            <w:hideMark/>
          </w:tcPr>
          <w:p w14:paraId="49227D02"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4B22926A"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0857BA70"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28980A92"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BDA3923" w14:textId="77777777" w:rsidR="009A7430" w:rsidRPr="001569FB" w:rsidRDefault="009A7430" w:rsidP="00875BB1">
            <w:pPr>
              <w:jc w:val="center"/>
              <w:rPr>
                <w:sz w:val="20"/>
                <w:szCs w:val="20"/>
              </w:rPr>
            </w:pPr>
            <w:r w:rsidRPr="001569FB">
              <w:rPr>
                <w:sz w:val="20"/>
                <w:szCs w:val="20"/>
              </w:rPr>
              <w:t>4.760</w:t>
            </w:r>
          </w:p>
        </w:tc>
      </w:tr>
      <w:tr w:rsidR="009A7430" w:rsidRPr="001569FB" w14:paraId="697AB37D" w14:textId="77777777" w:rsidTr="002707EC">
        <w:trPr>
          <w:trHeight w:hRule="exact" w:val="259"/>
        </w:trPr>
        <w:tc>
          <w:tcPr>
            <w:tcW w:w="2080" w:type="dxa"/>
            <w:tcBorders>
              <w:top w:val="nil"/>
              <w:bottom w:val="nil"/>
              <w:right w:val="single" w:sz="4" w:space="0" w:color="auto"/>
            </w:tcBorders>
            <w:noWrap/>
            <w:hideMark/>
          </w:tcPr>
          <w:p w14:paraId="728548C3"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7E454324" w14:textId="77777777" w:rsidR="009A7430" w:rsidRPr="001569FB" w:rsidRDefault="009A7430" w:rsidP="00875BB1">
            <w:pPr>
              <w:jc w:val="center"/>
              <w:rPr>
                <w:sz w:val="20"/>
                <w:szCs w:val="20"/>
              </w:rPr>
            </w:pPr>
            <w:r w:rsidRPr="001569FB">
              <w:rPr>
                <w:sz w:val="20"/>
                <w:szCs w:val="20"/>
              </w:rPr>
              <w:t>3.347</w:t>
            </w:r>
          </w:p>
        </w:tc>
        <w:tc>
          <w:tcPr>
            <w:tcW w:w="1920" w:type="dxa"/>
            <w:tcBorders>
              <w:top w:val="nil"/>
              <w:left w:val="single" w:sz="4" w:space="0" w:color="auto"/>
              <w:bottom w:val="nil"/>
              <w:right w:val="single" w:sz="4" w:space="0" w:color="auto"/>
            </w:tcBorders>
            <w:shd w:val="clear" w:color="000000" w:fill="FFFFFF"/>
            <w:noWrap/>
            <w:hideMark/>
          </w:tcPr>
          <w:p w14:paraId="422DC845" w14:textId="77777777" w:rsidR="009A7430" w:rsidRPr="001569FB" w:rsidRDefault="009A7430" w:rsidP="00875BB1">
            <w:pPr>
              <w:jc w:val="center"/>
              <w:rPr>
                <w:sz w:val="20"/>
                <w:szCs w:val="20"/>
              </w:rPr>
            </w:pPr>
            <w:r w:rsidRPr="001569FB">
              <w:rPr>
                <w:sz w:val="20"/>
                <w:szCs w:val="20"/>
              </w:rPr>
              <w:t>3.860</w:t>
            </w:r>
          </w:p>
        </w:tc>
        <w:tc>
          <w:tcPr>
            <w:tcW w:w="1920" w:type="dxa"/>
            <w:tcBorders>
              <w:top w:val="nil"/>
              <w:left w:val="single" w:sz="4" w:space="0" w:color="auto"/>
              <w:bottom w:val="nil"/>
              <w:right w:val="single" w:sz="4" w:space="0" w:color="auto"/>
            </w:tcBorders>
            <w:shd w:val="clear" w:color="000000" w:fill="FFFFFF"/>
            <w:noWrap/>
            <w:hideMark/>
          </w:tcPr>
          <w:p w14:paraId="7168D335"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5D7B97C8" w14:textId="77777777" w:rsidR="009A7430" w:rsidRPr="001569FB" w:rsidRDefault="009A7430" w:rsidP="00875BB1">
            <w:pPr>
              <w:jc w:val="center"/>
              <w:rPr>
                <w:sz w:val="20"/>
                <w:szCs w:val="20"/>
              </w:rPr>
            </w:pPr>
            <w:r w:rsidRPr="001569FB">
              <w:rPr>
                <w:sz w:val="20"/>
                <w:szCs w:val="20"/>
              </w:rPr>
              <w:t>4.760</w:t>
            </w:r>
          </w:p>
        </w:tc>
      </w:tr>
      <w:tr w:rsidR="009A7430" w:rsidRPr="001569FB" w14:paraId="733C3601" w14:textId="77777777" w:rsidTr="002707EC">
        <w:trPr>
          <w:trHeight w:hRule="exact" w:val="259"/>
        </w:trPr>
        <w:tc>
          <w:tcPr>
            <w:tcW w:w="2080" w:type="dxa"/>
            <w:tcBorders>
              <w:top w:val="nil"/>
              <w:bottom w:val="nil"/>
              <w:right w:val="single" w:sz="4" w:space="0" w:color="auto"/>
            </w:tcBorders>
            <w:noWrap/>
            <w:hideMark/>
          </w:tcPr>
          <w:p w14:paraId="2344A877"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BFF9FD8" w14:textId="77777777" w:rsidR="009A7430" w:rsidRPr="001569FB" w:rsidRDefault="009A7430" w:rsidP="00875BB1">
            <w:pPr>
              <w:jc w:val="center"/>
              <w:rPr>
                <w:sz w:val="20"/>
                <w:szCs w:val="20"/>
              </w:rPr>
            </w:pPr>
            <w:r w:rsidRPr="001569FB">
              <w:rPr>
                <w:sz w:val="20"/>
                <w:szCs w:val="20"/>
              </w:rPr>
              <w:t>3.621</w:t>
            </w:r>
          </w:p>
        </w:tc>
        <w:tc>
          <w:tcPr>
            <w:tcW w:w="1920" w:type="dxa"/>
            <w:tcBorders>
              <w:top w:val="nil"/>
              <w:left w:val="single" w:sz="4" w:space="0" w:color="auto"/>
              <w:bottom w:val="nil"/>
              <w:right w:val="single" w:sz="4" w:space="0" w:color="auto"/>
            </w:tcBorders>
            <w:shd w:val="clear" w:color="000000" w:fill="FFFFFF"/>
            <w:noWrap/>
            <w:hideMark/>
          </w:tcPr>
          <w:p w14:paraId="38A3E74D" w14:textId="77777777" w:rsidR="009A7430" w:rsidRPr="001569FB" w:rsidRDefault="009A7430" w:rsidP="00875BB1">
            <w:pPr>
              <w:jc w:val="center"/>
              <w:rPr>
                <w:sz w:val="20"/>
                <w:szCs w:val="20"/>
              </w:rPr>
            </w:pPr>
            <w:r w:rsidRPr="001569FB">
              <w:rPr>
                <w:sz w:val="20"/>
                <w:szCs w:val="20"/>
              </w:rPr>
              <w:t>3.969</w:t>
            </w:r>
          </w:p>
        </w:tc>
        <w:tc>
          <w:tcPr>
            <w:tcW w:w="1920" w:type="dxa"/>
            <w:tcBorders>
              <w:top w:val="nil"/>
              <w:left w:val="single" w:sz="4" w:space="0" w:color="auto"/>
              <w:bottom w:val="nil"/>
              <w:right w:val="single" w:sz="4" w:space="0" w:color="auto"/>
            </w:tcBorders>
            <w:shd w:val="clear" w:color="000000" w:fill="FFFFFF"/>
            <w:noWrap/>
            <w:hideMark/>
          </w:tcPr>
          <w:p w14:paraId="02ED59E8"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69EC018" w14:textId="77777777" w:rsidR="009A7430" w:rsidRPr="001569FB" w:rsidRDefault="009A7430" w:rsidP="00875BB1">
            <w:pPr>
              <w:jc w:val="center"/>
              <w:rPr>
                <w:sz w:val="20"/>
                <w:szCs w:val="20"/>
              </w:rPr>
            </w:pPr>
            <w:r w:rsidRPr="001569FB">
              <w:rPr>
                <w:sz w:val="20"/>
                <w:szCs w:val="20"/>
              </w:rPr>
              <w:t>4.760</w:t>
            </w:r>
          </w:p>
        </w:tc>
      </w:tr>
      <w:tr w:rsidR="009A7430" w:rsidRPr="001569FB" w14:paraId="0510C2F8" w14:textId="77777777" w:rsidTr="002707EC">
        <w:trPr>
          <w:trHeight w:hRule="exact" w:val="259"/>
        </w:trPr>
        <w:tc>
          <w:tcPr>
            <w:tcW w:w="2080" w:type="dxa"/>
            <w:tcBorders>
              <w:top w:val="nil"/>
              <w:bottom w:val="nil"/>
              <w:right w:val="single" w:sz="4" w:space="0" w:color="auto"/>
            </w:tcBorders>
            <w:noWrap/>
            <w:hideMark/>
          </w:tcPr>
          <w:p w14:paraId="67F0BAAC"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1936517F" w14:textId="77777777" w:rsidR="009A7430" w:rsidRPr="001569FB" w:rsidRDefault="009A7430" w:rsidP="00875BB1">
            <w:pPr>
              <w:jc w:val="center"/>
              <w:rPr>
                <w:sz w:val="20"/>
                <w:szCs w:val="20"/>
              </w:rPr>
            </w:pPr>
            <w:r w:rsidRPr="001569FB">
              <w:rPr>
                <w:sz w:val="20"/>
                <w:szCs w:val="20"/>
              </w:rPr>
              <w:t>3.808</w:t>
            </w:r>
          </w:p>
        </w:tc>
        <w:tc>
          <w:tcPr>
            <w:tcW w:w="1920" w:type="dxa"/>
            <w:tcBorders>
              <w:top w:val="nil"/>
              <w:left w:val="single" w:sz="4" w:space="0" w:color="auto"/>
              <w:bottom w:val="nil"/>
              <w:right w:val="single" w:sz="4" w:space="0" w:color="auto"/>
            </w:tcBorders>
            <w:shd w:val="clear" w:color="000000" w:fill="FFFFFF"/>
            <w:noWrap/>
            <w:hideMark/>
          </w:tcPr>
          <w:p w14:paraId="53E13606" w14:textId="77777777" w:rsidR="009A7430" w:rsidRPr="001569FB" w:rsidRDefault="009A7430" w:rsidP="00875BB1">
            <w:pPr>
              <w:jc w:val="center"/>
              <w:rPr>
                <w:sz w:val="20"/>
                <w:szCs w:val="20"/>
              </w:rPr>
            </w:pPr>
            <w:r w:rsidRPr="001569FB">
              <w:rPr>
                <w:sz w:val="20"/>
                <w:szCs w:val="20"/>
              </w:rPr>
              <w:t>4.117</w:t>
            </w:r>
          </w:p>
        </w:tc>
        <w:tc>
          <w:tcPr>
            <w:tcW w:w="1920" w:type="dxa"/>
            <w:tcBorders>
              <w:top w:val="nil"/>
              <w:left w:val="single" w:sz="4" w:space="0" w:color="auto"/>
              <w:bottom w:val="nil"/>
              <w:right w:val="single" w:sz="4" w:space="0" w:color="auto"/>
            </w:tcBorders>
            <w:shd w:val="clear" w:color="000000" w:fill="FFFFFF"/>
            <w:noWrap/>
            <w:hideMark/>
          </w:tcPr>
          <w:p w14:paraId="01E26990"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5F86392" w14:textId="77777777" w:rsidR="009A7430" w:rsidRPr="001569FB" w:rsidRDefault="009A7430" w:rsidP="00875BB1">
            <w:pPr>
              <w:jc w:val="center"/>
              <w:rPr>
                <w:sz w:val="20"/>
                <w:szCs w:val="20"/>
              </w:rPr>
            </w:pPr>
            <w:r w:rsidRPr="001569FB">
              <w:rPr>
                <w:sz w:val="20"/>
                <w:szCs w:val="20"/>
              </w:rPr>
              <w:t>4.760</w:t>
            </w:r>
          </w:p>
        </w:tc>
      </w:tr>
      <w:tr w:rsidR="009A7430" w:rsidRPr="001569FB" w14:paraId="5044009A" w14:textId="77777777" w:rsidTr="002707EC">
        <w:trPr>
          <w:trHeight w:hRule="exact" w:val="259"/>
        </w:trPr>
        <w:tc>
          <w:tcPr>
            <w:tcW w:w="2080" w:type="dxa"/>
            <w:tcBorders>
              <w:top w:val="nil"/>
              <w:bottom w:val="nil"/>
              <w:right w:val="single" w:sz="4" w:space="0" w:color="auto"/>
            </w:tcBorders>
            <w:noWrap/>
            <w:hideMark/>
          </w:tcPr>
          <w:p w14:paraId="6F144FED"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794B1AE6"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5153E7A9"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1AEB0CD9"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6589B20" w14:textId="77777777" w:rsidR="009A7430" w:rsidRPr="001569FB" w:rsidRDefault="009A7430" w:rsidP="00875BB1">
            <w:pPr>
              <w:jc w:val="center"/>
              <w:rPr>
                <w:sz w:val="20"/>
                <w:szCs w:val="20"/>
              </w:rPr>
            </w:pPr>
            <w:r w:rsidRPr="001569FB">
              <w:rPr>
                <w:sz w:val="20"/>
                <w:szCs w:val="20"/>
              </w:rPr>
              <w:t>4.760</w:t>
            </w:r>
          </w:p>
        </w:tc>
      </w:tr>
      <w:tr w:rsidR="009A7430" w:rsidRPr="001569FB" w14:paraId="720B30E3" w14:textId="77777777" w:rsidTr="002707EC">
        <w:trPr>
          <w:trHeight w:hRule="exact" w:val="259"/>
        </w:trPr>
        <w:tc>
          <w:tcPr>
            <w:tcW w:w="2080" w:type="dxa"/>
            <w:tcBorders>
              <w:top w:val="nil"/>
              <w:bottom w:val="nil"/>
              <w:right w:val="single" w:sz="4" w:space="0" w:color="auto"/>
            </w:tcBorders>
            <w:noWrap/>
            <w:hideMark/>
          </w:tcPr>
          <w:p w14:paraId="5BD7F5F3"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07035B99"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26DDBAC6"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23530EA1"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4650204" w14:textId="77777777" w:rsidR="009A7430" w:rsidRPr="001569FB" w:rsidRDefault="009A7430" w:rsidP="00875BB1">
            <w:pPr>
              <w:jc w:val="center"/>
              <w:rPr>
                <w:sz w:val="20"/>
                <w:szCs w:val="20"/>
              </w:rPr>
            </w:pPr>
            <w:r w:rsidRPr="001569FB">
              <w:rPr>
                <w:sz w:val="20"/>
                <w:szCs w:val="20"/>
              </w:rPr>
              <w:t>4.760</w:t>
            </w:r>
          </w:p>
        </w:tc>
      </w:tr>
      <w:tr w:rsidR="009A7430" w:rsidRPr="001569FB" w14:paraId="50D41AB9" w14:textId="77777777" w:rsidTr="002707EC">
        <w:trPr>
          <w:trHeight w:hRule="exact" w:val="259"/>
        </w:trPr>
        <w:tc>
          <w:tcPr>
            <w:tcW w:w="2080" w:type="dxa"/>
            <w:tcBorders>
              <w:top w:val="nil"/>
              <w:bottom w:val="single" w:sz="4" w:space="0" w:color="auto"/>
              <w:right w:val="single" w:sz="4" w:space="0" w:color="auto"/>
            </w:tcBorders>
            <w:noWrap/>
            <w:hideMark/>
          </w:tcPr>
          <w:p w14:paraId="325F61B6"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03456AA"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42ED7F8A"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2C42AB6C"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4B7235B" w14:textId="77777777" w:rsidR="009A7430" w:rsidRPr="001569FB" w:rsidRDefault="009A7430" w:rsidP="00875BB1">
            <w:pPr>
              <w:jc w:val="center"/>
              <w:rPr>
                <w:sz w:val="20"/>
                <w:szCs w:val="20"/>
              </w:rPr>
            </w:pPr>
            <w:r w:rsidRPr="001569FB">
              <w:rPr>
                <w:sz w:val="20"/>
                <w:szCs w:val="20"/>
              </w:rPr>
              <w:t>4.760</w:t>
            </w:r>
          </w:p>
        </w:tc>
      </w:tr>
    </w:tbl>
    <w:p w14:paraId="70F11F32" w14:textId="77777777" w:rsidR="009A7430" w:rsidRPr="001569FB" w:rsidRDefault="009A7430" w:rsidP="002707EC">
      <w:pPr>
        <w:spacing w:before="120"/>
        <w:ind w:right="-90"/>
        <w:rPr>
          <w:b/>
          <w:sz w:val="18"/>
          <w:szCs w:val="20"/>
        </w:rPr>
      </w:pPr>
      <w:r w:rsidRPr="001569FB">
        <w:rPr>
          <w:b/>
          <w:sz w:val="18"/>
          <w:szCs w:val="20"/>
        </w:rPr>
        <w:t>NOTES:</w:t>
      </w:r>
    </w:p>
    <w:p w14:paraId="6D46AB09" w14:textId="31F45FB7" w:rsidR="009A7430" w:rsidRPr="001569FB" w:rsidRDefault="009A7430" w:rsidP="00AC78D9">
      <w:pPr>
        <w:pStyle w:val="ListParagraph"/>
        <w:numPr>
          <w:ilvl w:val="0"/>
          <w:numId w:val="28"/>
        </w:numPr>
        <w:spacing w:line="259" w:lineRule="auto"/>
        <w:ind w:right="-90"/>
        <w:rPr>
          <w:sz w:val="18"/>
          <w:szCs w:val="20"/>
        </w:rPr>
      </w:pPr>
      <w:r w:rsidRPr="001569FB">
        <w:rPr>
          <w:sz w:val="18"/>
          <w:szCs w:val="20"/>
        </w:rPr>
        <w:t xml:space="preserve">The relative factors are derived from the Graft New Enrollee model. </w:t>
      </w:r>
      <w:r w:rsidR="00E5152E" w:rsidRPr="001569FB">
        <w:rPr>
          <w:sz w:val="18"/>
          <w:szCs w:val="20"/>
        </w:rPr>
        <w:t xml:space="preserve"> </w:t>
      </w:r>
      <w:r w:rsidRPr="001569FB">
        <w:rPr>
          <w:sz w:val="18"/>
          <w:szCs w:val="20"/>
        </w:rPr>
        <w:t>The Denominator used to calculate the relative factors is $9,366.89.</w:t>
      </w:r>
    </w:p>
    <w:p w14:paraId="4B1C6B6F" w14:textId="0E536FCA" w:rsidR="009A7430" w:rsidRPr="001569FB" w:rsidRDefault="009A7430" w:rsidP="00AC78D9">
      <w:pPr>
        <w:pStyle w:val="ListParagraph"/>
        <w:numPr>
          <w:ilvl w:val="0"/>
          <w:numId w:val="28"/>
        </w:numPr>
        <w:spacing w:before="40" w:after="60" w:line="259" w:lineRule="auto"/>
        <w:ind w:right="-90"/>
        <w:rPr>
          <w:sz w:val="18"/>
          <w:szCs w:val="20"/>
        </w:rPr>
      </w:pPr>
      <w:r w:rsidRPr="001569FB">
        <w:rPr>
          <w:sz w:val="18"/>
          <w:szCs w:val="20"/>
        </w:rPr>
        <w:t>Originally Disabled terms refer to beneficiaries originally entitled to Medicare for reasons of disability other than ESRD.</w:t>
      </w:r>
      <w:r w:rsidR="00E5152E" w:rsidRPr="001569FB">
        <w:rPr>
          <w:sz w:val="18"/>
          <w:szCs w:val="20"/>
        </w:rPr>
        <w:t xml:space="preserve"> </w:t>
      </w:r>
      <w:r w:rsidRPr="001569FB">
        <w:rPr>
          <w:sz w:val="18"/>
          <w:szCs w:val="20"/>
        </w:rPr>
        <w:t xml:space="preserve"> In this model, Originally Disabled is defined only for beneficiaries age 65 and greater.</w:t>
      </w:r>
    </w:p>
    <w:p w14:paraId="1F8E5FC6" w14:textId="1F2148DE" w:rsidR="009A7430" w:rsidRPr="001569FB" w:rsidRDefault="009A7430" w:rsidP="002707EC">
      <w:pPr>
        <w:spacing w:before="60" w:line="240" w:lineRule="auto"/>
        <w:ind w:right="-90"/>
        <w:rPr>
          <w:b/>
          <w:bCs/>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0CA5467C" w14:textId="545FD46F" w:rsidR="009A7430" w:rsidRPr="001569FB" w:rsidRDefault="009A7430" w:rsidP="00E177CD">
      <w:pPr>
        <w:pStyle w:val="HeadingA"/>
      </w:pPr>
      <w:r w:rsidRPr="001569FB">
        <w:rPr>
          <w:b w:val="0"/>
          <w:bCs w:val="0"/>
        </w:rPr>
        <w:br w:type="page"/>
      </w:r>
      <w:bookmarkStart w:id="606" w:name="_Toc503950938"/>
      <w:bookmarkStart w:id="607" w:name="_Toc503980163"/>
      <w:bookmarkStart w:id="608" w:name="_Toc505253824"/>
      <w:r w:rsidRPr="001569FB">
        <w:lastRenderedPageBreak/>
        <w:t xml:space="preserve">Table </w:t>
      </w:r>
      <w:r w:rsidR="00440F3D" w:rsidRPr="001569FB">
        <w:t>V-</w:t>
      </w:r>
      <w:r w:rsidR="000B6CFC" w:rsidRPr="001569FB">
        <w:t>12</w:t>
      </w:r>
      <w:r w:rsidRPr="001569FB">
        <w:t>. ESRD Model Demographic Relative Factors for Functioning Graft New Enrollees Duration Since Transplant of 10 Months or More</w:t>
      </w:r>
      <w:bookmarkEnd w:id="606"/>
      <w:bookmarkEnd w:id="607"/>
      <w:bookmarkEnd w:id="608"/>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30"/>
        <w:gridCol w:w="1855"/>
        <w:gridCol w:w="1855"/>
        <w:gridCol w:w="1855"/>
        <w:gridCol w:w="1855"/>
      </w:tblGrid>
      <w:tr w:rsidR="009A7430" w:rsidRPr="001569FB" w14:paraId="3778DCF3" w14:textId="77777777" w:rsidTr="002707EC">
        <w:trPr>
          <w:trHeight w:hRule="exact" w:val="864"/>
          <w:tblHeader/>
        </w:trPr>
        <w:tc>
          <w:tcPr>
            <w:tcW w:w="1991" w:type="dxa"/>
            <w:tcBorders>
              <w:top w:val="single" w:sz="4" w:space="0" w:color="auto"/>
              <w:bottom w:val="single" w:sz="4" w:space="0" w:color="auto"/>
              <w:right w:val="single" w:sz="4" w:space="0" w:color="auto"/>
            </w:tcBorders>
            <w:noWrap/>
            <w:hideMark/>
          </w:tcPr>
          <w:p w14:paraId="3B8DB6AC"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single" w:sz="4" w:space="0" w:color="auto"/>
              <w:right w:val="single" w:sz="4" w:space="0" w:color="auto"/>
            </w:tcBorders>
            <w:hideMark/>
          </w:tcPr>
          <w:p w14:paraId="46A5C418" w14:textId="77777777" w:rsidR="009A7430" w:rsidRPr="001569FB" w:rsidRDefault="009A7430" w:rsidP="008D4E91">
            <w:pPr>
              <w:jc w:val="center"/>
              <w:rPr>
                <w:b/>
                <w:bCs/>
                <w:sz w:val="20"/>
                <w:szCs w:val="20"/>
              </w:rPr>
            </w:pPr>
            <w:r w:rsidRPr="001569FB">
              <w:rPr>
                <w:b/>
                <w:bCs/>
                <w:sz w:val="20"/>
                <w:szCs w:val="20"/>
              </w:rPr>
              <w:t>Non-Medicaid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60609DDD"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75951C9F" w14:textId="77777777" w:rsidR="009A7430" w:rsidRPr="001569FB" w:rsidRDefault="009A7430" w:rsidP="008D4E91">
            <w:pPr>
              <w:jc w:val="center"/>
              <w:rPr>
                <w:b/>
                <w:bCs/>
                <w:sz w:val="20"/>
                <w:szCs w:val="20"/>
              </w:rPr>
            </w:pPr>
            <w:r w:rsidRPr="001569FB">
              <w:rPr>
                <w:b/>
                <w:bCs/>
                <w:sz w:val="20"/>
                <w:szCs w:val="20"/>
              </w:rPr>
              <w:t>Non-Medicaid &amp; Originally Disabled</w:t>
            </w:r>
          </w:p>
        </w:tc>
        <w:tc>
          <w:tcPr>
            <w:tcW w:w="1915" w:type="dxa"/>
            <w:tcBorders>
              <w:top w:val="single" w:sz="4" w:space="0" w:color="auto"/>
              <w:left w:val="single" w:sz="4" w:space="0" w:color="auto"/>
              <w:bottom w:val="single" w:sz="4" w:space="0" w:color="auto"/>
            </w:tcBorders>
            <w:hideMark/>
          </w:tcPr>
          <w:p w14:paraId="7477EAD5"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0E7BEC6B" w14:textId="77777777" w:rsidTr="002707EC">
        <w:trPr>
          <w:trHeight w:hRule="exact" w:val="259"/>
        </w:trPr>
        <w:tc>
          <w:tcPr>
            <w:tcW w:w="1991" w:type="dxa"/>
            <w:tcBorders>
              <w:top w:val="single" w:sz="4" w:space="0" w:color="auto"/>
              <w:right w:val="single" w:sz="4" w:space="0" w:color="auto"/>
            </w:tcBorders>
            <w:noWrap/>
            <w:hideMark/>
          </w:tcPr>
          <w:p w14:paraId="32C11B96" w14:textId="77777777" w:rsidR="009A7430" w:rsidRPr="001569FB" w:rsidRDefault="009A7430" w:rsidP="008D4E91">
            <w:pPr>
              <w:rPr>
                <w:b/>
                <w:bCs/>
                <w:sz w:val="20"/>
                <w:szCs w:val="20"/>
              </w:rPr>
            </w:pPr>
            <w:r w:rsidRPr="001569FB">
              <w:rPr>
                <w:b/>
                <w:bCs/>
                <w:sz w:val="20"/>
                <w:szCs w:val="20"/>
              </w:rPr>
              <w:t>Female</w:t>
            </w:r>
          </w:p>
        </w:tc>
        <w:tc>
          <w:tcPr>
            <w:tcW w:w="1915" w:type="dxa"/>
            <w:tcBorders>
              <w:top w:val="single" w:sz="4" w:space="0" w:color="auto"/>
              <w:left w:val="single" w:sz="4" w:space="0" w:color="auto"/>
              <w:bottom w:val="nil"/>
              <w:right w:val="single" w:sz="4" w:space="0" w:color="auto"/>
            </w:tcBorders>
            <w:noWrap/>
            <w:hideMark/>
          </w:tcPr>
          <w:p w14:paraId="354C2402"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50E2463"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A96C4A1"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tcBorders>
            <w:noWrap/>
            <w:hideMark/>
          </w:tcPr>
          <w:p w14:paraId="15022617" w14:textId="77777777" w:rsidR="009A7430" w:rsidRPr="001569FB" w:rsidRDefault="009A7430" w:rsidP="008D4E91">
            <w:pPr>
              <w:jc w:val="center"/>
              <w:rPr>
                <w:sz w:val="20"/>
                <w:szCs w:val="20"/>
              </w:rPr>
            </w:pPr>
            <w:r w:rsidRPr="001569FB">
              <w:rPr>
                <w:sz w:val="20"/>
                <w:szCs w:val="20"/>
              </w:rPr>
              <w:t> </w:t>
            </w:r>
          </w:p>
        </w:tc>
      </w:tr>
      <w:tr w:rsidR="009A7430" w:rsidRPr="001569FB" w14:paraId="1CAD98C2" w14:textId="77777777" w:rsidTr="002707EC">
        <w:trPr>
          <w:trHeight w:hRule="exact" w:val="259"/>
        </w:trPr>
        <w:tc>
          <w:tcPr>
            <w:tcW w:w="1991" w:type="dxa"/>
            <w:tcBorders>
              <w:right w:val="single" w:sz="4" w:space="0" w:color="auto"/>
            </w:tcBorders>
            <w:noWrap/>
            <w:hideMark/>
          </w:tcPr>
          <w:p w14:paraId="432970DB"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27DB4CF0" w14:textId="77777777" w:rsidR="009A7430" w:rsidRPr="001569FB" w:rsidRDefault="009A7430" w:rsidP="008D4E91">
            <w:pPr>
              <w:jc w:val="center"/>
              <w:rPr>
                <w:sz w:val="20"/>
                <w:szCs w:val="20"/>
              </w:rPr>
            </w:pPr>
            <w:r w:rsidRPr="001569FB">
              <w:rPr>
                <w:sz w:val="20"/>
                <w:szCs w:val="20"/>
              </w:rPr>
              <w:t>1.644</w:t>
            </w:r>
          </w:p>
        </w:tc>
        <w:tc>
          <w:tcPr>
            <w:tcW w:w="1915" w:type="dxa"/>
            <w:tcBorders>
              <w:top w:val="nil"/>
              <w:left w:val="single" w:sz="4" w:space="0" w:color="auto"/>
              <w:bottom w:val="nil"/>
              <w:right w:val="single" w:sz="4" w:space="0" w:color="auto"/>
            </w:tcBorders>
            <w:shd w:val="clear" w:color="000000" w:fill="FFFFFF"/>
            <w:noWrap/>
            <w:hideMark/>
          </w:tcPr>
          <w:p w14:paraId="232362B0" w14:textId="77777777" w:rsidR="009A7430" w:rsidRPr="001569FB" w:rsidRDefault="009A7430" w:rsidP="008D4E91">
            <w:pPr>
              <w:jc w:val="center"/>
              <w:rPr>
                <w:sz w:val="20"/>
                <w:szCs w:val="20"/>
              </w:rPr>
            </w:pPr>
            <w:r w:rsidRPr="001569FB">
              <w:rPr>
                <w:sz w:val="20"/>
                <w:szCs w:val="20"/>
              </w:rPr>
              <w:t>1.809</w:t>
            </w:r>
          </w:p>
        </w:tc>
        <w:tc>
          <w:tcPr>
            <w:tcW w:w="1915" w:type="dxa"/>
            <w:tcBorders>
              <w:top w:val="nil"/>
              <w:left w:val="single" w:sz="4" w:space="0" w:color="auto"/>
              <w:bottom w:val="nil"/>
              <w:right w:val="single" w:sz="4" w:space="0" w:color="auto"/>
            </w:tcBorders>
            <w:shd w:val="clear" w:color="000000" w:fill="FFFFFF"/>
            <w:noWrap/>
            <w:hideMark/>
          </w:tcPr>
          <w:p w14:paraId="1F8DC910"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D673D76" w14:textId="77777777" w:rsidR="009A7430" w:rsidRPr="001569FB" w:rsidRDefault="009A7430" w:rsidP="008D4E91">
            <w:pPr>
              <w:jc w:val="center"/>
              <w:rPr>
                <w:sz w:val="20"/>
                <w:szCs w:val="20"/>
              </w:rPr>
            </w:pPr>
            <w:r w:rsidRPr="001569FB">
              <w:rPr>
                <w:sz w:val="20"/>
                <w:szCs w:val="20"/>
              </w:rPr>
              <w:t>–</w:t>
            </w:r>
          </w:p>
        </w:tc>
      </w:tr>
      <w:tr w:rsidR="009A7430" w:rsidRPr="001569FB" w14:paraId="0E377F7E" w14:textId="77777777" w:rsidTr="002707EC">
        <w:trPr>
          <w:trHeight w:hRule="exact" w:val="259"/>
        </w:trPr>
        <w:tc>
          <w:tcPr>
            <w:tcW w:w="1991" w:type="dxa"/>
            <w:tcBorders>
              <w:right w:val="single" w:sz="4" w:space="0" w:color="auto"/>
            </w:tcBorders>
            <w:noWrap/>
            <w:hideMark/>
          </w:tcPr>
          <w:p w14:paraId="4ACA097E"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43DAF765" w14:textId="77777777" w:rsidR="009A7430" w:rsidRPr="001569FB" w:rsidRDefault="009A7430" w:rsidP="008D4E91">
            <w:pPr>
              <w:jc w:val="center"/>
              <w:rPr>
                <w:sz w:val="20"/>
                <w:szCs w:val="20"/>
              </w:rPr>
            </w:pPr>
            <w:r w:rsidRPr="001569FB">
              <w:rPr>
                <w:sz w:val="20"/>
                <w:szCs w:val="20"/>
              </w:rPr>
              <w:t>1.787</w:t>
            </w:r>
          </w:p>
        </w:tc>
        <w:tc>
          <w:tcPr>
            <w:tcW w:w="1915" w:type="dxa"/>
            <w:tcBorders>
              <w:top w:val="nil"/>
              <w:left w:val="single" w:sz="4" w:space="0" w:color="auto"/>
              <w:bottom w:val="nil"/>
              <w:right w:val="single" w:sz="4" w:space="0" w:color="auto"/>
            </w:tcBorders>
            <w:shd w:val="clear" w:color="000000" w:fill="FFFFFF"/>
            <w:noWrap/>
            <w:hideMark/>
          </w:tcPr>
          <w:p w14:paraId="4251C89D" w14:textId="77777777" w:rsidR="009A7430" w:rsidRPr="001569FB" w:rsidRDefault="009A7430" w:rsidP="008D4E91">
            <w:pPr>
              <w:jc w:val="center"/>
              <w:rPr>
                <w:sz w:val="20"/>
                <w:szCs w:val="20"/>
              </w:rPr>
            </w:pPr>
            <w:r w:rsidRPr="001569FB">
              <w:rPr>
                <w:sz w:val="20"/>
                <w:szCs w:val="20"/>
              </w:rPr>
              <w:t>2.042</w:t>
            </w:r>
          </w:p>
        </w:tc>
        <w:tc>
          <w:tcPr>
            <w:tcW w:w="1915" w:type="dxa"/>
            <w:tcBorders>
              <w:top w:val="nil"/>
              <w:left w:val="single" w:sz="4" w:space="0" w:color="auto"/>
              <w:bottom w:val="nil"/>
              <w:right w:val="single" w:sz="4" w:space="0" w:color="auto"/>
            </w:tcBorders>
            <w:shd w:val="clear" w:color="000000" w:fill="FFFFFF"/>
            <w:noWrap/>
            <w:hideMark/>
          </w:tcPr>
          <w:p w14:paraId="568A1097"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9AB5DBB" w14:textId="77777777" w:rsidR="009A7430" w:rsidRPr="001569FB" w:rsidRDefault="009A7430" w:rsidP="008D4E91">
            <w:pPr>
              <w:jc w:val="center"/>
              <w:rPr>
                <w:sz w:val="20"/>
                <w:szCs w:val="20"/>
              </w:rPr>
            </w:pPr>
            <w:r w:rsidRPr="001569FB">
              <w:rPr>
                <w:sz w:val="20"/>
                <w:szCs w:val="20"/>
              </w:rPr>
              <w:t>–</w:t>
            </w:r>
          </w:p>
        </w:tc>
      </w:tr>
      <w:tr w:rsidR="009A7430" w:rsidRPr="001569FB" w14:paraId="063EE9BA" w14:textId="77777777" w:rsidTr="002707EC">
        <w:trPr>
          <w:trHeight w:hRule="exact" w:val="259"/>
        </w:trPr>
        <w:tc>
          <w:tcPr>
            <w:tcW w:w="1991" w:type="dxa"/>
            <w:tcBorders>
              <w:right w:val="single" w:sz="4" w:space="0" w:color="auto"/>
            </w:tcBorders>
            <w:noWrap/>
            <w:hideMark/>
          </w:tcPr>
          <w:p w14:paraId="0222ACDD"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074E5495" w14:textId="77777777" w:rsidR="009A7430" w:rsidRPr="001569FB" w:rsidRDefault="009A7430" w:rsidP="008D4E91">
            <w:pPr>
              <w:jc w:val="center"/>
              <w:rPr>
                <w:sz w:val="20"/>
                <w:szCs w:val="20"/>
              </w:rPr>
            </w:pPr>
            <w:r w:rsidRPr="001569FB">
              <w:rPr>
                <w:sz w:val="20"/>
                <w:szCs w:val="20"/>
              </w:rPr>
              <w:t>1.855</w:t>
            </w:r>
          </w:p>
        </w:tc>
        <w:tc>
          <w:tcPr>
            <w:tcW w:w="1915" w:type="dxa"/>
            <w:tcBorders>
              <w:top w:val="nil"/>
              <w:left w:val="single" w:sz="4" w:space="0" w:color="auto"/>
              <w:bottom w:val="nil"/>
              <w:right w:val="single" w:sz="4" w:space="0" w:color="auto"/>
            </w:tcBorders>
            <w:shd w:val="clear" w:color="000000" w:fill="FFFFFF"/>
            <w:noWrap/>
            <w:hideMark/>
          </w:tcPr>
          <w:p w14:paraId="630F97BE" w14:textId="77777777" w:rsidR="009A7430" w:rsidRPr="001569FB" w:rsidRDefault="009A7430" w:rsidP="008D4E91">
            <w:pPr>
              <w:jc w:val="center"/>
              <w:rPr>
                <w:sz w:val="20"/>
                <w:szCs w:val="20"/>
              </w:rPr>
            </w:pPr>
            <w:r w:rsidRPr="001569FB">
              <w:rPr>
                <w:sz w:val="20"/>
                <w:szCs w:val="20"/>
              </w:rPr>
              <w:t>2.145</w:t>
            </w:r>
          </w:p>
        </w:tc>
        <w:tc>
          <w:tcPr>
            <w:tcW w:w="1915" w:type="dxa"/>
            <w:tcBorders>
              <w:top w:val="nil"/>
              <w:left w:val="single" w:sz="4" w:space="0" w:color="auto"/>
              <w:bottom w:val="nil"/>
              <w:right w:val="single" w:sz="4" w:space="0" w:color="auto"/>
            </w:tcBorders>
            <w:shd w:val="clear" w:color="000000" w:fill="FFFFFF"/>
            <w:noWrap/>
            <w:hideMark/>
          </w:tcPr>
          <w:p w14:paraId="683D4D05"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2C0B726" w14:textId="77777777" w:rsidR="009A7430" w:rsidRPr="001569FB" w:rsidRDefault="009A7430" w:rsidP="008D4E91">
            <w:pPr>
              <w:jc w:val="center"/>
              <w:rPr>
                <w:sz w:val="20"/>
                <w:szCs w:val="20"/>
              </w:rPr>
            </w:pPr>
            <w:r w:rsidRPr="001569FB">
              <w:rPr>
                <w:sz w:val="20"/>
                <w:szCs w:val="20"/>
              </w:rPr>
              <w:t>–</w:t>
            </w:r>
          </w:p>
        </w:tc>
      </w:tr>
      <w:tr w:rsidR="009A7430" w:rsidRPr="001569FB" w14:paraId="57D2E29C" w14:textId="77777777" w:rsidTr="002707EC">
        <w:trPr>
          <w:trHeight w:hRule="exact" w:val="259"/>
        </w:trPr>
        <w:tc>
          <w:tcPr>
            <w:tcW w:w="1991" w:type="dxa"/>
            <w:tcBorders>
              <w:right w:val="single" w:sz="4" w:space="0" w:color="auto"/>
            </w:tcBorders>
            <w:noWrap/>
            <w:hideMark/>
          </w:tcPr>
          <w:p w14:paraId="36992B89"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2D27EBA1" w14:textId="77777777" w:rsidR="009A7430" w:rsidRPr="001569FB" w:rsidRDefault="009A7430" w:rsidP="008D4E91">
            <w:pPr>
              <w:jc w:val="center"/>
              <w:rPr>
                <w:sz w:val="20"/>
                <w:szCs w:val="20"/>
              </w:rPr>
            </w:pPr>
            <w:r w:rsidRPr="001569FB">
              <w:rPr>
                <w:sz w:val="20"/>
                <w:szCs w:val="20"/>
              </w:rPr>
              <w:t>1.856</w:t>
            </w:r>
          </w:p>
        </w:tc>
        <w:tc>
          <w:tcPr>
            <w:tcW w:w="1915" w:type="dxa"/>
            <w:tcBorders>
              <w:top w:val="nil"/>
              <w:left w:val="single" w:sz="4" w:space="0" w:color="auto"/>
              <w:bottom w:val="nil"/>
              <w:right w:val="single" w:sz="4" w:space="0" w:color="auto"/>
            </w:tcBorders>
            <w:shd w:val="clear" w:color="000000" w:fill="FFFFFF"/>
            <w:noWrap/>
            <w:hideMark/>
          </w:tcPr>
          <w:p w14:paraId="6F87568D" w14:textId="77777777" w:rsidR="009A7430" w:rsidRPr="001569FB" w:rsidRDefault="009A7430" w:rsidP="008D4E91">
            <w:pPr>
              <w:jc w:val="center"/>
              <w:rPr>
                <w:sz w:val="20"/>
                <w:szCs w:val="20"/>
              </w:rPr>
            </w:pPr>
            <w:r w:rsidRPr="001569FB">
              <w:rPr>
                <w:sz w:val="20"/>
                <w:szCs w:val="20"/>
              </w:rPr>
              <w:t>2.147</w:t>
            </w:r>
          </w:p>
        </w:tc>
        <w:tc>
          <w:tcPr>
            <w:tcW w:w="1915" w:type="dxa"/>
            <w:tcBorders>
              <w:top w:val="nil"/>
              <w:left w:val="single" w:sz="4" w:space="0" w:color="auto"/>
              <w:bottom w:val="nil"/>
              <w:right w:val="single" w:sz="4" w:space="0" w:color="auto"/>
            </w:tcBorders>
            <w:shd w:val="clear" w:color="000000" w:fill="FFFFFF"/>
            <w:noWrap/>
            <w:hideMark/>
          </w:tcPr>
          <w:p w14:paraId="361061F9"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D8B65F3" w14:textId="77777777" w:rsidR="009A7430" w:rsidRPr="001569FB" w:rsidRDefault="009A7430" w:rsidP="008D4E91">
            <w:pPr>
              <w:jc w:val="center"/>
              <w:rPr>
                <w:sz w:val="20"/>
                <w:szCs w:val="20"/>
              </w:rPr>
            </w:pPr>
            <w:r w:rsidRPr="001569FB">
              <w:rPr>
                <w:sz w:val="20"/>
                <w:szCs w:val="20"/>
              </w:rPr>
              <w:t>–</w:t>
            </w:r>
          </w:p>
        </w:tc>
      </w:tr>
      <w:tr w:rsidR="009A7430" w:rsidRPr="001569FB" w14:paraId="2625F207" w14:textId="77777777" w:rsidTr="002707EC">
        <w:trPr>
          <w:trHeight w:hRule="exact" w:val="259"/>
        </w:trPr>
        <w:tc>
          <w:tcPr>
            <w:tcW w:w="1991" w:type="dxa"/>
            <w:tcBorders>
              <w:right w:val="single" w:sz="4" w:space="0" w:color="auto"/>
            </w:tcBorders>
            <w:noWrap/>
            <w:hideMark/>
          </w:tcPr>
          <w:p w14:paraId="504C5183"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ADFFC70" w14:textId="77777777" w:rsidR="009A7430" w:rsidRPr="001569FB" w:rsidRDefault="009A7430" w:rsidP="008D4E91">
            <w:pPr>
              <w:jc w:val="center"/>
              <w:rPr>
                <w:sz w:val="20"/>
                <w:szCs w:val="20"/>
              </w:rPr>
            </w:pPr>
            <w:r w:rsidRPr="001569FB">
              <w:rPr>
                <w:sz w:val="20"/>
                <w:szCs w:val="20"/>
              </w:rPr>
              <w:t>1.973</w:t>
            </w:r>
          </w:p>
        </w:tc>
        <w:tc>
          <w:tcPr>
            <w:tcW w:w="1915" w:type="dxa"/>
            <w:tcBorders>
              <w:top w:val="nil"/>
              <w:left w:val="single" w:sz="4" w:space="0" w:color="auto"/>
              <w:bottom w:val="nil"/>
              <w:right w:val="single" w:sz="4" w:space="0" w:color="auto"/>
            </w:tcBorders>
            <w:shd w:val="clear" w:color="000000" w:fill="FFFFFF"/>
            <w:noWrap/>
            <w:hideMark/>
          </w:tcPr>
          <w:p w14:paraId="1DE4131B" w14:textId="77777777" w:rsidR="009A7430" w:rsidRPr="001569FB" w:rsidRDefault="009A7430" w:rsidP="008D4E91">
            <w:pPr>
              <w:jc w:val="center"/>
              <w:rPr>
                <w:sz w:val="20"/>
                <w:szCs w:val="20"/>
              </w:rPr>
            </w:pPr>
            <w:r w:rsidRPr="001569FB">
              <w:rPr>
                <w:sz w:val="20"/>
                <w:szCs w:val="20"/>
              </w:rPr>
              <w:t>2.248</w:t>
            </w:r>
          </w:p>
        </w:tc>
        <w:tc>
          <w:tcPr>
            <w:tcW w:w="1915" w:type="dxa"/>
            <w:tcBorders>
              <w:top w:val="nil"/>
              <w:left w:val="single" w:sz="4" w:space="0" w:color="auto"/>
              <w:bottom w:val="nil"/>
              <w:right w:val="single" w:sz="4" w:space="0" w:color="auto"/>
            </w:tcBorders>
            <w:shd w:val="clear" w:color="000000" w:fill="FFFFFF"/>
            <w:noWrap/>
            <w:hideMark/>
          </w:tcPr>
          <w:p w14:paraId="51BDB20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75645BE2" w14:textId="77777777" w:rsidR="009A7430" w:rsidRPr="001569FB" w:rsidRDefault="009A7430" w:rsidP="008D4E91">
            <w:pPr>
              <w:jc w:val="center"/>
              <w:rPr>
                <w:sz w:val="20"/>
                <w:szCs w:val="20"/>
              </w:rPr>
            </w:pPr>
            <w:r w:rsidRPr="001569FB">
              <w:rPr>
                <w:sz w:val="20"/>
                <w:szCs w:val="20"/>
              </w:rPr>
              <w:t>–</w:t>
            </w:r>
          </w:p>
        </w:tc>
      </w:tr>
      <w:tr w:rsidR="009A7430" w:rsidRPr="001569FB" w14:paraId="04EC4B94" w14:textId="77777777" w:rsidTr="002707EC">
        <w:trPr>
          <w:trHeight w:hRule="exact" w:val="259"/>
        </w:trPr>
        <w:tc>
          <w:tcPr>
            <w:tcW w:w="1991" w:type="dxa"/>
            <w:tcBorders>
              <w:right w:val="single" w:sz="4" w:space="0" w:color="auto"/>
            </w:tcBorders>
            <w:noWrap/>
            <w:hideMark/>
          </w:tcPr>
          <w:p w14:paraId="18C2B303"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005A43F9" w14:textId="77777777" w:rsidR="009A7430" w:rsidRPr="001569FB" w:rsidRDefault="009A7430" w:rsidP="008D4E91">
            <w:pPr>
              <w:jc w:val="center"/>
              <w:rPr>
                <w:sz w:val="20"/>
                <w:szCs w:val="20"/>
              </w:rPr>
            </w:pPr>
            <w:r w:rsidRPr="001569FB">
              <w:rPr>
                <w:sz w:val="20"/>
                <w:szCs w:val="20"/>
              </w:rPr>
              <w:t>1.641</w:t>
            </w:r>
          </w:p>
        </w:tc>
        <w:tc>
          <w:tcPr>
            <w:tcW w:w="1915" w:type="dxa"/>
            <w:tcBorders>
              <w:top w:val="nil"/>
              <w:left w:val="single" w:sz="4" w:space="0" w:color="auto"/>
              <w:bottom w:val="nil"/>
              <w:right w:val="single" w:sz="4" w:space="0" w:color="auto"/>
            </w:tcBorders>
            <w:shd w:val="clear" w:color="000000" w:fill="FFFFFF"/>
            <w:noWrap/>
            <w:hideMark/>
          </w:tcPr>
          <w:p w14:paraId="21EE5EAE" w14:textId="77777777" w:rsidR="009A7430" w:rsidRPr="001569FB" w:rsidRDefault="009A7430" w:rsidP="008D4E91">
            <w:pPr>
              <w:jc w:val="center"/>
              <w:rPr>
                <w:sz w:val="20"/>
                <w:szCs w:val="20"/>
              </w:rPr>
            </w:pPr>
            <w:r w:rsidRPr="001569FB">
              <w:rPr>
                <w:sz w:val="20"/>
                <w:szCs w:val="20"/>
              </w:rPr>
              <w:t>2.114</w:t>
            </w:r>
          </w:p>
        </w:tc>
        <w:tc>
          <w:tcPr>
            <w:tcW w:w="1915" w:type="dxa"/>
            <w:tcBorders>
              <w:top w:val="nil"/>
              <w:left w:val="single" w:sz="4" w:space="0" w:color="auto"/>
              <w:bottom w:val="nil"/>
              <w:right w:val="single" w:sz="4" w:space="0" w:color="auto"/>
            </w:tcBorders>
            <w:shd w:val="clear" w:color="000000" w:fill="FFFFFF"/>
            <w:noWrap/>
            <w:hideMark/>
          </w:tcPr>
          <w:p w14:paraId="50B30E08"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002E2273" w14:textId="77777777" w:rsidR="009A7430" w:rsidRPr="001569FB" w:rsidRDefault="009A7430" w:rsidP="008D4E91">
            <w:pPr>
              <w:jc w:val="center"/>
              <w:rPr>
                <w:sz w:val="20"/>
                <w:szCs w:val="20"/>
              </w:rPr>
            </w:pPr>
            <w:r w:rsidRPr="001569FB">
              <w:rPr>
                <w:sz w:val="20"/>
                <w:szCs w:val="20"/>
              </w:rPr>
              <w:t>2.578</w:t>
            </w:r>
          </w:p>
        </w:tc>
      </w:tr>
      <w:tr w:rsidR="009A7430" w:rsidRPr="001569FB" w14:paraId="171AC008" w14:textId="77777777" w:rsidTr="002707EC">
        <w:trPr>
          <w:trHeight w:hRule="exact" w:val="259"/>
        </w:trPr>
        <w:tc>
          <w:tcPr>
            <w:tcW w:w="1991" w:type="dxa"/>
            <w:tcBorders>
              <w:right w:val="single" w:sz="4" w:space="0" w:color="auto"/>
            </w:tcBorders>
            <w:noWrap/>
            <w:hideMark/>
          </w:tcPr>
          <w:p w14:paraId="781C3046"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C74EEE4" w14:textId="77777777" w:rsidR="009A7430" w:rsidRPr="001569FB" w:rsidRDefault="009A7430" w:rsidP="008D4E91">
            <w:pPr>
              <w:jc w:val="center"/>
              <w:rPr>
                <w:sz w:val="20"/>
                <w:szCs w:val="20"/>
              </w:rPr>
            </w:pPr>
            <w:r w:rsidRPr="001569FB">
              <w:rPr>
                <w:sz w:val="20"/>
                <w:szCs w:val="20"/>
              </w:rPr>
              <w:t>1.636</w:t>
            </w:r>
          </w:p>
        </w:tc>
        <w:tc>
          <w:tcPr>
            <w:tcW w:w="1915" w:type="dxa"/>
            <w:tcBorders>
              <w:top w:val="nil"/>
              <w:left w:val="single" w:sz="4" w:space="0" w:color="auto"/>
              <w:bottom w:val="nil"/>
              <w:right w:val="single" w:sz="4" w:space="0" w:color="auto"/>
            </w:tcBorders>
            <w:shd w:val="clear" w:color="000000" w:fill="FFFFFF"/>
            <w:noWrap/>
            <w:hideMark/>
          </w:tcPr>
          <w:p w14:paraId="5CFD8575" w14:textId="77777777" w:rsidR="009A7430" w:rsidRPr="001569FB" w:rsidRDefault="009A7430" w:rsidP="008D4E91">
            <w:pPr>
              <w:jc w:val="center"/>
              <w:rPr>
                <w:sz w:val="20"/>
                <w:szCs w:val="20"/>
              </w:rPr>
            </w:pPr>
            <w:r w:rsidRPr="001569FB">
              <w:rPr>
                <w:sz w:val="20"/>
                <w:szCs w:val="20"/>
              </w:rPr>
              <w:t>2.018</w:t>
            </w:r>
          </w:p>
        </w:tc>
        <w:tc>
          <w:tcPr>
            <w:tcW w:w="1915" w:type="dxa"/>
            <w:tcBorders>
              <w:top w:val="nil"/>
              <w:left w:val="single" w:sz="4" w:space="0" w:color="auto"/>
              <w:bottom w:val="nil"/>
              <w:right w:val="single" w:sz="4" w:space="0" w:color="auto"/>
            </w:tcBorders>
            <w:shd w:val="clear" w:color="000000" w:fill="FFFFFF"/>
            <w:noWrap/>
            <w:hideMark/>
          </w:tcPr>
          <w:p w14:paraId="04F5B140"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609D8C43" w14:textId="77777777" w:rsidR="009A7430" w:rsidRPr="001569FB" w:rsidRDefault="009A7430" w:rsidP="008D4E91">
            <w:pPr>
              <w:jc w:val="center"/>
              <w:rPr>
                <w:sz w:val="20"/>
                <w:szCs w:val="20"/>
              </w:rPr>
            </w:pPr>
            <w:r w:rsidRPr="001569FB">
              <w:rPr>
                <w:sz w:val="20"/>
                <w:szCs w:val="20"/>
              </w:rPr>
              <w:t>2.578</w:t>
            </w:r>
          </w:p>
        </w:tc>
      </w:tr>
      <w:tr w:rsidR="009A7430" w:rsidRPr="001569FB" w14:paraId="369DFCA2" w14:textId="77777777" w:rsidTr="002707EC">
        <w:trPr>
          <w:trHeight w:hRule="exact" w:val="259"/>
        </w:trPr>
        <w:tc>
          <w:tcPr>
            <w:tcW w:w="1991" w:type="dxa"/>
            <w:tcBorders>
              <w:right w:val="single" w:sz="4" w:space="0" w:color="auto"/>
            </w:tcBorders>
            <w:noWrap/>
            <w:hideMark/>
          </w:tcPr>
          <w:p w14:paraId="7845B6A3"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257C9336" w14:textId="77777777" w:rsidR="009A7430" w:rsidRPr="001569FB" w:rsidRDefault="009A7430" w:rsidP="008D4E91">
            <w:pPr>
              <w:jc w:val="center"/>
              <w:rPr>
                <w:sz w:val="20"/>
                <w:szCs w:val="20"/>
              </w:rPr>
            </w:pPr>
            <w:r w:rsidRPr="001569FB">
              <w:rPr>
                <w:sz w:val="20"/>
                <w:szCs w:val="20"/>
              </w:rPr>
              <w:t>1.665</w:t>
            </w:r>
          </w:p>
        </w:tc>
        <w:tc>
          <w:tcPr>
            <w:tcW w:w="1915" w:type="dxa"/>
            <w:tcBorders>
              <w:top w:val="nil"/>
              <w:left w:val="single" w:sz="4" w:space="0" w:color="auto"/>
              <w:bottom w:val="nil"/>
              <w:right w:val="single" w:sz="4" w:space="0" w:color="auto"/>
            </w:tcBorders>
            <w:shd w:val="clear" w:color="000000" w:fill="FFFFFF"/>
            <w:noWrap/>
            <w:hideMark/>
          </w:tcPr>
          <w:p w14:paraId="37284C2B" w14:textId="77777777" w:rsidR="009A7430" w:rsidRPr="001569FB" w:rsidRDefault="009A7430" w:rsidP="008D4E91">
            <w:pPr>
              <w:jc w:val="center"/>
              <w:rPr>
                <w:sz w:val="20"/>
                <w:szCs w:val="20"/>
              </w:rPr>
            </w:pPr>
            <w:r w:rsidRPr="001569FB">
              <w:rPr>
                <w:sz w:val="20"/>
                <w:szCs w:val="20"/>
              </w:rPr>
              <w:t>2.040</w:t>
            </w:r>
          </w:p>
        </w:tc>
        <w:tc>
          <w:tcPr>
            <w:tcW w:w="1915" w:type="dxa"/>
            <w:tcBorders>
              <w:top w:val="nil"/>
              <w:left w:val="single" w:sz="4" w:space="0" w:color="auto"/>
              <w:bottom w:val="nil"/>
              <w:right w:val="single" w:sz="4" w:space="0" w:color="auto"/>
            </w:tcBorders>
            <w:shd w:val="clear" w:color="000000" w:fill="FFFFFF"/>
            <w:noWrap/>
            <w:hideMark/>
          </w:tcPr>
          <w:p w14:paraId="1FFEE763"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10FF8BAC" w14:textId="77777777" w:rsidR="009A7430" w:rsidRPr="001569FB" w:rsidRDefault="009A7430" w:rsidP="008D4E91">
            <w:pPr>
              <w:jc w:val="center"/>
              <w:rPr>
                <w:sz w:val="20"/>
                <w:szCs w:val="20"/>
              </w:rPr>
            </w:pPr>
            <w:r w:rsidRPr="001569FB">
              <w:rPr>
                <w:sz w:val="20"/>
                <w:szCs w:val="20"/>
              </w:rPr>
              <w:t>3.124</w:t>
            </w:r>
          </w:p>
        </w:tc>
      </w:tr>
      <w:tr w:rsidR="009A7430" w:rsidRPr="001569FB" w14:paraId="4DC17822" w14:textId="77777777" w:rsidTr="002707EC">
        <w:trPr>
          <w:trHeight w:hRule="exact" w:val="259"/>
        </w:trPr>
        <w:tc>
          <w:tcPr>
            <w:tcW w:w="1991" w:type="dxa"/>
            <w:tcBorders>
              <w:right w:val="single" w:sz="4" w:space="0" w:color="auto"/>
            </w:tcBorders>
            <w:noWrap/>
            <w:hideMark/>
          </w:tcPr>
          <w:p w14:paraId="65F1A0B3"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01AEE8AB" w14:textId="77777777" w:rsidR="009A7430" w:rsidRPr="001569FB" w:rsidRDefault="009A7430" w:rsidP="008D4E91">
            <w:pPr>
              <w:jc w:val="center"/>
              <w:rPr>
                <w:sz w:val="20"/>
                <w:szCs w:val="20"/>
              </w:rPr>
            </w:pPr>
            <w:r w:rsidRPr="001569FB">
              <w:rPr>
                <w:sz w:val="20"/>
                <w:szCs w:val="20"/>
              </w:rPr>
              <w:t>1.718</w:t>
            </w:r>
          </w:p>
        </w:tc>
        <w:tc>
          <w:tcPr>
            <w:tcW w:w="1915" w:type="dxa"/>
            <w:tcBorders>
              <w:top w:val="nil"/>
              <w:left w:val="single" w:sz="4" w:space="0" w:color="auto"/>
              <w:bottom w:val="nil"/>
              <w:right w:val="single" w:sz="4" w:space="0" w:color="auto"/>
            </w:tcBorders>
            <w:shd w:val="clear" w:color="000000" w:fill="FFFFFF"/>
            <w:noWrap/>
            <w:hideMark/>
          </w:tcPr>
          <w:p w14:paraId="2E20A258"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500C29E"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7936FE2A" w14:textId="77777777" w:rsidR="009A7430" w:rsidRPr="001569FB" w:rsidRDefault="009A7430" w:rsidP="008D4E91">
            <w:pPr>
              <w:jc w:val="center"/>
              <w:rPr>
                <w:sz w:val="20"/>
                <w:szCs w:val="20"/>
              </w:rPr>
            </w:pPr>
            <w:r w:rsidRPr="001569FB">
              <w:rPr>
                <w:sz w:val="20"/>
                <w:szCs w:val="20"/>
              </w:rPr>
              <w:t>3.124</w:t>
            </w:r>
          </w:p>
        </w:tc>
      </w:tr>
      <w:tr w:rsidR="009A7430" w:rsidRPr="001569FB" w14:paraId="6B38AB77" w14:textId="77777777" w:rsidTr="002707EC">
        <w:trPr>
          <w:trHeight w:hRule="exact" w:val="259"/>
        </w:trPr>
        <w:tc>
          <w:tcPr>
            <w:tcW w:w="1991" w:type="dxa"/>
            <w:tcBorders>
              <w:right w:val="single" w:sz="4" w:space="0" w:color="auto"/>
            </w:tcBorders>
            <w:noWrap/>
            <w:hideMark/>
          </w:tcPr>
          <w:p w14:paraId="122A9954"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0748F15A" w14:textId="77777777" w:rsidR="009A7430" w:rsidRPr="001569FB" w:rsidRDefault="009A7430" w:rsidP="008D4E91">
            <w:pPr>
              <w:jc w:val="center"/>
              <w:rPr>
                <w:sz w:val="20"/>
                <w:szCs w:val="20"/>
              </w:rPr>
            </w:pPr>
            <w:r w:rsidRPr="001569FB">
              <w:rPr>
                <w:sz w:val="20"/>
                <w:szCs w:val="20"/>
              </w:rPr>
              <w:t>1.721</w:t>
            </w:r>
          </w:p>
        </w:tc>
        <w:tc>
          <w:tcPr>
            <w:tcW w:w="1915" w:type="dxa"/>
            <w:tcBorders>
              <w:top w:val="nil"/>
              <w:left w:val="single" w:sz="4" w:space="0" w:color="auto"/>
              <w:bottom w:val="nil"/>
              <w:right w:val="single" w:sz="4" w:space="0" w:color="auto"/>
            </w:tcBorders>
            <w:shd w:val="clear" w:color="000000" w:fill="FFFFFF"/>
            <w:noWrap/>
            <w:hideMark/>
          </w:tcPr>
          <w:p w14:paraId="145FC843"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9927F84"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432C83D" w14:textId="77777777" w:rsidR="009A7430" w:rsidRPr="001569FB" w:rsidRDefault="009A7430" w:rsidP="008D4E91">
            <w:pPr>
              <w:jc w:val="center"/>
              <w:rPr>
                <w:sz w:val="20"/>
                <w:szCs w:val="20"/>
              </w:rPr>
            </w:pPr>
            <w:r w:rsidRPr="001569FB">
              <w:rPr>
                <w:sz w:val="20"/>
                <w:szCs w:val="20"/>
              </w:rPr>
              <w:t>3.124</w:t>
            </w:r>
          </w:p>
        </w:tc>
      </w:tr>
      <w:tr w:rsidR="009A7430" w:rsidRPr="001569FB" w14:paraId="0C18F0D6" w14:textId="77777777" w:rsidTr="002707EC">
        <w:trPr>
          <w:trHeight w:hRule="exact" w:val="259"/>
        </w:trPr>
        <w:tc>
          <w:tcPr>
            <w:tcW w:w="1991" w:type="dxa"/>
            <w:tcBorders>
              <w:bottom w:val="nil"/>
              <w:right w:val="single" w:sz="4" w:space="0" w:color="auto"/>
            </w:tcBorders>
            <w:noWrap/>
            <w:hideMark/>
          </w:tcPr>
          <w:p w14:paraId="7816F63A"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23F114F8"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hideMark/>
          </w:tcPr>
          <w:p w14:paraId="72BE3858" w14:textId="77777777" w:rsidR="009A7430" w:rsidRPr="001569FB" w:rsidRDefault="009A7430" w:rsidP="008D4E91">
            <w:pPr>
              <w:jc w:val="center"/>
              <w:rPr>
                <w:sz w:val="20"/>
                <w:szCs w:val="20"/>
              </w:rPr>
            </w:pPr>
            <w:r w:rsidRPr="001569FB">
              <w:rPr>
                <w:sz w:val="20"/>
                <w:szCs w:val="20"/>
              </w:rPr>
              <w:t>2.106</w:t>
            </w:r>
          </w:p>
        </w:tc>
        <w:tc>
          <w:tcPr>
            <w:tcW w:w="1915" w:type="dxa"/>
            <w:tcBorders>
              <w:top w:val="nil"/>
              <w:left w:val="single" w:sz="4" w:space="0" w:color="auto"/>
              <w:bottom w:val="nil"/>
              <w:right w:val="single" w:sz="4" w:space="0" w:color="auto"/>
            </w:tcBorders>
            <w:shd w:val="clear" w:color="000000" w:fill="FFFFFF"/>
            <w:noWrap/>
            <w:hideMark/>
          </w:tcPr>
          <w:p w14:paraId="06848866"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571716C" w14:textId="77777777" w:rsidR="009A7430" w:rsidRPr="001569FB" w:rsidRDefault="009A7430" w:rsidP="008D4E91">
            <w:pPr>
              <w:jc w:val="center"/>
              <w:rPr>
                <w:sz w:val="20"/>
                <w:szCs w:val="20"/>
              </w:rPr>
            </w:pPr>
            <w:r w:rsidRPr="001569FB">
              <w:rPr>
                <w:sz w:val="20"/>
                <w:szCs w:val="20"/>
              </w:rPr>
              <w:t>3.124</w:t>
            </w:r>
          </w:p>
        </w:tc>
      </w:tr>
      <w:tr w:rsidR="009A7430" w:rsidRPr="001569FB" w14:paraId="64CB9355" w14:textId="77777777" w:rsidTr="002707EC">
        <w:trPr>
          <w:trHeight w:hRule="exact" w:val="259"/>
        </w:trPr>
        <w:tc>
          <w:tcPr>
            <w:tcW w:w="1991" w:type="dxa"/>
            <w:tcBorders>
              <w:top w:val="nil"/>
              <w:left w:val="single" w:sz="4" w:space="0" w:color="auto"/>
              <w:bottom w:val="nil"/>
              <w:right w:val="single" w:sz="4" w:space="0" w:color="auto"/>
            </w:tcBorders>
            <w:noWrap/>
            <w:hideMark/>
          </w:tcPr>
          <w:p w14:paraId="33DC08DA"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1B4C5523" w14:textId="77777777" w:rsidR="009A7430" w:rsidRPr="001569FB" w:rsidRDefault="009A7430" w:rsidP="008D4E91">
            <w:pPr>
              <w:jc w:val="center"/>
              <w:rPr>
                <w:sz w:val="20"/>
                <w:szCs w:val="20"/>
              </w:rPr>
            </w:pPr>
            <w:r w:rsidRPr="001569FB">
              <w:rPr>
                <w:sz w:val="20"/>
                <w:szCs w:val="20"/>
              </w:rPr>
              <w:t>1.981</w:t>
            </w:r>
          </w:p>
        </w:tc>
        <w:tc>
          <w:tcPr>
            <w:tcW w:w="1915" w:type="dxa"/>
            <w:tcBorders>
              <w:top w:val="nil"/>
              <w:left w:val="single" w:sz="4" w:space="0" w:color="auto"/>
              <w:bottom w:val="nil"/>
              <w:right w:val="single" w:sz="4" w:space="0" w:color="auto"/>
            </w:tcBorders>
            <w:shd w:val="clear" w:color="000000" w:fill="FFFFFF"/>
            <w:noWrap/>
            <w:hideMark/>
          </w:tcPr>
          <w:p w14:paraId="5A6ACD32" w14:textId="77777777" w:rsidR="009A7430" w:rsidRPr="001569FB" w:rsidRDefault="009A7430" w:rsidP="008D4E91">
            <w:pPr>
              <w:jc w:val="center"/>
              <w:rPr>
                <w:sz w:val="20"/>
                <w:szCs w:val="20"/>
              </w:rPr>
            </w:pPr>
            <w:r w:rsidRPr="001569FB">
              <w:rPr>
                <w:sz w:val="20"/>
                <w:szCs w:val="20"/>
              </w:rPr>
              <w:t>2.254</w:t>
            </w:r>
          </w:p>
        </w:tc>
        <w:tc>
          <w:tcPr>
            <w:tcW w:w="1915" w:type="dxa"/>
            <w:tcBorders>
              <w:top w:val="nil"/>
              <w:left w:val="single" w:sz="4" w:space="0" w:color="auto"/>
              <w:bottom w:val="nil"/>
              <w:right w:val="single" w:sz="4" w:space="0" w:color="auto"/>
            </w:tcBorders>
            <w:shd w:val="clear" w:color="000000" w:fill="FFFFFF"/>
            <w:noWrap/>
            <w:hideMark/>
          </w:tcPr>
          <w:p w14:paraId="4E4EDAD1"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22D7418" w14:textId="77777777" w:rsidR="009A7430" w:rsidRPr="001569FB" w:rsidRDefault="009A7430" w:rsidP="008D4E91">
            <w:pPr>
              <w:jc w:val="center"/>
              <w:rPr>
                <w:sz w:val="20"/>
                <w:szCs w:val="20"/>
              </w:rPr>
            </w:pPr>
            <w:r w:rsidRPr="001569FB">
              <w:rPr>
                <w:sz w:val="20"/>
                <w:szCs w:val="20"/>
              </w:rPr>
              <w:t>3.124</w:t>
            </w:r>
          </w:p>
        </w:tc>
      </w:tr>
      <w:tr w:rsidR="009A7430" w:rsidRPr="001569FB" w14:paraId="747045F9" w14:textId="77777777" w:rsidTr="002707EC">
        <w:trPr>
          <w:trHeight w:hRule="exact" w:val="259"/>
        </w:trPr>
        <w:tc>
          <w:tcPr>
            <w:tcW w:w="1991" w:type="dxa"/>
            <w:tcBorders>
              <w:top w:val="nil"/>
              <w:right w:val="single" w:sz="4" w:space="0" w:color="auto"/>
            </w:tcBorders>
            <w:noWrap/>
            <w:hideMark/>
          </w:tcPr>
          <w:p w14:paraId="70E0232E"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61B28CDA" w14:textId="77777777" w:rsidR="009A7430" w:rsidRPr="001569FB" w:rsidRDefault="009A7430" w:rsidP="008D4E91">
            <w:pPr>
              <w:jc w:val="center"/>
              <w:rPr>
                <w:sz w:val="20"/>
                <w:szCs w:val="20"/>
              </w:rPr>
            </w:pPr>
            <w:r w:rsidRPr="001569FB">
              <w:rPr>
                <w:sz w:val="20"/>
                <w:szCs w:val="20"/>
              </w:rPr>
              <w:t>2.135</w:t>
            </w:r>
          </w:p>
        </w:tc>
        <w:tc>
          <w:tcPr>
            <w:tcW w:w="1915" w:type="dxa"/>
            <w:tcBorders>
              <w:top w:val="nil"/>
              <w:left w:val="single" w:sz="4" w:space="0" w:color="auto"/>
              <w:bottom w:val="nil"/>
              <w:right w:val="single" w:sz="4" w:space="0" w:color="auto"/>
            </w:tcBorders>
            <w:shd w:val="clear" w:color="000000" w:fill="FFFFFF"/>
            <w:noWrap/>
            <w:hideMark/>
          </w:tcPr>
          <w:p w14:paraId="19D26BD4" w14:textId="77777777" w:rsidR="009A7430" w:rsidRPr="001569FB" w:rsidRDefault="009A7430" w:rsidP="008D4E91">
            <w:pPr>
              <w:jc w:val="center"/>
              <w:rPr>
                <w:sz w:val="20"/>
                <w:szCs w:val="20"/>
              </w:rPr>
            </w:pPr>
            <w:r w:rsidRPr="001569FB">
              <w:rPr>
                <w:sz w:val="20"/>
                <w:szCs w:val="20"/>
              </w:rPr>
              <w:t>2.473</w:t>
            </w:r>
          </w:p>
        </w:tc>
        <w:tc>
          <w:tcPr>
            <w:tcW w:w="1915" w:type="dxa"/>
            <w:tcBorders>
              <w:top w:val="nil"/>
              <w:left w:val="single" w:sz="4" w:space="0" w:color="auto"/>
              <w:bottom w:val="nil"/>
              <w:right w:val="single" w:sz="4" w:space="0" w:color="auto"/>
            </w:tcBorders>
            <w:shd w:val="clear" w:color="000000" w:fill="FFFFFF"/>
            <w:noWrap/>
            <w:hideMark/>
          </w:tcPr>
          <w:p w14:paraId="387F5552"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07F8F233" w14:textId="77777777" w:rsidR="009A7430" w:rsidRPr="001569FB" w:rsidRDefault="009A7430" w:rsidP="008D4E91">
            <w:pPr>
              <w:jc w:val="center"/>
              <w:rPr>
                <w:sz w:val="20"/>
                <w:szCs w:val="20"/>
              </w:rPr>
            </w:pPr>
            <w:r w:rsidRPr="001569FB">
              <w:rPr>
                <w:sz w:val="20"/>
                <w:szCs w:val="20"/>
              </w:rPr>
              <w:t>3.124</w:t>
            </w:r>
          </w:p>
        </w:tc>
      </w:tr>
      <w:tr w:rsidR="009A7430" w:rsidRPr="001569FB" w14:paraId="58DEC9C5" w14:textId="77777777" w:rsidTr="002707EC">
        <w:trPr>
          <w:trHeight w:hRule="exact" w:val="259"/>
        </w:trPr>
        <w:tc>
          <w:tcPr>
            <w:tcW w:w="1991" w:type="dxa"/>
            <w:tcBorders>
              <w:right w:val="single" w:sz="4" w:space="0" w:color="auto"/>
            </w:tcBorders>
            <w:noWrap/>
            <w:hideMark/>
          </w:tcPr>
          <w:p w14:paraId="12394B2F"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3B0608F1"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7191C83C" w14:textId="77777777" w:rsidR="009A7430" w:rsidRPr="001569FB" w:rsidRDefault="009A7430" w:rsidP="008D4E91">
            <w:pPr>
              <w:jc w:val="center"/>
              <w:rPr>
                <w:sz w:val="20"/>
                <w:szCs w:val="20"/>
              </w:rPr>
            </w:pPr>
            <w:r w:rsidRPr="001569FB">
              <w:rPr>
                <w:sz w:val="20"/>
                <w:szCs w:val="20"/>
              </w:rPr>
              <w:t>2.656</w:t>
            </w:r>
          </w:p>
        </w:tc>
        <w:tc>
          <w:tcPr>
            <w:tcW w:w="1915" w:type="dxa"/>
            <w:tcBorders>
              <w:top w:val="nil"/>
              <w:left w:val="single" w:sz="4" w:space="0" w:color="auto"/>
              <w:bottom w:val="nil"/>
              <w:right w:val="single" w:sz="4" w:space="0" w:color="auto"/>
            </w:tcBorders>
            <w:shd w:val="clear" w:color="000000" w:fill="FFFFFF"/>
            <w:noWrap/>
            <w:hideMark/>
          </w:tcPr>
          <w:p w14:paraId="00BB98F7"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37E7F640" w14:textId="77777777" w:rsidR="009A7430" w:rsidRPr="001569FB" w:rsidRDefault="009A7430" w:rsidP="008D4E91">
            <w:pPr>
              <w:jc w:val="center"/>
              <w:rPr>
                <w:sz w:val="20"/>
                <w:szCs w:val="20"/>
              </w:rPr>
            </w:pPr>
            <w:r w:rsidRPr="001569FB">
              <w:rPr>
                <w:sz w:val="20"/>
                <w:szCs w:val="20"/>
              </w:rPr>
              <w:t>3.124</w:t>
            </w:r>
          </w:p>
        </w:tc>
      </w:tr>
      <w:tr w:rsidR="009A7430" w:rsidRPr="001569FB" w14:paraId="60BA5D4D" w14:textId="77777777" w:rsidTr="002707EC">
        <w:trPr>
          <w:trHeight w:hRule="exact" w:val="259"/>
        </w:trPr>
        <w:tc>
          <w:tcPr>
            <w:tcW w:w="1991" w:type="dxa"/>
            <w:tcBorders>
              <w:right w:val="single" w:sz="4" w:space="0" w:color="auto"/>
            </w:tcBorders>
            <w:noWrap/>
            <w:hideMark/>
          </w:tcPr>
          <w:p w14:paraId="75EF6BAC"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7D028EE8"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663149FF"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BF0B540"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C660429" w14:textId="77777777" w:rsidR="009A7430" w:rsidRPr="001569FB" w:rsidRDefault="009A7430" w:rsidP="008D4E91">
            <w:pPr>
              <w:jc w:val="center"/>
              <w:rPr>
                <w:sz w:val="20"/>
                <w:szCs w:val="20"/>
              </w:rPr>
            </w:pPr>
            <w:r w:rsidRPr="001569FB">
              <w:rPr>
                <w:sz w:val="20"/>
                <w:szCs w:val="20"/>
              </w:rPr>
              <w:t>3.124</w:t>
            </w:r>
          </w:p>
        </w:tc>
      </w:tr>
      <w:tr w:rsidR="009A7430" w:rsidRPr="001569FB" w14:paraId="0930C8BB" w14:textId="77777777" w:rsidTr="002707EC">
        <w:trPr>
          <w:trHeight w:hRule="exact" w:val="259"/>
        </w:trPr>
        <w:tc>
          <w:tcPr>
            <w:tcW w:w="1991" w:type="dxa"/>
            <w:tcBorders>
              <w:right w:val="single" w:sz="4" w:space="0" w:color="auto"/>
            </w:tcBorders>
            <w:noWrap/>
            <w:hideMark/>
          </w:tcPr>
          <w:p w14:paraId="689A4CF4"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nil"/>
              <w:right w:val="single" w:sz="4" w:space="0" w:color="auto"/>
            </w:tcBorders>
            <w:shd w:val="clear" w:color="000000" w:fill="FFFFFF"/>
            <w:noWrap/>
            <w:hideMark/>
          </w:tcPr>
          <w:p w14:paraId="028721C2"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1526BF49"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A8502A8"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BC394D0" w14:textId="77777777" w:rsidR="009A7430" w:rsidRPr="001569FB" w:rsidRDefault="009A7430" w:rsidP="008D4E91">
            <w:pPr>
              <w:jc w:val="center"/>
              <w:rPr>
                <w:sz w:val="20"/>
                <w:szCs w:val="20"/>
              </w:rPr>
            </w:pPr>
            <w:r w:rsidRPr="001569FB">
              <w:rPr>
                <w:sz w:val="20"/>
                <w:szCs w:val="20"/>
              </w:rPr>
              <w:t>3.124</w:t>
            </w:r>
          </w:p>
        </w:tc>
      </w:tr>
      <w:tr w:rsidR="009A7430" w:rsidRPr="001569FB" w14:paraId="06490BCF" w14:textId="77777777" w:rsidTr="002707EC">
        <w:trPr>
          <w:trHeight w:hRule="exact" w:val="259"/>
        </w:trPr>
        <w:tc>
          <w:tcPr>
            <w:tcW w:w="1991" w:type="dxa"/>
            <w:tcBorders>
              <w:right w:val="single" w:sz="4" w:space="0" w:color="auto"/>
            </w:tcBorders>
            <w:noWrap/>
            <w:hideMark/>
          </w:tcPr>
          <w:p w14:paraId="2F916741" w14:textId="77777777" w:rsidR="009A7430" w:rsidRPr="001569FB" w:rsidRDefault="009A7430" w:rsidP="008D4E91">
            <w:pPr>
              <w:rPr>
                <w:b/>
                <w:bCs/>
                <w:sz w:val="20"/>
                <w:szCs w:val="20"/>
              </w:rPr>
            </w:pPr>
            <w:r w:rsidRPr="001569FB">
              <w:rPr>
                <w:b/>
                <w:bCs/>
                <w:sz w:val="20"/>
                <w:szCs w:val="20"/>
              </w:rPr>
              <w:t>Male</w:t>
            </w:r>
          </w:p>
        </w:tc>
        <w:tc>
          <w:tcPr>
            <w:tcW w:w="1915" w:type="dxa"/>
            <w:tcBorders>
              <w:top w:val="nil"/>
              <w:left w:val="single" w:sz="4" w:space="0" w:color="auto"/>
              <w:bottom w:val="nil"/>
              <w:right w:val="single" w:sz="4" w:space="0" w:color="auto"/>
            </w:tcBorders>
            <w:noWrap/>
            <w:hideMark/>
          </w:tcPr>
          <w:p w14:paraId="783300BA"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57AFD0C9"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0EE99A8C"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32DA9313" w14:textId="77777777" w:rsidR="009A7430" w:rsidRPr="001569FB" w:rsidRDefault="009A7430" w:rsidP="008D4E91">
            <w:pPr>
              <w:jc w:val="center"/>
              <w:rPr>
                <w:sz w:val="20"/>
                <w:szCs w:val="20"/>
              </w:rPr>
            </w:pPr>
          </w:p>
        </w:tc>
      </w:tr>
      <w:tr w:rsidR="009A7430" w:rsidRPr="001569FB" w14:paraId="08834F13" w14:textId="77777777" w:rsidTr="002707EC">
        <w:trPr>
          <w:trHeight w:hRule="exact" w:val="259"/>
        </w:trPr>
        <w:tc>
          <w:tcPr>
            <w:tcW w:w="1991" w:type="dxa"/>
            <w:tcBorders>
              <w:right w:val="single" w:sz="4" w:space="0" w:color="auto"/>
            </w:tcBorders>
            <w:noWrap/>
            <w:hideMark/>
          </w:tcPr>
          <w:p w14:paraId="3B56B7C0"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08D41965" w14:textId="77777777" w:rsidR="009A7430" w:rsidRPr="001569FB" w:rsidRDefault="009A7430" w:rsidP="008D4E91">
            <w:pPr>
              <w:jc w:val="center"/>
              <w:rPr>
                <w:sz w:val="20"/>
                <w:szCs w:val="20"/>
              </w:rPr>
            </w:pPr>
            <w:r w:rsidRPr="001569FB">
              <w:rPr>
                <w:sz w:val="20"/>
                <w:szCs w:val="20"/>
              </w:rPr>
              <w:t>1.282</w:t>
            </w:r>
          </w:p>
        </w:tc>
        <w:tc>
          <w:tcPr>
            <w:tcW w:w="1915" w:type="dxa"/>
            <w:tcBorders>
              <w:top w:val="nil"/>
              <w:left w:val="single" w:sz="4" w:space="0" w:color="auto"/>
              <w:bottom w:val="nil"/>
              <w:right w:val="single" w:sz="4" w:space="0" w:color="auto"/>
            </w:tcBorders>
            <w:shd w:val="clear" w:color="000000" w:fill="FFFFFF"/>
            <w:noWrap/>
            <w:hideMark/>
          </w:tcPr>
          <w:p w14:paraId="4BDEE699" w14:textId="77777777" w:rsidR="009A7430" w:rsidRPr="001569FB" w:rsidRDefault="009A7430" w:rsidP="008D4E91">
            <w:pPr>
              <w:jc w:val="center"/>
              <w:rPr>
                <w:sz w:val="20"/>
                <w:szCs w:val="20"/>
              </w:rPr>
            </w:pPr>
            <w:r w:rsidRPr="001569FB">
              <w:rPr>
                <w:sz w:val="20"/>
                <w:szCs w:val="20"/>
              </w:rPr>
              <w:t>1.574</w:t>
            </w:r>
          </w:p>
        </w:tc>
        <w:tc>
          <w:tcPr>
            <w:tcW w:w="1915" w:type="dxa"/>
            <w:tcBorders>
              <w:top w:val="nil"/>
              <w:left w:val="single" w:sz="4" w:space="0" w:color="auto"/>
              <w:bottom w:val="nil"/>
              <w:right w:val="single" w:sz="4" w:space="0" w:color="auto"/>
            </w:tcBorders>
            <w:shd w:val="clear" w:color="000000" w:fill="FFFFFF"/>
            <w:noWrap/>
            <w:hideMark/>
          </w:tcPr>
          <w:p w14:paraId="41414A2F"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0C7B54F" w14:textId="77777777" w:rsidR="009A7430" w:rsidRPr="001569FB" w:rsidRDefault="009A7430" w:rsidP="008D4E91">
            <w:pPr>
              <w:jc w:val="center"/>
              <w:rPr>
                <w:sz w:val="20"/>
                <w:szCs w:val="20"/>
              </w:rPr>
            </w:pPr>
            <w:r w:rsidRPr="001569FB">
              <w:rPr>
                <w:sz w:val="20"/>
                <w:szCs w:val="20"/>
              </w:rPr>
              <w:t>–</w:t>
            </w:r>
          </w:p>
        </w:tc>
      </w:tr>
      <w:tr w:rsidR="009A7430" w:rsidRPr="001569FB" w14:paraId="5A9FE5DE" w14:textId="77777777" w:rsidTr="002707EC">
        <w:trPr>
          <w:trHeight w:hRule="exact" w:val="259"/>
        </w:trPr>
        <w:tc>
          <w:tcPr>
            <w:tcW w:w="1991" w:type="dxa"/>
            <w:tcBorders>
              <w:right w:val="single" w:sz="4" w:space="0" w:color="auto"/>
            </w:tcBorders>
            <w:noWrap/>
            <w:hideMark/>
          </w:tcPr>
          <w:p w14:paraId="307D484C"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514B5A05" w14:textId="77777777" w:rsidR="009A7430" w:rsidRPr="001569FB" w:rsidRDefault="009A7430" w:rsidP="008D4E91">
            <w:pPr>
              <w:jc w:val="center"/>
              <w:rPr>
                <w:sz w:val="20"/>
                <w:szCs w:val="20"/>
              </w:rPr>
            </w:pPr>
            <w:r w:rsidRPr="001569FB">
              <w:rPr>
                <w:sz w:val="20"/>
                <w:szCs w:val="20"/>
              </w:rPr>
              <w:t>1.497</w:t>
            </w:r>
          </w:p>
        </w:tc>
        <w:tc>
          <w:tcPr>
            <w:tcW w:w="1915" w:type="dxa"/>
            <w:tcBorders>
              <w:top w:val="nil"/>
              <w:left w:val="single" w:sz="4" w:space="0" w:color="auto"/>
              <w:bottom w:val="nil"/>
              <w:right w:val="single" w:sz="4" w:space="0" w:color="auto"/>
            </w:tcBorders>
            <w:shd w:val="clear" w:color="000000" w:fill="FFFFFF"/>
            <w:noWrap/>
          </w:tcPr>
          <w:p w14:paraId="52C9622C" w14:textId="77777777" w:rsidR="009A7430" w:rsidRPr="001569FB" w:rsidRDefault="009A7430" w:rsidP="008D4E91">
            <w:pPr>
              <w:jc w:val="center"/>
              <w:rPr>
                <w:sz w:val="20"/>
                <w:szCs w:val="20"/>
              </w:rPr>
            </w:pPr>
            <w:r w:rsidRPr="001569FB">
              <w:rPr>
                <w:sz w:val="20"/>
                <w:szCs w:val="20"/>
              </w:rPr>
              <w:t>1.899</w:t>
            </w:r>
          </w:p>
        </w:tc>
        <w:tc>
          <w:tcPr>
            <w:tcW w:w="1915" w:type="dxa"/>
            <w:tcBorders>
              <w:top w:val="nil"/>
              <w:left w:val="single" w:sz="4" w:space="0" w:color="auto"/>
              <w:bottom w:val="nil"/>
              <w:right w:val="single" w:sz="4" w:space="0" w:color="auto"/>
            </w:tcBorders>
            <w:shd w:val="clear" w:color="000000" w:fill="FFFFFF"/>
            <w:noWrap/>
            <w:hideMark/>
          </w:tcPr>
          <w:p w14:paraId="12C806CE"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EB9D7FE" w14:textId="77777777" w:rsidR="009A7430" w:rsidRPr="001569FB" w:rsidRDefault="009A7430" w:rsidP="008D4E91">
            <w:pPr>
              <w:jc w:val="center"/>
              <w:rPr>
                <w:sz w:val="20"/>
                <w:szCs w:val="20"/>
              </w:rPr>
            </w:pPr>
            <w:r w:rsidRPr="001569FB">
              <w:rPr>
                <w:sz w:val="20"/>
                <w:szCs w:val="20"/>
              </w:rPr>
              <w:t>–</w:t>
            </w:r>
          </w:p>
        </w:tc>
      </w:tr>
      <w:tr w:rsidR="009A7430" w:rsidRPr="001569FB" w14:paraId="50DF17AB" w14:textId="77777777" w:rsidTr="002707EC">
        <w:trPr>
          <w:trHeight w:hRule="exact" w:val="259"/>
        </w:trPr>
        <w:tc>
          <w:tcPr>
            <w:tcW w:w="1991" w:type="dxa"/>
            <w:tcBorders>
              <w:right w:val="single" w:sz="4" w:space="0" w:color="auto"/>
            </w:tcBorders>
            <w:noWrap/>
            <w:hideMark/>
          </w:tcPr>
          <w:p w14:paraId="43425123"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622F7D3C" w14:textId="77777777" w:rsidR="009A7430" w:rsidRPr="001569FB" w:rsidRDefault="009A7430" w:rsidP="008D4E91">
            <w:pPr>
              <w:jc w:val="center"/>
              <w:rPr>
                <w:sz w:val="20"/>
                <w:szCs w:val="20"/>
              </w:rPr>
            </w:pPr>
            <w:r w:rsidRPr="001569FB">
              <w:rPr>
                <w:sz w:val="20"/>
                <w:szCs w:val="20"/>
              </w:rPr>
              <w:t>1.704</w:t>
            </w:r>
          </w:p>
        </w:tc>
        <w:tc>
          <w:tcPr>
            <w:tcW w:w="1915" w:type="dxa"/>
            <w:tcBorders>
              <w:top w:val="nil"/>
              <w:left w:val="single" w:sz="4" w:space="0" w:color="auto"/>
              <w:bottom w:val="nil"/>
              <w:right w:val="single" w:sz="4" w:space="0" w:color="auto"/>
            </w:tcBorders>
            <w:shd w:val="clear" w:color="000000" w:fill="FFFFFF"/>
            <w:noWrap/>
          </w:tcPr>
          <w:p w14:paraId="52E4589D" w14:textId="77777777" w:rsidR="009A7430" w:rsidRPr="001569FB" w:rsidRDefault="009A7430" w:rsidP="008D4E91">
            <w:pPr>
              <w:jc w:val="center"/>
              <w:rPr>
                <w:sz w:val="20"/>
                <w:szCs w:val="20"/>
              </w:rPr>
            </w:pPr>
            <w:r w:rsidRPr="001569FB">
              <w:rPr>
                <w:sz w:val="20"/>
                <w:szCs w:val="20"/>
              </w:rPr>
              <w:t>2.193</w:t>
            </w:r>
          </w:p>
        </w:tc>
        <w:tc>
          <w:tcPr>
            <w:tcW w:w="1915" w:type="dxa"/>
            <w:tcBorders>
              <w:top w:val="nil"/>
              <w:left w:val="single" w:sz="4" w:space="0" w:color="auto"/>
              <w:bottom w:val="nil"/>
              <w:right w:val="single" w:sz="4" w:space="0" w:color="auto"/>
            </w:tcBorders>
            <w:shd w:val="clear" w:color="000000" w:fill="FFFFFF"/>
            <w:noWrap/>
            <w:hideMark/>
          </w:tcPr>
          <w:p w14:paraId="1D285581"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F6500DE" w14:textId="77777777" w:rsidR="009A7430" w:rsidRPr="001569FB" w:rsidRDefault="009A7430" w:rsidP="008D4E91">
            <w:pPr>
              <w:jc w:val="center"/>
              <w:rPr>
                <w:sz w:val="20"/>
                <w:szCs w:val="20"/>
              </w:rPr>
            </w:pPr>
            <w:r w:rsidRPr="001569FB">
              <w:rPr>
                <w:sz w:val="20"/>
                <w:szCs w:val="20"/>
              </w:rPr>
              <w:t>–</w:t>
            </w:r>
          </w:p>
        </w:tc>
      </w:tr>
      <w:tr w:rsidR="009A7430" w:rsidRPr="001569FB" w14:paraId="0CF34467" w14:textId="77777777" w:rsidTr="002707EC">
        <w:trPr>
          <w:trHeight w:hRule="exact" w:val="259"/>
        </w:trPr>
        <w:tc>
          <w:tcPr>
            <w:tcW w:w="1991" w:type="dxa"/>
            <w:tcBorders>
              <w:right w:val="single" w:sz="4" w:space="0" w:color="auto"/>
            </w:tcBorders>
            <w:noWrap/>
            <w:hideMark/>
          </w:tcPr>
          <w:p w14:paraId="199BDEDA"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0BC121F9" w14:textId="77777777" w:rsidR="009A7430" w:rsidRPr="001569FB" w:rsidRDefault="009A7430" w:rsidP="008D4E91">
            <w:pPr>
              <w:jc w:val="center"/>
              <w:rPr>
                <w:sz w:val="20"/>
                <w:szCs w:val="20"/>
              </w:rPr>
            </w:pPr>
            <w:r w:rsidRPr="001569FB">
              <w:rPr>
                <w:sz w:val="20"/>
                <w:szCs w:val="20"/>
              </w:rPr>
              <w:t>1.743</w:t>
            </w:r>
          </w:p>
        </w:tc>
        <w:tc>
          <w:tcPr>
            <w:tcW w:w="1915" w:type="dxa"/>
            <w:tcBorders>
              <w:top w:val="nil"/>
              <w:left w:val="single" w:sz="4" w:space="0" w:color="auto"/>
              <w:bottom w:val="nil"/>
              <w:right w:val="single" w:sz="4" w:space="0" w:color="auto"/>
            </w:tcBorders>
            <w:shd w:val="clear" w:color="000000" w:fill="FFFFFF"/>
            <w:noWrap/>
          </w:tcPr>
          <w:p w14:paraId="0B40F998" w14:textId="77777777" w:rsidR="009A7430" w:rsidRPr="001569FB" w:rsidRDefault="009A7430" w:rsidP="008D4E91">
            <w:pPr>
              <w:jc w:val="center"/>
              <w:rPr>
                <w:sz w:val="20"/>
                <w:szCs w:val="20"/>
              </w:rPr>
            </w:pPr>
            <w:r w:rsidRPr="001569FB">
              <w:rPr>
                <w:sz w:val="20"/>
                <w:szCs w:val="20"/>
              </w:rPr>
              <w:t>2.258</w:t>
            </w:r>
          </w:p>
        </w:tc>
        <w:tc>
          <w:tcPr>
            <w:tcW w:w="1915" w:type="dxa"/>
            <w:tcBorders>
              <w:top w:val="nil"/>
              <w:left w:val="single" w:sz="4" w:space="0" w:color="auto"/>
              <w:bottom w:val="nil"/>
              <w:right w:val="single" w:sz="4" w:space="0" w:color="auto"/>
            </w:tcBorders>
            <w:shd w:val="clear" w:color="000000" w:fill="FFFFFF"/>
            <w:noWrap/>
            <w:hideMark/>
          </w:tcPr>
          <w:p w14:paraId="56B3EF2B"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FEB323E" w14:textId="77777777" w:rsidR="009A7430" w:rsidRPr="001569FB" w:rsidRDefault="009A7430" w:rsidP="008D4E91">
            <w:pPr>
              <w:jc w:val="center"/>
              <w:rPr>
                <w:sz w:val="20"/>
                <w:szCs w:val="20"/>
              </w:rPr>
            </w:pPr>
            <w:r w:rsidRPr="001569FB">
              <w:rPr>
                <w:sz w:val="20"/>
                <w:szCs w:val="20"/>
              </w:rPr>
              <w:t>–</w:t>
            </w:r>
          </w:p>
        </w:tc>
      </w:tr>
      <w:tr w:rsidR="009A7430" w:rsidRPr="001569FB" w14:paraId="7FCA6AC8" w14:textId="77777777" w:rsidTr="002707EC">
        <w:trPr>
          <w:trHeight w:hRule="exact" w:val="259"/>
        </w:trPr>
        <w:tc>
          <w:tcPr>
            <w:tcW w:w="1991" w:type="dxa"/>
            <w:tcBorders>
              <w:right w:val="single" w:sz="4" w:space="0" w:color="auto"/>
            </w:tcBorders>
            <w:noWrap/>
            <w:hideMark/>
          </w:tcPr>
          <w:p w14:paraId="6B93C8A8"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F85B970" w14:textId="77777777" w:rsidR="009A7430" w:rsidRPr="001569FB" w:rsidRDefault="009A7430" w:rsidP="008D4E91">
            <w:pPr>
              <w:jc w:val="center"/>
              <w:rPr>
                <w:sz w:val="20"/>
                <w:szCs w:val="20"/>
              </w:rPr>
            </w:pPr>
            <w:r w:rsidRPr="001569FB">
              <w:rPr>
                <w:sz w:val="20"/>
                <w:szCs w:val="20"/>
              </w:rPr>
              <w:t>1.788</w:t>
            </w:r>
          </w:p>
        </w:tc>
        <w:tc>
          <w:tcPr>
            <w:tcW w:w="1915" w:type="dxa"/>
            <w:tcBorders>
              <w:top w:val="nil"/>
              <w:left w:val="single" w:sz="4" w:space="0" w:color="auto"/>
              <w:bottom w:val="nil"/>
              <w:right w:val="single" w:sz="4" w:space="0" w:color="auto"/>
            </w:tcBorders>
            <w:shd w:val="clear" w:color="000000" w:fill="FFFFFF"/>
            <w:noWrap/>
          </w:tcPr>
          <w:p w14:paraId="6827C072" w14:textId="77777777" w:rsidR="009A7430" w:rsidRPr="001569FB" w:rsidRDefault="009A7430" w:rsidP="008D4E91">
            <w:pPr>
              <w:jc w:val="center"/>
              <w:rPr>
                <w:sz w:val="20"/>
                <w:szCs w:val="20"/>
              </w:rPr>
            </w:pPr>
            <w:r w:rsidRPr="001569FB">
              <w:rPr>
                <w:sz w:val="20"/>
                <w:szCs w:val="20"/>
              </w:rPr>
              <w:t>2.390</w:t>
            </w:r>
          </w:p>
        </w:tc>
        <w:tc>
          <w:tcPr>
            <w:tcW w:w="1915" w:type="dxa"/>
            <w:tcBorders>
              <w:top w:val="nil"/>
              <w:left w:val="single" w:sz="4" w:space="0" w:color="auto"/>
              <w:bottom w:val="nil"/>
              <w:right w:val="single" w:sz="4" w:space="0" w:color="auto"/>
            </w:tcBorders>
            <w:shd w:val="clear" w:color="000000" w:fill="FFFFFF"/>
            <w:noWrap/>
            <w:hideMark/>
          </w:tcPr>
          <w:p w14:paraId="580ECF8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B3D0A8C" w14:textId="77777777" w:rsidR="009A7430" w:rsidRPr="001569FB" w:rsidRDefault="009A7430" w:rsidP="008D4E91">
            <w:pPr>
              <w:jc w:val="center"/>
              <w:rPr>
                <w:sz w:val="20"/>
                <w:szCs w:val="20"/>
              </w:rPr>
            </w:pPr>
            <w:r w:rsidRPr="001569FB">
              <w:rPr>
                <w:sz w:val="20"/>
                <w:szCs w:val="20"/>
              </w:rPr>
              <w:t>–</w:t>
            </w:r>
          </w:p>
        </w:tc>
      </w:tr>
      <w:tr w:rsidR="009A7430" w:rsidRPr="001569FB" w14:paraId="0AC68E8A" w14:textId="77777777" w:rsidTr="002707EC">
        <w:trPr>
          <w:trHeight w:hRule="exact" w:val="259"/>
        </w:trPr>
        <w:tc>
          <w:tcPr>
            <w:tcW w:w="1991" w:type="dxa"/>
            <w:tcBorders>
              <w:right w:val="single" w:sz="4" w:space="0" w:color="auto"/>
            </w:tcBorders>
            <w:noWrap/>
            <w:hideMark/>
          </w:tcPr>
          <w:p w14:paraId="136F7744"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363F21E1" w14:textId="77777777" w:rsidR="009A7430" w:rsidRPr="001569FB" w:rsidRDefault="009A7430" w:rsidP="008D4E91">
            <w:pPr>
              <w:jc w:val="center"/>
              <w:rPr>
                <w:sz w:val="20"/>
                <w:szCs w:val="20"/>
              </w:rPr>
            </w:pPr>
            <w:r w:rsidRPr="001569FB">
              <w:rPr>
                <w:sz w:val="20"/>
                <w:szCs w:val="20"/>
              </w:rPr>
              <w:t>1.638</w:t>
            </w:r>
          </w:p>
        </w:tc>
        <w:tc>
          <w:tcPr>
            <w:tcW w:w="1915" w:type="dxa"/>
            <w:tcBorders>
              <w:top w:val="nil"/>
              <w:left w:val="single" w:sz="4" w:space="0" w:color="auto"/>
              <w:bottom w:val="nil"/>
              <w:right w:val="single" w:sz="4" w:space="0" w:color="auto"/>
            </w:tcBorders>
            <w:shd w:val="clear" w:color="000000" w:fill="FFFFFF"/>
            <w:noWrap/>
          </w:tcPr>
          <w:p w14:paraId="2F0374BA" w14:textId="77777777" w:rsidR="009A7430" w:rsidRPr="001569FB" w:rsidRDefault="009A7430" w:rsidP="008D4E91">
            <w:pPr>
              <w:jc w:val="center"/>
              <w:rPr>
                <w:sz w:val="20"/>
                <w:szCs w:val="20"/>
              </w:rPr>
            </w:pPr>
            <w:r w:rsidRPr="001569FB">
              <w:rPr>
                <w:sz w:val="20"/>
                <w:szCs w:val="20"/>
              </w:rPr>
              <w:t>2.265</w:t>
            </w:r>
          </w:p>
        </w:tc>
        <w:tc>
          <w:tcPr>
            <w:tcW w:w="1915" w:type="dxa"/>
            <w:tcBorders>
              <w:top w:val="nil"/>
              <w:left w:val="single" w:sz="4" w:space="0" w:color="auto"/>
              <w:bottom w:val="nil"/>
              <w:right w:val="single" w:sz="4" w:space="0" w:color="auto"/>
            </w:tcBorders>
            <w:shd w:val="clear" w:color="000000" w:fill="FFFFFF"/>
            <w:noWrap/>
            <w:hideMark/>
          </w:tcPr>
          <w:p w14:paraId="32A1E20E" w14:textId="77777777" w:rsidR="009A7430" w:rsidRPr="001569FB" w:rsidRDefault="009A7430" w:rsidP="008D4E91">
            <w:pPr>
              <w:jc w:val="center"/>
              <w:rPr>
                <w:sz w:val="20"/>
                <w:szCs w:val="20"/>
              </w:rPr>
            </w:pPr>
            <w:r w:rsidRPr="001569FB">
              <w:rPr>
                <w:sz w:val="20"/>
                <w:szCs w:val="20"/>
              </w:rPr>
              <w:t>1.947</w:t>
            </w:r>
          </w:p>
        </w:tc>
        <w:tc>
          <w:tcPr>
            <w:tcW w:w="1915" w:type="dxa"/>
            <w:tcBorders>
              <w:top w:val="nil"/>
              <w:left w:val="single" w:sz="4" w:space="0" w:color="auto"/>
              <w:bottom w:val="nil"/>
              <w:right w:val="single" w:sz="4" w:space="0" w:color="auto"/>
            </w:tcBorders>
            <w:shd w:val="clear" w:color="000000" w:fill="FFFFFF"/>
            <w:noWrap/>
            <w:hideMark/>
          </w:tcPr>
          <w:p w14:paraId="076A0ECD" w14:textId="77777777" w:rsidR="009A7430" w:rsidRPr="001569FB" w:rsidRDefault="009A7430" w:rsidP="008D4E91">
            <w:pPr>
              <w:jc w:val="center"/>
              <w:rPr>
                <w:sz w:val="20"/>
                <w:szCs w:val="20"/>
              </w:rPr>
            </w:pPr>
            <w:r w:rsidRPr="001569FB">
              <w:rPr>
                <w:sz w:val="20"/>
                <w:szCs w:val="20"/>
              </w:rPr>
              <w:t>2.932</w:t>
            </w:r>
          </w:p>
        </w:tc>
      </w:tr>
      <w:tr w:rsidR="009A7430" w:rsidRPr="001569FB" w14:paraId="613AFD04" w14:textId="77777777" w:rsidTr="002707EC">
        <w:trPr>
          <w:trHeight w:hRule="exact" w:val="259"/>
        </w:trPr>
        <w:tc>
          <w:tcPr>
            <w:tcW w:w="1991" w:type="dxa"/>
            <w:tcBorders>
              <w:right w:val="single" w:sz="4" w:space="0" w:color="auto"/>
            </w:tcBorders>
            <w:noWrap/>
            <w:hideMark/>
          </w:tcPr>
          <w:p w14:paraId="7E570338"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B23794C" w14:textId="77777777" w:rsidR="009A7430" w:rsidRPr="001569FB" w:rsidRDefault="009A7430" w:rsidP="008D4E91">
            <w:pPr>
              <w:jc w:val="center"/>
              <w:rPr>
                <w:sz w:val="20"/>
                <w:szCs w:val="20"/>
              </w:rPr>
            </w:pPr>
            <w:r w:rsidRPr="001569FB">
              <w:rPr>
                <w:sz w:val="20"/>
                <w:szCs w:val="20"/>
              </w:rPr>
              <w:t>1.654</w:t>
            </w:r>
          </w:p>
        </w:tc>
        <w:tc>
          <w:tcPr>
            <w:tcW w:w="1915" w:type="dxa"/>
            <w:tcBorders>
              <w:top w:val="nil"/>
              <w:left w:val="single" w:sz="4" w:space="0" w:color="auto"/>
              <w:bottom w:val="nil"/>
              <w:right w:val="single" w:sz="4" w:space="0" w:color="auto"/>
            </w:tcBorders>
            <w:shd w:val="clear" w:color="000000" w:fill="FFFFFF"/>
            <w:noWrap/>
          </w:tcPr>
          <w:p w14:paraId="4AF13F7C" w14:textId="77777777" w:rsidR="009A7430" w:rsidRPr="001569FB" w:rsidRDefault="009A7430" w:rsidP="008D4E91">
            <w:pPr>
              <w:jc w:val="center"/>
              <w:rPr>
                <w:sz w:val="20"/>
                <w:szCs w:val="20"/>
              </w:rPr>
            </w:pPr>
            <w:r w:rsidRPr="001569FB">
              <w:rPr>
                <w:sz w:val="20"/>
                <w:szCs w:val="20"/>
              </w:rPr>
              <w:t>2.215</w:t>
            </w:r>
          </w:p>
        </w:tc>
        <w:tc>
          <w:tcPr>
            <w:tcW w:w="1915" w:type="dxa"/>
            <w:tcBorders>
              <w:top w:val="nil"/>
              <w:left w:val="single" w:sz="4" w:space="0" w:color="auto"/>
              <w:bottom w:val="nil"/>
              <w:right w:val="single" w:sz="4" w:space="0" w:color="auto"/>
            </w:tcBorders>
            <w:shd w:val="clear" w:color="000000" w:fill="FFFFFF"/>
            <w:noWrap/>
            <w:hideMark/>
          </w:tcPr>
          <w:p w14:paraId="241D6106" w14:textId="77777777" w:rsidR="009A7430" w:rsidRPr="001569FB" w:rsidRDefault="009A7430" w:rsidP="008D4E91">
            <w:pPr>
              <w:jc w:val="center"/>
              <w:rPr>
                <w:sz w:val="20"/>
                <w:szCs w:val="20"/>
              </w:rPr>
            </w:pPr>
            <w:r w:rsidRPr="001569FB">
              <w:rPr>
                <w:sz w:val="20"/>
                <w:szCs w:val="20"/>
              </w:rPr>
              <w:t>2.192</w:t>
            </w:r>
          </w:p>
        </w:tc>
        <w:tc>
          <w:tcPr>
            <w:tcW w:w="1915" w:type="dxa"/>
            <w:tcBorders>
              <w:top w:val="nil"/>
              <w:left w:val="single" w:sz="4" w:space="0" w:color="auto"/>
              <w:bottom w:val="nil"/>
              <w:right w:val="single" w:sz="4" w:space="0" w:color="auto"/>
            </w:tcBorders>
            <w:shd w:val="clear" w:color="000000" w:fill="FFFFFF"/>
            <w:noWrap/>
            <w:hideMark/>
          </w:tcPr>
          <w:p w14:paraId="161FE904" w14:textId="77777777" w:rsidR="009A7430" w:rsidRPr="001569FB" w:rsidRDefault="009A7430" w:rsidP="008D4E91">
            <w:pPr>
              <w:jc w:val="center"/>
              <w:rPr>
                <w:sz w:val="20"/>
                <w:szCs w:val="20"/>
              </w:rPr>
            </w:pPr>
            <w:r w:rsidRPr="001569FB">
              <w:rPr>
                <w:sz w:val="20"/>
                <w:szCs w:val="20"/>
              </w:rPr>
              <w:t>3.319</w:t>
            </w:r>
          </w:p>
        </w:tc>
      </w:tr>
      <w:tr w:rsidR="009A7430" w:rsidRPr="001569FB" w14:paraId="0FCB1F5A" w14:textId="77777777" w:rsidTr="002707EC">
        <w:trPr>
          <w:trHeight w:hRule="exact" w:val="259"/>
        </w:trPr>
        <w:tc>
          <w:tcPr>
            <w:tcW w:w="1991" w:type="dxa"/>
            <w:tcBorders>
              <w:right w:val="single" w:sz="4" w:space="0" w:color="auto"/>
            </w:tcBorders>
            <w:noWrap/>
            <w:hideMark/>
          </w:tcPr>
          <w:p w14:paraId="2F0975FE"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19006E90" w14:textId="77777777" w:rsidR="009A7430" w:rsidRPr="001569FB" w:rsidRDefault="009A7430" w:rsidP="008D4E91">
            <w:pPr>
              <w:jc w:val="center"/>
              <w:rPr>
                <w:sz w:val="20"/>
                <w:szCs w:val="20"/>
              </w:rPr>
            </w:pPr>
            <w:r w:rsidRPr="001569FB">
              <w:rPr>
                <w:sz w:val="20"/>
                <w:szCs w:val="20"/>
              </w:rPr>
              <w:t>1.703</w:t>
            </w:r>
          </w:p>
        </w:tc>
        <w:tc>
          <w:tcPr>
            <w:tcW w:w="1915" w:type="dxa"/>
            <w:tcBorders>
              <w:top w:val="nil"/>
              <w:left w:val="single" w:sz="4" w:space="0" w:color="auto"/>
              <w:bottom w:val="nil"/>
              <w:right w:val="single" w:sz="4" w:space="0" w:color="auto"/>
            </w:tcBorders>
            <w:shd w:val="clear" w:color="000000" w:fill="FFFFFF"/>
            <w:noWrap/>
          </w:tcPr>
          <w:p w14:paraId="409E4342" w14:textId="77777777" w:rsidR="009A7430" w:rsidRPr="001569FB" w:rsidRDefault="009A7430" w:rsidP="008D4E91">
            <w:pPr>
              <w:jc w:val="center"/>
              <w:rPr>
                <w:sz w:val="20"/>
                <w:szCs w:val="20"/>
              </w:rPr>
            </w:pPr>
            <w:r w:rsidRPr="001569FB">
              <w:rPr>
                <w:sz w:val="20"/>
                <w:szCs w:val="20"/>
              </w:rPr>
              <w:t>2.272</w:t>
            </w:r>
          </w:p>
        </w:tc>
        <w:tc>
          <w:tcPr>
            <w:tcW w:w="1915" w:type="dxa"/>
            <w:tcBorders>
              <w:top w:val="nil"/>
              <w:left w:val="single" w:sz="4" w:space="0" w:color="auto"/>
              <w:bottom w:val="nil"/>
              <w:right w:val="single" w:sz="4" w:space="0" w:color="auto"/>
            </w:tcBorders>
            <w:shd w:val="clear" w:color="000000" w:fill="FFFFFF"/>
            <w:noWrap/>
            <w:hideMark/>
          </w:tcPr>
          <w:p w14:paraId="1287169E"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37B647E" w14:textId="77777777" w:rsidR="009A7430" w:rsidRPr="001569FB" w:rsidRDefault="009A7430" w:rsidP="008D4E91">
            <w:pPr>
              <w:jc w:val="center"/>
              <w:rPr>
                <w:sz w:val="20"/>
                <w:szCs w:val="20"/>
              </w:rPr>
            </w:pPr>
            <w:r w:rsidRPr="001569FB">
              <w:rPr>
                <w:sz w:val="20"/>
                <w:szCs w:val="20"/>
              </w:rPr>
              <w:t>3.319</w:t>
            </w:r>
          </w:p>
        </w:tc>
      </w:tr>
      <w:tr w:rsidR="009A7430" w:rsidRPr="001569FB" w14:paraId="663A0F37" w14:textId="77777777" w:rsidTr="002707EC">
        <w:trPr>
          <w:trHeight w:hRule="exact" w:val="259"/>
        </w:trPr>
        <w:tc>
          <w:tcPr>
            <w:tcW w:w="1991" w:type="dxa"/>
            <w:tcBorders>
              <w:bottom w:val="nil"/>
              <w:right w:val="single" w:sz="4" w:space="0" w:color="auto"/>
            </w:tcBorders>
            <w:noWrap/>
            <w:hideMark/>
          </w:tcPr>
          <w:p w14:paraId="7E7E708C"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53B0952F" w14:textId="77777777" w:rsidR="009A7430" w:rsidRPr="001569FB" w:rsidRDefault="009A7430" w:rsidP="008D4E91">
            <w:pPr>
              <w:jc w:val="center"/>
              <w:rPr>
                <w:sz w:val="20"/>
                <w:szCs w:val="20"/>
              </w:rPr>
            </w:pPr>
            <w:r w:rsidRPr="001569FB">
              <w:rPr>
                <w:sz w:val="20"/>
                <w:szCs w:val="20"/>
              </w:rPr>
              <w:t>1.747</w:t>
            </w:r>
          </w:p>
        </w:tc>
        <w:tc>
          <w:tcPr>
            <w:tcW w:w="1915" w:type="dxa"/>
            <w:tcBorders>
              <w:top w:val="nil"/>
              <w:left w:val="single" w:sz="4" w:space="0" w:color="auto"/>
              <w:bottom w:val="nil"/>
              <w:right w:val="single" w:sz="4" w:space="0" w:color="auto"/>
            </w:tcBorders>
            <w:shd w:val="clear" w:color="000000" w:fill="FFFFFF"/>
            <w:noWrap/>
          </w:tcPr>
          <w:p w14:paraId="3857FC53"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2277C43C"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7B00198" w14:textId="77777777" w:rsidR="009A7430" w:rsidRPr="001569FB" w:rsidRDefault="009A7430" w:rsidP="008D4E91">
            <w:pPr>
              <w:jc w:val="center"/>
              <w:rPr>
                <w:sz w:val="20"/>
                <w:szCs w:val="20"/>
              </w:rPr>
            </w:pPr>
            <w:r w:rsidRPr="001569FB">
              <w:rPr>
                <w:sz w:val="20"/>
                <w:szCs w:val="20"/>
              </w:rPr>
              <w:t>3.319</w:t>
            </w:r>
          </w:p>
        </w:tc>
      </w:tr>
      <w:tr w:rsidR="009A7430" w:rsidRPr="001569FB" w14:paraId="5143EB15" w14:textId="77777777" w:rsidTr="002707EC">
        <w:trPr>
          <w:trHeight w:hRule="exact" w:val="259"/>
        </w:trPr>
        <w:tc>
          <w:tcPr>
            <w:tcW w:w="1991" w:type="dxa"/>
            <w:tcBorders>
              <w:top w:val="nil"/>
              <w:left w:val="single" w:sz="4" w:space="0" w:color="auto"/>
              <w:bottom w:val="nil"/>
              <w:right w:val="single" w:sz="4" w:space="0" w:color="auto"/>
            </w:tcBorders>
            <w:noWrap/>
            <w:hideMark/>
          </w:tcPr>
          <w:p w14:paraId="5C669981"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671BD29C"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tcPr>
          <w:p w14:paraId="316BA854"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0A256973"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84B0677" w14:textId="77777777" w:rsidR="009A7430" w:rsidRPr="001569FB" w:rsidRDefault="009A7430" w:rsidP="008D4E91">
            <w:pPr>
              <w:jc w:val="center"/>
              <w:rPr>
                <w:sz w:val="20"/>
                <w:szCs w:val="20"/>
              </w:rPr>
            </w:pPr>
            <w:r w:rsidRPr="001569FB">
              <w:rPr>
                <w:sz w:val="20"/>
                <w:szCs w:val="20"/>
              </w:rPr>
              <w:t>3.319</w:t>
            </w:r>
          </w:p>
        </w:tc>
      </w:tr>
      <w:tr w:rsidR="009A7430" w:rsidRPr="001569FB" w14:paraId="59949BF6" w14:textId="77777777" w:rsidTr="002707EC">
        <w:trPr>
          <w:trHeight w:hRule="exact" w:val="259"/>
        </w:trPr>
        <w:tc>
          <w:tcPr>
            <w:tcW w:w="1991" w:type="dxa"/>
            <w:tcBorders>
              <w:top w:val="nil"/>
              <w:bottom w:val="nil"/>
              <w:right w:val="single" w:sz="4" w:space="0" w:color="auto"/>
            </w:tcBorders>
            <w:noWrap/>
            <w:hideMark/>
          </w:tcPr>
          <w:p w14:paraId="359E5507"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1630C390" w14:textId="77777777" w:rsidR="009A7430" w:rsidRPr="001569FB" w:rsidRDefault="009A7430" w:rsidP="008D4E91">
            <w:pPr>
              <w:jc w:val="center"/>
              <w:rPr>
                <w:sz w:val="20"/>
                <w:szCs w:val="20"/>
              </w:rPr>
            </w:pPr>
            <w:r w:rsidRPr="001569FB">
              <w:rPr>
                <w:sz w:val="20"/>
                <w:szCs w:val="20"/>
              </w:rPr>
              <w:t>1.906</w:t>
            </w:r>
          </w:p>
        </w:tc>
        <w:tc>
          <w:tcPr>
            <w:tcW w:w="1915" w:type="dxa"/>
            <w:tcBorders>
              <w:top w:val="nil"/>
              <w:left w:val="single" w:sz="4" w:space="0" w:color="auto"/>
              <w:bottom w:val="nil"/>
              <w:right w:val="single" w:sz="4" w:space="0" w:color="auto"/>
            </w:tcBorders>
            <w:shd w:val="clear" w:color="000000" w:fill="FFFFFF"/>
            <w:noWrap/>
          </w:tcPr>
          <w:p w14:paraId="67CB32DE" w14:textId="77777777" w:rsidR="009A7430" w:rsidRPr="001569FB" w:rsidRDefault="009A7430" w:rsidP="008D4E91">
            <w:pPr>
              <w:jc w:val="center"/>
              <w:rPr>
                <w:sz w:val="20"/>
                <w:szCs w:val="20"/>
              </w:rPr>
            </w:pPr>
            <w:r w:rsidRPr="001569FB">
              <w:rPr>
                <w:sz w:val="20"/>
                <w:szCs w:val="20"/>
              </w:rPr>
              <w:t>2.419</w:t>
            </w:r>
          </w:p>
        </w:tc>
        <w:tc>
          <w:tcPr>
            <w:tcW w:w="1915" w:type="dxa"/>
            <w:tcBorders>
              <w:top w:val="nil"/>
              <w:left w:val="single" w:sz="4" w:space="0" w:color="auto"/>
              <w:bottom w:val="nil"/>
              <w:right w:val="single" w:sz="4" w:space="0" w:color="auto"/>
            </w:tcBorders>
            <w:shd w:val="clear" w:color="000000" w:fill="FFFFFF"/>
            <w:noWrap/>
            <w:hideMark/>
          </w:tcPr>
          <w:p w14:paraId="796B5A64"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2677B62D" w14:textId="77777777" w:rsidR="009A7430" w:rsidRPr="001569FB" w:rsidRDefault="009A7430" w:rsidP="008D4E91">
            <w:pPr>
              <w:jc w:val="center"/>
              <w:rPr>
                <w:sz w:val="20"/>
                <w:szCs w:val="20"/>
              </w:rPr>
            </w:pPr>
            <w:r w:rsidRPr="001569FB">
              <w:rPr>
                <w:sz w:val="20"/>
                <w:szCs w:val="20"/>
              </w:rPr>
              <w:t>3.319</w:t>
            </w:r>
          </w:p>
        </w:tc>
      </w:tr>
      <w:tr w:rsidR="009A7430" w:rsidRPr="001569FB" w14:paraId="5FF11CDF" w14:textId="77777777" w:rsidTr="002707EC">
        <w:trPr>
          <w:trHeight w:hRule="exact" w:val="259"/>
        </w:trPr>
        <w:tc>
          <w:tcPr>
            <w:tcW w:w="1991" w:type="dxa"/>
            <w:tcBorders>
              <w:top w:val="nil"/>
              <w:bottom w:val="nil"/>
              <w:right w:val="single" w:sz="4" w:space="0" w:color="auto"/>
            </w:tcBorders>
            <w:noWrap/>
            <w:hideMark/>
          </w:tcPr>
          <w:p w14:paraId="35300E60"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0FA442D5" w14:textId="77777777" w:rsidR="009A7430" w:rsidRPr="001569FB" w:rsidRDefault="009A7430" w:rsidP="008D4E91">
            <w:pPr>
              <w:jc w:val="center"/>
              <w:rPr>
                <w:sz w:val="20"/>
                <w:szCs w:val="20"/>
              </w:rPr>
            </w:pPr>
            <w:r w:rsidRPr="001569FB">
              <w:rPr>
                <w:sz w:val="20"/>
                <w:szCs w:val="20"/>
              </w:rPr>
              <w:t>2.180</w:t>
            </w:r>
          </w:p>
        </w:tc>
        <w:tc>
          <w:tcPr>
            <w:tcW w:w="1915" w:type="dxa"/>
            <w:tcBorders>
              <w:top w:val="nil"/>
              <w:left w:val="single" w:sz="4" w:space="0" w:color="auto"/>
              <w:bottom w:val="nil"/>
              <w:right w:val="single" w:sz="4" w:space="0" w:color="auto"/>
            </w:tcBorders>
            <w:shd w:val="clear" w:color="000000" w:fill="FFFFFF"/>
            <w:noWrap/>
          </w:tcPr>
          <w:p w14:paraId="2BA4A392" w14:textId="77777777" w:rsidR="009A7430" w:rsidRPr="001569FB" w:rsidRDefault="009A7430" w:rsidP="008D4E91">
            <w:pPr>
              <w:jc w:val="center"/>
              <w:rPr>
                <w:sz w:val="20"/>
                <w:szCs w:val="20"/>
              </w:rPr>
            </w:pPr>
            <w:r w:rsidRPr="001569FB">
              <w:rPr>
                <w:sz w:val="20"/>
                <w:szCs w:val="20"/>
              </w:rPr>
              <w:t>2.528</w:t>
            </w:r>
          </w:p>
        </w:tc>
        <w:tc>
          <w:tcPr>
            <w:tcW w:w="1915" w:type="dxa"/>
            <w:tcBorders>
              <w:top w:val="nil"/>
              <w:left w:val="single" w:sz="4" w:space="0" w:color="auto"/>
              <w:bottom w:val="nil"/>
              <w:right w:val="single" w:sz="4" w:space="0" w:color="auto"/>
            </w:tcBorders>
            <w:shd w:val="clear" w:color="000000" w:fill="FFFFFF"/>
            <w:noWrap/>
            <w:hideMark/>
          </w:tcPr>
          <w:p w14:paraId="6623E8BC"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AA46631" w14:textId="77777777" w:rsidR="009A7430" w:rsidRPr="001569FB" w:rsidRDefault="009A7430" w:rsidP="008D4E91">
            <w:pPr>
              <w:jc w:val="center"/>
              <w:rPr>
                <w:sz w:val="20"/>
                <w:szCs w:val="20"/>
              </w:rPr>
            </w:pPr>
            <w:r w:rsidRPr="001569FB">
              <w:rPr>
                <w:sz w:val="20"/>
                <w:szCs w:val="20"/>
              </w:rPr>
              <w:t>3.319</w:t>
            </w:r>
          </w:p>
        </w:tc>
      </w:tr>
      <w:tr w:rsidR="009A7430" w:rsidRPr="001569FB" w14:paraId="38AF3798" w14:textId="77777777" w:rsidTr="002707EC">
        <w:trPr>
          <w:trHeight w:hRule="exact" w:val="259"/>
        </w:trPr>
        <w:tc>
          <w:tcPr>
            <w:tcW w:w="1991" w:type="dxa"/>
            <w:tcBorders>
              <w:top w:val="nil"/>
              <w:right w:val="single" w:sz="4" w:space="0" w:color="auto"/>
            </w:tcBorders>
            <w:noWrap/>
            <w:hideMark/>
          </w:tcPr>
          <w:p w14:paraId="3FED8442"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15F7AB60" w14:textId="77777777" w:rsidR="009A7430" w:rsidRPr="001569FB" w:rsidRDefault="009A7430" w:rsidP="008D4E91">
            <w:pPr>
              <w:jc w:val="center"/>
              <w:rPr>
                <w:sz w:val="20"/>
                <w:szCs w:val="20"/>
              </w:rPr>
            </w:pPr>
            <w:r w:rsidRPr="001569FB">
              <w:rPr>
                <w:sz w:val="20"/>
                <w:szCs w:val="20"/>
              </w:rPr>
              <w:t>2.367</w:t>
            </w:r>
          </w:p>
        </w:tc>
        <w:tc>
          <w:tcPr>
            <w:tcW w:w="1915" w:type="dxa"/>
            <w:tcBorders>
              <w:top w:val="nil"/>
              <w:left w:val="single" w:sz="4" w:space="0" w:color="auto"/>
              <w:bottom w:val="nil"/>
              <w:right w:val="single" w:sz="4" w:space="0" w:color="auto"/>
            </w:tcBorders>
            <w:shd w:val="clear" w:color="000000" w:fill="FFFFFF"/>
            <w:noWrap/>
          </w:tcPr>
          <w:p w14:paraId="59763BB8" w14:textId="77777777" w:rsidR="009A7430" w:rsidRPr="001569FB" w:rsidRDefault="009A7430" w:rsidP="008D4E91">
            <w:pPr>
              <w:jc w:val="center"/>
              <w:rPr>
                <w:sz w:val="20"/>
                <w:szCs w:val="20"/>
              </w:rPr>
            </w:pPr>
            <w:r w:rsidRPr="001569FB">
              <w:rPr>
                <w:sz w:val="20"/>
                <w:szCs w:val="20"/>
              </w:rPr>
              <w:t>2.676</w:t>
            </w:r>
          </w:p>
        </w:tc>
        <w:tc>
          <w:tcPr>
            <w:tcW w:w="1915" w:type="dxa"/>
            <w:tcBorders>
              <w:top w:val="nil"/>
              <w:left w:val="single" w:sz="4" w:space="0" w:color="auto"/>
              <w:bottom w:val="nil"/>
              <w:right w:val="single" w:sz="4" w:space="0" w:color="auto"/>
            </w:tcBorders>
            <w:shd w:val="clear" w:color="000000" w:fill="FFFFFF"/>
            <w:noWrap/>
            <w:hideMark/>
          </w:tcPr>
          <w:p w14:paraId="27DDE460"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68F0B40" w14:textId="77777777" w:rsidR="009A7430" w:rsidRPr="001569FB" w:rsidRDefault="009A7430" w:rsidP="008D4E91">
            <w:pPr>
              <w:jc w:val="center"/>
              <w:rPr>
                <w:sz w:val="20"/>
                <w:szCs w:val="20"/>
              </w:rPr>
            </w:pPr>
            <w:r w:rsidRPr="001569FB">
              <w:rPr>
                <w:sz w:val="20"/>
                <w:szCs w:val="20"/>
              </w:rPr>
              <w:t>3.319</w:t>
            </w:r>
          </w:p>
        </w:tc>
      </w:tr>
      <w:tr w:rsidR="009A7430" w:rsidRPr="001569FB" w14:paraId="4CDCB608" w14:textId="77777777" w:rsidTr="002707EC">
        <w:trPr>
          <w:trHeight w:hRule="exact" w:val="259"/>
        </w:trPr>
        <w:tc>
          <w:tcPr>
            <w:tcW w:w="1991" w:type="dxa"/>
            <w:tcBorders>
              <w:right w:val="single" w:sz="4" w:space="0" w:color="auto"/>
            </w:tcBorders>
            <w:noWrap/>
            <w:hideMark/>
          </w:tcPr>
          <w:p w14:paraId="34F4958A"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2619A860"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415D2B2A"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2E4DBE41"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77888ED7" w14:textId="77777777" w:rsidR="009A7430" w:rsidRPr="001569FB" w:rsidRDefault="009A7430" w:rsidP="008D4E91">
            <w:pPr>
              <w:jc w:val="center"/>
              <w:rPr>
                <w:sz w:val="20"/>
                <w:szCs w:val="20"/>
              </w:rPr>
            </w:pPr>
            <w:r w:rsidRPr="001569FB">
              <w:rPr>
                <w:sz w:val="20"/>
                <w:szCs w:val="20"/>
              </w:rPr>
              <w:t>3.319</w:t>
            </w:r>
          </w:p>
        </w:tc>
      </w:tr>
      <w:tr w:rsidR="009A7430" w:rsidRPr="001569FB" w14:paraId="3A316ED3" w14:textId="77777777" w:rsidTr="002707EC">
        <w:trPr>
          <w:trHeight w:hRule="exact" w:val="259"/>
        </w:trPr>
        <w:tc>
          <w:tcPr>
            <w:tcW w:w="1991" w:type="dxa"/>
            <w:tcBorders>
              <w:bottom w:val="nil"/>
              <w:right w:val="single" w:sz="4" w:space="0" w:color="auto"/>
            </w:tcBorders>
            <w:noWrap/>
            <w:hideMark/>
          </w:tcPr>
          <w:p w14:paraId="4A402859"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1A58B733"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5878E356"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30B642D8"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B2F21D2" w14:textId="77777777" w:rsidR="009A7430" w:rsidRPr="001569FB" w:rsidRDefault="009A7430" w:rsidP="008D4E91">
            <w:pPr>
              <w:jc w:val="center"/>
              <w:rPr>
                <w:sz w:val="20"/>
                <w:szCs w:val="20"/>
              </w:rPr>
            </w:pPr>
            <w:r w:rsidRPr="001569FB">
              <w:rPr>
                <w:sz w:val="20"/>
                <w:szCs w:val="20"/>
              </w:rPr>
              <w:t>3.319</w:t>
            </w:r>
          </w:p>
        </w:tc>
      </w:tr>
      <w:tr w:rsidR="009A7430" w:rsidRPr="001569FB" w14:paraId="325D13E1" w14:textId="77777777" w:rsidTr="002707EC">
        <w:trPr>
          <w:trHeight w:hRule="exact" w:val="259"/>
        </w:trPr>
        <w:tc>
          <w:tcPr>
            <w:tcW w:w="1991" w:type="dxa"/>
            <w:tcBorders>
              <w:top w:val="nil"/>
              <w:bottom w:val="single" w:sz="4" w:space="0" w:color="auto"/>
              <w:right w:val="single" w:sz="4" w:space="0" w:color="auto"/>
            </w:tcBorders>
            <w:noWrap/>
            <w:hideMark/>
          </w:tcPr>
          <w:p w14:paraId="15755FF5"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52EF0289"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single" w:sz="4" w:space="0" w:color="auto"/>
              <w:right w:val="single" w:sz="4" w:space="0" w:color="auto"/>
            </w:tcBorders>
            <w:shd w:val="clear" w:color="000000" w:fill="FFFFFF"/>
            <w:noWrap/>
          </w:tcPr>
          <w:p w14:paraId="36411504"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79D00CB9"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3D84FFFB" w14:textId="77777777" w:rsidR="009A7430" w:rsidRPr="001569FB" w:rsidRDefault="009A7430" w:rsidP="008D4E91">
            <w:pPr>
              <w:jc w:val="center"/>
              <w:rPr>
                <w:sz w:val="20"/>
                <w:szCs w:val="20"/>
              </w:rPr>
            </w:pPr>
            <w:r w:rsidRPr="001569FB">
              <w:rPr>
                <w:sz w:val="20"/>
                <w:szCs w:val="20"/>
              </w:rPr>
              <w:t>3.319</w:t>
            </w:r>
          </w:p>
        </w:tc>
      </w:tr>
    </w:tbl>
    <w:p w14:paraId="53107E8D" w14:textId="77777777" w:rsidR="009A7430" w:rsidRPr="001569FB" w:rsidRDefault="009A7430" w:rsidP="002707EC">
      <w:pPr>
        <w:spacing w:before="120"/>
        <w:ind w:right="90"/>
        <w:rPr>
          <w:b/>
          <w:sz w:val="20"/>
        </w:rPr>
      </w:pPr>
      <w:r w:rsidRPr="001569FB">
        <w:rPr>
          <w:b/>
          <w:sz w:val="18"/>
          <w:szCs w:val="20"/>
        </w:rPr>
        <w:t>NOTES:</w:t>
      </w:r>
    </w:p>
    <w:p w14:paraId="3AD3BD17" w14:textId="5AF54164" w:rsidR="009A7430" w:rsidRPr="001569FB" w:rsidRDefault="009A7430" w:rsidP="00875BB1">
      <w:pPr>
        <w:spacing w:line="240" w:lineRule="auto"/>
        <w:ind w:left="720" w:right="90" w:hanging="360"/>
        <w:rPr>
          <w:sz w:val="18"/>
          <w:szCs w:val="20"/>
        </w:rPr>
      </w:pPr>
      <w:r w:rsidRPr="001569FB">
        <w:rPr>
          <w:sz w:val="18"/>
          <w:szCs w:val="20"/>
        </w:rPr>
        <w:t>1.</w:t>
      </w:r>
      <w:r w:rsidR="00EE48B5" w:rsidRPr="001569FB">
        <w:rPr>
          <w:sz w:val="18"/>
          <w:szCs w:val="20"/>
        </w:rPr>
        <w:tab/>
      </w:r>
      <w:r w:rsidRPr="001569FB">
        <w:rPr>
          <w:sz w:val="18"/>
          <w:szCs w:val="20"/>
        </w:rPr>
        <w:t>The relative factors are derived from the Graft New Enrollee model. The Denominator used to calculate the relative factors is $9,366.89.</w:t>
      </w:r>
    </w:p>
    <w:p w14:paraId="61FC063B" w14:textId="0DDA83E1" w:rsidR="009A7430" w:rsidRPr="001569FB" w:rsidRDefault="009A7430" w:rsidP="002707EC">
      <w:pPr>
        <w:spacing w:before="40" w:line="240" w:lineRule="auto"/>
        <w:ind w:left="720" w:right="90" w:hanging="360"/>
        <w:rPr>
          <w:szCs w:val="24"/>
        </w:rPr>
      </w:pPr>
      <w:r w:rsidRPr="001569FB">
        <w:rPr>
          <w:sz w:val="18"/>
          <w:szCs w:val="20"/>
        </w:rPr>
        <w:t>2.</w:t>
      </w:r>
      <w:r w:rsidR="00EE48B5" w:rsidRPr="001569FB">
        <w:rPr>
          <w:sz w:val="18"/>
          <w:szCs w:val="20"/>
        </w:rPr>
        <w:tab/>
      </w:r>
      <w:r w:rsidRPr="001569FB">
        <w:rPr>
          <w:sz w:val="18"/>
          <w:szCs w:val="20"/>
        </w:rPr>
        <w:t>Originally Disabled terms refer to beneficiaries originally entitled to Medicare for reasons of disability other than ESRD. In this model, Originally Disabled is defined only for beneficiaries age 65 and greater.</w:t>
      </w:r>
    </w:p>
    <w:p w14:paraId="2495C635" w14:textId="262D77CF" w:rsidR="009A7430" w:rsidRPr="001569FB" w:rsidRDefault="009A7430" w:rsidP="00E5152E">
      <w:pPr>
        <w:spacing w:before="60" w:line="240" w:lineRule="auto"/>
        <w:ind w:right="90"/>
        <w:rPr>
          <w:bCs/>
          <w:sz w:val="18"/>
          <w:szCs w:val="20"/>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20E196C7" w14:textId="33846CDC" w:rsidR="009A7430" w:rsidRPr="001569FB" w:rsidRDefault="00E177CD" w:rsidP="00E177CD">
      <w:pPr>
        <w:pStyle w:val="HeadingA"/>
      </w:pPr>
      <w:bookmarkStart w:id="609" w:name="_Toc503950939"/>
      <w:bookmarkStart w:id="610" w:name="_Toc503980164"/>
      <w:r w:rsidRPr="001569FB">
        <w:br w:type="page"/>
      </w:r>
      <w:bookmarkStart w:id="611" w:name="_Toc505253825"/>
      <w:r w:rsidR="009A7430" w:rsidRPr="001569FB">
        <w:lastRenderedPageBreak/>
        <w:t>Table</w:t>
      </w:r>
      <w:r w:rsidR="005567E4" w:rsidRPr="001569FB">
        <w:t xml:space="preserve"> </w:t>
      </w:r>
      <w:r w:rsidR="00440F3D" w:rsidRPr="001569FB">
        <w:t>V-</w:t>
      </w:r>
      <w:r w:rsidR="000B6CFC" w:rsidRPr="001569FB">
        <w:t>13</w:t>
      </w:r>
      <w:r w:rsidR="009A7430" w:rsidRPr="001569FB">
        <w:t>. List of Disease Hierarchies for the ESRD Model</w:t>
      </w:r>
      <w:bookmarkEnd w:id="609"/>
      <w:bookmarkEnd w:id="610"/>
      <w:bookmarkEnd w:id="611"/>
    </w:p>
    <w:tbl>
      <w:tblPr>
        <w:tblW w:w="9450" w:type="dxa"/>
        <w:tblInd w:w="-5" w:type="dxa"/>
        <w:tblLook w:val="04A0" w:firstRow="1" w:lastRow="0" w:firstColumn="1" w:lastColumn="0" w:noHBand="0" w:noVBand="1"/>
      </w:tblPr>
      <w:tblGrid>
        <w:gridCol w:w="1587"/>
        <w:gridCol w:w="5883"/>
        <w:gridCol w:w="1980"/>
      </w:tblGrid>
      <w:tr w:rsidR="009A7430" w:rsidRPr="001569FB" w14:paraId="13A426CC" w14:textId="77777777" w:rsidTr="00E177CD">
        <w:trPr>
          <w:cantSplit/>
          <w:trHeight w:val="300"/>
          <w:tblHeader/>
        </w:trPr>
        <w:tc>
          <w:tcPr>
            <w:tcW w:w="9450"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9621AA0" w14:textId="77777777" w:rsidR="009A7430" w:rsidRPr="001569FB" w:rsidRDefault="009A7430" w:rsidP="008D4E91">
            <w:pPr>
              <w:spacing w:line="240" w:lineRule="auto"/>
              <w:jc w:val="center"/>
              <w:rPr>
                <w:b/>
                <w:bCs/>
              </w:rPr>
            </w:pPr>
            <w:r w:rsidRPr="001569FB">
              <w:rPr>
                <w:b/>
                <w:bCs/>
              </w:rPr>
              <w:t>DISEASE HIERARCHIES</w:t>
            </w:r>
          </w:p>
        </w:tc>
      </w:tr>
      <w:tr w:rsidR="009A7430" w:rsidRPr="001569FB" w14:paraId="5E99D4D9" w14:textId="77777777" w:rsidTr="00E177CD">
        <w:trPr>
          <w:cantSplit/>
          <w:trHeight w:val="1200"/>
          <w:tblHeader/>
        </w:trPr>
        <w:tc>
          <w:tcPr>
            <w:tcW w:w="1587" w:type="dxa"/>
            <w:tcBorders>
              <w:top w:val="nil"/>
              <w:left w:val="single" w:sz="4" w:space="0" w:color="auto"/>
              <w:bottom w:val="single" w:sz="4" w:space="0" w:color="auto"/>
              <w:right w:val="single" w:sz="4" w:space="0" w:color="auto"/>
            </w:tcBorders>
            <w:shd w:val="clear" w:color="auto" w:fill="auto"/>
            <w:vAlign w:val="center"/>
            <w:hideMark/>
          </w:tcPr>
          <w:p w14:paraId="1B711C34"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w:t>
            </w:r>
          </w:p>
        </w:tc>
        <w:tc>
          <w:tcPr>
            <w:tcW w:w="5883" w:type="dxa"/>
            <w:tcBorders>
              <w:top w:val="nil"/>
              <w:left w:val="nil"/>
              <w:bottom w:val="single" w:sz="4" w:space="0" w:color="auto"/>
              <w:right w:val="single" w:sz="4" w:space="0" w:color="auto"/>
            </w:tcBorders>
            <w:shd w:val="clear" w:color="auto" w:fill="auto"/>
            <w:vAlign w:val="center"/>
            <w:hideMark/>
          </w:tcPr>
          <w:p w14:paraId="5D53C44A" w14:textId="77777777" w:rsidR="009A7430" w:rsidRPr="001569FB" w:rsidRDefault="009A7430" w:rsidP="008D4E91">
            <w:pPr>
              <w:spacing w:line="240" w:lineRule="auto"/>
              <w:rPr>
                <w:b/>
                <w:bCs/>
                <w:color w:val="000000"/>
                <w:sz w:val="20"/>
                <w:szCs w:val="20"/>
              </w:rPr>
            </w:pPr>
            <w:r w:rsidRPr="001569FB">
              <w:rPr>
                <w:b/>
                <w:bCs/>
                <w:color w:val="000000"/>
                <w:sz w:val="20"/>
                <w:szCs w:val="20"/>
              </w:rPr>
              <w:t>If the Disease Group is Listed in this column…</w:t>
            </w:r>
          </w:p>
        </w:tc>
        <w:tc>
          <w:tcPr>
            <w:tcW w:w="1980" w:type="dxa"/>
            <w:tcBorders>
              <w:top w:val="nil"/>
              <w:left w:val="nil"/>
              <w:bottom w:val="single" w:sz="4" w:space="0" w:color="auto"/>
              <w:right w:val="single" w:sz="4" w:space="0" w:color="auto"/>
            </w:tcBorders>
            <w:shd w:val="clear" w:color="auto" w:fill="auto"/>
            <w:vAlign w:val="center"/>
            <w:hideMark/>
          </w:tcPr>
          <w:p w14:paraId="719E3D12" w14:textId="13020D75" w:rsidR="009A7430" w:rsidRPr="001569FB" w:rsidRDefault="009A7430" w:rsidP="008D4E91">
            <w:pPr>
              <w:spacing w:line="240" w:lineRule="auto"/>
              <w:jc w:val="both"/>
              <w:rPr>
                <w:b/>
                <w:bCs/>
                <w:color w:val="000000"/>
                <w:sz w:val="20"/>
                <w:szCs w:val="20"/>
              </w:rPr>
            </w:pPr>
            <w:r w:rsidRPr="001569FB">
              <w:rPr>
                <w:b/>
                <w:bCs/>
                <w:color w:val="000000"/>
                <w:sz w:val="20"/>
                <w:szCs w:val="20"/>
              </w:rPr>
              <w:t>…Then drop the HCC(s) listed in this column</w:t>
            </w:r>
          </w:p>
        </w:tc>
      </w:tr>
      <w:tr w:rsidR="009A7430" w:rsidRPr="001569FB" w14:paraId="0B991113" w14:textId="77777777" w:rsidTr="00E177CD">
        <w:trPr>
          <w:cantSplit/>
          <w:trHeight w:val="30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E8765AB" w14:textId="77777777" w:rsidR="009A7430" w:rsidRPr="001569FB" w:rsidRDefault="009A7430" w:rsidP="008D4E91">
            <w:pPr>
              <w:spacing w:line="240" w:lineRule="auto"/>
              <w:jc w:val="center"/>
              <w:rPr>
                <w:b/>
                <w:bCs/>
                <w:color w:val="000000"/>
                <w:sz w:val="20"/>
                <w:szCs w:val="20"/>
              </w:rPr>
            </w:pPr>
          </w:p>
        </w:tc>
        <w:tc>
          <w:tcPr>
            <w:tcW w:w="5883" w:type="dxa"/>
            <w:tcBorders>
              <w:top w:val="nil"/>
              <w:left w:val="nil"/>
              <w:bottom w:val="single" w:sz="4" w:space="0" w:color="auto"/>
              <w:right w:val="single" w:sz="4" w:space="0" w:color="auto"/>
            </w:tcBorders>
            <w:shd w:val="clear" w:color="auto" w:fill="auto"/>
            <w:vAlign w:val="center"/>
            <w:hideMark/>
          </w:tcPr>
          <w:p w14:paraId="3B542CFC"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 LABEL</w:t>
            </w:r>
          </w:p>
        </w:tc>
        <w:tc>
          <w:tcPr>
            <w:tcW w:w="1980" w:type="dxa"/>
            <w:tcBorders>
              <w:top w:val="nil"/>
              <w:left w:val="nil"/>
              <w:bottom w:val="single" w:sz="4" w:space="0" w:color="auto"/>
              <w:right w:val="single" w:sz="4" w:space="0" w:color="auto"/>
            </w:tcBorders>
            <w:shd w:val="clear" w:color="auto" w:fill="auto"/>
            <w:vAlign w:val="center"/>
            <w:hideMark/>
          </w:tcPr>
          <w:p w14:paraId="274E8D8D" w14:textId="77777777" w:rsidR="009A7430" w:rsidRPr="001569FB" w:rsidRDefault="009A7430" w:rsidP="008D4E91">
            <w:pPr>
              <w:spacing w:line="240" w:lineRule="auto"/>
              <w:jc w:val="center"/>
              <w:rPr>
                <w:b/>
                <w:bCs/>
                <w:color w:val="000000"/>
                <w:sz w:val="20"/>
                <w:szCs w:val="20"/>
              </w:rPr>
            </w:pPr>
          </w:p>
        </w:tc>
      </w:tr>
      <w:tr w:rsidR="009A7430" w:rsidRPr="001569FB" w14:paraId="2EF15E7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A30B7E2" w14:textId="77777777" w:rsidR="009A7430" w:rsidRPr="001569FB" w:rsidRDefault="009A7430" w:rsidP="008D4E91">
            <w:pPr>
              <w:spacing w:line="240" w:lineRule="auto"/>
              <w:jc w:val="center"/>
              <w:rPr>
                <w:sz w:val="20"/>
                <w:szCs w:val="20"/>
              </w:rPr>
            </w:pPr>
            <w:r w:rsidRPr="001569FB">
              <w:rPr>
                <w:sz w:val="20"/>
                <w:szCs w:val="20"/>
              </w:rPr>
              <w:t>8</w:t>
            </w:r>
          </w:p>
        </w:tc>
        <w:tc>
          <w:tcPr>
            <w:tcW w:w="5883" w:type="dxa"/>
            <w:tcBorders>
              <w:top w:val="nil"/>
              <w:left w:val="nil"/>
              <w:bottom w:val="single" w:sz="4" w:space="0" w:color="auto"/>
              <w:right w:val="single" w:sz="4" w:space="0" w:color="auto"/>
            </w:tcBorders>
            <w:shd w:val="clear" w:color="auto" w:fill="auto"/>
            <w:hideMark/>
          </w:tcPr>
          <w:p w14:paraId="0A0B1280" w14:textId="77777777" w:rsidR="009A7430" w:rsidRPr="001569FB" w:rsidRDefault="009A7430" w:rsidP="008D4E91">
            <w:pPr>
              <w:spacing w:line="240" w:lineRule="auto"/>
              <w:rPr>
                <w:sz w:val="20"/>
                <w:szCs w:val="20"/>
              </w:rPr>
            </w:pPr>
            <w:r w:rsidRPr="001569FB">
              <w:rPr>
                <w:sz w:val="20"/>
                <w:szCs w:val="20"/>
              </w:rPr>
              <w:t>Metastatic Cancer and Acute Leukemia</w:t>
            </w:r>
          </w:p>
        </w:tc>
        <w:tc>
          <w:tcPr>
            <w:tcW w:w="1980" w:type="dxa"/>
            <w:tcBorders>
              <w:top w:val="nil"/>
              <w:left w:val="nil"/>
              <w:bottom w:val="single" w:sz="4" w:space="0" w:color="auto"/>
              <w:right w:val="single" w:sz="4" w:space="0" w:color="auto"/>
            </w:tcBorders>
            <w:shd w:val="clear" w:color="auto" w:fill="auto"/>
            <w:hideMark/>
          </w:tcPr>
          <w:p w14:paraId="65D17138" w14:textId="77777777" w:rsidR="009A7430" w:rsidRPr="001569FB" w:rsidRDefault="009A7430" w:rsidP="008D4E91">
            <w:pPr>
              <w:spacing w:line="240" w:lineRule="auto"/>
              <w:jc w:val="center"/>
              <w:rPr>
                <w:sz w:val="20"/>
                <w:szCs w:val="20"/>
              </w:rPr>
            </w:pPr>
            <w:r w:rsidRPr="001569FB">
              <w:rPr>
                <w:sz w:val="20"/>
                <w:szCs w:val="20"/>
              </w:rPr>
              <w:t>9, 10, 11, 12</w:t>
            </w:r>
          </w:p>
        </w:tc>
      </w:tr>
      <w:tr w:rsidR="009A7430" w:rsidRPr="001569FB" w14:paraId="15708EA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CC0DA82" w14:textId="77777777" w:rsidR="009A7430" w:rsidRPr="001569FB" w:rsidRDefault="009A7430" w:rsidP="008D4E91">
            <w:pPr>
              <w:spacing w:line="240" w:lineRule="auto"/>
              <w:jc w:val="center"/>
              <w:rPr>
                <w:sz w:val="20"/>
                <w:szCs w:val="20"/>
              </w:rPr>
            </w:pPr>
            <w:r w:rsidRPr="001569FB">
              <w:rPr>
                <w:sz w:val="20"/>
                <w:szCs w:val="20"/>
              </w:rPr>
              <w:t>9</w:t>
            </w:r>
          </w:p>
        </w:tc>
        <w:tc>
          <w:tcPr>
            <w:tcW w:w="5883" w:type="dxa"/>
            <w:tcBorders>
              <w:top w:val="nil"/>
              <w:left w:val="nil"/>
              <w:bottom w:val="single" w:sz="4" w:space="0" w:color="auto"/>
              <w:right w:val="single" w:sz="4" w:space="0" w:color="auto"/>
            </w:tcBorders>
            <w:shd w:val="clear" w:color="auto" w:fill="auto"/>
            <w:hideMark/>
          </w:tcPr>
          <w:p w14:paraId="0D8B95AE" w14:textId="77777777" w:rsidR="009A7430" w:rsidRPr="001569FB" w:rsidRDefault="009A7430" w:rsidP="008D4E91">
            <w:pPr>
              <w:spacing w:line="240" w:lineRule="auto"/>
              <w:rPr>
                <w:sz w:val="20"/>
                <w:szCs w:val="20"/>
              </w:rPr>
            </w:pPr>
            <w:r w:rsidRPr="001569FB">
              <w:rPr>
                <w:sz w:val="20"/>
                <w:szCs w:val="20"/>
              </w:rPr>
              <w:t>Lung and Other Severe Cancers</w:t>
            </w:r>
          </w:p>
        </w:tc>
        <w:tc>
          <w:tcPr>
            <w:tcW w:w="1980" w:type="dxa"/>
            <w:tcBorders>
              <w:top w:val="nil"/>
              <w:left w:val="nil"/>
              <w:bottom w:val="single" w:sz="4" w:space="0" w:color="auto"/>
              <w:right w:val="single" w:sz="4" w:space="0" w:color="auto"/>
            </w:tcBorders>
            <w:shd w:val="clear" w:color="auto" w:fill="auto"/>
            <w:hideMark/>
          </w:tcPr>
          <w:p w14:paraId="3EF9EFC8" w14:textId="77777777" w:rsidR="009A7430" w:rsidRPr="001569FB" w:rsidRDefault="009A7430" w:rsidP="008D4E91">
            <w:pPr>
              <w:spacing w:line="240" w:lineRule="auto"/>
              <w:jc w:val="center"/>
              <w:rPr>
                <w:sz w:val="20"/>
                <w:szCs w:val="20"/>
              </w:rPr>
            </w:pPr>
            <w:r w:rsidRPr="001569FB">
              <w:rPr>
                <w:sz w:val="20"/>
                <w:szCs w:val="20"/>
              </w:rPr>
              <w:t>10, 11, 12</w:t>
            </w:r>
          </w:p>
        </w:tc>
      </w:tr>
      <w:tr w:rsidR="009A7430" w:rsidRPr="001569FB" w14:paraId="65A0ECD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A1D1241" w14:textId="77777777" w:rsidR="009A7430" w:rsidRPr="001569FB" w:rsidRDefault="009A7430" w:rsidP="008D4E91">
            <w:pPr>
              <w:spacing w:line="240" w:lineRule="auto"/>
              <w:jc w:val="center"/>
              <w:rPr>
                <w:sz w:val="20"/>
                <w:szCs w:val="20"/>
              </w:rPr>
            </w:pPr>
            <w:r w:rsidRPr="001569FB">
              <w:rPr>
                <w:sz w:val="20"/>
                <w:szCs w:val="20"/>
              </w:rPr>
              <w:t>10</w:t>
            </w:r>
          </w:p>
        </w:tc>
        <w:tc>
          <w:tcPr>
            <w:tcW w:w="5883" w:type="dxa"/>
            <w:tcBorders>
              <w:top w:val="nil"/>
              <w:left w:val="nil"/>
              <w:bottom w:val="single" w:sz="4" w:space="0" w:color="auto"/>
              <w:right w:val="single" w:sz="4" w:space="0" w:color="auto"/>
            </w:tcBorders>
            <w:shd w:val="clear" w:color="auto" w:fill="auto"/>
            <w:hideMark/>
          </w:tcPr>
          <w:p w14:paraId="685217EF" w14:textId="77777777" w:rsidR="009A7430" w:rsidRPr="001569FB" w:rsidRDefault="009A7430" w:rsidP="008D4E91">
            <w:pPr>
              <w:spacing w:line="240" w:lineRule="auto"/>
              <w:rPr>
                <w:sz w:val="20"/>
                <w:szCs w:val="20"/>
              </w:rPr>
            </w:pPr>
            <w:r w:rsidRPr="001569FB">
              <w:rPr>
                <w:sz w:val="20"/>
                <w:szCs w:val="20"/>
              </w:rPr>
              <w:t>Lymphoma and Other Cancers</w:t>
            </w:r>
          </w:p>
        </w:tc>
        <w:tc>
          <w:tcPr>
            <w:tcW w:w="1980" w:type="dxa"/>
            <w:tcBorders>
              <w:top w:val="nil"/>
              <w:left w:val="nil"/>
              <w:bottom w:val="single" w:sz="4" w:space="0" w:color="auto"/>
              <w:right w:val="single" w:sz="4" w:space="0" w:color="auto"/>
            </w:tcBorders>
            <w:shd w:val="clear" w:color="auto" w:fill="auto"/>
            <w:hideMark/>
          </w:tcPr>
          <w:p w14:paraId="306D213D" w14:textId="77777777" w:rsidR="009A7430" w:rsidRPr="001569FB" w:rsidRDefault="009A7430" w:rsidP="008D4E91">
            <w:pPr>
              <w:spacing w:line="240" w:lineRule="auto"/>
              <w:jc w:val="center"/>
              <w:rPr>
                <w:sz w:val="20"/>
                <w:szCs w:val="20"/>
              </w:rPr>
            </w:pPr>
            <w:r w:rsidRPr="001569FB">
              <w:rPr>
                <w:sz w:val="20"/>
                <w:szCs w:val="20"/>
              </w:rPr>
              <w:t>11, 12</w:t>
            </w:r>
          </w:p>
        </w:tc>
      </w:tr>
      <w:tr w:rsidR="009A7430" w:rsidRPr="001569FB" w14:paraId="58FF38F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9AAB91D" w14:textId="77777777" w:rsidR="009A7430" w:rsidRPr="001569FB" w:rsidRDefault="009A7430" w:rsidP="008D4E91">
            <w:pPr>
              <w:spacing w:line="240" w:lineRule="auto"/>
              <w:jc w:val="center"/>
              <w:rPr>
                <w:sz w:val="20"/>
                <w:szCs w:val="20"/>
              </w:rPr>
            </w:pPr>
            <w:r w:rsidRPr="001569FB">
              <w:rPr>
                <w:sz w:val="20"/>
                <w:szCs w:val="20"/>
              </w:rPr>
              <w:t>11</w:t>
            </w:r>
          </w:p>
        </w:tc>
        <w:tc>
          <w:tcPr>
            <w:tcW w:w="5883" w:type="dxa"/>
            <w:tcBorders>
              <w:top w:val="nil"/>
              <w:left w:val="nil"/>
              <w:bottom w:val="single" w:sz="4" w:space="0" w:color="auto"/>
              <w:right w:val="single" w:sz="4" w:space="0" w:color="auto"/>
            </w:tcBorders>
            <w:shd w:val="clear" w:color="auto" w:fill="auto"/>
            <w:hideMark/>
          </w:tcPr>
          <w:p w14:paraId="558C728A" w14:textId="77777777" w:rsidR="009A7430" w:rsidRPr="001569FB" w:rsidRDefault="009A7430" w:rsidP="008D4E91">
            <w:pPr>
              <w:spacing w:line="240" w:lineRule="auto"/>
              <w:rPr>
                <w:sz w:val="20"/>
                <w:szCs w:val="20"/>
              </w:rPr>
            </w:pPr>
            <w:r w:rsidRPr="001569FB">
              <w:rPr>
                <w:sz w:val="20"/>
                <w:szCs w:val="20"/>
              </w:rPr>
              <w:t>Colorectal, Bladder, and Other Cancers</w:t>
            </w:r>
          </w:p>
        </w:tc>
        <w:tc>
          <w:tcPr>
            <w:tcW w:w="1980" w:type="dxa"/>
            <w:tcBorders>
              <w:top w:val="nil"/>
              <w:left w:val="nil"/>
              <w:bottom w:val="single" w:sz="4" w:space="0" w:color="auto"/>
              <w:right w:val="single" w:sz="4" w:space="0" w:color="auto"/>
            </w:tcBorders>
            <w:shd w:val="clear" w:color="auto" w:fill="auto"/>
            <w:hideMark/>
          </w:tcPr>
          <w:p w14:paraId="0812EC48" w14:textId="77777777" w:rsidR="009A7430" w:rsidRPr="001569FB" w:rsidRDefault="009A7430" w:rsidP="008D4E91">
            <w:pPr>
              <w:spacing w:line="240" w:lineRule="auto"/>
              <w:jc w:val="center"/>
              <w:rPr>
                <w:sz w:val="20"/>
                <w:szCs w:val="20"/>
              </w:rPr>
            </w:pPr>
            <w:r w:rsidRPr="001569FB">
              <w:rPr>
                <w:sz w:val="20"/>
                <w:szCs w:val="20"/>
              </w:rPr>
              <w:t>12</w:t>
            </w:r>
          </w:p>
        </w:tc>
      </w:tr>
      <w:tr w:rsidR="009A7430" w:rsidRPr="001569FB" w14:paraId="727AF7B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238EEB0" w14:textId="77777777" w:rsidR="009A7430" w:rsidRPr="001569FB" w:rsidRDefault="009A7430" w:rsidP="008D4E91">
            <w:pPr>
              <w:spacing w:line="240" w:lineRule="auto"/>
              <w:jc w:val="center"/>
              <w:rPr>
                <w:sz w:val="20"/>
                <w:szCs w:val="20"/>
              </w:rPr>
            </w:pPr>
            <w:r w:rsidRPr="001569FB">
              <w:rPr>
                <w:sz w:val="20"/>
                <w:szCs w:val="20"/>
              </w:rPr>
              <w:t>17</w:t>
            </w:r>
          </w:p>
        </w:tc>
        <w:tc>
          <w:tcPr>
            <w:tcW w:w="5883" w:type="dxa"/>
            <w:tcBorders>
              <w:top w:val="nil"/>
              <w:left w:val="nil"/>
              <w:bottom w:val="single" w:sz="4" w:space="0" w:color="auto"/>
              <w:right w:val="single" w:sz="4" w:space="0" w:color="auto"/>
            </w:tcBorders>
            <w:shd w:val="clear" w:color="auto" w:fill="auto"/>
            <w:hideMark/>
          </w:tcPr>
          <w:p w14:paraId="6D29AE0D" w14:textId="77777777" w:rsidR="009A7430" w:rsidRPr="001569FB" w:rsidRDefault="009A7430" w:rsidP="008D4E91">
            <w:pPr>
              <w:spacing w:line="240" w:lineRule="auto"/>
              <w:rPr>
                <w:sz w:val="20"/>
                <w:szCs w:val="20"/>
              </w:rPr>
            </w:pPr>
            <w:r w:rsidRPr="001569FB">
              <w:rPr>
                <w:sz w:val="20"/>
                <w:szCs w:val="20"/>
              </w:rPr>
              <w:t>Diabetes with Acute Complications</w:t>
            </w:r>
          </w:p>
        </w:tc>
        <w:tc>
          <w:tcPr>
            <w:tcW w:w="1980" w:type="dxa"/>
            <w:tcBorders>
              <w:top w:val="nil"/>
              <w:left w:val="nil"/>
              <w:bottom w:val="single" w:sz="4" w:space="0" w:color="auto"/>
              <w:right w:val="single" w:sz="4" w:space="0" w:color="auto"/>
            </w:tcBorders>
            <w:shd w:val="clear" w:color="auto" w:fill="auto"/>
            <w:hideMark/>
          </w:tcPr>
          <w:p w14:paraId="730719F0" w14:textId="77777777" w:rsidR="009A7430" w:rsidRPr="001569FB" w:rsidRDefault="009A7430" w:rsidP="008D4E91">
            <w:pPr>
              <w:spacing w:line="240" w:lineRule="auto"/>
              <w:jc w:val="center"/>
              <w:rPr>
                <w:sz w:val="20"/>
                <w:szCs w:val="20"/>
              </w:rPr>
            </w:pPr>
            <w:r w:rsidRPr="001569FB">
              <w:rPr>
                <w:sz w:val="20"/>
                <w:szCs w:val="20"/>
              </w:rPr>
              <w:t>18, 19</w:t>
            </w:r>
          </w:p>
        </w:tc>
      </w:tr>
      <w:tr w:rsidR="009A7430" w:rsidRPr="001569FB" w14:paraId="0373107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27DCDC4" w14:textId="77777777" w:rsidR="009A7430" w:rsidRPr="001569FB" w:rsidRDefault="009A7430" w:rsidP="008D4E91">
            <w:pPr>
              <w:spacing w:line="240" w:lineRule="auto"/>
              <w:jc w:val="center"/>
              <w:rPr>
                <w:sz w:val="20"/>
                <w:szCs w:val="20"/>
              </w:rPr>
            </w:pPr>
            <w:r w:rsidRPr="001569FB">
              <w:rPr>
                <w:sz w:val="20"/>
                <w:szCs w:val="20"/>
              </w:rPr>
              <w:t>18</w:t>
            </w:r>
          </w:p>
        </w:tc>
        <w:tc>
          <w:tcPr>
            <w:tcW w:w="5883" w:type="dxa"/>
            <w:tcBorders>
              <w:top w:val="nil"/>
              <w:left w:val="nil"/>
              <w:bottom w:val="single" w:sz="4" w:space="0" w:color="auto"/>
              <w:right w:val="single" w:sz="4" w:space="0" w:color="auto"/>
            </w:tcBorders>
            <w:shd w:val="clear" w:color="auto" w:fill="auto"/>
            <w:hideMark/>
          </w:tcPr>
          <w:p w14:paraId="5F4BD183" w14:textId="77777777" w:rsidR="009A7430" w:rsidRPr="001569FB" w:rsidRDefault="009A7430" w:rsidP="008D4E91">
            <w:pPr>
              <w:spacing w:line="240" w:lineRule="auto"/>
              <w:rPr>
                <w:sz w:val="20"/>
                <w:szCs w:val="20"/>
              </w:rPr>
            </w:pPr>
            <w:r w:rsidRPr="001569FB">
              <w:rPr>
                <w:sz w:val="20"/>
                <w:szCs w:val="20"/>
              </w:rPr>
              <w:t>Diabetes with Chronic Complications</w:t>
            </w:r>
          </w:p>
        </w:tc>
        <w:tc>
          <w:tcPr>
            <w:tcW w:w="1980" w:type="dxa"/>
            <w:tcBorders>
              <w:top w:val="nil"/>
              <w:left w:val="nil"/>
              <w:bottom w:val="single" w:sz="4" w:space="0" w:color="auto"/>
              <w:right w:val="single" w:sz="4" w:space="0" w:color="auto"/>
            </w:tcBorders>
            <w:shd w:val="clear" w:color="auto" w:fill="auto"/>
            <w:hideMark/>
          </w:tcPr>
          <w:p w14:paraId="7AB16B6C" w14:textId="77777777" w:rsidR="009A7430" w:rsidRPr="001569FB" w:rsidRDefault="009A7430" w:rsidP="008D4E91">
            <w:pPr>
              <w:spacing w:line="240" w:lineRule="auto"/>
              <w:jc w:val="center"/>
              <w:rPr>
                <w:sz w:val="20"/>
                <w:szCs w:val="20"/>
              </w:rPr>
            </w:pPr>
            <w:r w:rsidRPr="001569FB">
              <w:rPr>
                <w:sz w:val="20"/>
                <w:szCs w:val="20"/>
              </w:rPr>
              <w:t>19</w:t>
            </w:r>
          </w:p>
        </w:tc>
      </w:tr>
      <w:tr w:rsidR="009A7430" w:rsidRPr="001569FB" w14:paraId="7BA73F3E"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04B4D04" w14:textId="77777777" w:rsidR="009A7430" w:rsidRPr="001569FB" w:rsidRDefault="009A7430" w:rsidP="008D4E91">
            <w:pPr>
              <w:spacing w:line="240" w:lineRule="auto"/>
              <w:jc w:val="center"/>
              <w:rPr>
                <w:sz w:val="20"/>
                <w:szCs w:val="20"/>
              </w:rPr>
            </w:pPr>
            <w:r w:rsidRPr="001569FB">
              <w:rPr>
                <w:sz w:val="20"/>
                <w:szCs w:val="20"/>
              </w:rPr>
              <w:t>27</w:t>
            </w:r>
          </w:p>
        </w:tc>
        <w:tc>
          <w:tcPr>
            <w:tcW w:w="5883" w:type="dxa"/>
            <w:tcBorders>
              <w:top w:val="nil"/>
              <w:left w:val="nil"/>
              <w:bottom w:val="single" w:sz="4" w:space="0" w:color="auto"/>
              <w:right w:val="single" w:sz="4" w:space="0" w:color="auto"/>
            </w:tcBorders>
            <w:shd w:val="clear" w:color="auto" w:fill="auto"/>
            <w:hideMark/>
          </w:tcPr>
          <w:p w14:paraId="13D67D9B" w14:textId="77777777" w:rsidR="009A7430" w:rsidRPr="001569FB" w:rsidRDefault="009A7430" w:rsidP="008D4E91">
            <w:pPr>
              <w:spacing w:line="240" w:lineRule="auto"/>
              <w:rPr>
                <w:sz w:val="20"/>
                <w:szCs w:val="20"/>
              </w:rPr>
            </w:pPr>
            <w:r w:rsidRPr="001569FB">
              <w:rPr>
                <w:sz w:val="20"/>
                <w:szCs w:val="20"/>
              </w:rPr>
              <w:t>End-Stage Liver Disease</w:t>
            </w:r>
          </w:p>
        </w:tc>
        <w:tc>
          <w:tcPr>
            <w:tcW w:w="1980" w:type="dxa"/>
            <w:tcBorders>
              <w:top w:val="nil"/>
              <w:left w:val="nil"/>
              <w:bottom w:val="single" w:sz="4" w:space="0" w:color="auto"/>
              <w:right w:val="single" w:sz="4" w:space="0" w:color="auto"/>
            </w:tcBorders>
            <w:shd w:val="clear" w:color="auto" w:fill="auto"/>
            <w:hideMark/>
          </w:tcPr>
          <w:p w14:paraId="269D4D32" w14:textId="77777777" w:rsidR="009A7430" w:rsidRPr="001569FB" w:rsidRDefault="009A7430" w:rsidP="008D4E91">
            <w:pPr>
              <w:spacing w:line="240" w:lineRule="auto"/>
              <w:jc w:val="center"/>
              <w:rPr>
                <w:sz w:val="20"/>
                <w:szCs w:val="20"/>
              </w:rPr>
            </w:pPr>
            <w:r w:rsidRPr="001569FB">
              <w:rPr>
                <w:sz w:val="20"/>
                <w:szCs w:val="20"/>
              </w:rPr>
              <w:t>28, 29, 80</w:t>
            </w:r>
          </w:p>
        </w:tc>
      </w:tr>
      <w:tr w:rsidR="009A7430" w:rsidRPr="001569FB" w14:paraId="6983DEF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A3223AF" w14:textId="77777777" w:rsidR="009A7430" w:rsidRPr="001569FB" w:rsidRDefault="009A7430" w:rsidP="008D4E91">
            <w:pPr>
              <w:spacing w:line="240" w:lineRule="auto"/>
              <w:jc w:val="center"/>
              <w:rPr>
                <w:sz w:val="20"/>
                <w:szCs w:val="20"/>
              </w:rPr>
            </w:pPr>
            <w:r w:rsidRPr="001569FB">
              <w:rPr>
                <w:sz w:val="20"/>
                <w:szCs w:val="20"/>
              </w:rPr>
              <w:t>28</w:t>
            </w:r>
          </w:p>
        </w:tc>
        <w:tc>
          <w:tcPr>
            <w:tcW w:w="5883" w:type="dxa"/>
            <w:tcBorders>
              <w:top w:val="nil"/>
              <w:left w:val="nil"/>
              <w:bottom w:val="single" w:sz="4" w:space="0" w:color="auto"/>
              <w:right w:val="single" w:sz="4" w:space="0" w:color="auto"/>
            </w:tcBorders>
            <w:shd w:val="clear" w:color="auto" w:fill="auto"/>
            <w:hideMark/>
          </w:tcPr>
          <w:p w14:paraId="508FDBA5" w14:textId="77777777" w:rsidR="009A7430" w:rsidRPr="001569FB" w:rsidRDefault="009A7430" w:rsidP="008D4E91">
            <w:pPr>
              <w:spacing w:line="240" w:lineRule="auto"/>
              <w:rPr>
                <w:sz w:val="20"/>
                <w:szCs w:val="20"/>
              </w:rPr>
            </w:pPr>
            <w:r w:rsidRPr="001569FB">
              <w:rPr>
                <w:sz w:val="20"/>
                <w:szCs w:val="20"/>
              </w:rPr>
              <w:t>Cirrhosis of Liver</w:t>
            </w:r>
          </w:p>
        </w:tc>
        <w:tc>
          <w:tcPr>
            <w:tcW w:w="1980" w:type="dxa"/>
            <w:tcBorders>
              <w:top w:val="nil"/>
              <w:left w:val="nil"/>
              <w:bottom w:val="single" w:sz="4" w:space="0" w:color="auto"/>
              <w:right w:val="single" w:sz="4" w:space="0" w:color="auto"/>
            </w:tcBorders>
            <w:shd w:val="clear" w:color="auto" w:fill="auto"/>
            <w:hideMark/>
          </w:tcPr>
          <w:p w14:paraId="39EA386F" w14:textId="77777777" w:rsidR="009A7430" w:rsidRPr="001569FB" w:rsidRDefault="009A7430" w:rsidP="008D4E91">
            <w:pPr>
              <w:spacing w:line="240" w:lineRule="auto"/>
              <w:jc w:val="center"/>
              <w:rPr>
                <w:sz w:val="20"/>
                <w:szCs w:val="20"/>
              </w:rPr>
            </w:pPr>
            <w:r w:rsidRPr="001569FB">
              <w:rPr>
                <w:sz w:val="20"/>
                <w:szCs w:val="20"/>
              </w:rPr>
              <w:t>29</w:t>
            </w:r>
          </w:p>
        </w:tc>
      </w:tr>
      <w:tr w:rsidR="009A7430" w:rsidRPr="001569FB" w14:paraId="140AA72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0D0E50" w14:textId="77777777" w:rsidR="009A7430" w:rsidRPr="001569FB" w:rsidRDefault="009A7430" w:rsidP="008D4E91">
            <w:pPr>
              <w:spacing w:line="240" w:lineRule="auto"/>
              <w:jc w:val="center"/>
              <w:rPr>
                <w:sz w:val="20"/>
                <w:szCs w:val="20"/>
              </w:rPr>
            </w:pPr>
            <w:r w:rsidRPr="001569FB">
              <w:rPr>
                <w:sz w:val="20"/>
                <w:szCs w:val="20"/>
              </w:rPr>
              <w:t>46</w:t>
            </w:r>
          </w:p>
        </w:tc>
        <w:tc>
          <w:tcPr>
            <w:tcW w:w="5883" w:type="dxa"/>
            <w:tcBorders>
              <w:top w:val="nil"/>
              <w:left w:val="nil"/>
              <w:bottom w:val="single" w:sz="4" w:space="0" w:color="auto"/>
              <w:right w:val="single" w:sz="4" w:space="0" w:color="auto"/>
            </w:tcBorders>
            <w:shd w:val="clear" w:color="auto" w:fill="auto"/>
            <w:hideMark/>
          </w:tcPr>
          <w:p w14:paraId="26EAB41C" w14:textId="77777777" w:rsidR="009A7430" w:rsidRPr="001569FB" w:rsidRDefault="009A7430" w:rsidP="008D4E91">
            <w:pPr>
              <w:spacing w:line="240" w:lineRule="auto"/>
              <w:rPr>
                <w:sz w:val="20"/>
                <w:szCs w:val="20"/>
              </w:rPr>
            </w:pPr>
            <w:r w:rsidRPr="001569FB">
              <w:rPr>
                <w:sz w:val="20"/>
                <w:szCs w:val="20"/>
              </w:rPr>
              <w:t>Severe Hematological Disorders</w:t>
            </w:r>
          </w:p>
        </w:tc>
        <w:tc>
          <w:tcPr>
            <w:tcW w:w="1980" w:type="dxa"/>
            <w:tcBorders>
              <w:top w:val="nil"/>
              <w:left w:val="nil"/>
              <w:bottom w:val="single" w:sz="4" w:space="0" w:color="auto"/>
              <w:right w:val="single" w:sz="4" w:space="0" w:color="auto"/>
            </w:tcBorders>
            <w:shd w:val="clear" w:color="auto" w:fill="auto"/>
            <w:hideMark/>
          </w:tcPr>
          <w:p w14:paraId="150C4DA0" w14:textId="77777777" w:rsidR="009A7430" w:rsidRPr="001569FB" w:rsidRDefault="009A7430" w:rsidP="008D4E91">
            <w:pPr>
              <w:spacing w:line="240" w:lineRule="auto"/>
              <w:jc w:val="center"/>
              <w:rPr>
                <w:sz w:val="20"/>
                <w:szCs w:val="20"/>
              </w:rPr>
            </w:pPr>
            <w:r w:rsidRPr="001569FB">
              <w:rPr>
                <w:sz w:val="20"/>
                <w:szCs w:val="20"/>
              </w:rPr>
              <w:t>48</w:t>
            </w:r>
          </w:p>
        </w:tc>
      </w:tr>
      <w:tr w:rsidR="009A7430" w:rsidRPr="001569FB" w14:paraId="04B42C0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7BA52B5" w14:textId="77777777" w:rsidR="009A7430" w:rsidRPr="001569FB" w:rsidRDefault="009A7430" w:rsidP="008D4E91">
            <w:pPr>
              <w:spacing w:line="240" w:lineRule="auto"/>
              <w:jc w:val="center"/>
              <w:rPr>
                <w:sz w:val="20"/>
                <w:szCs w:val="20"/>
              </w:rPr>
            </w:pPr>
            <w:r w:rsidRPr="001569FB">
              <w:rPr>
                <w:sz w:val="20"/>
                <w:szCs w:val="20"/>
              </w:rPr>
              <w:t>51</w:t>
            </w:r>
          </w:p>
        </w:tc>
        <w:tc>
          <w:tcPr>
            <w:tcW w:w="5883" w:type="dxa"/>
            <w:tcBorders>
              <w:top w:val="nil"/>
              <w:left w:val="nil"/>
              <w:bottom w:val="single" w:sz="4" w:space="0" w:color="auto"/>
              <w:right w:val="single" w:sz="4" w:space="0" w:color="auto"/>
            </w:tcBorders>
            <w:shd w:val="clear" w:color="auto" w:fill="auto"/>
            <w:hideMark/>
          </w:tcPr>
          <w:p w14:paraId="4203F306" w14:textId="77777777" w:rsidR="009A7430" w:rsidRPr="001569FB" w:rsidRDefault="009A7430" w:rsidP="008D4E91">
            <w:pPr>
              <w:spacing w:line="240" w:lineRule="auto"/>
              <w:rPr>
                <w:sz w:val="20"/>
                <w:szCs w:val="20"/>
              </w:rPr>
            </w:pPr>
            <w:r w:rsidRPr="001569FB">
              <w:rPr>
                <w:sz w:val="20"/>
                <w:szCs w:val="20"/>
              </w:rPr>
              <w:t>Dementia With Complications</w:t>
            </w:r>
          </w:p>
        </w:tc>
        <w:tc>
          <w:tcPr>
            <w:tcW w:w="1980" w:type="dxa"/>
            <w:tcBorders>
              <w:top w:val="nil"/>
              <w:left w:val="nil"/>
              <w:bottom w:val="single" w:sz="4" w:space="0" w:color="auto"/>
              <w:right w:val="single" w:sz="4" w:space="0" w:color="auto"/>
            </w:tcBorders>
            <w:shd w:val="clear" w:color="auto" w:fill="auto"/>
            <w:hideMark/>
          </w:tcPr>
          <w:p w14:paraId="2C8EFE07" w14:textId="77777777" w:rsidR="009A7430" w:rsidRPr="001569FB" w:rsidRDefault="009A7430" w:rsidP="008D4E91">
            <w:pPr>
              <w:spacing w:line="240" w:lineRule="auto"/>
              <w:jc w:val="center"/>
              <w:rPr>
                <w:sz w:val="20"/>
                <w:szCs w:val="20"/>
              </w:rPr>
            </w:pPr>
            <w:r w:rsidRPr="001569FB">
              <w:rPr>
                <w:sz w:val="20"/>
                <w:szCs w:val="20"/>
              </w:rPr>
              <w:t>52</w:t>
            </w:r>
          </w:p>
        </w:tc>
      </w:tr>
      <w:tr w:rsidR="009A7430" w:rsidRPr="001569FB" w14:paraId="4163C3F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F091DEC" w14:textId="77777777" w:rsidR="009A7430" w:rsidRPr="001569FB" w:rsidRDefault="009A7430" w:rsidP="008D4E91">
            <w:pPr>
              <w:spacing w:line="240" w:lineRule="auto"/>
              <w:jc w:val="center"/>
              <w:rPr>
                <w:sz w:val="20"/>
                <w:szCs w:val="20"/>
              </w:rPr>
            </w:pPr>
            <w:r w:rsidRPr="001569FB">
              <w:rPr>
                <w:sz w:val="20"/>
                <w:szCs w:val="20"/>
              </w:rPr>
              <w:t>54</w:t>
            </w:r>
          </w:p>
        </w:tc>
        <w:tc>
          <w:tcPr>
            <w:tcW w:w="5883" w:type="dxa"/>
            <w:tcBorders>
              <w:top w:val="nil"/>
              <w:left w:val="nil"/>
              <w:bottom w:val="single" w:sz="4" w:space="0" w:color="auto"/>
              <w:right w:val="single" w:sz="4" w:space="0" w:color="auto"/>
            </w:tcBorders>
            <w:shd w:val="clear" w:color="auto" w:fill="auto"/>
            <w:hideMark/>
          </w:tcPr>
          <w:p w14:paraId="6BCDAE5D" w14:textId="77777777" w:rsidR="009A7430" w:rsidRPr="001569FB" w:rsidRDefault="009A7430" w:rsidP="008D4E91">
            <w:pPr>
              <w:spacing w:line="240" w:lineRule="auto"/>
              <w:rPr>
                <w:sz w:val="20"/>
                <w:szCs w:val="20"/>
              </w:rPr>
            </w:pPr>
            <w:r w:rsidRPr="001569FB">
              <w:rPr>
                <w:sz w:val="20"/>
                <w:szCs w:val="20"/>
              </w:rPr>
              <w:t>Drug/Alcohol Psychosis</w:t>
            </w:r>
          </w:p>
        </w:tc>
        <w:tc>
          <w:tcPr>
            <w:tcW w:w="1980" w:type="dxa"/>
            <w:tcBorders>
              <w:top w:val="nil"/>
              <w:left w:val="nil"/>
              <w:bottom w:val="single" w:sz="4" w:space="0" w:color="auto"/>
              <w:right w:val="single" w:sz="4" w:space="0" w:color="auto"/>
            </w:tcBorders>
            <w:shd w:val="clear" w:color="auto" w:fill="auto"/>
            <w:hideMark/>
          </w:tcPr>
          <w:p w14:paraId="4CA71880" w14:textId="77777777" w:rsidR="009A7430" w:rsidRPr="001569FB" w:rsidRDefault="009A7430" w:rsidP="008D4E91">
            <w:pPr>
              <w:spacing w:line="240" w:lineRule="auto"/>
              <w:jc w:val="center"/>
              <w:rPr>
                <w:sz w:val="20"/>
                <w:szCs w:val="20"/>
              </w:rPr>
            </w:pPr>
            <w:r w:rsidRPr="001569FB">
              <w:rPr>
                <w:sz w:val="20"/>
                <w:szCs w:val="20"/>
              </w:rPr>
              <w:t>55</w:t>
            </w:r>
          </w:p>
        </w:tc>
      </w:tr>
      <w:tr w:rsidR="009A7430" w:rsidRPr="001569FB" w14:paraId="41AFB8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B609512" w14:textId="77777777" w:rsidR="009A7430" w:rsidRPr="001569FB" w:rsidRDefault="009A7430" w:rsidP="008D4E91">
            <w:pPr>
              <w:spacing w:line="240" w:lineRule="auto"/>
              <w:jc w:val="center"/>
              <w:rPr>
                <w:sz w:val="20"/>
                <w:szCs w:val="20"/>
              </w:rPr>
            </w:pPr>
            <w:r w:rsidRPr="001569FB">
              <w:rPr>
                <w:sz w:val="20"/>
                <w:szCs w:val="20"/>
              </w:rPr>
              <w:t>57</w:t>
            </w:r>
          </w:p>
        </w:tc>
        <w:tc>
          <w:tcPr>
            <w:tcW w:w="5883" w:type="dxa"/>
            <w:tcBorders>
              <w:top w:val="nil"/>
              <w:left w:val="nil"/>
              <w:bottom w:val="single" w:sz="4" w:space="0" w:color="auto"/>
              <w:right w:val="single" w:sz="4" w:space="0" w:color="auto"/>
            </w:tcBorders>
            <w:shd w:val="clear" w:color="auto" w:fill="auto"/>
            <w:hideMark/>
          </w:tcPr>
          <w:p w14:paraId="3343A6EF" w14:textId="77777777" w:rsidR="009A7430" w:rsidRPr="001569FB" w:rsidRDefault="009A7430" w:rsidP="008D4E91">
            <w:pPr>
              <w:spacing w:line="240" w:lineRule="auto"/>
              <w:rPr>
                <w:sz w:val="20"/>
                <w:szCs w:val="20"/>
              </w:rPr>
            </w:pPr>
            <w:r w:rsidRPr="001569FB">
              <w:rPr>
                <w:sz w:val="20"/>
                <w:szCs w:val="20"/>
              </w:rPr>
              <w:t>Schizophrenia</w:t>
            </w:r>
          </w:p>
        </w:tc>
        <w:tc>
          <w:tcPr>
            <w:tcW w:w="1980" w:type="dxa"/>
            <w:tcBorders>
              <w:top w:val="nil"/>
              <w:left w:val="nil"/>
              <w:bottom w:val="single" w:sz="4" w:space="0" w:color="auto"/>
              <w:right w:val="single" w:sz="4" w:space="0" w:color="auto"/>
            </w:tcBorders>
            <w:shd w:val="clear" w:color="auto" w:fill="auto"/>
            <w:hideMark/>
          </w:tcPr>
          <w:p w14:paraId="4567FF08" w14:textId="77777777" w:rsidR="009A7430" w:rsidRPr="001569FB" w:rsidRDefault="009A7430" w:rsidP="008D4E91">
            <w:pPr>
              <w:spacing w:line="240" w:lineRule="auto"/>
              <w:jc w:val="center"/>
              <w:rPr>
                <w:sz w:val="20"/>
                <w:szCs w:val="20"/>
              </w:rPr>
            </w:pPr>
            <w:r w:rsidRPr="001569FB">
              <w:rPr>
                <w:sz w:val="20"/>
                <w:szCs w:val="20"/>
              </w:rPr>
              <w:t>58</w:t>
            </w:r>
          </w:p>
        </w:tc>
      </w:tr>
      <w:tr w:rsidR="009A7430" w:rsidRPr="001569FB" w14:paraId="30BA39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D43750F" w14:textId="77777777" w:rsidR="009A7430" w:rsidRPr="001569FB" w:rsidRDefault="009A7430" w:rsidP="008D4E91">
            <w:pPr>
              <w:spacing w:line="240" w:lineRule="auto"/>
              <w:jc w:val="center"/>
              <w:rPr>
                <w:sz w:val="20"/>
                <w:szCs w:val="20"/>
              </w:rPr>
            </w:pPr>
            <w:r w:rsidRPr="001569FB">
              <w:rPr>
                <w:sz w:val="20"/>
                <w:szCs w:val="20"/>
              </w:rPr>
              <w:t>70</w:t>
            </w:r>
          </w:p>
        </w:tc>
        <w:tc>
          <w:tcPr>
            <w:tcW w:w="5883" w:type="dxa"/>
            <w:tcBorders>
              <w:top w:val="nil"/>
              <w:left w:val="nil"/>
              <w:bottom w:val="single" w:sz="4" w:space="0" w:color="auto"/>
              <w:right w:val="single" w:sz="4" w:space="0" w:color="auto"/>
            </w:tcBorders>
            <w:shd w:val="clear" w:color="auto" w:fill="auto"/>
            <w:hideMark/>
          </w:tcPr>
          <w:p w14:paraId="6FEE8827" w14:textId="77777777" w:rsidR="009A7430" w:rsidRPr="001569FB" w:rsidRDefault="009A7430" w:rsidP="008D4E91">
            <w:pPr>
              <w:spacing w:line="240" w:lineRule="auto"/>
              <w:rPr>
                <w:sz w:val="20"/>
                <w:szCs w:val="20"/>
              </w:rPr>
            </w:pPr>
            <w:r w:rsidRPr="001569FB">
              <w:rPr>
                <w:sz w:val="20"/>
                <w:szCs w:val="20"/>
              </w:rPr>
              <w:t>Quadriplegia</w:t>
            </w:r>
          </w:p>
        </w:tc>
        <w:tc>
          <w:tcPr>
            <w:tcW w:w="1980" w:type="dxa"/>
            <w:tcBorders>
              <w:top w:val="nil"/>
              <w:left w:val="nil"/>
              <w:bottom w:val="single" w:sz="4" w:space="0" w:color="auto"/>
              <w:right w:val="single" w:sz="4" w:space="0" w:color="auto"/>
            </w:tcBorders>
            <w:shd w:val="clear" w:color="auto" w:fill="auto"/>
            <w:hideMark/>
          </w:tcPr>
          <w:p w14:paraId="2CEA39DA" w14:textId="77777777" w:rsidR="009A7430" w:rsidRPr="001569FB" w:rsidRDefault="009A7430" w:rsidP="008D4E91">
            <w:pPr>
              <w:spacing w:line="240" w:lineRule="auto"/>
              <w:jc w:val="center"/>
              <w:rPr>
                <w:sz w:val="20"/>
                <w:szCs w:val="20"/>
              </w:rPr>
            </w:pPr>
            <w:r w:rsidRPr="001569FB">
              <w:rPr>
                <w:sz w:val="20"/>
                <w:szCs w:val="20"/>
              </w:rPr>
              <w:t>71, 72, 103, 104, 169</w:t>
            </w:r>
          </w:p>
        </w:tc>
      </w:tr>
      <w:tr w:rsidR="009A7430" w:rsidRPr="001569FB" w14:paraId="3E5373F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33A3DF9" w14:textId="77777777" w:rsidR="009A7430" w:rsidRPr="001569FB" w:rsidRDefault="009A7430" w:rsidP="008D4E91">
            <w:pPr>
              <w:spacing w:line="240" w:lineRule="auto"/>
              <w:jc w:val="center"/>
              <w:rPr>
                <w:sz w:val="20"/>
                <w:szCs w:val="20"/>
              </w:rPr>
            </w:pPr>
            <w:r w:rsidRPr="001569FB">
              <w:rPr>
                <w:sz w:val="20"/>
                <w:szCs w:val="20"/>
              </w:rPr>
              <w:t>71</w:t>
            </w:r>
          </w:p>
        </w:tc>
        <w:tc>
          <w:tcPr>
            <w:tcW w:w="5883" w:type="dxa"/>
            <w:tcBorders>
              <w:top w:val="nil"/>
              <w:left w:val="nil"/>
              <w:bottom w:val="single" w:sz="4" w:space="0" w:color="auto"/>
              <w:right w:val="single" w:sz="4" w:space="0" w:color="auto"/>
            </w:tcBorders>
            <w:shd w:val="clear" w:color="auto" w:fill="auto"/>
            <w:hideMark/>
          </w:tcPr>
          <w:p w14:paraId="1C6873D1" w14:textId="77777777" w:rsidR="009A7430" w:rsidRPr="001569FB" w:rsidRDefault="009A7430" w:rsidP="008D4E91">
            <w:pPr>
              <w:spacing w:line="240" w:lineRule="auto"/>
              <w:rPr>
                <w:sz w:val="20"/>
                <w:szCs w:val="20"/>
              </w:rPr>
            </w:pPr>
            <w:r w:rsidRPr="001569FB">
              <w:rPr>
                <w:sz w:val="20"/>
                <w:szCs w:val="20"/>
              </w:rPr>
              <w:t>Paraplegia</w:t>
            </w:r>
          </w:p>
        </w:tc>
        <w:tc>
          <w:tcPr>
            <w:tcW w:w="1980" w:type="dxa"/>
            <w:tcBorders>
              <w:top w:val="nil"/>
              <w:left w:val="nil"/>
              <w:bottom w:val="single" w:sz="4" w:space="0" w:color="auto"/>
              <w:right w:val="single" w:sz="4" w:space="0" w:color="auto"/>
            </w:tcBorders>
            <w:shd w:val="clear" w:color="auto" w:fill="auto"/>
            <w:hideMark/>
          </w:tcPr>
          <w:p w14:paraId="6E2FE43A" w14:textId="77777777" w:rsidR="009A7430" w:rsidRPr="001569FB" w:rsidRDefault="009A7430" w:rsidP="008D4E91">
            <w:pPr>
              <w:spacing w:line="240" w:lineRule="auto"/>
              <w:jc w:val="center"/>
              <w:rPr>
                <w:sz w:val="20"/>
                <w:szCs w:val="20"/>
              </w:rPr>
            </w:pPr>
            <w:r w:rsidRPr="001569FB">
              <w:rPr>
                <w:sz w:val="20"/>
                <w:szCs w:val="20"/>
              </w:rPr>
              <w:t>72, 104, 169</w:t>
            </w:r>
          </w:p>
        </w:tc>
      </w:tr>
      <w:tr w:rsidR="009A7430" w:rsidRPr="001569FB" w14:paraId="7DC0F09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2949DFA" w14:textId="77777777" w:rsidR="009A7430" w:rsidRPr="001569FB" w:rsidRDefault="009A7430" w:rsidP="008D4E91">
            <w:pPr>
              <w:spacing w:line="240" w:lineRule="auto"/>
              <w:jc w:val="center"/>
              <w:rPr>
                <w:sz w:val="20"/>
                <w:szCs w:val="20"/>
              </w:rPr>
            </w:pPr>
            <w:r w:rsidRPr="001569FB">
              <w:rPr>
                <w:sz w:val="20"/>
                <w:szCs w:val="20"/>
              </w:rPr>
              <w:t>72</w:t>
            </w:r>
          </w:p>
        </w:tc>
        <w:tc>
          <w:tcPr>
            <w:tcW w:w="5883" w:type="dxa"/>
            <w:tcBorders>
              <w:top w:val="nil"/>
              <w:left w:val="nil"/>
              <w:bottom w:val="single" w:sz="4" w:space="0" w:color="auto"/>
              <w:right w:val="single" w:sz="4" w:space="0" w:color="auto"/>
            </w:tcBorders>
            <w:shd w:val="clear" w:color="auto" w:fill="auto"/>
            <w:hideMark/>
          </w:tcPr>
          <w:p w14:paraId="3A7D5218" w14:textId="77777777" w:rsidR="009A7430" w:rsidRPr="001569FB" w:rsidRDefault="009A7430" w:rsidP="008D4E91">
            <w:pPr>
              <w:spacing w:line="240" w:lineRule="auto"/>
              <w:rPr>
                <w:sz w:val="20"/>
                <w:szCs w:val="20"/>
              </w:rPr>
            </w:pPr>
            <w:r w:rsidRPr="001569FB">
              <w:rPr>
                <w:sz w:val="20"/>
                <w:szCs w:val="20"/>
              </w:rPr>
              <w:t>Spinal Cord Disorders/Injuries</w:t>
            </w:r>
          </w:p>
        </w:tc>
        <w:tc>
          <w:tcPr>
            <w:tcW w:w="1980" w:type="dxa"/>
            <w:tcBorders>
              <w:top w:val="nil"/>
              <w:left w:val="nil"/>
              <w:bottom w:val="single" w:sz="4" w:space="0" w:color="auto"/>
              <w:right w:val="single" w:sz="4" w:space="0" w:color="auto"/>
            </w:tcBorders>
            <w:shd w:val="clear" w:color="auto" w:fill="auto"/>
            <w:hideMark/>
          </w:tcPr>
          <w:p w14:paraId="74C32720" w14:textId="77777777" w:rsidR="009A7430" w:rsidRPr="001569FB" w:rsidRDefault="009A7430" w:rsidP="008D4E91">
            <w:pPr>
              <w:spacing w:line="240" w:lineRule="auto"/>
              <w:jc w:val="center"/>
              <w:rPr>
                <w:sz w:val="20"/>
                <w:szCs w:val="20"/>
              </w:rPr>
            </w:pPr>
            <w:r w:rsidRPr="001569FB">
              <w:rPr>
                <w:sz w:val="20"/>
                <w:szCs w:val="20"/>
              </w:rPr>
              <w:t>169</w:t>
            </w:r>
          </w:p>
        </w:tc>
      </w:tr>
      <w:tr w:rsidR="009A7430" w:rsidRPr="001569FB" w14:paraId="5AD093E9"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DDB5F6B" w14:textId="77777777" w:rsidR="009A7430" w:rsidRPr="001569FB" w:rsidRDefault="009A7430" w:rsidP="008D4E91">
            <w:pPr>
              <w:spacing w:line="240" w:lineRule="auto"/>
              <w:jc w:val="center"/>
              <w:rPr>
                <w:sz w:val="20"/>
                <w:szCs w:val="20"/>
              </w:rPr>
            </w:pPr>
            <w:r w:rsidRPr="001569FB">
              <w:rPr>
                <w:sz w:val="20"/>
                <w:szCs w:val="20"/>
              </w:rPr>
              <w:t>82</w:t>
            </w:r>
          </w:p>
        </w:tc>
        <w:tc>
          <w:tcPr>
            <w:tcW w:w="5883" w:type="dxa"/>
            <w:tcBorders>
              <w:top w:val="nil"/>
              <w:left w:val="nil"/>
              <w:bottom w:val="single" w:sz="4" w:space="0" w:color="auto"/>
              <w:right w:val="single" w:sz="4" w:space="0" w:color="auto"/>
            </w:tcBorders>
            <w:shd w:val="clear" w:color="auto" w:fill="auto"/>
            <w:hideMark/>
          </w:tcPr>
          <w:p w14:paraId="13E8887B" w14:textId="77777777" w:rsidR="009A7430" w:rsidRPr="001569FB" w:rsidRDefault="009A7430" w:rsidP="008D4E91">
            <w:pPr>
              <w:spacing w:line="240" w:lineRule="auto"/>
              <w:rPr>
                <w:sz w:val="20"/>
                <w:szCs w:val="20"/>
              </w:rPr>
            </w:pPr>
            <w:r w:rsidRPr="001569FB">
              <w:rPr>
                <w:sz w:val="20"/>
                <w:szCs w:val="20"/>
              </w:rPr>
              <w:t>Respirator Dependence/Tracheostomy Status</w:t>
            </w:r>
          </w:p>
        </w:tc>
        <w:tc>
          <w:tcPr>
            <w:tcW w:w="1980" w:type="dxa"/>
            <w:tcBorders>
              <w:top w:val="nil"/>
              <w:left w:val="nil"/>
              <w:bottom w:val="single" w:sz="4" w:space="0" w:color="auto"/>
              <w:right w:val="single" w:sz="4" w:space="0" w:color="auto"/>
            </w:tcBorders>
            <w:shd w:val="clear" w:color="auto" w:fill="auto"/>
            <w:hideMark/>
          </w:tcPr>
          <w:p w14:paraId="5AC88CDB" w14:textId="77777777" w:rsidR="009A7430" w:rsidRPr="001569FB" w:rsidRDefault="009A7430" w:rsidP="008D4E91">
            <w:pPr>
              <w:spacing w:line="240" w:lineRule="auto"/>
              <w:jc w:val="center"/>
              <w:rPr>
                <w:sz w:val="20"/>
                <w:szCs w:val="20"/>
              </w:rPr>
            </w:pPr>
            <w:r w:rsidRPr="001569FB">
              <w:rPr>
                <w:sz w:val="20"/>
                <w:szCs w:val="20"/>
              </w:rPr>
              <w:t>83, 84</w:t>
            </w:r>
          </w:p>
        </w:tc>
      </w:tr>
      <w:tr w:rsidR="009A7430" w:rsidRPr="001569FB" w14:paraId="2DB9619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EC73022" w14:textId="77777777" w:rsidR="009A7430" w:rsidRPr="001569FB" w:rsidRDefault="009A7430" w:rsidP="008D4E91">
            <w:pPr>
              <w:spacing w:line="240" w:lineRule="auto"/>
              <w:jc w:val="center"/>
              <w:rPr>
                <w:sz w:val="20"/>
                <w:szCs w:val="20"/>
              </w:rPr>
            </w:pPr>
            <w:r w:rsidRPr="001569FB">
              <w:rPr>
                <w:sz w:val="20"/>
                <w:szCs w:val="20"/>
              </w:rPr>
              <w:t>83</w:t>
            </w:r>
          </w:p>
        </w:tc>
        <w:tc>
          <w:tcPr>
            <w:tcW w:w="5883" w:type="dxa"/>
            <w:tcBorders>
              <w:top w:val="nil"/>
              <w:left w:val="nil"/>
              <w:bottom w:val="single" w:sz="4" w:space="0" w:color="auto"/>
              <w:right w:val="single" w:sz="4" w:space="0" w:color="auto"/>
            </w:tcBorders>
            <w:shd w:val="clear" w:color="auto" w:fill="auto"/>
            <w:hideMark/>
          </w:tcPr>
          <w:p w14:paraId="0A8E3DB4" w14:textId="77777777" w:rsidR="009A7430" w:rsidRPr="001569FB" w:rsidRDefault="009A7430" w:rsidP="008D4E91">
            <w:pPr>
              <w:spacing w:line="240" w:lineRule="auto"/>
              <w:rPr>
                <w:sz w:val="20"/>
                <w:szCs w:val="20"/>
              </w:rPr>
            </w:pPr>
            <w:r w:rsidRPr="001569FB">
              <w:rPr>
                <w:sz w:val="20"/>
                <w:szCs w:val="20"/>
              </w:rPr>
              <w:t>Respiratory Arrest</w:t>
            </w:r>
          </w:p>
        </w:tc>
        <w:tc>
          <w:tcPr>
            <w:tcW w:w="1980" w:type="dxa"/>
            <w:tcBorders>
              <w:top w:val="nil"/>
              <w:left w:val="nil"/>
              <w:bottom w:val="single" w:sz="4" w:space="0" w:color="auto"/>
              <w:right w:val="single" w:sz="4" w:space="0" w:color="auto"/>
            </w:tcBorders>
            <w:shd w:val="clear" w:color="auto" w:fill="auto"/>
            <w:hideMark/>
          </w:tcPr>
          <w:p w14:paraId="0DE1E275" w14:textId="77777777" w:rsidR="009A7430" w:rsidRPr="001569FB" w:rsidRDefault="009A7430" w:rsidP="008D4E91">
            <w:pPr>
              <w:spacing w:line="240" w:lineRule="auto"/>
              <w:jc w:val="center"/>
              <w:rPr>
                <w:sz w:val="20"/>
                <w:szCs w:val="20"/>
              </w:rPr>
            </w:pPr>
            <w:r w:rsidRPr="001569FB">
              <w:rPr>
                <w:sz w:val="20"/>
                <w:szCs w:val="20"/>
              </w:rPr>
              <w:t>84</w:t>
            </w:r>
          </w:p>
        </w:tc>
      </w:tr>
      <w:tr w:rsidR="009A7430" w:rsidRPr="001569FB" w14:paraId="4E7DE3CF"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3BE1DBCF" w14:textId="77777777" w:rsidR="009A7430" w:rsidRPr="001569FB" w:rsidRDefault="009A7430" w:rsidP="008D4E91">
            <w:pPr>
              <w:spacing w:line="240" w:lineRule="auto"/>
              <w:jc w:val="center"/>
              <w:rPr>
                <w:sz w:val="20"/>
                <w:szCs w:val="20"/>
              </w:rPr>
            </w:pPr>
            <w:r w:rsidRPr="001569FB">
              <w:rPr>
                <w:sz w:val="20"/>
                <w:szCs w:val="20"/>
              </w:rPr>
              <w:t>86</w:t>
            </w:r>
          </w:p>
        </w:tc>
        <w:tc>
          <w:tcPr>
            <w:tcW w:w="5883" w:type="dxa"/>
            <w:tcBorders>
              <w:top w:val="nil"/>
              <w:left w:val="nil"/>
              <w:bottom w:val="single" w:sz="4" w:space="0" w:color="auto"/>
              <w:right w:val="single" w:sz="4" w:space="0" w:color="auto"/>
            </w:tcBorders>
            <w:shd w:val="clear" w:color="auto" w:fill="auto"/>
            <w:hideMark/>
          </w:tcPr>
          <w:p w14:paraId="62BA7B00" w14:textId="77777777" w:rsidR="009A7430" w:rsidRPr="001569FB" w:rsidRDefault="009A7430" w:rsidP="008D4E91">
            <w:pPr>
              <w:spacing w:line="240" w:lineRule="auto"/>
              <w:rPr>
                <w:sz w:val="20"/>
                <w:szCs w:val="20"/>
              </w:rPr>
            </w:pPr>
            <w:r w:rsidRPr="001569FB">
              <w:rPr>
                <w:sz w:val="20"/>
                <w:szCs w:val="20"/>
              </w:rPr>
              <w:t>Acute Myocardial Infarction</w:t>
            </w:r>
          </w:p>
        </w:tc>
        <w:tc>
          <w:tcPr>
            <w:tcW w:w="1980" w:type="dxa"/>
            <w:tcBorders>
              <w:top w:val="nil"/>
              <w:left w:val="nil"/>
              <w:bottom w:val="single" w:sz="4" w:space="0" w:color="auto"/>
              <w:right w:val="single" w:sz="4" w:space="0" w:color="auto"/>
            </w:tcBorders>
            <w:shd w:val="clear" w:color="auto" w:fill="auto"/>
            <w:hideMark/>
          </w:tcPr>
          <w:p w14:paraId="270D90EF" w14:textId="77777777" w:rsidR="009A7430" w:rsidRPr="001569FB" w:rsidRDefault="009A7430" w:rsidP="008D4E91">
            <w:pPr>
              <w:spacing w:line="240" w:lineRule="auto"/>
              <w:jc w:val="center"/>
              <w:rPr>
                <w:sz w:val="20"/>
                <w:szCs w:val="20"/>
              </w:rPr>
            </w:pPr>
            <w:r w:rsidRPr="001569FB">
              <w:rPr>
                <w:sz w:val="20"/>
                <w:szCs w:val="20"/>
              </w:rPr>
              <w:t>87, 88</w:t>
            </w:r>
          </w:p>
        </w:tc>
      </w:tr>
      <w:tr w:rsidR="009A7430" w:rsidRPr="001569FB" w14:paraId="19A7C205"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4E9964E0" w14:textId="77777777" w:rsidR="009A7430" w:rsidRPr="001569FB" w:rsidRDefault="009A7430" w:rsidP="008D4E91">
            <w:pPr>
              <w:spacing w:line="240" w:lineRule="auto"/>
              <w:jc w:val="center"/>
              <w:rPr>
                <w:sz w:val="20"/>
                <w:szCs w:val="20"/>
              </w:rPr>
            </w:pPr>
            <w:r w:rsidRPr="001569FB">
              <w:rPr>
                <w:sz w:val="20"/>
                <w:szCs w:val="20"/>
              </w:rPr>
              <w:t>87</w:t>
            </w:r>
          </w:p>
        </w:tc>
        <w:tc>
          <w:tcPr>
            <w:tcW w:w="5883" w:type="dxa"/>
            <w:tcBorders>
              <w:top w:val="nil"/>
              <w:left w:val="nil"/>
              <w:bottom w:val="single" w:sz="4" w:space="0" w:color="auto"/>
              <w:right w:val="single" w:sz="4" w:space="0" w:color="auto"/>
            </w:tcBorders>
            <w:shd w:val="clear" w:color="auto" w:fill="auto"/>
            <w:hideMark/>
          </w:tcPr>
          <w:p w14:paraId="6DBFB5B2" w14:textId="77777777" w:rsidR="009A7430" w:rsidRPr="001569FB" w:rsidRDefault="009A7430" w:rsidP="008D4E91">
            <w:pPr>
              <w:spacing w:line="240" w:lineRule="auto"/>
              <w:rPr>
                <w:sz w:val="20"/>
                <w:szCs w:val="20"/>
              </w:rPr>
            </w:pPr>
            <w:r w:rsidRPr="001569FB">
              <w:rPr>
                <w:sz w:val="20"/>
                <w:szCs w:val="20"/>
              </w:rPr>
              <w:t>Unstable Angina and Other Acute Ischemic Heart Disease</w:t>
            </w:r>
          </w:p>
        </w:tc>
        <w:tc>
          <w:tcPr>
            <w:tcW w:w="1980" w:type="dxa"/>
            <w:tcBorders>
              <w:top w:val="nil"/>
              <w:left w:val="nil"/>
              <w:bottom w:val="single" w:sz="4" w:space="0" w:color="auto"/>
              <w:right w:val="single" w:sz="4" w:space="0" w:color="auto"/>
            </w:tcBorders>
            <w:shd w:val="clear" w:color="auto" w:fill="auto"/>
            <w:hideMark/>
          </w:tcPr>
          <w:p w14:paraId="6EAA6313" w14:textId="77777777" w:rsidR="009A7430" w:rsidRPr="001569FB" w:rsidRDefault="009A7430" w:rsidP="008D4E91">
            <w:pPr>
              <w:spacing w:line="240" w:lineRule="auto"/>
              <w:jc w:val="center"/>
              <w:rPr>
                <w:sz w:val="20"/>
                <w:szCs w:val="20"/>
              </w:rPr>
            </w:pPr>
            <w:r w:rsidRPr="001569FB">
              <w:rPr>
                <w:sz w:val="20"/>
                <w:szCs w:val="20"/>
              </w:rPr>
              <w:t>88</w:t>
            </w:r>
          </w:p>
        </w:tc>
      </w:tr>
      <w:tr w:rsidR="009A7430" w:rsidRPr="001569FB" w14:paraId="551E3892"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3CB05DE" w14:textId="77777777" w:rsidR="009A7430" w:rsidRPr="001569FB" w:rsidRDefault="009A7430" w:rsidP="008D4E91">
            <w:pPr>
              <w:spacing w:line="240" w:lineRule="auto"/>
              <w:jc w:val="center"/>
              <w:rPr>
                <w:sz w:val="20"/>
                <w:szCs w:val="20"/>
              </w:rPr>
            </w:pPr>
            <w:r w:rsidRPr="001569FB">
              <w:rPr>
                <w:sz w:val="20"/>
                <w:szCs w:val="20"/>
              </w:rPr>
              <w:t>99</w:t>
            </w:r>
          </w:p>
        </w:tc>
        <w:tc>
          <w:tcPr>
            <w:tcW w:w="5883" w:type="dxa"/>
            <w:tcBorders>
              <w:top w:val="nil"/>
              <w:left w:val="nil"/>
              <w:bottom w:val="single" w:sz="4" w:space="0" w:color="auto"/>
              <w:right w:val="single" w:sz="4" w:space="0" w:color="auto"/>
            </w:tcBorders>
            <w:shd w:val="clear" w:color="auto" w:fill="auto"/>
            <w:hideMark/>
          </w:tcPr>
          <w:p w14:paraId="2EACFD80" w14:textId="77777777" w:rsidR="009A7430" w:rsidRPr="001569FB" w:rsidRDefault="009A7430" w:rsidP="008D4E91">
            <w:pPr>
              <w:spacing w:line="240" w:lineRule="auto"/>
              <w:rPr>
                <w:sz w:val="20"/>
                <w:szCs w:val="20"/>
              </w:rPr>
            </w:pPr>
            <w:r w:rsidRPr="001569FB">
              <w:rPr>
                <w:sz w:val="20"/>
                <w:szCs w:val="20"/>
              </w:rPr>
              <w:t>Cerebral Hemorrhage</w:t>
            </w:r>
          </w:p>
        </w:tc>
        <w:tc>
          <w:tcPr>
            <w:tcW w:w="1980" w:type="dxa"/>
            <w:tcBorders>
              <w:top w:val="nil"/>
              <w:left w:val="nil"/>
              <w:bottom w:val="single" w:sz="4" w:space="0" w:color="auto"/>
              <w:right w:val="single" w:sz="4" w:space="0" w:color="auto"/>
            </w:tcBorders>
            <w:shd w:val="clear" w:color="auto" w:fill="auto"/>
            <w:hideMark/>
          </w:tcPr>
          <w:p w14:paraId="3D85E7E6" w14:textId="77777777" w:rsidR="009A7430" w:rsidRPr="001569FB" w:rsidRDefault="009A7430" w:rsidP="008D4E91">
            <w:pPr>
              <w:spacing w:line="240" w:lineRule="auto"/>
              <w:jc w:val="center"/>
              <w:rPr>
                <w:sz w:val="20"/>
                <w:szCs w:val="20"/>
              </w:rPr>
            </w:pPr>
            <w:r w:rsidRPr="001569FB">
              <w:rPr>
                <w:sz w:val="20"/>
                <w:szCs w:val="20"/>
              </w:rPr>
              <w:t>100</w:t>
            </w:r>
          </w:p>
        </w:tc>
      </w:tr>
      <w:tr w:rsidR="009A7430" w:rsidRPr="001569FB" w14:paraId="2D65585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6D26F6" w14:textId="77777777" w:rsidR="009A7430" w:rsidRPr="001569FB" w:rsidRDefault="009A7430" w:rsidP="008D4E91">
            <w:pPr>
              <w:spacing w:line="240" w:lineRule="auto"/>
              <w:jc w:val="center"/>
              <w:rPr>
                <w:sz w:val="20"/>
                <w:szCs w:val="20"/>
              </w:rPr>
            </w:pPr>
            <w:r w:rsidRPr="001569FB">
              <w:rPr>
                <w:sz w:val="20"/>
                <w:szCs w:val="20"/>
              </w:rPr>
              <w:t>103</w:t>
            </w:r>
          </w:p>
        </w:tc>
        <w:tc>
          <w:tcPr>
            <w:tcW w:w="5883" w:type="dxa"/>
            <w:tcBorders>
              <w:top w:val="nil"/>
              <w:left w:val="nil"/>
              <w:bottom w:val="single" w:sz="4" w:space="0" w:color="auto"/>
              <w:right w:val="single" w:sz="4" w:space="0" w:color="auto"/>
            </w:tcBorders>
            <w:shd w:val="clear" w:color="auto" w:fill="auto"/>
            <w:hideMark/>
          </w:tcPr>
          <w:p w14:paraId="0D7C70C1" w14:textId="77777777" w:rsidR="009A7430" w:rsidRPr="001569FB" w:rsidRDefault="009A7430" w:rsidP="008D4E91">
            <w:pPr>
              <w:spacing w:line="240" w:lineRule="auto"/>
              <w:rPr>
                <w:sz w:val="20"/>
                <w:szCs w:val="20"/>
              </w:rPr>
            </w:pPr>
            <w:r w:rsidRPr="001569FB">
              <w:rPr>
                <w:sz w:val="20"/>
                <w:szCs w:val="20"/>
              </w:rPr>
              <w:t>Hemiplegia/Hemiparesis</w:t>
            </w:r>
          </w:p>
        </w:tc>
        <w:tc>
          <w:tcPr>
            <w:tcW w:w="1980" w:type="dxa"/>
            <w:tcBorders>
              <w:top w:val="nil"/>
              <w:left w:val="nil"/>
              <w:bottom w:val="single" w:sz="4" w:space="0" w:color="auto"/>
              <w:right w:val="single" w:sz="4" w:space="0" w:color="auto"/>
            </w:tcBorders>
            <w:shd w:val="clear" w:color="auto" w:fill="auto"/>
            <w:hideMark/>
          </w:tcPr>
          <w:p w14:paraId="79FE573A" w14:textId="77777777" w:rsidR="009A7430" w:rsidRPr="001569FB" w:rsidRDefault="009A7430" w:rsidP="008D4E91">
            <w:pPr>
              <w:spacing w:line="240" w:lineRule="auto"/>
              <w:jc w:val="center"/>
              <w:rPr>
                <w:sz w:val="20"/>
                <w:szCs w:val="20"/>
              </w:rPr>
            </w:pPr>
            <w:r w:rsidRPr="001569FB">
              <w:rPr>
                <w:sz w:val="20"/>
                <w:szCs w:val="20"/>
              </w:rPr>
              <w:t>104</w:t>
            </w:r>
          </w:p>
        </w:tc>
      </w:tr>
      <w:tr w:rsidR="009A7430" w:rsidRPr="001569FB" w14:paraId="589F3041"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23FAB648" w14:textId="77777777" w:rsidR="009A7430" w:rsidRPr="001569FB" w:rsidRDefault="009A7430" w:rsidP="008D4E91">
            <w:pPr>
              <w:spacing w:line="240" w:lineRule="auto"/>
              <w:jc w:val="center"/>
              <w:rPr>
                <w:sz w:val="20"/>
                <w:szCs w:val="20"/>
              </w:rPr>
            </w:pPr>
            <w:r w:rsidRPr="001569FB">
              <w:rPr>
                <w:sz w:val="20"/>
                <w:szCs w:val="20"/>
              </w:rPr>
              <w:t>106</w:t>
            </w:r>
          </w:p>
        </w:tc>
        <w:tc>
          <w:tcPr>
            <w:tcW w:w="5883" w:type="dxa"/>
            <w:tcBorders>
              <w:top w:val="nil"/>
              <w:left w:val="nil"/>
              <w:bottom w:val="single" w:sz="4" w:space="0" w:color="auto"/>
              <w:right w:val="single" w:sz="4" w:space="0" w:color="auto"/>
            </w:tcBorders>
            <w:shd w:val="clear" w:color="auto" w:fill="auto"/>
            <w:hideMark/>
          </w:tcPr>
          <w:p w14:paraId="642FB63B" w14:textId="77777777" w:rsidR="009A7430" w:rsidRPr="001569FB" w:rsidRDefault="009A7430" w:rsidP="008D4E91">
            <w:pPr>
              <w:spacing w:line="240" w:lineRule="auto"/>
              <w:rPr>
                <w:sz w:val="20"/>
                <w:szCs w:val="20"/>
              </w:rPr>
            </w:pPr>
            <w:r w:rsidRPr="001569FB">
              <w:rPr>
                <w:sz w:val="20"/>
                <w:szCs w:val="20"/>
              </w:rPr>
              <w:t>Atherosclerosis of the Extremities with Ulceration or Gangrene</w:t>
            </w:r>
          </w:p>
        </w:tc>
        <w:tc>
          <w:tcPr>
            <w:tcW w:w="1980" w:type="dxa"/>
            <w:tcBorders>
              <w:top w:val="nil"/>
              <w:left w:val="nil"/>
              <w:bottom w:val="single" w:sz="4" w:space="0" w:color="auto"/>
              <w:right w:val="single" w:sz="4" w:space="0" w:color="auto"/>
            </w:tcBorders>
            <w:shd w:val="clear" w:color="auto" w:fill="auto"/>
            <w:hideMark/>
          </w:tcPr>
          <w:p w14:paraId="156ED99E" w14:textId="77777777" w:rsidR="009A7430" w:rsidRPr="001569FB" w:rsidRDefault="009A7430" w:rsidP="008D4E91">
            <w:pPr>
              <w:spacing w:line="240" w:lineRule="auto"/>
              <w:jc w:val="center"/>
              <w:rPr>
                <w:sz w:val="20"/>
                <w:szCs w:val="20"/>
              </w:rPr>
            </w:pPr>
            <w:r w:rsidRPr="001569FB">
              <w:rPr>
                <w:sz w:val="20"/>
                <w:szCs w:val="20"/>
              </w:rPr>
              <w:t>107, 108, 161, 189</w:t>
            </w:r>
          </w:p>
        </w:tc>
      </w:tr>
      <w:tr w:rsidR="009A7430" w:rsidRPr="001569FB" w14:paraId="43E311A4"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E0B0DBE" w14:textId="77777777" w:rsidR="009A7430" w:rsidRPr="001569FB" w:rsidRDefault="009A7430" w:rsidP="008D4E91">
            <w:pPr>
              <w:spacing w:line="240" w:lineRule="auto"/>
              <w:jc w:val="center"/>
              <w:rPr>
                <w:sz w:val="20"/>
                <w:szCs w:val="20"/>
              </w:rPr>
            </w:pPr>
            <w:r w:rsidRPr="001569FB">
              <w:rPr>
                <w:sz w:val="20"/>
                <w:szCs w:val="20"/>
              </w:rPr>
              <w:t>107</w:t>
            </w:r>
          </w:p>
        </w:tc>
        <w:tc>
          <w:tcPr>
            <w:tcW w:w="5883" w:type="dxa"/>
            <w:tcBorders>
              <w:top w:val="nil"/>
              <w:left w:val="nil"/>
              <w:bottom w:val="single" w:sz="4" w:space="0" w:color="auto"/>
              <w:right w:val="single" w:sz="4" w:space="0" w:color="auto"/>
            </w:tcBorders>
            <w:shd w:val="clear" w:color="auto" w:fill="auto"/>
            <w:hideMark/>
          </w:tcPr>
          <w:p w14:paraId="391B33F3" w14:textId="77777777" w:rsidR="009A7430" w:rsidRPr="001569FB" w:rsidRDefault="009A7430" w:rsidP="008D4E91">
            <w:pPr>
              <w:spacing w:line="240" w:lineRule="auto"/>
              <w:rPr>
                <w:sz w:val="20"/>
                <w:szCs w:val="20"/>
              </w:rPr>
            </w:pPr>
            <w:r w:rsidRPr="001569FB">
              <w:rPr>
                <w:sz w:val="20"/>
                <w:szCs w:val="20"/>
              </w:rPr>
              <w:t>Vascular Disease with Complications</w:t>
            </w:r>
          </w:p>
        </w:tc>
        <w:tc>
          <w:tcPr>
            <w:tcW w:w="1980" w:type="dxa"/>
            <w:tcBorders>
              <w:top w:val="nil"/>
              <w:left w:val="nil"/>
              <w:bottom w:val="single" w:sz="4" w:space="0" w:color="auto"/>
              <w:right w:val="single" w:sz="4" w:space="0" w:color="auto"/>
            </w:tcBorders>
            <w:shd w:val="clear" w:color="auto" w:fill="auto"/>
            <w:hideMark/>
          </w:tcPr>
          <w:p w14:paraId="63A4C9EA" w14:textId="77777777" w:rsidR="009A7430" w:rsidRPr="001569FB" w:rsidRDefault="009A7430" w:rsidP="008D4E91">
            <w:pPr>
              <w:spacing w:line="240" w:lineRule="auto"/>
              <w:jc w:val="center"/>
              <w:rPr>
                <w:sz w:val="20"/>
                <w:szCs w:val="20"/>
              </w:rPr>
            </w:pPr>
            <w:r w:rsidRPr="001569FB">
              <w:rPr>
                <w:sz w:val="20"/>
                <w:szCs w:val="20"/>
              </w:rPr>
              <w:t>108</w:t>
            </w:r>
          </w:p>
        </w:tc>
      </w:tr>
      <w:tr w:rsidR="009A7430" w:rsidRPr="001569FB" w14:paraId="4815D94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9288F2D" w14:textId="77777777" w:rsidR="009A7430" w:rsidRPr="001569FB" w:rsidRDefault="009A7430" w:rsidP="008D4E91">
            <w:pPr>
              <w:spacing w:line="240" w:lineRule="auto"/>
              <w:jc w:val="center"/>
              <w:rPr>
                <w:sz w:val="20"/>
                <w:szCs w:val="20"/>
              </w:rPr>
            </w:pPr>
            <w:r w:rsidRPr="001569FB">
              <w:rPr>
                <w:sz w:val="20"/>
                <w:szCs w:val="20"/>
              </w:rPr>
              <w:t>110</w:t>
            </w:r>
          </w:p>
        </w:tc>
        <w:tc>
          <w:tcPr>
            <w:tcW w:w="5883" w:type="dxa"/>
            <w:tcBorders>
              <w:top w:val="nil"/>
              <w:left w:val="nil"/>
              <w:bottom w:val="single" w:sz="4" w:space="0" w:color="auto"/>
              <w:right w:val="single" w:sz="4" w:space="0" w:color="auto"/>
            </w:tcBorders>
            <w:shd w:val="clear" w:color="auto" w:fill="auto"/>
            <w:hideMark/>
          </w:tcPr>
          <w:p w14:paraId="24099FF2" w14:textId="77777777" w:rsidR="009A7430" w:rsidRPr="001569FB" w:rsidRDefault="009A7430" w:rsidP="008D4E91">
            <w:pPr>
              <w:spacing w:line="240" w:lineRule="auto"/>
              <w:rPr>
                <w:sz w:val="20"/>
                <w:szCs w:val="20"/>
              </w:rPr>
            </w:pPr>
            <w:r w:rsidRPr="001569FB">
              <w:rPr>
                <w:sz w:val="20"/>
                <w:szCs w:val="20"/>
              </w:rPr>
              <w:t>Cystic Fibrosis</w:t>
            </w:r>
          </w:p>
        </w:tc>
        <w:tc>
          <w:tcPr>
            <w:tcW w:w="1980" w:type="dxa"/>
            <w:tcBorders>
              <w:top w:val="nil"/>
              <w:left w:val="nil"/>
              <w:bottom w:val="single" w:sz="4" w:space="0" w:color="auto"/>
              <w:right w:val="single" w:sz="4" w:space="0" w:color="auto"/>
            </w:tcBorders>
            <w:shd w:val="clear" w:color="auto" w:fill="auto"/>
            <w:hideMark/>
          </w:tcPr>
          <w:p w14:paraId="2049BE4A" w14:textId="77777777" w:rsidR="009A7430" w:rsidRPr="001569FB" w:rsidRDefault="009A7430" w:rsidP="008D4E91">
            <w:pPr>
              <w:spacing w:line="240" w:lineRule="auto"/>
              <w:jc w:val="center"/>
              <w:rPr>
                <w:sz w:val="20"/>
                <w:szCs w:val="20"/>
              </w:rPr>
            </w:pPr>
            <w:r w:rsidRPr="001569FB">
              <w:rPr>
                <w:sz w:val="20"/>
                <w:szCs w:val="20"/>
              </w:rPr>
              <w:t>111, 112</w:t>
            </w:r>
          </w:p>
        </w:tc>
      </w:tr>
      <w:tr w:rsidR="009A7430" w:rsidRPr="001569FB" w14:paraId="2F3C8AB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93D3BB5" w14:textId="77777777" w:rsidR="009A7430" w:rsidRPr="001569FB" w:rsidRDefault="009A7430" w:rsidP="008D4E91">
            <w:pPr>
              <w:spacing w:line="240" w:lineRule="auto"/>
              <w:jc w:val="center"/>
              <w:rPr>
                <w:sz w:val="20"/>
                <w:szCs w:val="20"/>
              </w:rPr>
            </w:pPr>
            <w:r w:rsidRPr="001569FB">
              <w:rPr>
                <w:sz w:val="20"/>
                <w:szCs w:val="20"/>
              </w:rPr>
              <w:t>111</w:t>
            </w:r>
          </w:p>
        </w:tc>
        <w:tc>
          <w:tcPr>
            <w:tcW w:w="5883" w:type="dxa"/>
            <w:tcBorders>
              <w:top w:val="nil"/>
              <w:left w:val="nil"/>
              <w:bottom w:val="single" w:sz="4" w:space="0" w:color="auto"/>
              <w:right w:val="single" w:sz="4" w:space="0" w:color="auto"/>
            </w:tcBorders>
            <w:shd w:val="clear" w:color="auto" w:fill="auto"/>
            <w:hideMark/>
          </w:tcPr>
          <w:p w14:paraId="0D284A1A" w14:textId="77777777" w:rsidR="009A7430" w:rsidRPr="001569FB" w:rsidRDefault="009A7430" w:rsidP="008D4E91">
            <w:pPr>
              <w:spacing w:line="240" w:lineRule="auto"/>
              <w:rPr>
                <w:sz w:val="20"/>
                <w:szCs w:val="20"/>
              </w:rPr>
            </w:pPr>
            <w:r w:rsidRPr="001569FB">
              <w:rPr>
                <w:sz w:val="20"/>
                <w:szCs w:val="20"/>
              </w:rPr>
              <w:t>Chronic Obstructive Pulmonary Disease</w:t>
            </w:r>
          </w:p>
        </w:tc>
        <w:tc>
          <w:tcPr>
            <w:tcW w:w="1980" w:type="dxa"/>
            <w:tcBorders>
              <w:top w:val="nil"/>
              <w:left w:val="nil"/>
              <w:bottom w:val="single" w:sz="4" w:space="0" w:color="auto"/>
              <w:right w:val="single" w:sz="4" w:space="0" w:color="auto"/>
            </w:tcBorders>
            <w:shd w:val="clear" w:color="auto" w:fill="auto"/>
            <w:hideMark/>
          </w:tcPr>
          <w:p w14:paraId="5DAF7586" w14:textId="77777777" w:rsidR="009A7430" w:rsidRPr="001569FB" w:rsidRDefault="009A7430" w:rsidP="008D4E91">
            <w:pPr>
              <w:spacing w:line="240" w:lineRule="auto"/>
              <w:jc w:val="center"/>
              <w:rPr>
                <w:sz w:val="20"/>
                <w:szCs w:val="20"/>
              </w:rPr>
            </w:pPr>
            <w:r w:rsidRPr="001569FB">
              <w:rPr>
                <w:sz w:val="20"/>
                <w:szCs w:val="20"/>
              </w:rPr>
              <w:t>112</w:t>
            </w:r>
          </w:p>
        </w:tc>
      </w:tr>
      <w:tr w:rsidR="009A7430" w:rsidRPr="001569FB" w14:paraId="12BB403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40A2840B" w14:textId="77777777" w:rsidR="009A7430" w:rsidRPr="001569FB" w:rsidRDefault="009A7430" w:rsidP="008D4E91">
            <w:pPr>
              <w:spacing w:line="240" w:lineRule="auto"/>
              <w:jc w:val="center"/>
              <w:rPr>
                <w:sz w:val="20"/>
                <w:szCs w:val="20"/>
              </w:rPr>
            </w:pPr>
            <w:r w:rsidRPr="001569FB">
              <w:rPr>
                <w:sz w:val="20"/>
                <w:szCs w:val="20"/>
              </w:rPr>
              <w:t>114</w:t>
            </w:r>
          </w:p>
        </w:tc>
        <w:tc>
          <w:tcPr>
            <w:tcW w:w="5883" w:type="dxa"/>
            <w:tcBorders>
              <w:top w:val="nil"/>
              <w:left w:val="nil"/>
              <w:bottom w:val="single" w:sz="4" w:space="0" w:color="auto"/>
              <w:right w:val="single" w:sz="4" w:space="0" w:color="auto"/>
            </w:tcBorders>
            <w:shd w:val="clear" w:color="auto" w:fill="auto"/>
            <w:hideMark/>
          </w:tcPr>
          <w:p w14:paraId="35B0739C" w14:textId="77777777" w:rsidR="009A7430" w:rsidRPr="001569FB" w:rsidRDefault="009A7430" w:rsidP="008D4E91">
            <w:pPr>
              <w:spacing w:line="240" w:lineRule="auto"/>
              <w:rPr>
                <w:sz w:val="20"/>
                <w:szCs w:val="20"/>
              </w:rPr>
            </w:pPr>
            <w:r w:rsidRPr="001569FB">
              <w:rPr>
                <w:sz w:val="20"/>
                <w:szCs w:val="20"/>
              </w:rPr>
              <w:t>Aspiration and Specified Bacterial Pneumonias</w:t>
            </w:r>
          </w:p>
        </w:tc>
        <w:tc>
          <w:tcPr>
            <w:tcW w:w="1980" w:type="dxa"/>
            <w:tcBorders>
              <w:top w:val="nil"/>
              <w:left w:val="nil"/>
              <w:bottom w:val="single" w:sz="4" w:space="0" w:color="auto"/>
              <w:right w:val="single" w:sz="4" w:space="0" w:color="auto"/>
            </w:tcBorders>
            <w:shd w:val="clear" w:color="auto" w:fill="auto"/>
            <w:hideMark/>
          </w:tcPr>
          <w:p w14:paraId="4D500ACD" w14:textId="77777777" w:rsidR="009A7430" w:rsidRPr="001569FB" w:rsidRDefault="009A7430" w:rsidP="008D4E91">
            <w:pPr>
              <w:spacing w:line="240" w:lineRule="auto"/>
              <w:jc w:val="center"/>
              <w:rPr>
                <w:sz w:val="20"/>
                <w:szCs w:val="20"/>
              </w:rPr>
            </w:pPr>
            <w:r w:rsidRPr="001569FB">
              <w:rPr>
                <w:sz w:val="20"/>
                <w:szCs w:val="20"/>
              </w:rPr>
              <w:t>115</w:t>
            </w:r>
          </w:p>
        </w:tc>
      </w:tr>
      <w:tr w:rsidR="009A7430" w:rsidRPr="001569FB" w14:paraId="0D1BF7AF"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349BBE2C" w14:textId="77777777" w:rsidR="009A7430" w:rsidRPr="001569FB" w:rsidRDefault="009A7430" w:rsidP="008D4E91">
            <w:pPr>
              <w:spacing w:line="240" w:lineRule="auto"/>
              <w:jc w:val="center"/>
              <w:rPr>
                <w:sz w:val="20"/>
                <w:szCs w:val="20"/>
              </w:rPr>
            </w:pPr>
            <w:r w:rsidRPr="001569FB">
              <w:rPr>
                <w:sz w:val="20"/>
                <w:szCs w:val="20"/>
              </w:rPr>
              <w:t>134</w:t>
            </w:r>
          </w:p>
        </w:tc>
        <w:tc>
          <w:tcPr>
            <w:tcW w:w="5883" w:type="dxa"/>
            <w:tcBorders>
              <w:top w:val="nil"/>
              <w:left w:val="nil"/>
              <w:bottom w:val="single" w:sz="4" w:space="0" w:color="auto"/>
              <w:right w:val="single" w:sz="4" w:space="0" w:color="auto"/>
            </w:tcBorders>
            <w:shd w:val="clear" w:color="auto" w:fill="auto"/>
            <w:hideMark/>
          </w:tcPr>
          <w:p w14:paraId="55DB744D" w14:textId="77777777" w:rsidR="009A7430" w:rsidRPr="001569FB" w:rsidRDefault="009A7430" w:rsidP="008D4E91">
            <w:pPr>
              <w:spacing w:line="240" w:lineRule="auto"/>
              <w:rPr>
                <w:sz w:val="20"/>
                <w:szCs w:val="20"/>
              </w:rPr>
            </w:pPr>
            <w:r w:rsidRPr="001569FB">
              <w:rPr>
                <w:sz w:val="20"/>
                <w:szCs w:val="20"/>
              </w:rPr>
              <w:t>Dialysis Status</w:t>
            </w:r>
          </w:p>
        </w:tc>
        <w:tc>
          <w:tcPr>
            <w:tcW w:w="1980" w:type="dxa"/>
            <w:tcBorders>
              <w:top w:val="nil"/>
              <w:left w:val="nil"/>
              <w:bottom w:val="single" w:sz="4" w:space="0" w:color="auto"/>
              <w:right w:val="single" w:sz="4" w:space="0" w:color="auto"/>
            </w:tcBorders>
            <w:shd w:val="clear" w:color="auto" w:fill="auto"/>
            <w:hideMark/>
          </w:tcPr>
          <w:p w14:paraId="5F099167" w14:textId="77777777" w:rsidR="009A7430" w:rsidRPr="001569FB" w:rsidRDefault="009A7430" w:rsidP="008D4E91">
            <w:pPr>
              <w:spacing w:line="240" w:lineRule="auto"/>
              <w:jc w:val="center"/>
              <w:rPr>
                <w:sz w:val="20"/>
                <w:szCs w:val="20"/>
              </w:rPr>
            </w:pPr>
            <w:r w:rsidRPr="001569FB">
              <w:rPr>
                <w:sz w:val="20"/>
                <w:szCs w:val="20"/>
              </w:rPr>
              <w:t>135, 136, 137, 138, 139, 140, 141</w:t>
            </w:r>
          </w:p>
        </w:tc>
      </w:tr>
      <w:tr w:rsidR="009A7430" w:rsidRPr="001569FB" w14:paraId="2B6CE4A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4F9B132" w14:textId="77777777" w:rsidR="009A7430" w:rsidRPr="001569FB" w:rsidRDefault="009A7430" w:rsidP="008D4E91">
            <w:pPr>
              <w:spacing w:line="240" w:lineRule="auto"/>
              <w:jc w:val="center"/>
              <w:rPr>
                <w:sz w:val="20"/>
                <w:szCs w:val="20"/>
              </w:rPr>
            </w:pPr>
            <w:r w:rsidRPr="001569FB">
              <w:rPr>
                <w:sz w:val="20"/>
                <w:szCs w:val="20"/>
              </w:rPr>
              <w:t>135</w:t>
            </w:r>
          </w:p>
        </w:tc>
        <w:tc>
          <w:tcPr>
            <w:tcW w:w="5883" w:type="dxa"/>
            <w:tcBorders>
              <w:top w:val="nil"/>
              <w:left w:val="nil"/>
              <w:bottom w:val="single" w:sz="4" w:space="0" w:color="auto"/>
              <w:right w:val="single" w:sz="4" w:space="0" w:color="auto"/>
            </w:tcBorders>
            <w:shd w:val="clear" w:color="auto" w:fill="auto"/>
            <w:hideMark/>
          </w:tcPr>
          <w:p w14:paraId="7A0F7C9D" w14:textId="77777777" w:rsidR="009A7430" w:rsidRPr="001569FB" w:rsidRDefault="009A7430" w:rsidP="008D4E91">
            <w:pPr>
              <w:spacing w:line="240" w:lineRule="auto"/>
              <w:rPr>
                <w:sz w:val="20"/>
                <w:szCs w:val="20"/>
              </w:rPr>
            </w:pPr>
            <w:r w:rsidRPr="001569FB">
              <w:rPr>
                <w:sz w:val="20"/>
                <w:szCs w:val="20"/>
              </w:rPr>
              <w:t>Acute Renal Failure</w:t>
            </w:r>
          </w:p>
        </w:tc>
        <w:tc>
          <w:tcPr>
            <w:tcW w:w="1980" w:type="dxa"/>
            <w:tcBorders>
              <w:top w:val="nil"/>
              <w:left w:val="nil"/>
              <w:bottom w:val="single" w:sz="4" w:space="0" w:color="auto"/>
              <w:right w:val="single" w:sz="4" w:space="0" w:color="auto"/>
            </w:tcBorders>
            <w:shd w:val="clear" w:color="auto" w:fill="auto"/>
            <w:hideMark/>
          </w:tcPr>
          <w:p w14:paraId="3F2C8EBE" w14:textId="77777777" w:rsidR="009A7430" w:rsidRPr="001569FB" w:rsidRDefault="009A7430" w:rsidP="008D4E91">
            <w:pPr>
              <w:spacing w:line="240" w:lineRule="auto"/>
              <w:jc w:val="center"/>
              <w:rPr>
                <w:sz w:val="20"/>
                <w:szCs w:val="20"/>
              </w:rPr>
            </w:pPr>
            <w:r w:rsidRPr="001569FB">
              <w:rPr>
                <w:sz w:val="20"/>
                <w:szCs w:val="20"/>
              </w:rPr>
              <w:t>136, 137, 138, 139, 140, 141</w:t>
            </w:r>
          </w:p>
        </w:tc>
      </w:tr>
      <w:tr w:rsidR="009A7430" w:rsidRPr="001569FB" w14:paraId="34E0397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B8D3F34" w14:textId="77777777" w:rsidR="009A7430" w:rsidRPr="001569FB" w:rsidRDefault="009A7430" w:rsidP="008D4E91">
            <w:pPr>
              <w:spacing w:line="240" w:lineRule="auto"/>
              <w:jc w:val="center"/>
              <w:rPr>
                <w:sz w:val="20"/>
                <w:szCs w:val="20"/>
              </w:rPr>
            </w:pPr>
            <w:r w:rsidRPr="001569FB">
              <w:rPr>
                <w:sz w:val="20"/>
                <w:szCs w:val="20"/>
              </w:rPr>
              <w:t>136</w:t>
            </w:r>
          </w:p>
        </w:tc>
        <w:tc>
          <w:tcPr>
            <w:tcW w:w="5883" w:type="dxa"/>
            <w:tcBorders>
              <w:top w:val="nil"/>
              <w:left w:val="nil"/>
              <w:bottom w:val="single" w:sz="4" w:space="0" w:color="auto"/>
              <w:right w:val="single" w:sz="4" w:space="0" w:color="auto"/>
            </w:tcBorders>
            <w:shd w:val="clear" w:color="auto" w:fill="auto"/>
            <w:hideMark/>
          </w:tcPr>
          <w:p w14:paraId="44BE6184" w14:textId="77777777" w:rsidR="009A7430" w:rsidRPr="001569FB" w:rsidRDefault="009A7430" w:rsidP="008D4E91">
            <w:pPr>
              <w:spacing w:line="240" w:lineRule="auto"/>
              <w:rPr>
                <w:sz w:val="20"/>
                <w:szCs w:val="20"/>
              </w:rPr>
            </w:pPr>
            <w:r w:rsidRPr="001569FB">
              <w:rPr>
                <w:sz w:val="20"/>
                <w:szCs w:val="20"/>
              </w:rPr>
              <w:t>Chronic Kidney Disease, Stage 5</w:t>
            </w:r>
          </w:p>
        </w:tc>
        <w:tc>
          <w:tcPr>
            <w:tcW w:w="1980" w:type="dxa"/>
            <w:tcBorders>
              <w:top w:val="nil"/>
              <w:left w:val="nil"/>
              <w:bottom w:val="single" w:sz="4" w:space="0" w:color="auto"/>
              <w:right w:val="single" w:sz="4" w:space="0" w:color="auto"/>
            </w:tcBorders>
            <w:shd w:val="clear" w:color="auto" w:fill="auto"/>
            <w:hideMark/>
          </w:tcPr>
          <w:p w14:paraId="56AFE490" w14:textId="77777777" w:rsidR="009A7430" w:rsidRPr="001569FB" w:rsidRDefault="009A7430" w:rsidP="008D4E91">
            <w:pPr>
              <w:spacing w:line="240" w:lineRule="auto"/>
              <w:jc w:val="center"/>
              <w:rPr>
                <w:sz w:val="20"/>
                <w:szCs w:val="20"/>
              </w:rPr>
            </w:pPr>
            <w:r w:rsidRPr="001569FB">
              <w:rPr>
                <w:sz w:val="20"/>
                <w:szCs w:val="20"/>
              </w:rPr>
              <w:t>137, 138, 139, 140, 141</w:t>
            </w:r>
          </w:p>
        </w:tc>
      </w:tr>
      <w:tr w:rsidR="009A7430" w:rsidRPr="001569FB" w14:paraId="05866AB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90932D8" w14:textId="77777777" w:rsidR="009A7430" w:rsidRPr="001569FB" w:rsidRDefault="009A7430" w:rsidP="008D4E91">
            <w:pPr>
              <w:spacing w:line="240" w:lineRule="auto"/>
              <w:jc w:val="center"/>
              <w:rPr>
                <w:sz w:val="20"/>
                <w:szCs w:val="20"/>
              </w:rPr>
            </w:pPr>
            <w:r w:rsidRPr="001569FB">
              <w:rPr>
                <w:sz w:val="20"/>
                <w:szCs w:val="20"/>
              </w:rPr>
              <w:t>137</w:t>
            </w:r>
          </w:p>
        </w:tc>
        <w:tc>
          <w:tcPr>
            <w:tcW w:w="5883" w:type="dxa"/>
            <w:tcBorders>
              <w:top w:val="nil"/>
              <w:left w:val="nil"/>
              <w:bottom w:val="single" w:sz="4" w:space="0" w:color="auto"/>
              <w:right w:val="single" w:sz="4" w:space="0" w:color="auto"/>
            </w:tcBorders>
            <w:shd w:val="clear" w:color="auto" w:fill="auto"/>
            <w:hideMark/>
          </w:tcPr>
          <w:p w14:paraId="10F04D2E" w14:textId="77777777" w:rsidR="009A7430" w:rsidRPr="001569FB" w:rsidRDefault="009A7430" w:rsidP="008D4E91">
            <w:pPr>
              <w:spacing w:line="240" w:lineRule="auto"/>
              <w:rPr>
                <w:sz w:val="20"/>
                <w:szCs w:val="20"/>
              </w:rPr>
            </w:pPr>
            <w:r w:rsidRPr="001569FB">
              <w:rPr>
                <w:sz w:val="20"/>
                <w:szCs w:val="20"/>
              </w:rPr>
              <w:t>Chronic Kidney Disease, Severe (Stage 4)</w:t>
            </w:r>
          </w:p>
        </w:tc>
        <w:tc>
          <w:tcPr>
            <w:tcW w:w="1980" w:type="dxa"/>
            <w:tcBorders>
              <w:top w:val="nil"/>
              <w:left w:val="nil"/>
              <w:bottom w:val="single" w:sz="4" w:space="0" w:color="auto"/>
              <w:right w:val="single" w:sz="4" w:space="0" w:color="auto"/>
            </w:tcBorders>
            <w:shd w:val="clear" w:color="auto" w:fill="auto"/>
            <w:hideMark/>
          </w:tcPr>
          <w:p w14:paraId="6DCDA6D7" w14:textId="77777777" w:rsidR="009A7430" w:rsidRPr="001569FB" w:rsidRDefault="009A7430" w:rsidP="008D4E91">
            <w:pPr>
              <w:spacing w:line="240" w:lineRule="auto"/>
              <w:jc w:val="center"/>
              <w:rPr>
                <w:sz w:val="20"/>
                <w:szCs w:val="20"/>
              </w:rPr>
            </w:pPr>
            <w:r w:rsidRPr="001569FB">
              <w:rPr>
                <w:sz w:val="20"/>
                <w:szCs w:val="20"/>
              </w:rPr>
              <w:t>138, 139, 140, 141</w:t>
            </w:r>
          </w:p>
        </w:tc>
      </w:tr>
      <w:tr w:rsidR="009A7430" w:rsidRPr="001569FB" w14:paraId="18A8769C"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0B9860B" w14:textId="77777777" w:rsidR="009A7430" w:rsidRPr="001569FB" w:rsidRDefault="009A7430" w:rsidP="008D4E91">
            <w:pPr>
              <w:spacing w:line="240" w:lineRule="auto"/>
              <w:jc w:val="center"/>
              <w:rPr>
                <w:sz w:val="20"/>
                <w:szCs w:val="20"/>
              </w:rPr>
            </w:pPr>
            <w:r w:rsidRPr="001569FB">
              <w:rPr>
                <w:sz w:val="20"/>
                <w:szCs w:val="20"/>
              </w:rPr>
              <w:t>138</w:t>
            </w:r>
          </w:p>
        </w:tc>
        <w:tc>
          <w:tcPr>
            <w:tcW w:w="5883" w:type="dxa"/>
            <w:tcBorders>
              <w:top w:val="nil"/>
              <w:left w:val="nil"/>
              <w:bottom w:val="single" w:sz="4" w:space="0" w:color="auto"/>
              <w:right w:val="single" w:sz="4" w:space="0" w:color="auto"/>
            </w:tcBorders>
            <w:shd w:val="clear" w:color="auto" w:fill="auto"/>
            <w:hideMark/>
          </w:tcPr>
          <w:p w14:paraId="3857FC02" w14:textId="77777777" w:rsidR="009A7430" w:rsidRPr="001569FB" w:rsidRDefault="009A7430" w:rsidP="008D4E91">
            <w:pPr>
              <w:spacing w:line="240" w:lineRule="auto"/>
              <w:rPr>
                <w:sz w:val="20"/>
                <w:szCs w:val="20"/>
              </w:rPr>
            </w:pPr>
            <w:r w:rsidRPr="001569FB">
              <w:rPr>
                <w:sz w:val="20"/>
                <w:szCs w:val="20"/>
              </w:rPr>
              <w:t>Chronic Kidney Disease, Moderate (Stage 3)</w:t>
            </w:r>
          </w:p>
        </w:tc>
        <w:tc>
          <w:tcPr>
            <w:tcW w:w="1980" w:type="dxa"/>
            <w:tcBorders>
              <w:top w:val="nil"/>
              <w:left w:val="nil"/>
              <w:bottom w:val="single" w:sz="4" w:space="0" w:color="auto"/>
              <w:right w:val="single" w:sz="4" w:space="0" w:color="auto"/>
            </w:tcBorders>
            <w:shd w:val="clear" w:color="auto" w:fill="auto"/>
            <w:hideMark/>
          </w:tcPr>
          <w:p w14:paraId="226BB26B" w14:textId="77777777" w:rsidR="009A7430" w:rsidRPr="001569FB" w:rsidRDefault="009A7430" w:rsidP="008D4E91">
            <w:pPr>
              <w:spacing w:line="240" w:lineRule="auto"/>
              <w:jc w:val="center"/>
              <w:rPr>
                <w:sz w:val="20"/>
                <w:szCs w:val="20"/>
              </w:rPr>
            </w:pPr>
            <w:r w:rsidRPr="001569FB">
              <w:rPr>
                <w:sz w:val="20"/>
                <w:szCs w:val="20"/>
              </w:rPr>
              <w:t>139, 140, 141</w:t>
            </w:r>
          </w:p>
        </w:tc>
      </w:tr>
      <w:tr w:rsidR="009A7430" w:rsidRPr="001569FB" w14:paraId="70F43B6D"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1DAF9F1" w14:textId="77777777" w:rsidR="009A7430" w:rsidRPr="001569FB" w:rsidRDefault="009A7430" w:rsidP="008D4E91">
            <w:pPr>
              <w:spacing w:line="240" w:lineRule="auto"/>
              <w:jc w:val="center"/>
              <w:rPr>
                <w:sz w:val="20"/>
                <w:szCs w:val="20"/>
              </w:rPr>
            </w:pPr>
            <w:r w:rsidRPr="001569FB">
              <w:rPr>
                <w:sz w:val="20"/>
                <w:szCs w:val="20"/>
              </w:rPr>
              <w:t>139</w:t>
            </w:r>
          </w:p>
        </w:tc>
        <w:tc>
          <w:tcPr>
            <w:tcW w:w="5883" w:type="dxa"/>
            <w:tcBorders>
              <w:top w:val="nil"/>
              <w:left w:val="nil"/>
              <w:bottom w:val="single" w:sz="4" w:space="0" w:color="auto"/>
              <w:right w:val="single" w:sz="4" w:space="0" w:color="auto"/>
            </w:tcBorders>
            <w:shd w:val="clear" w:color="auto" w:fill="auto"/>
            <w:hideMark/>
          </w:tcPr>
          <w:p w14:paraId="18B36008" w14:textId="77777777" w:rsidR="009A7430" w:rsidRPr="001569FB" w:rsidRDefault="009A7430" w:rsidP="008D4E91">
            <w:pPr>
              <w:spacing w:line="240" w:lineRule="auto"/>
              <w:rPr>
                <w:sz w:val="20"/>
                <w:szCs w:val="20"/>
              </w:rPr>
            </w:pPr>
            <w:r w:rsidRPr="001569FB">
              <w:rPr>
                <w:sz w:val="20"/>
                <w:szCs w:val="20"/>
              </w:rPr>
              <w:t>Chronic Kidney Disease, Mild or Unspecified (Stages 1-2 or Unspecified)</w:t>
            </w:r>
          </w:p>
        </w:tc>
        <w:tc>
          <w:tcPr>
            <w:tcW w:w="1980" w:type="dxa"/>
            <w:tcBorders>
              <w:top w:val="nil"/>
              <w:left w:val="nil"/>
              <w:bottom w:val="single" w:sz="4" w:space="0" w:color="auto"/>
              <w:right w:val="single" w:sz="4" w:space="0" w:color="auto"/>
            </w:tcBorders>
            <w:shd w:val="clear" w:color="auto" w:fill="auto"/>
            <w:hideMark/>
          </w:tcPr>
          <w:p w14:paraId="3477BF57" w14:textId="77777777" w:rsidR="009A7430" w:rsidRPr="001569FB" w:rsidRDefault="009A7430" w:rsidP="008D4E91">
            <w:pPr>
              <w:spacing w:line="240" w:lineRule="auto"/>
              <w:jc w:val="center"/>
              <w:rPr>
                <w:sz w:val="20"/>
                <w:szCs w:val="20"/>
              </w:rPr>
            </w:pPr>
            <w:r w:rsidRPr="001569FB">
              <w:rPr>
                <w:sz w:val="20"/>
                <w:szCs w:val="20"/>
              </w:rPr>
              <w:t>140, 141</w:t>
            </w:r>
          </w:p>
        </w:tc>
      </w:tr>
      <w:tr w:rsidR="009A7430" w:rsidRPr="001569FB" w14:paraId="77446E6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498C818" w14:textId="77777777" w:rsidR="009A7430" w:rsidRPr="001569FB" w:rsidRDefault="009A7430" w:rsidP="008D4E91">
            <w:pPr>
              <w:spacing w:line="240" w:lineRule="auto"/>
              <w:jc w:val="center"/>
              <w:rPr>
                <w:sz w:val="20"/>
                <w:szCs w:val="20"/>
              </w:rPr>
            </w:pPr>
            <w:r w:rsidRPr="001569FB">
              <w:rPr>
                <w:sz w:val="20"/>
                <w:szCs w:val="20"/>
              </w:rPr>
              <w:t>140</w:t>
            </w:r>
          </w:p>
        </w:tc>
        <w:tc>
          <w:tcPr>
            <w:tcW w:w="5883" w:type="dxa"/>
            <w:tcBorders>
              <w:top w:val="nil"/>
              <w:left w:val="nil"/>
              <w:bottom w:val="single" w:sz="4" w:space="0" w:color="auto"/>
              <w:right w:val="single" w:sz="4" w:space="0" w:color="auto"/>
            </w:tcBorders>
            <w:shd w:val="clear" w:color="auto" w:fill="auto"/>
            <w:hideMark/>
          </w:tcPr>
          <w:p w14:paraId="54413887" w14:textId="77777777" w:rsidR="009A7430" w:rsidRPr="001569FB" w:rsidRDefault="009A7430" w:rsidP="008D4E91">
            <w:pPr>
              <w:spacing w:line="240" w:lineRule="auto"/>
              <w:rPr>
                <w:sz w:val="20"/>
                <w:szCs w:val="20"/>
              </w:rPr>
            </w:pPr>
            <w:r w:rsidRPr="001569FB">
              <w:rPr>
                <w:sz w:val="20"/>
                <w:szCs w:val="20"/>
              </w:rPr>
              <w:t>Unspecified Renal Failure</w:t>
            </w:r>
          </w:p>
        </w:tc>
        <w:tc>
          <w:tcPr>
            <w:tcW w:w="1980" w:type="dxa"/>
            <w:tcBorders>
              <w:top w:val="nil"/>
              <w:left w:val="nil"/>
              <w:bottom w:val="single" w:sz="4" w:space="0" w:color="auto"/>
              <w:right w:val="single" w:sz="4" w:space="0" w:color="auto"/>
            </w:tcBorders>
            <w:shd w:val="clear" w:color="auto" w:fill="auto"/>
            <w:hideMark/>
          </w:tcPr>
          <w:p w14:paraId="65227DE4" w14:textId="77777777" w:rsidR="009A7430" w:rsidRPr="001569FB" w:rsidRDefault="009A7430" w:rsidP="008D4E91">
            <w:pPr>
              <w:spacing w:line="240" w:lineRule="auto"/>
              <w:jc w:val="center"/>
              <w:rPr>
                <w:sz w:val="20"/>
                <w:szCs w:val="20"/>
              </w:rPr>
            </w:pPr>
            <w:r w:rsidRPr="001569FB">
              <w:rPr>
                <w:sz w:val="20"/>
                <w:szCs w:val="20"/>
              </w:rPr>
              <w:t>141</w:t>
            </w:r>
          </w:p>
        </w:tc>
      </w:tr>
      <w:tr w:rsidR="009A7430" w:rsidRPr="001569FB" w14:paraId="5C7A0E24"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74CC981" w14:textId="77777777" w:rsidR="009A7430" w:rsidRPr="001569FB" w:rsidRDefault="009A7430" w:rsidP="008D4E91">
            <w:pPr>
              <w:spacing w:line="240" w:lineRule="auto"/>
              <w:jc w:val="center"/>
              <w:rPr>
                <w:sz w:val="20"/>
                <w:szCs w:val="20"/>
              </w:rPr>
            </w:pPr>
            <w:r w:rsidRPr="001569FB">
              <w:rPr>
                <w:sz w:val="20"/>
                <w:szCs w:val="20"/>
              </w:rPr>
              <w:t>157</w:t>
            </w:r>
          </w:p>
        </w:tc>
        <w:tc>
          <w:tcPr>
            <w:tcW w:w="5883" w:type="dxa"/>
            <w:tcBorders>
              <w:top w:val="nil"/>
              <w:left w:val="nil"/>
              <w:bottom w:val="single" w:sz="4" w:space="0" w:color="auto"/>
              <w:right w:val="single" w:sz="4" w:space="0" w:color="auto"/>
            </w:tcBorders>
            <w:shd w:val="clear" w:color="auto" w:fill="auto"/>
            <w:hideMark/>
          </w:tcPr>
          <w:p w14:paraId="77DB0A0A" w14:textId="77777777" w:rsidR="009A7430" w:rsidRPr="001569FB" w:rsidRDefault="009A7430" w:rsidP="008D4E91">
            <w:pPr>
              <w:spacing w:line="240" w:lineRule="auto"/>
              <w:rPr>
                <w:sz w:val="20"/>
                <w:szCs w:val="20"/>
              </w:rPr>
            </w:pPr>
            <w:r w:rsidRPr="001569FB">
              <w:rPr>
                <w:sz w:val="20"/>
                <w:szCs w:val="20"/>
              </w:rPr>
              <w:t>Pressure Ulcer of Skin with Necrosis Through to Muscle, Tendon, or Bone</w:t>
            </w:r>
          </w:p>
        </w:tc>
        <w:tc>
          <w:tcPr>
            <w:tcW w:w="1980" w:type="dxa"/>
            <w:tcBorders>
              <w:top w:val="nil"/>
              <w:left w:val="nil"/>
              <w:bottom w:val="single" w:sz="4" w:space="0" w:color="auto"/>
              <w:right w:val="single" w:sz="4" w:space="0" w:color="auto"/>
            </w:tcBorders>
            <w:shd w:val="clear" w:color="auto" w:fill="auto"/>
            <w:hideMark/>
          </w:tcPr>
          <w:p w14:paraId="291D19F8" w14:textId="77777777" w:rsidR="009A7430" w:rsidRPr="001569FB" w:rsidRDefault="009A7430" w:rsidP="008D4E91">
            <w:pPr>
              <w:spacing w:line="240" w:lineRule="auto"/>
              <w:jc w:val="center"/>
              <w:rPr>
                <w:sz w:val="20"/>
                <w:szCs w:val="20"/>
              </w:rPr>
            </w:pPr>
            <w:r w:rsidRPr="001569FB">
              <w:rPr>
                <w:sz w:val="20"/>
                <w:szCs w:val="20"/>
              </w:rPr>
              <w:t>158, 159, 160, 161</w:t>
            </w:r>
          </w:p>
        </w:tc>
      </w:tr>
      <w:tr w:rsidR="009A7430" w:rsidRPr="001569FB" w14:paraId="02F1ADB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17D6D1E" w14:textId="77777777" w:rsidR="009A7430" w:rsidRPr="001569FB" w:rsidRDefault="009A7430" w:rsidP="008D4E91">
            <w:pPr>
              <w:spacing w:line="240" w:lineRule="auto"/>
              <w:jc w:val="center"/>
              <w:rPr>
                <w:sz w:val="20"/>
                <w:szCs w:val="20"/>
              </w:rPr>
            </w:pPr>
            <w:r w:rsidRPr="001569FB">
              <w:rPr>
                <w:sz w:val="20"/>
                <w:szCs w:val="20"/>
              </w:rPr>
              <w:t>158</w:t>
            </w:r>
          </w:p>
        </w:tc>
        <w:tc>
          <w:tcPr>
            <w:tcW w:w="5883" w:type="dxa"/>
            <w:tcBorders>
              <w:top w:val="nil"/>
              <w:left w:val="nil"/>
              <w:bottom w:val="single" w:sz="4" w:space="0" w:color="auto"/>
              <w:right w:val="single" w:sz="4" w:space="0" w:color="auto"/>
            </w:tcBorders>
            <w:shd w:val="clear" w:color="auto" w:fill="auto"/>
            <w:hideMark/>
          </w:tcPr>
          <w:p w14:paraId="53D00345" w14:textId="77777777" w:rsidR="009A7430" w:rsidRPr="001569FB" w:rsidRDefault="009A7430" w:rsidP="008D4E91">
            <w:pPr>
              <w:spacing w:line="240" w:lineRule="auto"/>
              <w:rPr>
                <w:sz w:val="20"/>
                <w:szCs w:val="20"/>
              </w:rPr>
            </w:pPr>
            <w:r w:rsidRPr="001569FB">
              <w:rPr>
                <w:sz w:val="20"/>
                <w:szCs w:val="20"/>
              </w:rPr>
              <w:t>Pressure Ulcer of Skin with Full Thickness Skin Loss</w:t>
            </w:r>
          </w:p>
        </w:tc>
        <w:tc>
          <w:tcPr>
            <w:tcW w:w="1980" w:type="dxa"/>
            <w:tcBorders>
              <w:top w:val="nil"/>
              <w:left w:val="nil"/>
              <w:bottom w:val="single" w:sz="4" w:space="0" w:color="auto"/>
              <w:right w:val="single" w:sz="4" w:space="0" w:color="auto"/>
            </w:tcBorders>
            <w:shd w:val="clear" w:color="auto" w:fill="auto"/>
            <w:hideMark/>
          </w:tcPr>
          <w:p w14:paraId="6E1A5311" w14:textId="77777777" w:rsidR="009A7430" w:rsidRPr="001569FB" w:rsidRDefault="009A7430" w:rsidP="008D4E91">
            <w:pPr>
              <w:spacing w:line="240" w:lineRule="auto"/>
              <w:jc w:val="center"/>
              <w:rPr>
                <w:sz w:val="20"/>
                <w:szCs w:val="20"/>
              </w:rPr>
            </w:pPr>
            <w:r w:rsidRPr="001569FB">
              <w:rPr>
                <w:sz w:val="20"/>
                <w:szCs w:val="20"/>
              </w:rPr>
              <w:t>159, 160, 161</w:t>
            </w:r>
          </w:p>
        </w:tc>
      </w:tr>
      <w:tr w:rsidR="009A7430" w:rsidRPr="001569FB" w14:paraId="0A72446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CA0EBD1" w14:textId="77777777" w:rsidR="009A7430" w:rsidRPr="001569FB" w:rsidRDefault="009A7430" w:rsidP="008D4E91">
            <w:pPr>
              <w:spacing w:line="240" w:lineRule="auto"/>
              <w:jc w:val="center"/>
              <w:rPr>
                <w:sz w:val="20"/>
                <w:szCs w:val="20"/>
              </w:rPr>
            </w:pPr>
            <w:r w:rsidRPr="001569FB">
              <w:rPr>
                <w:sz w:val="20"/>
                <w:szCs w:val="20"/>
              </w:rPr>
              <w:lastRenderedPageBreak/>
              <w:t>159</w:t>
            </w:r>
          </w:p>
        </w:tc>
        <w:tc>
          <w:tcPr>
            <w:tcW w:w="5883" w:type="dxa"/>
            <w:tcBorders>
              <w:top w:val="nil"/>
              <w:left w:val="nil"/>
              <w:bottom w:val="single" w:sz="4" w:space="0" w:color="auto"/>
              <w:right w:val="single" w:sz="4" w:space="0" w:color="auto"/>
            </w:tcBorders>
            <w:shd w:val="clear" w:color="auto" w:fill="auto"/>
            <w:hideMark/>
          </w:tcPr>
          <w:p w14:paraId="14837138" w14:textId="77777777" w:rsidR="009A7430" w:rsidRPr="001569FB" w:rsidRDefault="009A7430" w:rsidP="008D4E91">
            <w:pPr>
              <w:spacing w:line="240" w:lineRule="auto"/>
              <w:rPr>
                <w:sz w:val="20"/>
                <w:szCs w:val="20"/>
              </w:rPr>
            </w:pPr>
            <w:r w:rsidRPr="001569FB">
              <w:rPr>
                <w:sz w:val="20"/>
                <w:szCs w:val="20"/>
              </w:rPr>
              <w:t>Pressure Ulcer of Skin with Partial Thickness Skin Loss</w:t>
            </w:r>
          </w:p>
        </w:tc>
        <w:tc>
          <w:tcPr>
            <w:tcW w:w="1980" w:type="dxa"/>
            <w:tcBorders>
              <w:top w:val="nil"/>
              <w:left w:val="nil"/>
              <w:bottom w:val="single" w:sz="4" w:space="0" w:color="auto"/>
              <w:right w:val="single" w:sz="4" w:space="0" w:color="auto"/>
            </w:tcBorders>
            <w:shd w:val="clear" w:color="auto" w:fill="auto"/>
            <w:hideMark/>
          </w:tcPr>
          <w:p w14:paraId="119B35F9" w14:textId="77777777" w:rsidR="009A7430" w:rsidRPr="001569FB" w:rsidRDefault="009A7430" w:rsidP="008D4E91">
            <w:pPr>
              <w:spacing w:line="240" w:lineRule="auto"/>
              <w:jc w:val="center"/>
              <w:rPr>
                <w:sz w:val="20"/>
                <w:szCs w:val="20"/>
              </w:rPr>
            </w:pPr>
            <w:r w:rsidRPr="001569FB">
              <w:rPr>
                <w:sz w:val="20"/>
                <w:szCs w:val="20"/>
              </w:rPr>
              <w:t>160, 161</w:t>
            </w:r>
          </w:p>
        </w:tc>
      </w:tr>
      <w:tr w:rsidR="009A7430" w:rsidRPr="001569FB" w14:paraId="6D02FF9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CB5C777" w14:textId="77777777" w:rsidR="009A7430" w:rsidRPr="001569FB" w:rsidRDefault="009A7430" w:rsidP="008D4E91">
            <w:pPr>
              <w:spacing w:line="240" w:lineRule="auto"/>
              <w:jc w:val="center"/>
              <w:rPr>
                <w:sz w:val="20"/>
                <w:szCs w:val="20"/>
              </w:rPr>
            </w:pPr>
            <w:r w:rsidRPr="001569FB">
              <w:rPr>
                <w:sz w:val="20"/>
                <w:szCs w:val="20"/>
              </w:rPr>
              <w:t>160</w:t>
            </w:r>
          </w:p>
        </w:tc>
        <w:tc>
          <w:tcPr>
            <w:tcW w:w="5883" w:type="dxa"/>
            <w:tcBorders>
              <w:top w:val="nil"/>
              <w:left w:val="nil"/>
              <w:bottom w:val="single" w:sz="4" w:space="0" w:color="auto"/>
              <w:right w:val="single" w:sz="4" w:space="0" w:color="auto"/>
            </w:tcBorders>
            <w:shd w:val="clear" w:color="auto" w:fill="auto"/>
            <w:hideMark/>
          </w:tcPr>
          <w:p w14:paraId="44B20559" w14:textId="77777777" w:rsidR="009A7430" w:rsidRPr="001569FB" w:rsidRDefault="009A7430" w:rsidP="008D4E91">
            <w:pPr>
              <w:spacing w:line="240" w:lineRule="auto"/>
              <w:rPr>
                <w:sz w:val="20"/>
                <w:szCs w:val="20"/>
              </w:rPr>
            </w:pPr>
            <w:r w:rsidRPr="001569FB">
              <w:rPr>
                <w:sz w:val="20"/>
                <w:szCs w:val="20"/>
              </w:rPr>
              <w:t>Pressure Pre-Ulcer Skin Changes or Unspecified Stage</w:t>
            </w:r>
          </w:p>
        </w:tc>
        <w:tc>
          <w:tcPr>
            <w:tcW w:w="1980" w:type="dxa"/>
            <w:tcBorders>
              <w:top w:val="nil"/>
              <w:left w:val="nil"/>
              <w:bottom w:val="single" w:sz="4" w:space="0" w:color="auto"/>
              <w:right w:val="single" w:sz="4" w:space="0" w:color="auto"/>
            </w:tcBorders>
            <w:shd w:val="clear" w:color="auto" w:fill="auto"/>
            <w:hideMark/>
          </w:tcPr>
          <w:p w14:paraId="7C83F2B5" w14:textId="77777777" w:rsidR="009A7430" w:rsidRPr="001569FB" w:rsidRDefault="009A7430" w:rsidP="008D4E91">
            <w:pPr>
              <w:spacing w:line="240" w:lineRule="auto"/>
              <w:jc w:val="center"/>
              <w:rPr>
                <w:sz w:val="20"/>
                <w:szCs w:val="20"/>
              </w:rPr>
            </w:pPr>
            <w:r w:rsidRPr="001569FB">
              <w:rPr>
                <w:sz w:val="20"/>
                <w:szCs w:val="20"/>
              </w:rPr>
              <w:t>161</w:t>
            </w:r>
          </w:p>
        </w:tc>
      </w:tr>
      <w:tr w:rsidR="009A7430" w:rsidRPr="001569FB" w14:paraId="68CFA3E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7151F99" w14:textId="77777777" w:rsidR="009A7430" w:rsidRPr="001569FB" w:rsidRDefault="009A7430" w:rsidP="008D4E91">
            <w:pPr>
              <w:spacing w:line="240" w:lineRule="auto"/>
              <w:jc w:val="center"/>
              <w:rPr>
                <w:sz w:val="20"/>
                <w:szCs w:val="20"/>
              </w:rPr>
            </w:pPr>
            <w:r w:rsidRPr="001569FB">
              <w:rPr>
                <w:sz w:val="20"/>
                <w:szCs w:val="20"/>
              </w:rPr>
              <w:t>166</w:t>
            </w:r>
          </w:p>
        </w:tc>
        <w:tc>
          <w:tcPr>
            <w:tcW w:w="5883" w:type="dxa"/>
            <w:tcBorders>
              <w:top w:val="nil"/>
              <w:left w:val="nil"/>
              <w:bottom w:val="single" w:sz="4" w:space="0" w:color="auto"/>
              <w:right w:val="single" w:sz="4" w:space="0" w:color="auto"/>
            </w:tcBorders>
            <w:shd w:val="clear" w:color="auto" w:fill="auto"/>
            <w:hideMark/>
          </w:tcPr>
          <w:p w14:paraId="706A0A45" w14:textId="77777777" w:rsidR="009A7430" w:rsidRPr="001569FB" w:rsidRDefault="009A7430" w:rsidP="008D4E91">
            <w:pPr>
              <w:spacing w:line="240" w:lineRule="auto"/>
              <w:rPr>
                <w:sz w:val="20"/>
                <w:szCs w:val="20"/>
              </w:rPr>
            </w:pPr>
            <w:r w:rsidRPr="001569FB">
              <w:rPr>
                <w:sz w:val="20"/>
                <w:szCs w:val="20"/>
              </w:rPr>
              <w:t>Severe Head Injury</w:t>
            </w:r>
          </w:p>
        </w:tc>
        <w:tc>
          <w:tcPr>
            <w:tcW w:w="1980" w:type="dxa"/>
            <w:tcBorders>
              <w:top w:val="nil"/>
              <w:left w:val="nil"/>
              <w:bottom w:val="single" w:sz="4" w:space="0" w:color="auto"/>
              <w:right w:val="single" w:sz="4" w:space="0" w:color="auto"/>
            </w:tcBorders>
            <w:shd w:val="clear" w:color="auto" w:fill="auto"/>
            <w:hideMark/>
          </w:tcPr>
          <w:p w14:paraId="2F18E32B" w14:textId="77777777" w:rsidR="009A7430" w:rsidRPr="001569FB" w:rsidRDefault="009A7430" w:rsidP="008D4E91">
            <w:pPr>
              <w:spacing w:line="240" w:lineRule="auto"/>
              <w:jc w:val="center"/>
              <w:rPr>
                <w:sz w:val="20"/>
                <w:szCs w:val="20"/>
              </w:rPr>
            </w:pPr>
            <w:r w:rsidRPr="001569FB">
              <w:rPr>
                <w:sz w:val="20"/>
                <w:szCs w:val="20"/>
              </w:rPr>
              <w:t>80, 167</w:t>
            </w:r>
          </w:p>
        </w:tc>
      </w:tr>
    </w:tbl>
    <w:p w14:paraId="01673E89" w14:textId="50CAF641" w:rsidR="001F1A8F" w:rsidRPr="001569FB" w:rsidRDefault="009A7430" w:rsidP="002707EC">
      <w:pPr>
        <w:spacing w:before="60" w:line="240" w:lineRule="auto"/>
        <w:rPr>
          <w:sz w:val="18"/>
          <w:szCs w:val="20"/>
        </w:rPr>
      </w:pPr>
      <w:r w:rsidRPr="001569FB">
        <w:rPr>
          <w:b/>
          <w:sz w:val="18"/>
          <w:szCs w:val="20"/>
        </w:rPr>
        <w:t>How Payments are Made with a Disease Hierarchy</w:t>
      </w:r>
      <w:r w:rsidR="007A6384" w:rsidRPr="001569FB">
        <w:rPr>
          <w:b/>
          <w:sz w:val="18"/>
          <w:szCs w:val="20"/>
        </w:rPr>
        <w:t xml:space="preserve">: </w:t>
      </w:r>
      <w:r w:rsidRPr="001569FB">
        <w:rPr>
          <w:sz w:val="18"/>
          <w:szCs w:val="20"/>
        </w:rPr>
        <w:t xml:space="preserve"> EXAMPLE: If a beneficiary triggers Disease Groups 8 (Metastatic Cancer and Acute Leukemia) and 9 (Lung and Other Severe Cancers), then DG 9 will be dropped. </w:t>
      </w:r>
      <w:r w:rsidR="007A6384" w:rsidRPr="001569FB">
        <w:rPr>
          <w:sz w:val="18"/>
          <w:szCs w:val="20"/>
        </w:rPr>
        <w:t xml:space="preserve"> </w:t>
      </w:r>
      <w:r w:rsidRPr="001569FB">
        <w:rPr>
          <w:sz w:val="18"/>
          <w:szCs w:val="20"/>
        </w:rPr>
        <w:t xml:space="preserve">In other words, payment will always be associated with the DG in column 1, if a DG in column 3 also occurs during the same collection period. </w:t>
      </w:r>
      <w:r w:rsidR="007A6384" w:rsidRPr="001569FB">
        <w:rPr>
          <w:sz w:val="18"/>
          <w:szCs w:val="20"/>
        </w:rPr>
        <w:t xml:space="preserve"> </w:t>
      </w:r>
      <w:r w:rsidRPr="001569FB">
        <w:rPr>
          <w:sz w:val="18"/>
          <w:szCs w:val="20"/>
        </w:rPr>
        <w:t xml:space="preserve">Therefore, the organization’s payment will be </w:t>
      </w:r>
      <w:r w:rsidR="001F65FB" w:rsidRPr="001569FB">
        <w:rPr>
          <w:sz w:val="18"/>
          <w:szCs w:val="20"/>
        </w:rPr>
        <w:t>based on DG 8 rather than DG 9.</w:t>
      </w:r>
      <w:r w:rsidRPr="001569FB">
        <w:rPr>
          <w:b/>
          <w:sz w:val="18"/>
          <w:szCs w:val="20"/>
        </w:rPr>
        <w:t>SOURCE:</w:t>
      </w:r>
      <w:r w:rsidRPr="001569FB">
        <w:rPr>
          <w:sz w:val="18"/>
          <w:szCs w:val="20"/>
        </w:rPr>
        <w:t xml:space="preserve"> RTI International.</w:t>
      </w:r>
    </w:p>
    <w:p w14:paraId="250B6370" w14:textId="3C9D2A77" w:rsidR="004C5B0C" w:rsidRPr="001569FB" w:rsidRDefault="004C5B0C" w:rsidP="004C5B0C">
      <w:pPr>
        <w:pStyle w:val="Heading1"/>
      </w:pPr>
      <w:r w:rsidRPr="001569FB">
        <w:rPr>
          <w:sz w:val="18"/>
          <w:szCs w:val="20"/>
        </w:rPr>
        <w:br w:type="page"/>
      </w:r>
      <w:bookmarkStart w:id="612" w:name="_Toc443480632"/>
      <w:bookmarkStart w:id="613" w:name="_Toc443633679"/>
      <w:bookmarkStart w:id="614" w:name="_Toc505253804"/>
      <w:bookmarkStart w:id="615" w:name="_Toc505253826"/>
      <w:bookmarkStart w:id="616" w:name="CallLetter"/>
      <w:r w:rsidRPr="001569FB">
        <w:lastRenderedPageBreak/>
        <w:t>Attachment VI. Draft CY 2019 Call</w:t>
      </w:r>
      <w:r w:rsidRPr="001569FB">
        <w:rPr>
          <w:spacing w:val="-8"/>
        </w:rPr>
        <w:t xml:space="preserve"> </w:t>
      </w:r>
      <w:r w:rsidRPr="001569FB">
        <w:t>Letter</w:t>
      </w:r>
      <w:bookmarkEnd w:id="612"/>
      <w:bookmarkEnd w:id="613"/>
      <w:bookmarkEnd w:id="614"/>
      <w:bookmarkEnd w:id="615"/>
    </w:p>
    <w:p w14:paraId="40F283F3" w14:textId="77777777" w:rsidR="004C5B0C" w:rsidRPr="001569FB" w:rsidRDefault="004C5B0C" w:rsidP="004C5B0C">
      <w:pPr>
        <w:rPr>
          <w:color w:val="FF0000"/>
        </w:rPr>
        <w:sectPr w:rsidR="004C5B0C" w:rsidRPr="001569FB" w:rsidSect="00AD237C">
          <w:headerReference w:type="default" r:id="rId37"/>
          <w:footerReference w:type="even" r:id="rId38"/>
          <w:footerReference w:type="default" r:id="rId39"/>
          <w:headerReference w:type="first" r:id="rId40"/>
          <w:footerReference w:type="first" r:id="rId41"/>
          <w:footnotePr>
            <w:pos w:val="beneathText"/>
          </w:footnotePr>
          <w:pgSz w:w="12240" w:h="15840"/>
          <w:pgMar w:top="1440" w:right="1440" w:bottom="1440" w:left="1440" w:header="745" w:footer="0" w:gutter="0"/>
          <w:cols w:space="720"/>
          <w:docGrid w:linePitch="299"/>
        </w:sectPr>
      </w:pPr>
    </w:p>
    <w:p w14:paraId="32BCC6F6" w14:textId="77777777" w:rsidR="004C5B0C" w:rsidRPr="001569FB" w:rsidRDefault="004C5B0C" w:rsidP="004C5B0C">
      <w:pPr>
        <w:jc w:val="center"/>
        <w:rPr>
          <w:b/>
        </w:rPr>
      </w:pPr>
      <w:r w:rsidRPr="001569FB">
        <w:rPr>
          <w:b/>
          <w:spacing w:val="-6"/>
        </w:rPr>
        <w:t xml:space="preserve">Draft CY </w:t>
      </w:r>
      <w:r w:rsidRPr="001569FB">
        <w:rPr>
          <w:b/>
        </w:rPr>
        <w:t>2019</w:t>
      </w:r>
      <w:r w:rsidRPr="001569FB">
        <w:rPr>
          <w:b/>
          <w:spacing w:val="-6"/>
        </w:rPr>
        <w:t xml:space="preserve"> </w:t>
      </w:r>
      <w:r w:rsidRPr="001569FB">
        <w:rPr>
          <w:b/>
        </w:rPr>
        <w:t>Call Letter</w:t>
      </w:r>
    </w:p>
    <w:p w14:paraId="0F29A25D" w14:textId="77777777" w:rsidR="004C5B0C" w:rsidRPr="001569FB" w:rsidRDefault="004C5B0C" w:rsidP="004C5B0C">
      <w:pPr>
        <w:jc w:val="center"/>
      </w:pPr>
      <w:r w:rsidRPr="001569FB">
        <w:rPr>
          <w:b/>
        </w:rPr>
        <w:t>Table of</w:t>
      </w:r>
      <w:r w:rsidRPr="001569FB">
        <w:rPr>
          <w:b/>
          <w:spacing w:val="-2"/>
        </w:rPr>
        <w:t xml:space="preserve"> </w:t>
      </w:r>
      <w:r w:rsidRPr="001569FB">
        <w:rPr>
          <w:b/>
        </w:rPr>
        <w:t>Contents</w:t>
      </w:r>
    </w:p>
    <w:p w14:paraId="4AFE7ED7" w14:textId="31A13649" w:rsidR="00C669E3" w:rsidRPr="001569FB" w:rsidRDefault="004C5B0C">
      <w:pPr>
        <w:pStyle w:val="TOC1"/>
        <w:rPr>
          <w:rFonts w:asciiTheme="minorHAnsi" w:eastAsiaTheme="minorEastAsia" w:hAnsiTheme="minorHAnsi" w:cstheme="minorBidi"/>
          <w:bCs w:val="0"/>
          <w:noProof/>
          <w:sz w:val="22"/>
        </w:rPr>
      </w:pPr>
      <w:r w:rsidRPr="001569FB">
        <w:rPr>
          <w:noProof/>
        </w:rPr>
        <w:fldChar w:fldCharType="begin"/>
      </w:r>
      <w:r w:rsidRPr="001569FB">
        <w:rPr>
          <w:noProof/>
        </w:rPr>
        <w:instrText xml:space="preserve"> TOC \</w:instrText>
      </w:r>
      <w:r w:rsidR="00875C19" w:rsidRPr="001569FB">
        <w:rPr>
          <w:noProof/>
        </w:rPr>
        <w:instrText>b</w:instrText>
      </w:r>
      <w:r w:rsidRPr="001569FB">
        <w:rPr>
          <w:noProof/>
        </w:rPr>
        <w:instrText xml:space="preserve"> "</w:instrText>
      </w:r>
      <w:r w:rsidR="00875C19" w:rsidRPr="001569FB">
        <w:rPr>
          <w:noProof/>
        </w:rPr>
        <w:instrText>CallLetter</w:instrText>
      </w:r>
      <w:r w:rsidRPr="001569FB">
        <w:rPr>
          <w:noProof/>
        </w:rPr>
        <w:instrText>" \h \z \t "</w:instrText>
      </w:r>
      <w:r w:rsidR="00875C19" w:rsidRPr="001569FB">
        <w:rPr>
          <w:noProof/>
        </w:rPr>
        <w:instrText>Heading 1,1,</w:instrText>
      </w:r>
      <w:r w:rsidRPr="001569FB">
        <w:rPr>
          <w:noProof/>
        </w:rPr>
        <w:instrText xml:space="preserve">Heading </w:instrText>
      </w:r>
      <w:r w:rsidR="00875C19" w:rsidRPr="001569FB">
        <w:rPr>
          <w:noProof/>
        </w:rPr>
        <w:instrText>2</w:instrText>
      </w:r>
      <w:r w:rsidRPr="001569FB">
        <w:rPr>
          <w:noProof/>
        </w:rPr>
        <w:instrText>,</w:instrText>
      </w:r>
      <w:r w:rsidR="00875C19" w:rsidRPr="001569FB">
        <w:rPr>
          <w:noProof/>
        </w:rPr>
        <w:instrText>2</w:instrText>
      </w:r>
      <w:r w:rsidRPr="001569FB">
        <w:rPr>
          <w:noProof/>
        </w:rPr>
        <w:instrText xml:space="preserve">,Heading </w:instrText>
      </w:r>
      <w:r w:rsidR="00875C19" w:rsidRPr="001569FB">
        <w:rPr>
          <w:noProof/>
        </w:rPr>
        <w:instrText>3</w:instrText>
      </w:r>
      <w:r w:rsidRPr="001569FB">
        <w:rPr>
          <w:noProof/>
        </w:rPr>
        <w:instrText>,</w:instrText>
      </w:r>
      <w:r w:rsidR="00875C19" w:rsidRPr="001569FB">
        <w:rPr>
          <w:noProof/>
        </w:rPr>
        <w:instrText>3</w:instrText>
      </w:r>
      <w:r w:rsidRPr="001569FB">
        <w:rPr>
          <w:noProof/>
        </w:rPr>
        <w:instrText xml:space="preserve">" </w:instrText>
      </w:r>
      <w:r w:rsidRPr="001569FB">
        <w:rPr>
          <w:noProof/>
        </w:rPr>
        <w:fldChar w:fldCharType="separate"/>
      </w:r>
      <w:hyperlink w:anchor="_Toc505253826" w:history="1">
        <w:r w:rsidR="00C669E3" w:rsidRPr="001569FB">
          <w:rPr>
            <w:rStyle w:val="Hyperlink"/>
            <w:noProof/>
          </w:rPr>
          <w:t>Attachment VI. Draft CY 2019 Call</w:t>
        </w:r>
        <w:r w:rsidR="00C669E3" w:rsidRPr="001569FB">
          <w:rPr>
            <w:rStyle w:val="Hyperlink"/>
            <w:noProof/>
            <w:spacing w:val="-8"/>
          </w:rPr>
          <w:t xml:space="preserve"> </w:t>
        </w:r>
        <w:r w:rsidR="00C669E3" w:rsidRPr="001569FB">
          <w:rPr>
            <w:rStyle w:val="Hyperlink"/>
            <w:noProof/>
          </w:rPr>
          <w:t>Letter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_Toc505253826 \h </w:instrText>
        </w:r>
        <w:r w:rsidR="00C669E3" w:rsidRPr="001569FB">
          <w:rPr>
            <w:noProof/>
            <w:webHidden/>
          </w:rPr>
        </w:r>
        <w:r w:rsidR="00C669E3" w:rsidRPr="001569FB">
          <w:rPr>
            <w:noProof/>
            <w:webHidden/>
          </w:rPr>
          <w:fldChar w:fldCharType="separate"/>
        </w:r>
        <w:r w:rsidR="00A216EC">
          <w:rPr>
            <w:noProof/>
            <w:webHidden/>
          </w:rPr>
          <w:t>97</w:t>
        </w:r>
        <w:r w:rsidR="00C669E3" w:rsidRPr="001569FB">
          <w:rPr>
            <w:noProof/>
            <w:webHidden/>
          </w:rPr>
          <w:fldChar w:fldCharType="end"/>
        </w:r>
      </w:hyperlink>
    </w:p>
    <w:p w14:paraId="2054D6F9" w14:textId="3CE85674" w:rsidR="00C669E3" w:rsidRPr="001569FB" w:rsidRDefault="006B65AC">
      <w:pPr>
        <w:pStyle w:val="TOC2"/>
        <w:rPr>
          <w:rFonts w:asciiTheme="minorHAnsi" w:eastAsiaTheme="minorEastAsia" w:hAnsiTheme="minorHAnsi" w:cstheme="minorBidi"/>
          <w:bCs w:val="0"/>
          <w:sz w:val="22"/>
        </w:rPr>
      </w:pPr>
      <w:hyperlink w:anchor="_Toc505253827" w:history="1">
        <w:r w:rsidR="00C669E3" w:rsidRPr="001569FB">
          <w:rPr>
            <w:rStyle w:val="Hyperlink"/>
          </w:rPr>
          <w:t>How to Use This Call</w:t>
        </w:r>
        <w:r w:rsidR="00C669E3" w:rsidRPr="001569FB">
          <w:rPr>
            <w:rStyle w:val="Hyperlink"/>
            <w:spacing w:val="-7"/>
          </w:rPr>
          <w:t xml:space="preserve"> </w:t>
        </w:r>
        <w:r w:rsidR="00C669E3" w:rsidRPr="001569FB">
          <w:rPr>
            <w:rStyle w:val="Hyperlink"/>
          </w:rPr>
          <w:t>Letter</w:t>
        </w:r>
        <w:r w:rsidR="00C669E3" w:rsidRPr="001569FB">
          <w:rPr>
            <w:webHidden/>
            <w:spacing w:val="70"/>
          </w:rPr>
          <w:tab/>
        </w:r>
        <w:r w:rsidR="00C669E3" w:rsidRPr="001569FB">
          <w:rPr>
            <w:webHidden/>
          </w:rPr>
          <w:fldChar w:fldCharType="begin"/>
        </w:r>
        <w:r w:rsidR="00C669E3" w:rsidRPr="001569FB">
          <w:rPr>
            <w:webHidden/>
          </w:rPr>
          <w:instrText xml:space="preserve"> PAGEREF _Toc505253827 \h </w:instrText>
        </w:r>
        <w:r w:rsidR="00C669E3" w:rsidRPr="001569FB">
          <w:rPr>
            <w:webHidden/>
          </w:rPr>
        </w:r>
        <w:r w:rsidR="00C669E3" w:rsidRPr="001569FB">
          <w:rPr>
            <w:webHidden/>
          </w:rPr>
          <w:fldChar w:fldCharType="separate"/>
        </w:r>
        <w:r w:rsidR="00A216EC">
          <w:rPr>
            <w:webHidden/>
          </w:rPr>
          <w:t>99</w:t>
        </w:r>
        <w:r w:rsidR="00C669E3" w:rsidRPr="001569FB">
          <w:rPr>
            <w:webHidden/>
          </w:rPr>
          <w:fldChar w:fldCharType="end"/>
        </w:r>
      </w:hyperlink>
    </w:p>
    <w:p w14:paraId="71C7D244" w14:textId="725B6C13" w:rsidR="00C669E3" w:rsidRPr="001569FB" w:rsidRDefault="006B65AC">
      <w:pPr>
        <w:pStyle w:val="TOC2"/>
        <w:rPr>
          <w:rFonts w:asciiTheme="minorHAnsi" w:eastAsiaTheme="minorEastAsia" w:hAnsiTheme="minorHAnsi" w:cstheme="minorBidi"/>
          <w:bCs w:val="0"/>
          <w:sz w:val="22"/>
        </w:rPr>
      </w:pPr>
      <w:hyperlink w:anchor="_Toc505253828" w:history="1">
        <w:r w:rsidR="00C669E3" w:rsidRPr="001569FB">
          <w:rPr>
            <w:rStyle w:val="Hyperlink"/>
          </w:rPr>
          <w:t>Section I – Parts C and</w:t>
        </w:r>
        <w:r w:rsidR="00C669E3" w:rsidRPr="001569FB">
          <w:rPr>
            <w:rStyle w:val="Hyperlink"/>
            <w:spacing w:val="-5"/>
          </w:rPr>
          <w:t xml:space="preserve"> </w:t>
        </w:r>
        <w:r w:rsidR="00C669E3" w:rsidRPr="001569FB">
          <w:rPr>
            <w:rStyle w:val="Hyperlink"/>
          </w:rPr>
          <w:t>D</w:t>
        </w:r>
        <w:r w:rsidR="00C669E3" w:rsidRPr="001569FB">
          <w:rPr>
            <w:webHidden/>
            <w:spacing w:val="70"/>
          </w:rPr>
          <w:tab/>
        </w:r>
        <w:r w:rsidR="00C669E3" w:rsidRPr="001569FB">
          <w:rPr>
            <w:webHidden/>
          </w:rPr>
          <w:fldChar w:fldCharType="begin"/>
        </w:r>
        <w:r w:rsidR="00C669E3" w:rsidRPr="001569FB">
          <w:rPr>
            <w:webHidden/>
          </w:rPr>
          <w:instrText xml:space="preserve"> PAGEREF _Toc505253828 \h </w:instrText>
        </w:r>
        <w:r w:rsidR="00C669E3" w:rsidRPr="001569FB">
          <w:rPr>
            <w:webHidden/>
          </w:rPr>
        </w:r>
        <w:r w:rsidR="00C669E3" w:rsidRPr="001569FB">
          <w:rPr>
            <w:webHidden/>
          </w:rPr>
          <w:fldChar w:fldCharType="separate"/>
        </w:r>
        <w:r w:rsidR="00A216EC">
          <w:rPr>
            <w:webHidden/>
          </w:rPr>
          <w:t>100</w:t>
        </w:r>
        <w:r w:rsidR="00C669E3" w:rsidRPr="001569FB">
          <w:rPr>
            <w:webHidden/>
          </w:rPr>
          <w:fldChar w:fldCharType="end"/>
        </w:r>
      </w:hyperlink>
    </w:p>
    <w:p w14:paraId="19DA634E" w14:textId="23144698" w:rsidR="00C669E3" w:rsidRPr="001569FB" w:rsidRDefault="006B65AC">
      <w:pPr>
        <w:pStyle w:val="TOC3"/>
        <w:rPr>
          <w:rFonts w:asciiTheme="minorHAnsi" w:eastAsiaTheme="minorEastAsia" w:hAnsiTheme="minorHAnsi" w:cstheme="minorBidi"/>
          <w:noProof/>
          <w:sz w:val="22"/>
        </w:rPr>
      </w:pPr>
      <w:hyperlink w:anchor="_Toc505253829" w:history="1">
        <w:r w:rsidR="00C669E3" w:rsidRPr="001569FB">
          <w:rPr>
            <w:rStyle w:val="Hyperlink"/>
            <w:noProof/>
          </w:rPr>
          <w:t>Annual</w:t>
        </w:r>
        <w:r w:rsidR="00C669E3" w:rsidRPr="001569FB">
          <w:rPr>
            <w:rStyle w:val="Hyperlink"/>
            <w:noProof/>
            <w:spacing w:val="-3"/>
          </w:rPr>
          <w:t xml:space="preserve"> </w:t>
        </w:r>
        <w:r w:rsidR="00C669E3" w:rsidRPr="001569FB">
          <w:rPr>
            <w:rStyle w:val="Hyperlink"/>
            <w:noProof/>
          </w:rPr>
          <w:t>Calendar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_Toc505253829 \h </w:instrText>
        </w:r>
        <w:r w:rsidR="00C669E3" w:rsidRPr="001569FB">
          <w:rPr>
            <w:noProof/>
            <w:webHidden/>
          </w:rPr>
        </w:r>
        <w:r w:rsidR="00C669E3" w:rsidRPr="001569FB">
          <w:rPr>
            <w:noProof/>
            <w:webHidden/>
          </w:rPr>
          <w:fldChar w:fldCharType="separate"/>
        </w:r>
        <w:r w:rsidR="00A216EC">
          <w:rPr>
            <w:noProof/>
            <w:webHidden/>
          </w:rPr>
          <w:t>100</w:t>
        </w:r>
        <w:r w:rsidR="00C669E3" w:rsidRPr="001569FB">
          <w:rPr>
            <w:noProof/>
            <w:webHidden/>
          </w:rPr>
          <w:fldChar w:fldCharType="end"/>
        </w:r>
      </w:hyperlink>
    </w:p>
    <w:p w14:paraId="6A2070B0" w14:textId="7AE1C240" w:rsidR="00C669E3" w:rsidRPr="001569FB" w:rsidRDefault="006B65AC">
      <w:pPr>
        <w:pStyle w:val="TOC3"/>
        <w:rPr>
          <w:rFonts w:asciiTheme="minorHAnsi" w:eastAsiaTheme="minorEastAsia" w:hAnsiTheme="minorHAnsi" w:cstheme="minorBidi"/>
          <w:noProof/>
          <w:sz w:val="22"/>
        </w:rPr>
      </w:pPr>
      <w:hyperlink w:anchor="_Toc505253830" w:history="1">
        <w:r w:rsidR="00C669E3" w:rsidRPr="001569FB">
          <w:rPr>
            <w:rStyle w:val="Hyperlink"/>
            <w:noProof/>
          </w:rPr>
          <w:t>Enhancements to the 2019 Star Ratings and Future Measurement Concepts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_Toc505253830 \h </w:instrText>
        </w:r>
        <w:r w:rsidR="00C669E3" w:rsidRPr="001569FB">
          <w:rPr>
            <w:noProof/>
            <w:webHidden/>
          </w:rPr>
        </w:r>
        <w:r w:rsidR="00C669E3" w:rsidRPr="001569FB">
          <w:rPr>
            <w:noProof/>
            <w:webHidden/>
          </w:rPr>
          <w:fldChar w:fldCharType="separate"/>
        </w:r>
        <w:r w:rsidR="00A216EC">
          <w:rPr>
            <w:noProof/>
            <w:webHidden/>
          </w:rPr>
          <w:t>106</w:t>
        </w:r>
        <w:r w:rsidR="00C669E3" w:rsidRPr="001569FB">
          <w:rPr>
            <w:noProof/>
            <w:webHidden/>
          </w:rPr>
          <w:fldChar w:fldCharType="end"/>
        </w:r>
      </w:hyperlink>
    </w:p>
    <w:p w14:paraId="79900978" w14:textId="32523FA6" w:rsidR="00C669E3" w:rsidRPr="001569FB" w:rsidRDefault="006B65AC">
      <w:pPr>
        <w:pStyle w:val="TOC3"/>
        <w:rPr>
          <w:rFonts w:asciiTheme="minorHAnsi" w:eastAsiaTheme="minorEastAsia" w:hAnsiTheme="minorHAnsi" w:cstheme="minorBidi"/>
          <w:noProof/>
          <w:sz w:val="22"/>
        </w:rPr>
      </w:pPr>
      <w:hyperlink w:anchor="_Toc505253831" w:history="1">
        <w:r w:rsidR="00C669E3" w:rsidRPr="001569FB">
          <w:rPr>
            <w:rStyle w:val="Hyperlink"/>
            <w:noProof/>
          </w:rPr>
          <w:t>Incomplete and Inaccurate Bid</w:t>
        </w:r>
        <w:r w:rsidR="00C669E3" w:rsidRPr="001569FB">
          <w:rPr>
            <w:rStyle w:val="Hyperlink"/>
            <w:noProof/>
            <w:spacing w:val="-8"/>
          </w:rPr>
          <w:t xml:space="preserve"> </w:t>
        </w:r>
        <w:r w:rsidR="00C669E3" w:rsidRPr="001569FB">
          <w:rPr>
            <w:rStyle w:val="Hyperlink"/>
            <w:noProof/>
          </w:rPr>
          <w:t>Submissions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_Toc505253831 \h </w:instrText>
        </w:r>
        <w:r w:rsidR="00C669E3" w:rsidRPr="001569FB">
          <w:rPr>
            <w:noProof/>
            <w:webHidden/>
          </w:rPr>
        </w:r>
        <w:r w:rsidR="00C669E3" w:rsidRPr="001569FB">
          <w:rPr>
            <w:noProof/>
            <w:webHidden/>
          </w:rPr>
          <w:fldChar w:fldCharType="separate"/>
        </w:r>
        <w:r w:rsidR="00A216EC">
          <w:rPr>
            <w:noProof/>
            <w:webHidden/>
          </w:rPr>
          <w:t>157</w:t>
        </w:r>
        <w:r w:rsidR="00C669E3" w:rsidRPr="001569FB">
          <w:rPr>
            <w:noProof/>
            <w:webHidden/>
          </w:rPr>
          <w:fldChar w:fldCharType="end"/>
        </w:r>
      </w:hyperlink>
    </w:p>
    <w:p w14:paraId="25C83243" w14:textId="4D9904B1" w:rsidR="00C669E3" w:rsidRPr="001569FB" w:rsidRDefault="006B65AC">
      <w:pPr>
        <w:pStyle w:val="TOC3"/>
        <w:rPr>
          <w:rFonts w:asciiTheme="minorHAnsi" w:eastAsiaTheme="minorEastAsia" w:hAnsiTheme="minorHAnsi" w:cstheme="minorBidi"/>
          <w:noProof/>
          <w:sz w:val="22"/>
        </w:rPr>
      </w:pPr>
      <w:hyperlink w:anchor="_Toc505253832" w:history="1">
        <w:r w:rsidR="00C669E3" w:rsidRPr="001569FB">
          <w:rPr>
            <w:rStyle w:val="Hyperlink"/>
            <w:noProof/>
          </w:rPr>
          <w:t>Plan</w:t>
        </w:r>
        <w:r w:rsidR="00C669E3" w:rsidRPr="001569FB">
          <w:rPr>
            <w:rStyle w:val="Hyperlink"/>
            <w:noProof/>
            <w:spacing w:val="-2"/>
          </w:rPr>
          <w:t xml:space="preserve"> </w:t>
        </w:r>
        <w:r w:rsidR="00C669E3" w:rsidRPr="001569FB">
          <w:rPr>
            <w:rStyle w:val="Hyperlink"/>
            <w:noProof/>
          </w:rPr>
          <w:t>Corrections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_Toc505253832 \h </w:instrText>
        </w:r>
        <w:r w:rsidR="00C669E3" w:rsidRPr="001569FB">
          <w:rPr>
            <w:noProof/>
            <w:webHidden/>
          </w:rPr>
        </w:r>
        <w:r w:rsidR="00C669E3" w:rsidRPr="001569FB">
          <w:rPr>
            <w:noProof/>
            <w:webHidden/>
          </w:rPr>
          <w:fldChar w:fldCharType="separate"/>
        </w:r>
        <w:r w:rsidR="00A216EC">
          <w:rPr>
            <w:noProof/>
            <w:webHidden/>
          </w:rPr>
          <w:t>159</w:t>
        </w:r>
        <w:r w:rsidR="00C669E3" w:rsidRPr="001569FB">
          <w:rPr>
            <w:noProof/>
            <w:webHidden/>
          </w:rPr>
          <w:fldChar w:fldCharType="end"/>
        </w:r>
      </w:hyperlink>
    </w:p>
    <w:p w14:paraId="0C3CFCF3" w14:textId="309BA78E" w:rsidR="00C669E3" w:rsidRPr="001569FB" w:rsidRDefault="006B65AC">
      <w:pPr>
        <w:pStyle w:val="TOC3"/>
        <w:rPr>
          <w:rFonts w:asciiTheme="minorHAnsi" w:eastAsiaTheme="minorEastAsia" w:hAnsiTheme="minorHAnsi" w:cstheme="minorBidi"/>
          <w:noProof/>
          <w:sz w:val="22"/>
        </w:rPr>
      </w:pPr>
      <w:hyperlink w:anchor="_Toc505253833" w:history="1">
        <w:r w:rsidR="00C669E3" w:rsidRPr="001569FB">
          <w:rPr>
            <w:rStyle w:val="Hyperlink"/>
            <w:noProof/>
          </w:rPr>
          <w:t>Validation Audits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_Toc505253833 \h </w:instrText>
        </w:r>
        <w:r w:rsidR="00C669E3" w:rsidRPr="001569FB">
          <w:rPr>
            <w:noProof/>
            <w:webHidden/>
          </w:rPr>
        </w:r>
        <w:r w:rsidR="00C669E3" w:rsidRPr="001569FB">
          <w:rPr>
            <w:noProof/>
            <w:webHidden/>
          </w:rPr>
          <w:fldChar w:fldCharType="separate"/>
        </w:r>
        <w:r w:rsidR="00A216EC">
          <w:rPr>
            <w:noProof/>
            <w:webHidden/>
          </w:rPr>
          <w:t>159</w:t>
        </w:r>
        <w:r w:rsidR="00C669E3" w:rsidRPr="001569FB">
          <w:rPr>
            <w:noProof/>
            <w:webHidden/>
          </w:rPr>
          <w:fldChar w:fldCharType="end"/>
        </w:r>
      </w:hyperlink>
    </w:p>
    <w:p w14:paraId="1AC0AA21" w14:textId="32BF933C" w:rsidR="00C669E3" w:rsidRPr="001569FB" w:rsidRDefault="006B65AC">
      <w:pPr>
        <w:pStyle w:val="TOC3"/>
        <w:rPr>
          <w:rFonts w:asciiTheme="minorHAnsi" w:eastAsiaTheme="minorEastAsia" w:hAnsiTheme="minorHAnsi" w:cstheme="minorBidi"/>
          <w:noProof/>
          <w:sz w:val="22"/>
        </w:rPr>
      </w:pPr>
      <w:hyperlink w:anchor="_Toc505253834" w:history="1">
        <w:r w:rsidR="00C669E3" w:rsidRPr="001569FB">
          <w:rPr>
            <w:rStyle w:val="Hyperlink"/>
            <w:noProof/>
          </w:rPr>
          <w:t>Plan Finder Civil Money Penalty (CMP) Icon or Other Type of Notice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_Toc505253834 \h </w:instrText>
        </w:r>
        <w:r w:rsidR="00C669E3" w:rsidRPr="001569FB">
          <w:rPr>
            <w:noProof/>
            <w:webHidden/>
          </w:rPr>
        </w:r>
        <w:r w:rsidR="00C669E3" w:rsidRPr="001569FB">
          <w:rPr>
            <w:noProof/>
            <w:webHidden/>
          </w:rPr>
          <w:fldChar w:fldCharType="separate"/>
        </w:r>
        <w:r w:rsidR="00A216EC">
          <w:rPr>
            <w:noProof/>
            <w:webHidden/>
          </w:rPr>
          <w:t>164</w:t>
        </w:r>
        <w:r w:rsidR="00C669E3" w:rsidRPr="001569FB">
          <w:rPr>
            <w:noProof/>
            <w:webHidden/>
          </w:rPr>
          <w:fldChar w:fldCharType="end"/>
        </w:r>
      </w:hyperlink>
    </w:p>
    <w:p w14:paraId="6C4B8223" w14:textId="21F8E708" w:rsidR="00C669E3" w:rsidRPr="001569FB" w:rsidRDefault="006B65AC">
      <w:pPr>
        <w:pStyle w:val="TOC3"/>
        <w:rPr>
          <w:rFonts w:asciiTheme="minorHAnsi" w:eastAsiaTheme="minorEastAsia" w:hAnsiTheme="minorHAnsi" w:cstheme="minorBidi"/>
          <w:noProof/>
          <w:sz w:val="22"/>
        </w:rPr>
      </w:pPr>
      <w:hyperlink w:anchor="_Toc505253835" w:history="1">
        <w:r w:rsidR="00C669E3" w:rsidRPr="001569FB">
          <w:rPr>
            <w:rStyle w:val="Hyperlink"/>
            <w:noProof/>
          </w:rPr>
          <w:t>Enforcement Actions for Provider Directories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_Toc505253835 \h </w:instrText>
        </w:r>
        <w:r w:rsidR="00C669E3" w:rsidRPr="001569FB">
          <w:rPr>
            <w:noProof/>
            <w:webHidden/>
          </w:rPr>
        </w:r>
        <w:r w:rsidR="00C669E3" w:rsidRPr="001569FB">
          <w:rPr>
            <w:noProof/>
            <w:webHidden/>
          </w:rPr>
          <w:fldChar w:fldCharType="separate"/>
        </w:r>
        <w:r w:rsidR="00A216EC">
          <w:rPr>
            <w:noProof/>
            <w:webHidden/>
          </w:rPr>
          <w:t>165</w:t>
        </w:r>
        <w:r w:rsidR="00C669E3" w:rsidRPr="001569FB">
          <w:rPr>
            <w:noProof/>
            <w:webHidden/>
          </w:rPr>
          <w:fldChar w:fldCharType="end"/>
        </w:r>
      </w:hyperlink>
    </w:p>
    <w:p w14:paraId="27CC63DD" w14:textId="4949D6FF" w:rsidR="00C669E3" w:rsidRPr="001569FB" w:rsidRDefault="006B65AC">
      <w:pPr>
        <w:pStyle w:val="TOC3"/>
        <w:rPr>
          <w:rFonts w:asciiTheme="minorHAnsi" w:eastAsiaTheme="minorEastAsia" w:hAnsiTheme="minorHAnsi" w:cstheme="minorBidi"/>
          <w:noProof/>
          <w:sz w:val="22"/>
        </w:rPr>
      </w:pPr>
      <w:hyperlink w:anchor="_Toc505253836" w:history="1">
        <w:r w:rsidR="00C669E3" w:rsidRPr="001569FB">
          <w:rPr>
            <w:rStyle w:val="Hyperlink"/>
            <w:noProof/>
          </w:rPr>
          <w:t>Audit of the Sponsoring Organization’s Compliance Program Effectiveness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_Toc505253836 \h </w:instrText>
        </w:r>
        <w:r w:rsidR="00C669E3" w:rsidRPr="001569FB">
          <w:rPr>
            <w:noProof/>
            <w:webHidden/>
          </w:rPr>
        </w:r>
        <w:r w:rsidR="00C669E3" w:rsidRPr="001569FB">
          <w:rPr>
            <w:noProof/>
            <w:webHidden/>
          </w:rPr>
          <w:fldChar w:fldCharType="separate"/>
        </w:r>
        <w:r w:rsidR="00A216EC">
          <w:rPr>
            <w:noProof/>
            <w:webHidden/>
          </w:rPr>
          <w:t>165</w:t>
        </w:r>
        <w:r w:rsidR="00C669E3" w:rsidRPr="001569FB">
          <w:rPr>
            <w:noProof/>
            <w:webHidden/>
          </w:rPr>
          <w:fldChar w:fldCharType="end"/>
        </w:r>
      </w:hyperlink>
    </w:p>
    <w:p w14:paraId="671FE588" w14:textId="47034703" w:rsidR="00C669E3" w:rsidRPr="001569FB" w:rsidRDefault="006B65AC">
      <w:pPr>
        <w:pStyle w:val="TOC3"/>
        <w:rPr>
          <w:rFonts w:asciiTheme="minorHAnsi" w:eastAsiaTheme="minorEastAsia" w:hAnsiTheme="minorHAnsi" w:cstheme="minorBidi"/>
          <w:noProof/>
          <w:sz w:val="22"/>
        </w:rPr>
      </w:pPr>
      <w:hyperlink w:anchor="_Toc505253837" w:history="1">
        <w:r w:rsidR="00C669E3" w:rsidRPr="001569FB">
          <w:rPr>
            <w:rStyle w:val="Hyperlink"/>
            <w:noProof/>
          </w:rPr>
          <w:t>Innovations in Health Plan Design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_Toc505253837 \h </w:instrText>
        </w:r>
        <w:r w:rsidR="00C669E3" w:rsidRPr="001569FB">
          <w:rPr>
            <w:noProof/>
            <w:webHidden/>
          </w:rPr>
        </w:r>
        <w:r w:rsidR="00C669E3" w:rsidRPr="001569FB">
          <w:rPr>
            <w:noProof/>
            <w:webHidden/>
          </w:rPr>
          <w:fldChar w:fldCharType="separate"/>
        </w:r>
        <w:r w:rsidR="00A216EC">
          <w:rPr>
            <w:noProof/>
            <w:webHidden/>
          </w:rPr>
          <w:t>166</w:t>
        </w:r>
        <w:r w:rsidR="00C669E3" w:rsidRPr="001569FB">
          <w:rPr>
            <w:noProof/>
            <w:webHidden/>
          </w:rPr>
          <w:fldChar w:fldCharType="end"/>
        </w:r>
      </w:hyperlink>
    </w:p>
    <w:p w14:paraId="4DB580DA" w14:textId="0EEBCFE5" w:rsidR="00C669E3" w:rsidRPr="001569FB" w:rsidRDefault="006B65AC">
      <w:pPr>
        <w:pStyle w:val="TOC3"/>
        <w:rPr>
          <w:rFonts w:asciiTheme="minorHAnsi" w:eastAsiaTheme="minorEastAsia" w:hAnsiTheme="minorHAnsi" w:cstheme="minorBidi"/>
          <w:noProof/>
          <w:sz w:val="22"/>
        </w:rPr>
      </w:pPr>
      <w:hyperlink w:anchor="_Toc505253838" w:history="1">
        <w:r w:rsidR="00C669E3" w:rsidRPr="001569FB">
          <w:rPr>
            <w:rStyle w:val="Hyperlink"/>
            <w:noProof/>
          </w:rPr>
          <w:t>New Medicare Card Project (formerly the Social Security Number Removal Initiative, SSNRI)</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_Toc505253838 \h </w:instrText>
        </w:r>
        <w:r w:rsidR="00C669E3" w:rsidRPr="001569FB">
          <w:rPr>
            <w:noProof/>
            <w:webHidden/>
          </w:rPr>
        </w:r>
        <w:r w:rsidR="00C669E3" w:rsidRPr="001569FB">
          <w:rPr>
            <w:noProof/>
            <w:webHidden/>
          </w:rPr>
          <w:fldChar w:fldCharType="separate"/>
        </w:r>
        <w:r w:rsidR="00A216EC">
          <w:rPr>
            <w:noProof/>
            <w:webHidden/>
          </w:rPr>
          <w:t>167</w:t>
        </w:r>
        <w:r w:rsidR="00C669E3" w:rsidRPr="001569FB">
          <w:rPr>
            <w:noProof/>
            <w:webHidden/>
          </w:rPr>
          <w:fldChar w:fldCharType="end"/>
        </w:r>
      </w:hyperlink>
    </w:p>
    <w:p w14:paraId="471CFAFE" w14:textId="35A32E9B" w:rsidR="00C669E3" w:rsidRPr="001569FB" w:rsidRDefault="006B65AC">
      <w:pPr>
        <w:pStyle w:val="TOC2"/>
        <w:rPr>
          <w:rFonts w:asciiTheme="minorHAnsi" w:eastAsiaTheme="minorEastAsia" w:hAnsiTheme="minorHAnsi" w:cstheme="minorBidi"/>
          <w:bCs w:val="0"/>
          <w:sz w:val="22"/>
        </w:rPr>
      </w:pPr>
      <w:hyperlink w:anchor="_Toc505253839" w:history="1">
        <w:r w:rsidR="00C669E3" w:rsidRPr="001569FB">
          <w:rPr>
            <w:rStyle w:val="Hyperlink"/>
          </w:rPr>
          <w:t>Section II – Part</w:t>
        </w:r>
        <w:r w:rsidR="00C669E3" w:rsidRPr="001569FB">
          <w:rPr>
            <w:rStyle w:val="Hyperlink"/>
            <w:spacing w:val="-4"/>
          </w:rPr>
          <w:t xml:space="preserve"> </w:t>
        </w:r>
        <w:r w:rsidR="00C669E3" w:rsidRPr="001569FB">
          <w:rPr>
            <w:rStyle w:val="Hyperlink"/>
          </w:rPr>
          <w:t>C</w:t>
        </w:r>
        <w:r w:rsidR="00C669E3" w:rsidRPr="001569FB">
          <w:rPr>
            <w:webHidden/>
            <w:spacing w:val="70"/>
          </w:rPr>
          <w:tab/>
        </w:r>
        <w:r w:rsidR="00C669E3" w:rsidRPr="001569FB">
          <w:rPr>
            <w:webHidden/>
          </w:rPr>
          <w:fldChar w:fldCharType="begin"/>
        </w:r>
        <w:r w:rsidR="00C669E3" w:rsidRPr="001569FB">
          <w:rPr>
            <w:webHidden/>
          </w:rPr>
          <w:instrText xml:space="preserve"> PAGEREF _Toc505253839 \h </w:instrText>
        </w:r>
        <w:r w:rsidR="00C669E3" w:rsidRPr="001569FB">
          <w:rPr>
            <w:webHidden/>
          </w:rPr>
        </w:r>
        <w:r w:rsidR="00C669E3" w:rsidRPr="001569FB">
          <w:rPr>
            <w:webHidden/>
          </w:rPr>
          <w:fldChar w:fldCharType="separate"/>
        </w:r>
        <w:r w:rsidR="00A216EC">
          <w:rPr>
            <w:webHidden/>
          </w:rPr>
          <w:t>168</w:t>
        </w:r>
        <w:r w:rsidR="00C669E3" w:rsidRPr="001569FB">
          <w:rPr>
            <w:webHidden/>
          </w:rPr>
          <w:fldChar w:fldCharType="end"/>
        </w:r>
      </w:hyperlink>
    </w:p>
    <w:p w14:paraId="3DD5CD46" w14:textId="374F871A" w:rsidR="00C669E3" w:rsidRPr="001569FB" w:rsidRDefault="006B65AC">
      <w:pPr>
        <w:pStyle w:val="TOC3"/>
        <w:rPr>
          <w:rFonts w:asciiTheme="minorHAnsi" w:eastAsiaTheme="minorEastAsia" w:hAnsiTheme="minorHAnsi" w:cstheme="minorBidi"/>
          <w:noProof/>
          <w:sz w:val="22"/>
        </w:rPr>
      </w:pPr>
      <w:hyperlink w:anchor="_Toc505253840" w:history="1">
        <w:r w:rsidR="00C669E3" w:rsidRPr="001569FB">
          <w:rPr>
            <w:rStyle w:val="Hyperlink"/>
            <w:rFonts w:eastAsia="Calibri"/>
            <w:noProof/>
          </w:rPr>
          <w:t>Special Needs Plan (SNP) Legislative Sunset Provision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_Toc505253840 \h </w:instrText>
        </w:r>
        <w:r w:rsidR="00C669E3" w:rsidRPr="001569FB">
          <w:rPr>
            <w:noProof/>
            <w:webHidden/>
          </w:rPr>
        </w:r>
        <w:r w:rsidR="00C669E3" w:rsidRPr="001569FB">
          <w:rPr>
            <w:noProof/>
            <w:webHidden/>
          </w:rPr>
          <w:fldChar w:fldCharType="separate"/>
        </w:r>
        <w:r w:rsidR="00A216EC">
          <w:rPr>
            <w:noProof/>
            <w:webHidden/>
          </w:rPr>
          <w:t>168</w:t>
        </w:r>
        <w:r w:rsidR="00C669E3" w:rsidRPr="001569FB">
          <w:rPr>
            <w:noProof/>
            <w:webHidden/>
          </w:rPr>
          <w:fldChar w:fldCharType="end"/>
        </w:r>
      </w:hyperlink>
    </w:p>
    <w:p w14:paraId="4E30B897" w14:textId="492A699F" w:rsidR="00C669E3" w:rsidRPr="001569FB" w:rsidRDefault="006B65AC">
      <w:pPr>
        <w:pStyle w:val="TOC3"/>
        <w:rPr>
          <w:rFonts w:asciiTheme="minorHAnsi" w:eastAsiaTheme="minorEastAsia" w:hAnsiTheme="minorHAnsi" w:cstheme="minorBidi"/>
          <w:noProof/>
          <w:sz w:val="22"/>
        </w:rPr>
      </w:pPr>
      <w:hyperlink w:anchor="_Toc505253841" w:history="1">
        <w:r w:rsidR="00C669E3" w:rsidRPr="001569FB">
          <w:rPr>
            <w:rStyle w:val="Hyperlink"/>
            <w:noProof/>
            <w:lang w:val="en"/>
          </w:rPr>
          <w:t>Overview of CY 2019 Benefits and Bid Review</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_Toc505253841 \h </w:instrText>
        </w:r>
        <w:r w:rsidR="00C669E3" w:rsidRPr="001569FB">
          <w:rPr>
            <w:noProof/>
            <w:webHidden/>
          </w:rPr>
        </w:r>
        <w:r w:rsidR="00C669E3" w:rsidRPr="001569FB">
          <w:rPr>
            <w:noProof/>
            <w:webHidden/>
          </w:rPr>
          <w:fldChar w:fldCharType="separate"/>
        </w:r>
        <w:r w:rsidR="00A216EC">
          <w:rPr>
            <w:noProof/>
            <w:webHidden/>
          </w:rPr>
          <w:t>168</w:t>
        </w:r>
        <w:r w:rsidR="00C669E3" w:rsidRPr="001569FB">
          <w:rPr>
            <w:noProof/>
            <w:webHidden/>
          </w:rPr>
          <w:fldChar w:fldCharType="end"/>
        </w:r>
      </w:hyperlink>
    </w:p>
    <w:p w14:paraId="3E26619B" w14:textId="04D619FA" w:rsidR="00C669E3" w:rsidRPr="001569FB" w:rsidRDefault="006B65AC">
      <w:pPr>
        <w:pStyle w:val="TOC3"/>
        <w:rPr>
          <w:rFonts w:asciiTheme="minorHAnsi" w:eastAsiaTheme="minorEastAsia" w:hAnsiTheme="minorHAnsi" w:cstheme="minorBidi"/>
          <w:noProof/>
          <w:sz w:val="22"/>
        </w:rPr>
      </w:pPr>
      <w:hyperlink w:anchor="_Toc505253842" w:history="1">
        <w:r w:rsidR="00C669E3" w:rsidRPr="001569FB">
          <w:rPr>
            <w:rStyle w:val="Hyperlink"/>
            <w:noProof/>
          </w:rPr>
          <w:t>Plans with Low Enrollment</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_Toc505253842 \h </w:instrText>
        </w:r>
        <w:r w:rsidR="00C669E3" w:rsidRPr="001569FB">
          <w:rPr>
            <w:noProof/>
            <w:webHidden/>
          </w:rPr>
        </w:r>
        <w:r w:rsidR="00C669E3" w:rsidRPr="001569FB">
          <w:rPr>
            <w:noProof/>
            <w:webHidden/>
          </w:rPr>
          <w:fldChar w:fldCharType="separate"/>
        </w:r>
        <w:r w:rsidR="00A216EC">
          <w:rPr>
            <w:noProof/>
            <w:webHidden/>
          </w:rPr>
          <w:t>170</w:t>
        </w:r>
        <w:r w:rsidR="00C669E3" w:rsidRPr="001569FB">
          <w:rPr>
            <w:noProof/>
            <w:webHidden/>
          </w:rPr>
          <w:fldChar w:fldCharType="end"/>
        </w:r>
      </w:hyperlink>
    </w:p>
    <w:p w14:paraId="617B4E99" w14:textId="73BA05A8" w:rsidR="00C669E3" w:rsidRPr="001569FB" w:rsidRDefault="006B65AC">
      <w:pPr>
        <w:pStyle w:val="TOC3"/>
        <w:rPr>
          <w:rFonts w:asciiTheme="minorHAnsi" w:eastAsiaTheme="minorEastAsia" w:hAnsiTheme="minorHAnsi" w:cstheme="minorBidi"/>
          <w:noProof/>
          <w:sz w:val="22"/>
        </w:rPr>
      </w:pPr>
      <w:hyperlink w:anchor="_Toc505253843" w:history="1">
        <w:r w:rsidR="00C669E3" w:rsidRPr="001569FB">
          <w:rPr>
            <w:rStyle w:val="Hyperlink"/>
            <w:noProof/>
          </w:rPr>
          <w:t>Meaningful Difference (Substantially Duplicative Plan Offerings)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_Toc505253843 \h </w:instrText>
        </w:r>
        <w:r w:rsidR="00C669E3" w:rsidRPr="001569FB">
          <w:rPr>
            <w:noProof/>
            <w:webHidden/>
          </w:rPr>
        </w:r>
        <w:r w:rsidR="00C669E3" w:rsidRPr="001569FB">
          <w:rPr>
            <w:noProof/>
            <w:webHidden/>
          </w:rPr>
          <w:fldChar w:fldCharType="separate"/>
        </w:r>
        <w:r w:rsidR="00A216EC">
          <w:rPr>
            <w:noProof/>
            <w:webHidden/>
          </w:rPr>
          <w:t>170</w:t>
        </w:r>
        <w:r w:rsidR="00C669E3" w:rsidRPr="001569FB">
          <w:rPr>
            <w:noProof/>
            <w:webHidden/>
          </w:rPr>
          <w:fldChar w:fldCharType="end"/>
        </w:r>
      </w:hyperlink>
    </w:p>
    <w:p w14:paraId="528334DF" w14:textId="0D9DF55C" w:rsidR="00C669E3" w:rsidRPr="001569FB" w:rsidRDefault="006B65AC">
      <w:pPr>
        <w:pStyle w:val="TOC3"/>
        <w:rPr>
          <w:rFonts w:asciiTheme="minorHAnsi" w:eastAsiaTheme="minorEastAsia" w:hAnsiTheme="minorHAnsi" w:cstheme="minorBidi"/>
          <w:noProof/>
          <w:sz w:val="22"/>
        </w:rPr>
      </w:pPr>
      <w:hyperlink w:anchor="_Toc505253844" w:history="1">
        <w:r w:rsidR="00C669E3" w:rsidRPr="001569FB">
          <w:rPr>
            <w:rStyle w:val="Hyperlink"/>
            <w:noProof/>
          </w:rPr>
          <w:t>Total Beneficiary Cost (TBC)</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_Toc505253844 \h </w:instrText>
        </w:r>
        <w:r w:rsidR="00C669E3" w:rsidRPr="001569FB">
          <w:rPr>
            <w:noProof/>
            <w:webHidden/>
          </w:rPr>
        </w:r>
        <w:r w:rsidR="00C669E3" w:rsidRPr="001569FB">
          <w:rPr>
            <w:noProof/>
            <w:webHidden/>
          </w:rPr>
          <w:fldChar w:fldCharType="separate"/>
        </w:r>
        <w:r w:rsidR="00A216EC">
          <w:rPr>
            <w:noProof/>
            <w:webHidden/>
          </w:rPr>
          <w:t>171</w:t>
        </w:r>
        <w:r w:rsidR="00C669E3" w:rsidRPr="001569FB">
          <w:rPr>
            <w:noProof/>
            <w:webHidden/>
          </w:rPr>
          <w:fldChar w:fldCharType="end"/>
        </w:r>
      </w:hyperlink>
    </w:p>
    <w:p w14:paraId="0E90416E" w14:textId="7F896AC7" w:rsidR="00C669E3" w:rsidRPr="001569FB" w:rsidRDefault="006B65AC">
      <w:pPr>
        <w:pStyle w:val="TOC3"/>
        <w:rPr>
          <w:rFonts w:asciiTheme="minorHAnsi" w:eastAsiaTheme="minorEastAsia" w:hAnsiTheme="minorHAnsi" w:cstheme="minorBidi"/>
          <w:noProof/>
          <w:sz w:val="22"/>
        </w:rPr>
      </w:pPr>
      <w:hyperlink w:anchor="_Toc505253845" w:history="1">
        <w:r w:rsidR="00C669E3" w:rsidRPr="001569FB">
          <w:rPr>
            <w:rStyle w:val="Hyperlink"/>
            <w:noProof/>
          </w:rPr>
          <w:t>Maximum Out-of-Pocket (MOOP) Limits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_Toc505253845 \h </w:instrText>
        </w:r>
        <w:r w:rsidR="00C669E3" w:rsidRPr="001569FB">
          <w:rPr>
            <w:noProof/>
            <w:webHidden/>
          </w:rPr>
        </w:r>
        <w:r w:rsidR="00C669E3" w:rsidRPr="001569FB">
          <w:rPr>
            <w:noProof/>
            <w:webHidden/>
          </w:rPr>
          <w:fldChar w:fldCharType="separate"/>
        </w:r>
        <w:r w:rsidR="00A216EC">
          <w:rPr>
            <w:noProof/>
            <w:webHidden/>
          </w:rPr>
          <w:t>174</w:t>
        </w:r>
        <w:r w:rsidR="00C669E3" w:rsidRPr="001569FB">
          <w:rPr>
            <w:noProof/>
            <w:webHidden/>
          </w:rPr>
          <w:fldChar w:fldCharType="end"/>
        </w:r>
      </w:hyperlink>
    </w:p>
    <w:p w14:paraId="4F2ADA73" w14:textId="024DCEE3" w:rsidR="00C669E3" w:rsidRPr="001569FB" w:rsidRDefault="006B65AC">
      <w:pPr>
        <w:pStyle w:val="TOC3"/>
        <w:rPr>
          <w:rFonts w:asciiTheme="minorHAnsi" w:eastAsiaTheme="minorEastAsia" w:hAnsiTheme="minorHAnsi" w:cstheme="minorBidi"/>
          <w:noProof/>
          <w:sz w:val="22"/>
        </w:rPr>
      </w:pPr>
      <w:hyperlink w:anchor="_Toc505253846" w:history="1">
        <w:r w:rsidR="00C669E3" w:rsidRPr="001569FB">
          <w:rPr>
            <w:rStyle w:val="Hyperlink"/>
            <w:noProof/>
          </w:rPr>
          <w:t>Per Member Per Month (PMPM) Actuarial Equivalent (AE) Cost Sharing Limits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_Toc505253846 \h </w:instrText>
        </w:r>
        <w:r w:rsidR="00C669E3" w:rsidRPr="001569FB">
          <w:rPr>
            <w:noProof/>
            <w:webHidden/>
          </w:rPr>
        </w:r>
        <w:r w:rsidR="00C669E3" w:rsidRPr="001569FB">
          <w:rPr>
            <w:noProof/>
            <w:webHidden/>
          </w:rPr>
          <w:fldChar w:fldCharType="separate"/>
        </w:r>
        <w:r w:rsidR="00A216EC">
          <w:rPr>
            <w:noProof/>
            <w:webHidden/>
          </w:rPr>
          <w:t>175</w:t>
        </w:r>
        <w:r w:rsidR="00C669E3" w:rsidRPr="001569FB">
          <w:rPr>
            <w:noProof/>
            <w:webHidden/>
          </w:rPr>
          <w:fldChar w:fldCharType="end"/>
        </w:r>
      </w:hyperlink>
    </w:p>
    <w:p w14:paraId="3A0B3E2D" w14:textId="5AD3DB7E" w:rsidR="00C669E3" w:rsidRPr="001569FB" w:rsidRDefault="006B65AC">
      <w:pPr>
        <w:pStyle w:val="TOC3"/>
        <w:rPr>
          <w:rFonts w:asciiTheme="minorHAnsi" w:eastAsiaTheme="minorEastAsia" w:hAnsiTheme="minorHAnsi" w:cstheme="minorBidi"/>
          <w:noProof/>
          <w:sz w:val="22"/>
        </w:rPr>
      </w:pPr>
      <w:hyperlink w:anchor="_Toc505253847" w:history="1">
        <w:r w:rsidR="00C669E3" w:rsidRPr="001569FB">
          <w:rPr>
            <w:rStyle w:val="Hyperlink"/>
            <w:noProof/>
          </w:rPr>
          <w:t>Part C Cost Sharing Standards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_Toc505253847 \h </w:instrText>
        </w:r>
        <w:r w:rsidR="00C669E3" w:rsidRPr="001569FB">
          <w:rPr>
            <w:noProof/>
            <w:webHidden/>
          </w:rPr>
        </w:r>
        <w:r w:rsidR="00C669E3" w:rsidRPr="001569FB">
          <w:rPr>
            <w:noProof/>
            <w:webHidden/>
          </w:rPr>
          <w:fldChar w:fldCharType="separate"/>
        </w:r>
        <w:r w:rsidR="00A216EC">
          <w:rPr>
            <w:noProof/>
            <w:webHidden/>
          </w:rPr>
          <w:t>176</w:t>
        </w:r>
        <w:r w:rsidR="00C669E3" w:rsidRPr="001569FB">
          <w:rPr>
            <w:noProof/>
            <w:webHidden/>
          </w:rPr>
          <w:fldChar w:fldCharType="end"/>
        </w:r>
      </w:hyperlink>
    </w:p>
    <w:p w14:paraId="5C5D1A5D" w14:textId="4CDD1364" w:rsidR="00C669E3" w:rsidRPr="001569FB" w:rsidRDefault="006B65AC">
      <w:pPr>
        <w:pStyle w:val="TOC3"/>
        <w:rPr>
          <w:rFonts w:asciiTheme="minorHAnsi" w:eastAsiaTheme="minorEastAsia" w:hAnsiTheme="minorHAnsi" w:cstheme="minorBidi"/>
          <w:noProof/>
          <w:sz w:val="22"/>
        </w:rPr>
      </w:pPr>
      <w:hyperlink w:anchor="_Toc505253848" w:history="1">
        <w:r w:rsidR="00C669E3" w:rsidRPr="001569FB">
          <w:rPr>
            <w:rStyle w:val="Hyperlink"/>
            <w:noProof/>
          </w:rPr>
          <w:t>Part C Optional Supplemental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_Toc505253848 \h </w:instrText>
        </w:r>
        <w:r w:rsidR="00C669E3" w:rsidRPr="001569FB">
          <w:rPr>
            <w:noProof/>
            <w:webHidden/>
          </w:rPr>
        </w:r>
        <w:r w:rsidR="00C669E3" w:rsidRPr="001569FB">
          <w:rPr>
            <w:noProof/>
            <w:webHidden/>
          </w:rPr>
          <w:fldChar w:fldCharType="separate"/>
        </w:r>
        <w:r w:rsidR="00A216EC">
          <w:rPr>
            <w:noProof/>
            <w:webHidden/>
          </w:rPr>
          <w:t>180</w:t>
        </w:r>
        <w:r w:rsidR="00C669E3" w:rsidRPr="001569FB">
          <w:rPr>
            <w:noProof/>
            <w:webHidden/>
          </w:rPr>
          <w:fldChar w:fldCharType="end"/>
        </w:r>
      </w:hyperlink>
    </w:p>
    <w:p w14:paraId="7AC94FB4" w14:textId="5577964E" w:rsidR="00C669E3" w:rsidRPr="001569FB" w:rsidRDefault="006B65AC">
      <w:pPr>
        <w:pStyle w:val="TOC3"/>
        <w:rPr>
          <w:rFonts w:asciiTheme="minorHAnsi" w:eastAsiaTheme="minorEastAsia" w:hAnsiTheme="minorHAnsi" w:cstheme="minorBidi"/>
          <w:noProof/>
          <w:sz w:val="22"/>
        </w:rPr>
      </w:pPr>
      <w:hyperlink w:anchor="_Toc505253849" w:history="1">
        <w:r w:rsidR="00C669E3" w:rsidRPr="001569FB">
          <w:rPr>
            <w:rStyle w:val="Hyperlink"/>
            <w:noProof/>
          </w:rPr>
          <w:t>Employer Group Waiver Plans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_Toc505253849 \h </w:instrText>
        </w:r>
        <w:r w:rsidR="00C669E3" w:rsidRPr="001569FB">
          <w:rPr>
            <w:noProof/>
            <w:webHidden/>
          </w:rPr>
        </w:r>
        <w:r w:rsidR="00C669E3" w:rsidRPr="001569FB">
          <w:rPr>
            <w:noProof/>
            <w:webHidden/>
          </w:rPr>
          <w:fldChar w:fldCharType="separate"/>
        </w:r>
        <w:r w:rsidR="00A216EC">
          <w:rPr>
            <w:noProof/>
            <w:webHidden/>
          </w:rPr>
          <w:t>181</w:t>
        </w:r>
        <w:r w:rsidR="00C669E3" w:rsidRPr="001569FB">
          <w:rPr>
            <w:noProof/>
            <w:webHidden/>
          </w:rPr>
          <w:fldChar w:fldCharType="end"/>
        </w:r>
      </w:hyperlink>
    </w:p>
    <w:p w14:paraId="18039824" w14:textId="6A49C7E8" w:rsidR="00C669E3" w:rsidRPr="001569FB" w:rsidRDefault="006B65AC">
      <w:pPr>
        <w:pStyle w:val="TOC3"/>
        <w:rPr>
          <w:rFonts w:asciiTheme="minorHAnsi" w:eastAsiaTheme="minorEastAsia" w:hAnsiTheme="minorHAnsi" w:cstheme="minorBidi"/>
          <w:noProof/>
          <w:sz w:val="22"/>
        </w:rPr>
      </w:pPr>
      <w:hyperlink w:anchor="_Toc505253850" w:history="1">
        <w:r w:rsidR="00C669E3" w:rsidRPr="001569FB">
          <w:rPr>
            <w:rStyle w:val="Hyperlink"/>
            <w:noProof/>
          </w:rPr>
          <w:t>Tiered Cost Sharing of Medical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_Toc505253850 \h </w:instrText>
        </w:r>
        <w:r w:rsidR="00C669E3" w:rsidRPr="001569FB">
          <w:rPr>
            <w:noProof/>
            <w:webHidden/>
          </w:rPr>
        </w:r>
        <w:r w:rsidR="00C669E3" w:rsidRPr="001569FB">
          <w:rPr>
            <w:noProof/>
            <w:webHidden/>
          </w:rPr>
          <w:fldChar w:fldCharType="separate"/>
        </w:r>
        <w:r w:rsidR="00A216EC">
          <w:rPr>
            <w:noProof/>
            <w:webHidden/>
          </w:rPr>
          <w:t>181</w:t>
        </w:r>
        <w:r w:rsidR="00C669E3" w:rsidRPr="001569FB">
          <w:rPr>
            <w:noProof/>
            <w:webHidden/>
          </w:rPr>
          <w:fldChar w:fldCharType="end"/>
        </w:r>
      </w:hyperlink>
    </w:p>
    <w:p w14:paraId="5CF05858" w14:textId="779217E8" w:rsidR="00C669E3" w:rsidRPr="001569FB" w:rsidRDefault="006B65AC">
      <w:pPr>
        <w:pStyle w:val="TOC3"/>
        <w:rPr>
          <w:rFonts w:asciiTheme="minorHAnsi" w:eastAsiaTheme="minorEastAsia" w:hAnsiTheme="minorHAnsi" w:cstheme="minorBidi"/>
          <w:noProof/>
          <w:sz w:val="22"/>
        </w:rPr>
      </w:pPr>
      <w:hyperlink w:anchor="_Toc505253851" w:history="1">
        <w:r w:rsidR="00C669E3" w:rsidRPr="001569FB">
          <w:rPr>
            <w:rStyle w:val="Hyperlink"/>
            <w:noProof/>
          </w:rPr>
          <w:t>Outpatient Observation Services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_Toc505253851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0B7A1BD0" w14:textId="7549CBEF" w:rsidR="00C669E3" w:rsidRPr="001569FB" w:rsidRDefault="006B65AC">
      <w:pPr>
        <w:pStyle w:val="TOC3"/>
        <w:rPr>
          <w:rFonts w:asciiTheme="minorHAnsi" w:eastAsiaTheme="minorEastAsia" w:hAnsiTheme="minorHAnsi" w:cstheme="minorBidi"/>
          <w:noProof/>
          <w:sz w:val="22"/>
        </w:rPr>
      </w:pPr>
      <w:hyperlink w:anchor="_Toc505253852" w:history="1">
        <w:r w:rsidR="00C669E3" w:rsidRPr="001569FB">
          <w:rPr>
            <w:rStyle w:val="Hyperlink"/>
            <w:noProof/>
          </w:rPr>
          <w:t>Coverage of Supervised Exercise Therapy (SET) for Symptomatic Peripheral Artery Disease (PAD)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_Toc505253852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6689A6FE" w14:textId="3EEA6D88" w:rsidR="00C669E3" w:rsidRPr="001569FB" w:rsidRDefault="006B65AC">
      <w:pPr>
        <w:pStyle w:val="TOC3"/>
        <w:rPr>
          <w:rFonts w:asciiTheme="minorHAnsi" w:eastAsiaTheme="minorEastAsia" w:hAnsiTheme="minorHAnsi" w:cstheme="minorBidi"/>
          <w:noProof/>
          <w:sz w:val="22"/>
        </w:rPr>
      </w:pPr>
      <w:hyperlink w:anchor="_Toc505253853" w:history="1">
        <w:r w:rsidR="00C669E3" w:rsidRPr="001569FB">
          <w:rPr>
            <w:rStyle w:val="Hyperlink"/>
            <w:noProof/>
          </w:rPr>
          <w:t>Health Related Supplemental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_Toc505253853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49D85376" w14:textId="31D4D6A7" w:rsidR="00C669E3" w:rsidRPr="001569FB" w:rsidRDefault="006B65AC">
      <w:pPr>
        <w:pStyle w:val="TOC3"/>
        <w:rPr>
          <w:rFonts w:asciiTheme="minorHAnsi" w:eastAsiaTheme="minorEastAsia" w:hAnsiTheme="minorHAnsi" w:cstheme="minorBidi"/>
          <w:noProof/>
          <w:sz w:val="22"/>
        </w:rPr>
      </w:pPr>
      <w:hyperlink w:anchor="_Toc505253854" w:history="1">
        <w:r w:rsidR="00C669E3" w:rsidRPr="001569FB">
          <w:rPr>
            <w:rStyle w:val="Hyperlink"/>
            <w:noProof/>
          </w:rPr>
          <w:t>Enhanced Disease Management (EDM) for Dual Eligible Special Needs Plans (D-SNPs) and Institutional Special Needs Plans (I-SNPs)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_Toc505253854 \h </w:instrText>
        </w:r>
        <w:r w:rsidR="00C669E3" w:rsidRPr="001569FB">
          <w:rPr>
            <w:noProof/>
            <w:webHidden/>
          </w:rPr>
        </w:r>
        <w:r w:rsidR="00C669E3" w:rsidRPr="001569FB">
          <w:rPr>
            <w:noProof/>
            <w:webHidden/>
          </w:rPr>
          <w:fldChar w:fldCharType="separate"/>
        </w:r>
        <w:r w:rsidR="00A216EC">
          <w:rPr>
            <w:noProof/>
            <w:webHidden/>
          </w:rPr>
          <w:t>183</w:t>
        </w:r>
        <w:r w:rsidR="00C669E3" w:rsidRPr="001569FB">
          <w:rPr>
            <w:noProof/>
            <w:webHidden/>
          </w:rPr>
          <w:fldChar w:fldCharType="end"/>
        </w:r>
      </w:hyperlink>
    </w:p>
    <w:p w14:paraId="0B06B302" w14:textId="01F221C6" w:rsidR="00C669E3" w:rsidRPr="001569FB" w:rsidRDefault="006B65AC">
      <w:pPr>
        <w:pStyle w:val="TOC3"/>
        <w:rPr>
          <w:rFonts w:asciiTheme="minorHAnsi" w:eastAsiaTheme="minorEastAsia" w:hAnsiTheme="minorHAnsi" w:cstheme="minorBidi"/>
          <w:noProof/>
          <w:sz w:val="22"/>
        </w:rPr>
      </w:pPr>
      <w:hyperlink w:anchor="_Toc505253855" w:history="1">
        <w:r w:rsidR="00C669E3" w:rsidRPr="001569FB">
          <w:rPr>
            <w:rStyle w:val="Hyperlink"/>
            <w:noProof/>
          </w:rPr>
          <w:t>Medicare Advantage (MA) Uniformity Flexibility</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_Toc505253855 \h </w:instrText>
        </w:r>
        <w:r w:rsidR="00C669E3" w:rsidRPr="001569FB">
          <w:rPr>
            <w:noProof/>
            <w:webHidden/>
          </w:rPr>
        </w:r>
        <w:r w:rsidR="00C669E3" w:rsidRPr="001569FB">
          <w:rPr>
            <w:noProof/>
            <w:webHidden/>
          </w:rPr>
          <w:fldChar w:fldCharType="separate"/>
        </w:r>
        <w:r w:rsidR="00A216EC">
          <w:rPr>
            <w:noProof/>
            <w:webHidden/>
          </w:rPr>
          <w:t>184</w:t>
        </w:r>
        <w:r w:rsidR="00C669E3" w:rsidRPr="001569FB">
          <w:rPr>
            <w:noProof/>
            <w:webHidden/>
          </w:rPr>
          <w:fldChar w:fldCharType="end"/>
        </w:r>
      </w:hyperlink>
    </w:p>
    <w:p w14:paraId="1B0DFEBD" w14:textId="2E0ADCD3" w:rsidR="00C669E3" w:rsidRPr="001569FB" w:rsidRDefault="006B65AC">
      <w:pPr>
        <w:pStyle w:val="TOC3"/>
        <w:rPr>
          <w:rFonts w:asciiTheme="minorHAnsi" w:eastAsiaTheme="minorEastAsia" w:hAnsiTheme="minorHAnsi" w:cstheme="minorBidi"/>
          <w:noProof/>
          <w:sz w:val="22"/>
        </w:rPr>
      </w:pPr>
      <w:hyperlink w:anchor="_Toc505253856" w:history="1">
        <w:r w:rsidR="00C669E3" w:rsidRPr="001569FB">
          <w:rPr>
            <w:rStyle w:val="Hyperlink"/>
            <w:noProof/>
          </w:rPr>
          <w:t>Medicare Advantage (MA) Segmented Service Area Options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_Toc505253856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02F2562E" w14:textId="61D39569" w:rsidR="00C669E3" w:rsidRPr="001569FB" w:rsidRDefault="006B65AC">
      <w:pPr>
        <w:pStyle w:val="TOC3"/>
        <w:rPr>
          <w:rFonts w:asciiTheme="minorHAnsi" w:eastAsiaTheme="minorEastAsia" w:hAnsiTheme="minorHAnsi" w:cstheme="minorBidi"/>
          <w:noProof/>
          <w:sz w:val="22"/>
        </w:rPr>
      </w:pPr>
      <w:hyperlink w:anchor="_Toc505253857" w:history="1">
        <w:r w:rsidR="00C669E3" w:rsidRPr="001569FB">
          <w:rPr>
            <w:rStyle w:val="Hyperlink"/>
            <w:rFonts w:eastAsia="Calibri"/>
            <w:noProof/>
          </w:rPr>
          <w:t>Medicare Diabetes Prevention Program (MDPP) Services Clarification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_Toc505253857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25E0DB0F" w14:textId="653D8BE7" w:rsidR="00C669E3" w:rsidRPr="001569FB" w:rsidRDefault="006B65AC">
      <w:pPr>
        <w:pStyle w:val="TOC3"/>
        <w:rPr>
          <w:rFonts w:asciiTheme="minorHAnsi" w:eastAsiaTheme="minorEastAsia" w:hAnsiTheme="minorHAnsi" w:cstheme="minorBidi"/>
          <w:noProof/>
          <w:sz w:val="22"/>
        </w:rPr>
      </w:pPr>
      <w:hyperlink w:anchor="_Toc505253858" w:history="1">
        <w:r w:rsidR="00C669E3" w:rsidRPr="001569FB">
          <w:rPr>
            <w:rStyle w:val="Hyperlink"/>
            <w:noProof/>
          </w:rPr>
          <w:t>Special Needs Plan (SNP)-Specific Networks Research and Development</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_Toc505253858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3E4098B5" w14:textId="2AEBEC2A" w:rsidR="00C669E3" w:rsidRPr="001569FB" w:rsidRDefault="006B65AC">
      <w:pPr>
        <w:pStyle w:val="TOC3"/>
        <w:rPr>
          <w:rFonts w:asciiTheme="minorHAnsi" w:eastAsiaTheme="minorEastAsia" w:hAnsiTheme="minorHAnsi" w:cstheme="minorBidi"/>
          <w:noProof/>
          <w:sz w:val="22"/>
        </w:rPr>
      </w:pPr>
      <w:hyperlink w:anchor="_Toc505253859" w:history="1">
        <w:r w:rsidR="00C669E3" w:rsidRPr="001569FB">
          <w:rPr>
            <w:rStyle w:val="Hyperlink"/>
            <w:noProof/>
          </w:rPr>
          <w:t>Rewards and Incentives for Completion of a Health Risk Assessment (HRA)</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_Toc505253859 \h </w:instrText>
        </w:r>
        <w:r w:rsidR="00C669E3" w:rsidRPr="001569FB">
          <w:rPr>
            <w:noProof/>
            <w:webHidden/>
          </w:rPr>
        </w:r>
        <w:r w:rsidR="00C669E3" w:rsidRPr="001569FB">
          <w:rPr>
            <w:noProof/>
            <w:webHidden/>
          </w:rPr>
          <w:fldChar w:fldCharType="separate"/>
        </w:r>
        <w:r w:rsidR="00A216EC">
          <w:rPr>
            <w:noProof/>
            <w:webHidden/>
          </w:rPr>
          <w:t>186</w:t>
        </w:r>
        <w:r w:rsidR="00C669E3" w:rsidRPr="001569FB">
          <w:rPr>
            <w:noProof/>
            <w:webHidden/>
          </w:rPr>
          <w:fldChar w:fldCharType="end"/>
        </w:r>
      </w:hyperlink>
    </w:p>
    <w:p w14:paraId="4F2F2275" w14:textId="3B68DFDC" w:rsidR="00C669E3" w:rsidRPr="001569FB" w:rsidRDefault="006B65AC">
      <w:pPr>
        <w:pStyle w:val="TOC3"/>
        <w:rPr>
          <w:rFonts w:asciiTheme="minorHAnsi" w:eastAsiaTheme="minorEastAsia" w:hAnsiTheme="minorHAnsi" w:cstheme="minorBidi"/>
          <w:noProof/>
          <w:sz w:val="22"/>
        </w:rPr>
      </w:pPr>
      <w:hyperlink w:anchor="_Toc505253860" w:history="1">
        <w:r w:rsidR="00C669E3" w:rsidRPr="001569FB">
          <w:rPr>
            <w:rStyle w:val="Hyperlink"/>
            <w:noProof/>
          </w:rPr>
          <w:t>Cost Plan Transition to MA under MACRA</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_Toc505253860 \h </w:instrText>
        </w:r>
        <w:r w:rsidR="00C669E3" w:rsidRPr="001569FB">
          <w:rPr>
            <w:noProof/>
            <w:webHidden/>
          </w:rPr>
        </w:r>
        <w:r w:rsidR="00C669E3" w:rsidRPr="001569FB">
          <w:rPr>
            <w:noProof/>
            <w:webHidden/>
          </w:rPr>
          <w:fldChar w:fldCharType="separate"/>
        </w:r>
        <w:r w:rsidR="00A216EC">
          <w:rPr>
            <w:noProof/>
            <w:webHidden/>
          </w:rPr>
          <w:t>186</w:t>
        </w:r>
        <w:r w:rsidR="00C669E3" w:rsidRPr="001569FB">
          <w:rPr>
            <w:noProof/>
            <w:webHidden/>
          </w:rPr>
          <w:fldChar w:fldCharType="end"/>
        </w:r>
      </w:hyperlink>
    </w:p>
    <w:p w14:paraId="5E49C003" w14:textId="3AF74CB4" w:rsidR="00C669E3" w:rsidRPr="001569FB" w:rsidRDefault="006B65AC">
      <w:pPr>
        <w:pStyle w:val="TOC3"/>
        <w:rPr>
          <w:rFonts w:asciiTheme="minorHAnsi" w:eastAsiaTheme="minorEastAsia" w:hAnsiTheme="minorHAnsi" w:cstheme="minorBidi"/>
          <w:noProof/>
          <w:sz w:val="22"/>
        </w:rPr>
      </w:pPr>
      <w:hyperlink w:anchor="_Toc505253861" w:history="1">
        <w:r w:rsidR="00C669E3" w:rsidRPr="001569FB">
          <w:rPr>
            <w:rStyle w:val="Hyperlink"/>
            <w:noProof/>
          </w:rPr>
          <w:t>Cost Plan Competition Requirements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_Toc505253861 \h </w:instrText>
        </w:r>
        <w:r w:rsidR="00C669E3" w:rsidRPr="001569FB">
          <w:rPr>
            <w:noProof/>
            <w:webHidden/>
          </w:rPr>
        </w:r>
        <w:r w:rsidR="00C669E3" w:rsidRPr="001569FB">
          <w:rPr>
            <w:noProof/>
            <w:webHidden/>
          </w:rPr>
          <w:fldChar w:fldCharType="separate"/>
        </w:r>
        <w:r w:rsidR="00A216EC">
          <w:rPr>
            <w:noProof/>
            <w:webHidden/>
          </w:rPr>
          <w:t>187</w:t>
        </w:r>
        <w:r w:rsidR="00C669E3" w:rsidRPr="001569FB">
          <w:rPr>
            <w:noProof/>
            <w:webHidden/>
          </w:rPr>
          <w:fldChar w:fldCharType="end"/>
        </w:r>
      </w:hyperlink>
    </w:p>
    <w:p w14:paraId="4E58274E" w14:textId="722F1E3F" w:rsidR="00C669E3" w:rsidRPr="001569FB" w:rsidRDefault="006B65AC">
      <w:pPr>
        <w:pStyle w:val="TOC3"/>
        <w:rPr>
          <w:rFonts w:asciiTheme="minorHAnsi" w:eastAsiaTheme="minorEastAsia" w:hAnsiTheme="minorHAnsi" w:cstheme="minorBidi"/>
          <w:noProof/>
          <w:sz w:val="22"/>
        </w:rPr>
      </w:pPr>
      <w:hyperlink w:anchor="_Toc505253862" w:history="1">
        <w:r w:rsidR="00C669E3" w:rsidRPr="001569FB">
          <w:rPr>
            <w:rStyle w:val="Hyperlink"/>
            <w:noProof/>
          </w:rPr>
          <w:t>Improving Beneficiary Communications and Reducing Burden for Integrated D</w:t>
        </w:r>
        <w:r w:rsidR="00C669E3" w:rsidRPr="001569FB">
          <w:rPr>
            <w:rStyle w:val="Hyperlink"/>
            <w:noProof/>
          </w:rPr>
          <w:noBreakHyphen/>
          <w:t>SNPs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_Toc505253862 \h </w:instrText>
        </w:r>
        <w:r w:rsidR="00C669E3" w:rsidRPr="001569FB">
          <w:rPr>
            <w:noProof/>
            <w:webHidden/>
          </w:rPr>
        </w:r>
        <w:r w:rsidR="00C669E3" w:rsidRPr="001569FB">
          <w:rPr>
            <w:noProof/>
            <w:webHidden/>
          </w:rPr>
          <w:fldChar w:fldCharType="separate"/>
        </w:r>
        <w:r w:rsidR="00A216EC">
          <w:rPr>
            <w:noProof/>
            <w:webHidden/>
          </w:rPr>
          <w:t>187</w:t>
        </w:r>
        <w:r w:rsidR="00C669E3" w:rsidRPr="001569FB">
          <w:rPr>
            <w:noProof/>
            <w:webHidden/>
          </w:rPr>
          <w:fldChar w:fldCharType="end"/>
        </w:r>
      </w:hyperlink>
    </w:p>
    <w:p w14:paraId="26E8AA9D" w14:textId="1561CA4D" w:rsidR="00C669E3" w:rsidRPr="001569FB" w:rsidRDefault="006B65AC">
      <w:pPr>
        <w:pStyle w:val="TOC3"/>
        <w:rPr>
          <w:rFonts w:asciiTheme="minorHAnsi" w:eastAsiaTheme="minorEastAsia" w:hAnsiTheme="minorHAnsi" w:cstheme="minorBidi"/>
          <w:noProof/>
          <w:sz w:val="22"/>
        </w:rPr>
      </w:pPr>
      <w:hyperlink w:anchor="_Toc505253863" w:history="1">
        <w:r w:rsidR="00C669E3" w:rsidRPr="001569FB">
          <w:rPr>
            <w:rStyle w:val="Hyperlink"/>
            <w:noProof/>
          </w:rPr>
          <w:t>Parts A and B Cost-sharing for Individuals Enrolled in the Qualified Medicare Beneficiary (QMB) Program</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_Toc505253863 \h </w:instrText>
        </w:r>
        <w:r w:rsidR="00C669E3" w:rsidRPr="001569FB">
          <w:rPr>
            <w:noProof/>
            <w:webHidden/>
          </w:rPr>
        </w:r>
        <w:r w:rsidR="00C669E3" w:rsidRPr="001569FB">
          <w:rPr>
            <w:noProof/>
            <w:webHidden/>
          </w:rPr>
          <w:fldChar w:fldCharType="separate"/>
        </w:r>
        <w:r w:rsidR="00A216EC">
          <w:rPr>
            <w:noProof/>
            <w:webHidden/>
          </w:rPr>
          <w:t>190</w:t>
        </w:r>
        <w:r w:rsidR="00C669E3" w:rsidRPr="001569FB">
          <w:rPr>
            <w:noProof/>
            <w:webHidden/>
          </w:rPr>
          <w:fldChar w:fldCharType="end"/>
        </w:r>
      </w:hyperlink>
    </w:p>
    <w:p w14:paraId="46E60341" w14:textId="3E2BAD37" w:rsidR="00C669E3" w:rsidRPr="001569FB" w:rsidRDefault="006B65AC">
      <w:pPr>
        <w:pStyle w:val="TOC3"/>
        <w:rPr>
          <w:rFonts w:asciiTheme="minorHAnsi" w:eastAsiaTheme="minorEastAsia" w:hAnsiTheme="minorHAnsi" w:cstheme="minorBidi"/>
          <w:noProof/>
          <w:sz w:val="22"/>
        </w:rPr>
      </w:pPr>
      <w:hyperlink w:anchor="_Toc505253864" w:history="1">
        <w:r w:rsidR="00C669E3" w:rsidRPr="001569FB">
          <w:rPr>
            <w:rStyle w:val="Hyperlink"/>
            <w:noProof/>
          </w:rPr>
          <w:t>Encounter Data Listening Forums, Monitoring and Compliance Activities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_Toc505253864 \h </w:instrText>
        </w:r>
        <w:r w:rsidR="00C669E3" w:rsidRPr="001569FB">
          <w:rPr>
            <w:noProof/>
            <w:webHidden/>
          </w:rPr>
        </w:r>
        <w:r w:rsidR="00C669E3" w:rsidRPr="001569FB">
          <w:rPr>
            <w:noProof/>
            <w:webHidden/>
          </w:rPr>
          <w:fldChar w:fldCharType="separate"/>
        </w:r>
        <w:r w:rsidR="00A216EC">
          <w:rPr>
            <w:noProof/>
            <w:webHidden/>
          </w:rPr>
          <w:t>191</w:t>
        </w:r>
        <w:r w:rsidR="00C669E3" w:rsidRPr="001569FB">
          <w:rPr>
            <w:noProof/>
            <w:webHidden/>
          </w:rPr>
          <w:fldChar w:fldCharType="end"/>
        </w:r>
      </w:hyperlink>
    </w:p>
    <w:p w14:paraId="0117B3A0" w14:textId="370105EB" w:rsidR="00C669E3" w:rsidRPr="001569FB" w:rsidRDefault="006B65AC">
      <w:pPr>
        <w:pStyle w:val="TOC3"/>
        <w:rPr>
          <w:rFonts w:asciiTheme="minorHAnsi" w:eastAsiaTheme="minorEastAsia" w:hAnsiTheme="minorHAnsi" w:cstheme="minorBidi"/>
          <w:noProof/>
          <w:sz w:val="22"/>
        </w:rPr>
      </w:pPr>
      <w:hyperlink w:anchor="_Toc505253865" w:history="1">
        <w:r w:rsidR="00C669E3" w:rsidRPr="001569FB">
          <w:rPr>
            <w:rStyle w:val="Hyperlink"/>
            <w:noProof/>
          </w:rPr>
          <w:t>Transparency &amp; Timeliness with Prior Authorization Processes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_Toc505253865 \h </w:instrText>
        </w:r>
        <w:r w:rsidR="00C669E3" w:rsidRPr="001569FB">
          <w:rPr>
            <w:noProof/>
            <w:webHidden/>
          </w:rPr>
        </w:r>
        <w:r w:rsidR="00C669E3" w:rsidRPr="001569FB">
          <w:rPr>
            <w:noProof/>
            <w:webHidden/>
          </w:rPr>
          <w:fldChar w:fldCharType="separate"/>
        </w:r>
        <w:r w:rsidR="00A216EC">
          <w:rPr>
            <w:noProof/>
            <w:webHidden/>
          </w:rPr>
          <w:t>193</w:t>
        </w:r>
        <w:r w:rsidR="00C669E3" w:rsidRPr="001569FB">
          <w:rPr>
            <w:noProof/>
            <w:webHidden/>
          </w:rPr>
          <w:fldChar w:fldCharType="end"/>
        </w:r>
      </w:hyperlink>
    </w:p>
    <w:p w14:paraId="0552C0E5" w14:textId="45C08F21" w:rsidR="00C669E3" w:rsidRPr="001569FB" w:rsidRDefault="006B65AC">
      <w:pPr>
        <w:pStyle w:val="TOC2"/>
        <w:rPr>
          <w:rFonts w:asciiTheme="minorHAnsi" w:eastAsiaTheme="minorEastAsia" w:hAnsiTheme="minorHAnsi" w:cstheme="minorBidi"/>
          <w:bCs w:val="0"/>
          <w:sz w:val="22"/>
        </w:rPr>
      </w:pPr>
      <w:hyperlink w:anchor="_Toc505253866" w:history="1">
        <w:r w:rsidR="00C669E3" w:rsidRPr="001569FB">
          <w:rPr>
            <w:rStyle w:val="Hyperlink"/>
          </w:rPr>
          <w:t>Section III – Part D</w:t>
        </w:r>
        <w:r w:rsidR="00C669E3" w:rsidRPr="001569FB">
          <w:rPr>
            <w:webHidden/>
            <w:spacing w:val="70"/>
          </w:rPr>
          <w:tab/>
        </w:r>
        <w:r w:rsidR="00C669E3" w:rsidRPr="001569FB">
          <w:rPr>
            <w:webHidden/>
          </w:rPr>
          <w:fldChar w:fldCharType="begin"/>
        </w:r>
        <w:r w:rsidR="00C669E3" w:rsidRPr="001569FB">
          <w:rPr>
            <w:webHidden/>
          </w:rPr>
          <w:instrText xml:space="preserve"> PAGEREF _Toc505253866 \h </w:instrText>
        </w:r>
        <w:r w:rsidR="00C669E3" w:rsidRPr="001569FB">
          <w:rPr>
            <w:webHidden/>
          </w:rPr>
        </w:r>
        <w:r w:rsidR="00C669E3" w:rsidRPr="001569FB">
          <w:rPr>
            <w:webHidden/>
          </w:rPr>
          <w:fldChar w:fldCharType="separate"/>
        </w:r>
        <w:r w:rsidR="00A216EC">
          <w:rPr>
            <w:webHidden/>
          </w:rPr>
          <w:t>193</w:t>
        </w:r>
        <w:r w:rsidR="00C669E3" w:rsidRPr="001569FB">
          <w:rPr>
            <w:webHidden/>
          </w:rPr>
          <w:fldChar w:fldCharType="end"/>
        </w:r>
      </w:hyperlink>
    </w:p>
    <w:p w14:paraId="52BEB468" w14:textId="35DBA1EB" w:rsidR="00C669E3" w:rsidRPr="001569FB" w:rsidRDefault="006B65AC">
      <w:pPr>
        <w:pStyle w:val="TOC3"/>
        <w:rPr>
          <w:rFonts w:asciiTheme="minorHAnsi" w:eastAsiaTheme="minorEastAsia" w:hAnsiTheme="minorHAnsi" w:cstheme="minorBidi"/>
          <w:noProof/>
          <w:sz w:val="22"/>
        </w:rPr>
      </w:pPr>
      <w:hyperlink w:anchor="_Toc505253867" w:history="1">
        <w:r w:rsidR="00C669E3" w:rsidRPr="001569FB">
          <w:rPr>
            <w:rStyle w:val="Hyperlink"/>
            <w:noProof/>
          </w:rPr>
          <w:t>Formulary</w:t>
        </w:r>
        <w:r w:rsidR="00C669E3" w:rsidRPr="001569FB">
          <w:rPr>
            <w:rStyle w:val="Hyperlink"/>
            <w:noProof/>
            <w:spacing w:val="-6"/>
          </w:rPr>
          <w:t xml:space="preserve"> </w:t>
        </w:r>
        <w:r w:rsidR="00C669E3" w:rsidRPr="001569FB">
          <w:rPr>
            <w:rStyle w:val="Hyperlink"/>
            <w:noProof/>
          </w:rPr>
          <w:t>Submissions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_Toc505253867 \h </w:instrText>
        </w:r>
        <w:r w:rsidR="00C669E3" w:rsidRPr="001569FB">
          <w:rPr>
            <w:noProof/>
            <w:webHidden/>
          </w:rPr>
        </w:r>
        <w:r w:rsidR="00C669E3" w:rsidRPr="001569FB">
          <w:rPr>
            <w:noProof/>
            <w:webHidden/>
          </w:rPr>
          <w:fldChar w:fldCharType="separate"/>
        </w:r>
        <w:r w:rsidR="00A216EC">
          <w:rPr>
            <w:noProof/>
            <w:webHidden/>
          </w:rPr>
          <w:t>193</w:t>
        </w:r>
        <w:r w:rsidR="00C669E3" w:rsidRPr="001569FB">
          <w:rPr>
            <w:noProof/>
            <w:webHidden/>
          </w:rPr>
          <w:fldChar w:fldCharType="end"/>
        </w:r>
      </w:hyperlink>
    </w:p>
    <w:p w14:paraId="791BED5A" w14:textId="2AF26FB7" w:rsidR="00C669E3" w:rsidRPr="001569FB" w:rsidRDefault="006B65AC">
      <w:pPr>
        <w:pStyle w:val="TOC3"/>
        <w:rPr>
          <w:rFonts w:asciiTheme="minorHAnsi" w:eastAsiaTheme="minorEastAsia" w:hAnsiTheme="minorHAnsi" w:cstheme="minorBidi"/>
          <w:noProof/>
          <w:sz w:val="22"/>
        </w:rPr>
      </w:pPr>
      <w:hyperlink w:anchor="_Toc505253868" w:history="1">
        <w:r w:rsidR="00C669E3" w:rsidRPr="001569FB">
          <w:rPr>
            <w:rStyle w:val="Hyperlink"/>
            <w:noProof/>
          </w:rPr>
          <w:t>Expanding the Part D OTC Program</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_Toc505253868 \h </w:instrText>
        </w:r>
        <w:r w:rsidR="00C669E3" w:rsidRPr="001569FB">
          <w:rPr>
            <w:noProof/>
            <w:webHidden/>
          </w:rPr>
        </w:r>
        <w:r w:rsidR="00C669E3" w:rsidRPr="001569FB">
          <w:rPr>
            <w:noProof/>
            <w:webHidden/>
          </w:rPr>
          <w:fldChar w:fldCharType="separate"/>
        </w:r>
        <w:r w:rsidR="00A216EC">
          <w:rPr>
            <w:noProof/>
            <w:webHidden/>
          </w:rPr>
          <w:t>196</w:t>
        </w:r>
        <w:r w:rsidR="00C669E3" w:rsidRPr="001569FB">
          <w:rPr>
            <w:noProof/>
            <w:webHidden/>
          </w:rPr>
          <w:fldChar w:fldCharType="end"/>
        </w:r>
      </w:hyperlink>
    </w:p>
    <w:p w14:paraId="3F6D820B" w14:textId="764B68E7" w:rsidR="00C669E3" w:rsidRPr="001569FB" w:rsidRDefault="006B65AC">
      <w:pPr>
        <w:pStyle w:val="TOC3"/>
        <w:rPr>
          <w:rFonts w:asciiTheme="minorHAnsi" w:eastAsiaTheme="minorEastAsia" w:hAnsiTheme="minorHAnsi" w:cstheme="minorBidi"/>
          <w:noProof/>
          <w:sz w:val="22"/>
        </w:rPr>
      </w:pPr>
      <w:hyperlink w:anchor="_Toc505253869" w:history="1">
        <w:r w:rsidR="00C669E3" w:rsidRPr="001569FB">
          <w:rPr>
            <w:rStyle w:val="Hyperlink"/>
            <w:noProof/>
          </w:rPr>
          <w:t>Medication Therapy Management (MTM) Annual Cost Threshold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_Toc505253869 \h </w:instrText>
        </w:r>
        <w:r w:rsidR="00C669E3" w:rsidRPr="001569FB">
          <w:rPr>
            <w:noProof/>
            <w:webHidden/>
          </w:rPr>
        </w:r>
        <w:r w:rsidR="00C669E3" w:rsidRPr="001569FB">
          <w:rPr>
            <w:noProof/>
            <w:webHidden/>
          </w:rPr>
          <w:fldChar w:fldCharType="separate"/>
        </w:r>
        <w:r w:rsidR="00A216EC">
          <w:rPr>
            <w:noProof/>
            <w:webHidden/>
          </w:rPr>
          <w:t>197</w:t>
        </w:r>
        <w:r w:rsidR="00C669E3" w:rsidRPr="001569FB">
          <w:rPr>
            <w:noProof/>
            <w:webHidden/>
          </w:rPr>
          <w:fldChar w:fldCharType="end"/>
        </w:r>
      </w:hyperlink>
    </w:p>
    <w:p w14:paraId="6722ACA5" w14:textId="2DBB13E1" w:rsidR="00C669E3" w:rsidRPr="001569FB" w:rsidRDefault="006B65AC">
      <w:pPr>
        <w:pStyle w:val="TOC3"/>
        <w:rPr>
          <w:rFonts w:asciiTheme="minorHAnsi" w:eastAsiaTheme="minorEastAsia" w:hAnsiTheme="minorHAnsi" w:cstheme="minorBidi"/>
          <w:noProof/>
          <w:sz w:val="22"/>
        </w:rPr>
      </w:pPr>
      <w:hyperlink w:anchor="_Toc505253870" w:history="1">
        <w:r w:rsidR="00C669E3" w:rsidRPr="001569FB">
          <w:rPr>
            <w:rStyle w:val="Hyperlink"/>
            <w:noProof/>
          </w:rPr>
          <w:t>Part D Benefit Parameters for Non-Defined Standard Plans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_Toc505253870 \h </w:instrText>
        </w:r>
        <w:r w:rsidR="00C669E3" w:rsidRPr="001569FB">
          <w:rPr>
            <w:noProof/>
            <w:webHidden/>
          </w:rPr>
        </w:r>
        <w:r w:rsidR="00C669E3" w:rsidRPr="001569FB">
          <w:rPr>
            <w:noProof/>
            <w:webHidden/>
          </w:rPr>
          <w:fldChar w:fldCharType="separate"/>
        </w:r>
        <w:r w:rsidR="00A216EC">
          <w:rPr>
            <w:noProof/>
            <w:webHidden/>
          </w:rPr>
          <w:t>197</w:t>
        </w:r>
        <w:r w:rsidR="00C669E3" w:rsidRPr="001569FB">
          <w:rPr>
            <w:noProof/>
            <w:webHidden/>
          </w:rPr>
          <w:fldChar w:fldCharType="end"/>
        </w:r>
      </w:hyperlink>
    </w:p>
    <w:p w14:paraId="38462F2D" w14:textId="1662B89B" w:rsidR="00C669E3" w:rsidRPr="001569FB" w:rsidRDefault="006B65AC">
      <w:pPr>
        <w:pStyle w:val="TOC3"/>
        <w:rPr>
          <w:rFonts w:asciiTheme="minorHAnsi" w:eastAsiaTheme="minorEastAsia" w:hAnsiTheme="minorHAnsi" w:cstheme="minorBidi"/>
          <w:noProof/>
          <w:sz w:val="22"/>
        </w:rPr>
      </w:pPr>
      <w:hyperlink w:anchor="_Toc505253871" w:history="1">
        <w:r w:rsidR="00C669E3" w:rsidRPr="001569FB">
          <w:rPr>
            <w:rStyle w:val="Hyperlink"/>
            <w:noProof/>
          </w:rPr>
          <w:t>Benefit Review</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_Toc505253871 \h </w:instrText>
        </w:r>
        <w:r w:rsidR="00C669E3" w:rsidRPr="001569FB">
          <w:rPr>
            <w:noProof/>
            <w:webHidden/>
          </w:rPr>
        </w:r>
        <w:r w:rsidR="00C669E3" w:rsidRPr="001569FB">
          <w:rPr>
            <w:noProof/>
            <w:webHidden/>
          </w:rPr>
          <w:fldChar w:fldCharType="separate"/>
        </w:r>
        <w:r w:rsidR="00A216EC">
          <w:rPr>
            <w:noProof/>
            <w:webHidden/>
          </w:rPr>
          <w:t>198</w:t>
        </w:r>
        <w:r w:rsidR="00C669E3" w:rsidRPr="001569FB">
          <w:rPr>
            <w:noProof/>
            <w:webHidden/>
          </w:rPr>
          <w:fldChar w:fldCharType="end"/>
        </w:r>
      </w:hyperlink>
    </w:p>
    <w:p w14:paraId="778CA723" w14:textId="0981448A" w:rsidR="00C669E3" w:rsidRPr="001569FB" w:rsidRDefault="006B65AC">
      <w:pPr>
        <w:pStyle w:val="TOC3"/>
        <w:rPr>
          <w:rFonts w:asciiTheme="minorHAnsi" w:eastAsiaTheme="minorEastAsia" w:hAnsiTheme="minorHAnsi" w:cstheme="minorBidi"/>
          <w:noProof/>
          <w:sz w:val="22"/>
        </w:rPr>
      </w:pPr>
      <w:hyperlink w:anchor="_Toc505253872" w:history="1">
        <w:r w:rsidR="00C669E3" w:rsidRPr="001569FB">
          <w:rPr>
            <w:rStyle w:val="Hyperlink"/>
            <w:noProof/>
          </w:rPr>
          <w:t>Tier Composition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_Toc505253872 \h </w:instrText>
        </w:r>
        <w:r w:rsidR="00C669E3" w:rsidRPr="001569FB">
          <w:rPr>
            <w:noProof/>
            <w:webHidden/>
          </w:rPr>
        </w:r>
        <w:r w:rsidR="00C669E3" w:rsidRPr="001569FB">
          <w:rPr>
            <w:noProof/>
            <w:webHidden/>
          </w:rPr>
          <w:fldChar w:fldCharType="separate"/>
        </w:r>
        <w:r w:rsidR="00A216EC">
          <w:rPr>
            <w:noProof/>
            <w:webHidden/>
          </w:rPr>
          <w:t>198</w:t>
        </w:r>
        <w:r w:rsidR="00C669E3" w:rsidRPr="001569FB">
          <w:rPr>
            <w:noProof/>
            <w:webHidden/>
          </w:rPr>
          <w:fldChar w:fldCharType="end"/>
        </w:r>
      </w:hyperlink>
    </w:p>
    <w:p w14:paraId="69F4E917" w14:textId="0E623C12" w:rsidR="00C669E3" w:rsidRPr="001569FB" w:rsidRDefault="006B65AC">
      <w:pPr>
        <w:pStyle w:val="TOC3"/>
        <w:rPr>
          <w:rFonts w:asciiTheme="minorHAnsi" w:eastAsiaTheme="minorEastAsia" w:hAnsiTheme="minorHAnsi" w:cstheme="minorBidi"/>
          <w:noProof/>
          <w:sz w:val="22"/>
        </w:rPr>
      </w:pPr>
      <w:hyperlink w:anchor="_Toc505253873" w:history="1">
        <w:r w:rsidR="00C669E3" w:rsidRPr="001569FB">
          <w:rPr>
            <w:rStyle w:val="Hyperlink"/>
            <w:noProof/>
          </w:rPr>
          <w:t>Improving Access to Part D Vaccines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_Toc505253873 \h </w:instrText>
        </w:r>
        <w:r w:rsidR="00C669E3" w:rsidRPr="001569FB">
          <w:rPr>
            <w:noProof/>
            <w:webHidden/>
          </w:rPr>
        </w:r>
        <w:r w:rsidR="00C669E3" w:rsidRPr="001569FB">
          <w:rPr>
            <w:noProof/>
            <w:webHidden/>
          </w:rPr>
          <w:fldChar w:fldCharType="separate"/>
        </w:r>
        <w:r w:rsidR="00A216EC">
          <w:rPr>
            <w:noProof/>
            <w:webHidden/>
          </w:rPr>
          <w:t>199</w:t>
        </w:r>
        <w:r w:rsidR="00C669E3" w:rsidRPr="001569FB">
          <w:rPr>
            <w:noProof/>
            <w:webHidden/>
          </w:rPr>
          <w:fldChar w:fldCharType="end"/>
        </w:r>
      </w:hyperlink>
    </w:p>
    <w:p w14:paraId="739F0F76" w14:textId="4C36EC25" w:rsidR="00C669E3" w:rsidRPr="001569FB" w:rsidRDefault="006B65AC">
      <w:pPr>
        <w:pStyle w:val="TOC3"/>
        <w:rPr>
          <w:rFonts w:asciiTheme="minorHAnsi" w:eastAsiaTheme="minorEastAsia" w:hAnsiTheme="minorHAnsi" w:cstheme="minorBidi"/>
          <w:noProof/>
          <w:sz w:val="22"/>
        </w:rPr>
      </w:pPr>
      <w:hyperlink w:anchor="_Toc505253874" w:history="1">
        <w:r w:rsidR="00C669E3" w:rsidRPr="001569FB">
          <w:rPr>
            <w:rStyle w:val="Hyperlink"/>
            <w:noProof/>
          </w:rPr>
          <w:t>Specialty Tiers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_Toc505253874 \h </w:instrText>
        </w:r>
        <w:r w:rsidR="00C669E3" w:rsidRPr="001569FB">
          <w:rPr>
            <w:noProof/>
            <w:webHidden/>
          </w:rPr>
        </w:r>
        <w:r w:rsidR="00C669E3" w:rsidRPr="001569FB">
          <w:rPr>
            <w:noProof/>
            <w:webHidden/>
          </w:rPr>
          <w:fldChar w:fldCharType="separate"/>
        </w:r>
        <w:r w:rsidR="00A216EC">
          <w:rPr>
            <w:noProof/>
            <w:webHidden/>
          </w:rPr>
          <w:t>201</w:t>
        </w:r>
        <w:r w:rsidR="00C669E3" w:rsidRPr="001569FB">
          <w:rPr>
            <w:noProof/>
            <w:webHidden/>
          </w:rPr>
          <w:fldChar w:fldCharType="end"/>
        </w:r>
      </w:hyperlink>
    </w:p>
    <w:p w14:paraId="38212897" w14:textId="23C09197" w:rsidR="00C669E3" w:rsidRPr="001569FB" w:rsidRDefault="006B65AC">
      <w:pPr>
        <w:pStyle w:val="TOC3"/>
        <w:rPr>
          <w:rFonts w:asciiTheme="minorHAnsi" w:eastAsiaTheme="minorEastAsia" w:hAnsiTheme="minorHAnsi" w:cstheme="minorBidi"/>
          <w:noProof/>
          <w:sz w:val="22"/>
        </w:rPr>
      </w:pPr>
      <w:hyperlink w:anchor="_Toc505253875" w:history="1">
        <w:r w:rsidR="00C669E3" w:rsidRPr="001569FB">
          <w:rPr>
            <w:rStyle w:val="Hyperlink"/>
            <w:noProof/>
          </w:rPr>
          <w:t>Low Enrollment Plans (Stand-alone PDPs only)</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_Toc505253875 \h </w:instrText>
        </w:r>
        <w:r w:rsidR="00C669E3" w:rsidRPr="001569FB">
          <w:rPr>
            <w:noProof/>
            <w:webHidden/>
          </w:rPr>
        </w:r>
        <w:r w:rsidR="00C669E3" w:rsidRPr="001569FB">
          <w:rPr>
            <w:noProof/>
            <w:webHidden/>
          </w:rPr>
          <w:fldChar w:fldCharType="separate"/>
        </w:r>
        <w:r w:rsidR="00A216EC">
          <w:rPr>
            <w:noProof/>
            <w:webHidden/>
          </w:rPr>
          <w:t>202</w:t>
        </w:r>
        <w:r w:rsidR="00C669E3" w:rsidRPr="001569FB">
          <w:rPr>
            <w:noProof/>
            <w:webHidden/>
          </w:rPr>
          <w:fldChar w:fldCharType="end"/>
        </w:r>
      </w:hyperlink>
    </w:p>
    <w:p w14:paraId="6B1EF31B" w14:textId="21836D1B" w:rsidR="00C669E3" w:rsidRPr="001569FB" w:rsidRDefault="006B65AC">
      <w:pPr>
        <w:pStyle w:val="TOC3"/>
        <w:rPr>
          <w:rFonts w:asciiTheme="minorHAnsi" w:eastAsiaTheme="minorEastAsia" w:hAnsiTheme="minorHAnsi" w:cstheme="minorBidi"/>
          <w:noProof/>
          <w:sz w:val="22"/>
        </w:rPr>
      </w:pPr>
      <w:hyperlink w:anchor="_Toc505253876" w:history="1">
        <w:r w:rsidR="00C669E3" w:rsidRPr="001569FB">
          <w:rPr>
            <w:rStyle w:val="Hyperlink"/>
            <w:noProof/>
          </w:rPr>
          <w:t>Improving Drug Utilization Review Controls in Medicare Part</w:t>
        </w:r>
        <w:r w:rsidR="00C669E3" w:rsidRPr="001569FB">
          <w:rPr>
            <w:rStyle w:val="Hyperlink"/>
            <w:noProof/>
            <w:spacing w:val="-16"/>
          </w:rPr>
          <w:t xml:space="preserve"> </w:t>
        </w:r>
        <w:r w:rsidR="00C669E3" w:rsidRPr="001569FB">
          <w:rPr>
            <w:rStyle w:val="Hyperlink"/>
            <w:noProof/>
          </w:rPr>
          <w:t>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_Toc505253876 \h </w:instrText>
        </w:r>
        <w:r w:rsidR="00C669E3" w:rsidRPr="001569FB">
          <w:rPr>
            <w:noProof/>
            <w:webHidden/>
          </w:rPr>
        </w:r>
        <w:r w:rsidR="00C669E3" w:rsidRPr="001569FB">
          <w:rPr>
            <w:noProof/>
            <w:webHidden/>
          </w:rPr>
          <w:fldChar w:fldCharType="separate"/>
        </w:r>
        <w:r w:rsidR="00A216EC">
          <w:rPr>
            <w:noProof/>
            <w:webHidden/>
          </w:rPr>
          <w:t>202</w:t>
        </w:r>
        <w:r w:rsidR="00C669E3" w:rsidRPr="001569FB">
          <w:rPr>
            <w:noProof/>
            <w:webHidden/>
          </w:rPr>
          <w:fldChar w:fldCharType="end"/>
        </w:r>
      </w:hyperlink>
    </w:p>
    <w:p w14:paraId="1D61533D" w14:textId="18C8E7D4" w:rsidR="00C669E3" w:rsidRPr="001569FB" w:rsidRDefault="006B65AC">
      <w:pPr>
        <w:pStyle w:val="TOC3"/>
        <w:rPr>
          <w:rFonts w:asciiTheme="minorHAnsi" w:eastAsiaTheme="minorEastAsia" w:hAnsiTheme="minorHAnsi" w:cstheme="minorBidi"/>
          <w:noProof/>
          <w:sz w:val="22"/>
        </w:rPr>
      </w:pPr>
      <w:hyperlink w:anchor="_Toc505253877" w:history="1">
        <w:r w:rsidR="00C669E3" w:rsidRPr="001569FB">
          <w:rPr>
            <w:rStyle w:val="Hyperlink"/>
            <w:noProof/>
          </w:rPr>
          <w:t>Coordination of Benefits (COB) User Fee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_Toc505253877 \h </w:instrText>
        </w:r>
        <w:r w:rsidR="00C669E3" w:rsidRPr="001569FB">
          <w:rPr>
            <w:noProof/>
            <w:webHidden/>
          </w:rPr>
        </w:r>
        <w:r w:rsidR="00C669E3" w:rsidRPr="001569FB">
          <w:rPr>
            <w:noProof/>
            <w:webHidden/>
          </w:rPr>
          <w:fldChar w:fldCharType="separate"/>
        </w:r>
        <w:r w:rsidR="00A216EC">
          <w:rPr>
            <w:noProof/>
            <w:webHidden/>
          </w:rPr>
          <w:t>217</w:t>
        </w:r>
        <w:r w:rsidR="00C669E3" w:rsidRPr="001569FB">
          <w:rPr>
            <w:noProof/>
            <w:webHidden/>
          </w:rPr>
          <w:fldChar w:fldCharType="end"/>
        </w:r>
      </w:hyperlink>
    </w:p>
    <w:p w14:paraId="39C30B86" w14:textId="399879D2" w:rsidR="00C669E3" w:rsidRPr="001569FB" w:rsidRDefault="006B65AC">
      <w:pPr>
        <w:pStyle w:val="TOC3"/>
        <w:rPr>
          <w:rFonts w:asciiTheme="minorHAnsi" w:eastAsiaTheme="minorEastAsia" w:hAnsiTheme="minorHAnsi" w:cstheme="minorBidi"/>
          <w:noProof/>
          <w:sz w:val="22"/>
        </w:rPr>
      </w:pPr>
      <w:hyperlink w:anchor="_Toc505253878" w:history="1">
        <w:r w:rsidR="00C669E3" w:rsidRPr="001569FB">
          <w:rPr>
            <w:rStyle w:val="Hyperlink"/>
            <w:noProof/>
          </w:rPr>
          <w:t>LIS Enrollee Cost-sharing for Out-of-Network Part D Drugs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_Toc505253878 \h </w:instrText>
        </w:r>
        <w:r w:rsidR="00C669E3" w:rsidRPr="001569FB">
          <w:rPr>
            <w:noProof/>
            <w:webHidden/>
          </w:rPr>
        </w:r>
        <w:r w:rsidR="00C669E3" w:rsidRPr="001569FB">
          <w:rPr>
            <w:noProof/>
            <w:webHidden/>
          </w:rPr>
          <w:fldChar w:fldCharType="separate"/>
        </w:r>
        <w:r w:rsidR="00A216EC">
          <w:rPr>
            <w:noProof/>
            <w:webHidden/>
          </w:rPr>
          <w:t>217</w:t>
        </w:r>
        <w:r w:rsidR="00C669E3" w:rsidRPr="001569FB">
          <w:rPr>
            <w:noProof/>
            <w:webHidden/>
          </w:rPr>
          <w:fldChar w:fldCharType="end"/>
        </w:r>
      </w:hyperlink>
    </w:p>
    <w:p w14:paraId="0A9DEEA5" w14:textId="1D19290C" w:rsidR="00C669E3" w:rsidRPr="001569FB" w:rsidRDefault="006B65AC">
      <w:pPr>
        <w:pStyle w:val="TOC3"/>
        <w:rPr>
          <w:rFonts w:asciiTheme="minorHAnsi" w:eastAsiaTheme="minorEastAsia" w:hAnsiTheme="minorHAnsi" w:cstheme="minorBidi"/>
          <w:noProof/>
          <w:sz w:val="22"/>
        </w:rPr>
      </w:pPr>
      <w:hyperlink w:anchor="_Toc505253879" w:history="1">
        <w:r w:rsidR="00C669E3" w:rsidRPr="001569FB">
          <w:rPr>
            <w:rStyle w:val="Hyperlink"/>
            <w:noProof/>
          </w:rPr>
          <w:t>Timely Updates to LIS Status Based on Best Available Evidence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_Toc505253879 \h </w:instrText>
        </w:r>
        <w:r w:rsidR="00C669E3" w:rsidRPr="001569FB">
          <w:rPr>
            <w:noProof/>
            <w:webHidden/>
          </w:rPr>
        </w:r>
        <w:r w:rsidR="00C669E3" w:rsidRPr="001569FB">
          <w:rPr>
            <w:noProof/>
            <w:webHidden/>
          </w:rPr>
          <w:fldChar w:fldCharType="separate"/>
        </w:r>
        <w:r w:rsidR="00A216EC">
          <w:rPr>
            <w:noProof/>
            <w:webHidden/>
          </w:rPr>
          <w:t>218</w:t>
        </w:r>
        <w:r w:rsidR="00C669E3" w:rsidRPr="001569FB">
          <w:rPr>
            <w:noProof/>
            <w:webHidden/>
          </w:rPr>
          <w:fldChar w:fldCharType="end"/>
        </w:r>
      </w:hyperlink>
    </w:p>
    <w:p w14:paraId="67D8F70C" w14:textId="18C17DE2" w:rsidR="00C669E3" w:rsidRPr="001569FB" w:rsidRDefault="006B65AC">
      <w:pPr>
        <w:pStyle w:val="TOC3"/>
        <w:rPr>
          <w:rFonts w:asciiTheme="minorHAnsi" w:eastAsiaTheme="minorEastAsia" w:hAnsiTheme="minorHAnsi" w:cstheme="minorBidi"/>
          <w:noProof/>
          <w:sz w:val="22"/>
        </w:rPr>
      </w:pPr>
      <w:hyperlink w:anchor="_Toc505253880" w:history="1">
        <w:r w:rsidR="00C669E3" w:rsidRPr="001569FB">
          <w:rPr>
            <w:rStyle w:val="Hyperlink"/>
            <w:noProof/>
          </w:rPr>
          <w:t>Using the Best Available Information when making B vs D Coverage Determinations for Immunosuppressants and Inhalation Durable Medical Equipment (DME) Supply Drugs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_Toc505253880 \h </w:instrText>
        </w:r>
        <w:r w:rsidR="00C669E3" w:rsidRPr="001569FB">
          <w:rPr>
            <w:noProof/>
            <w:webHidden/>
          </w:rPr>
        </w:r>
        <w:r w:rsidR="00C669E3" w:rsidRPr="001569FB">
          <w:rPr>
            <w:noProof/>
            <w:webHidden/>
          </w:rPr>
          <w:fldChar w:fldCharType="separate"/>
        </w:r>
        <w:r w:rsidR="00A216EC">
          <w:rPr>
            <w:noProof/>
            <w:webHidden/>
          </w:rPr>
          <w:t>218</w:t>
        </w:r>
        <w:r w:rsidR="00C669E3" w:rsidRPr="001569FB">
          <w:rPr>
            <w:noProof/>
            <w:webHidden/>
          </w:rPr>
          <w:fldChar w:fldCharType="end"/>
        </w:r>
      </w:hyperlink>
    </w:p>
    <w:p w14:paraId="098A6FAA" w14:textId="72D8B9A4" w:rsidR="00C669E3" w:rsidRPr="001569FB" w:rsidRDefault="006B65AC">
      <w:pPr>
        <w:pStyle w:val="TOC3"/>
        <w:rPr>
          <w:rFonts w:asciiTheme="minorHAnsi" w:eastAsiaTheme="minorEastAsia" w:hAnsiTheme="minorHAnsi" w:cstheme="minorBidi"/>
          <w:noProof/>
          <w:sz w:val="22"/>
        </w:rPr>
      </w:pPr>
      <w:hyperlink w:anchor="_Toc505253881" w:history="1">
        <w:r w:rsidR="00C669E3" w:rsidRPr="001569FB">
          <w:rPr>
            <w:rStyle w:val="Hyperlink"/>
            <w:noProof/>
          </w:rPr>
          <w:t>Part D Mail-Order Refill Consent Policy– Solicitation for Comments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_Toc505253881 \h </w:instrText>
        </w:r>
        <w:r w:rsidR="00C669E3" w:rsidRPr="001569FB">
          <w:rPr>
            <w:noProof/>
            <w:webHidden/>
          </w:rPr>
        </w:r>
        <w:r w:rsidR="00C669E3" w:rsidRPr="001569FB">
          <w:rPr>
            <w:noProof/>
            <w:webHidden/>
          </w:rPr>
          <w:fldChar w:fldCharType="separate"/>
        </w:r>
        <w:r w:rsidR="00A216EC">
          <w:rPr>
            <w:noProof/>
            <w:webHidden/>
          </w:rPr>
          <w:t>220</w:t>
        </w:r>
        <w:r w:rsidR="00C669E3" w:rsidRPr="001569FB">
          <w:rPr>
            <w:noProof/>
            <w:webHidden/>
          </w:rPr>
          <w:fldChar w:fldCharType="end"/>
        </w:r>
      </w:hyperlink>
    </w:p>
    <w:p w14:paraId="1EEA7A3E" w14:textId="3AE965E0" w:rsidR="00C669E3" w:rsidRPr="001569FB" w:rsidRDefault="006B65AC">
      <w:pPr>
        <w:pStyle w:val="TOC2"/>
        <w:rPr>
          <w:rFonts w:asciiTheme="minorHAnsi" w:eastAsiaTheme="minorEastAsia" w:hAnsiTheme="minorHAnsi" w:cstheme="minorBidi"/>
          <w:bCs w:val="0"/>
          <w:sz w:val="22"/>
        </w:rPr>
      </w:pPr>
      <w:hyperlink w:anchor="_Toc505253882" w:history="1">
        <w:r w:rsidR="00C669E3" w:rsidRPr="001569FB">
          <w:rPr>
            <w:rStyle w:val="Hyperlink"/>
          </w:rPr>
          <w:t>Section IV – Medicare-Medicaid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_Toc505253882 \h </w:instrText>
        </w:r>
        <w:r w:rsidR="00C669E3" w:rsidRPr="001569FB">
          <w:rPr>
            <w:webHidden/>
          </w:rPr>
        </w:r>
        <w:r w:rsidR="00C669E3" w:rsidRPr="001569FB">
          <w:rPr>
            <w:webHidden/>
          </w:rPr>
          <w:fldChar w:fldCharType="separate"/>
        </w:r>
        <w:r w:rsidR="00A216EC">
          <w:rPr>
            <w:webHidden/>
          </w:rPr>
          <w:t>222</w:t>
        </w:r>
        <w:r w:rsidR="00C669E3" w:rsidRPr="001569FB">
          <w:rPr>
            <w:webHidden/>
          </w:rPr>
          <w:fldChar w:fldCharType="end"/>
        </w:r>
      </w:hyperlink>
    </w:p>
    <w:p w14:paraId="246059D1" w14:textId="4A380091" w:rsidR="00C669E3" w:rsidRPr="001569FB" w:rsidRDefault="006B65AC">
      <w:pPr>
        <w:pStyle w:val="TOC3"/>
        <w:rPr>
          <w:rFonts w:asciiTheme="minorHAnsi" w:eastAsiaTheme="minorEastAsia" w:hAnsiTheme="minorHAnsi" w:cstheme="minorBidi"/>
          <w:noProof/>
          <w:sz w:val="22"/>
        </w:rPr>
      </w:pPr>
      <w:hyperlink w:anchor="_Toc505253883" w:history="1">
        <w:r w:rsidR="00C669E3" w:rsidRPr="001569FB">
          <w:rPr>
            <w:rStyle w:val="Hyperlink"/>
            <w:noProof/>
          </w:rPr>
          <w:t>Medicare-Medicaid Plan Annual Requirements and Timeline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_Toc505253883 \h </w:instrText>
        </w:r>
        <w:r w:rsidR="00C669E3" w:rsidRPr="001569FB">
          <w:rPr>
            <w:noProof/>
            <w:webHidden/>
          </w:rPr>
        </w:r>
        <w:r w:rsidR="00C669E3" w:rsidRPr="001569FB">
          <w:rPr>
            <w:noProof/>
            <w:webHidden/>
          </w:rPr>
          <w:fldChar w:fldCharType="separate"/>
        </w:r>
        <w:r w:rsidR="00A216EC">
          <w:rPr>
            <w:noProof/>
            <w:webHidden/>
          </w:rPr>
          <w:t>222</w:t>
        </w:r>
        <w:r w:rsidR="00C669E3" w:rsidRPr="001569FB">
          <w:rPr>
            <w:noProof/>
            <w:webHidden/>
          </w:rPr>
          <w:fldChar w:fldCharType="end"/>
        </w:r>
      </w:hyperlink>
    </w:p>
    <w:p w14:paraId="1F6270BC" w14:textId="3707D8F8" w:rsidR="00C669E3" w:rsidRPr="001569FB" w:rsidRDefault="006B65AC">
      <w:pPr>
        <w:pStyle w:val="TOC1"/>
        <w:rPr>
          <w:rFonts w:asciiTheme="minorHAnsi" w:eastAsiaTheme="minorEastAsia" w:hAnsiTheme="minorHAnsi" w:cstheme="minorBidi"/>
          <w:bCs w:val="0"/>
          <w:noProof/>
          <w:sz w:val="22"/>
        </w:rPr>
      </w:pPr>
      <w:hyperlink w:anchor="_Toc505253884" w:history="1">
        <w:r w:rsidR="00C669E3" w:rsidRPr="001569FB">
          <w:rPr>
            <w:rStyle w:val="Hyperlink"/>
            <w:noProof/>
          </w:rPr>
          <w:t>Appendix 1: Methodology for Plan Finder (PF) Composite Price Accuracy Display Measure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_Toc505253884 \h </w:instrText>
        </w:r>
        <w:r w:rsidR="00C669E3" w:rsidRPr="001569FB">
          <w:rPr>
            <w:noProof/>
            <w:webHidden/>
          </w:rPr>
        </w:r>
        <w:r w:rsidR="00C669E3" w:rsidRPr="001569FB">
          <w:rPr>
            <w:noProof/>
            <w:webHidden/>
          </w:rPr>
          <w:fldChar w:fldCharType="separate"/>
        </w:r>
        <w:r w:rsidR="00A216EC">
          <w:rPr>
            <w:noProof/>
            <w:webHidden/>
          </w:rPr>
          <w:t>227</w:t>
        </w:r>
        <w:r w:rsidR="00C669E3" w:rsidRPr="001569FB">
          <w:rPr>
            <w:noProof/>
            <w:webHidden/>
          </w:rPr>
          <w:fldChar w:fldCharType="end"/>
        </w:r>
      </w:hyperlink>
    </w:p>
    <w:p w14:paraId="1E8B8C8E" w14:textId="1120897B" w:rsidR="00C669E3" w:rsidRPr="001569FB" w:rsidRDefault="006B65AC">
      <w:pPr>
        <w:pStyle w:val="TOC2"/>
        <w:rPr>
          <w:rFonts w:asciiTheme="minorHAnsi" w:eastAsiaTheme="minorEastAsia" w:hAnsiTheme="minorHAnsi" w:cstheme="minorBidi"/>
          <w:bCs w:val="0"/>
          <w:sz w:val="22"/>
        </w:rPr>
      </w:pPr>
      <w:hyperlink w:anchor="_Toc505253885" w:history="1">
        <w:r w:rsidR="00C669E3" w:rsidRPr="001569FB">
          <w:rPr>
            <w:rStyle w:val="Hyperlink"/>
          </w:rPr>
          <w:t>Contract Selection</w:t>
        </w:r>
        <w:r w:rsidR="00C669E3" w:rsidRPr="001569FB">
          <w:rPr>
            <w:webHidden/>
            <w:spacing w:val="70"/>
          </w:rPr>
          <w:tab/>
        </w:r>
        <w:r w:rsidR="00C669E3" w:rsidRPr="001569FB">
          <w:rPr>
            <w:webHidden/>
          </w:rPr>
          <w:fldChar w:fldCharType="begin"/>
        </w:r>
        <w:r w:rsidR="00C669E3" w:rsidRPr="001569FB">
          <w:rPr>
            <w:webHidden/>
          </w:rPr>
          <w:instrText xml:space="preserve"> PAGEREF _Toc505253885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6A9BD629" w14:textId="4501CBD7" w:rsidR="00C669E3" w:rsidRPr="001569FB" w:rsidRDefault="006B65AC">
      <w:pPr>
        <w:pStyle w:val="TOC2"/>
        <w:rPr>
          <w:rFonts w:asciiTheme="minorHAnsi" w:eastAsiaTheme="minorEastAsia" w:hAnsiTheme="minorHAnsi" w:cstheme="minorBidi"/>
          <w:bCs w:val="0"/>
          <w:sz w:val="22"/>
        </w:rPr>
      </w:pPr>
      <w:hyperlink w:anchor="_Toc505253886" w:history="1">
        <w:r w:rsidR="00C669E3" w:rsidRPr="001569FB">
          <w:rPr>
            <w:rStyle w:val="Hyperlink"/>
          </w:rPr>
          <w:t>PF Composite Price Accuracy Score</w:t>
        </w:r>
        <w:r w:rsidR="00C669E3" w:rsidRPr="001569FB">
          <w:rPr>
            <w:webHidden/>
            <w:spacing w:val="70"/>
          </w:rPr>
          <w:tab/>
        </w:r>
        <w:r w:rsidR="00C669E3" w:rsidRPr="001569FB">
          <w:rPr>
            <w:webHidden/>
          </w:rPr>
          <w:fldChar w:fldCharType="begin"/>
        </w:r>
        <w:r w:rsidR="00C669E3" w:rsidRPr="001569FB">
          <w:rPr>
            <w:webHidden/>
          </w:rPr>
          <w:instrText xml:space="preserve"> PAGEREF _Toc505253886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36B91BDD" w14:textId="77777777" w:rsidR="004C5B0C" w:rsidRPr="001569FB" w:rsidRDefault="004C5B0C" w:rsidP="004C5B0C">
      <w:pPr>
        <w:tabs>
          <w:tab w:val="left" w:pos="6361"/>
        </w:tabs>
        <w:sectPr w:rsidR="004C5B0C" w:rsidRPr="001569FB" w:rsidSect="00AD237C">
          <w:footnotePr>
            <w:pos w:val="beneathText"/>
          </w:footnotePr>
          <w:type w:val="continuous"/>
          <w:pgSz w:w="12240" w:h="15840"/>
          <w:pgMar w:top="1440" w:right="1440" w:bottom="1440" w:left="1440" w:header="720" w:footer="720" w:gutter="0"/>
          <w:cols w:space="720"/>
        </w:sectPr>
      </w:pPr>
      <w:r w:rsidRPr="001569FB">
        <w:rPr>
          <w:rFonts w:cs="Arial"/>
          <w:noProof/>
        </w:rPr>
        <w:fldChar w:fldCharType="end"/>
      </w:r>
    </w:p>
    <w:p w14:paraId="766EC03A" w14:textId="77777777" w:rsidR="004C5B0C" w:rsidRPr="001569FB" w:rsidRDefault="004C5B0C" w:rsidP="004C5B0C">
      <w:pPr>
        <w:pStyle w:val="Heading2"/>
      </w:pPr>
      <w:bookmarkStart w:id="617" w:name="_Toc443480633"/>
      <w:bookmarkStart w:id="618" w:name="_Toc443633680"/>
      <w:bookmarkStart w:id="619" w:name="_Toc493523560"/>
      <w:bookmarkStart w:id="620" w:name="_Toc495652070"/>
      <w:bookmarkStart w:id="621" w:name="_Toc505253805"/>
      <w:bookmarkStart w:id="622" w:name="_Toc505253827"/>
      <w:r w:rsidRPr="001569FB">
        <w:lastRenderedPageBreak/>
        <w:t>How to Use This Call</w:t>
      </w:r>
      <w:r w:rsidRPr="001569FB">
        <w:rPr>
          <w:spacing w:val="-7"/>
        </w:rPr>
        <w:t xml:space="preserve"> </w:t>
      </w:r>
      <w:r w:rsidRPr="001569FB">
        <w:t>Letter</w:t>
      </w:r>
      <w:bookmarkEnd w:id="617"/>
      <w:bookmarkEnd w:id="618"/>
      <w:bookmarkEnd w:id="619"/>
      <w:bookmarkEnd w:id="620"/>
      <w:bookmarkEnd w:id="621"/>
      <w:bookmarkEnd w:id="622"/>
    </w:p>
    <w:p w14:paraId="11D17433" w14:textId="77777777" w:rsidR="004C5B0C" w:rsidRPr="001569FB" w:rsidRDefault="004C5B0C" w:rsidP="004C5B0C">
      <w:pPr>
        <w:pStyle w:val="BodyText0"/>
      </w:pPr>
      <w:r w:rsidRPr="001569FB">
        <w:t xml:space="preserve">The draft CY 2019 Call Letter contains information on the Part C and Part D programs that Medicare Advantage Organizations (MAOs), Part D sponsors, and Medicare-Medicaid Plans (MMPs) need to take into consideration in preparing their 2019 bids. </w:t>
      </w:r>
    </w:p>
    <w:p w14:paraId="2B637736" w14:textId="77777777" w:rsidR="004C5B0C" w:rsidRPr="001569FB" w:rsidRDefault="004C5B0C" w:rsidP="004C5B0C">
      <w:pPr>
        <w:pStyle w:val="BodyText0"/>
      </w:pPr>
      <w:r w:rsidRPr="001569FB">
        <w:t xml:space="preserve">CMS has designed the policies contained in this draft Call Letter to improve the overall management of the Medicare Advantage and Prescription Drug programs. CMS aims to expand flexibilities so that plans and providers are empowered to meet the needs of Medicare beneficiaries at the local level, while increasing beneficiary choice and improving the patient/physician relationship. The policies in the draft Call Letter also reflect CMS efforts to increase transparency in our decision-making and promote innovation. </w:t>
      </w:r>
    </w:p>
    <w:p w14:paraId="21E10C50" w14:textId="77777777" w:rsidR="004C5B0C" w:rsidRPr="001569FB" w:rsidRDefault="004C5B0C" w:rsidP="004C5B0C">
      <w:pPr>
        <w:pStyle w:val="BodyText0"/>
      </w:pPr>
      <w:r w:rsidRPr="001569FB">
        <w:t xml:space="preserve">If you have questions concerning this Call Letter, please contact: Kim Levin at </w:t>
      </w:r>
      <w:r w:rsidRPr="001569FB">
        <w:rPr>
          <w:rStyle w:val="Hyperlink"/>
        </w:rPr>
        <w:t>Kimberlee.Levin@cms.hhs.gov</w:t>
      </w:r>
      <w:r w:rsidRPr="001569FB">
        <w:t xml:space="preserve"> (Part C issues), Lucia Patrone at </w:t>
      </w:r>
      <w:hyperlink r:id="rId42" w:history="1">
        <w:r w:rsidRPr="001569FB">
          <w:rPr>
            <w:rStyle w:val="Hyperlink"/>
          </w:rPr>
          <w:t>Lucia.Patrone@cms.hhs.gov</w:t>
        </w:r>
      </w:hyperlink>
      <w:r w:rsidRPr="001569FB">
        <w:t xml:space="preserve">  (Part D issues), or </w:t>
      </w:r>
      <w:hyperlink r:id="rId43" w:history="1">
        <w:r w:rsidRPr="001569FB">
          <w:rPr>
            <w:rStyle w:val="Hyperlink"/>
          </w:rPr>
          <w:t>mmcocapsmodel@cms.hhs.gov</w:t>
        </w:r>
      </w:hyperlink>
      <w:r w:rsidRPr="001569FB">
        <w:t xml:space="preserve"> (MMP issues).</w:t>
      </w:r>
    </w:p>
    <w:p w14:paraId="51A22DA8" w14:textId="77777777" w:rsidR="004C5B0C" w:rsidRPr="001569FB" w:rsidRDefault="004C5B0C" w:rsidP="004C5B0C">
      <w:pPr>
        <w:sectPr w:rsidR="004C5B0C" w:rsidRPr="001569FB" w:rsidSect="00AD237C">
          <w:footnotePr>
            <w:pos w:val="beneathText"/>
          </w:footnotePr>
          <w:pgSz w:w="12240" w:h="15840"/>
          <w:pgMar w:top="1440" w:right="1440" w:bottom="1440" w:left="1440" w:header="745" w:footer="0" w:gutter="0"/>
          <w:cols w:space="720"/>
        </w:sectPr>
      </w:pPr>
    </w:p>
    <w:p w14:paraId="55BE62A4" w14:textId="77777777" w:rsidR="004C5B0C" w:rsidRPr="001569FB" w:rsidRDefault="004C5B0C" w:rsidP="004C5B0C">
      <w:pPr>
        <w:pStyle w:val="Heading2"/>
        <w:rPr>
          <w:sz w:val="21"/>
          <w:szCs w:val="21"/>
        </w:rPr>
      </w:pPr>
      <w:bookmarkStart w:id="623" w:name="_Toc443480634"/>
      <w:bookmarkStart w:id="624" w:name="_Toc443633681"/>
      <w:bookmarkStart w:id="625" w:name="_Toc493523561"/>
      <w:bookmarkStart w:id="626" w:name="_Toc495652071"/>
      <w:bookmarkStart w:id="627" w:name="_Toc505253806"/>
      <w:bookmarkStart w:id="628" w:name="_Toc505253828"/>
      <w:r w:rsidRPr="001569FB">
        <w:lastRenderedPageBreak/>
        <w:t>Section I – Parts C and</w:t>
      </w:r>
      <w:r w:rsidRPr="001569FB">
        <w:rPr>
          <w:spacing w:val="-5"/>
        </w:rPr>
        <w:t xml:space="preserve"> </w:t>
      </w:r>
      <w:r w:rsidRPr="001569FB">
        <w:t>D</w:t>
      </w:r>
      <w:bookmarkEnd w:id="623"/>
      <w:bookmarkEnd w:id="624"/>
      <w:bookmarkEnd w:id="625"/>
      <w:bookmarkEnd w:id="626"/>
      <w:bookmarkEnd w:id="627"/>
      <w:bookmarkEnd w:id="628"/>
      <w:r w:rsidRPr="001569FB">
        <w:rPr>
          <w:sz w:val="21"/>
          <w:szCs w:val="21"/>
        </w:rPr>
        <w:t xml:space="preserve"> </w:t>
      </w:r>
    </w:p>
    <w:p w14:paraId="03DB1AE7" w14:textId="3F88539A" w:rsidR="004C5B0C" w:rsidRPr="001569FB" w:rsidRDefault="009D4953" w:rsidP="004C5B0C">
      <w:pPr>
        <w:pStyle w:val="Heading3"/>
      </w:pPr>
      <w:bookmarkStart w:id="629" w:name="_Toc443480635"/>
      <w:bookmarkStart w:id="630" w:name="_Toc493523562"/>
      <w:bookmarkStart w:id="631" w:name="_Toc495652072"/>
      <w:bookmarkStart w:id="632" w:name="_Toc505253829"/>
      <w:r>
        <w:t xml:space="preserve">Section I </w:t>
      </w:r>
      <w:r w:rsidR="004C5B0C" w:rsidRPr="001569FB">
        <w:t>Annual</w:t>
      </w:r>
      <w:r w:rsidR="004C5B0C" w:rsidRPr="001569FB">
        <w:rPr>
          <w:spacing w:val="-3"/>
        </w:rPr>
        <w:t xml:space="preserve"> </w:t>
      </w:r>
      <w:r w:rsidR="004C5B0C" w:rsidRPr="001569FB">
        <w:t>Calendar</w:t>
      </w:r>
      <w:bookmarkEnd w:id="629"/>
      <w:bookmarkEnd w:id="630"/>
      <w:bookmarkEnd w:id="631"/>
      <w:bookmarkEnd w:id="632"/>
    </w:p>
    <w:p w14:paraId="07A3C3EC" w14:textId="77777777" w:rsidR="004C5B0C" w:rsidRPr="001569FB" w:rsidRDefault="004C5B0C" w:rsidP="004C5B0C">
      <w:pPr>
        <w:pStyle w:val="BodyText0"/>
        <w:spacing w:after="480"/>
        <w:ind w:right="1066"/>
      </w:pPr>
      <w:r w:rsidRPr="001569FB">
        <w:t>Below is a combined calendar listing of key dates and timelines for</w:t>
      </w:r>
      <w:r w:rsidRPr="001569FB">
        <w:rPr>
          <w:spacing w:val="-11"/>
        </w:rPr>
        <w:t xml:space="preserve"> </w:t>
      </w:r>
      <w:r w:rsidRPr="001569FB">
        <w:t>operational activities that pertain to Medicare Advantage (MA), Medicare Advantage-Prescription</w:t>
      </w:r>
      <w:r w:rsidRPr="001569FB">
        <w:rPr>
          <w:spacing w:val="-13"/>
        </w:rPr>
        <w:t xml:space="preserve"> </w:t>
      </w:r>
      <w:r w:rsidRPr="001569FB">
        <w:t>Drug) (MA-PD), Prescription Drug Plan (PDP), Medicare-Medicaid Plan (MMP), and cost-based</w:t>
      </w:r>
      <w:r w:rsidRPr="001569FB">
        <w:rPr>
          <w:spacing w:val="-16"/>
        </w:rPr>
        <w:t xml:space="preserve"> </w:t>
      </w:r>
      <w:r w:rsidRPr="001569FB">
        <w:t>plans. The calendar provides important operational dates for all organizations such as the date bids</w:t>
      </w:r>
      <w:r w:rsidRPr="001569FB">
        <w:rPr>
          <w:spacing w:val="-12"/>
        </w:rPr>
        <w:t xml:space="preserve"> </w:t>
      </w:r>
      <w:r w:rsidRPr="001569FB">
        <w:t>are due to CMS, the date that organizations must inform CMS of their contract non-renewal,</w:t>
      </w:r>
      <w:r w:rsidRPr="001569FB">
        <w:rPr>
          <w:spacing w:val="-9"/>
        </w:rPr>
        <w:t xml:space="preserve"> </w:t>
      </w:r>
      <w:r w:rsidRPr="001569FB">
        <w:t>and dates for beneficiary</w:t>
      </w:r>
      <w:r w:rsidRPr="001569FB">
        <w:rPr>
          <w:spacing w:val="-7"/>
        </w:rPr>
        <w:t xml:space="preserve"> </w:t>
      </w:r>
      <w:r w:rsidRPr="001569FB">
        <w:t>mailings.</w:t>
      </w:r>
    </w:p>
    <w:tbl>
      <w:tblPr>
        <w:tblW w:w="4909" w:type="pct"/>
        <w:tblLayout w:type="fixed"/>
        <w:tblCellMar>
          <w:left w:w="0" w:type="dxa"/>
          <w:right w:w="0" w:type="dxa"/>
        </w:tblCellMar>
        <w:tblLook w:val="01E0" w:firstRow="1" w:lastRow="1" w:firstColumn="1" w:lastColumn="1" w:noHBand="0" w:noVBand="0"/>
      </w:tblPr>
      <w:tblGrid>
        <w:gridCol w:w="1620"/>
        <w:gridCol w:w="4836"/>
        <w:gridCol w:w="722"/>
        <w:gridCol w:w="722"/>
        <w:gridCol w:w="643"/>
        <w:gridCol w:w="637"/>
      </w:tblGrid>
      <w:tr w:rsidR="004C5B0C" w:rsidRPr="001569FB" w14:paraId="5A0FE67C" w14:textId="77777777" w:rsidTr="004C5B0C">
        <w:trPr>
          <w:cantSplit/>
          <w:trHeight w:val="729"/>
          <w:tblHeader/>
        </w:trPr>
        <w:tc>
          <w:tcPr>
            <w:tcW w:w="6456" w:type="dxa"/>
            <w:gridSpan w:val="2"/>
            <w:tcBorders>
              <w:top w:val="single" w:sz="4" w:space="0" w:color="000000"/>
              <w:left w:val="single" w:sz="4" w:space="0" w:color="000000"/>
              <w:bottom w:val="single" w:sz="6" w:space="0" w:color="000000"/>
              <w:right w:val="single" w:sz="6" w:space="0" w:color="000000"/>
            </w:tcBorders>
            <w:shd w:val="clear" w:color="auto" w:fill="C0C0C0"/>
            <w:vAlign w:val="center"/>
          </w:tcPr>
          <w:p w14:paraId="309FEA76" w14:textId="77777777" w:rsidR="004C5B0C" w:rsidRPr="001569FB" w:rsidRDefault="004C5B0C" w:rsidP="004C5B0C">
            <w:pPr>
              <w:pStyle w:val="TableParagraph"/>
              <w:ind w:right="144"/>
              <w:rPr>
                <w:rFonts w:ascii="Times New Roman" w:eastAsia="Times New Roman" w:hAnsi="Times New Roman" w:cs="Times New Roman"/>
                <w:sz w:val="20"/>
                <w:szCs w:val="20"/>
              </w:rPr>
            </w:pPr>
            <w:r w:rsidRPr="001569FB">
              <w:rPr>
                <w:rFonts w:ascii="Times New Roman"/>
                <w:b/>
                <w:sz w:val="20"/>
              </w:rPr>
              <w:t>2018*Note: The dates listed under Part C include MA and MA-PD plans. The</w:t>
            </w:r>
            <w:r w:rsidRPr="001569FB">
              <w:rPr>
                <w:rFonts w:ascii="Times New Roman"/>
                <w:b/>
                <w:w w:val="99"/>
                <w:sz w:val="20"/>
              </w:rPr>
              <w:t xml:space="preserve"> </w:t>
            </w:r>
            <w:r w:rsidRPr="001569FB">
              <w:rPr>
                <w:rFonts w:ascii="Times New Roman"/>
                <w:b/>
                <w:sz w:val="20"/>
              </w:rPr>
              <w:t>dates listed under Part D also apply to MA and cost-based plans</w:t>
            </w:r>
            <w:r w:rsidRPr="001569FB">
              <w:rPr>
                <w:rFonts w:ascii="Times New Roman"/>
                <w:b/>
                <w:w w:val="99"/>
                <w:sz w:val="20"/>
              </w:rPr>
              <w:t xml:space="preserve"> </w:t>
            </w:r>
            <w:r w:rsidRPr="001569FB">
              <w:rPr>
                <w:rFonts w:ascii="Times New Roman"/>
                <w:b/>
                <w:sz w:val="20"/>
              </w:rPr>
              <w:t xml:space="preserve">offering a Part D benefit. </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1F26D6A" w14:textId="77777777" w:rsidR="004C5B0C" w:rsidRPr="001569FB" w:rsidRDefault="004C5B0C" w:rsidP="004C5B0C">
            <w:pPr>
              <w:pStyle w:val="TableParagraph"/>
              <w:ind w:left="5"/>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C</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4C5C25FE" w14:textId="77777777" w:rsidR="004C5B0C" w:rsidRPr="001569FB" w:rsidRDefault="004C5B0C" w:rsidP="004C5B0C">
            <w:pPr>
              <w:pStyle w:val="TableParagraph"/>
              <w:ind w:left="6"/>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D</w:t>
            </w:r>
          </w:p>
        </w:tc>
        <w:tc>
          <w:tcPr>
            <w:tcW w:w="643"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62A5ABE" w14:textId="77777777" w:rsidR="004C5B0C" w:rsidRPr="001569FB" w:rsidRDefault="004C5B0C" w:rsidP="004C5B0C">
            <w:pPr>
              <w:pStyle w:val="TableParagraph"/>
              <w:ind w:left="-83"/>
              <w:jc w:val="center"/>
              <w:rPr>
                <w:rFonts w:ascii="Times New Roman" w:eastAsia="Times New Roman" w:hAnsi="Times New Roman" w:cs="Times New Roman"/>
                <w:sz w:val="20"/>
                <w:szCs w:val="20"/>
              </w:rPr>
            </w:pPr>
            <w:r w:rsidRPr="001569FB">
              <w:rPr>
                <w:rFonts w:ascii="Times New Roman"/>
                <w:b/>
                <w:sz w:val="20"/>
              </w:rPr>
              <w:t>Cost</w:t>
            </w:r>
          </w:p>
        </w:tc>
        <w:tc>
          <w:tcPr>
            <w:tcW w:w="637" w:type="dxa"/>
            <w:tcBorders>
              <w:top w:val="single" w:sz="4" w:space="0" w:color="000000"/>
              <w:left w:val="single" w:sz="6" w:space="0" w:color="000000"/>
              <w:bottom w:val="single" w:sz="6" w:space="0" w:color="000000"/>
              <w:right w:val="single" w:sz="4" w:space="0" w:color="000000"/>
            </w:tcBorders>
            <w:shd w:val="clear" w:color="auto" w:fill="C0C0C0"/>
            <w:vAlign w:val="center"/>
          </w:tcPr>
          <w:p w14:paraId="21E7F0DC" w14:textId="77777777" w:rsidR="004C5B0C" w:rsidRPr="001569FB" w:rsidRDefault="004C5B0C" w:rsidP="004C5B0C">
            <w:pPr>
              <w:pStyle w:val="TableParagraph"/>
              <w:ind w:left="-1"/>
              <w:jc w:val="center"/>
              <w:rPr>
                <w:rFonts w:ascii="Times New Roman" w:eastAsia="Times New Roman" w:hAnsi="Times New Roman" w:cs="Times New Roman"/>
                <w:sz w:val="20"/>
                <w:szCs w:val="20"/>
              </w:rPr>
            </w:pPr>
            <w:r w:rsidRPr="001569FB">
              <w:rPr>
                <w:rFonts w:ascii="Times New Roman"/>
                <w:b/>
                <w:sz w:val="20"/>
              </w:rPr>
              <w:t>MMP</w:t>
            </w:r>
          </w:p>
        </w:tc>
      </w:tr>
      <w:tr w:rsidR="004C5B0C" w:rsidRPr="001569FB" w14:paraId="11BADB9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F0A1696"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1155C7" w14:textId="77777777" w:rsidR="004C5B0C" w:rsidRPr="001569FB" w:rsidRDefault="004C5B0C" w:rsidP="004C5B0C">
            <w:pPr>
              <w:pStyle w:val="TableParagraph"/>
              <w:ind w:left="144"/>
              <w:rPr>
                <w:rFonts w:ascii="Times New Roman"/>
                <w:sz w:val="20"/>
              </w:rPr>
            </w:pPr>
            <w:r w:rsidRPr="001569FB">
              <w:rPr>
                <w:rFonts w:ascii="Times New Roman"/>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vAlign w:val="center"/>
          </w:tcPr>
          <w:p w14:paraId="0114929B"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D48F996" w14:textId="77777777" w:rsidR="004C5B0C" w:rsidRPr="001569FB" w:rsidRDefault="004C5B0C" w:rsidP="004C5B0C">
            <w:pPr>
              <w:pStyle w:val="TableParagraph"/>
              <w:rPr>
                <w:rFonts w:ascii="Wingdings 2" w:eastAsia="Wingdings 2" w:hAnsi="Wingdings 2" w:cs="Wingdings 2"/>
                <w:b/>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39BA897" w14:textId="77777777" w:rsidR="004C5B0C" w:rsidRPr="001569FB" w:rsidRDefault="004C5B0C" w:rsidP="004C5B0C">
            <w:pPr>
              <w:pStyle w:val="TableParagraph"/>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459F7791" w14:textId="77777777" w:rsidR="004C5B0C" w:rsidRPr="001569FB" w:rsidRDefault="004C5B0C" w:rsidP="004C5B0C">
            <w:pPr>
              <w:rPr>
                <w:rFonts w:ascii="Wingdings 2" w:eastAsia="Wingdings 2" w:hAnsi="Wingdings 2" w:cs="Wingdings 2"/>
                <w:b/>
                <w:w w:val="99"/>
                <w:sz w:val="20"/>
                <w:szCs w:val="20"/>
              </w:rPr>
            </w:pPr>
          </w:p>
        </w:tc>
      </w:tr>
      <w:tr w:rsidR="004C5B0C" w:rsidRPr="001569FB" w14:paraId="00BB75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8697CE"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E7A87E9"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Contract Year CY 2019 Initial and Service Area Applications for MA/MA-PD/PDP, MMP, SNP, EGWP, and 1876 Cost Plan Expansions.  </w:t>
            </w:r>
          </w:p>
        </w:tc>
        <w:tc>
          <w:tcPr>
            <w:tcW w:w="722" w:type="dxa"/>
            <w:tcBorders>
              <w:top w:val="single" w:sz="6" w:space="0" w:color="000000"/>
              <w:left w:val="single" w:sz="6" w:space="0" w:color="000000"/>
              <w:bottom w:val="single" w:sz="6" w:space="0" w:color="000000"/>
              <w:right w:val="single" w:sz="6" w:space="0" w:color="000000"/>
            </w:tcBorders>
            <w:vAlign w:val="center"/>
          </w:tcPr>
          <w:p w14:paraId="6DBCD9D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0FD47F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DF61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96AEC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442126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2958F9D"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3392A" w14:textId="77777777" w:rsidR="004C5B0C" w:rsidRPr="001569FB" w:rsidRDefault="004C5B0C" w:rsidP="004C5B0C">
            <w:pPr>
              <w:pStyle w:val="TableParagraph"/>
              <w:ind w:left="144"/>
              <w:rPr>
                <w:rFonts w:ascii="Times New Roman"/>
                <w:sz w:val="20"/>
              </w:rPr>
            </w:pPr>
            <w:r w:rsidRPr="001569FB">
              <w:rPr>
                <w:rFonts w:ascii="Times New Roman"/>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CA4D3A8"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588DE0"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247ACE8"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2C114A6" w14:textId="77777777" w:rsidR="004C5B0C" w:rsidRPr="001569FB" w:rsidRDefault="004C5B0C" w:rsidP="004C5B0C"/>
        </w:tc>
      </w:tr>
      <w:tr w:rsidR="004C5B0C" w:rsidRPr="001569FB" w14:paraId="4ACFD2A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C7C033"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B251767"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8FFB11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38D389"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317F9FF"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9DE9390" w14:textId="77777777" w:rsidR="004C5B0C" w:rsidRPr="001569FB" w:rsidRDefault="004C5B0C" w:rsidP="004C5B0C"/>
        </w:tc>
      </w:tr>
      <w:tr w:rsidR="004C5B0C" w:rsidRPr="001569FB" w14:paraId="453E682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D22F1C"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660D1B"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411186A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86841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A04E3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AE4C3F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590DD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62E1AA1"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C03508" w14:textId="77777777" w:rsidR="004C5B0C" w:rsidRPr="001569FB" w:rsidRDefault="004C5B0C" w:rsidP="004C5B0C">
            <w:pPr>
              <w:pStyle w:val="TableParagraph"/>
              <w:ind w:left="144"/>
              <w:rPr>
                <w:rFonts w:ascii="Times New Roman"/>
                <w:sz w:val="20"/>
              </w:rPr>
            </w:pPr>
            <w:r w:rsidRPr="001569FB">
              <w:rPr>
                <w:rFonts w:ascii="Times New Roman"/>
                <w:sz w:val="20"/>
              </w:rPr>
              <w:t>CY 2019 Initial and Service Area Expansion Application for MA/MA-PD/PDP, MMP, SNP, EGWP, and 1876 Cost Plan Expansion are due in the Health Plan Management System (HPMS) by 8pm EST.</w:t>
            </w:r>
            <w:r w:rsidRPr="001569FB" w:rsidDel="004E0C16">
              <w:rPr>
                <w:rFonts w:ascii="Times New Roman"/>
                <w:sz w:val="20"/>
              </w:rPr>
              <w:t xml:space="preserve"> </w:t>
            </w:r>
          </w:p>
        </w:tc>
        <w:tc>
          <w:tcPr>
            <w:tcW w:w="722" w:type="dxa"/>
            <w:tcBorders>
              <w:top w:val="single" w:sz="6" w:space="0" w:color="000000"/>
              <w:left w:val="single" w:sz="6" w:space="0" w:color="000000"/>
              <w:bottom w:val="single" w:sz="6" w:space="0" w:color="000000"/>
              <w:right w:val="single" w:sz="6" w:space="0" w:color="000000"/>
            </w:tcBorders>
            <w:vAlign w:val="center"/>
          </w:tcPr>
          <w:p w14:paraId="35BF43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925B8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CDC39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2D5ACF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66EE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573EA76"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AF67B20"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MOC Renewals Submissions for SNP MOCs with approvals ending as of 12/31/2018 are due in HPMS by 8pm EST.  </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2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2A40CB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A892EF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BDB62B8" w14:textId="77777777" w:rsidR="004C5B0C" w:rsidRPr="001569FB" w:rsidRDefault="004C5B0C" w:rsidP="004C5B0C"/>
        </w:tc>
      </w:tr>
      <w:tr w:rsidR="004C5B0C" w:rsidRPr="001569FB" w14:paraId="5F34CD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9C683CB" w14:textId="77777777" w:rsidR="004C5B0C" w:rsidRPr="001569FB" w:rsidRDefault="004C5B0C" w:rsidP="004C5B0C">
            <w:pPr>
              <w:pStyle w:val="TableParagraph"/>
              <w:ind w:left="144" w:right="144"/>
              <w:rPr>
                <w:rFonts w:ascii="Times New Roman"/>
                <w:sz w:val="20"/>
              </w:rPr>
            </w:pPr>
            <w:r w:rsidRPr="001569FB">
              <w:rPr>
                <w:rFonts w:ascii="Times New Roman"/>
                <w:sz w:val="20"/>
              </w:rPr>
              <w:t>Late 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FBAE953" w14:textId="77777777" w:rsidR="004C5B0C" w:rsidRPr="001569FB" w:rsidRDefault="004C5B0C" w:rsidP="004C5B0C">
            <w:pPr>
              <w:pStyle w:val="TableParagraph"/>
              <w:ind w:left="144"/>
              <w:rPr>
                <w:rFonts w:ascii="Times New Roman"/>
                <w:sz w:val="20"/>
              </w:rPr>
            </w:pPr>
            <w:r w:rsidRPr="001569FB">
              <w:rPr>
                <w:rFonts w:ascii="Times New Roman"/>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095E22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112CE10"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977FD00"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B31C3E4" w14:textId="77777777" w:rsidR="004C5B0C" w:rsidRPr="001569FB" w:rsidRDefault="004C5B0C" w:rsidP="004C5B0C"/>
        </w:tc>
      </w:tr>
      <w:tr w:rsidR="004C5B0C" w:rsidRPr="001569FB" w14:paraId="028640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7B9D95E"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FD4ADE8" w14:textId="77777777" w:rsidR="004C5B0C" w:rsidRPr="001569FB" w:rsidRDefault="004C5B0C" w:rsidP="004C5B0C">
            <w:pPr>
              <w:pStyle w:val="TableParagraph"/>
              <w:ind w:left="144"/>
              <w:rPr>
                <w:rFonts w:ascii="Times New Roman"/>
                <w:sz w:val="20"/>
              </w:rPr>
            </w:pPr>
            <w:r w:rsidRPr="001569FB">
              <w:rPr>
                <w:rFonts w:ascii="Times New Roman"/>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D20976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5D9A5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FF6FDD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174A2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6513BF1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63541D"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49EE2A9" w14:textId="77777777" w:rsidR="004C5B0C" w:rsidRPr="001569FB" w:rsidRDefault="004C5B0C" w:rsidP="004C5B0C">
            <w:pPr>
              <w:pStyle w:val="TableParagraph"/>
              <w:ind w:left="144"/>
              <w:rPr>
                <w:rFonts w:ascii="Times New Roman"/>
                <w:sz w:val="20"/>
              </w:rPr>
            </w:pPr>
            <w:r w:rsidRPr="001569FB">
              <w:rPr>
                <w:rFonts w:ascii="Times New Roman"/>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1E6A3D3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CBA6BCC"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6C659A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26984AD"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0FC7A84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975BF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6B0789C" w14:textId="77777777" w:rsidR="004C5B0C" w:rsidRPr="001569FB" w:rsidRDefault="004C5B0C" w:rsidP="004C5B0C">
            <w:pPr>
              <w:pStyle w:val="TableParagraph"/>
              <w:ind w:left="144"/>
              <w:rPr>
                <w:rFonts w:ascii="Times New Roman"/>
                <w:sz w:val="20"/>
              </w:rPr>
            </w:pPr>
            <w:r w:rsidRPr="001569FB">
              <w:rPr>
                <w:rFonts w:ascii="Times New Roman"/>
                <w:sz w:val="20"/>
              </w:rPr>
              <w:t>Parent Organization Update requests from MAOs and sponsors due to CMS (instructional memo released in February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B0FDD0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9E2B2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EA756C"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A78C8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1E193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90A32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March,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CD11CAA"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3D45707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BF83C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31231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11BF8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7C4AEE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2BA664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3F302EC" w14:textId="77777777" w:rsidR="004C5B0C" w:rsidRPr="001569FB" w:rsidRDefault="004C5B0C" w:rsidP="004C5B0C">
            <w:pPr>
              <w:pStyle w:val="TableParagraph"/>
              <w:ind w:left="144"/>
              <w:rPr>
                <w:rFonts w:ascii="Times New Roman"/>
                <w:sz w:val="20"/>
              </w:rPr>
            </w:pPr>
            <w:r w:rsidRPr="001569FB">
              <w:rPr>
                <w:rFonts w:ascii="Times New Roman"/>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CC3C9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1B4B0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81948A4"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04AF4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863B4F8"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F77912A" w14:textId="77777777" w:rsidR="004C5B0C" w:rsidRPr="001569FB" w:rsidRDefault="004C5B0C" w:rsidP="004C5B0C">
            <w:pPr>
              <w:pStyle w:val="TableParagraph"/>
              <w:ind w:left="144" w:right="144"/>
              <w:rPr>
                <w:rFonts w:ascii="Times New Roman"/>
                <w:sz w:val="20"/>
              </w:rPr>
            </w:pPr>
            <w:r w:rsidRPr="001569FB">
              <w:rPr>
                <w:rFonts w:ascii="Times New Roman"/>
                <w:sz w:val="20"/>
              </w:rPr>
              <w:t>March/April,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908D4A4" w14:textId="77777777" w:rsidR="004C5B0C" w:rsidRPr="001569FB" w:rsidRDefault="004C5B0C" w:rsidP="004C5B0C">
            <w:pPr>
              <w:pStyle w:val="TableParagraph"/>
              <w:ind w:left="144"/>
              <w:rPr>
                <w:rFonts w:ascii="Times New Roman"/>
                <w:sz w:val="20"/>
              </w:rPr>
            </w:pPr>
            <w:r w:rsidRPr="001569FB">
              <w:rPr>
                <w:rFonts w:ascii="Times New Roman"/>
                <w:sz w:val="20"/>
              </w:rPr>
              <w:t>CMS coordinates with MAOs and PDP Sponsors to resolve low enrollment issues for CY 2019.</w:t>
            </w:r>
          </w:p>
        </w:tc>
        <w:tc>
          <w:tcPr>
            <w:tcW w:w="722" w:type="dxa"/>
            <w:tcBorders>
              <w:top w:val="single" w:sz="6" w:space="0" w:color="000000"/>
              <w:left w:val="single" w:sz="6" w:space="0" w:color="000000"/>
              <w:bottom w:val="single" w:sz="4" w:space="0" w:color="000000"/>
              <w:right w:val="single" w:sz="6" w:space="0" w:color="000000"/>
            </w:tcBorders>
            <w:vAlign w:val="center"/>
          </w:tcPr>
          <w:p w14:paraId="12D296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33DF07C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E3A84F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760C7EA7" w14:textId="77777777" w:rsidR="004C5B0C" w:rsidRPr="001569FB" w:rsidRDefault="004C5B0C" w:rsidP="004C5B0C"/>
        </w:tc>
      </w:tr>
      <w:tr w:rsidR="004C5B0C" w:rsidRPr="001569FB" w14:paraId="0450523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42261F1"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61417D8" w14:textId="77777777" w:rsidR="004C5B0C" w:rsidRPr="001569FB" w:rsidRDefault="004C5B0C" w:rsidP="004C5B0C">
            <w:pPr>
              <w:pStyle w:val="TableParagraph"/>
              <w:ind w:left="144"/>
              <w:rPr>
                <w:rFonts w:ascii="Times New Roman"/>
                <w:sz w:val="20"/>
              </w:rPr>
            </w:pPr>
            <w:r w:rsidRPr="001569FB">
              <w:rPr>
                <w:rFonts w:ascii="Times New Roman"/>
                <w:sz w:val="20"/>
              </w:rPr>
              <w:t>CY 2019 Out Of Pocket Cost (OOPC) model and OOPC estimates for each plan made available to MAOs, 1876 cost plans submitting MA conversion bids, and Part D sponsors for download from the CMS website. 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3BE3834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2FEB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359044D"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06C8C1" w14:textId="77777777" w:rsidR="004C5B0C" w:rsidRPr="001569FB" w:rsidRDefault="004C5B0C" w:rsidP="004C5B0C"/>
        </w:tc>
      </w:tr>
      <w:tr w:rsidR="004C5B0C" w:rsidRPr="001569FB" w14:paraId="17CF90F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86F6B2A" w14:textId="77777777" w:rsidR="004C5B0C" w:rsidRPr="001569FB" w:rsidRDefault="004C5B0C" w:rsidP="004C5B0C">
            <w:pPr>
              <w:pStyle w:val="TableParagraph"/>
              <w:ind w:left="144" w:right="144"/>
              <w:rPr>
                <w:rFonts w:ascii="Times New Roman"/>
                <w:sz w:val="20"/>
              </w:rPr>
            </w:pPr>
            <w:r w:rsidRPr="001569FB">
              <w:rPr>
                <w:rFonts w:ascii="Times New Roman"/>
                <w:sz w:val="20"/>
              </w:rPr>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6EF9E9" w14:textId="77777777" w:rsidR="004C5B0C" w:rsidRPr="001569FB" w:rsidRDefault="004C5B0C" w:rsidP="004C5B0C">
            <w:pPr>
              <w:pStyle w:val="TableParagraph"/>
              <w:ind w:left="144"/>
              <w:rPr>
                <w:rFonts w:ascii="Times New Roman"/>
                <w:sz w:val="20"/>
              </w:rPr>
            </w:pPr>
            <w:r w:rsidRPr="001569FB">
              <w:rPr>
                <w:rFonts w:ascii="Times New Roman"/>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7616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43F86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9C3C8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CCA4BED" w14:textId="77777777" w:rsidR="004C5B0C" w:rsidRPr="001569FB" w:rsidRDefault="004C5B0C" w:rsidP="004C5B0C"/>
        </w:tc>
      </w:tr>
      <w:tr w:rsidR="004C5B0C" w:rsidRPr="001569FB" w14:paraId="5D9A096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0F8898E"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C1C6CF"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09F4AB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A71639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B06AE2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5442F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19B9E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6757B5"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C9CA9CD" w14:textId="77777777" w:rsidR="004C5B0C" w:rsidRPr="001569FB" w:rsidRDefault="004C5B0C" w:rsidP="004C5B0C">
            <w:pPr>
              <w:pStyle w:val="TableParagraph"/>
              <w:ind w:left="144"/>
              <w:rPr>
                <w:rFonts w:ascii="Times New Roman"/>
                <w:sz w:val="20"/>
              </w:rPr>
            </w:pPr>
            <w:r w:rsidRPr="001569FB">
              <w:rPr>
                <w:rFonts w:ascii="Times New Roman"/>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712AD870"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3BE3F05"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4845FE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5F3C5D"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04583C2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269D06" w14:textId="77777777" w:rsidR="004C5B0C" w:rsidRPr="001569FB" w:rsidRDefault="004C5B0C" w:rsidP="004C5B0C">
            <w:pPr>
              <w:pStyle w:val="TableParagraph"/>
              <w:ind w:left="144" w:right="144"/>
              <w:rPr>
                <w:rFonts w:ascii="Times New Roman"/>
                <w:sz w:val="20"/>
              </w:rPr>
            </w:pPr>
            <w:r w:rsidRPr="001569FB">
              <w:rPr>
                <w:rFonts w:ascii="Times New Roman"/>
                <w:sz w:val="20"/>
              </w:rPr>
              <w:t>April 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6629E29"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05A60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633795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2DC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19A37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011C3B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086162"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48CD5CE" w14:textId="77777777" w:rsidR="004C5B0C" w:rsidRPr="001569FB" w:rsidRDefault="004C5B0C" w:rsidP="004C5B0C">
            <w:pPr>
              <w:pStyle w:val="TableParagraph"/>
              <w:ind w:left="144"/>
              <w:rPr>
                <w:rFonts w:ascii="Times New Roman"/>
                <w:sz w:val="20"/>
              </w:rPr>
            </w:pPr>
            <w:r w:rsidRPr="001569FB">
              <w:rPr>
                <w:rFonts w:ascii="Times New Roman"/>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9F2F4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88F942E"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7349D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863E98" w14:textId="77777777" w:rsidR="004C5B0C" w:rsidRPr="001569FB" w:rsidRDefault="004C5B0C" w:rsidP="004C5B0C"/>
        </w:tc>
      </w:tr>
      <w:tr w:rsidR="004C5B0C" w:rsidRPr="001569FB" w14:paraId="010915E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2118F2" w14:textId="77777777" w:rsidR="004C5B0C" w:rsidRPr="001569FB" w:rsidRDefault="004C5B0C" w:rsidP="004C5B0C">
            <w:pPr>
              <w:pStyle w:val="TableParagraph"/>
              <w:ind w:left="144" w:right="144"/>
              <w:rPr>
                <w:rFonts w:ascii="Times New Roman"/>
                <w:sz w:val="20"/>
              </w:rPr>
            </w:pPr>
            <w:r w:rsidRPr="001569FB">
              <w:rPr>
                <w:rFonts w:ascii="Times New Roman"/>
                <w:sz w:val="20"/>
              </w:rPr>
              <w:t>Mid-April,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C6CCEA" w14:textId="77777777" w:rsidR="004C5B0C" w:rsidRPr="001569FB" w:rsidRDefault="004C5B0C" w:rsidP="004C5B0C">
            <w:pPr>
              <w:pStyle w:val="TableParagraph"/>
              <w:ind w:left="144"/>
              <w:rPr>
                <w:rFonts w:ascii="Times New Roman"/>
                <w:sz w:val="20"/>
              </w:rPr>
            </w:pPr>
            <w:r w:rsidRPr="001569FB">
              <w:rPr>
                <w:rFonts w:ascii="Times New Roman"/>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vAlign w:val="center"/>
          </w:tcPr>
          <w:p w14:paraId="40AFF98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A054B76"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782CB6B2"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669B9C8" w14:textId="77777777" w:rsidR="004C5B0C" w:rsidRPr="001569FB" w:rsidRDefault="004C5B0C" w:rsidP="004C5B0C"/>
        </w:tc>
      </w:tr>
      <w:tr w:rsidR="004C5B0C" w:rsidRPr="001569FB" w14:paraId="1160648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994BFA"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049D9A"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041ECB7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C70D97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52A0E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CF300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D8A719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9FD07A0"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1A5FA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vAlign w:val="center"/>
          </w:tcPr>
          <w:p w14:paraId="7DD3DA3C"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36830D3"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25E067"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B1E896A"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EDB66D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56029" w14:textId="77777777" w:rsidR="004C5B0C" w:rsidRPr="001569FB" w:rsidRDefault="004C5B0C" w:rsidP="004C5B0C">
            <w:pPr>
              <w:pStyle w:val="TableParagraph"/>
              <w:ind w:left="144" w:right="144"/>
              <w:rPr>
                <w:rFonts w:ascii="Times New Roman"/>
                <w:sz w:val="20"/>
              </w:rPr>
            </w:pPr>
            <w:r w:rsidRPr="001569FB">
              <w:rPr>
                <w:rFonts w:ascii="Times New Roman"/>
                <w:sz w:val="20"/>
              </w:rPr>
              <w:t>Late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B6F3B7" w14:textId="77777777" w:rsidR="004C5B0C" w:rsidRPr="001569FB" w:rsidRDefault="004C5B0C" w:rsidP="004C5B0C">
            <w:pPr>
              <w:pStyle w:val="TableParagraph"/>
              <w:ind w:left="144"/>
              <w:rPr>
                <w:rFonts w:ascii="Times New Roman"/>
                <w:sz w:val="20"/>
              </w:rPr>
            </w:pPr>
            <w:r w:rsidRPr="001569FB">
              <w:rPr>
                <w:rFonts w:ascii="Times New Roman"/>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vAlign w:val="center"/>
          </w:tcPr>
          <w:p w14:paraId="32B07FC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220BD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0D2E2E0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3FA95980" w14:textId="77777777" w:rsidR="004C5B0C" w:rsidRPr="001569FB" w:rsidRDefault="004C5B0C" w:rsidP="004C5B0C"/>
        </w:tc>
      </w:tr>
      <w:tr w:rsidR="004C5B0C" w:rsidRPr="001569FB" w14:paraId="2B0377C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205B3DB" w14:textId="77777777" w:rsidR="004C5B0C" w:rsidRPr="001569FB" w:rsidRDefault="004C5B0C" w:rsidP="004C5B0C">
            <w:pPr>
              <w:pStyle w:val="TableParagraph"/>
              <w:ind w:left="144" w:right="144"/>
              <w:rPr>
                <w:rFonts w:ascii="Times New Roman"/>
                <w:sz w:val="20"/>
              </w:rPr>
            </w:pPr>
            <w:r w:rsidRPr="001569FB">
              <w:rPr>
                <w:rFonts w:ascii="Times New Roman"/>
                <w:sz w:val="20"/>
              </w:rPr>
              <w:t>April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D1994C"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Programs from all sponsors offering Part D including Medicare-Medicaid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36F2D00D" w14:textId="77777777" w:rsidR="004C5B0C" w:rsidRPr="001569FB" w:rsidRDefault="004C5B0C" w:rsidP="004C5B0C">
            <w:pPr>
              <w:rPr>
                <w:rFonts w:ascii="Wingdings 2" w:eastAsia="Wingdings 2" w:hAnsi="Wingdings 2" w:cs="Wingdings 2"/>
                <w:b/>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1C245B97"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9DA73AB" w14:textId="77777777" w:rsidR="004C5B0C" w:rsidRPr="001569FB" w:rsidRDefault="004C5B0C" w:rsidP="004C5B0C">
            <w:pPr>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0C94295C"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34E6CD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16E077"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AE0088" w14:textId="77777777" w:rsidR="004C5B0C" w:rsidRPr="001569FB" w:rsidRDefault="004C5B0C" w:rsidP="004C5B0C">
            <w:pPr>
              <w:pStyle w:val="TableParagraph"/>
              <w:ind w:left="144"/>
              <w:rPr>
                <w:rFonts w:ascii="Times New Roman"/>
                <w:sz w:val="20"/>
              </w:rPr>
            </w:pPr>
            <w:r w:rsidRPr="001569FB">
              <w:rPr>
                <w:rFonts w:ascii="Times New Roman"/>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5750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9B06D3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5ACF9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6DBA4C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0953AC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1830B" w14:textId="77777777" w:rsidR="004C5B0C" w:rsidRPr="001569FB" w:rsidRDefault="004C5B0C" w:rsidP="004C5B0C">
            <w:pPr>
              <w:pStyle w:val="TableParagraph"/>
              <w:ind w:left="144" w:right="144"/>
              <w:rPr>
                <w:rFonts w:ascii="Times New Roman"/>
                <w:sz w:val="20"/>
              </w:rPr>
            </w:pPr>
            <w:r w:rsidRPr="001569FB">
              <w:rPr>
                <w:rFonts w:ascii="Times New Roman"/>
                <w:sz w:val="20"/>
              </w:rPr>
              <w:t>Early May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6EFCECCC" w14:textId="77777777" w:rsidR="004C5B0C" w:rsidRPr="001569FB" w:rsidRDefault="004C5B0C" w:rsidP="004C5B0C">
            <w:pPr>
              <w:pStyle w:val="TableParagraph"/>
              <w:ind w:left="144"/>
              <w:rPr>
                <w:rFonts w:ascii="Times New Roman"/>
                <w:sz w:val="20"/>
              </w:rPr>
            </w:pPr>
            <w:r w:rsidRPr="001569FB">
              <w:rPr>
                <w:rFonts w:ascii="Times New Roman"/>
                <w:sz w:val="20"/>
              </w:rPr>
              <w:t>MA, MA-PD and PDP plans to notify CMS of intention to non-renew, as applicable, a county (ies) or region(s) for individuals, but continue the county (ies) or region(s) for “800 series” EGWP members, convert to offering employer-only contracts, or reduce its service area at the contract level. This will allow CMS to make the required changes in HPMS to facilitate the correct upload of bids in June.</w:t>
            </w:r>
          </w:p>
        </w:tc>
        <w:tc>
          <w:tcPr>
            <w:tcW w:w="722" w:type="dxa"/>
            <w:tcBorders>
              <w:top w:val="single" w:sz="6" w:space="0" w:color="000000"/>
              <w:left w:val="single" w:sz="6" w:space="0" w:color="000000"/>
              <w:bottom w:val="single" w:sz="6" w:space="0" w:color="000000"/>
              <w:right w:val="single" w:sz="6" w:space="0" w:color="000000"/>
            </w:tcBorders>
            <w:vAlign w:val="center"/>
          </w:tcPr>
          <w:p w14:paraId="781549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3C383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E8E94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EDFF3B5" w14:textId="77777777" w:rsidR="004C5B0C" w:rsidRPr="001569FB" w:rsidRDefault="004C5B0C" w:rsidP="004C5B0C"/>
        </w:tc>
      </w:tr>
      <w:tr w:rsidR="004C5B0C" w:rsidRPr="001569FB" w14:paraId="0A56B1E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7FBA2FA"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BA838C0" w14:textId="77777777" w:rsidR="004C5B0C" w:rsidRPr="001569FB" w:rsidRDefault="004C5B0C" w:rsidP="004C5B0C">
            <w:pPr>
              <w:pStyle w:val="TableParagraph"/>
              <w:ind w:left="144"/>
              <w:rPr>
                <w:rFonts w:ascii="Times New Roman"/>
                <w:sz w:val="20"/>
              </w:rPr>
            </w:pPr>
            <w:r w:rsidRPr="001569FB">
              <w:rPr>
                <w:rFonts w:ascii="Times New Roman"/>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1F95CEC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129940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31FFF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D874B0B"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F5A034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F29FCA" w14:textId="77777777" w:rsidR="004C5B0C" w:rsidRPr="001569FB" w:rsidRDefault="004C5B0C" w:rsidP="004C5B0C">
            <w:pPr>
              <w:pStyle w:val="TableParagraph"/>
              <w:ind w:left="144" w:right="144"/>
              <w:rPr>
                <w:rFonts w:ascii="Times New Roman"/>
                <w:sz w:val="20"/>
              </w:rPr>
            </w:pPr>
            <w:r w:rsidRPr="001569FB">
              <w:rPr>
                <w:rFonts w:ascii="Times New Roman"/>
                <w:sz w:val="20"/>
              </w:rPr>
              <w:t>May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8E8D1D1"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6C5F2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2FCAA9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28924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81B06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FBC03E4"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6B3C0DFC" w14:textId="77777777" w:rsidR="004C5B0C" w:rsidRPr="001569FB" w:rsidRDefault="004C5B0C" w:rsidP="004C5B0C">
            <w:pPr>
              <w:pStyle w:val="TableParagraph"/>
              <w:ind w:left="144" w:right="144"/>
              <w:rPr>
                <w:rFonts w:ascii="Times New Roman"/>
                <w:sz w:val="20"/>
              </w:rPr>
            </w:pPr>
            <w:r w:rsidRPr="001569FB">
              <w:rPr>
                <w:rFonts w:ascii="Times New Roman"/>
                <w:sz w:val="20"/>
              </w:rPr>
              <w:t>May 14,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79F1651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 attestations in HPMS (11:59pm PDT).</w:t>
            </w:r>
          </w:p>
        </w:tc>
        <w:tc>
          <w:tcPr>
            <w:tcW w:w="722" w:type="dxa"/>
            <w:tcBorders>
              <w:top w:val="single" w:sz="6" w:space="0" w:color="000000"/>
              <w:left w:val="single" w:sz="6" w:space="0" w:color="000000"/>
              <w:bottom w:val="single" w:sz="4" w:space="0" w:color="000000"/>
              <w:right w:val="single" w:sz="6" w:space="0" w:color="000000"/>
            </w:tcBorders>
            <w:vAlign w:val="center"/>
          </w:tcPr>
          <w:p w14:paraId="3CBF4C5D" w14:textId="77777777" w:rsidR="004C5B0C" w:rsidRPr="001569FB" w:rsidRDefault="004C5B0C" w:rsidP="004C5B0C">
            <w:pPr>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4" w:space="0" w:color="000000"/>
              <w:right w:val="single" w:sz="6" w:space="0" w:color="000000"/>
            </w:tcBorders>
            <w:vAlign w:val="center"/>
          </w:tcPr>
          <w:p w14:paraId="11E16A1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FB0F50A" w14:textId="77777777" w:rsidR="004C5B0C" w:rsidRPr="001569FB" w:rsidRDefault="004C5B0C" w:rsidP="004C5B0C">
            <w:pPr>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4" w:space="0" w:color="000000"/>
              <w:right w:val="single" w:sz="4" w:space="0" w:color="000000"/>
            </w:tcBorders>
            <w:vAlign w:val="center"/>
          </w:tcPr>
          <w:p w14:paraId="12B548F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9D7649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EE2076"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May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C60388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3264FE4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77C2AA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17D5DB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18080B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2B814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739F852" w14:textId="77777777" w:rsidR="004C5B0C" w:rsidRPr="001569FB" w:rsidRDefault="004C5B0C" w:rsidP="004C5B0C">
            <w:pPr>
              <w:pStyle w:val="TableParagraph"/>
              <w:ind w:left="144" w:right="144"/>
              <w:rPr>
                <w:rFonts w:ascii="Times New Roman"/>
                <w:sz w:val="20"/>
              </w:rPr>
            </w:pPr>
            <w:r w:rsidRPr="001569FB">
              <w:rPr>
                <w:rFonts w:ascii="Times New Roman"/>
                <w:sz w:val="20"/>
              </w:rPr>
              <w:t>May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F86657"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57AD785"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4AAE0D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802B36"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2069CC0"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730E744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B092FC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A7BEE2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vAlign w:val="center"/>
          </w:tcPr>
          <w:p w14:paraId="6F6BC21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40256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8B4E54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ECD3F9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F7E254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C8FA681" w14:textId="77777777" w:rsidR="004C5B0C" w:rsidRPr="001569FB" w:rsidRDefault="004C5B0C" w:rsidP="004C5B0C">
            <w:pPr>
              <w:pStyle w:val="TableParagraph"/>
              <w:ind w:left="144" w:right="144"/>
              <w:rPr>
                <w:rFonts w:ascii="Times New Roman"/>
                <w:sz w:val="20"/>
              </w:rPr>
            </w:pPr>
            <w:r w:rsidRPr="001569FB">
              <w:rPr>
                <w:rFonts w:ascii="Times New Roman"/>
                <w:sz w:val="20"/>
              </w:rPr>
              <w:t>May 25,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DF36D1D" w14:textId="77777777" w:rsidR="004C5B0C" w:rsidRPr="001569FB" w:rsidRDefault="004C5B0C" w:rsidP="004C5B0C">
            <w:pPr>
              <w:pStyle w:val="TableParagraph"/>
              <w:ind w:left="144"/>
              <w:rPr>
                <w:rFonts w:ascii="Times New Roman"/>
                <w:sz w:val="20"/>
              </w:rPr>
            </w:pPr>
            <w:r w:rsidRPr="001569FB">
              <w:rPr>
                <w:rFonts w:ascii="Times New Roman"/>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EADF1F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28511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BE0C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5AA40A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D18F2D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68BE88" w14:textId="77777777" w:rsidR="004C5B0C" w:rsidRPr="001569FB" w:rsidRDefault="004C5B0C" w:rsidP="004C5B0C">
            <w:pPr>
              <w:pStyle w:val="TableParagraph"/>
              <w:ind w:left="144" w:right="144"/>
              <w:rPr>
                <w:rFonts w:ascii="Times New Roman"/>
                <w:sz w:val="20"/>
              </w:rPr>
            </w:pPr>
            <w:r w:rsidRPr="001569FB">
              <w:rPr>
                <w:rFonts w:ascii="Times New Roman"/>
                <w:sz w:val="20"/>
              </w:rPr>
              <w:t>June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62218E"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Marketing Module in HPMS. Plans/Part D sponsors begin to submit 2019 marketing materials.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5ADF64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DCD529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E6340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2680F1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4ED0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295FD3" w14:textId="77777777" w:rsidR="004C5B0C" w:rsidRPr="001569FB" w:rsidRDefault="004C5B0C" w:rsidP="004C5B0C">
            <w:pPr>
              <w:pStyle w:val="TableParagraph"/>
              <w:ind w:left="144" w:right="144"/>
              <w:rPr>
                <w:rFonts w:ascii="Times New Roman"/>
                <w:sz w:val="20"/>
              </w:rPr>
            </w:pPr>
            <w:r w:rsidRPr="001569FB">
              <w:rPr>
                <w:rFonts w:ascii="Times New Roman"/>
                <w:sz w:val="20"/>
              </w:rPr>
              <w:t>Mid to 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4DF832"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the CY 2019 Medicare Marketing Guidelines in HPMS. </w:t>
            </w:r>
          </w:p>
        </w:tc>
        <w:tc>
          <w:tcPr>
            <w:tcW w:w="722" w:type="dxa"/>
            <w:tcBorders>
              <w:top w:val="single" w:sz="6" w:space="0" w:color="000000"/>
              <w:left w:val="single" w:sz="6" w:space="0" w:color="000000"/>
              <w:bottom w:val="single" w:sz="6" w:space="0" w:color="000000"/>
              <w:right w:val="single" w:sz="6" w:space="0" w:color="000000"/>
            </w:tcBorders>
            <w:vAlign w:val="center"/>
          </w:tcPr>
          <w:p w14:paraId="0937682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DA2D59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E9CC2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6494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A9F6C2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BABF0C1" w14:textId="77777777" w:rsidR="004C5B0C" w:rsidRPr="001569FB" w:rsidRDefault="004C5B0C" w:rsidP="004C5B0C">
            <w:pPr>
              <w:pStyle w:val="TableParagraph"/>
              <w:ind w:left="144" w:right="144"/>
              <w:rPr>
                <w:rFonts w:ascii="Times New Roman"/>
                <w:sz w:val="20"/>
              </w:rPr>
            </w:pPr>
            <w:r w:rsidRPr="001569FB">
              <w:rPr>
                <w:rFonts w:ascii="Times New Roman"/>
                <w:sz w:val="20"/>
              </w:rPr>
              <w:t>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3FF821" w14:textId="77777777" w:rsidR="004C5B0C" w:rsidRPr="001569FB" w:rsidRDefault="004C5B0C" w:rsidP="004C5B0C">
            <w:pPr>
              <w:pStyle w:val="TableParagraph"/>
              <w:ind w:left="144"/>
              <w:rPr>
                <w:rFonts w:ascii="Times New Roman"/>
                <w:sz w:val="20"/>
              </w:rPr>
            </w:pPr>
            <w:r w:rsidRPr="001569FB">
              <w:rPr>
                <w:rFonts w:ascii="Times New Roman"/>
                <w:sz w:val="20"/>
              </w:rPr>
              <w:t>CMS sends qualification determinations to applicants based on review of the CY 2019 applications for new contracts or service area expansions.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171EBF9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A7CC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54BF3E"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39AC9A"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21E7F7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06118E"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0DC3D32" w14:textId="77777777" w:rsidR="004C5B0C" w:rsidRPr="001569FB" w:rsidRDefault="004C5B0C" w:rsidP="004C5B0C">
            <w:pPr>
              <w:pStyle w:val="TableParagraph"/>
              <w:ind w:left="144"/>
              <w:rPr>
                <w:rFonts w:ascii="Times New Roman"/>
                <w:sz w:val="20"/>
              </w:rPr>
            </w:pPr>
            <w:r w:rsidRPr="001569FB">
              <w:rPr>
                <w:rFonts w:ascii="Times New Roman"/>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vAlign w:val="center"/>
          </w:tcPr>
          <w:p w14:paraId="3C245B04"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59C4769A"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6106DD1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F5CB1D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3F09F5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70B9D5D" w14:textId="77777777" w:rsidR="004C5B0C" w:rsidRPr="001569FB" w:rsidRDefault="004C5B0C" w:rsidP="004C5B0C">
            <w:pPr>
              <w:pStyle w:val="TableParagraph"/>
              <w:ind w:left="144" w:right="144"/>
              <w:rPr>
                <w:rFonts w:ascii="Times New Roman"/>
                <w:sz w:val="20"/>
              </w:rPr>
            </w:pPr>
            <w:r w:rsidRPr="001569FB">
              <w:rPr>
                <w:rFonts w:ascii="Times New Roman"/>
                <w:sz w:val="20"/>
              </w:rPr>
              <w:t>May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A0E309"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E32B07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9A91AD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777F190"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F7B0F6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C42DE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C2F17D7" w14:textId="77777777" w:rsidR="004C5B0C" w:rsidRPr="001569FB" w:rsidRDefault="004C5B0C" w:rsidP="004C5B0C">
            <w:pPr>
              <w:pStyle w:val="TableParagraph"/>
              <w:ind w:left="144" w:right="144"/>
              <w:rPr>
                <w:rFonts w:ascii="Times New Roman"/>
                <w:sz w:val="20"/>
              </w:rPr>
            </w:pPr>
            <w:r w:rsidRPr="001569FB">
              <w:rPr>
                <w:rFonts w:ascii="Times New Roman"/>
                <w:sz w:val="20"/>
              </w:rPr>
              <w:t>June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5B29C0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bids (including Service Area Verification) for all MA plans, MA-PD plans, PDP, cost-based plans offering a Part D benefit, Medicare-Medicaid Plans (MMPs), “800 series” EGWP and direct contract EGWP applicants and renewing organizations; deadline for cost-based plans wishing to appear in the 2019 Medicare Plan Finder to submit PBPs (11:59 p.m. PDT).</w:t>
            </w:r>
          </w:p>
          <w:p w14:paraId="2017807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Formularies, Transition Attestations, Prior Authorization/Step Therapy (PA/ST) Attestations, and P&amp;T Attestations due from all sponsors offering Part D including Medicare-Medicaid Plans (11:59 p.m. PDT).</w:t>
            </w:r>
          </w:p>
          <w:p w14:paraId="40A76417"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 CY 2019 contract non-renewal, service area reduction via HPMS from MA plans, MA-PD plans, MMPs, PDPs and Medicare cost-based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14:paraId="70B7958D"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tcPr>
          <w:p w14:paraId="4DF14233"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tcPr>
          <w:p w14:paraId="3B8581A8"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0BCBEFCA"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29BABF1F" w14:textId="77777777" w:rsidR="004C5B0C" w:rsidRPr="001569FB" w:rsidRDefault="004C5B0C" w:rsidP="004C5B0C">
            <w:pPr>
              <w:pStyle w:val="TableParagraph"/>
              <w:jc w:val="center"/>
              <w:rPr>
                <w:rFonts w:ascii="Times New Roman" w:eastAsia="Times New Roman" w:hAnsi="Times New Roman" w:cs="Times New Roman"/>
                <w:sz w:val="20"/>
                <w:szCs w:val="20"/>
              </w:rPr>
            </w:pPr>
            <w:r w:rsidRPr="001569FB">
              <w:rPr>
                <w:rFonts w:ascii="Times New Roman"/>
                <w:i/>
                <w:sz w:val="20"/>
              </w:rPr>
              <w:t>Non-bid related</w:t>
            </w:r>
            <w:r w:rsidRPr="001569FB">
              <w:rPr>
                <w:rFonts w:ascii="Times New Roman"/>
                <w:i/>
                <w:w w:val="99"/>
                <w:sz w:val="20"/>
              </w:rPr>
              <w:t xml:space="preserve"> </w:t>
            </w:r>
            <w:r w:rsidRPr="001569FB">
              <w:rPr>
                <w:rFonts w:ascii="Times New Roman"/>
                <w:i/>
                <w:sz w:val="20"/>
              </w:rPr>
              <w:t>items only</w:t>
            </w:r>
          </w:p>
        </w:tc>
      </w:tr>
      <w:tr w:rsidR="004C5B0C" w:rsidRPr="001569FB" w14:paraId="55018CD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61B732"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June to 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DD481" w14:textId="77777777" w:rsidR="004C5B0C" w:rsidRPr="001569FB" w:rsidRDefault="004C5B0C" w:rsidP="004C5B0C">
            <w:pPr>
              <w:pStyle w:val="TableParagraph"/>
              <w:ind w:left="144"/>
              <w:rPr>
                <w:rFonts w:ascii="Times New Roman"/>
                <w:sz w:val="20"/>
              </w:rPr>
            </w:pPr>
            <w:r w:rsidRPr="001569FB">
              <w:rPr>
                <w:rFonts w:ascii="Times New Roman"/>
                <w:sz w:val="20"/>
              </w:rPr>
              <w:t>CMS completes review and approval of CY 2019 bid data, to include pricing, plan benefit packages, and formularies. Plans/Part D sponsors submit attestations, contracts, initial actuarial certifications, and final actuarial certifications.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7C8E1C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E63B7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58466C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366ACD7"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2F35E6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7843087"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5467585" w14:textId="77777777" w:rsidR="004C5B0C" w:rsidRPr="001569FB" w:rsidRDefault="004C5B0C" w:rsidP="004C5B0C">
            <w:pPr>
              <w:pStyle w:val="TableParagraph"/>
              <w:ind w:left="144"/>
              <w:rPr>
                <w:rFonts w:ascii="Times New Roman"/>
                <w:sz w:val="20"/>
              </w:rPr>
            </w:pPr>
            <w:r w:rsidRPr="001569FB">
              <w:rPr>
                <w:rFonts w:ascii="Times New Roman"/>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5B175E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A88F0B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2882A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D14290" w14:textId="77777777" w:rsidR="004C5B0C" w:rsidRPr="001569FB" w:rsidRDefault="004C5B0C" w:rsidP="004C5B0C"/>
        </w:tc>
      </w:tr>
      <w:tr w:rsidR="004C5B0C" w:rsidRPr="001569FB" w14:paraId="1388D8E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D79C2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2D58B5"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2DB10214" w14:textId="77777777" w:rsidR="004C5B0C" w:rsidRPr="001569FB" w:rsidRDefault="004C5B0C" w:rsidP="004C5B0C">
            <w:pPr>
              <w:pStyle w:val="TableParagraph"/>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7AA9898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50D5508" w14:textId="77777777" w:rsidR="004C5B0C" w:rsidRPr="001569FB" w:rsidRDefault="004C5B0C" w:rsidP="004C5B0C">
            <w:pPr>
              <w:pStyle w:val="TableParagraph"/>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7B840A3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120D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3F66972"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37E52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3E5DC4A2"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4D43A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52A595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4B1D3AB"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3D9587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08AB171"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3C6051B"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6EBEBA7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6046962"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24B9BB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A1570D"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FB28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8C9931"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8DDBD93" w14:textId="77777777" w:rsidR="004C5B0C" w:rsidRPr="001569FB" w:rsidRDefault="004C5B0C" w:rsidP="004C5B0C">
            <w:pPr>
              <w:pStyle w:val="TableParagraph"/>
              <w:ind w:left="144"/>
              <w:rPr>
                <w:rFonts w:ascii="Times New Roman"/>
                <w:sz w:val="20"/>
              </w:rPr>
            </w:pPr>
            <w:r w:rsidRPr="001569FB">
              <w:rPr>
                <w:rFonts w:ascii="Times New Roman"/>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E82E6"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0B08ADE" w14:textId="77777777" w:rsidR="004C5B0C" w:rsidRPr="001569FB" w:rsidRDefault="004C5B0C" w:rsidP="004C5B0C">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C5445"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C9AB0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7551E7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F8C4576"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51A971" w14:textId="77777777" w:rsidR="004C5B0C" w:rsidRPr="001569FB" w:rsidRDefault="004C5B0C" w:rsidP="004C5B0C">
            <w:pPr>
              <w:pStyle w:val="TableParagraph"/>
              <w:ind w:left="144"/>
              <w:rPr>
                <w:rFonts w:ascii="Times New Roman"/>
                <w:sz w:val="20"/>
              </w:rPr>
            </w:pPr>
            <w:r w:rsidRPr="001569FB">
              <w:rPr>
                <w:rFonts w:ascii="Times New Roman"/>
                <w:sz w:val="20"/>
              </w:rPr>
              <w:t>CMS sends an acknowledgement letter to all MA, MA-PD,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vAlign w:val="center"/>
          </w:tcPr>
          <w:p w14:paraId="2EDE2B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3199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5E9D8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279A28"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1D474E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222FE4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813E42" w14:textId="77777777" w:rsidR="004C5B0C" w:rsidRPr="001569FB" w:rsidRDefault="004C5B0C" w:rsidP="004C5B0C">
            <w:pPr>
              <w:pStyle w:val="TableParagraph"/>
              <w:ind w:left="144"/>
              <w:rPr>
                <w:rFonts w:ascii="Times New Roman"/>
                <w:sz w:val="20"/>
              </w:rPr>
            </w:pPr>
            <w:r w:rsidRPr="001569FB">
              <w:rPr>
                <w:rFonts w:ascii="Times New Roman"/>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vAlign w:val="center"/>
          </w:tcPr>
          <w:p w14:paraId="403E55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26B7B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07AB4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E6E8AE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D9708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E965EDE"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9C26262"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41452D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5EEA665" w14:textId="77777777" w:rsidR="004C5B0C" w:rsidRPr="001569FB" w:rsidRDefault="004C5B0C" w:rsidP="004C5B0C">
            <w:pPr>
              <w:rPr>
                <w:rFonts w:ascii="Wingdings 2" w:eastAsia="Wingdings 2" w:hAnsi="Wingdings 2" w:cs="Wingdings 2"/>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7F723AF1" w14:textId="77777777" w:rsidR="004C5B0C" w:rsidRPr="001569FB" w:rsidRDefault="004C5B0C" w:rsidP="004C5B0C">
            <w:pPr>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C4C2FFA" w14:textId="77777777" w:rsidR="004C5B0C" w:rsidRPr="001569FB" w:rsidRDefault="004C5B0C" w:rsidP="004C5B0C"/>
        </w:tc>
      </w:tr>
      <w:tr w:rsidR="004C5B0C" w:rsidRPr="001569FB" w14:paraId="31F9960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BF85D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7DB6E8"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D88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C253211"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9FEA88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93B0FB" w14:textId="77777777" w:rsidR="004C5B0C" w:rsidRPr="001569FB" w:rsidRDefault="004C5B0C" w:rsidP="004C5B0C"/>
        </w:tc>
      </w:tr>
      <w:tr w:rsidR="004C5B0C" w:rsidRPr="001569FB" w14:paraId="30C161D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EFC71EA" w14:textId="77777777" w:rsidR="004C5B0C" w:rsidRPr="001569FB" w:rsidRDefault="004C5B0C" w:rsidP="004C5B0C">
            <w:pPr>
              <w:pStyle w:val="TableParagraph"/>
              <w:ind w:left="144" w:right="144"/>
              <w:rPr>
                <w:rFonts w:ascii="Times New Roman"/>
                <w:sz w:val="20"/>
              </w:rPr>
            </w:pPr>
            <w:r w:rsidRPr="001569FB">
              <w:rPr>
                <w:rFonts w:ascii="Times New Roman"/>
                <w:sz w:val="20"/>
              </w:rPr>
              <w:t>July 5,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45AAF7C6" w14:textId="77777777" w:rsidR="004C5B0C" w:rsidRPr="001569FB" w:rsidRDefault="004C5B0C" w:rsidP="004C5B0C">
            <w:pPr>
              <w:pStyle w:val="TableParagraph"/>
              <w:ind w:left="144"/>
              <w:rPr>
                <w:rFonts w:ascii="Times New Roman"/>
                <w:sz w:val="20"/>
              </w:rPr>
            </w:pPr>
            <w:r w:rsidRPr="001569FB">
              <w:rPr>
                <w:rFonts w:ascii="Times New Roman"/>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4AF031A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BACF15C"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4B44AA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3A01E91" w14:textId="77777777" w:rsidR="004C5B0C" w:rsidRPr="001569FB" w:rsidRDefault="004C5B0C" w:rsidP="004C5B0C"/>
        </w:tc>
      </w:tr>
      <w:tr w:rsidR="004C5B0C" w:rsidRPr="001569FB" w14:paraId="7D78BA8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D4362D" w14:textId="77777777" w:rsidR="004C5B0C" w:rsidRPr="001569FB" w:rsidRDefault="004C5B0C" w:rsidP="004C5B0C">
            <w:pPr>
              <w:pStyle w:val="TableParagraph"/>
              <w:ind w:left="144" w:right="144"/>
              <w:rPr>
                <w:rFonts w:ascii="Times New Roman"/>
                <w:sz w:val="20"/>
              </w:rPr>
            </w:pPr>
            <w:r w:rsidRPr="001569FB">
              <w:rPr>
                <w:rFonts w:ascii="Times New Roman"/>
                <w:sz w:val="20"/>
              </w:rPr>
              <w:t>Mid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92F1C7D"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5F64AD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5FA81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4BF54F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B2C4C5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21D2BA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B98DDF5"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287BEDE" w14:textId="77777777" w:rsidR="004C5B0C" w:rsidRPr="001569FB" w:rsidRDefault="004C5B0C" w:rsidP="004C5B0C">
            <w:pPr>
              <w:pStyle w:val="TableParagraph"/>
              <w:ind w:left="144"/>
              <w:rPr>
                <w:rFonts w:ascii="Times New Roman"/>
                <w:sz w:val="20"/>
              </w:rPr>
            </w:pPr>
            <w:r w:rsidRPr="001569FB">
              <w:rPr>
                <w:rFonts w:ascii="Times New Roman"/>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3CB233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7626D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BC73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EB4333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B7C4A0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2096B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14387D0" w14:textId="77777777" w:rsidR="004C5B0C" w:rsidRPr="001569FB" w:rsidRDefault="004C5B0C" w:rsidP="004C5B0C">
            <w:pPr>
              <w:pStyle w:val="TableParagraph"/>
              <w:ind w:left="144"/>
              <w:rPr>
                <w:rFonts w:ascii="Times New Roman"/>
                <w:sz w:val="20"/>
              </w:rPr>
            </w:pPr>
            <w:r w:rsidRPr="001569FB">
              <w:rPr>
                <w:rFonts w:ascii="Times New Roman"/>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6BDDE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CFC680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A2E8D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FFB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729E5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2FCE6B" w14:textId="77777777" w:rsidR="004C5B0C" w:rsidRPr="001569FB" w:rsidRDefault="004C5B0C" w:rsidP="004C5B0C">
            <w:pPr>
              <w:pStyle w:val="TableParagraph"/>
              <w:ind w:left="144" w:right="144"/>
              <w:rPr>
                <w:rFonts w:ascii="Times New Roman"/>
                <w:sz w:val="20"/>
              </w:rPr>
            </w:pPr>
            <w:r w:rsidRPr="001569FB">
              <w:rPr>
                <w:rFonts w:ascii="Times New Roman"/>
                <w:sz w:val="20"/>
              </w:rPr>
              <w:t>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0ED8B5" w14:textId="77777777" w:rsidR="004C5B0C" w:rsidRPr="001569FB" w:rsidRDefault="004C5B0C" w:rsidP="004C5B0C">
            <w:pPr>
              <w:pStyle w:val="TableParagraph"/>
              <w:ind w:left="144"/>
              <w:rPr>
                <w:rFonts w:ascii="Times New Roman"/>
                <w:sz w:val="20"/>
              </w:rPr>
            </w:pPr>
            <w:r w:rsidRPr="001569FB">
              <w:rPr>
                <w:rFonts w:ascii="Times New Roman"/>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2F9C58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0450D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C9DA18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4A303F" w14:textId="77777777" w:rsidR="004C5B0C" w:rsidRPr="001569FB" w:rsidRDefault="004C5B0C" w:rsidP="004C5B0C"/>
        </w:tc>
      </w:tr>
      <w:tr w:rsidR="004C5B0C" w:rsidRPr="001569FB" w14:paraId="5124A15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4DF9D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774CAD" w14:textId="77777777" w:rsidR="004C5B0C" w:rsidRPr="001569FB" w:rsidRDefault="004C5B0C" w:rsidP="004C5B0C">
            <w:pPr>
              <w:pStyle w:val="TableParagraph"/>
              <w:ind w:left="144"/>
              <w:rPr>
                <w:rFonts w:ascii="Times New Roman"/>
                <w:sz w:val="20"/>
              </w:rPr>
            </w:pPr>
            <w:r w:rsidRPr="001569FB">
              <w:rPr>
                <w:rFonts w:ascii="Times New Roman"/>
                <w:sz w:val="20"/>
              </w:rPr>
              <w:t>CMS releases the 2019 Part D national average monthly bid amount, the Medicare Part D base beneficiary premium, the Part D regional low-income premium subsidy amounts, the Medicare Advantage regional PPO benchmarks, and the de minimis amount.</w:t>
            </w:r>
          </w:p>
        </w:tc>
        <w:tc>
          <w:tcPr>
            <w:tcW w:w="722" w:type="dxa"/>
            <w:tcBorders>
              <w:top w:val="single" w:sz="6" w:space="0" w:color="000000"/>
              <w:left w:val="single" w:sz="6" w:space="0" w:color="000000"/>
              <w:bottom w:val="single" w:sz="6" w:space="0" w:color="000000"/>
              <w:right w:val="single" w:sz="6" w:space="0" w:color="000000"/>
            </w:tcBorders>
            <w:vAlign w:val="center"/>
          </w:tcPr>
          <w:p w14:paraId="42C58E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F0C06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1295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DF668F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B75DE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4E84DD"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04BC83C" w14:textId="77777777" w:rsidR="004C5B0C" w:rsidRPr="001569FB" w:rsidRDefault="004C5B0C" w:rsidP="004C5B0C">
            <w:pPr>
              <w:pStyle w:val="TableParagraph"/>
              <w:ind w:left="144"/>
              <w:rPr>
                <w:rFonts w:ascii="Times New Roman"/>
                <w:sz w:val="20"/>
              </w:rPr>
            </w:pPr>
            <w:r w:rsidRPr="001569FB">
              <w:rPr>
                <w:rFonts w:ascii="Times New Roman"/>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vAlign w:val="center"/>
          </w:tcPr>
          <w:p w14:paraId="664D773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E470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AB7C71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75DFB13" w14:textId="77777777" w:rsidR="004C5B0C" w:rsidRPr="001569FB" w:rsidRDefault="004C5B0C" w:rsidP="004C5B0C"/>
        </w:tc>
      </w:tr>
      <w:tr w:rsidR="004C5B0C" w:rsidRPr="001569FB" w14:paraId="5C5308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E38D62" w14:textId="77777777" w:rsidR="004C5B0C" w:rsidRPr="001569FB" w:rsidRDefault="004C5B0C" w:rsidP="004C5B0C">
            <w:pPr>
              <w:pStyle w:val="TableParagraph"/>
              <w:ind w:left="144" w:right="144"/>
              <w:rPr>
                <w:rFonts w:ascii="Times New Roman"/>
                <w:sz w:val="20"/>
              </w:rPr>
            </w:pPr>
            <w:r w:rsidRPr="001569FB">
              <w:rPr>
                <w:rFonts w:ascii="Times New Roman"/>
                <w:sz w:val="20"/>
              </w:rPr>
              <w:t>No Later Than July 29,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BB3DE03" w14:textId="77777777" w:rsidR="004C5B0C" w:rsidRPr="001569FB" w:rsidRDefault="004C5B0C" w:rsidP="004C5B0C">
            <w:pPr>
              <w:pStyle w:val="TableParagraph"/>
              <w:ind w:left="144"/>
              <w:rPr>
                <w:rFonts w:ascii="Times New Roman"/>
                <w:sz w:val="20"/>
              </w:rPr>
            </w:pPr>
            <w:r w:rsidRPr="001569FB">
              <w:rPr>
                <w:rFonts w:ascii="Times New Roman"/>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vAlign w:val="center"/>
          </w:tcPr>
          <w:p w14:paraId="3E590B3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90FBC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BB7E42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8B9D5FD" w14:textId="77777777" w:rsidR="004C5B0C" w:rsidRPr="001569FB" w:rsidRDefault="004C5B0C" w:rsidP="004C5B0C"/>
        </w:tc>
      </w:tr>
      <w:tr w:rsidR="004C5B0C" w:rsidRPr="001569FB" w14:paraId="7CB44D6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87CDC0C"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912A0BB" w14:textId="77777777" w:rsidR="004C5B0C" w:rsidRPr="001569FB" w:rsidRDefault="004C5B0C" w:rsidP="004C5B0C">
            <w:pPr>
              <w:pStyle w:val="TableParagraph"/>
              <w:ind w:left="144"/>
              <w:rPr>
                <w:rFonts w:ascii="Times New Roman"/>
                <w:sz w:val="20"/>
              </w:rPr>
            </w:pPr>
            <w:r w:rsidRPr="001569FB">
              <w:rPr>
                <w:rFonts w:ascii="Times New Roman"/>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AAD273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C51C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7E61F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25FB520" w14:textId="77777777" w:rsidR="004C5B0C" w:rsidRPr="001569FB" w:rsidRDefault="004C5B0C" w:rsidP="004C5B0C"/>
        </w:tc>
      </w:tr>
      <w:tr w:rsidR="004C5B0C" w:rsidRPr="001569FB" w14:paraId="0AAE1BB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0BA01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509B3D3" w14:textId="77777777" w:rsidR="004C5B0C" w:rsidRPr="001569FB" w:rsidRDefault="004C5B0C" w:rsidP="004C5B0C">
            <w:pPr>
              <w:ind w:left="144"/>
              <w:rPr>
                <w:rFonts w:eastAsiaTheme="minorHAnsi" w:cstheme="minorBidi"/>
                <w:sz w:val="20"/>
              </w:rPr>
            </w:pPr>
            <w:r w:rsidRPr="001569FB">
              <w:rPr>
                <w:rFonts w:eastAsiaTheme="minorHAnsi" w:cstheme="minorBidi"/>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vAlign w:val="center"/>
          </w:tcPr>
          <w:p w14:paraId="7044903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5CD99C"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14EA7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74E62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9591CC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6B1CFE"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August 16-20,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C44155D" w14:textId="77777777" w:rsidR="004C5B0C" w:rsidRPr="001569FB" w:rsidRDefault="004C5B0C" w:rsidP="004C5B0C">
            <w:pPr>
              <w:pStyle w:val="TableParagraph"/>
              <w:ind w:left="144"/>
              <w:rPr>
                <w:rFonts w:ascii="Times New Roman"/>
                <w:sz w:val="20"/>
              </w:rPr>
            </w:pPr>
            <w:r w:rsidRPr="001569FB">
              <w:rPr>
                <w:rFonts w:ascii="Times New Roman"/>
                <w:sz w:val="20"/>
              </w:rPr>
              <w:t>CY 2019 preview of the 2018 Medicare &amp;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4AF46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D802FB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9B43023"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0A79D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968D67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B23F8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22-24,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3C2F8E" w14:textId="77777777" w:rsidR="004C5B0C" w:rsidRPr="001569FB" w:rsidRDefault="004C5B0C" w:rsidP="004C5B0C">
            <w:pPr>
              <w:pStyle w:val="TableParagraph"/>
              <w:ind w:left="144"/>
              <w:rPr>
                <w:rFonts w:ascii="Times New Roman"/>
                <w:sz w:val="20"/>
              </w:rPr>
            </w:pPr>
            <w:r w:rsidRPr="001569FB">
              <w:rPr>
                <w:rFonts w:ascii="Times New Roman"/>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6F92A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FE75C1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9C469A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16AF5E" w14:textId="77777777" w:rsidR="004C5B0C" w:rsidRPr="001569FB" w:rsidRDefault="004C5B0C" w:rsidP="004C5B0C">
            <w:pPr>
              <w:rPr>
                <w:rFonts w:ascii="Wingdings 2" w:eastAsia="Wingdings 2" w:hAnsi="Wingdings 2" w:cs="Wingdings 2"/>
                <w:b/>
                <w:w w:val="99"/>
                <w:sz w:val="20"/>
                <w:szCs w:val="20"/>
              </w:rPr>
            </w:pPr>
          </w:p>
          <w:p w14:paraId="245298D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0FBF4FE6" w14:textId="77777777" w:rsidR="004C5B0C" w:rsidRPr="001569FB" w:rsidRDefault="004C5B0C" w:rsidP="004C5B0C">
            <w:pPr>
              <w:ind w:left="77"/>
              <w:jc w:val="center"/>
              <w:rPr>
                <w:sz w:val="20"/>
                <w:szCs w:val="20"/>
              </w:rPr>
            </w:pPr>
            <w:r w:rsidRPr="001569FB">
              <w:rPr>
                <w:i/>
                <w:sz w:val="20"/>
              </w:rPr>
              <w:t>MPF only</w:t>
            </w:r>
          </w:p>
        </w:tc>
      </w:tr>
      <w:tr w:rsidR="004C5B0C" w:rsidRPr="001569FB" w14:paraId="776C769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F857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August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3470233" w14:textId="77777777" w:rsidR="004C5B0C" w:rsidRPr="001569FB" w:rsidRDefault="004C5B0C" w:rsidP="004C5B0C">
            <w:pPr>
              <w:pStyle w:val="TableParagraph"/>
              <w:ind w:left="144"/>
              <w:rPr>
                <w:rFonts w:ascii="Times New Roman"/>
                <w:sz w:val="20"/>
              </w:rPr>
            </w:pPr>
            <w:r w:rsidRPr="001569FB">
              <w:rPr>
                <w:rFonts w:ascii="Times New Roman"/>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vAlign w:val="center"/>
          </w:tcPr>
          <w:p w14:paraId="762C2D46"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7D1D2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796FD0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67527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83A8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0F1E48" w14:textId="77777777" w:rsidR="004C5B0C" w:rsidRPr="001569FB" w:rsidRDefault="004C5B0C" w:rsidP="004C5B0C">
            <w:pPr>
              <w:pStyle w:val="TableParagraph"/>
              <w:ind w:left="144" w:right="144"/>
              <w:rPr>
                <w:rFonts w:ascii="Times New Roman"/>
                <w:sz w:val="20"/>
              </w:rPr>
            </w:pPr>
            <w:r w:rsidRPr="001569FB">
              <w:rPr>
                <w:rFonts w:ascii="Times New Roman"/>
                <w:sz w:val="20"/>
              </w:rPr>
              <w:t>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A09814E" w14:textId="77777777" w:rsidR="004C5B0C" w:rsidRPr="001569FB" w:rsidRDefault="004C5B0C" w:rsidP="004C5B0C">
            <w:pPr>
              <w:pStyle w:val="TableParagraph"/>
              <w:ind w:left="144"/>
              <w:rPr>
                <w:rFonts w:ascii="Times New Roman"/>
                <w:sz w:val="20"/>
              </w:rPr>
            </w:pPr>
            <w:r w:rsidRPr="001569FB">
              <w:rPr>
                <w:rFonts w:ascii="Times New Roman"/>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19B25C5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8C2DC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C4CE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21FA13" w14:textId="77777777" w:rsidR="004C5B0C" w:rsidRPr="001569FB" w:rsidRDefault="004C5B0C" w:rsidP="004C5B0C"/>
        </w:tc>
      </w:tr>
      <w:tr w:rsidR="004C5B0C" w:rsidRPr="001569FB" w14:paraId="556D7529"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6F4A062" w14:textId="77777777" w:rsidR="004C5B0C" w:rsidRPr="001569FB" w:rsidRDefault="004C5B0C" w:rsidP="004C5B0C">
            <w:pPr>
              <w:pStyle w:val="TableParagraph"/>
              <w:ind w:left="144" w:right="144"/>
              <w:rPr>
                <w:rFonts w:ascii="Times New Roman"/>
                <w:sz w:val="20"/>
              </w:rPr>
            </w:pPr>
            <w:r w:rsidRPr="001569FB">
              <w:rPr>
                <w:rFonts w:ascii="Times New Roman"/>
                <w:sz w:val="20"/>
              </w:rPr>
              <w:t>End of August/Early September,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1B994FC" w14:textId="77777777" w:rsidR="004C5B0C" w:rsidRPr="001569FB" w:rsidRDefault="004C5B0C" w:rsidP="004C5B0C">
            <w:pPr>
              <w:pStyle w:val="TableParagraph"/>
              <w:ind w:left="144"/>
              <w:rPr>
                <w:rFonts w:ascii="Times New Roman"/>
                <w:sz w:val="20"/>
              </w:rPr>
            </w:pPr>
            <w:r w:rsidRPr="001569FB">
              <w:rPr>
                <w:rFonts w:ascii="Times New Roman"/>
                <w:sz w:val="20"/>
              </w:rPr>
              <w:t>Plan preview periods of Part C &amp; D Star Ratings in HPMS.</w:t>
            </w:r>
          </w:p>
        </w:tc>
        <w:tc>
          <w:tcPr>
            <w:tcW w:w="722" w:type="dxa"/>
            <w:tcBorders>
              <w:top w:val="single" w:sz="6" w:space="0" w:color="000000"/>
              <w:left w:val="single" w:sz="6" w:space="0" w:color="000000"/>
              <w:bottom w:val="single" w:sz="4" w:space="0" w:color="000000"/>
              <w:right w:val="single" w:sz="6" w:space="0" w:color="000000"/>
            </w:tcBorders>
            <w:vAlign w:val="center"/>
          </w:tcPr>
          <w:p w14:paraId="2795690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9EB177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3AEF4B7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92E6F38" w14:textId="77777777" w:rsidR="004C5B0C" w:rsidRPr="001569FB" w:rsidRDefault="004C5B0C" w:rsidP="004C5B0C"/>
        </w:tc>
      </w:tr>
      <w:tr w:rsidR="004C5B0C" w:rsidRPr="001569FB" w14:paraId="27EC9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47A1D" w14:textId="77777777" w:rsidR="004C5B0C" w:rsidRPr="001569FB" w:rsidRDefault="004C5B0C" w:rsidP="004C5B0C">
            <w:pPr>
              <w:pStyle w:val="TableParagraph"/>
              <w:ind w:left="144" w:right="144"/>
              <w:rPr>
                <w:rFonts w:ascii="Times New Roman"/>
                <w:sz w:val="20"/>
              </w:rPr>
            </w:pPr>
            <w:r w:rsidRPr="001569FB">
              <w:rPr>
                <w:rFonts w:ascii="Times New Roman"/>
                <w:sz w:val="20"/>
              </w:rPr>
              <w:t>Early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F3D8AAA" w14:textId="77777777" w:rsidR="004C5B0C" w:rsidRPr="001569FB" w:rsidRDefault="004C5B0C" w:rsidP="004C5B0C">
            <w:pPr>
              <w:pStyle w:val="TableParagraph"/>
              <w:ind w:left="144"/>
              <w:rPr>
                <w:rFonts w:ascii="Times New Roman"/>
                <w:sz w:val="20"/>
              </w:rPr>
            </w:pPr>
            <w:r w:rsidRPr="001569FB">
              <w:rPr>
                <w:rFonts w:ascii="Times New Roman"/>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26FD9DA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971B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FBE24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7237FD9" w14:textId="77777777" w:rsidR="004C5B0C" w:rsidRPr="001569FB" w:rsidRDefault="004C5B0C" w:rsidP="004C5B0C"/>
        </w:tc>
      </w:tr>
      <w:tr w:rsidR="004C5B0C" w:rsidRPr="001569FB" w14:paraId="3651003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53B155" w14:textId="77777777" w:rsidR="004C5B0C" w:rsidRPr="001569FB" w:rsidRDefault="004C5B0C" w:rsidP="004C5B0C">
            <w:pPr>
              <w:pStyle w:val="TableParagraph"/>
              <w:ind w:left="144" w:right="144"/>
              <w:rPr>
                <w:rFonts w:ascii="Times New Roman"/>
                <w:sz w:val="20"/>
              </w:rPr>
            </w:pPr>
            <w:r w:rsidRPr="001569FB">
              <w:rPr>
                <w:rFonts w:ascii="Times New Roman"/>
                <w:sz w:val="20"/>
              </w:rPr>
              <w:t>Mid-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7C6ECA3" w14:textId="77777777" w:rsidR="004C5B0C" w:rsidRPr="001569FB" w:rsidRDefault="004C5B0C" w:rsidP="004C5B0C">
            <w:pPr>
              <w:pStyle w:val="TableParagraph"/>
              <w:ind w:left="144"/>
              <w:rPr>
                <w:rFonts w:ascii="Times New Roman"/>
                <w:sz w:val="20"/>
              </w:rPr>
            </w:pPr>
            <w:r w:rsidRPr="001569FB">
              <w:rPr>
                <w:rFonts w:ascii="Times New Roman"/>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6570EC2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1F695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818B6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7175CD3" w14:textId="77777777" w:rsidR="004C5B0C" w:rsidRPr="001569FB" w:rsidRDefault="004C5B0C" w:rsidP="004C5B0C"/>
        </w:tc>
      </w:tr>
      <w:tr w:rsidR="004C5B0C" w:rsidRPr="001569FB" w14:paraId="2EBDBB5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C821798"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4-7,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D0055A" w14:textId="77777777" w:rsidR="004C5B0C" w:rsidRPr="001569FB" w:rsidRDefault="004C5B0C" w:rsidP="004C5B0C">
            <w:pPr>
              <w:pStyle w:val="TableParagraph"/>
              <w:ind w:left="144"/>
              <w:rPr>
                <w:rFonts w:ascii="Times New Roman"/>
                <w:sz w:val="20"/>
              </w:rPr>
            </w:pPr>
            <w:r w:rsidRPr="001569FB">
              <w:rPr>
                <w:rFonts w:ascii="Times New Roman"/>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14:paraId="186A0D1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784D21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D7CB90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34D371B3" w14:textId="77777777" w:rsidR="004C5B0C" w:rsidRPr="001569FB" w:rsidRDefault="004C5B0C" w:rsidP="004C5B0C">
            <w:pPr>
              <w:jc w:val="center"/>
              <w:rPr>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MPF only</w:t>
            </w:r>
          </w:p>
        </w:tc>
      </w:tr>
      <w:tr w:rsidR="004C5B0C" w:rsidRPr="001569FB" w14:paraId="1615711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C9C8BC"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16 -30,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26A7FE" w14:textId="77777777" w:rsidR="004C5B0C" w:rsidRPr="001569FB" w:rsidRDefault="004C5B0C" w:rsidP="004C5B0C">
            <w:pPr>
              <w:pStyle w:val="TableParagraph"/>
              <w:ind w:left="144"/>
              <w:rPr>
                <w:rFonts w:ascii="Times New Roman"/>
                <w:sz w:val="20"/>
              </w:rPr>
            </w:pPr>
            <w:r w:rsidRPr="001569FB">
              <w:rPr>
                <w:rFonts w:ascii="Times New Roman"/>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vAlign w:val="center"/>
          </w:tcPr>
          <w:p w14:paraId="550790F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E5232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26149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953920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8E55E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F9FECFF" w14:textId="77777777" w:rsidR="004C5B0C" w:rsidRPr="001569FB" w:rsidRDefault="004C5B0C" w:rsidP="004C5B0C">
            <w:pPr>
              <w:pStyle w:val="TableParagraph"/>
              <w:ind w:left="144" w:right="144"/>
              <w:rPr>
                <w:rFonts w:ascii="Times New Roman"/>
                <w:sz w:val="20"/>
              </w:rPr>
            </w:pPr>
            <w:r w:rsidRPr="001569FB">
              <w:rPr>
                <w:rFonts w:ascii="Times New Roman"/>
                <w:sz w:val="20"/>
              </w:rPr>
              <w:t>Late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553DF95" w14:textId="77777777" w:rsidR="004C5B0C" w:rsidRPr="001569FB" w:rsidRDefault="004C5B0C" w:rsidP="004C5B0C">
            <w:pPr>
              <w:pStyle w:val="TableParagraph"/>
              <w:ind w:left="144"/>
              <w:rPr>
                <w:rFonts w:ascii="Times New Roman"/>
                <w:sz w:val="20"/>
              </w:rPr>
            </w:pPr>
            <w:r w:rsidRPr="001569FB">
              <w:rPr>
                <w:rFonts w:ascii="Times New Roman"/>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DB5350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BBFA4C8"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2216DB1"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4779DB78" w14:textId="77777777" w:rsidR="004C5B0C" w:rsidRPr="001569FB" w:rsidRDefault="004C5B0C" w:rsidP="004C5B0C"/>
        </w:tc>
      </w:tr>
      <w:tr w:rsidR="004C5B0C" w:rsidRPr="001569FB" w14:paraId="0A4B8A6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78F171"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Late September,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4D32901" w14:textId="77777777" w:rsidR="004C5B0C" w:rsidRPr="001569FB" w:rsidRDefault="004C5B0C" w:rsidP="004C5B0C">
            <w:pPr>
              <w:pStyle w:val="TableParagraph"/>
              <w:ind w:left="144"/>
              <w:rPr>
                <w:rFonts w:ascii="Times New Roman"/>
                <w:sz w:val="20"/>
              </w:rPr>
            </w:pPr>
            <w:r w:rsidRPr="001569FB">
              <w:rPr>
                <w:rFonts w:ascii="Times New Roman"/>
                <w:sz w:val="20"/>
              </w:rPr>
              <w:t>Deadline for Part D sponsors, cost-based, MA and MA-PD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3D90A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886A36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36D7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305383E" w14:textId="77777777" w:rsidR="004C5B0C" w:rsidRPr="001569FB" w:rsidRDefault="004C5B0C" w:rsidP="004C5B0C"/>
        </w:tc>
      </w:tr>
      <w:tr w:rsidR="004C5B0C" w:rsidRPr="001569FB" w14:paraId="4852D5C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F0863AA"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September 30,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E41B9E" w14:textId="77777777" w:rsidR="004C5B0C" w:rsidRPr="001569FB" w:rsidRDefault="004C5B0C" w:rsidP="004C5B0C">
            <w:pPr>
              <w:pStyle w:val="TableParagraph"/>
              <w:ind w:left="144"/>
              <w:rPr>
                <w:rFonts w:ascii="Times New Roman"/>
                <w:sz w:val="20"/>
              </w:rPr>
            </w:pPr>
            <w:r w:rsidRPr="001569FB">
              <w:rPr>
                <w:rFonts w:ascii="Times New Roman"/>
                <w:sz w:val="20"/>
              </w:rPr>
              <w:t>Deadline for plans to provide the following documents to current enrollees:</w:t>
            </w:r>
          </w:p>
          <w:p w14:paraId="7D045256"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Annual Notice of Change/Evidence of Coverage (ANOC/EOC) for all MA, MA-PD, PDP, and cost-based plans (including those not offering Part D and those that do offer Part D).</w:t>
            </w:r>
          </w:p>
          <w:p w14:paraId="29D7BA8F"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The multi-language insert should be sent with the ANOC/EOC and the SB.</w:t>
            </w:r>
          </w:p>
          <w:p w14:paraId="541CC99A"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ANOC with the Summary of Benefits for D-SNPs and MMPs that choose to separate the ANOC from the EOC.</w:t>
            </w:r>
          </w:p>
          <w:p w14:paraId="6F6F07FD"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Abridged or comprehensive formularies</w:t>
            </w:r>
          </w:p>
          <w:p w14:paraId="11925618"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LIS rider</w:t>
            </w:r>
          </w:p>
          <w:p w14:paraId="35FDA0D3"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Pharmacy/Provider directories</w:t>
            </w:r>
          </w:p>
          <w:p w14:paraId="5E0F8AC7" w14:textId="77777777" w:rsidR="004C5B0C" w:rsidRPr="001569FB" w:rsidRDefault="004C5B0C" w:rsidP="004C5B0C">
            <w:pPr>
              <w:pStyle w:val="TableParagraph"/>
              <w:ind w:left="144"/>
              <w:rPr>
                <w:rFonts w:ascii="Times New Roman"/>
                <w:sz w:val="20"/>
              </w:rPr>
            </w:pPr>
            <w:r w:rsidRPr="001569FB">
              <w:rPr>
                <w:rFonts w:ascii="Times New Roman"/>
                <w:sz w:val="20"/>
              </w:rPr>
              <w:t>The documents identified above are the only CY 2019 documents permitted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54BE31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549BD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7EA50F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308B0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CCBAFC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DFF04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611F4D1" w14:textId="77777777" w:rsidR="004C5B0C" w:rsidRPr="001569FB" w:rsidRDefault="004C5B0C" w:rsidP="004C5B0C">
            <w:pPr>
              <w:pStyle w:val="TableParagraph"/>
              <w:ind w:left="144"/>
              <w:rPr>
                <w:rFonts w:ascii="Times New Roman"/>
                <w:sz w:val="20"/>
              </w:rPr>
            </w:pPr>
            <w:r w:rsidRPr="001569FB">
              <w:rPr>
                <w:rFonts w:ascii="Times New Roman"/>
                <w:sz w:val="20"/>
              </w:rPr>
              <w:t>Organizations may begin marketing their CY 2019 plan benefits.</w:t>
            </w:r>
          </w:p>
          <w:p w14:paraId="19E9B6AB" w14:textId="77777777" w:rsidR="004C5B0C" w:rsidRPr="001569FB" w:rsidRDefault="004C5B0C" w:rsidP="004C5B0C">
            <w:pPr>
              <w:pStyle w:val="TableParagraph"/>
              <w:ind w:left="144"/>
              <w:rPr>
                <w:rFonts w:ascii="Times New Roman"/>
                <w:sz w:val="20"/>
              </w:rPr>
            </w:pPr>
            <w:r w:rsidRPr="001569FB">
              <w:rPr>
                <w:rFonts w:ascii="Times New Roman"/>
                <w:sz w:val="20"/>
              </w:rPr>
              <w:t>Note: Once an organization begins marketing CY 2019 plans, the organization must cease marketing CY 2018 plans to anyone other than beneficiaries who are eligible for valid enrollment (e.g. age-ins and special enrollment periods (SEP)). Organizations may still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6116F3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5E3D0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FBE768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D4F5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B04DF4F"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D241E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October 1,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2DB86B3F" w14:textId="77777777" w:rsidR="004C5B0C" w:rsidRPr="001569FB" w:rsidRDefault="004C5B0C" w:rsidP="004C5B0C">
            <w:pPr>
              <w:pStyle w:val="TableParagraph"/>
              <w:ind w:left="144"/>
              <w:rPr>
                <w:rFonts w:ascii="Times New Roman"/>
                <w:sz w:val="20"/>
              </w:rPr>
            </w:pPr>
            <w:r w:rsidRPr="001569FB">
              <w:rPr>
                <w:rFonts w:ascii="Times New Roman"/>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4" w:space="0" w:color="000000"/>
              <w:right w:val="single" w:sz="6" w:space="0" w:color="000000"/>
            </w:tcBorders>
            <w:vAlign w:val="center"/>
          </w:tcPr>
          <w:p w14:paraId="16F7186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070941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19EF152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40BFD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A39C7A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4F7CECF"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C5D7BC"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The final personalized beneficiary non-renewal notification letter must be received by PDP, MA plan, MA-PD plan, MMP and cost-based plan enrollees. </w:t>
            </w:r>
          </w:p>
          <w:p w14:paraId="6DF1F66D" w14:textId="77777777" w:rsidR="004C5B0C" w:rsidRPr="001569FB" w:rsidRDefault="004C5B0C" w:rsidP="004C5B0C">
            <w:pPr>
              <w:pStyle w:val="TableParagraph"/>
              <w:ind w:left="144"/>
              <w:rPr>
                <w:rFonts w:ascii="Times New Roman"/>
                <w:sz w:val="20"/>
              </w:rPr>
            </w:pPr>
            <w:r w:rsidRPr="001569FB">
              <w:rPr>
                <w:rFonts w:ascii="Times New Roman"/>
                <w:sz w:val="20"/>
              </w:rPr>
              <w:t>PDPs, MA plans, MA-PD plans, MMPs and cost-based organizations may not market to beneficiaries of non-renewing plans until after October 2,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768797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BCA2A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B9A5C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19C8D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F1C9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AC2CD4"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40837B" w14:textId="77777777" w:rsidR="004C5B0C" w:rsidRPr="001569FB" w:rsidRDefault="004C5B0C" w:rsidP="004C5B0C">
            <w:pPr>
              <w:pStyle w:val="TableParagraph"/>
              <w:ind w:left="144"/>
              <w:rPr>
                <w:rFonts w:ascii="Times New Roman"/>
                <w:sz w:val="20"/>
              </w:rPr>
            </w:pPr>
            <w:r w:rsidRPr="001569FB">
              <w:rPr>
                <w:rFonts w:ascii="Times New Roman"/>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B00BD9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675C3E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EEA9A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3A5D5E" w14:textId="77777777" w:rsidR="004C5B0C" w:rsidRPr="001569FB" w:rsidRDefault="004C5B0C" w:rsidP="004C5B0C"/>
        </w:tc>
      </w:tr>
      <w:tr w:rsidR="004C5B0C" w:rsidRPr="001569FB" w14:paraId="7F633BE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773C750"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B22041"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Part D sponsors must post prior authorization and step therapy criteria on their websites for CY 2019. </w:t>
            </w:r>
          </w:p>
        </w:tc>
        <w:tc>
          <w:tcPr>
            <w:tcW w:w="722" w:type="dxa"/>
            <w:tcBorders>
              <w:top w:val="single" w:sz="6" w:space="0" w:color="000000"/>
              <w:left w:val="single" w:sz="6" w:space="0" w:color="000000"/>
              <w:bottom w:val="single" w:sz="6" w:space="0" w:color="000000"/>
              <w:right w:val="single" w:sz="6" w:space="0" w:color="000000"/>
            </w:tcBorders>
            <w:vAlign w:val="center"/>
          </w:tcPr>
          <w:p w14:paraId="0F8C2F70"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0049CA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BFA78A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2F36B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259E6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CFE846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2A621F" w14:textId="77777777" w:rsidR="004C5B0C" w:rsidRPr="001569FB" w:rsidRDefault="004C5B0C" w:rsidP="004C5B0C">
            <w:pPr>
              <w:pStyle w:val="TableParagraph"/>
              <w:ind w:left="144"/>
              <w:rPr>
                <w:rFonts w:ascii="Times New Roman"/>
                <w:sz w:val="20"/>
              </w:rPr>
            </w:pPr>
            <w:r w:rsidRPr="001569FB">
              <w:rPr>
                <w:rFonts w:ascii="Times New Roman"/>
                <w:sz w:val="20"/>
              </w:rPr>
              <w:t>2019 Annual Election Period begins</w:t>
            </w:r>
          </w:p>
          <w:p w14:paraId="54031F05" w14:textId="77777777" w:rsidR="004C5B0C" w:rsidRPr="001569FB" w:rsidRDefault="004C5B0C" w:rsidP="004C5B0C">
            <w:pPr>
              <w:pStyle w:val="TableParagraph"/>
              <w:ind w:left="144"/>
              <w:rPr>
                <w:rFonts w:ascii="Times New Roman"/>
                <w:sz w:val="20"/>
              </w:rPr>
            </w:pPr>
            <w:r w:rsidRPr="001569FB">
              <w:rPr>
                <w:rFonts w:ascii="Times New Roman"/>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vAlign w:val="center"/>
          </w:tcPr>
          <w:p w14:paraId="16C9E20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9F1E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F609CE9"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87059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42B14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3B6DCD" w14:textId="77777777" w:rsidR="004C5B0C" w:rsidRPr="001569FB" w:rsidRDefault="004C5B0C" w:rsidP="004C5B0C">
            <w:pPr>
              <w:pStyle w:val="TableParagraph"/>
              <w:ind w:left="144" w:right="144"/>
              <w:rPr>
                <w:rFonts w:ascii="Times New Roman"/>
                <w:sz w:val="20"/>
              </w:rPr>
            </w:pPr>
            <w:r w:rsidRPr="001569FB">
              <w:rPr>
                <w:rFonts w:ascii="Times New Roman"/>
                <w:sz w:val="20"/>
              </w:rPr>
              <w:t>Mid October,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9F01FED" w14:textId="77777777" w:rsidR="004C5B0C" w:rsidRPr="001569FB" w:rsidRDefault="004C5B0C" w:rsidP="004C5B0C">
            <w:pPr>
              <w:pStyle w:val="TableParagraph"/>
              <w:ind w:left="144"/>
              <w:rPr>
                <w:rFonts w:ascii="Times New Roman"/>
                <w:sz w:val="20"/>
              </w:rPr>
            </w:pPr>
            <w:r w:rsidRPr="001569FB">
              <w:rPr>
                <w:rFonts w:ascii="Times New Roman"/>
                <w:sz w:val="20"/>
              </w:rPr>
              <w:t>Release of the online CY 2020 Notice of Intent to Apply for a New Contract or a Contract Expansion (MA, MA-PD,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5C058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A41BF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754F5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154FAE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84F754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B62B94" w14:textId="77777777" w:rsidR="004C5B0C" w:rsidRPr="001569FB" w:rsidRDefault="004C5B0C" w:rsidP="004C5B0C">
            <w:pPr>
              <w:pStyle w:val="TableParagraph"/>
              <w:ind w:left="144" w:right="144"/>
              <w:rPr>
                <w:rFonts w:ascii="Times New Roman"/>
                <w:sz w:val="20"/>
              </w:rPr>
            </w:pPr>
            <w:r w:rsidRPr="001569FB">
              <w:rPr>
                <w:rFonts w:ascii="Times New Roman"/>
                <w:sz w:val="20"/>
              </w:rPr>
              <w:t>November 12,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2CA29" w14:textId="77777777" w:rsidR="004C5B0C" w:rsidRPr="001569FB" w:rsidRDefault="004C5B0C" w:rsidP="004C5B0C">
            <w:pPr>
              <w:pStyle w:val="TableParagraph"/>
              <w:ind w:left="144"/>
              <w:rPr>
                <w:rFonts w:ascii="Times New Roman"/>
                <w:sz w:val="20"/>
              </w:rPr>
            </w:pPr>
            <w:r w:rsidRPr="001569FB">
              <w:rPr>
                <w:rFonts w:ascii="Times New Roman"/>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1C024C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F4380A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BAA71C8"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4DC08E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5BEA13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B538820" w14:textId="77777777" w:rsidR="004C5B0C" w:rsidRPr="001569FB" w:rsidRDefault="004C5B0C" w:rsidP="004C5B0C">
            <w:pPr>
              <w:pStyle w:val="TableParagraph"/>
              <w:ind w:left="144" w:right="144"/>
              <w:rPr>
                <w:rFonts w:ascii="Times New Roman"/>
                <w:sz w:val="20"/>
              </w:rPr>
            </w:pPr>
            <w:r w:rsidRPr="001569FB">
              <w:rPr>
                <w:rFonts w:ascii="Times New Roman"/>
                <w:sz w:val="20"/>
              </w:rPr>
              <w:t>Early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E9A1137" w14:textId="77777777" w:rsidR="004C5B0C" w:rsidRPr="001569FB" w:rsidRDefault="004C5B0C" w:rsidP="004C5B0C">
            <w:pPr>
              <w:pStyle w:val="TableParagraph"/>
              <w:ind w:left="144"/>
              <w:rPr>
                <w:rFonts w:ascii="Times New Roman"/>
                <w:sz w:val="20"/>
              </w:rPr>
            </w:pPr>
            <w:r w:rsidRPr="001569FB">
              <w:rPr>
                <w:rFonts w:ascii="Times New Roman"/>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4793197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43A8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BB121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4E3E7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BBD306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3C645E" w14:textId="77777777" w:rsidR="004C5B0C" w:rsidRPr="001569FB" w:rsidRDefault="004C5B0C" w:rsidP="004C5B0C">
            <w:pPr>
              <w:pStyle w:val="TableParagraph"/>
              <w:ind w:left="144" w:right="144"/>
              <w:rPr>
                <w:rFonts w:ascii="Times New Roman"/>
                <w:sz w:val="20"/>
              </w:rPr>
            </w:pPr>
            <w:r w:rsidRPr="001569FB">
              <w:rPr>
                <w:rFonts w:ascii="Times New Roman"/>
                <w:sz w:val="20"/>
              </w:rPr>
              <w:t>Late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0E367BB"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7F0F34E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6D055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73A86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A10A600" w14:textId="77777777" w:rsidR="004C5B0C" w:rsidRPr="001569FB" w:rsidRDefault="004C5B0C" w:rsidP="004C5B0C"/>
        </w:tc>
      </w:tr>
      <w:tr w:rsidR="004C5B0C" w:rsidRPr="001569FB" w14:paraId="473ACC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3F5E609"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86B738" w14:textId="77777777" w:rsidR="004C5B0C" w:rsidRPr="001569FB" w:rsidRDefault="004C5B0C" w:rsidP="004C5B0C">
            <w:pPr>
              <w:pStyle w:val="TableParagraph"/>
              <w:ind w:left="144"/>
              <w:rPr>
                <w:rFonts w:ascii="Times New Roman"/>
                <w:sz w:val="20"/>
              </w:rPr>
            </w:pPr>
            <w:r w:rsidRPr="001569FB">
              <w:rPr>
                <w:rFonts w:ascii="Times New Roman"/>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vAlign w:val="center"/>
          </w:tcPr>
          <w:p w14:paraId="0A2FB1E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62C93E4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D67866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9B2DD9" w14:textId="77777777" w:rsidR="004C5B0C" w:rsidRPr="001569FB" w:rsidRDefault="004C5B0C" w:rsidP="004C5B0C"/>
        </w:tc>
      </w:tr>
      <w:tr w:rsidR="004C5B0C" w:rsidRPr="001569FB" w14:paraId="5798245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BB8F98"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807EDA" w14:textId="77777777" w:rsidR="004C5B0C" w:rsidRPr="001569FB" w:rsidRDefault="004C5B0C" w:rsidP="004C5B0C">
            <w:pPr>
              <w:pStyle w:val="TableParagraph"/>
              <w:ind w:left="144"/>
              <w:rPr>
                <w:rFonts w:ascii="Times New Roman"/>
                <w:sz w:val="20"/>
              </w:rPr>
            </w:pPr>
            <w:r w:rsidRPr="001569FB">
              <w:rPr>
                <w:rFonts w:ascii="Times New Roman"/>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vAlign w:val="center"/>
          </w:tcPr>
          <w:p w14:paraId="178F59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71D0A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65F0E6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7B78C8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391DB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5ED4E" w14:textId="77777777" w:rsidR="004C5B0C" w:rsidRPr="001569FB" w:rsidRDefault="004C5B0C" w:rsidP="004C5B0C">
            <w:pPr>
              <w:pStyle w:val="TableParagraph"/>
              <w:ind w:left="144" w:right="144"/>
              <w:rPr>
                <w:rFonts w:ascii="Times New Roman"/>
                <w:sz w:val="20"/>
              </w:rPr>
            </w:pPr>
            <w:r w:rsidRPr="001569FB">
              <w:rPr>
                <w:rFonts w:ascii="Times New Roman"/>
                <w:sz w:val="20"/>
              </w:rPr>
              <w:t>Mid December,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5D6D74"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vAlign w:val="center"/>
          </w:tcPr>
          <w:p w14:paraId="533CC3B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2E679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8496A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836A4E" w14:textId="77777777" w:rsidR="004C5B0C" w:rsidRPr="001569FB" w:rsidRDefault="004C5B0C" w:rsidP="004C5B0C"/>
        </w:tc>
      </w:tr>
      <w:tr w:rsidR="004C5B0C" w:rsidRPr="001569FB" w14:paraId="770F69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B19F2C"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2345D83" w14:textId="77777777" w:rsidR="004C5B0C" w:rsidRPr="001569FB" w:rsidRDefault="004C5B0C" w:rsidP="004C5B0C">
            <w:pPr>
              <w:pStyle w:val="TableParagraph"/>
              <w:ind w:left="144"/>
              <w:rPr>
                <w:rFonts w:ascii="Times New Roman"/>
                <w:sz w:val="20"/>
              </w:rPr>
            </w:pPr>
            <w:r w:rsidRPr="001569FB">
              <w:rPr>
                <w:rFonts w:ascii="Times New Roman"/>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vAlign w:val="center"/>
          </w:tcPr>
          <w:p w14:paraId="4DF42E40" w14:textId="77777777" w:rsidR="004C5B0C" w:rsidRPr="001569FB" w:rsidRDefault="004C5B0C" w:rsidP="004C5B0C">
            <w:pPr>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2B9F27E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3CB0D9C"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6FD5C5B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BFF669" w14:textId="77777777" w:rsidTr="004C5B0C">
        <w:trPr>
          <w:cantSplit/>
        </w:trPr>
        <w:tc>
          <w:tcPr>
            <w:tcW w:w="6456" w:type="dxa"/>
            <w:gridSpan w:val="2"/>
            <w:tcBorders>
              <w:top w:val="single" w:sz="6" w:space="0" w:color="000000"/>
              <w:left w:val="single" w:sz="4" w:space="0" w:color="000000"/>
              <w:bottom w:val="single" w:sz="6" w:space="0" w:color="000000"/>
              <w:right w:val="single" w:sz="6" w:space="0" w:color="000000"/>
            </w:tcBorders>
            <w:shd w:val="clear" w:color="auto" w:fill="C0C0C0"/>
            <w:vAlign w:val="center"/>
          </w:tcPr>
          <w:p w14:paraId="2546BA9C" w14:textId="77777777" w:rsidR="004C5B0C" w:rsidRPr="001569FB" w:rsidRDefault="004C5B0C" w:rsidP="004C5B0C">
            <w:pPr>
              <w:ind w:left="144" w:right="144"/>
              <w:rPr>
                <w:sz w:val="20"/>
                <w:szCs w:val="20"/>
              </w:rPr>
            </w:pPr>
            <w:r w:rsidRPr="001569FB">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571C93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94114F4"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0CDA38A"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shd w:val="clear" w:color="auto" w:fill="C0C0C0"/>
            <w:vAlign w:val="center"/>
          </w:tcPr>
          <w:p w14:paraId="1C07C93D" w14:textId="77777777" w:rsidR="004C5B0C" w:rsidRPr="001569FB" w:rsidRDefault="004C5B0C" w:rsidP="004C5B0C"/>
        </w:tc>
      </w:tr>
      <w:tr w:rsidR="004C5B0C" w:rsidRPr="001569FB" w14:paraId="44C14E8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C5CFE6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46986A64" w14:textId="77777777" w:rsidR="004C5B0C" w:rsidRPr="001569FB" w:rsidRDefault="004C5B0C" w:rsidP="004C5B0C">
            <w:pPr>
              <w:pStyle w:val="TableParagraph"/>
              <w:ind w:left="144"/>
              <w:rPr>
                <w:rFonts w:ascii="Times New Roman"/>
                <w:sz w:val="20"/>
              </w:rPr>
            </w:pPr>
            <w:r w:rsidRPr="001569FB">
              <w:rPr>
                <w:rFonts w:ascii="Times New Roman"/>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vAlign w:val="center"/>
          </w:tcPr>
          <w:p w14:paraId="6036685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4E1F5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A15DE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3F338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36AF1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6ED9C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March 31,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249DB5CF" w14:textId="77777777" w:rsidR="004C5B0C" w:rsidRPr="001569FB" w:rsidRDefault="004C5B0C" w:rsidP="004C5B0C">
            <w:pPr>
              <w:pStyle w:val="TableParagraph"/>
              <w:ind w:left="144"/>
              <w:rPr>
                <w:rFonts w:ascii="Times New Roman"/>
                <w:sz w:val="20"/>
              </w:rPr>
            </w:pPr>
            <w:r w:rsidRPr="001569FB">
              <w:rPr>
                <w:rFonts w:ascii="Times New Roman"/>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vAlign w:val="center"/>
          </w:tcPr>
          <w:p w14:paraId="515495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F163CD"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2B8E705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2795ECE" w14:textId="77777777" w:rsidR="004C5B0C" w:rsidRPr="001569FB" w:rsidRDefault="004C5B0C" w:rsidP="004C5B0C"/>
        </w:tc>
      </w:tr>
      <w:tr w:rsidR="004C5B0C" w:rsidRPr="001569FB" w14:paraId="21C5E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DE816A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97323" w14:textId="77777777" w:rsidR="004C5B0C" w:rsidRPr="001569FB" w:rsidRDefault="004C5B0C" w:rsidP="004C5B0C">
            <w:pPr>
              <w:pStyle w:val="TableParagraph"/>
              <w:ind w:left="144"/>
              <w:rPr>
                <w:rFonts w:ascii="Times New Roman"/>
                <w:sz w:val="20"/>
              </w:rPr>
            </w:pPr>
            <w:r w:rsidRPr="001569FB">
              <w:rPr>
                <w:rFonts w:ascii="Times New Roman"/>
                <w:sz w:val="20"/>
              </w:rPr>
              <w:t>Release of CY 2020 MAO/MA-PD/MMP/PDP/SAE/EGWP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5482CC3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E17DA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D9D319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283B50F"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C7359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025C5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041A954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ADD0F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794E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6D7BA5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D15127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C65C9A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02AE85C"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6920FF90" w14:textId="77777777" w:rsidR="004C5B0C" w:rsidRPr="001569FB" w:rsidRDefault="004C5B0C" w:rsidP="004C5B0C">
            <w:pPr>
              <w:pStyle w:val="TableParagraph"/>
              <w:ind w:left="144"/>
              <w:rPr>
                <w:rFonts w:ascii="Times New Roman"/>
                <w:sz w:val="20"/>
              </w:rPr>
            </w:pPr>
            <w:r w:rsidRPr="001569FB">
              <w:rPr>
                <w:rFonts w:ascii="Times New Roman"/>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vAlign w:val="center"/>
          </w:tcPr>
          <w:p w14:paraId="31F937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0E4D3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5A012D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00526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9BE2D7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F6DB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3,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7455350F" w14:textId="77777777" w:rsidR="004C5B0C" w:rsidRPr="001569FB" w:rsidRDefault="004C5B0C" w:rsidP="004C5B0C">
            <w:pPr>
              <w:pStyle w:val="TableParagraph"/>
              <w:ind w:left="144"/>
              <w:rPr>
                <w:rFonts w:ascii="Times New Roman"/>
                <w:sz w:val="20"/>
              </w:rPr>
            </w:pPr>
            <w:r w:rsidRPr="001569FB">
              <w:rPr>
                <w:rFonts w:ascii="Times New Roman"/>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03E184C7"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DAF7160"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E9D5AB9"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AE45F3" w14:textId="77777777" w:rsidR="004C5B0C" w:rsidRPr="001569FB" w:rsidRDefault="004C5B0C" w:rsidP="004C5B0C">
            <w:pPr>
              <w:pStyle w:val="TableParagraph"/>
              <w:jc w:val="cente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Non-bid related</w:t>
            </w:r>
            <w:r w:rsidRPr="001569FB">
              <w:rPr>
                <w:i/>
                <w:w w:val="99"/>
                <w:sz w:val="20"/>
              </w:rPr>
              <w:t xml:space="preserve"> </w:t>
            </w:r>
            <w:r w:rsidRPr="001569FB">
              <w:rPr>
                <w:i/>
                <w:sz w:val="20"/>
              </w:rPr>
              <w:t>items only</w:t>
            </w:r>
          </w:p>
        </w:tc>
      </w:tr>
    </w:tbl>
    <w:p w14:paraId="4DE4DDAE" w14:textId="77777777" w:rsidR="00AF04CB" w:rsidRPr="001569FB" w:rsidRDefault="00AF04CB" w:rsidP="00AF04CB">
      <w:pPr>
        <w:pStyle w:val="Heading3"/>
        <w:ind w:left="0" w:firstLine="720"/>
      </w:pPr>
      <w:bookmarkStart w:id="633" w:name="Changes_to_Measures_for_2017"/>
      <w:bookmarkStart w:id="634" w:name="Removal_of_Measures_from_Star_Ratings"/>
      <w:bookmarkStart w:id="635" w:name="bookmark2"/>
      <w:bookmarkStart w:id="636" w:name="Data_Integrity"/>
      <w:bookmarkStart w:id="637" w:name="Impact_of_Socio-economic_and_Disability_"/>
      <w:bookmarkStart w:id="638" w:name="2017_CMS_Display_Measures"/>
      <w:bookmarkStart w:id="639" w:name="bookmark9"/>
      <w:bookmarkStart w:id="640" w:name="Forecasting_to_2018_and_Beyond"/>
      <w:bookmarkStart w:id="641" w:name="bookmark10"/>
      <w:bookmarkStart w:id="642" w:name="New_Measures"/>
      <w:bookmarkStart w:id="643" w:name="bookmark11"/>
      <w:bookmarkStart w:id="644" w:name="Changes_to_Existing_Star_Ratings_and_Dis"/>
      <w:bookmarkStart w:id="645" w:name="bookmark12"/>
      <w:bookmarkStart w:id="646" w:name="Measurement_and_Methodological_Enhanceme"/>
      <w:bookmarkStart w:id="647" w:name="bookmark13"/>
      <w:bookmarkStart w:id="648" w:name="bookmark15"/>
      <w:bookmarkStart w:id="649" w:name="bookmark14"/>
      <w:bookmarkStart w:id="650" w:name="Proposed_Release_Date_for_the_2017_Part_"/>
      <w:bookmarkStart w:id="651" w:name="Medicare_Parts_C_&amp;_D_Program_Audits"/>
      <w:bookmarkStart w:id="652" w:name="Enhancements_to_the_2018_Star_Ratings_an"/>
      <w:bookmarkStart w:id="653" w:name="_Toc495652086"/>
      <w:bookmarkStart w:id="654" w:name="_Toc505253830"/>
      <w:bookmarkStart w:id="655" w:name="_Toc493523576"/>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r>
        <w:lastRenderedPageBreak/>
        <w:t xml:space="preserve">Section I </w:t>
      </w:r>
      <w:r w:rsidRPr="001569FB">
        <w:t>Star Ratings</w:t>
      </w:r>
      <w:r>
        <w:t xml:space="preserve"> -</w:t>
      </w:r>
      <w:r w:rsidRPr="001569FB">
        <w:t xml:space="preserve"> </w:t>
      </w:r>
      <w:bookmarkEnd w:id="653"/>
      <w:bookmarkEnd w:id="654"/>
      <w:r>
        <w:t>General</w:t>
      </w:r>
    </w:p>
    <w:bookmarkEnd w:id="655"/>
    <w:p w14:paraId="38FDB745" w14:textId="77777777" w:rsidR="004C5B0C" w:rsidRPr="001569FB" w:rsidRDefault="004C5B0C" w:rsidP="004C5B0C">
      <w:pPr>
        <w:kinsoku w:val="0"/>
        <w:overflowPunct w:val="0"/>
        <w:autoSpaceDE w:val="0"/>
        <w:autoSpaceDN w:val="0"/>
        <w:adjustRightInd w:val="0"/>
        <w:spacing w:before="200"/>
      </w:pPr>
      <w:r w:rsidRPr="001569FB">
        <w:t>CMS publishes the Part C and D Star Ratings each year to measure the quality of and reflect the experiences of beneficiaries in Medicare Advantage (MA) and Prescription Drug Plans (PDPs or Part D plans), assist beneficiaries in finding the best plan, and determine MA Quality Bonus Payments. Further, the Star Ratings support the efforts of CMS to improve the level of accountability for the care provided by physicians, hospitals, and other providers.</w:t>
      </w:r>
    </w:p>
    <w:p w14:paraId="786C99EB" w14:textId="77777777" w:rsidR="004C5B0C" w:rsidRPr="001569FB" w:rsidRDefault="004C5B0C" w:rsidP="004C5B0C">
      <w:pPr>
        <w:kinsoku w:val="0"/>
        <w:overflowPunct w:val="0"/>
        <w:autoSpaceDE w:val="0"/>
        <w:autoSpaceDN w:val="0"/>
        <w:adjustRightInd w:val="0"/>
        <w:spacing w:before="200"/>
      </w:pPr>
      <w:r w:rsidRPr="001569FB">
        <w:t>CMS regularly reviews the measures and the methodology (used to generate the ratings) to incentivize plans and provide information that is a true reflection of plan performance and enrollee experience. We remain cognizant of the unique challenges of serving traditionally underserved subsets of the population. In addition to conducting our own research, CMS stays abreast of the related research and listens carefully to concerns about the Star Ratings. CMS works in collaboration with beneficiaries, stakeholders, measure developers, researchers, and other HHS collaborators to improve the Star Ratings.</w:t>
      </w:r>
    </w:p>
    <w:p w14:paraId="7959D3FD" w14:textId="77777777" w:rsidR="004C5B0C" w:rsidRPr="001569FB" w:rsidRDefault="004C5B0C" w:rsidP="004C5B0C">
      <w:pPr>
        <w:kinsoku w:val="0"/>
        <w:overflowPunct w:val="0"/>
        <w:autoSpaceDE w:val="0"/>
        <w:autoSpaceDN w:val="0"/>
        <w:adjustRightInd w:val="0"/>
        <w:spacing w:before="200"/>
      </w:pPr>
      <w:r w:rsidRPr="001569FB">
        <w:t xml:space="preserve">As a result, we propose the enhancements described below to the 2019 Star Ratings and solicit comment in response to this draft Call Letter. In this document, we also describe possible enhancements for the 2020 Star Ratings and other future measurement concepts. Except as noted below, the methodology and measures used to calculate the ratings will remain the same as the 2018 Star Ratings. </w:t>
      </w:r>
    </w:p>
    <w:p w14:paraId="0626886D" w14:textId="77777777" w:rsidR="004C5B0C" w:rsidRPr="001569FB" w:rsidRDefault="004C5B0C" w:rsidP="004C5B0C">
      <w:pPr>
        <w:kinsoku w:val="0"/>
        <w:overflowPunct w:val="0"/>
        <w:autoSpaceDE w:val="0"/>
        <w:autoSpaceDN w:val="0"/>
        <w:adjustRightInd w:val="0"/>
        <w:spacing w:before="200"/>
      </w:pPr>
      <w:r w:rsidRPr="001569FB">
        <w:t xml:space="preserve">For reference, the list of measures and a description of the methodology for the 2018 Star Ratings are included in the Technical Notes available on the CMS webpage: </w:t>
      </w:r>
      <w:hyperlink r:id="rId44" w:history="1">
        <w:r w:rsidRPr="001569FB">
          <w:rPr>
            <w:color w:val="0000FF"/>
            <w:u w:val="single"/>
          </w:rPr>
          <w:t>http</w:t>
        </w:r>
      </w:hyperlink>
      <w:hyperlink r:id="rId45" w:history="1">
        <w:r w:rsidRPr="001569FB">
          <w:rPr>
            <w:color w:val="0000FF"/>
            <w:u w:val="single"/>
          </w:rPr>
          <w:t>://go.cms.gov/partcanddstarratings</w:t>
        </w:r>
      </w:hyperlink>
      <w:r w:rsidRPr="001569FB">
        <w:rPr>
          <w:color w:val="000000"/>
          <w:u w:val="single"/>
        </w:rPr>
        <w:t>.</w:t>
      </w:r>
    </w:p>
    <w:p w14:paraId="0F4C6649" w14:textId="77777777" w:rsidR="004C5B0C" w:rsidRPr="001569FB" w:rsidRDefault="004C5B0C" w:rsidP="004C5B0C">
      <w:pPr>
        <w:kinsoku w:val="0"/>
        <w:overflowPunct w:val="0"/>
        <w:autoSpaceDE w:val="0"/>
        <w:autoSpaceDN w:val="0"/>
        <w:adjustRightInd w:val="0"/>
        <w:spacing w:before="200"/>
        <w:rPr>
          <w:b/>
          <w:bCs/>
        </w:rPr>
      </w:pPr>
      <w:bookmarkStart w:id="656" w:name="_Toc493523577"/>
      <w:r w:rsidRPr="001569FB">
        <w:t>After the 2019 Call Letter is finalized, CMS’ current Part C &amp; D Star Ratings contractor, RAND Corporation, will establish a Technical Expert Panel (TEP) in 2018 comprised of representatives across various stakeholder groups to obtain feedback on the Star Ratings framework, topic areas, methodology, and operational measures. The TEP may also provide suggestions regarding the data integrity review process and how the Star Ratings should relate to audits and enforcement actions.  RAND will analyze the suggestions from the TEP to provide feedback to CMS on potential future enhancements.</w:t>
      </w:r>
    </w:p>
    <w:p w14:paraId="00FCCA34" w14:textId="77777777" w:rsidR="004C5B0C" w:rsidRPr="001569FB" w:rsidRDefault="004C5B0C" w:rsidP="004C5B0C">
      <w:pPr>
        <w:pStyle w:val="Heading4"/>
      </w:pPr>
      <w:bookmarkStart w:id="657" w:name="_Toc495652087"/>
      <w:r w:rsidRPr="001569FB">
        <w:t>Reminders for 2019 Star Ratings</w:t>
      </w:r>
      <w:bookmarkEnd w:id="656"/>
      <w:bookmarkEnd w:id="657"/>
    </w:p>
    <w:p w14:paraId="7CE5CB88" w14:textId="77777777" w:rsidR="004C5B0C" w:rsidRPr="001569FB" w:rsidRDefault="004C5B0C" w:rsidP="004C5B0C">
      <w:pPr>
        <w:kinsoku w:val="0"/>
        <w:overflowPunct w:val="0"/>
        <w:autoSpaceDE w:val="0"/>
        <w:autoSpaceDN w:val="0"/>
        <w:adjustRightInd w:val="0"/>
        <w:spacing w:before="200"/>
      </w:pPr>
      <w:r w:rsidRPr="001569FB">
        <w:t xml:space="preserve">CMS assigns stars for each numeric measure score by applying one of two methods: clustering or relative distribution with significance testing. Each method is described in detail in the Technical Notes. Relative distribution with significance testing is applied to determine valid star cut points for Consumer Assessment of Healthcare Providers and Systems (CAHPS) measures. Clustering is applied to other Star Ratings measures. The cut points to determine star assignments for all measures and case-mix coefficients for the CAHPS survey and Health </w:t>
      </w:r>
      <w:r w:rsidRPr="001569FB">
        <w:lastRenderedPageBreak/>
        <w:t>Outcomes Survey (HOS) will be updated for 2019 Star Ratings using the most current data available.</w:t>
      </w:r>
    </w:p>
    <w:p w14:paraId="16BE2BC7" w14:textId="77777777" w:rsidR="004C5B0C" w:rsidRPr="001569FB" w:rsidRDefault="004C5B0C" w:rsidP="004C5B0C">
      <w:pPr>
        <w:kinsoku w:val="0"/>
        <w:overflowPunct w:val="0"/>
        <w:autoSpaceDE w:val="0"/>
        <w:autoSpaceDN w:val="0"/>
        <w:adjustRightInd w:val="0"/>
        <w:spacing w:before="200"/>
      </w:pPr>
      <w:r w:rsidRPr="001569FB">
        <w:t>As announced in previous years, we will review data quality across all measures, variation among organizations and sponsors, and measures’ accuracy and validity before making a final determination about inclusion of measures in the Star Ratings.</w:t>
      </w:r>
    </w:p>
    <w:p w14:paraId="443467D4" w14:textId="3176D7AE" w:rsidR="00AF04CB" w:rsidRDefault="004C5B0C" w:rsidP="00AF04CB">
      <w:pPr>
        <w:kinsoku w:val="0"/>
        <w:overflowPunct w:val="0"/>
        <w:autoSpaceDE w:val="0"/>
        <w:autoSpaceDN w:val="0"/>
        <w:adjustRightInd w:val="0"/>
        <w:spacing w:before="200"/>
      </w:pPr>
      <w:r w:rsidRPr="001569FB">
        <w:rPr>
          <w:iCs/>
        </w:rPr>
        <w:t>We provide various datasets and reports to plan sponsors throughout the year</w:t>
      </w:r>
      <w:r w:rsidRPr="001569FB">
        <w:t>. Part C and D sponsors should regularly review their underlying measure data that are the basis for the Part C and D Star Ratings and immediately alert CMS if errors or anomalies are identified so any issues can be resolved prior to the first plan preview period. For example, any necessary changes to the Independent Review Entity (IRE) data must be made by June 30 of the following year in order for the changes to be reflected in a contract’s Star Ratings data (e.g., changes to 2017 IRE data must be made by June 30, 2018 for the 2019 Star Ratings).</w:t>
      </w:r>
      <w:r w:rsidR="00AF04CB" w:rsidRPr="00AF04CB">
        <w:t xml:space="preserve"> </w:t>
      </w:r>
    </w:p>
    <w:p w14:paraId="18A22A9E" w14:textId="373CEAD4" w:rsidR="004C5B0C" w:rsidRPr="001569FB" w:rsidRDefault="00AF04CB" w:rsidP="00AF04CB">
      <w:pPr>
        <w:pStyle w:val="Heading3"/>
      </w:pPr>
      <w:r>
        <w:t xml:space="preserve">Section I </w:t>
      </w:r>
      <w:r w:rsidRPr="001569FB">
        <w:t>Star Ratings</w:t>
      </w:r>
      <w:r>
        <w:t xml:space="preserve"> – Measure Changes</w:t>
      </w:r>
    </w:p>
    <w:p w14:paraId="2049A127" w14:textId="77777777" w:rsidR="004C5B0C" w:rsidRPr="001569FB" w:rsidRDefault="004C5B0C" w:rsidP="004C5B0C">
      <w:pPr>
        <w:pStyle w:val="Heading4"/>
      </w:pPr>
      <w:bookmarkStart w:id="658" w:name="New_and_Returning_Measures_for_2018"/>
      <w:bookmarkStart w:id="659" w:name="_Toc493523578"/>
      <w:bookmarkStart w:id="660" w:name="_Toc495652088"/>
      <w:bookmarkEnd w:id="658"/>
      <w:r w:rsidRPr="001569FB">
        <w:t>New Measures for 2019 Star Ratings</w:t>
      </w:r>
      <w:bookmarkEnd w:id="659"/>
      <w:bookmarkEnd w:id="660"/>
    </w:p>
    <w:p w14:paraId="43B82005" w14:textId="77777777" w:rsidR="004C5B0C" w:rsidRPr="001569FB" w:rsidRDefault="004C5B0C" w:rsidP="00AC78D9">
      <w:pPr>
        <w:numPr>
          <w:ilvl w:val="0"/>
          <w:numId w:val="53"/>
        </w:numPr>
        <w:tabs>
          <w:tab w:val="left" w:pos="821"/>
        </w:tabs>
        <w:kinsoku w:val="0"/>
        <w:overflowPunct w:val="0"/>
        <w:autoSpaceDE w:val="0"/>
        <w:autoSpaceDN w:val="0"/>
        <w:adjustRightInd w:val="0"/>
        <w:spacing w:beforeLines="100" w:before="240"/>
        <w:ind w:left="900" w:right="122"/>
      </w:pPr>
      <w:r w:rsidRPr="001569FB">
        <w:rPr>
          <w:b/>
          <w:bCs/>
        </w:rPr>
        <w:t xml:space="preserve">Statin Use in Persons with Diabetes (SUPD) (Part D). </w:t>
      </w:r>
      <w:r w:rsidRPr="001569FB">
        <w:t>This Pharmacy Quality Alliance (PQA) measure is the percentage of patients between 40 and 75 years old who received at least two diabetes medication fills and also received a statin medication during the measurement period.  Beneficiaries in hospice according to the Medicare Enrollment Database (EDB) are excluded from the denominator of the SUPD measure for the entire year. Beneficiaries with end-stage renal disease (ESRD) at any time in the measurement year are also excluded. For the 2017 measurement year, CMS proposes to expand its data sources for identifying all Part D enrollees with ESRD for exclusion from the measures to include ICD-10-CM codes found in both Part A &amp; B claims and Risk Adjustment Processing System (RAPS) RxHCCs to use along with the EDB ESRD indicator that is currently used. We propose to add the SUPD measure to the 2019 Star Ratings (based on 2017 data) with a weight of 1 for the first year. In subsequent years, we propose a weight of 3 as an intermediate outcome measure, as prescription fills are a proxy for patients taking their prescribed medications, and adherence is necessary to reach clinical/therapeutic goals.</w:t>
      </w:r>
    </w:p>
    <w:p w14:paraId="09B14B44" w14:textId="77777777" w:rsidR="004C5B0C" w:rsidRPr="001569FB" w:rsidRDefault="004C5B0C" w:rsidP="00AC78D9">
      <w:pPr>
        <w:numPr>
          <w:ilvl w:val="0"/>
          <w:numId w:val="53"/>
        </w:numPr>
        <w:tabs>
          <w:tab w:val="left" w:pos="461"/>
        </w:tabs>
        <w:kinsoku w:val="0"/>
        <w:overflowPunct w:val="0"/>
        <w:autoSpaceDE w:val="0"/>
        <w:autoSpaceDN w:val="0"/>
        <w:adjustRightInd w:val="0"/>
        <w:spacing w:beforeLines="100" w:before="240"/>
        <w:ind w:left="900" w:right="132"/>
      </w:pPr>
      <w:bookmarkStart w:id="661" w:name="Changes_to_Measures_for_2018"/>
      <w:bookmarkStart w:id="662" w:name="_Toc493523579"/>
      <w:bookmarkStart w:id="663" w:name="_Toc495652089"/>
      <w:bookmarkEnd w:id="661"/>
      <w:r w:rsidRPr="001569FB">
        <w:rPr>
          <w:b/>
          <w:bCs/>
        </w:rPr>
        <w:t xml:space="preserve">Statin Therapy for Patients with Cardiovascular Disease (Part C). </w:t>
      </w:r>
      <w:r w:rsidRPr="001569FB">
        <w:t xml:space="preserve">This measure was developed by the National Committee for Quality Assurance (NCQA) as part of HEDIS and is currently included as a display measure. </w:t>
      </w:r>
      <w:r w:rsidRPr="001569FB">
        <w:rPr>
          <w:spacing w:val="-3"/>
        </w:rPr>
        <w:t xml:space="preserve">It </w:t>
      </w:r>
      <w:r w:rsidRPr="001569FB">
        <w:t xml:space="preserve">focuses on the percentage of males 21 to 75 years of age and females 40 to 75 years of age who were identified as having clinical atherosclerotic cardiovascular disease and were dispensed at least one high or moderate-intensity statin medication during the measurement year. NCQA allows for the exclusion of certain conditions and symptoms that may indicate statin </w:t>
      </w:r>
      <w:r w:rsidRPr="001569FB">
        <w:lastRenderedPageBreak/>
        <w:t>intolerance (e.g., myalgia, myositis, myopathy, or rhabdomyolysis). Please refer to the NCQA HEDIS 2018 Technical Specifications for Health Plans Volume 2 for measure construction and technical specifications. We propose to include this measure in the 2019 Star Ratings as a process measure with a weight of 1, as it is based on medical records review if medications were prescribed.</w:t>
      </w:r>
    </w:p>
    <w:p w14:paraId="71A1354F" w14:textId="77777777" w:rsidR="004C5B0C" w:rsidRPr="001569FB" w:rsidRDefault="004C5B0C" w:rsidP="004C5B0C">
      <w:pPr>
        <w:pStyle w:val="Heading4"/>
      </w:pPr>
      <w:r w:rsidRPr="001569FB">
        <w:t>Changes to Measures for 2019</w:t>
      </w:r>
      <w:bookmarkEnd w:id="662"/>
      <w:bookmarkEnd w:id="663"/>
    </w:p>
    <w:p w14:paraId="50870E16" w14:textId="77777777" w:rsidR="004C5B0C" w:rsidRPr="001569FB" w:rsidRDefault="004C5B0C" w:rsidP="00AC78D9">
      <w:pPr>
        <w:numPr>
          <w:ilvl w:val="0"/>
          <w:numId w:val="54"/>
        </w:numPr>
        <w:tabs>
          <w:tab w:val="left" w:pos="821"/>
        </w:tabs>
        <w:kinsoku w:val="0"/>
        <w:overflowPunct w:val="0"/>
        <w:autoSpaceDE w:val="0"/>
        <w:autoSpaceDN w:val="0"/>
        <w:adjustRightInd w:val="0"/>
        <w:spacing w:after="270"/>
        <w:ind w:left="835" w:right="346"/>
      </w:pPr>
      <w:r w:rsidRPr="001569FB">
        <w:rPr>
          <w:b/>
          <w:bCs/>
        </w:rPr>
        <w:t xml:space="preserve">Improvement measures (Part C &amp; D). </w:t>
      </w:r>
      <w:r w:rsidRPr="001569FB">
        <w:rPr>
          <w:bCs/>
        </w:rPr>
        <w:t xml:space="preserve">The measures proposed to calculate the 2019 </w:t>
      </w:r>
      <w:r w:rsidRPr="001569FB">
        <w:t>improvement measures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7A0" w:firstRow="1" w:lastRow="0" w:firstColumn="1" w:lastColumn="1" w:noHBand="1" w:noVBand="1"/>
      </w:tblPr>
      <w:tblGrid>
        <w:gridCol w:w="667"/>
        <w:gridCol w:w="3759"/>
        <w:gridCol w:w="3178"/>
        <w:gridCol w:w="626"/>
        <w:gridCol w:w="1120"/>
      </w:tblGrid>
      <w:tr w:rsidR="004C5B0C" w:rsidRPr="001569FB" w14:paraId="4FD4B9A5" w14:textId="77777777" w:rsidTr="004C5B0C">
        <w:trPr>
          <w:tblHeader/>
        </w:trPr>
        <w:tc>
          <w:tcPr>
            <w:tcW w:w="667" w:type="dxa"/>
            <w:tcBorders>
              <w:bottom w:val="single" w:sz="4" w:space="0" w:color="auto"/>
            </w:tcBorders>
            <w:shd w:val="clear" w:color="000000" w:fill="C0C0C0"/>
            <w:vAlign w:val="center"/>
            <w:hideMark/>
          </w:tcPr>
          <w:p w14:paraId="68343B88"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Part C or D</w:t>
            </w:r>
          </w:p>
        </w:tc>
        <w:tc>
          <w:tcPr>
            <w:tcW w:w="3759" w:type="dxa"/>
            <w:tcBorders>
              <w:bottom w:val="single" w:sz="4" w:space="0" w:color="auto"/>
            </w:tcBorders>
            <w:shd w:val="clear" w:color="000000" w:fill="C0C0C0"/>
            <w:vAlign w:val="center"/>
            <w:hideMark/>
          </w:tcPr>
          <w:p w14:paraId="36DCAC92"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w:t>
            </w:r>
          </w:p>
        </w:tc>
        <w:tc>
          <w:tcPr>
            <w:tcW w:w="3178" w:type="dxa"/>
            <w:tcBorders>
              <w:bottom w:val="single" w:sz="4" w:space="0" w:color="auto"/>
            </w:tcBorders>
            <w:shd w:val="clear" w:color="000000" w:fill="C0C0C0"/>
            <w:vAlign w:val="center"/>
            <w:hideMark/>
          </w:tcPr>
          <w:p w14:paraId="4AD5208D"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 Type</w:t>
            </w:r>
          </w:p>
        </w:tc>
        <w:tc>
          <w:tcPr>
            <w:tcW w:w="626" w:type="dxa"/>
            <w:tcBorders>
              <w:bottom w:val="single" w:sz="4" w:space="0" w:color="auto"/>
            </w:tcBorders>
            <w:shd w:val="clear" w:color="000000" w:fill="C0C0C0"/>
            <w:vAlign w:val="center"/>
            <w:hideMark/>
          </w:tcPr>
          <w:p w14:paraId="6D4E8DF2"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Weight</w:t>
            </w:r>
          </w:p>
        </w:tc>
        <w:tc>
          <w:tcPr>
            <w:tcW w:w="1120" w:type="dxa"/>
            <w:tcBorders>
              <w:bottom w:val="single" w:sz="4" w:space="0" w:color="auto"/>
            </w:tcBorders>
            <w:shd w:val="clear" w:color="000000" w:fill="C0C0C0"/>
            <w:vAlign w:val="center"/>
            <w:hideMark/>
          </w:tcPr>
          <w:p w14:paraId="79A87D1D"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Improvement Measure</w:t>
            </w:r>
          </w:p>
        </w:tc>
      </w:tr>
      <w:tr w:rsidR="004C5B0C" w:rsidRPr="001569FB" w14:paraId="73D9B600" w14:textId="77777777" w:rsidTr="004C5B0C">
        <w:tc>
          <w:tcPr>
            <w:tcW w:w="667" w:type="dxa"/>
            <w:shd w:val="clear" w:color="auto" w:fill="auto"/>
            <w:hideMark/>
          </w:tcPr>
          <w:p w14:paraId="2EE2CF6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E3A66F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Breast Cancer Screening</w:t>
            </w:r>
          </w:p>
        </w:tc>
        <w:tc>
          <w:tcPr>
            <w:tcW w:w="3178" w:type="dxa"/>
            <w:shd w:val="clear" w:color="auto" w:fill="auto"/>
            <w:hideMark/>
          </w:tcPr>
          <w:p w14:paraId="318C404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C8AF95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A8CBA7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C9D8F80" w14:textId="77777777" w:rsidTr="004C5B0C">
        <w:tc>
          <w:tcPr>
            <w:tcW w:w="667" w:type="dxa"/>
            <w:shd w:val="clear" w:color="auto" w:fill="auto"/>
            <w:hideMark/>
          </w:tcPr>
          <w:p w14:paraId="0228113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62A391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Colorectal Cancer Screening</w:t>
            </w:r>
          </w:p>
        </w:tc>
        <w:tc>
          <w:tcPr>
            <w:tcW w:w="3178" w:type="dxa"/>
            <w:shd w:val="clear" w:color="auto" w:fill="auto"/>
            <w:hideMark/>
          </w:tcPr>
          <w:p w14:paraId="2CDCD85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F652A5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715710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DCA067F" w14:textId="77777777" w:rsidTr="004C5B0C">
        <w:tc>
          <w:tcPr>
            <w:tcW w:w="667" w:type="dxa"/>
            <w:shd w:val="clear" w:color="auto" w:fill="auto"/>
            <w:hideMark/>
          </w:tcPr>
          <w:p w14:paraId="739714A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6009EA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Annual Flu Vaccine</w:t>
            </w:r>
          </w:p>
        </w:tc>
        <w:tc>
          <w:tcPr>
            <w:tcW w:w="3178" w:type="dxa"/>
            <w:shd w:val="clear" w:color="auto" w:fill="auto"/>
            <w:hideMark/>
          </w:tcPr>
          <w:p w14:paraId="60D2CE2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23C4A9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E06968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D562EA5" w14:textId="77777777" w:rsidTr="004C5B0C">
        <w:tc>
          <w:tcPr>
            <w:tcW w:w="667" w:type="dxa"/>
            <w:shd w:val="clear" w:color="auto" w:fill="auto"/>
            <w:hideMark/>
          </w:tcPr>
          <w:p w14:paraId="5A68123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58FF79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or Maintaining Physical Health</w:t>
            </w:r>
          </w:p>
        </w:tc>
        <w:tc>
          <w:tcPr>
            <w:tcW w:w="3178" w:type="dxa"/>
            <w:shd w:val="clear" w:color="auto" w:fill="auto"/>
            <w:hideMark/>
          </w:tcPr>
          <w:p w14:paraId="5F1B12E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2CB04191"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00D02CE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5BED1FA9" w14:textId="77777777" w:rsidTr="004C5B0C">
        <w:tc>
          <w:tcPr>
            <w:tcW w:w="667" w:type="dxa"/>
            <w:shd w:val="clear" w:color="auto" w:fill="auto"/>
            <w:hideMark/>
          </w:tcPr>
          <w:p w14:paraId="7E483C4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43DF21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or Maintaining Mental Health</w:t>
            </w:r>
          </w:p>
        </w:tc>
        <w:tc>
          <w:tcPr>
            <w:tcW w:w="3178" w:type="dxa"/>
            <w:shd w:val="clear" w:color="auto" w:fill="auto"/>
            <w:hideMark/>
          </w:tcPr>
          <w:p w14:paraId="477C7A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0D82B12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9D2ED7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5D5752B9" w14:textId="77777777" w:rsidTr="004C5B0C">
        <w:tc>
          <w:tcPr>
            <w:tcW w:w="667" w:type="dxa"/>
            <w:shd w:val="clear" w:color="auto" w:fill="auto"/>
            <w:hideMark/>
          </w:tcPr>
          <w:p w14:paraId="32E4750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16A773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Monitoring Physical Activity</w:t>
            </w:r>
          </w:p>
        </w:tc>
        <w:tc>
          <w:tcPr>
            <w:tcW w:w="3178" w:type="dxa"/>
            <w:shd w:val="clear" w:color="auto" w:fill="auto"/>
            <w:hideMark/>
          </w:tcPr>
          <w:p w14:paraId="6C6B70F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0DA59B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03B1F6D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50194BC" w14:textId="77777777" w:rsidTr="004C5B0C">
        <w:tc>
          <w:tcPr>
            <w:tcW w:w="667" w:type="dxa"/>
            <w:shd w:val="clear" w:color="auto" w:fill="auto"/>
            <w:hideMark/>
          </w:tcPr>
          <w:p w14:paraId="7A0D5B0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D69CA8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Adult BMI Assessment</w:t>
            </w:r>
          </w:p>
        </w:tc>
        <w:tc>
          <w:tcPr>
            <w:tcW w:w="3178" w:type="dxa"/>
            <w:shd w:val="clear" w:color="auto" w:fill="auto"/>
            <w:hideMark/>
          </w:tcPr>
          <w:p w14:paraId="0E8B4C5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0FBD74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87FAC4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6B5A8AA" w14:textId="77777777" w:rsidTr="004C5B0C">
        <w:tc>
          <w:tcPr>
            <w:tcW w:w="667" w:type="dxa"/>
            <w:shd w:val="clear" w:color="auto" w:fill="auto"/>
            <w:hideMark/>
          </w:tcPr>
          <w:p w14:paraId="68B3C1D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31F60B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Special Needs Plan (SNP) Care Management</w:t>
            </w:r>
          </w:p>
        </w:tc>
        <w:tc>
          <w:tcPr>
            <w:tcW w:w="3178" w:type="dxa"/>
            <w:shd w:val="clear" w:color="auto" w:fill="auto"/>
            <w:hideMark/>
          </w:tcPr>
          <w:p w14:paraId="75CF2F7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85DBFC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F93086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8C77E43" w14:textId="77777777" w:rsidTr="004C5B0C">
        <w:tc>
          <w:tcPr>
            <w:tcW w:w="667" w:type="dxa"/>
            <w:shd w:val="clear" w:color="auto" w:fill="auto"/>
            <w:hideMark/>
          </w:tcPr>
          <w:p w14:paraId="72144E6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010E5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Medication Review</w:t>
            </w:r>
          </w:p>
        </w:tc>
        <w:tc>
          <w:tcPr>
            <w:tcW w:w="3178" w:type="dxa"/>
            <w:shd w:val="clear" w:color="auto" w:fill="auto"/>
            <w:hideMark/>
          </w:tcPr>
          <w:p w14:paraId="732EA06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5ECC29A4"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966689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569A629" w14:textId="77777777" w:rsidTr="004C5B0C">
        <w:tc>
          <w:tcPr>
            <w:tcW w:w="667" w:type="dxa"/>
            <w:shd w:val="clear" w:color="auto" w:fill="auto"/>
            <w:hideMark/>
          </w:tcPr>
          <w:p w14:paraId="2843B18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7FE2BB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Functional Status Assessment</w:t>
            </w:r>
          </w:p>
        </w:tc>
        <w:tc>
          <w:tcPr>
            <w:tcW w:w="3178" w:type="dxa"/>
            <w:shd w:val="clear" w:color="auto" w:fill="auto"/>
            <w:hideMark/>
          </w:tcPr>
          <w:p w14:paraId="7CDFAA4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B94325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F5D329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7FA76BF" w14:textId="77777777" w:rsidTr="004C5B0C">
        <w:tc>
          <w:tcPr>
            <w:tcW w:w="667" w:type="dxa"/>
            <w:shd w:val="clear" w:color="auto" w:fill="auto"/>
            <w:hideMark/>
          </w:tcPr>
          <w:p w14:paraId="211869C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09FE7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Pain Assessment</w:t>
            </w:r>
          </w:p>
        </w:tc>
        <w:tc>
          <w:tcPr>
            <w:tcW w:w="3178" w:type="dxa"/>
            <w:shd w:val="clear" w:color="auto" w:fill="auto"/>
            <w:hideMark/>
          </w:tcPr>
          <w:p w14:paraId="518C160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63729F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0D51035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1A0D34FF" w14:textId="77777777" w:rsidTr="004C5B0C">
        <w:tc>
          <w:tcPr>
            <w:tcW w:w="667" w:type="dxa"/>
            <w:shd w:val="clear" w:color="auto" w:fill="auto"/>
            <w:hideMark/>
          </w:tcPr>
          <w:p w14:paraId="5EAA828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E5E931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Osteoporosis Management in Women who had a Fracture</w:t>
            </w:r>
          </w:p>
        </w:tc>
        <w:tc>
          <w:tcPr>
            <w:tcW w:w="3178" w:type="dxa"/>
            <w:shd w:val="clear" w:color="auto" w:fill="auto"/>
            <w:hideMark/>
          </w:tcPr>
          <w:p w14:paraId="1D3CD01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107BED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1306E8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2E88F1F" w14:textId="77777777" w:rsidTr="004C5B0C">
        <w:tc>
          <w:tcPr>
            <w:tcW w:w="667" w:type="dxa"/>
            <w:shd w:val="clear" w:color="auto" w:fill="auto"/>
            <w:hideMark/>
          </w:tcPr>
          <w:p w14:paraId="07B6C91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A4D68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Eye Exam</w:t>
            </w:r>
          </w:p>
        </w:tc>
        <w:tc>
          <w:tcPr>
            <w:tcW w:w="3178" w:type="dxa"/>
            <w:shd w:val="clear" w:color="auto" w:fill="auto"/>
            <w:hideMark/>
          </w:tcPr>
          <w:p w14:paraId="56BD13F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EB3EC9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787E1A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310A661" w14:textId="77777777" w:rsidTr="004C5B0C">
        <w:tc>
          <w:tcPr>
            <w:tcW w:w="667" w:type="dxa"/>
            <w:shd w:val="clear" w:color="auto" w:fill="auto"/>
            <w:hideMark/>
          </w:tcPr>
          <w:p w14:paraId="6EC76EB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3EFC6E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Kidney Disease Monitoring</w:t>
            </w:r>
          </w:p>
        </w:tc>
        <w:tc>
          <w:tcPr>
            <w:tcW w:w="3178" w:type="dxa"/>
            <w:shd w:val="clear" w:color="auto" w:fill="auto"/>
            <w:hideMark/>
          </w:tcPr>
          <w:p w14:paraId="50AFB84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03D8CE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4545A1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3FD4458" w14:textId="77777777" w:rsidTr="004C5B0C">
        <w:tc>
          <w:tcPr>
            <w:tcW w:w="667" w:type="dxa"/>
            <w:shd w:val="clear" w:color="auto" w:fill="auto"/>
            <w:hideMark/>
          </w:tcPr>
          <w:p w14:paraId="70CBBBC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2F02B7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Blood Sugar Controlled</w:t>
            </w:r>
          </w:p>
        </w:tc>
        <w:tc>
          <w:tcPr>
            <w:tcW w:w="3178" w:type="dxa"/>
            <w:shd w:val="clear" w:color="auto" w:fill="auto"/>
            <w:hideMark/>
          </w:tcPr>
          <w:p w14:paraId="62BF800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679EFDD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597DA3A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B86A016" w14:textId="77777777" w:rsidTr="004C5B0C">
        <w:tc>
          <w:tcPr>
            <w:tcW w:w="667" w:type="dxa"/>
            <w:shd w:val="clear" w:color="auto" w:fill="auto"/>
            <w:hideMark/>
          </w:tcPr>
          <w:p w14:paraId="6633C0A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A72BAF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Controlling Blood Pressure</w:t>
            </w:r>
          </w:p>
        </w:tc>
        <w:tc>
          <w:tcPr>
            <w:tcW w:w="3178" w:type="dxa"/>
            <w:shd w:val="clear" w:color="auto" w:fill="auto"/>
            <w:hideMark/>
          </w:tcPr>
          <w:p w14:paraId="4E7B1F3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646A905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73085B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1D004154" w14:textId="77777777" w:rsidTr="004C5B0C">
        <w:tc>
          <w:tcPr>
            <w:tcW w:w="667" w:type="dxa"/>
            <w:shd w:val="clear" w:color="auto" w:fill="auto"/>
            <w:hideMark/>
          </w:tcPr>
          <w:p w14:paraId="06B8475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6954B7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Rheumatoid Arthritis Management</w:t>
            </w:r>
          </w:p>
        </w:tc>
        <w:tc>
          <w:tcPr>
            <w:tcW w:w="3178" w:type="dxa"/>
            <w:shd w:val="clear" w:color="auto" w:fill="auto"/>
            <w:hideMark/>
          </w:tcPr>
          <w:p w14:paraId="087CE7E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3ADA44D1"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28ED7F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E57C48E" w14:textId="77777777" w:rsidTr="004C5B0C">
        <w:tc>
          <w:tcPr>
            <w:tcW w:w="667" w:type="dxa"/>
            <w:shd w:val="clear" w:color="auto" w:fill="auto"/>
            <w:hideMark/>
          </w:tcPr>
          <w:p w14:paraId="2DD6ED2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954255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Bladder Control</w:t>
            </w:r>
          </w:p>
        </w:tc>
        <w:tc>
          <w:tcPr>
            <w:tcW w:w="3178" w:type="dxa"/>
            <w:shd w:val="clear" w:color="auto" w:fill="auto"/>
            <w:hideMark/>
          </w:tcPr>
          <w:p w14:paraId="1C295B5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9A1DF2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1FC125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EEB5C1B" w14:textId="77777777" w:rsidTr="004C5B0C">
        <w:tc>
          <w:tcPr>
            <w:tcW w:w="667" w:type="dxa"/>
            <w:shd w:val="clear" w:color="auto" w:fill="auto"/>
            <w:hideMark/>
          </w:tcPr>
          <w:p w14:paraId="181C639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4254FD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Reconciliation Post-Discharge</w:t>
            </w:r>
          </w:p>
        </w:tc>
        <w:tc>
          <w:tcPr>
            <w:tcW w:w="3178" w:type="dxa"/>
            <w:shd w:val="clear" w:color="auto" w:fill="auto"/>
            <w:hideMark/>
          </w:tcPr>
          <w:p w14:paraId="767445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5A6450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36B3E88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0168FD" w14:textId="77777777" w:rsidTr="004C5B0C">
        <w:tc>
          <w:tcPr>
            <w:tcW w:w="667" w:type="dxa"/>
            <w:shd w:val="clear" w:color="auto" w:fill="auto"/>
            <w:hideMark/>
          </w:tcPr>
          <w:p w14:paraId="163936F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BFECD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Plan All-Cause Readmissions</w:t>
            </w:r>
          </w:p>
        </w:tc>
        <w:tc>
          <w:tcPr>
            <w:tcW w:w="3178" w:type="dxa"/>
            <w:shd w:val="clear" w:color="auto" w:fill="auto"/>
            <w:hideMark/>
          </w:tcPr>
          <w:p w14:paraId="690BF52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0AC7FBA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350E41D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0F3A4F8" w14:textId="77777777" w:rsidTr="004C5B0C">
        <w:tc>
          <w:tcPr>
            <w:tcW w:w="667" w:type="dxa"/>
            <w:shd w:val="clear" w:color="auto" w:fill="auto"/>
            <w:hideMark/>
          </w:tcPr>
          <w:p w14:paraId="7425AA7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409A17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Needed Care</w:t>
            </w:r>
          </w:p>
        </w:tc>
        <w:tc>
          <w:tcPr>
            <w:tcW w:w="3178" w:type="dxa"/>
            <w:shd w:val="clear" w:color="auto" w:fill="auto"/>
            <w:hideMark/>
          </w:tcPr>
          <w:p w14:paraId="60847DB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55D8B33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5614DD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BC1AD79" w14:textId="77777777" w:rsidTr="004C5B0C">
        <w:tc>
          <w:tcPr>
            <w:tcW w:w="667" w:type="dxa"/>
            <w:shd w:val="clear" w:color="auto" w:fill="auto"/>
            <w:hideMark/>
          </w:tcPr>
          <w:p w14:paraId="0E0C87C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1C0996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Appointments and Care Quickly</w:t>
            </w:r>
          </w:p>
        </w:tc>
        <w:tc>
          <w:tcPr>
            <w:tcW w:w="3178" w:type="dxa"/>
            <w:shd w:val="clear" w:color="auto" w:fill="auto"/>
            <w:hideMark/>
          </w:tcPr>
          <w:p w14:paraId="24CAF22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18B83F7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6F67CA1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7C0366B" w14:textId="77777777" w:rsidTr="004C5B0C">
        <w:tc>
          <w:tcPr>
            <w:tcW w:w="667" w:type="dxa"/>
            <w:shd w:val="clear" w:color="auto" w:fill="auto"/>
            <w:hideMark/>
          </w:tcPr>
          <w:p w14:paraId="5028ED5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D273D7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Customer Service</w:t>
            </w:r>
          </w:p>
        </w:tc>
        <w:tc>
          <w:tcPr>
            <w:tcW w:w="3178" w:type="dxa"/>
            <w:shd w:val="clear" w:color="auto" w:fill="auto"/>
            <w:hideMark/>
          </w:tcPr>
          <w:p w14:paraId="756CC90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6969EFF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0285E8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BDD45D3" w14:textId="77777777" w:rsidTr="004C5B0C">
        <w:tc>
          <w:tcPr>
            <w:tcW w:w="667" w:type="dxa"/>
            <w:shd w:val="clear" w:color="auto" w:fill="auto"/>
            <w:hideMark/>
          </w:tcPr>
          <w:p w14:paraId="33F46FA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36B354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Health Care Quality</w:t>
            </w:r>
          </w:p>
        </w:tc>
        <w:tc>
          <w:tcPr>
            <w:tcW w:w="3178" w:type="dxa"/>
            <w:shd w:val="clear" w:color="auto" w:fill="auto"/>
            <w:hideMark/>
          </w:tcPr>
          <w:p w14:paraId="02E7AAB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0C8C80E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053ACD2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57DE15B6" w14:textId="77777777" w:rsidTr="004C5B0C">
        <w:tc>
          <w:tcPr>
            <w:tcW w:w="667" w:type="dxa"/>
            <w:shd w:val="clear" w:color="auto" w:fill="auto"/>
            <w:hideMark/>
          </w:tcPr>
          <w:p w14:paraId="32CC731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869131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Health Plan</w:t>
            </w:r>
          </w:p>
        </w:tc>
        <w:tc>
          <w:tcPr>
            <w:tcW w:w="3178" w:type="dxa"/>
            <w:shd w:val="clear" w:color="auto" w:fill="auto"/>
            <w:hideMark/>
          </w:tcPr>
          <w:p w14:paraId="220D9D3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7F5419BE"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86C900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099504AE" w14:textId="77777777" w:rsidTr="004C5B0C">
        <w:tc>
          <w:tcPr>
            <w:tcW w:w="667" w:type="dxa"/>
            <w:shd w:val="clear" w:color="auto" w:fill="auto"/>
            <w:hideMark/>
          </w:tcPr>
          <w:p w14:paraId="7DF3D7A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EA5417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Coordination</w:t>
            </w:r>
          </w:p>
        </w:tc>
        <w:tc>
          <w:tcPr>
            <w:tcW w:w="3178" w:type="dxa"/>
            <w:shd w:val="clear" w:color="auto" w:fill="auto"/>
            <w:hideMark/>
          </w:tcPr>
          <w:p w14:paraId="74CE432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7F435B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EBCBC6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56D615E" w14:textId="77777777" w:rsidTr="004C5B0C">
        <w:tc>
          <w:tcPr>
            <w:tcW w:w="667" w:type="dxa"/>
            <w:shd w:val="clear" w:color="auto" w:fill="auto"/>
            <w:hideMark/>
          </w:tcPr>
          <w:p w14:paraId="34E1365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EEE8B1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Complaints about the Health Plan</w:t>
            </w:r>
          </w:p>
        </w:tc>
        <w:tc>
          <w:tcPr>
            <w:tcW w:w="3178" w:type="dxa"/>
            <w:shd w:val="clear" w:color="auto" w:fill="auto"/>
            <w:hideMark/>
          </w:tcPr>
          <w:p w14:paraId="605B936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3432B54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8613CF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BE57263" w14:textId="77777777" w:rsidTr="004C5B0C">
        <w:tc>
          <w:tcPr>
            <w:tcW w:w="667" w:type="dxa"/>
            <w:shd w:val="clear" w:color="auto" w:fill="auto"/>
            <w:hideMark/>
          </w:tcPr>
          <w:p w14:paraId="303D3A7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7F9204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6B591CD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54B4290A"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E9742A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D3E1EA" w14:textId="77777777" w:rsidTr="004C5B0C">
        <w:tc>
          <w:tcPr>
            <w:tcW w:w="667" w:type="dxa"/>
            <w:shd w:val="clear" w:color="auto" w:fill="auto"/>
            <w:hideMark/>
          </w:tcPr>
          <w:p w14:paraId="1C6218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A5C875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Health Plan Quality Improvement</w:t>
            </w:r>
          </w:p>
        </w:tc>
        <w:tc>
          <w:tcPr>
            <w:tcW w:w="3178" w:type="dxa"/>
            <w:shd w:val="clear" w:color="auto" w:fill="auto"/>
            <w:hideMark/>
          </w:tcPr>
          <w:p w14:paraId="4AC01B2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46DE49DC"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58C45A9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4CC2FB6D" w14:textId="77777777" w:rsidTr="004C5B0C">
        <w:tc>
          <w:tcPr>
            <w:tcW w:w="667" w:type="dxa"/>
            <w:shd w:val="clear" w:color="auto" w:fill="auto"/>
            <w:hideMark/>
          </w:tcPr>
          <w:p w14:paraId="7E8EBB6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lastRenderedPageBreak/>
              <w:t>C</w:t>
            </w:r>
          </w:p>
        </w:tc>
        <w:tc>
          <w:tcPr>
            <w:tcW w:w="3759" w:type="dxa"/>
            <w:shd w:val="clear" w:color="auto" w:fill="auto"/>
            <w:hideMark/>
          </w:tcPr>
          <w:p w14:paraId="44B83FC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Plan Makes Timely Decisions about Appeals</w:t>
            </w:r>
          </w:p>
        </w:tc>
        <w:tc>
          <w:tcPr>
            <w:tcW w:w="3178" w:type="dxa"/>
            <w:shd w:val="clear" w:color="auto" w:fill="auto"/>
            <w:hideMark/>
          </w:tcPr>
          <w:p w14:paraId="6B7280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22C3AFA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4835A33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08D2EED9" w14:textId="77777777" w:rsidTr="004C5B0C">
        <w:tc>
          <w:tcPr>
            <w:tcW w:w="667" w:type="dxa"/>
            <w:shd w:val="clear" w:color="auto" w:fill="auto"/>
            <w:hideMark/>
          </w:tcPr>
          <w:p w14:paraId="6F344FE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4EA197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Reviewing Appeals Decisions</w:t>
            </w:r>
          </w:p>
        </w:tc>
        <w:tc>
          <w:tcPr>
            <w:tcW w:w="3178" w:type="dxa"/>
            <w:shd w:val="clear" w:color="auto" w:fill="auto"/>
            <w:hideMark/>
          </w:tcPr>
          <w:p w14:paraId="63DF24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0275CC74"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C31428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26E9311" w14:textId="77777777" w:rsidTr="004C5B0C">
        <w:tc>
          <w:tcPr>
            <w:tcW w:w="667" w:type="dxa"/>
            <w:shd w:val="clear" w:color="auto" w:fill="auto"/>
            <w:hideMark/>
          </w:tcPr>
          <w:p w14:paraId="1F21BA4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BF4C9A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28E9EA6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30D27BA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5DEE11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429AA55" w14:textId="77777777" w:rsidTr="004C5B0C">
        <w:tc>
          <w:tcPr>
            <w:tcW w:w="667" w:type="dxa"/>
            <w:shd w:val="clear" w:color="auto" w:fill="auto"/>
            <w:hideMark/>
          </w:tcPr>
          <w:p w14:paraId="070CA6E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B6AC5F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Statin Therapy for Patients with Cardiovascular Disease</w:t>
            </w:r>
          </w:p>
        </w:tc>
        <w:tc>
          <w:tcPr>
            <w:tcW w:w="3178" w:type="dxa"/>
            <w:shd w:val="clear" w:color="auto" w:fill="auto"/>
            <w:hideMark/>
          </w:tcPr>
          <w:p w14:paraId="1A38EEAB"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528E57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CF8142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2AFC7250" w14:textId="77777777" w:rsidTr="004C5B0C">
        <w:tc>
          <w:tcPr>
            <w:tcW w:w="667" w:type="dxa"/>
            <w:shd w:val="clear" w:color="auto" w:fill="auto"/>
            <w:hideMark/>
          </w:tcPr>
          <w:p w14:paraId="3D783F0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91668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7BC22CD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633F41A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0CC6356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90BC70C" w14:textId="77777777" w:rsidTr="004C5B0C">
        <w:tc>
          <w:tcPr>
            <w:tcW w:w="667" w:type="dxa"/>
            <w:shd w:val="clear" w:color="auto" w:fill="auto"/>
            <w:hideMark/>
          </w:tcPr>
          <w:p w14:paraId="31BA272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D7BDC1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Appeals Auto–Forward</w:t>
            </w:r>
          </w:p>
        </w:tc>
        <w:tc>
          <w:tcPr>
            <w:tcW w:w="3178" w:type="dxa"/>
            <w:shd w:val="clear" w:color="auto" w:fill="auto"/>
            <w:hideMark/>
          </w:tcPr>
          <w:p w14:paraId="23B6C2D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355E325C"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9BED55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E1E944D" w14:textId="77777777" w:rsidTr="004C5B0C">
        <w:tc>
          <w:tcPr>
            <w:tcW w:w="667" w:type="dxa"/>
            <w:shd w:val="clear" w:color="auto" w:fill="auto"/>
            <w:hideMark/>
          </w:tcPr>
          <w:p w14:paraId="43DFD9D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DB42B8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Appeals Upheld</w:t>
            </w:r>
          </w:p>
        </w:tc>
        <w:tc>
          <w:tcPr>
            <w:tcW w:w="3178" w:type="dxa"/>
            <w:shd w:val="clear" w:color="auto" w:fill="auto"/>
            <w:hideMark/>
          </w:tcPr>
          <w:p w14:paraId="03F7870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4A040A6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810231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0761388" w14:textId="77777777" w:rsidTr="004C5B0C">
        <w:tc>
          <w:tcPr>
            <w:tcW w:w="667" w:type="dxa"/>
            <w:shd w:val="clear" w:color="auto" w:fill="auto"/>
            <w:hideMark/>
          </w:tcPr>
          <w:p w14:paraId="362C263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56C3CAF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Complaints about the Drug Plan</w:t>
            </w:r>
          </w:p>
        </w:tc>
        <w:tc>
          <w:tcPr>
            <w:tcW w:w="3178" w:type="dxa"/>
            <w:shd w:val="clear" w:color="auto" w:fill="auto"/>
            <w:hideMark/>
          </w:tcPr>
          <w:p w14:paraId="304DAF7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F51EE6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533D4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73C58B" w14:textId="77777777" w:rsidTr="004C5B0C">
        <w:tc>
          <w:tcPr>
            <w:tcW w:w="667" w:type="dxa"/>
            <w:shd w:val="clear" w:color="auto" w:fill="auto"/>
            <w:hideMark/>
          </w:tcPr>
          <w:p w14:paraId="2CD8286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B9251F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375EDE6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D85CF8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177794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7B46D91" w14:textId="77777777" w:rsidTr="004C5B0C">
        <w:tc>
          <w:tcPr>
            <w:tcW w:w="667" w:type="dxa"/>
            <w:shd w:val="clear" w:color="auto" w:fill="auto"/>
            <w:hideMark/>
          </w:tcPr>
          <w:p w14:paraId="176E6D4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262A8A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Drug Plan Quality Improvement</w:t>
            </w:r>
          </w:p>
        </w:tc>
        <w:tc>
          <w:tcPr>
            <w:tcW w:w="3178" w:type="dxa"/>
            <w:shd w:val="clear" w:color="auto" w:fill="auto"/>
            <w:hideMark/>
          </w:tcPr>
          <w:p w14:paraId="1DEC546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0E6DB49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21B56A1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4B93BD8D" w14:textId="77777777" w:rsidTr="004C5B0C">
        <w:tc>
          <w:tcPr>
            <w:tcW w:w="667" w:type="dxa"/>
            <w:shd w:val="clear" w:color="auto" w:fill="auto"/>
            <w:hideMark/>
          </w:tcPr>
          <w:p w14:paraId="6FDC32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D94299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Drug Plan</w:t>
            </w:r>
          </w:p>
        </w:tc>
        <w:tc>
          <w:tcPr>
            <w:tcW w:w="3178" w:type="dxa"/>
            <w:shd w:val="clear" w:color="auto" w:fill="auto"/>
            <w:hideMark/>
          </w:tcPr>
          <w:p w14:paraId="680BB1D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3B32D7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BE3572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B234F87" w14:textId="77777777" w:rsidTr="004C5B0C">
        <w:tc>
          <w:tcPr>
            <w:tcW w:w="667" w:type="dxa"/>
            <w:shd w:val="clear" w:color="auto" w:fill="auto"/>
            <w:hideMark/>
          </w:tcPr>
          <w:p w14:paraId="7DDB952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BF5C53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Needed Prescription Drugs</w:t>
            </w:r>
          </w:p>
        </w:tc>
        <w:tc>
          <w:tcPr>
            <w:tcW w:w="3178" w:type="dxa"/>
            <w:shd w:val="clear" w:color="auto" w:fill="auto"/>
            <w:hideMark/>
          </w:tcPr>
          <w:p w14:paraId="4E9BDD4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C84778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0E98F1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5B4EE19" w14:textId="77777777" w:rsidTr="004C5B0C">
        <w:tc>
          <w:tcPr>
            <w:tcW w:w="667" w:type="dxa"/>
            <w:shd w:val="clear" w:color="auto" w:fill="auto"/>
            <w:hideMark/>
          </w:tcPr>
          <w:p w14:paraId="44AED6A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26D414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MPF Price Accuracy</w:t>
            </w:r>
          </w:p>
        </w:tc>
        <w:tc>
          <w:tcPr>
            <w:tcW w:w="3178" w:type="dxa"/>
            <w:shd w:val="clear" w:color="auto" w:fill="auto"/>
            <w:hideMark/>
          </w:tcPr>
          <w:p w14:paraId="346ED3C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ABF6AF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3C773EE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7A868FE8" w14:textId="77777777" w:rsidTr="004C5B0C">
        <w:tc>
          <w:tcPr>
            <w:tcW w:w="667" w:type="dxa"/>
            <w:shd w:val="clear" w:color="auto" w:fill="auto"/>
            <w:hideMark/>
          </w:tcPr>
          <w:p w14:paraId="491F082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689910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Diabetes Medications</w:t>
            </w:r>
          </w:p>
        </w:tc>
        <w:tc>
          <w:tcPr>
            <w:tcW w:w="3178" w:type="dxa"/>
            <w:shd w:val="clear" w:color="auto" w:fill="auto"/>
            <w:hideMark/>
          </w:tcPr>
          <w:p w14:paraId="268E460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3B20B3F6"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70A4BA2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6F88047" w14:textId="77777777" w:rsidTr="004C5B0C">
        <w:tc>
          <w:tcPr>
            <w:tcW w:w="667" w:type="dxa"/>
            <w:shd w:val="clear" w:color="auto" w:fill="auto"/>
            <w:hideMark/>
          </w:tcPr>
          <w:p w14:paraId="174BAF6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D946FC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Hypertension (RAS antagonists)</w:t>
            </w:r>
          </w:p>
        </w:tc>
        <w:tc>
          <w:tcPr>
            <w:tcW w:w="3178" w:type="dxa"/>
            <w:shd w:val="clear" w:color="auto" w:fill="auto"/>
            <w:hideMark/>
          </w:tcPr>
          <w:p w14:paraId="52905CE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0749450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20E9734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9D12738" w14:textId="77777777" w:rsidTr="004C5B0C">
        <w:tc>
          <w:tcPr>
            <w:tcW w:w="667" w:type="dxa"/>
            <w:shd w:val="clear" w:color="auto" w:fill="auto"/>
            <w:hideMark/>
          </w:tcPr>
          <w:p w14:paraId="765DE59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B3D4B0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Cholesterol (Statins)</w:t>
            </w:r>
          </w:p>
        </w:tc>
        <w:tc>
          <w:tcPr>
            <w:tcW w:w="3178" w:type="dxa"/>
            <w:shd w:val="clear" w:color="auto" w:fill="auto"/>
            <w:hideMark/>
          </w:tcPr>
          <w:p w14:paraId="4974843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16020E8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7F4EA6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BFC614A" w14:textId="77777777" w:rsidTr="004C5B0C">
        <w:tc>
          <w:tcPr>
            <w:tcW w:w="667" w:type="dxa"/>
            <w:shd w:val="clear" w:color="auto" w:fill="auto"/>
            <w:hideMark/>
          </w:tcPr>
          <w:p w14:paraId="27DA52D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DA9684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MTM Program Completion Rate for CMR</w:t>
            </w:r>
          </w:p>
        </w:tc>
        <w:tc>
          <w:tcPr>
            <w:tcW w:w="3178" w:type="dxa"/>
            <w:shd w:val="clear" w:color="auto" w:fill="auto"/>
            <w:hideMark/>
          </w:tcPr>
          <w:p w14:paraId="6712925B"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E85A52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781E42F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4CD9460" w14:textId="77777777" w:rsidTr="004C5B0C">
        <w:tc>
          <w:tcPr>
            <w:tcW w:w="667" w:type="dxa"/>
            <w:shd w:val="clear" w:color="auto" w:fill="auto"/>
            <w:hideMark/>
          </w:tcPr>
          <w:p w14:paraId="5C2D201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A34BB6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Statin Use in Persons with Diabetes</w:t>
            </w:r>
          </w:p>
        </w:tc>
        <w:tc>
          <w:tcPr>
            <w:tcW w:w="3178" w:type="dxa"/>
            <w:shd w:val="clear" w:color="auto" w:fill="auto"/>
            <w:hideMark/>
          </w:tcPr>
          <w:p w14:paraId="6406C00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7201A34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3E2F49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bl>
    <w:p w14:paraId="0DC21313"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(Part D).  </w:t>
      </w:r>
      <w:r w:rsidRPr="001569FB">
        <w:t>Beneficiaries with ESRD are excluded from the measure per the PQA measure specifications. For the 2017 measurement year, CMS proposes to expand its data sources for identifying all Part D enrollees with ESRD for exclusion from the measures to include ICD-10-CM codes found in both Part A &amp; B claims and Risk Adjustment Processing System (RAPS) RxHCCs along with the EDB ESRD indicator (currently used).</w:t>
      </w:r>
    </w:p>
    <w:p w14:paraId="69627E77"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and Medication Adherence for Cholesterol (Statins) (Part D). </w:t>
      </w:r>
      <w:r w:rsidRPr="001569FB">
        <w:t xml:space="preserve">The Proportion of Days Covered (PDC) is adjusted for inpatient (IP) stays and hospice enrollment for MA-PDs and PDPs, and skilled nursing facility (SNF) stays for PDPs. In applying the adjustment, first we identify the start and end dates of relevant types of stays for beneficiaries included in the adherence measures. The start date is currently the admission date, and the end date is one day before the discharge date. The discharge date is not included in the PDC adjustment. The days of the relevant stays that occur during the beneficiary’s measurement period are removed from the numerator and denominator of the PDC calculation. In addition, we shift the days’ supply from Part D prescription fills that overlap with the stay to </w:t>
      </w:r>
      <w:r w:rsidRPr="001569FB">
        <w:lastRenderedPageBreak/>
        <w:t xml:space="preserve">uncovered days after the end of the relevant stay, if applicable. This assumes the beneficiary receives the relevant medication from a different source during the stay and “stockpiles” the Part D prescription fills for later use. </w:t>
      </w:r>
    </w:p>
    <w:p w14:paraId="029A8EC6" w14:textId="77777777" w:rsidR="004C5B0C" w:rsidRPr="001569FB" w:rsidRDefault="004C5B0C" w:rsidP="004C5B0C">
      <w:pPr>
        <w:pStyle w:val="ListParagraph"/>
        <w:overflowPunct w:val="0"/>
        <w:autoSpaceDE w:val="0"/>
        <w:autoSpaceDN w:val="0"/>
        <w:spacing w:before="200"/>
        <w:ind w:left="840" w:right="235"/>
      </w:pPr>
      <w:r w:rsidRPr="001569FB">
        <w:t>We found that in cases where the beneficiary has consecutive stays where the admission date of the second stay is one day after the discharge date, one day would not be removed from the PDC calculation. Therefore, we propose to concatenate consecutive stays to create a single admission and discharge date for the PDC adjustment.</w:t>
      </w:r>
    </w:p>
    <w:p w14:paraId="7E63F8D9" w14:textId="77777777" w:rsidR="004C5B0C" w:rsidRPr="001569FB" w:rsidRDefault="004C5B0C" w:rsidP="00AC78D9">
      <w:pPr>
        <w:pStyle w:val="MeasureDetail"/>
        <w:numPr>
          <w:ilvl w:val="0"/>
          <w:numId w:val="61"/>
        </w:numPr>
        <w:spacing w:before="200" w:line="276" w:lineRule="auto"/>
        <w:ind w:left="835"/>
        <w:rPr>
          <w:rFonts w:ascii="Times New Roman" w:hAnsi="Times New Roman" w:cs="Times New Roman"/>
        </w:rPr>
      </w:pPr>
      <w:r w:rsidRPr="001569FB">
        <w:rPr>
          <w:rFonts w:ascii="Times New Roman" w:hAnsi="Times New Roman" w:cs="Times New Roman"/>
          <w:b/>
          <w:bCs/>
        </w:rPr>
        <w:t xml:space="preserve">MPF Price Accuracy (Part D).  </w:t>
      </w:r>
      <w:r w:rsidRPr="001569FB">
        <w:rPr>
          <w:rFonts w:ascii="Times New Roman" w:hAnsi="Times New Roman" w:cs="Times New Roman"/>
        </w:rPr>
        <w:t>CMS is proposing enhancements to the MPF Price Accuracy measure to better measure the reliability of a contract’s MPF advertised prices. We propose the following changes (please see Appendix 1 for a more detailed methodology):</w:t>
      </w:r>
    </w:p>
    <w:p w14:paraId="5C4EA281" w14:textId="77777777" w:rsidR="004C5B0C" w:rsidRPr="001569FB" w:rsidRDefault="004C5B0C" w:rsidP="00AC78D9">
      <w:pPr>
        <w:pStyle w:val="MeasureDetail"/>
        <w:numPr>
          <w:ilvl w:val="0"/>
          <w:numId w:val="59"/>
        </w:numPr>
        <w:spacing w:before="200" w:line="276" w:lineRule="auto"/>
        <w:ind w:left="835"/>
        <w:rPr>
          <w:rFonts w:ascii="Times New Roman" w:hAnsi="Times New Roman" w:cs="Times New Roman"/>
        </w:rPr>
      </w:pPr>
      <w:r w:rsidRPr="001569FB">
        <w:rPr>
          <w:rFonts w:ascii="Times New Roman" w:hAnsi="Times New Roman" w:cs="Times New Roman"/>
        </w:rPr>
        <w:t xml:space="preserve">Factor both how much and how often prescription drug event (PDE) prices exceeded the prices reflected on the MPF by calculating a contract’s measure score as the mean of the contract’s Price Accuracy and Claim Percentage scores, based on the below indexes:  </w:t>
      </w:r>
    </w:p>
    <w:p w14:paraId="4FBD2194" w14:textId="77777777" w:rsidR="004C5B0C" w:rsidRPr="001569FB" w:rsidRDefault="004C5B0C" w:rsidP="00AC78D9">
      <w:pPr>
        <w:pStyle w:val="ListParagraph"/>
        <w:widowControl w:val="0"/>
        <w:numPr>
          <w:ilvl w:val="0"/>
          <w:numId w:val="60"/>
        </w:numPr>
        <w:spacing w:after="120"/>
        <w:ind w:left="1200"/>
        <w:contextualSpacing w:val="0"/>
      </w:pPr>
      <w:r w:rsidRPr="001569FB">
        <w:t>The Price Accuracy index compares point-of-sale PDE prices to plan-reported MPF prices and determines the magnitude of differences found. Using each PDE’s date of service, the price displayed on MPF is compared to the PDE price. The Price Accuracy index is computed as:</w:t>
      </w:r>
    </w:p>
    <w:p w14:paraId="25BE0821" w14:textId="77777777" w:rsidR="004C5B0C" w:rsidRPr="001569FB" w:rsidRDefault="004C5B0C" w:rsidP="004C5B0C">
      <w:pPr>
        <w:spacing w:after="120"/>
        <w:ind w:left="480" w:firstLine="720"/>
      </w:pPr>
      <w:r w:rsidRPr="001569FB">
        <w:t>(Total amount that PDE is higher than MPF + Total PDE cost) / (Total PDE cost).</w:t>
      </w:r>
    </w:p>
    <w:p w14:paraId="064A99E8" w14:textId="77777777" w:rsidR="004C5B0C" w:rsidRPr="001569FB" w:rsidRDefault="004C5B0C" w:rsidP="00AC78D9">
      <w:pPr>
        <w:pStyle w:val="ListParagraph"/>
        <w:widowControl w:val="0"/>
        <w:numPr>
          <w:ilvl w:val="0"/>
          <w:numId w:val="60"/>
        </w:numPr>
        <w:spacing w:after="120"/>
        <w:ind w:left="1200"/>
        <w:contextualSpacing w:val="0"/>
      </w:pPr>
      <w:r w:rsidRPr="001569FB">
        <w:t>The Claim Percentage index measures the percentage of all PDEs that meet the inclusion criteria with a total PDE cost higher than total MPF cost to determine the frequency of differences found. The Claim Percentage index is computed as:</w:t>
      </w:r>
    </w:p>
    <w:p w14:paraId="76FF0A6E" w14:textId="77777777" w:rsidR="004C5B0C" w:rsidRPr="001569FB" w:rsidRDefault="004C5B0C" w:rsidP="004C5B0C">
      <w:pPr>
        <w:spacing w:after="120"/>
        <w:ind w:left="480" w:firstLine="720"/>
      </w:pPr>
      <w:r w:rsidRPr="001569FB">
        <w:t>(Total number of claims where PDE is higher than MPF) / (Total number of claims)</w:t>
      </w:r>
    </w:p>
    <w:p w14:paraId="31402429" w14:textId="77777777" w:rsidR="004C5B0C" w:rsidRPr="001569FB" w:rsidRDefault="004C5B0C" w:rsidP="00AC78D9">
      <w:pPr>
        <w:pStyle w:val="ListParagraph"/>
        <w:widowControl w:val="0"/>
        <w:numPr>
          <w:ilvl w:val="0"/>
          <w:numId w:val="60"/>
        </w:numPr>
        <w:spacing w:after="120"/>
        <w:ind w:left="1200"/>
        <w:contextualSpacing w:val="0"/>
      </w:pPr>
      <w:r w:rsidRPr="001569FB">
        <w:t xml:space="preserve">The best possible Price Accuracy index is 1 and the best possible Claim Percentage index is 0. This indicates that a plan did not have PDE prices greater than MPF prices. </w:t>
      </w:r>
    </w:p>
    <w:p w14:paraId="04B7F8AA" w14:textId="77777777" w:rsidR="004C5B0C" w:rsidRPr="001569FB" w:rsidRDefault="004C5B0C" w:rsidP="00AC78D9">
      <w:pPr>
        <w:pStyle w:val="ListParagraph"/>
        <w:widowControl w:val="0"/>
        <w:numPr>
          <w:ilvl w:val="0"/>
          <w:numId w:val="60"/>
        </w:numPr>
        <w:spacing w:after="120"/>
        <w:ind w:left="1200"/>
        <w:contextualSpacing w:val="0"/>
      </w:pPr>
      <w:r w:rsidRPr="001569FB">
        <w:t xml:space="preserve">A contract’s measure score is computed as: </w:t>
      </w:r>
    </w:p>
    <w:p w14:paraId="20CB34FA" w14:textId="77777777" w:rsidR="004C5B0C" w:rsidRPr="001569FB" w:rsidRDefault="004C5B0C" w:rsidP="00AC78D9">
      <w:pPr>
        <w:pStyle w:val="ListParagraph"/>
        <w:widowControl w:val="0"/>
        <w:numPr>
          <w:ilvl w:val="2"/>
          <w:numId w:val="60"/>
        </w:numPr>
        <w:spacing w:after="120"/>
        <w:ind w:left="2640"/>
        <w:contextualSpacing w:val="0"/>
      </w:pPr>
      <w:r w:rsidRPr="001569FB">
        <w:t>Price Accuracy Score = 100 – ((Price Accuracy Index - 1) x 100)</w:t>
      </w:r>
    </w:p>
    <w:p w14:paraId="2EBC1C89" w14:textId="77777777" w:rsidR="004C5B0C" w:rsidRPr="001569FB" w:rsidRDefault="004C5B0C" w:rsidP="00AC78D9">
      <w:pPr>
        <w:pStyle w:val="ListParagraph"/>
        <w:widowControl w:val="0"/>
        <w:numPr>
          <w:ilvl w:val="2"/>
          <w:numId w:val="60"/>
        </w:numPr>
        <w:spacing w:after="120"/>
        <w:ind w:left="2640"/>
        <w:contextualSpacing w:val="0"/>
      </w:pPr>
      <w:r w:rsidRPr="001569FB">
        <w:t>Claim Percentage Score = (1 – Claim Percentage Index) x 100</w:t>
      </w:r>
    </w:p>
    <w:p w14:paraId="019F72B7" w14:textId="77777777" w:rsidR="004C5B0C" w:rsidRPr="001569FB" w:rsidRDefault="004C5B0C" w:rsidP="00AC78D9">
      <w:pPr>
        <w:pStyle w:val="ListParagraph"/>
        <w:widowControl w:val="0"/>
        <w:numPr>
          <w:ilvl w:val="2"/>
          <w:numId w:val="60"/>
        </w:numPr>
        <w:spacing w:after="120"/>
        <w:ind w:left="2640"/>
        <w:contextualSpacing w:val="0"/>
      </w:pPr>
      <w:r w:rsidRPr="001569FB">
        <w:t xml:space="preserve">Measure Score = (0.5 x Price Accuracy Score) + (0.5 x Claim Percentage Score) </w:t>
      </w:r>
    </w:p>
    <w:p w14:paraId="5D0079C5" w14:textId="77777777" w:rsidR="004C5B0C" w:rsidRPr="001569FB" w:rsidRDefault="004C5B0C" w:rsidP="00AC78D9">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Increase the claims included in the measure:</w:t>
      </w:r>
    </w:p>
    <w:p w14:paraId="764C699C" w14:textId="77777777" w:rsidR="004C5B0C" w:rsidRPr="001569FB" w:rsidRDefault="004C5B0C" w:rsidP="00AC78D9">
      <w:pPr>
        <w:pStyle w:val="ListParagraph"/>
        <w:widowControl w:val="0"/>
        <w:numPr>
          <w:ilvl w:val="0"/>
          <w:numId w:val="60"/>
        </w:numPr>
        <w:spacing w:after="120"/>
        <w:ind w:left="1195"/>
        <w:contextualSpacing w:val="0"/>
      </w:pPr>
      <w:r w:rsidRPr="001569FB">
        <w:t>Expand the days’ supply of claims included from 30 days to 28-34, 60-62, or 90-100 days.</w:t>
      </w:r>
    </w:p>
    <w:p w14:paraId="6C7C7251" w14:textId="77777777" w:rsidR="004C5B0C" w:rsidRPr="001569FB" w:rsidRDefault="004C5B0C" w:rsidP="00AC78D9">
      <w:pPr>
        <w:pStyle w:val="ListParagraph"/>
        <w:widowControl w:val="0"/>
        <w:numPr>
          <w:ilvl w:val="0"/>
          <w:numId w:val="60"/>
        </w:numPr>
        <w:spacing w:after="120"/>
        <w:ind w:left="1195"/>
        <w:contextualSpacing w:val="0"/>
      </w:pPr>
      <w:r w:rsidRPr="001569FB">
        <w:lastRenderedPageBreak/>
        <w:t>Identify additional retail claims using the PDE-reported Pharmacy Service Type code. Claims for pharmacies that are listed as retail in the MPF Pharmacy Cost file and also have a pharmacy service type on the PDE of either Community/Retail or Managed Care Organization (MCO) will be included.</w:t>
      </w:r>
    </w:p>
    <w:p w14:paraId="7D3A75F3" w14:textId="77777777" w:rsidR="004C5B0C" w:rsidRPr="001569FB" w:rsidRDefault="004C5B0C" w:rsidP="00AC78D9">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 xml:space="preserve">Round a drug’s MPF </w:t>
      </w:r>
      <w:r w:rsidRPr="001569FB">
        <w:rPr>
          <w:rFonts w:ascii="Times New Roman" w:hAnsi="Times New Roman"/>
        </w:rPr>
        <w:t xml:space="preserve">cost to 2 decimal places for comparison to its PDE cost. The PDE cost must exceed the PF cost by at least a cent ($0.01) in order to be counted towards the accuracy score. A contract may submit an MPF unit cost up to 5 digits, where PDE cost is always specified to 2 decimal places. </w:t>
      </w:r>
      <w:r w:rsidRPr="001569FB">
        <w:rPr>
          <w:rFonts w:ascii="Times New Roman" w:hAnsi="Times New Roman" w:cs="Times New Roman"/>
        </w:rPr>
        <w:t>Previously, a PDE cost which exceeded the PF cost by $0.005 would be counted.</w:t>
      </w:r>
    </w:p>
    <w:p w14:paraId="46CBD41A" w14:textId="77777777" w:rsidR="004C5B0C" w:rsidRPr="001569FB" w:rsidRDefault="004C5B0C" w:rsidP="004C5B0C">
      <w:pPr>
        <w:pStyle w:val="ListParagraph"/>
        <w:spacing w:before="200"/>
        <w:ind w:left="840"/>
        <w:contextualSpacing w:val="0"/>
      </w:pPr>
      <w:r w:rsidRPr="001569FB">
        <w:t>In this measure, a contract’s score is not lowered if PDEs are priced lower than MPF displayed pricing.  Only price increases are counted in the numerator for this measure.</w:t>
      </w:r>
    </w:p>
    <w:p w14:paraId="1494C7C8" w14:textId="77777777" w:rsidR="004C5B0C" w:rsidRPr="001569FB" w:rsidRDefault="004C5B0C" w:rsidP="004C5B0C">
      <w:pPr>
        <w:pStyle w:val="ListParagraph"/>
        <w:spacing w:before="200"/>
        <w:ind w:left="840"/>
        <w:contextualSpacing w:val="0"/>
      </w:pPr>
      <w:r w:rsidRPr="001569FB">
        <w:t>The proposed enhancements are largely those which had been previously finalized in the 2018 Call Letter. The proposal to round a drug’s MPF cost will resolve the identified measurement error that resulted in CMS not implementing these changes for 2018 Star Ratings.</w:t>
      </w:r>
      <w:r w:rsidRPr="001569FB">
        <w:rPr>
          <w:rStyle w:val="FootnoteReference"/>
        </w:rPr>
        <w:footnoteReference w:id="12"/>
      </w:r>
      <w:r w:rsidRPr="001569FB">
        <w:t xml:space="preserve">  Simulations of these changes using 2016 MPF and PDE data found MA-PD and PDP performance to be similarly high, where the mean measure score is 91. The bottom 10</w:t>
      </w:r>
      <w:r w:rsidRPr="001569FB">
        <w:rPr>
          <w:vertAlign w:val="superscript"/>
        </w:rPr>
        <w:t>th</w:t>
      </w:r>
      <w:r w:rsidRPr="001569FB">
        <w:t xml:space="preserve"> percentile of MA-PDs scored 81, and PDPs scored 85.  We will continue providing contracts their preliminary as well as final MPF Price Accuracy reports, which contain claim level information.  </w:t>
      </w:r>
    </w:p>
    <w:p w14:paraId="2AC1116F" w14:textId="77777777" w:rsidR="004C5B0C" w:rsidRPr="001569FB" w:rsidRDefault="004C5B0C" w:rsidP="004C5B0C">
      <w:pPr>
        <w:pStyle w:val="ListParagraph"/>
        <w:spacing w:before="200"/>
        <w:ind w:left="840"/>
        <w:contextualSpacing w:val="0"/>
      </w:pPr>
      <w:r w:rsidRPr="001569FB">
        <w:t>Additionally, in response to the industry’s requests for information about the broad impact of these changes to future Star Ratings, we propose to first publish the modified measure as a display measure for 2020 and 2021; we intend to then consider adding this measure for the 2022 Star Ratings. Pending such a change, we propose to continue to include the current MPF measure in the Star Ratings using the same methodology used for the 2018 Star Ratings, until the modified measure is incorporated. It is important to continue evaluation of sponsors’ pricing data used by beneficiaries.  Also, removing this measure from the Star Ratings until 2022 would potentially lower sponsors’ overall Star Ratings given most contracts receive high ratings in this measure. We welcome stakeholder feedback about these changes, and the timing of implementing them into the display/Star Ratings measures.</w:t>
      </w:r>
    </w:p>
    <w:p w14:paraId="4BC697A1"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rPr>
          <w:b/>
          <w:bCs/>
        </w:rPr>
      </w:pPr>
      <w:r w:rsidRPr="001569FB">
        <w:rPr>
          <w:b/>
          <w:bCs/>
        </w:rPr>
        <w:t xml:space="preserve">Members Choosing to Leave the Plan (Part C &amp; D). </w:t>
      </w:r>
      <w:r w:rsidRPr="001569FB">
        <w:rPr>
          <w:bCs/>
        </w:rPr>
        <w:t xml:space="preserve">We propose to expand the exclusions for this existing measure to include plan benefit package (PBP) service area reductions (SARs) that result in the unavailability of PBPs that the enrollee is </w:t>
      </w:r>
      <w:r w:rsidRPr="001569FB">
        <w:rPr>
          <w:bCs/>
        </w:rPr>
        <w:lastRenderedPageBreak/>
        <w:t>eligible to move to within the contract.  The exclusions meeting the following specific scenarios would be added:</w:t>
      </w:r>
    </w:p>
    <w:p w14:paraId="1CB3E032" w14:textId="77777777" w:rsidR="004C5B0C" w:rsidRPr="001569FB" w:rsidRDefault="004C5B0C" w:rsidP="00AC78D9">
      <w:pPr>
        <w:pStyle w:val="ListParagraph"/>
        <w:widowControl w:val="0"/>
        <w:numPr>
          <w:ilvl w:val="0"/>
          <w:numId w:val="60"/>
        </w:numPr>
        <w:spacing w:before="200"/>
        <w:ind w:left="1200"/>
        <w:contextualSpacing w:val="0"/>
      </w:pPr>
      <w:r w:rsidRPr="001569FB">
        <w:t>The area reduced is part of non-Special Need Plan (SNP) PBPs and the only PBPs remaining in the contract that cover the area are SNP PBPs.</w:t>
      </w:r>
    </w:p>
    <w:p w14:paraId="3BAC9670" w14:textId="77777777" w:rsidR="004C5B0C" w:rsidRPr="001569FB" w:rsidRDefault="004C5B0C" w:rsidP="00AC78D9">
      <w:pPr>
        <w:pStyle w:val="ListParagraph"/>
        <w:widowControl w:val="0"/>
        <w:numPr>
          <w:ilvl w:val="0"/>
          <w:numId w:val="60"/>
        </w:numPr>
        <w:spacing w:before="200"/>
        <w:ind w:left="1200"/>
        <w:contextualSpacing w:val="0"/>
      </w:pPr>
      <w:r w:rsidRPr="001569FB">
        <w:t>The area reduced is part of a SNP PBP and there are no non-SNP PBPs or another SNP PBP within the contract of the same SNP type that cover the area.</w:t>
      </w:r>
    </w:p>
    <w:p w14:paraId="671409F9" w14:textId="77777777" w:rsidR="004C5B0C" w:rsidRPr="001569FB" w:rsidRDefault="004C5B0C" w:rsidP="004C5B0C">
      <w:pPr>
        <w:pStyle w:val="Heading4"/>
      </w:pPr>
      <w:bookmarkStart w:id="664" w:name="_Toc493523580"/>
      <w:bookmarkStart w:id="665" w:name="_Toc495652090"/>
      <w:r w:rsidRPr="001569FB">
        <w:t>Removal of Measures from Star Ratings</w:t>
      </w:r>
      <w:bookmarkEnd w:id="664"/>
      <w:bookmarkEnd w:id="665"/>
    </w:p>
    <w:p w14:paraId="06CF73A5" w14:textId="77777777" w:rsidR="004C5B0C" w:rsidRPr="001569FB" w:rsidRDefault="004C5B0C" w:rsidP="004C5B0C">
      <w:pPr>
        <w:pStyle w:val="CommentText"/>
        <w:rPr>
          <w:sz w:val="23"/>
          <w:szCs w:val="23"/>
        </w:rPr>
      </w:pPr>
      <w:bookmarkStart w:id="666" w:name="Adjusting_Star_Ratings_for_Audits_and_En"/>
      <w:bookmarkStart w:id="667" w:name="bookmark5"/>
      <w:bookmarkStart w:id="668" w:name="_Toc493523581"/>
      <w:bookmarkStart w:id="669" w:name="_Toc495652091"/>
      <w:bookmarkStart w:id="670" w:name="_Toc493523582"/>
      <w:bookmarkEnd w:id="666"/>
      <w:bookmarkEnd w:id="667"/>
      <w:r w:rsidRPr="001569FB">
        <w:rPr>
          <w:b/>
          <w:bCs/>
        </w:rPr>
        <w:t xml:space="preserve">Beneficiary Access and Performance Problems (BAPP) (Part C &amp; D). </w:t>
      </w:r>
      <w:r w:rsidRPr="001569FB">
        <w:t>The BAPP measure is based on CMS’ sanctions, civil money penalties (CMP) as well as Compliance Activity Module (CAM) data (this includes: notices of non-compliance, warning letters [with or without business plan], and ad-hoc corrective action plans (CAP) and the CAP severity). After several solicitations for public comment on the BAPP measure and considering comments from MA plans, advocates, and other stakeholders,</w:t>
      </w:r>
      <w:r w:rsidRPr="001569FB">
        <w:rPr>
          <w:rStyle w:val="FootnoteReference"/>
        </w:rPr>
        <w:footnoteReference w:id="13"/>
      </w:r>
      <w:r w:rsidRPr="001569FB">
        <w:t xml:space="preserve"> CMS proposed in the CY2018 Advance Notice/draft Call Letter a number of revisions to the BAPP measure.  In response to that proposal commenters expressed overwhelming support to implement a revision to the measure decoupling audits and enforcement actions from Star Ratings.  The commenters cited reasons for recommending such revisions that included: the differences in methodologies and goals, the subjective nature of audits, and the absence of audit information for each plan each year. Advocates, however, submitted strong concerns about the proposal, including decoupling the BAPP measure from audit results.  Based on the feedback, the strong support for a change to the measure specification, and concerns for providing additional notice and time to prepare for the significant changes, CMS decided to retain the current BAPP measure in the 2018 Star Ratings and signaled, in the 2018 Call Letter, an intention for 2019 Star Ratings:  to remove from the BAPP measure all enforcement actions and reductions for plans under sanction due to audit findings; to propose to retire the current BAPP measure; and to introduce a new measure for the display page.</w:t>
      </w:r>
    </w:p>
    <w:p w14:paraId="5F9440C7" w14:textId="77777777" w:rsidR="004C5B0C" w:rsidRPr="001569FB" w:rsidRDefault="004C5B0C" w:rsidP="004C5B0C">
      <w:pPr>
        <w:kinsoku w:val="0"/>
        <w:overflowPunct w:val="0"/>
        <w:autoSpaceDE w:val="0"/>
        <w:autoSpaceDN w:val="0"/>
        <w:adjustRightInd w:val="0"/>
        <w:spacing w:before="207"/>
        <w:ind w:right="235"/>
        <w:rPr>
          <w:b/>
          <w:bCs/>
        </w:rPr>
      </w:pPr>
      <w:r w:rsidRPr="001569FB">
        <w:rPr>
          <w:bCs/>
        </w:rPr>
        <w:t xml:space="preserve">For the 2019 Star Ratings, CMS proposes to retire the current BAPP measure. We propose to modify the BAPP measure to only include Compliance Activity Module (CAM) data. The revised BAPP measure would be on the display page for the 2019 Star Ratings. We solicit stakeholders’ input on the utility of this measure focused only on notices of non-compliance, warning letters, and ad-hoc corrective action plans and their severity.  </w:t>
      </w:r>
    </w:p>
    <w:p w14:paraId="55860934" w14:textId="77777777" w:rsidR="004C5B0C" w:rsidRPr="001569FB" w:rsidRDefault="004C5B0C" w:rsidP="004C5B0C">
      <w:pPr>
        <w:pStyle w:val="Heading4"/>
      </w:pPr>
      <w:r w:rsidRPr="001569FB">
        <w:lastRenderedPageBreak/>
        <w:t>Temporary Removal of Measure from Star Ratings</w:t>
      </w:r>
      <w:bookmarkEnd w:id="668"/>
      <w:bookmarkEnd w:id="669"/>
    </w:p>
    <w:p w14:paraId="511D5CC6" w14:textId="4CD20787" w:rsidR="00AF04CB" w:rsidRDefault="004C5B0C" w:rsidP="00AF04CB">
      <w:pPr>
        <w:pStyle w:val="ListParagraph"/>
        <w:kinsoku w:val="0"/>
        <w:overflowPunct w:val="0"/>
        <w:autoSpaceDE w:val="0"/>
        <w:autoSpaceDN w:val="0"/>
        <w:adjustRightInd w:val="0"/>
        <w:spacing w:before="207"/>
        <w:ind w:left="0" w:right="235"/>
        <w:contextualSpacing w:val="0"/>
      </w:pPr>
      <w:r w:rsidRPr="001569FB">
        <w:rPr>
          <w:b/>
          <w:bCs/>
        </w:rPr>
        <w:t xml:space="preserve">Reducing the Risk of Falling (Part C). </w:t>
      </w:r>
      <w:r w:rsidRPr="001569FB">
        <w:t>This current measure, collected through the Medicare HOS, assesses the percentage of beneficiaries who discussed falls, balance concerns, or walking with their healthcare provider and received fall risk intervention(s) from the provider. NCQA made two changes to this measure. First, NCQA changed the denominator of both indicators to include all beneficiaries age 65 and older, as opposed to limiting the denominator to those age 75 and older or age 65-74 with a balance problem, walking problem, or fall in the past year. This action removes a potential bias toward sampling only patients who were treated unsuccessfully. Second, NCQA updated the list of example interventions by removing the phrase “Check your blood pressure lying down or standing”. This aligns the list of interventions with current United States Preventive Services Task Force (USPSTF) recommendations. This change required revising the underlying survey questions in HOS. The revised questions will be first collected in 2018. As a result of this, there will be no data for this measure for the 2019 Star Ratings.  We propose to add it to the 2020 display page and intend to add it for the 2021 Star Ratings.</w:t>
      </w:r>
      <w:r w:rsidR="00AF04CB" w:rsidRPr="00AF04CB">
        <w:t xml:space="preserve"> </w:t>
      </w:r>
    </w:p>
    <w:p w14:paraId="121BF3D9" w14:textId="3077A547" w:rsidR="004C5B0C" w:rsidRPr="00AF04CB" w:rsidRDefault="00AF04CB" w:rsidP="00AF04CB">
      <w:pPr>
        <w:pStyle w:val="Heading3"/>
      </w:pPr>
      <w:r>
        <w:t xml:space="preserve">Section I </w:t>
      </w:r>
      <w:r w:rsidRPr="001569FB">
        <w:t>Star Ratings</w:t>
      </w:r>
      <w:r>
        <w:t xml:space="preserve"> – Integrity and Completeness</w:t>
      </w:r>
    </w:p>
    <w:p w14:paraId="55668B25" w14:textId="77777777" w:rsidR="004C5B0C" w:rsidRPr="001569FB" w:rsidRDefault="004C5B0C" w:rsidP="004C5B0C">
      <w:pPr>
        <w:pStyle w:val="Heading4"/>
      </w:pPr>
      <w:bookmarkStart w:id="671" w:name="_Toc495652092"/>
      <w:r w:rsidRPr="001569FB">
        <w:t>Data Integrity</w:t>
      </w:r>
      <w:bookmarkEnd w:id="670"/>
      <w:bookmarkEnd w:id="671"/>
    </w:p>
    <w:p w14:paraId="59F4F6F0" w14:textId="77777777" w:rsidR="004C5B0C" w:rsidRPr="001569FB" w:rsidRDefault="004C5B0C" w:rsidP="004C5B0C">
      <w:pPr>
        <w:pStyle w:val="BodyText0"/>
        <w:spacing w:after="160"/>
      </w:pPr>
      <w:r w:rsidRPr="001569FB">
        <w:t xml:space="preserve">Data used for the Part C and D Star Ratings must be accurate and reliable. CMS’ longstanding policy has been to reduce a contract’s measure rating to one star if we determine that a contract’s measure data are incomplete, biased, or erroneous. As discussed in previous Call Letters, these reductions may result if CMS identifies mishandling of data or inappropriate processing, or if implementation of incorrect practices impacted specific measure(s). Examples would include, but are not limited to: a contract’s failure to adhere to HEDIS, HOS, or CAHPS reporting requirements; a contract’s failure to adhere to Plan Finder or PDE data requirements; a contract’s errors in processing coverage determinations/exceptions or organization determinations; compliance actions due to errors in operational areas that would directly impact the data reported or processed for specific measures; or a contract’s failure to pass Part C and D Reporting Requirements Data Validation related to organization/sponsor-reported data for specific measures. CMS’ modifications to measure-specific ratings due to data integrity issues are separate from any CMS compliance or enforcement actions related to a sponsor’s deficiencies. This policy is necessary to avoid assigning falsely high stars, especially when deficiencies have been identified that show CMS cannot objectively evaluate a sponsor’s performance in an area.  </w:t>
      </w:r>
    </w:p>
    <w:p w14:paraId="25B22FA1" w14:textId="77777777" w:rsidR="004C5B0C" w:rsidRPr="001569FB" w:rsidRDefault="004C5B0C" w:rsidP="004C5B0C">
      <w:pPr>
        <w:pStyle w:val="BodyText0"/>
      </w:pPr>
      <w:r w:rsidRPr="001569FB">
        <w:t xml:space="preserve">Sponsors should refer to specific guidance and technical instructions related to requirements in each of these areas. For example, information about HEDIS measures and technical specifications are posted on: </w:t>
      </w:r>
      <w:hyperlink r:id="rId46" w:history="1">
        <w:r w:rsidRPr="001569FB">
          <w:rPr>
            <w:color w:val="0000FF"/>
            <w:u w:val="single"/>
          </w:rPr>
          <w:t>http://www.ncqa.org/HEDISQualityMeasurement/HEDISMeasures.aspx</w:t>
        </w:r>
      </w:hyperlink>
      <w:r w:rsidRPr="001569FB">
        <w:t xml:space="preserve">. Information about Data </w:t>
      </w:r>
      <w:r w:rsidRPr="001569FB">
        <w:lastRenderedPageBreak/>
        <w:t xml:space="preserve">Validation of Reporting Requirements data is posted on </w:t>
      </w:r>
      <w:hyperlink r:id="rId47" w:history="1">
        <w:r w:rsidRPr="001569FB">
          <w:rPr>
            <w:color w:val="0000FF"/>
            <w:u w:val="single"/>
          </w:rPr>
          <w:t>https://www.cms.gov/​Medicare/​Prescription-Drug-</w:t>
        </w:r>
        <w:r w:rsidRPr="001569FB">
          <w:rPr>
            <w:color w:val="0000FF"/>
            <w:spacing w:val="-31"/>
            <w:u w:val="single"/>
          </w:rPr>
          <w:t xml:space="preserve"> </w:t>
        </w:r>
      </w:hyperlink>
      <w:hyperlink r:id="rId48" w:history="1">
        <w:r w:rsidRPr="001569FB">
          <w:rPr>
            <w:color w:val="0000FF"/>
            <w:u w:val="single"/>
          </w:rPr>
          <w:t>Coverage/PrescriptionDrugCovContra/PartCDDataValidation.html</w:t>
        </w:r>
      </w:hyperlink>
      <w:r w:rsidRPr="001569FB">
        <w:t>.</w:t>
      </w:r>
    </w:p>
    <w:p w14:paraId="3FD9F02E" w14:textId="77777777" w:rsidR="004C5B0C" w:rsidRPr="001569FB" w:rsidRDefault="004C5B0C" w:rsidP="004C5B0C">
      <w:pPr>
        <w:pStyle w:val="BodyText0"/>
      </w:pPr>
      <w:r w:rsidRPr="001569FB">
        <w:t>Given the financial and marketing incentives associated with higher performance in Star Ratings, safeguards are needed to protect the Star Ratings from attempts to inflate performance or mask deficiencies. CMS has taken several steps in the past</w:t>
      </w:r>
      <w:r w:rsidRPr="001569FB">
        <w:rPr>
          <w:spacing w:val="2"/>
        </w:rPr>
        <w:t xml:space="preserve"> </w:t>
      </w:r>
      <w:r w:rsidRPr="001569FB">
        <w:t>years to protect the</w:t>
      </w:r>
      <w:r w:rsidRPr="001569FB">
        <w:rPr>
          <w:spacing w:val="-1"/>
        </w:rPr>
        <w:t xml:space="preserve"> </w:t>
      </w:r>
      <w:r w:rsidRPr="001569FB">
        <w:t>integrity</w:t>
      </w:r>
      <w:r w:rsidRPr="001569FB">
        <w:rPr>
          <w:spacing w:val="-5"/>
        </w:rPr>
        <w:t xml:space="preserve"> </w:t>
      </w:r>
      <w:r w:rsidRPr="001569FB">
        <w:t>of the data we use to calculate Star Ratings; however, we continue</w:t>
      </w:r>
      <w:r w:rsidRPr="001569FB">
        <w:rPr>
          <w:spacing w:val="-1"/>
        </w:rPr>
        <w:t xml:space="preserve"> </w:t>
      </w:r>
      <w:r w:rsidRPr="001569FB">
        <w:t>to identify</w:t>
      </w:r>
      <w:r w:rsidRPr="001569FB">
        <w:rPr>
          <w:spacing w:val="-5"/>
        </w:rPr>
        <w:t xml:space="preserve"> </w:t>
      </w:r>
      <w:r w:rsidRPr="001569FB">
        <w:t>new</w:t>
      </w:r>
      <w:r w:rsidRPr="001569FB">
        <w:rPr>
          <w:spacing w:val="1"/>
        </w:rPr>
        <w:t xml:space="preserve"> </w:t>
      </w:r>
      <w:r w:rsidRPr="001569FB">
        <w:t>vulnerabilities where</w:t>
      </w:r>
      <w:r w:rsidRPr="001569FB">
        <w:rPr>
          <w:spacing w:val="-2"/>
        </w:rPr>
        <w:t xml:space="preserve"> </w:t>
      </w:r>
      <w:r w:rsidRPr="001569FB">
        <w:t>inaccurate</w:t>
      </w:r>
      <w:r w:rsidRPr="001569FB">
        <w:rPr>
          <w:spacing w:val="-1"/>
        </w:rPr>
        <w:t xml:space="preserve"> </w:t>
      </w:r>
      <w:r w:rsidRPr="001569FB">
        <w:t>or biased data could result from sponsors’ practices.</w:t>
      </w:r>
      <w:r w:rsidRPr="001569FB">
        <w:rPr>
          <w:spacing w:val="1"/>
        </w:rPr>
        <w:t xml:space="preserve"> </w:t>
      </w:r>
      <w:r w:rsidRPr="001569FB">
        <w:t xml:space="preserve">Therefore, CMS will continue to conduct reviews to identify incomplete or biased Star Ratings measure data. </w:t>
      </w:r>
    </w:p>
    <w:p w14:paraId="26DFF37F" w14:textId="77777777" w:rsidR="004C5B0C" w:rsidRPr="001569FB" w:rsidRDefault="004C5B0C" w:rsidP="004C5B0C">
      <w:pPr>
        <w:tabs>
          <w:tab w:val="left" w:pos="841"/>
        </w:tabs>
        <w:kinsoku w:val="0"/>
        <w:overflowPunct w:val="0"/>
        <w:spacing w:before="207"/>
        <w:contextualSpacing/>
        <w:rPr>
          <w:bCs/>
        </w:rPr>
      </w:pPr>
      <w:r w:rsidRPr="001569FB">
        <w:rPr>
          <w:bCs/>
        </w:rPr>
        <w:t>The Part C and D Reporting Requirements measures (SNP Care Management (Part C) and Medication Therapy Management (MTM) Program Completion Rate for Comprehensive Medication Reviews (CMR) (Part D)) are calculated using data reported by plan sponsors and validated via an independent data validation using CMS standards. Per the Star Ratings Technical Notes, contracts that did not score at least 95% on data validation for these reporting sections and/or were not compliant with data validation standards/sub-standards for at least one of the data elements used to calculate the measures are not rated in this measure, and the contract’s measure score is reduced to 1 star. We propose to define a contract as being non-compliant if it either receives a “No” or a 1, 2, or 3 on the 5-point Likert scale in the specific data element’s data validation.</w:t>
      </w:r>
      <w:bookmarkStart w:id="672" w:name="_Toc495652093"/>
      <w:r w:rsidRPr="001569FB">
        <w:rPr>
          <w:bCs/>
        </w:rPr>
        <w:t xml:space="preserve"> </w:t>
      </w:r>
    </w:p>
    <w:bookmarkEnd w:id="672"/>
    <w:p w14:paraId="788D205B" w14:textId="77777777" w:rsidR="004C5B0C" w:rsidRPr="001569FB" w:rsidRDefault="004C5B0C" w:rsidP="004C5B0C">
      <w:pPr>
        <w:pStyle w:val="Heading4"/>
      </w:pPr>
      <w:r w:rsidRPr="001569FB">
        <w:t>Proposed Scaled Reductions for Appeals IRE Data Completeness Issues</w:t>
      </w:r>
    </w:p>
    <w:p w14:paraId="591F3F5D" w14:textId="77777777" w:rsidR="004C5B0C" w:rsidRPr="001569FB" w:rsidRDefault="004C5B0C" w:rsidP="00846ECD">
      <w:pPr>
        <w:spacing w:after="200"/>
      </w:pPr>
      <w:r w:rsidRPr="001569FB">
        <w:t>At present, there are four Star Ratings appeal measures that rely on data submitted to the IRE. Two of the measures are Part C measures (Plan Makes Timely Decisions about Appeals and Reviewing Appeals Decisions), and two are Part D measures (Appeals Auto-Forward and Appeals Upheld). The completeness of the IRE data is critical to allow accurate measurement of the appeals measures. All plans are responsible and held accountable for ensuring high quality and complete data to maintain the validity and reliability of the measures.</w:t>
      </w:r>
    </w:p>
    <w:p w14:paraId="1ECEB9D0" w14:textId="77777777" w:rsidR="004C5B0C" w:rsidRPr="001569FB" w:rsidRDefault="004C5B0C" w:rsidP="00846ECD">
      <w:pPr>
        <w:spacing w:after="200"/>
      </w:pPr>
      <w:r w:rsidRPr="001569FB">
        <w:t xml:space="preserve">For verification and validation of the Part C and D appeals measures, CMS has relied primarily on the use of audit findings and targeted reviews. Contracts identified during an audit review to have systematic issues with the completeness of the IRE data have had their appeals measures reduced to one star. Plans and sponsors have expressed concern with the use of the audit findings for the sole source of information because of the perceived inequity of the application of the reductions that only audited contracts may face.  Each year, a subset of contracts, not all contracts, are audited. Further, if a reduction due to IRE data integrity was applied, it resulted in a measure-level Star Rating of one star for the appeals measures. </w:t>
      </w:r>
    </w:p>
    <w:p w14:paraId="7BBB3108" w14:textId="77777777" w:rsidR="004C5B0C" w:rsidRPr="001569FB" w:rsidRDefault="004C5B0C" w:rsidP="00846ECD">
      <w:pPr>
        <w:pStyle w:val="CommentText"/>
        <w:spacing w:after="200"/>
      </w:pPr>
      <w:r w:rsidRPr="001569FB">
        <w:t xml:space="preserve">In response to stakeholder concerns about both CMS’ prior practice of reducing measure ratings to one star based on any finding of data inaccuracy, incompleteness, or bias, and the potential inequity in application of the data integrity policy related to audit findings (because not all plans </w:t>
      </w:r>
      <w:r w:rsidRPr="001569FB">
        <w:lastRenderedPageBreak/>
        <w:t>are audited every year), CMS initiated the Timeliness Monitoring Project (TMP) in CY 2017.</w:t>
      </w:r>
      <w:r w:rsidRPr="001569FB">
        <w:rPr>
          <w:sz w:val="20"/>
          <w:vertAlign w:val="superscript"/>
        </w:rPr>
        <w:footnoteReference w:id="14"/>
      </w:r>
      <w:r w:rsidRPr="001569FB">
        <w:t xml:space="preserve">  All contracts submitted data during the first year of the project. The first submission for the TMP was for the measurement year 2016 related to Part C organization determinations and reconsiderations and Part D coverage determinations and redeterminations. The timeframe for the submitted data was dependent on the enrollment size of the contract with smaller contracts submitting data from a three-month period, medium-sized contracts submitting data from a two-month period, and larger contracts submitting data from a one-month period.</w:t>
      </w:r>
      <w:r w:rsidRPr="001569FB">
        <w:rPr>
          <w:rStyle w:val="FootnoteReference"/>
        </w:rPr>
        <w:footnoteReference w:id="15"/>
      </w:r>
      <w:r w:rsidRPr="001569FB">
        <w:t xml:space="preserve"> CMS reviewed and examined the data from the first collection of TMP data, but did not use it in the determination of appeals-related reductions for the 2018 Star Ratings. </w:t>
      </w:r>
    </w:p>
    <w:p w14:paraId="57550341" w14:textId="77777777" w:rsidR="004C5B0C" w:rsidRPr="001569FB" w:rsidRDefault="004C5B0C" w:rsidP="00846ECD">
      <w:pPr>
        <w:spacing w:after="200"/>
      </w:pPr>
      <w:r w:rsidRPr="001569FB">
        <w:t xml:space="preserve">CMS is proposing statistical criteria to reduce a contract's Star Rating for data that are not complete or lack integrity using TMP data or audit. The reduction would be applied to the measure-level Star Rating for the applicable appeals measures. We are cognizant that there are varying degrees of data issues and as such, we have developed a methodology for reductions that reflects the degree of the data accuracy issue for a contract instead of a one-size-fits-all approach. The methodology would employ scaled reductions (one-star, two-star, three-star, or four-star reduction) based on the degree of missing IRE data. Contracts with the highest IRE data quality issues (i.e., largest percentage of missing or compromised data) would receive the largest reductions, while contracts with a lower degree of missing IRE data would receive a smaller reduction. The most severe reduction for IRE data completeness issues would be a four-star reduction, thus resulting in a measure-level Star Ratings of one star for the associated appeals measures.  If a contract receives a reduction due to missing Part C IRE data, the reduction would be applied to both of the contract’s Part C appeals measures.  Likewise, if a contract receives a reduction due to missing Part D IRE data, the reduction would be applied to both of the contract’s Part D appeals measures. Further, we propose to use multiple data sources whenever possible to determine whether the IRE data are complete and if not, the severity of the missingness and/or data issues. </w:t>
      </w:r>
    </w:p>
    <w:p w14:paraId="736ABE7C" w14:textId="77777777" w:rsidR="004C5B0C" w:rsidRPr="001569FB" w:rsidRDefault="004C5B0C" w:rsidP="00846ECD">
      <w:pPr>
        <w:spacing w:after="200"/>
      </w:pPr>
      <w:r w:rsidRPr="001569FB">
        <w:t xml:space="preserve">CMS’ proposed scaled reduction methodology would be a three-stage process using the TMP data or audit for the means to determine: first, whether a contract may be subject to a potential reduction for the Part C or Part D appeals measures; second, as the basis for the determination of </w:t>
      </w:r>
      <w:r w:rsidRPr="001569FB">
        <w:lastRenderedPageBreak/>
        <w:t xml:space="preserve">the estimated error rate; and finally, whether the estimated value is statistically greater than the cut points for the scaled reductions of 1, 2, 3, or 4 stars.  </w:t>
      </w:r>
    </w:p>
    <w:p w14:paraId="611A8E23" w14:textId="77777777" w:rsidR="004C5B0C" w:rsidRPr="001569FB" w:rsidRDefault="004C5B0C" w:rsidP="00846ECD">
      <w:pPr>
        <w:spacing w:after="200"/>
      </w:pPr>
      <w:r w:rsidRPr="001569FB">
        <w:t>Once the scaled reduction for a contract is identified using the methodology, the reduction would be applied to the contract’s associated appeals measure-level Star Ratings. Since the minimum measure-level Star Rating is one star, if the difference between the associated appeals measure-level Star Rating (before the application of the reduction) and the identified scaled reduction is less than one, the contract would receive a measure-level Star Rating of one star for the appeals measure.</w:t>
      </w:r>
    </w:p>
    <w:p w14:paraId="52CBAE8E" w14:textId="77777777" w:rsidR="004C5B0C" w:rsidRPr="001569FB" w:rsidRDefault="004C5B0C" w:rsidP="004C5B0C">
      <w:r w:rsidRPr="001569FB">
        <w:t>The error rate for the Part C and Part D appeals measures - using the TMP or audit data and the projected number of cases not forwarded to the IRE for a 3-month period - would be used to identify contracts that may be subject to an appeals-related IRE data completeness reduction.  A minimum error rate is proposed to establish a threshold for the identification of contracts that may be subject to a reduction.  The establishment of the threshold allows the focus of the possible reductions on contracts with error rates that have the greatest potential to distort the signal of the appeals measures.  Since the timeframe for the TMP or audit data is dependent on the enrollment size of the contract, with smaller contracts submitting data from a three-month period, medium-sized contracts submitting data from a two-month period, and larger contracts submitting data from a one-month period, the use of a projected number of cases allows a consistent time period for the application of the criteria proposed.</w:t>
      </w:r>
    </w:p>
    <w:p w14:paraId="6AF44F41" w14:textId="77777777" w:rsidR="004C5B0C" w:rsidRPr="001569FB" w:rsidRDefault="004C5B0C" w:rsidP="00846ECD">
      <w:pPr>
        <w:spacing w:before="100" w:beforeAutospacing="1" w:after="200"/>
        <w:rPr>
          <w:rFonts w:eastAsiaTheme="minorEastAsia"/>
        </w:rPr>
      </w:pPr>
      <w:r w:rsidRPr="001569FB">
        <w:t xml:space="preserve">The calculated error rate formula (Equation 1) for the Part C measures is proposed to be determined by the quotient of </w:t>
      </w:r>
      <m:oMath>
        <m:r>
          <m:rPr>
            <m:nor/>
          </m:rPr>
          <m:t>number of cases not forwarded to the IRE </m:t>
        </m:r>
      </m:oMath>
      <w:r w:rsidRPr="001569FB">
        <w:rPr>
          <w:rFonts w:eastAsiaTheme="minorEastAsia"/>
        </w:rPr>
        <w:t xml:space="preserve">and the total number of cases that should have been forwarded to the IRE. The number of cases that should have been forwarded to the IRE is the sum of the number of cases in the IRE during the TMP </w:t>
      </w:r>
      <w:r w:rsidRPr="001569FB">
        <w:t xml:space="preserve">or audit </w:t>
      </w:r>
      <w:r w:rsidRPr="001569FB">
        <w:rPr>
          <w:rFonts w:eastAsiaTheme="minorEastAsia"/>
        </w:rPr>
        <w:t>data collection period and the number of cases not forwarded to the IRE during the same period.</w:t>
      </w:r>
    </w:p>
    <w:p w14:paraId="3991705E" w14:textId="77777777" w:rsidR="004C5B0C" w:rsidRPr="001569FB" w:rsidRDefault="004C5B0C" w:rsidP="004C5B0C">
      <w:pPr>
        <w:tabs>
          <w:tab w:val="right" w:pos="9360"/>
        </w:tabs>
      </w:pPr>
      <m:oMath>
        <m:r>
          <m:rPr>
            <m:sty m:val="p"/>
          </m:rPr>
          <w:rPr>
            <w:rFonts w:ascii="Cambria Math" w:hAnsi="Cambria Math"/>
          </w:rPr>
          <m:t>Part C Calculated Error Rate =</m:t>
        </m:r>
        <m:f>
          <m:fPr>
            <m:ctrlPr>
              <w:rPr>
                <w:rFonts w:ascii="Cambria Math" w:hAnsi="Cambria Math"/>
                <w:i/>
                <w:iCs/>
              </w:rPr>
            </m:ctrlPr>
          </m:fPr>
          <m:num>
            <m:r>
              <m:rPr>
                <m:nor/>
              </m:rPr>
              <m:t>Number of cases not forwarded to the IRE </m:t>
            </m:r>
          </m:num>
          <m:den>
            <m:r>
              <m:rPr>
                <m:nor/>
              </m:rPr>
              <m:t>Total </m:t>
            </m:r>
            <m:r>
              <m:rPr>
                <m:nor/>
              </m:rPr>
              <w:rPr>
                <w:rFonts w:ascii="Cambria Math"/>
              </w:rPr>
              <m:t>n</m:t>
            </m:r>
            <m:r>
              <m:rPr>
                <m:nor/>
              </m:rPr>
              <m:t>umber of </m:t>
            </m:r>
            <m:r>
              <m:rPr>
                <m:nor/>
              </m:rPr>
              <w:rPr>
                <w:rFonts w:ascii="Cambria Math"/>
              </w:rPr>
              <m:t>c</m:t>
            </m:r>
            <m:r>
              <m:rPr>
                <m:nor/>
              </m:rPr>
              <m:t>ases that should have been forwarded to IRE</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(1)</w:t>
      </w:r>
    </w:p>
    <w:p w14:paraId="1B909473" w14:textId="77777777" w:rsidR="004C5B0C" w:rsidRPr="001569FB" w:rsidRDefault="004C5B0C" w:rsidP="00846ECD">
      <w:pPr>
        <w:spacing w:before="100" w:beforeAutospacing="1" w:after="200"/>
      </w:pPr>
      <w:r w:rsidRPr="001569FB">
        <w:t>The calculated error rate formula (Equation 2) for the Part D measures is proposed to be determined by the quotient of the number of untimely cases not auto-forwarded to the IRE and the total number of untimely cases.</w:t>
      </w:r>
    </w:p>
    <w:p w14:paraId="149BD280" w14:textId="77777777" w:rsidR="004C5B0C" w:rsidRPr="001569FB" w:rsidRDefault="004C5B0C" w:rsidP="004C5B0C">
      <w:pPr>
        <w:tabs>
          <w:tab w:val="right" w:pos="9360"/>
        </w:tabs>
        <w:rPr>
          <w:b/>
        </w:rPr>
      </w:pPr>
      <m:oMath>
        <m:r>
          <m:rPr>
            <m:sty m:val="p"/>
          </m:rPr>
          <w:rPr>
            <w:rFonts w:ascii="Cambria Math" w:hAnsi="Cambria Math"/>
          </w:rPr>
          <m:t>Part D Calculated Error Rate  =</m:t>
        </m:r>
        <m:r>
          <m:rPr>
            <m:sty m:val="b"/>
          </m:rPr>
          <w:rPr>
            <w:rFonts w:ascii="Cambria Math" w:hAnsi="Cambria Math"/>
          </w:rPr>
          <m:t xml:space="preserve"> </m:t>
        </m:r>
        <m:f>
          <m:fPr>
            <m:ctrlPr>
              <w:rPr>
                <w:rFonts w:ascii="Cambria Math" w:hAnsi="Cambria Math"/>
                <w:i/>
                <w:iCs/>
              </w:rPr>
            </m:ctrlPr>
          </m:fPr>
          <m:num>
            <m:r>
              <m:rPr>
                <m:nor/>
              </m:rPr>
              <m:t>Number of </m:t>
            </m:r>
            <m:r>
              <m:rPr>
                <m:nor/>
              </m:rPr>
              <w:rPr>
                <w:rFonts w:ascii="Cambria Math"/>
              </w:rPr>
              <m:t xml:space="preserve">untimely </m:t>
            </m:r>
            <m:r>
              <m:rPr>
                <m:nor/>
              </m:rPr>
              <m:t>cases not auto-forwarded to the IRE </m:t>
            </m:r>
          </m:num>
          <m:den>
            <m:r>
              <m:rPr>
                <m:nor/>
              </m:rPr>
              <m:t>Total </m:t>
            </m:r>
            <m:r>
              <m:rPr>
                <m:nor/>
              </m:rPr>
              <w:rPr>
                <w:rFonts w:ascii="Cambria Math"/>
              </w:rPr>
              <m:t>n</m:t>
            </m:r>
            <m:r>
              <m:rPr>
                <m:nor/>
              </m:rPr>
              <m:t>umber of </m:t>
            </m:r>
            <m:r>
              <m:rPr>
                <m:nor/>
              </m:rPr>
              <w:rPr>
                <w:rFonts w:ascii="Cambria Math"/>
              </w:rPr>
              <m:t>u</m:t>
            </m:r>
            <m:r>
              <m:rPr>
                <m:nor/>
              </m:rPr>
              <m:t>ntimely </m:t>
            </m:r>
            <m:r>
              <m:rPr>
                <m:nor/>
              </m:rPr>
              <w:rPr>
                <w:rFonts w:ascii="Cambria Math"/>
              </w:rPr>
              <m:t>c</m:t>
            </m:r>
            <m:r>
              <m:rPr>
                <m:nor/>
              </m:rPr>
              <m:t>ases </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(2)</w:t>
      </w:r>
    </w:p>
    <w:p w14:paraId="38E7405B" w14:textId="77777777" w:rsidR="004C5B0C" w:rsidRPr="001569FB" w:rsidRDefault="004C5B0C" w:rsidP="004C5B0C">
      <w:pPr>
        <w:spacing w:before="100" w:beforeAutospacing="1"/>
      </w:pPr>
      <w:r w:rsidRPr="001569FB">
        <w:t xml:space="preserve">Given the different lengths of TMP or audit data collected and evaluated (based on contract size), the number of non-forwarded cases in a three-month period per contract is projected. The projected number of cases not forwarded to the IRE in a three-month period would be calculated by multiplying the number of cases found not to be forwarded to the IRE based on the TMP or audit data, by a constant determined by the associated time period. Contracts with mean annual </w:t>
      </w:r>
      <w:r w:rsidRPr="001569FB">
        <w:lastRenderedPageBreak/>
        <w:t>enrollments greater than 250,000 that submitted data from one-month, would have a constant of 3.0. Contracts with mean enrollments between 50,000 and 250,000 that submitted data from a two-month period, would have their number of cases found not to be forwarded to the IRE (based on the TMP or audit data) multiplied by the constant 1.5. Small contracts with mean enrollments less than 50,000 that submitted data for a three-month period would have their number of cases found not to be forwarded to the IRE multiplied by the constant 1.0.</w:t>
      </w:r>
    </w:p>
    <w:p w14:paraId="1A9CC451" w14:textId="77777777" w:rsidR="004C5B0C" w:rsidRPr="001569FB" w:rsidRDefault="004C5B0C" w:rsidP="004C5B0C">
      <w:pPr>
        <w:spacing w:after="200"/>
      </w:pPr>
      <w:r w:rsidRPr="001569FB">
        <w:t>We propose that contracts would</w:t>
      </w:r>
      <w:r w:rsidRPr="001569FB">
        <w:rPr>
          <w:i/>
          <w:iCs/>
        </w:rPr>
        <w:t xml:space="preserve"> </w:t>
      </w:r>
      <w:r w:rsidRPr="001569FB">
        <w:t>be subject to a possible reduction due to lack of data completeness if both conditions are met:</w:t>
      </w:r>
    </w:p>
    <w:p w14:paraId="0B24286D" w14:textId="77777777" w:rsidR="004C5B0C" w:rsidRPr="001569FB" w:rsidRDefault="004C5B0C" w:rsidP="00AC78D9">
      <w:pPr>
        <w:numPr>
          <w:ilvl w:val="0"/>
          <w:numId w:val="62"/>
        </w:numPr>
        <w:spacing w:after="160" w:line="259" w:lineRule="auto"/>
      </w:pPr>
      <w:r w:rsidRPr="001569FB">
        <w:t>The calculated error rate is 20% or more.</w:t>
      </w:r>
    </w:p>
    <w:p w14:paraId="052F9EA4" w14:textId="77777777" w:rsidR="004C5B0C" w:rsidRPr="001569FB" w:rsidRDefault="004C5B0C" w:rsidP="00AC78D9">
      <w:pPr>
        <w:numPr>
          <w:ilvl w:val="0"/>
          <w:numId w:val="62"/>
        </w:numPr>
        <w:spacing w:after="160" w:line="259" w:lineRule="auto"/>
      </w:pPr>
      <w:r w:rsidRPr="001569FB">
        <w:t>The projected number of cases not forwarded to the IRE is at least 10 in a 3-month period.</w:t>
      </w:r>
    </w:p>
    <w:p w14:paraId="0EE5A02B" w14:textId="77777777" w:rsidR="004C5B0C" w:rsidRPr="001569FB" w:rsidRDefault="004C5B0C" w:rsidP="004C5B0C">
      <w:pPr>
        <w:spacing w:line="240" w:lineRule="auto"/>
        <w:rPr>
          <w:iCs/>
        </w:rPr>
      </w:pPr>
      <w:r w:rsidRPr="001569FB">
        <w:rPr>
          <w:iCs/>
        </w:rPr>
        <w:t>The requirement for a minimum number of cases is needed to address statistical concerns with precision and small numbers. If a contract meets only one of the conditions, the contract would not be subject to reductions for IRE data completeness issues.  If a contract would be subject to a possible reduction based on the aforementioned conditions, a confidence interval estimate for the true error rate for the contract would be calculated using a Score Interval (Wilson Score Interval) at a confidence level of 95%.  The midpoint of the score interval would be determined using Equation 3.</w:t>
      </w:r>
    </w:p>
    <w:p w14:paraId="1A3E5A01" w14:textId="77777777" w:rsidR="004C5B0C" w:rsidRPr="001569FB" w:rsidRDefault="004C5B0C" w:rsidP="004C5B0C">
      <w:pPr>
        <w:tabs>
          <w:tab w:val="right" w:pos="9360"/>
        </w:tabs>
        <w:spacing w:before="600" w:after="600"/>
        <w:rPr>
          <w:b/>
          <w:iCs/>
        </w:rPr>
      </w:pPr>
      <m:oMath>
        <m:r>
          <w:rPr>
            <w:rFonts w:ascii="Cambria Math" w:hAnsi="Cambria Math"/>
            <w:sz w:val="20"/>
          </w:rPr>
          <m:t xml:space="preserve">Midpoint=Calculated Error Rate × </m:t>
        </m:r>
        <m:d>
          <m:dPr>
            <m:ctrlPr>
              <w:rPr>
                <w:rFonts w:ascii="Cambria Math" w:hAnsi="Cambria Math"/>
                <w:i/>
                <w:iCs/>
                <w:sz w:val="20"/>
              </w:rPr>
            </m:ctrlPr>
          </m:dPr>
          <m:e>
            <m:f>
              <m:fPr>
                <m:ctrlPr>
                  <w:rPr>
                    <w:rFonts w:ascii="Cambria Math" w:hAnsi="Cambria Math"/>
                    <w:i/>
                    <w:iCs/>
                    <w:sz w:val="20"/>
                  </w:rPr>
                </m:ctrlPr>
              </m:fPr>
              <m:num>
                <m:r>
                  <w:rPr>
                    <w:rFonts w:ascii="Cambria Math" w:hAnsi="Cambria Math"/>
                    <w:sz w:val="20"/>
                  </w:rPr>
                  <m:t>Total Number of Cases</m:t>
                </m:r>
              </m:num>
              <m:den>
                <m:r>
                  <w:rPr>
                    <w:rFonts w:ascii="Cambria Math" w:hAnsi="Cambria Math"/>
                    <w:sz w:val="20"/>
                  </w:rPr>
                  <m:t xml:space="preserve">Total Number of Cases+ </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r>
          <w:rPr>
            <w:rFonts w:ascii="Cambria Math" w:hAnsi="Cambria Math"/>
            <w:sz w:val="20"/>
          </w:rPr>
          <m:t xml:space="preserve">+ </m:t>
        </m:r>
        <m:f>
          <m:fPr>
            <m:ctrlPr>
              <w:rPr>
                <w:rFonts w:ascii="Cambria Math" w:hAnsi="Cambria Math"/>
                <w:i/>
                <w:iCs/>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iCs/>
                <w:sz w:val="20"/>
              </w:rPr>
            </m:ctrlPr>
          </m:dPr>
          <m:e>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num>
              <m:den>
                <m:r>
                  <w:rPr>
                    <w:rFonts w:ascii="Cambria Math" w:hAnsi="Cambria Math"/>
                    <w:sz w:val="20"/>
                  </w:rPr>
                  <m:t>Total Number of Cases+</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oMath>
      <w:r w:rsidRPr="001569FB">
        <w:rPr>
          <w:iCs/>
          <w:sz w:val="20"/>
        </w:rPr>
        <w:t xml:space="preserve"> </w:t>
      </w:r>
      <w:r w:rsidRPr="001569FB">
        <w:rPr>
          <w:iCs/>
        </w:rPr>
        <w:tab/>
      </w:r>
      <w:r w:rsidRPr="001569FB">
        <w:rPr>
          <w:rFonts w:eastAsiaTheme="minorEastAsia"/>
          <w:b/>
          <w:iCs/>
        </w:rPr>
        <w:t>Equation</w:t>
      </w:r>
      <w:r w:rsidRPr="001569FB">
        <w:rPr>
          <w:b/>
          <w:iCs/>
        </w:rPr>
        <w:t xml:space="preserve"> (3)</w:t>
      </w:r>
    </w:p>
    <w:p w14:paraId="650F9DAC" w14:textId="77777777" w:rsidR="004C5B0C" w:rsidRPr="001569FB" w:rsidRDefault="004C5B0C" w:rsidP="00CB7A65">
      <w:pPr>
        <w:spacing w:after="200" w:line="240" w:lineRule="auto"/>
      </w:pPr>
      <w:r w:rsidRPr="001569FB">
        <w:rPr>
          <w:iCs/>
        </w:rPr>
        <w:t xml:space="preserve">The z score that corresponds to a level of statistical significance of 0.05, commonly denoted as </w:t>
      </w:r>
      <m:oMath>
        <m:sSub>
          <m:sSubPr>
            <m:ctrlPr>
              <w:rPr>
                <w:rFonts w:ascii="Cambria Math" w:hAnsi="Cambria Math"/>
                <w:i/>
                <w:iCs/>
              </w:rPr>
            </m:ctrlPr>
          </m:sSubPr>
          <m:e>
            <m:r>
              <w:rPr>
                <w:rFonts w:ascii="Cambria Math" w:hAnsi="Cambria Math"/>
              </w:rPr>
              <m:t>z</m:t>
            </m:r>
          </m:e>
          <m:sub>
            <m:f>
              <m:fPr>
                <m:type m:val="skw"/>
                <m:ctrlPr>
                  <w:rPr>
                    <w:rFonts w:ascii="Cambria Math" w:hAnsi="Cambria Math"/>
                    <w:i/>
                    <w:iCs/>
                  </w:rPr>
                </m:ctrlPr>
              </m:fPr>
              <m:num>
                <m:r>
                  <w:rPr>
                    <w:rFonts w:ascii="Cambria Math" w:hAnsi="Cambria Math"/>
                  </w:rPr>
                  <m:t>α</m:t>
                </m:r>
              </m:num>
              <m:den>
                <m:r>
                  <w:rPr>
                    <w:rFonts w:ascii="Cambria Math" w:hAnsi="Cambria Math"/>
                  </w:rPr>
                  <m:t>2</m:t>
                </m:r>
              </m:den>
            </m:f>
          </m:sub>
        </m:sSub>
      </m:oMath>
      <w:r w:rsidRPr="001569FB">
        <w:rPr>
          <w:iCs/>
        </w:rPr>
        <w:t xml:space="preserve"> but for ease of presentation represented here as z.  (The z value that will be used for the purpose of the calculation of the interval is </w:t>
      </w:r>
      <w:r w:rsidRPr="001569FB">
        <w:t>1.959964.).</w:t>
      </w:r>
    </w:p>
    <w:p w14:paraId="2320AA00" w14:textId="77777777" w:rsidR="004C5B0C" w:rsidRPr="001569FB" w:rsidRDefault="004C5B0C" w:rsidP="00CB7A65">
      <w:pPr>
        <w:spacing w:after="200" w:line="240" w:lineRule="auto"/>
        <w:rPr>
          <w:iCs/>
        </w:rPr>
      </w:pPr>
      <w:r w:rsidRPr="001569FB">
        <w:rPr>
          <w:iCs/>
        </w:rPr>
        <w:t xml:space="preserve">For the Part C appeals measures, the midpoint of the confidence interval would be calculated using Equation 3 along with the calculated error rate from the TMP </w:t>
      </w:r>
      <w:r w:rsidRPr="001569FB">
        <w:t xml:space="preserve">or audit </w:t>
      </w:r>
      <w:r w:rsidRPr="001569FB">
        <w:rPr>
          <w:iCs/>
        </w:rPr>
        <w:t xml:space="preserve">data, which is determined by Equation 1.  The total number of cases in Equation 3 is the number of cases that should have been in the IRE for the Part C TMP </w:t>
      </w:r>
      <w:r w:rsidRPr="001569FB">
        <w:t>or audit</w:t>
      </w:r>
      <w:r w:rsidRPr="001569FB">
        <w:rPr>
          <w:iCs/>
        </w:rPr>
        <w:t xml:space="preserve"> data.</w:t>
      </w:r>
    </w:p>
    <w:p w14:paraId="372685A9" w14:textId="77777777" w:rsidR="004C5B0C" w:rsidRPr="001569FB" w:rsidRDefault="004C5B0C" w:rsidP="00CB7A65">
      <w:pPr>
        <w:spacing w:after="200" w:line="240" w:lineRule="auto"/>
        <w:rPr>
          <w:iCs/>
        </w:rPr>
      </w:pPr>
      <w:r w:rsidRPr="001569FB">
        <w:rPr>
          <w:iCs/>
        </w:rPr>
        <w:t xml:space="preserve">For the Part D appeals measures, the midpoint of the confidence interval would be calculated using Equation 3 along with the calculated error rate from the TMP </w:t>
      </w:r>
      <w:r w:rsidRPr="001569FB">
        <w:t>or audit</w:t>
      </w:r>
      <w:r w:rsidRPr="001569FB">
        <w:rPr>
          <w:iCs/>
        </w:rPr>
        <w:t xml:space="preserve"> data, which is determined by Equation 2.  The total number of cases in Equation 3 is the total number of untimely cases for the Part D appeals measures.</w:t>
      </w:r>
    </w:p>
    <w:p w14:paraId="5BE27F0E" w14:textId="77777777" w:rsidR="004C5B0C" w:rsidRPr="001569FB" w:rsidRDefault="004C5B0C" w:rsidP="00CB7A65">
      <w:pPr>
        <w:spacing w:after="200" w:line="240" w:lineRule="auto"/>
        <w:rPr>
          <w:iCs/>
        </w:rPr>
      </w:pPr>
      <w:r w:rsidRPr="001569FB">
        <w:rPr>
          <w:iCs/>
        </w:rPr>
        <w:t xml:space="preserve">Letting the calculated error rate be represented by </w:t>
      </w:r>
      <m:oMath>
        <m:acc>
          <m:accPr>
            <m:ctrlPr>
              <w:rPr>
                <w:rFonts w:ascii="Cambria Math" w:hAnsi="Cambria Math"/>
                <w:i/>
                <w:iCs/>
              </w:rPr>
            </m:ctrlPr>
          </m:accPr>
          <m:e>
            <m:r>
              <w:rPr>
                <w:rFonts w:ascii="Cambria Math" w:hAnsi="Cambria Math"/>
              </w:rPr>
              <m:t xml:space="preserve">p </m:t>
            </m:r>
          </m:e>
        </m:acc>
        <m:r>
          <w:rPr>
            <w:rFonts w:ascii="Cambria Math" w:hAnsi="Cambria Math"/>
          </w:rPr>
          <m:t xml:space="preserve"> </m:t>
        </m:r>
      </m:oMath>
      <w:r w:rsidRPr="001569FB">
        <w:rPr>
          <w:iCs/>
        </w:rPr>
        <w:t>and the total number of cases represented as n, Equation 3 can be streamlined as follows (Equation 4):</w:t>
      </w:r>
    </w:p>
    <w:p w14:paraId="1B31340C" w14:textId="77777777" w:rsidR="004C5B0C" w:rsidRPr="001569FB" w:rsidRDefault="004C5B0C" w:rsidP="004C5B0C">
      <w:pPr>
        <w:tabs>
          <w:tab w:val="right" w:pos="9360"/>
        </w:tabs>
        <w:spacing w:after="600"/>
        <w:rPr>
          <w:b/>
          <w:iCs/>
        </w:rPr>
      </w:p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oMath>
      <w:r w:rsidRPr="001569FB">
        <w:rPr>
          <w:iCs/>
        </w:rPr>
        <w:tab/>
      </w:r>
      <w:r w:rsidRPr="001569FB">
        <w:rPr>
          <w:rFonts w:eastAsiaTheme="minorEastAsia"/>
          <w:b/>
          <w:iCs/>
        </w:rPr>
        <w:t>Equation</w:t>
      </w:r>
      <w:r w:rsidRPr="001569FB">
        <w:rPr>
          <w:b/>
          <w:iCs/>
        </w:rPr>
        <w:t xml:space="preserve"> (4)</w:t>
      </w:r>
    </w:p>
    <w:p w14:paraId="49A682C8" w14:textId="77777777" w:rsidR="004C5B0C" w:rsidRPr="001569FB" w:rsidRDefault="004C5B0C" w:rsidP="00CB7A65">
      <w:pPr>
        <w:spacing w:after="200" w:line="240" w:lineRule="auto"/>
        <w:rPr>
          <w:iCs/>
        </w:rPr>
      </w:pPr>
      <w:r w:rsidRPr="001569FB">
        <w:rPr>
          <w:iCs/>
        </w:rPr>
        <w:lastRenderedPageBreak/>
        <w:t>The lower bound of the confidence interval estimate for the error rate is calculated using Equation 5 below:</w:t>
      </w:r>
    </w:p>
    <w:p w14:paraId="13F40501" w14:textId="77777777" w:rsidR="004C5B0C" w:rsidRPr="001569FB" w:rsidRDefault="004C5B0C" w:rsidP="004C5B0C">
      <w:pPr>
        <w:tabs>
          <w:tab w:val="right" w:pos="9360"/>
        </w:tabs>
        <w:spacing w:after="600"/>
        <w:rPr>
          <w:rFonts w:eastAsiaTheme="minorEastAsia"/>
          <w:b/>
          <w:iCs/>
        </w:rPr>
      </w:p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w:r w:rsidRPr="001569FB">
        <w:rPr>
          <w:rFonts w:eastAsiaTheme="minorEastAsia"/>
          <w:iCs/>
        </w:rPr>
        <w:t xml:space="preserve"> </w:t>
      </w:r>
      <w:r w:rsidRPr="001569FB">
        <w:rPr>
          <w:rFonts w:eastAsiaTheme="minorEastAsia"/>
          <w:iCs/>
        </w:rPr>
        <w:tab/>
      </w:r>
      <w:r w:rsidRPr="001569FB">
        <w:rPr>
          <w:rFonts w:eastAsiaTheme="minorEastAsia"/>
          <w:b/>
          <w:iCs/>
        </w:rPr>
        <w:t>Equation (5)</w:t>
      </w:r>
    </w:p>
    <w:p w14:paraId="1370C2BF" w14:textId="77777777" w:rsidR="004C5B0C" w:rsidRPr="001569FB" w:rsidRDefault="004C5B0C" w:rsidP="00CB7A65">
      <w:pPr>
        <w:spacing w:after="200"/>
        <w:rPr>
          <w:iCs/>
        </w:rPr>
      </w:pPr>
      <w:r w:rsidRPr="001569FB">
        <w:rPr>
          <w:iCs/>
        </w:rPr>
        <w:t xml:space="preserve">For each contract subject to a possible reduction, the lower bound of the interval estimate of the error rate would be compared to each of the thresholds in Table 1.  If the contract’s calculated lower bound is </w:t>
      </w:r>
      <w:r w:rsidRPr="001569FB">
        <w:t>higher than the threshold, the contract would receive the reduction that corresponds to the highest threshold that is less than the lower bound. In other words, the contract’s lower bound is being employed to determine whether the contract’s error rate is</w:t>
      </w:r>
      <w:r w:rsidRPr="001569FB">
        <w:rPr>
          <w:iCs/>
        </w:rPr>
        <w:t xml:space="preserve"> significantly greater than the thresholds of 20%, 40%, 60%, and 80% to determine the scaled reduction. The proposed scaled reductions are in Table 1. The reductions due to IRE data completeness issues would be applied after the calculation of the measure-level Star Rating for the appeals measures. The reduction would apply to the Part C appeals measures or the Part D appeals measures. </w:t>
      </w:r>
    </w:p>
    <w:p w14:paraId="67EBC285" w14:textId="77777777" w:rsidR="004C5B0C" w:rsidRPr="001569FB" w:rsidRDefault="004C5B0C" w:rsidP="004C5B0C">
      <w:pPr>
        <w:rPr>
          <w:i/>
          <w:iCs/>
        </w:rPr>
      </w:pPr>
      <w:r w:rsidRPr="001569FB">
        <w:rPr>
          <w:i/>
          <w:iCs/>
        </w:rPr>
        <w:t>It is important to note that a contract’s lower bound could be statistically significantly higher than more than one threshold. The reduction would be determined by the highest threshold that the contract’s lower bound exceeds. For example, if the lower bound for a contract is 64.560000%, the contract’s estimated value is significantly greater than the thresholds of 20%, 40%, and 60% because the lower bound value 64.560000% is greater than each of these thresholds. The lower bound for the contract’s confidence interval is not greater than 80%. The contract would be subject to the reduction that corresponds to the 60% threshold which is 3 stars.</w:t>
      </w:r>
    </w:p>
    <w:p w14:paraId="5A925DCD" w14:textId="77777777" w:rsidR="004C5B0C" w:rsidRPr="001569FB" w:rsidRDefault="004C5B0C" w:rsidP="004C5B0C">
      <w:pPr>
        <w:pStyle w:val="Caption"/>
      </w:pPr>
      <w:r w:rsidRPr="001569FB">
        <w:t xml:space="preserve">Table </w:t>
      </w:r>
      <w:fldSimple w:instr=" SEQ Table \* ARABIC ">
        <w:r w:rsidR="00A216EC">
          <w:rPr>
            <w:noProof/>
          </w:rPr>
          <w:t>1</w:t>
        </w:r>
      </w:fldSimple>
      <w:r w:rsidRPr="001569FB">
        <w:t>: Proposed Thresholds and Associated Reductions</w:t>
      </w:r>
    </w:p>
    <w:tbl>
      <w:tblPr>
        <w:tblW w:w="7884" w:type="dxa"/>
        <w:jc w:val="center"/>
        <w:tblCellMar>
          <w:left w:w="0" w:type="dxa"/>
          <w:right w:w="0" w:type="dxa"/>
        </w:tblCellMar>
        <w:tblLook w:val="0600" w:firstRow="0" w:lastRow="0" w:firstColumn="0" w:lastColumn="0" w:noHBand="1" w:noVBand="1"/>
      </w:tblPr>
      <w:tblGrid>
        <w:gridCol w:w="4477"/>
        <w:gridCol w:w="3407"/>
      </w:tblGrid>
      <w:tr w:rsidR="004C5B0C" w:rsidRPr="001569FB" w14:paraId="06AF6135" w14:textId="77777777" w:rsidTr="004C5B0C">
        <w:trPr>
          <w:cantSplit/>
          <w:trHeight w:val="929"/>
          <w:tblHeader/>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3C257A7B" w14:textId="77777777" w:rsidR="004C5B0C" w:rsidRPr="001569FB" w:rsidRDefault="004C5B0C" w:rsidP="004C5B0C">
            <w:pPr>
              <w:keepNext/>
              <w:keepLines/>
              <w:spacing w:after="160" w:line="259" w:lineRule="auto"/>
              <w:jc w:val="center"/>
              <w:rPr>
                <w:iCs/>
              </w:rPr>
            </w:pPr>
            <w:r w:rsidRPr="001569FB">
              <w:rPr>
                <w:b/>
                <w:bCs/>
                <w:iCs/>
              </w:rPr>
              <w:t>Proposed Thresholds Using the Lower Bound of Confidence Interval Estimate of the Error Rate</w:t>
            </w:r>
          </w:p>
        </w:tc>
        <w:tc>
          <w:tcPr>
            <w:tcW w:w="340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04D8A7F0" w14:textId="77777777" w:rsidR="004C5B0C" w:rsidRPr="001569FB" w:rsidRDefault="004C5B0C" w:rsidP="004C5B0C">
            <w:pPr>
              <w:keepNext/>
              <w:keepLines/>
              <w:spacing w:after="160" w:line="259" w:lineRule="auto"/>
              <w:jc w:val="center"/>
              <w:rPr>
                <w:iCs/>
              </w:rPr>
            </w:pPr>
            <w:r w:rsidRPr="001569FB">
              <w:rPr>
                <w:b/>
                <w:bCs/>
                <w:iCs/>
              </w:rPr>
              <w:t>Reduction for Incomplete IRE Data (Stars)</w:t>
            </w:r>
          </w:p>
        </w:tc>
      </w:tr>
      <w:tr w:rsidR="004C5B0C" w:rsidRPr="001569FB" w14:paraId="018CF727"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130D884" w14:textId="77777777" w:rsidR="004C5B0C" w:rsidRPr="001569FB" w:rsidRDefault="004C5B0C" w:rsidP="004C5B0C">
            <w:pPr>
              <w:keepNext/>
              <w:keepLines/>
              <w:spacing w:after="160" w:line="259" w:lineRule="auto"/>
              <w:jc w:val="center"/>
              <w:rPr>
                <w:iCs/>
              </w:rPr>
            </w:pPr>
            <w:r w:rsidRPr="001569FB">
              <w:rPr>
                <w:iCs/>
              </w:rPr>
              <w:t>20%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9EF0484" w14:textId="77777777" w:rsidR="004C5B0C" w:rsidRPr="001569FB" w:rsidRDefault="004C5B0C" w:rsidP="004C5B0C">
            <w:pPr>
              <w:keepNext/>
              <w:keepLines/>
              <w:spacing w:after="160" w:line="259" w:lineRule="auto"/>
              <w:jc w:val="center"/>
              <w:rPr>
                <w:iCs/>
              </w:rPr>
            </w:pPr>
            <w:r w:rsidRPr="001569FB">
              <w:rPr>
                <w:iCs/>
              </w:rPr>
              <w:t>1</w:t>
            </w:r>
          </w:p>
        </w:tc>
      </w:tr>
      <w:tr w:rsidR="004C5B0C" w:rsidRPr="001569FB" w14:paraId="4C5A2922"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7F23351" w14:textId="77777777" w:rsidR="004C5B0C" w:rsidRPr="001569FB" w:rsidRDefault="004C5B0C" w:rsidP="004C5B0C">
            <w:pPr>
              <w:keepNext/>
              <w:keepLines/>
              <w:spacing w:after="160" w:line="259" w:lineRule="auto"/>
              <w:jc w:val="center"/>
              <w:rPr>
                <w:iCs/>
              </w:rPr>
            </w:pPr>
            <w:r w:rsidRPr="001569FB">
              <w:rPr>
                <w:iCs/>
              </w:rPr>
              <w:t>40%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1A75AFB" w14:textId="77777777" w:rsidR="004C5B0C" w:rsidRPr="001569FB" w:rsidRDefault="004C5B0C" w:rsidP="004C5B0C">
            <w:pPr>
              <w:keepNext/>
              <w:keepLines/>
              <w:spacing w:after="160" w:line="259" w:lineRule="auto"/>
              <w:jc w:val="center"/>
              <w:rPr>
                <w:iCs/>
              </w:rPr>
            </w:pPr>
            <w:r w:rsidRPr="001569FB">
              <w:rPr>
                <w:iCs/>
              </w:rPr>
              <w:t>2</w:t>
            </w:r>
          </w:p>
        </w:tc>
      </w:tr>
      <w:tr w:rsidR="004C5B0C" w:rsidRPr="001569FB" w14:paraId="580465F7"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9E8ECB2" w14:textId="77777777" w:rsidR="004C5B0C" w:rsidRPr="001569FB" w:rsidRDefault="004C5B0C" w:rsidP="004C5B0C">
            <w:pPr>
              <w:keepNext/>
              <w:keepLines/>
              <w:spacing w:after="160" w:line="259" w:lineRule="auto"/>
              <w:jc w:val="center"/>
              <w:rPr>
                <w:iCs/>
              </w:rPr>
            </w:pPr>
            <w:r w:rsidRPr="001569FB">
              <w:rPr>
                <w:iCs/>
              </w:rPr>
              <w:t>60%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CD3F5B" w14:textId="77777777" w:rsidR="004C5B0C" w:rsidRPr="001569FB" w:rsidRDefault="004C5B0C" w:rsidP="004C5B0C">
            <w:pPr>
              <w:keepNext/>
              <w:keepLines/>
              <w:spacing w:after="160" w:line="259" w:lineRule="auto"/>
              <w:jc w:val="center"/>
              <w:rPr>
                <w:iCs/>
              </w:rPr>
            </w:pPr>
            <w:r w:rsidRPr="001569FB">
              <w:rPr>
                <w:iCs/>
              </w:rPr>
              <w:t>3</w:t>
            </w:r>
          </w:p>
        </w:tc>
      </w:tr>
      <w:tr w:rsidR="004C5B0C" w:rsidRPr="001569FB" w14:paraId="56E62B84"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BC8A1C0" w14:textId="77777777" w:rsidR="004C5B0C" w:rsidRPr="001569FB" w:rsidRDefault="004C5B0C" w:rsidP="004C5B0C">
            <w:pPr>
              <w:spacing w:after="160" w:line="259" w:lineRule="auto"/>
              <w:jc w:val="center"/>
              <w:rPr>
                <w:iCs/>
              </w:rPr>
            </w:pPr>
            <w:r w:rsidRPr="001569FB">
              <w:rPr>
                <w:iCs/>
              </w:rPr>
              <w:t>80%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AF2279B" w14:textId="77777777" w:rsidR="004C5B0C" w:rsidRPr="001569FB" w:rsidRDefault="004C5B0C" w:rsidP="004C5B0C">
            <w:pPr>
              <w:spacing w:after="160" w:line="259" w:lineRule="auto"/>
              <w:jc w:val="center"/>
              <w:rPr>
                <w:iCs/>
              </w:rPr>
            </w:pPr>
            <w:r w:rsidRPr="001569FB">
              <w:rPr>
                <w:iCs/>
              </w:rPr>
              <w:t>4</w:t>
            </w:r>
          </w:p>
        </w:tc>
      </w:tr>
    </w:tbl>
    <w:p w14:paraId="5720485C" w14:textId="77777777" w:rsidR="004C5B0C" w:rsidRPr="001569FB" w:rsidRDefault="004C5B0C" w:rsidP="004C5B0C">
      <w:pPr>
        <w:pStyle w:val="Caption"/>
        <w:spacing w:before="600"/>
        <w:ind w:left="360"/>
      </w:pPr>
      <w:r w:rsidRPr="001569FB">
        <w:lastRenderedPageBreak/>
        <w:t xml:space="preserve">Table </w:t>
      </w:r>
      <w:fldSimple w:instr=" SEQ Table \* ARABIC ">
        <w:r w:rsidR="00A216EC">
          <w:rPr>
            <w:noProof/>
          </w:rPr>
          <w:t>2</w:t>
        </w:r>
      </w:fldSimple>
      <w:r w:rsidRPr="001569FB">
        <w:t>: Part C Appeals Examples</w:t>
      </w:r>
    </w:p>
    <w:tbl>
      <w:tblPr>
        <w:tblStyle w:val="TableGrid"/>
        <w:tblW w:w="0" w:type="auto"/>
        <w:jc w:val="center"/>
        <w:tblLayout w:type="fixed"/>
        <w:tblCellMar>
          <w:left w:w="58" w:type="dxa"/>
          <w:right w:w="58" w:type="dxa"/>
        </w:tblCellMar>
        <w:tblLook w:val="04A0" w:firstRow="1" w:lastRow="0" w:firstColumn="1" w:lastColumn="0" w:noHBand="0" w:noVBand="1"/>
      </w:tblPr>
      <w:tblGrid>
        <w:gridCol w:w="1165"/>
        <w:gridCol w:w="1390"/>
        <w:gridCol w:w="1442"/>
        <w:gridCol w:w="1436"/>
        <w:gridCol w:w="1209"/>
        <w:gridCol w:w="1363"/>
        <w:gridCol w:w="1345"/>
      </w:tblGrid>
      <w:tr w:rsidR="004C5B0C" w:rsidRPr="001569FB" w14:paraId="283875AD" w14:textId="77777777" w:rsidTr="004C5B0C">
        <w:trPr>
          <w:cantSplit/>
          <w:trHeight w:val="1656"/>
          <w:tblHeader/>
          <w:jc w:val="center"/>
        </w:trPr>
        <w:tc>
          <w:tcPr>
            <w:tcW w:w="1165" w:type="dxa"/>
            <w:shd w:val="pct20" w:color="auto" w:fill="auto"/>
            <w:vAlign w:val="center"/>
          </w:tcPr>
          <w:p w14:paraId="0C84D05C" w14:textId="77777777" w:rsidR="004C5B0C" w:rsidRPr="001569FB" w:rsidRDefault="004C5B0C" w:rsidP="004C5B0C">
            <w:pPr>
              <w:keepNext/>
              <w:keepLines/>
              <w:spacing w:line="240" w:lineRule="auto"/>
              <w:jc w:val="center"/>
              <w:rPr>
                <w:b/>
                <w:iCs/>
              </w:rPr>
            </w:pPr>
            <w:r w:rsidRPr="001569FB">
              <w:rPr>
                <w:b/>
                <w:iCs/>
              </w:rPr>
              <w:t>Contract</w:t>
            </w:r>
          </w:p>
        </w:tc>
        <w:tc>
          <w:tcPr>
            <w:tcW w:w="1390" w:type="dxa"/>
            <w:shd w:val="pct20" w:color="auto" w:fill="auto"/>
            <w:vAlign w:val="center"/>
          </w:tcPr>
          <w:p w14:paraId="5E3A1237" w14:textId="77777777" w:rsidR="004C5B0C" w:rsidRPr="001569FB" w:rsidRDefault="004C5B0C" w:rsidP="004C5B0C">
            <w:pPr>
              <w:keepNext/>
              <w:keepLines/>
              <w:spacing w:line="240" w:lineRule="auto"/>
              <w:jc w:val="center"/>
              <w:rPr>
                <w:b/>
                <w:iCs/>
              </w:rPr>
            </w:pPr>
            <w:r w:rsidRPr="001569FB">
              <w:rPr>
                <w:b/>
                <w:iCs/>
              </w:rPr>
              <w:t>Enrollment</w:t>
            </w:r>
          </w:p>
        </w:tc>
        <w:tc>
          <w:tcPr>
            <w:tcW w:w="1442" w:type="dxa"/>
            <w:shd w:val="pct20" w:color="auto" w:fill="auto"/>
            <w:vAlign w:val="center"/>
          </w:tcPr>
          <w:p w14:paraId="74D9BC0B" w14:textId="77777777" w:rsidR="004C5B0C" w:rsidRPr="001569FB" w:rsidRDefault="004C5B0C" w:rsidP="004C5B0C">
            <w:pPr>
              <w:keepNext/>
              <w:keepLines/>
              <w:spacing w:line="240" w:lineRule="auto"/>
              <w:jc w:val="center"/>
              <w:rPr>
                <w:b/>
                <w:iCs/>
              </w:rPr>
            </w:pPr>
            <w:r w:rsidRPr="001569FB">
              <w:rPr>
                <w:b/>
                <w:iCs/>
              </w:rPr>
              <w:t>Number of Cases not Sent to IRE</w:t>
            </w:r>
          </w:p>
        </w:tc>
        <w:tc>
          <w:tcPr>
            <w:tcW w:w="1436" w:type="dxa"/>
            <w:shd w:val="pct20" w:color="auto" w:fill="auto"/>
            <w:vAlign w:val="center"/>
          </w:tcPr>
          <w:p w14:paraId="600FD9B2" w14:textId="77777777" w:rsidR="004C5B0C" w:rsidRPr="001569FB" w:rsidRDefault="004C5B0C" w:rsidP="004C5B0C">
            <w:pPr>
              <w:keepNext/>
              <w:keepLines/>
              <w:spacing w:line="240" w:lineRule="auto"/>
              <w:jc w:val="center"/>
              <w:rPr>
                <w:b/>
                <w:iCs/>
              </w:rPr>
            </w:pPr>
            <w:r w:rsidRPr="001569FB">
              <w:rPr>
                <w:b/>
                <w:iCs/>
              </w:rPr>
              <w:t>Number of Cases Forwarded to IRE</w:t>
            </w:r>
          </w:p>
        </w:tc>
        <w:tc>
          <w:tcPr>
            <w:tcW w:w="1209" w:type="dxa"/>
            <w:shd w:val="pct20" w:color="auto" w:fill="auto"/>
            <w:vAlign w:val="center"/>
          </w:tcPr>
          <w:p w14:paraId="5B1F6A7D" w14:textId="77777777" w:rsidR="004C5B0C" w:rsidRPr="001569FB" w:rsidRDefault="004C5B0C" w:rsidP="004C5B0C">
            <w:pPr>
              <w:keepNext/>
              <w:keepLines/>
              <w:spacing w:line="240" w:lineRule="auto"/>
              <w:jc w:val="center"/>
              <w:rPr>
                <w:b/>
                <w:iCs/>
              </w:rPr>
            </w:pPr>
            <w:r w:rsidRPr="001569FB">
              <w:rPr>
                <w:b/>
                <w:iCs/>
              </w:rPr>
              <w:t>Number of Cases that should be in the IRE (n)</w:t>
            </w:r>
          </w:p>
        </w:tc>
        <w:tc>
          <w:tcPr>
            <w:tcW w:w="1363" w:type="dxa"/>
            <w:shd w:val="pct20" w:color="auto" w:fill="auto"/>
            <w:vAlign w:val="center"/>
          </w:tcPr>
          <w:p w14:paraId="5F451BAB" w14:textId="77777777" w:rsidR="004C5B0C" w:rsidRPr="001569FB" w:rsidRDefault="004C5B0C" w:rsidP="004C5B0C">
            <w:pPr>
              <w:keepNext/>
              <w:keepLines/>
              <w:spacing w:line="240" w:lineRule="auto"/>
              <w:jc w:val="center"/>
              <w:rPr>
                <w:b/>
                <w:iCs/>
              </w:rPr>
            </w:pPr>
            <w:r w:rsidRPr="001569FB">
              <w:rPr>
                <w:b/>
                <w:iCs/>
              </w:rPr>
              <w:t>Projected Number of Cases not Forwarded</w:t>
            </w:r>
          </w:p>
        </w:tc>
        <w:tc>
          <w:tcPr>
            <w:tcW w:w="1345" w:type="dxa"/>
            <w:shd w:val="pct20" w:color="auto" w:fill="auto"/>
            <w:vAlign w:val="center"/>
          </w:tcPr>
          <w:p w14:paraId="79435C4A" w14:textId="77777777" w:rsidR="004C5B0C" w:rsidRPr="001569FB" w:rsidRDefault="004C5B0C" w:rsidP="004C5B0C">
            <w:pPr>
              <w:keepNext/>
              <w:keepLines/>
              <w:spacing w:line="240" w:lineRule="auto"/>
              <w:jc w:val="center"/>
              <w:rPr>
                <w:b/>
                <w:iCs/>
              </w:rPr>
            </w:pPr>
            <w:r w:rsidRPr="001569FB">
              <w:rPr>
                <w:b/>
                <w:iCs/>
              </w:rPr>
              <w:t>Calculated Error Rate (%)</w:t>
            </w:r>
          </w:p>
        </w:tc>
      </w:tr>
      <w:tr w:rsidR="004C5B0C" w:rsidRPr="001569FB" w14:paraId="1BE11774" w14:textId="77777777" w:rsidTr="004C5B0C">
        <w:trPr>
          <w:jc w:val="center"/>
        </w:trPr>
        <w:tc>
          <w:tcPr>
            <w:tcW w:w="1165" w:type="dxa"/>
            <w:vAlign w:val="center"/>
          </w:tcPr>
          <w:p w14:paraId="19072BD1" w14:textId="77777777" w:rsidR="004C5B0C" w:rsidRPr="001569FB" w:rsidRDefault="004C5B0C" w:rsidP="004C5B0C">
            <w:pPr>
              <w:keepNext/>
              <w:keepLines/>
              <w:spacing w:line="240" w:lineRule="auto"/>
              <w:jc w:val="center"/>
              <w:rPr>
                <w:b/>
                <w:iCs/>
              </w:rPr>
            </w:pPr>
            <w:r w:rsidRPr="001569FB">
              <w:rPr>
                <w:b/>
                <w:iCs/>
              </w:rPr>
              <w:t>A</w:t>
            </w:r>
          </w:p>
        </w:tc>
        <w:tc>
          <w:tcPr>
            <w:tcW w:w="1390" w:type="dxa"/>
            <w:vAlign w:val="center"/>
          </w:tcPr>
          <w:p w14:paraId="4328ACB8" w14:textId="77777777" w:rsidR="004C5B0C" w:rsidRPr="001569FB" w:rsidRDefault="004C5B0C" w:rsidP="004C5B0C">
            <w:pPr>
              <w:keepNext/>
              <w:keepLines/>
              <w:spacing w:line="240" w:lineRule="auto"/>
              <w:jc w:val="center"/>
              <w:rPr>
                <w:iCs/>
              </w:rPr>
            </w:pPr>
            <w:r w:rsidRPr="001569FB">
              <w:rPr>
                <w:iCs/>
              </w:rPr>
              <w:t>10,000</w:t>
            </w:r>
          </w:p>
        </w:tc>
        <w:tc>
          <w:tcPr>
            <w:tcW w:w="1442" w:type="dxa"/>
            <w:vAlign w:val="center"/>
          </w:tcPr>
          <w:p w14:paraId="0A76E6BD" w14:textId="77777777" w:rsidR="004C5B0C" w:rsidRPr="001569FB" w:rsidRDefault="004C5B0C" w:rsidP="004C5B0C">
            <w:pPr>
              <w:keepNext/>
              <w:keepLines/>
              <w:spacing w:line="240" w:lineRule="auto"/>
              <w:jc w:val="center"/>
              <w:rPr>
                <w:iCs/>
              </w:rPr>
            </w:pPr>
            <w:r w:rsidRPr="001569FB">
              <w:rPr>
                <w:iCs/>
              </w:rPr>
              <w:t>6</w:t>
            </w:r>
          </w:p>
        </w:tc>
        <w:tc>
          <w:tcPr>
            <w:tcW w:w="1436" w:type="dxa"/>
            <w:shd w:val="clear" w:color="auto" w:fill="auto"/>
            <w:vAlign w:val="center"/>
          </w:tcPr>
          <w:p w14:paraId="0E7E969D" w14:textId="77777777" w:rsidR="004C5B0C" w:rsidRPr="001569FB" w:rsidRDefault="004C5B0C" w:rsidP="004C5B0C">
            <w:pPr>
              <w:keepNext/>
              <w:keepLines/>
              <w:spacing w:line="240" w:lineRule="auto"/>
              <w:jc w:val="center"/>
              <w:rPr>
                <w:iCs/>
              </w:rPr>
            </w:pPr>
            <w:r w:rsidRPr="001569FB">
              <w:rPr>
                <w:iCs/>
              </w:rPr>
              <w:t>2</w:t>
            </w:r>
          </w:p>
        </w:tc>
        <w:tc>
          <w:tcPr>
            <w:tcW w:w="1209" w:type="dxa"/>
            <w:vAlign w:val="center"/>
          </w:tcPr>
          <w:p w14:paraId="2964B01F" w14:textId="77777777" w:rsidR="004C5B0C" w:rsidRPr="001569FB" w:rsidRDefault="004C5B0C" w:rsidP="004C5B0C">
            <w:pPr>
              <w:keepNext/>
              <w:keepLines/>
              <w:spacing w:line="240" w:lineRule="auto"/>
              <w:jc w:val="center"/>
              <w:rPr>
                <w:iCs/>
              </w:rPr>
            </w:pPr>
            <w:r w:rsidRPr="001569FB">
              <w:rPr>
                <w:iCs/>
              </w:rPr>
              <w:t>8</w:t>
            </w:r>
          </w:p>
        </w:tc>
        <w:tc>
          <w:tcPr>
            <w:tcW w:w="1363" w:type="dxa"/>
            <w:shd w:val="clear" w:color="auto" w:fill="auto"/>
            <w:vAlign w:val="center"/>
          </w:tcPr>
          <w:p w14:paraId="16C559C0" w14:textId="77777777" w:rsidR="004C5B0C" w:rsidRPr="001569FB" w:rsidRDefault="004C5B0C" w:rsidP="004C5B0C">
            <w:pPr>
              <w:keepNext/>
              <w:keepLines/>
              <w:spacing w:line="240" w:lineRule="auto"/>
              <w:jc w:val="center"/>
              <w:rPr>
                <w:iCs/>
              </w:rPr>
            </w:pPr>
            <w:r w:rsidRPr="001569FB">
              <w:rPr>
                <w:iCs/>
              </w:rPr>
              <w:t>6</w:t>
            </w:r>
          </w:p>
        </w:tc>
        <w:tc>
          <w:tcPr>
            <w:tcW w:w="1345" w:type="dxa"/>
            <w:vAlign w:val="center"/>
          </w:tcPr>
          <w:p w14:paraId="2C10CEFA" w14:textId="77777777" w:rsidR="004C5B0C" w:rsidRPr="001569FB" w:rsidRDefault="004C5B0C" w:rsidP="004C5B0C">
            <w:pPr>
              <w:keepNext/>
              <w:keepLines/>
              <w:spacing w:line="240" w:lineRule="auto"/>
              <w:jc w:val="center"/>
              <w:rPr>
                <w:iCs/>
              </w:rPr>
            </w:pPr>
            <w:r w:rsidRPr="001569FB">
              <w:rPr>
                <w:iCs/>
              </w:rPr>
              <w:t>75.000000</w:t>
            </w:r>
          </w:p>
        </w:tc>
      </w:tr>
      <w:tr w:rsidR="004C5B0C" w:rsidRPr="001569FB" w14:paraId="055973D4" w14:textId="77777777" w:rsidTr="004C5B0C">
        <w:trPr>
          <w:jc w:val="center"/>
        </w:trPr>
        <w:tc>
          <w:tcPr>
            <w:tcW w:w="1165" w:type="dxa"/>
            <w:vAlign w:val="center"/>
          </w:tcPr>
          <w:p w14:paraId="254D6D52" w14:textId="77777777" w:rsidR="004C5B0C" w:rsidRPr="001569FB" w:rsidRDefault="004C5B0C" w:rsidP="004C5B0C">
            <w:pPr>
              <w:spacing w:line="240" w:lineRule="auto"/>
              <w:jc w:val="center"/>
              <w:rPr>
                <w:b/>
                <w:iCs/>
              </w:rPr>
            </w:pPr>
            <w:r w:rsidRPr="001569FB">
              <w:rPr>
                <w:b/>
                <w:iCs/>
              </w:rPr>
              <w:t>B</w:t>
            </w:r>
          </w:p>
        </w:tc>
        <w:tc>
          <w:tcPr>
            <w:tcW w:w="1390" w:type="dxa"/>
            <w:vAlign w:val="center"/>
          </w:tcPr>
          <w:p w14:paraId="2667B4C3" w14:textId="77777777" w:rsidR="004C5B0C" w:rsidRPr="001569FB" w:rsidRDefault="004C5B0C" w:rsidP="004C5B0C">
            <w:pPr>
              <w:spacing w:line="240" w:lineRule="auto"/>
              <w:jc w:val="center"/>
              <w:rPr>
                <w:iCs/>
              </w:rPr>
            </w:pPr>
            <w:r w:rsidRPr="001569FB">
              <w:rPr>
                <w:iCs/>
              </w:rPr>
              <w:t>75,000</w:t>
            </w:r>
          </w:p>
        </w:tc>
        <w:tc>
          <w:tcPr>
            <w:tcW w:w="1442" w:type="dxa"/>
            <w:vAlign w:val="center"/>
          </w:tcPr>
          <w:p w14:paraId="738E6BBD" w14:textId="77777777" w:rsidR="004C5B0C" w:rsidRPr="001569FB" w:rsidRDefault="004C5B0C" w:rsidP="004C5B0C">
            <w:pPr>
              <w:spacing w:line="240" w:lineRule="auto"/>
              <w:jc w:val="center"/>
              <w:rPr>
                <w:iCs/>
              </w:rPr>
            </w:pPr>
            <w:r w:rsidRPr="001569FB">
              <w:rPr>
                <w:iCs/>
              </w:rPr>
              <w:t>7</w:t>
            </w:r>
          </w:p>
        </w:tc>
        <w:tc>
          <w:tcPr>
            <w:tcW w:w="1436" w:type="dxa"/>
            <w:vAlign w:val="center"/>
          </w:tcPr>
          <w:p w14:paraId="39C815C4" w14:textId="77777777" w:rsidR="004C5B0C" w:rsidRPr="001569FB" w:rsidRDefault="004C5B0C" w:rsidP="004C5B0C">
            <w:pPr>
              <w:spacing w:line="240" w:lineRule="auto"/>
              <w:jc w:val="center"/>
              <w:rPr>
                <w:iCs/>
              </w:rPr>
            </w:pPr>
            <w:r w:rsidRPr="001569FB">
              <w:rPr>
                <w:iCs/>
              </w:rPr>
              <w:t>1</w:t>
            </w:r>
          </w:p>
        </w:tc>
        <w:tc>
          <w:tcPr>
            <w:tcW w:w="1209" w:type="dxa"/>
            <w:vAlign w:val="center"/>
          </w:tcPr>
          <w:p w14:paraId="4BF7CD74" w14:textId="77777777" w:rsidR="004C5B0C" w:rsidRPr="001569FB" w:rsidRDefault="004C5B0C" w:rsidP="004C5B0C">
            <w:pPr>
              <w:spacing w:line="240" w:lineRule="auto"/>
              <w:jc w:val="center"/>
              <w:rPr>
                <w:iCs/>
              </w:rPr>
            </w:pPr>
            <w:r w:rsidRPr="001569FB">
              <w:rPr>
                <w:iCs/>
              </w:rPr>
              <w:t>8</w:t>
            </w:r>
          </w:p>
        </w:tc>
        <w:tc>
          <w:tcPr>
            <w:tcW w:w="1363" w:type="dxa"/>
            <w:vAlign w:val="center"/>
          </w:tcPr>
          <w:p w14:paraId="7C91BF64" w14:textId="77777777" w:rsidR="004C5B0C" w:rsidRPr="001569FB" w:rsidRDefault="004C5B0C" w:rsidP="004C5B0C">
            <w:pPr>
              <w:spacing w:line="240" w:lineRule="auto"/>
              <w:jc w:val="center"/>
              <w:rPr>
                <w:iCs/>
              </w:rPr>
            </w:pPr>
            <w:r w:rsidRPr="001569FB">
              <w:rPr>
                <w:iCs/>
              </w:rPr>
              <w:t>10.5</w:t>
            </w:r>
          </w:p>
        </w:tc>
        <w:tc>
          <w:tcPr>
            <w:tcW w:w="1345" w:type="dxa"/>
            <w:vAlign w:val="center"/>
          </w:tcPr>
          <w:p w14:paraId="7E6860E0" w14:textId="77777777" w:rsidR="004C5B0C" w:rsidRPr="001569FB" w:rsidRDefault="004C5B0C" w:rsidP="004C5B0C">
            <w:pPr>
              <w:spacing w:line="240" w:lineRule="auto"/>
              <w:jc w:val="center"/>
              <w:rPr>
                <w:iCs/>
              </w:rPr>
            </w:pPr>
            <w:r w:rsidRPr="001569FB">
              <w:rPr>
                <w:iCs/>
              </w:rPr>
              <w:t>87.500000</w:t>
            </w:r>
          </w:p>
        </w:tc>
      </w:tr>
    </w:tbl>
    <w:p w14:paraId="53BD48A2" w14:textId="77777777" w:rsidR="004C5B0C" w:rsidRPr="001569FB" w:rsidRDefault="004C5B0C" w:rsidP="00CB7A65">
      <w:pPr>
        <w:spacing w:before="600" w:after="200"/>
        <w:rPr>
          <w:iCs/>
        </w:rPr>
      </w:pPr>
      <w:r w:rsidRPr="001569FB">
        <w:rPr>
          <w:b/>
          <w:iCs/>
        </w:rPr>
        <w:t>Contract A</w:t>
      </w:r>
      <w:r w:rsidRPr="001569FB">
        <w:rPr>
          <w:iCs/>
        </w:rPr>
        <w:t xml:space="preserve"> has a mean annual enrollment of 10,000. The contract submitted TMP data using a three-month time period. The TMP data revealed that 6 cases were not forwarded to the IRE and 2 cases were sent to the IRE in the time period.</w:t>
      </w:r>
    </w:p>
    <w:p w14:paraId="1F9846AB" w14:textId="77777777" w:rsidR="004C5B0C" w:rsidRPr="001569FB" w:rsidRDefault="004C5B0C" w:rsidP="00CB7A65">
      <w:pPr>
        <w:spacing w:after="200"/>
        <w:rPr>
          <w:iCs/>
        </w:rPr>
      </w:pPr>
      <w:r w:rsidRPr="001569FB">
        <w:rPr>
          <w:iCs/>
        </w:rPr>
        <w:t>The contract’s calculated error rate is found by dividing the number of cases not forwarded to the IRE by the total number of cases that should have been in the IRE. This results in a numerator of 6 and a denominator of 8 (2 cases in the IRE plus the 6 cases that were not forwarded to the IRE) or a calculated error rate of 6/8 = 0.75000000 or 75%.</w:t>
      </w:r>
    </w:p>
    <w:p w14:paraId="2FDBE377" w14:textId="77777777" w:rsidR="004C5B0C" w:rsidRPr="001569FB" w:rsidRDefault="004C5B0C" w:rsidP="00CB7A65">
      <w:pPr>
        <w:spacing w:after="200"/>
        <w:rPr>
          <w:iCs/>
        </w:rPr>
      </w:pPr>
      <w:r w:rsidRPr="001569FB">
        <w:rPr>
          <w:iCs/>
        </w:rPr>
        <w:t>The number of cases not forwarded in the TMP time period of 3 months is 6. Since the contract’s enrollment was under 50,000, the projected number of cases not forwarded is found by multiplying the number of cases not forwarded by a factor of 1.0. In other words, if a contract has an enrollment less than 50,000, the projected number of cases not submitted to the IRE is the same as the number of cases not submitted to the IRE in the TMP data. For Contract A, the projected number of cases not submitted to the IRE is 6.</w:t>
      </w:r>
    </w:p>
    <w:p w14:paraId="21B221CD" w14:textId="77777777" w:rsidR="004C5B0C" w:rsidRPr="001569FB" w:rsidRDefault="004C5B0C" w:rsidP="00CB7A65">
      <w:pPr>
        <w:spacing w:after="200"/>
        <w:rPr>
          <w:iCs/>
        </w:rPr>
      </w:pPr>
      <w:r w:rsidRPr="001569FB">
        <w:rPr>
          <w:iCs/>
        </w:rPr>
        <w:t>The contract is not subject to a possible reduction because the projected number of cases not forwarded in a 3-month period to the IRE is less than 10. The contract receives the calculated measure-level Star Rating as detailed in the 2019 Star Ratings Technical Notes without a reduction for IRE data completeness issues.</w:t>
      </w:r>
    </w:p>
    <w:p w14:paraId="49C77995" w14:textId="77777777" w:rsidR="004C5B0C" w:rsidRPr="001569FB" w:rsidRDefault="004C5B0C" w:rsidP="004C5B0C">
      <w:pPr>
        <w:rPr>
          <w:iCs/>
        </w:rPr>
      </w:pPr>
      <w:r w:rsidRPr="001569FB">
        <w:rPr>
          <w:b/>
        </w:rPr>
        <w:t xml:space="preserve">Contract B </w:t>
      </w:r>
      <w:r w:rsidRPr="001569FB">
        <w:t xml:space="preserve">has a mean annual enrollment of 75,000. </w:t>
      </w:r>
      <w:r w:rsidRPr="001569FB">
        <w:rPr>
          <w:iCs/>
        </w:rPr>
        <w:t>The contract submitted TMP data using a two-month time period. The TMP data revealed that 7 cases were not forwarded to the IRE and 1 case was sent to the IRE in the time period.</w:t>
      </w:r>
    </w:p>
    <w:p w14:paraId="0490273E" w14:textId="77777777" w:rsidR="004C5B0C" w:rsidRPr="001569FB" w:rsidRDefault="004C5B0C" w:rsidP="004C5B0C">
      <w:pPr>
        <w:spacing w:before="200"/>
        <w:rPr>
          <w:iCs/>
        </w:rPr>
      </w:pPr>
      <w:r w:rsidRPr="001569FB">
        <w:rPr>
          <w:iCs/>
        </w:rPr>
        <w:t>The contract’s calculated error rate is found by dividing the number of cases not forwarded to the IRE by the total number of cases that should have been sent to the IRE.  This results in a numerator of 7 and a denominator of 8 (1 case in the IRE plus the 7 cases that were not forwarded to the IRE) or a calculated error rate of 7/8 = 0.87500000 or 87.5%.</w:t>
      </w:r>
    </w:p>
    <w:p w14:paraId="293E2E65" w14:textId="77777777" w:rsidR="004C5B0C" w:rsidRPr="001569FB" w:rsidRDefault="004C5B0C" w:rsidP="004C5B0C">
      <w:pPr>
        <w:spacing w:before="200"/>
        <w:rPr>
          <w:iCs/>
        </w:rPr>
      </w:pPr>
      <w:r w:rsidRPr="001569FB">
        <w:rPr>
          <w:iCs/>
        </w:rPr>
        <w:t xml:space="preserve">The projected number of cases not forwarded to the IRE in a 3-month period for Contract B is found by multiplying the number of cases not forwarded to the IRE in the TMP data (7) and the </w:t>
      </w:r>
      <w:r w:rsidRPr="001569FB">
        <w:rPr>
          <w:iCs/>
        </w:rPr>
        <w:lastRenderedPageBreak/>
        <w:t>constant 1.5, since the contract had a mean annual enrollment between 50,000 and 250,000 beneficiaries. Thus, for Contract B, the projected number of cases not submitted to the IRE is 7 times the constant 1.5 or 10.5 cases.</w:t>
      </w:r>
    </w:p>
    <w:p w14:paraId="5186AD5C" w14:textId="77777777" w:rsidR="004C5B0C" w:rsidRPr="001569FB" w:rsidRDefault="004C5B0C" w:rsidP="001569FB">
      <w:pPr>
        <w:spacing w:before="200" w:after="200"/>
        <w:rPr>
          <w:iCs/>
        </w:rPr>
      </w:pPr>
      <w:r w:rsidRPr="001569FB">
        <w:rPr>
          <w:iCs/>
        </w:rPr>
        <w:t>Contract B is subject to possible reductions for IRE data completeness issues because the calculated error rate is 20% or greater and the projected number of cases not submitted to the IRE exceeds 10.</w:t>
      </w:r>
    </w:p>
    <w:p w14:paraId="36B58601" w14:textId="77777777" w:rsidR="004C5B0C" w:rsidRPr="001569FB" w:rsidRDefault="004C5B0C" w:rsidP="001569FB">
      <w:pPr>
        <w:spacing w:after="200"/>
        <w:rPr>
          <w:color w:val="000000"/>
        </w:rPr>
      </w:pPr>
      <w:r w:rsidRPr="001569FB">
        <w:rPr>
          <w:iCs/>
        </w:rPr>
        <w:t xml:space="preserve">Next, the midpoint of the score interval is calculated using Equation 4 substituting the calculated error rate of 0.87500000 (87.500000%) for </w:t>
      </w:r>
      <m:oMath>
        <m:acc>
          <m:accPr>
            <m:ctrlPr>
              <w:rPr>
                <w:rFonts w:ascii="Cambria Math" w:hAnsi="Cambria Math"/>
                <w:i/>
                <w:iCs/>
              </w:rPr>
            </m:ctrlPr>
          </m:accPr>
          <m:e>
            <m:r>
              <w:rPr>
                <w:rFonts w:ascii="Cambria Math" w:hAnsi="Cambria Math"/>
              </w:rPr>
              <m:t>p</m:t>
            </m:r>
          </m:e>
        </m:acc>
      </m:oMath>
      <w:r w:rsidRPr="001569FB">
        <w:rPr>
          <w:iCs/>
        </w:rPr>
        <w:t xml:space="preserve">, the total number of cases of 8 for n, and a z score of </w:t>
      </w:r>
      <w:r w:rsidRPr="001569FB">
        <w:rPr>
          <w:color w:val="000000"/>
        </w:rPr>
        <w:t xml:space="preserve">1.959964. </w:t>
      </w:r>
    </w:p>
    <w:p w14:paraId="6CE29732" w14:textId="77777777" w:rsidR="004C5B0C" w:rsidRPr="001569FB" w:rsidRDefault="004C5B0C" w:rsidP="001569FB">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4BCF5A44" w14:textId="77777777" w:rsidR="004C5B0C" w:rsidRPr="001569FB" w:rsidRDefault="004C5B0C" w:rsidP="001569FB">
      <w:pPr>
        <w:spacing w:after="200"/>
        <w:rPr>
          <w:iCs/>
        </w:rPr>
      </w:pPr>
      <m:oMathPara>
        <m:oMathParaPr>
          <m:jc m:val="left"/>
        </m:oMathParaPr>
        <m:oMath>
          <m:r>
            <w:rPr>
              <w:rFonts w:ascii="Cambria Math" w:hAnsi="Cambria Math"/>
            </w:rPr>
            <m:t xml:space="preserve">Midpoint= </m:t>
          </m:r>
          <m:r>
            <m:rPr>
              <m:sty m:val="p"/>
            </m:rPr>
            <w:rPr>
              <w:rFonts w:ascii="Cambria Math" w:hAnsi="Cambria Math"/>
            </w:rPr>
            <m:t>(0.87500000)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8</m:t>
                  </m:r>
                </m:num>
                <m:den>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6CC6BB57" w14:textId="77777777" w:rsidR="004C5B0C" w:rsidRPr="001569FB" w:rsidRDefault="004C5B0C" w:rsidP="001569FB">
      <w:pPr>
        <w:spacing w:after="200"/>
        <w:rPr>
          <w:color w:val="000000"/>
        </w:rPr>
      </w:pPr>
      <w:r w:rsidRPr="001569FB">
        <w:rPr>
          <w:color w:val="000000"/>
        </w:rPr>
        <w:t xml:space="preserve">This results in a midpoint of 0.75334716 (75.334716%). </w:t>
      </w:r>
    </w:p>
    <w:p w14:paraId="1F0DF43D" w14:textId="77777777" w:rsidR="004C5B0C" w:rsidRPr="001569FB" w:rsidRDefault="004C5B0C" w:rsidP="001569FB">
      <w:pPr>
        <w:spacing w:after="200"/>
        <w:rPr>
          <w:color w:val="000000"/>
        </w:rPr>
      </w:pPr>
      <w:r w:rsidRPr="001569FB">
        <w:rPr>
          <w:color w:val="000000"/>
        </w:rPr>
        <w:t xml:space="preserve">The lower bound of the confidence interval is determined using Equation 5. The values substituted in the Equation 5 are consistent with the values used above. </w:t>
      </w:r>
    </w:p>
    <w:p w14:paraId="755F96E8" w14:textId="77777777" w:rsidR="004C5B0C" w:rsidRPr="001569FB" w:rsidRDefault="004C5B0C" w:rsidP="001569FB">
      <w:pPr>
        <w:spacing w:after="200"/>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6F2D3ECF" w14:textId="77777777" w:rsidR="004C5B0C" w:rsidRPr="001569FB" w:rsidRDefault="004C5B0C" w:rsidP="001569FB">
      <w:pPr>
        <w:spacing w:before="600" w:after="200"/>
        <w:rPr>
          <w:color w:val="000000"/>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rPr>
            <m:t xml:space="preserve">0.75334716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8</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35CF8735" w14:textId="77777777" w:rsidR="004C5B0C" w:rsidRPr="001569FB" w:rsidRDefault="004C5B0C" w:rsidP="001569FB">
      <w:pPr>
        <w:spacing w:after="200"/>
        <w:rPr>
          <w:color w:val="000000"/>
        </w:rPr>
      </w:pPr>
      <w:r w:rsidRPr="001569FB">
        <w:rPr>
          <w:i/>
          <w:color w:val="000000"/>
        </w:rPr>
        <w:t>Lower Bound</w:t>
      </w:r>
      <w:r w:rsidRPr="001569FB">
        <w:rPr>
          <w:color w:val="000000"/>
        </w:rPr>
        <w:t xml:space="preserve"> = 0.75334716 − 0.22423535 = 0.52911182</w:t>
      </w:r>
      <w:r w:rsidRPr="001569FB">
        <w:rPr>
          <w:color w:val="4D4D4D"/>
        </w:rPr>
        <w:t xml:space="preserve"> </w:t>
      </w:r>
      <w:r w:rsidRPr="001569FB">
        <w:rPr>
          <w:color w:val="000000"/>
        </w:rPr>
        <w:t>(</w:t>
      </w:r>
      <w:r w:rsidRPr="001569FB">
        <w:rPr>
          <w:color w:val="4D4D4D"/>
        </w:rPr>
        <w:t>52.911182</w:t>
      </w:r>
      <w:r w:rsidRPr="001569FB">
        <w:rPr>
          <w:color w:val="000000"/>
        </w:rPr>
        <w:t>%).</w:t>
      </w:r>
    </w:p>
    <w:p w14:paraId="7582C767" w14:textId="77777777" w:rsidR="004C5B0C" w:rsidRPr="001569FB" w:rsidRDefault="004C5B0C" w:rsidP="001569FB">
      <w:pPr>
        <w:keepNext/>
        <w:spacing w:after="200"/>
        <w:rPr>
          <w:color w:val="000000"/>
        </w:rPr>
      </w:pPr>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 xml:space="preserve">values of 20%, 40%, 60% and 80%.  Since the lower bound (52.911182%) is greater than 40%, but less than 60%, the contract’s two Part C appeals measure would be reduced by 2 stars due to IRE data completeness issues. The reduction would be applied after the measure-level Star Ratings are calculated as detailed in the 2019 Technical Notes. The maximum measure-level Star Rating Contract B could receive for the two Part C appeals measures is 3 stars.  If the application of the </w:t>
      </w:r>
      <w:r w:rsidRPr="001569FB">
        <w:rPr>
          <w:color w:val="000000"/>
        </w:rPr>
        <w:lastRenderedPageBreak/>
        <w:t>2-star reduction to the associated Part C appeals measure-level stars results in a measure-level Star Rating less than 1 star, the contract’s Part C appeals measure would be rated 1 star.</w:t>
      </w:r>
    </w:p>
    <w:p w14:paraId="3528C1BD" w14:textId="77777777" w:rsidR="004C5B0C" w:rsidRPr="001569FB" w:rsidRDefault="004C5B0C" w:rsidP="004C5B0C">
      <w:pPr>
        <w:pStyle w:val="Caption"/>
      </w:pPr>
      <w:r w:rsidRPr="001569FB">
        <w:t xml:space="preserve">Table </w:t>
      </w:r>
      <w:fldSimple w:instr=" SEQ Table \* ARABIC ">
        <w:r w:rsidR="00A216EC">
          <w:rPr>
            <w:noProof/>
          </w:rPr>
          <w:t>3</w:t>
        </w:r>
      </w:fldSimple>
      <w:r w:rsidRPr="001569FB">
        <w:t>: Part D Appeals Example</w:t>
      </w:r>
    </w:p>
    <w:tbl>
      <w:tblPr>
        <w:tblStyle w:val="TableGrid"/>
        <w:tblW w:w="0" w:type="auto"/>
        <w:jc w:val="center"/>
        <w:tblLook w:val="04A0" w:firstRow="1" w:lastRow="0" w:firstColumn="1" w:lastColumn="0" w:noHBand="0" w:noVBand="1"/>
      </w:tblPr>
      <w:tblGrid>
        <w:gridCol w:w="1458"/>
        <w:gridCol w:w="1518"/>
        <w:gridCol w:w="1363"/>
        <w:gridCol w:w="1464"/>
        <w:gridCol w:w="1513"/>
        <w:gridCol w:w="1503"/>
      </w:tblGrid>
      <w:tr w:rsidR="004C5B0C" w:rsidRPr="001569FB" w14:paraId="6C9DC822" w14:textId="77777777" w:rsidTr="004C5B0C">
        <w:trPr>
          <w:cantSplit/>
          <w:tblHeader/>
          <w:jc w:val="center"/>
        </w:trPr>
        <w:tc>
          <w:tcPr>
            <w:tcW w:w="1458" w:type="dxa"/>
            <w:shd w:val="pct20" w:color="auto" w:fill="auto"/>
            <w:vAlign w:val="center"/>
          </w:tcPr>
          <w:p w14:paraId="779D4B4B" w14:textId="77777777" w:rsidR="004C5B0C" w:rsidRPr="001569FB" w:rsidRDefault="004C5B0C" w:rsidP="004C5B0C">
            <w:pPr>
              <w:keepNext/>
              <w:keepLines/>
              <w:spacing w:line="240" w:lineRule="auto"/>
              <w:jc w:val="center"/>
              <w:rPr>
                <w:b/>
                <w:iCs/>
              </w:rPr>
            </w:pPr>
            <w:r w:rsidRPr="001569FB">
              <w:rPr>
                <w:b/>
                <w:iCs/>
              </w:rPr>
              <w:t>Contract</w:t>
            </w:r>
          </w:p>
        </w:tc>
        <w:tc>
          <w:tcPr>
            <w:tcW w:w="1518" w:type="dxa"/>
            <w:shd w:val="pct20" w:color="auto" w:fill="auto"/>
            <w:vAlign w:val="center"/>
          </w:tcPr>
          <w:p w14:paraId="685E8211" w14:textId="77777777" w:rsidR="004C5B0C" w:rsidRPr="001569FB" w:rsidRDefault="004C5B0C" w:rsidP="004C5B0C">
            <w:pPr>
              <w:keepNext/>
              <w:keepLines/>
              <w:spacing w:line="240" w:lineRule="auto"/>
              <w:jc w:val="center"/>
              <w:rPr>
                <w:b/>
                <w:iCs/>
              </w:rPr>
            </w:pPr>
            <w:r w:rsidRPr="001569FB">
              <w:rPr>
                <w:b/>
                <w:iCs/>
              </w:rPr>
              <w:t>Enrollment</w:t>
            </w:r>
          </w:p>
        </w:tc>
        <w:tc>
          <w:tcPr>
            <w:tcW w:w="1363" w:type="dxa"/>
            <w:shd w:val="pct20" w:color="auto" w:fill="auto"/>
            <w:vAlign w:val="center"/>
          </w:tcPr>
          <w:p w14:paraId="0CB0AFE7" w14:textId="77777777" w:rsidR="004C5B0C" w:rsidRPr="001569FB" w:rsidRDefault="004C5B0C" w:rsidP="004C5B0C">
            <w:pPr>
              <w:keepNext/>
              <w:keepLines/>
              <w:spacing w:line="240" w:lineRule="auto"/>
              <w:jc w:val="center"/>
              <w:rPr>
                <w:b/>
                <w:color w:val="000000"/>
              </w:rPr>
            </w:pPr>
            <w:r w:rsidRPr="001569FB">
              <w:rPr>
                <w:b/>
                <w:color w:val="000000"/>
              </w:rPr>
              <w:t>Number of Untimely Cases Not Auto-Forwarded</w:t>
            </w:r>
          </w:p>
        </w:tc>
        <w:tc>
          <w:tcPr>
            <w:tcW w:w="1464" w:type="dxa"/>
            <w:shd w:val="pct20" w:color="auto" w:fill="auto"/>
            <w:vAlign w:val="center"/>
          </w:tcPr>
          <w:p w14:paraId="7158EFB5" w14:textId="77777777" w:rsidR="004C5B0C" w:rsidRPr="001569FB" w:rsidRDefault="004C5B0C" w:rsidP="004C5B0C">
            <w:pPr>
              <w:keepNext/>
              <w:keepLines/>
              <w:spacing w:line="240" w:lineRule="auto"/>
              <w:jc w:val="center"/>
              <w:rPr>
                <w:b/>
                <w:iCs/>
              </w:rPr>
            </w:pPr>
            <w:r w:rsidRPr="001569FB">
              <w:rPr>
                <w:b/>
                <w:color w:val="000000"/>
              </w:rPr>
              <w:t>Number of Untimely Cases</w:t>
            </w:r>
          </w:p>
        </w:tc>
        <w:tc>
          <w:tcPr>
            <w:tcW w:w="1513" w:type="dxa"/>
            <w:shd w:val="pct20" w:color="auto" w:fill="auto"/>
            <w:vAlign w:val="center"/>
          </w:tcPr>
          <w:p w14:paraId="7BF0D4D5" w14:textId="77777777" w:rsidR="004C5B0C" w:rsidRPr="001569FB" w:rsidRDefault="004C5B0C" w:rsidP="004C5B0C">
            <w:pPr>
              <w:keepNext/>
              <w:keepLines/>
              <w:spacing w:line="240" w:lineRule="auto"/>
              <w:jc w:val="center"/>
              <w:rPr>
                <w:b/>
                <w:iCs/>
              </w:rPr>
            </w:pPr>
            <w:r w:rsidRPr="001569FB">
              <w:rPr>
                <w:b/>
                <w:color w:val="000000"/>
              </w:rPr>
              <w:t>Projected Number of Untimely Cases Not Auto-Forwarded</w:t>
            </w:r>
          </w:p>
        </w:tc>
        <w:tc>
          <w:tcPr>
            <w:tcW w:w="1503" w:type="dxa"/>
            <w:shd w:val="pct20" w:color="auto" w:fill="auto"/>
            <w:vAlign w:val="center"/>
          </w:tcPr>
          <w:p w14:paraId="6121E6BD" w14:textId="77777777" w:rsidR="004C5B0C" w:rsidRPr="001569FB" w:rsidRDefault="004C5B0C" w:rsidP="004C5B0C">
            <w:pPr>
              <w:keepNext/>
              <w:keepLines/>
              <w:spacing w:line="240" w:lineRule="auto"/>
              <w:jc w:val="center"/>
              <w:rPr>
                <w:b/>
                <w:iCs/>
              </w:rPr>
            </w:pPr>
            <w:r w:rsidRPr="001569FB">
              <w:rPr>
                <w:b/>
                <w:iCs/>
              </w:rPr>
              <w:t>Calculated Error Rate (%)</w:t>
            </w:r>
          </w:p>
        </w:tc>
      </w:tr>
      <w:tr w:rsidR="004C5B0C" w:rsidRPr="001569FB" w14:paraId="1333C148" w14:textId="77777777" w:rsidTr="004C5B0C">
        <w:trPr>
          <w:jc w:val="center"/>
        </w:trPr>
        <w:tc>
          <w:tcPr>
            <w:tcW w:w="1458" w:type="dxa"/>
            <w:vAlign w:val="center"/>
          </w:tcPr>
          <w:p w14:paraId="7C13BAA2" w14:textId="77777777" w:rsidR="004C5B0C" w:rsidRPr="001569FB" w:rsidRDefault="004C5B0C" w:rsidP="004C5B0C">
            <w:pPr>
              <w:spacing w:line="240" w:lineRule="auto"/>
              <w:jc w:val="center"/>
              <w:rPr>
                <w:iCs/>
              </w:rPr>
            </w:pPr>
            <w:r w:rsidRPr="001569FB">
              <w:rPr>
                <w:iCs/>
              </w:rPr>
              <w:t>D</w:t>
            </w:r>
          </w:p>
        </w:tc>
        <w:tc>
          <w:tcPr>
            <w:tcW w:w="1518" w:type="dxa"/>
            <w:vAlign w:val="center"/>
          </w:tcPr>
          <w:p w14:paraId="1BEBC37A" w14:textId="77777777" w:rsidR="004C5B0C" w:rsidRPr="001569FB" w:rsidRDefault="004C5B0C" w:rsidP="004C5B0C">
            <w:pPr>
              <w:spacing w:line="240" w:lineRule="auto"/>
              <w:jc w:val="center"/>
              <w:rPr>
                <w:iCs/>
              </w:rPr>
            </w:pPr>
            <w:r w:rsidRPr="001569FB">
              <w:rPr>
                <w:iCs/>
              </w:rPr>
              <w:t>350,000</w:t>
            </w:r>
          </w:p>
        </w:tc>
        <w:tc>
          <w:tcPr>
            <w:tcW w:w="1363" w:type="dxa"/>
            <w:vAlign w:val="center"/>
          </w:tcPr>
          <w:p w14:paraId="3EB6E514" w14:textId="77777777" w:rsidR="004C5B0C" w:rsidRPr="001569FB" w:rsidRDefault="004C5B0C" w:rsidP="004C5B0C">
            <w:pPr>
              <w:spacing w:line="240" w:lineRule="auto"/>
              <w:jc w:val="center"/>
              <w:rPr>
                <w:iCs/>
              </w:rPr>
            </w:pPr>
            <w:r w:rsidRPr="001569FB">
              <w:rPr>
                <w:iCs/>
              </w:rPr>
              <w:t>25</w:t>
            </w:r>
          </w:p>
        </w:tc>
        <w:tc>
          <w:tcPr>
            <w:tcW w:w="1464" w:type="dxa"/>
            <w:vAlign w:val="center"/>
          </w:tcPr>
          <w:p w14:paraId="097F0E3B" w14:textId="77777777" w:rsidR="004C5B0C" w:rsidRPr="001569FB" w:rsidRDefault="004C5B0C" w:rsidP="004C5B0C">
            <w:pPr>
              <w:spacing w:line="240" w:lineRule="auto"/>
              <w:jc w:val="center"/>
              <w:rPr>
                <w:iCs/>
              </w:rPr>
            </w:pPr>
            <w:r w:rsidRPr="001569FB">
              <w:rPr>
                <w:iCs/>
              </w:rPr>
              <w:t>28</w:t>
            </w:r>
          </w:p>
        </w:tc>
        <w:tc>
          <w:tcPr>
            <w:tcW w:w="1513" w:type="dxa"/>
            <w:vAlign w:val="center"/>
          </w:tcPr>
          <w:p w14:paraId="6A51985E" w14:textId="77777777" w:rsidR="004C5B0C" w:rsidRPr="001569FB" w:rsidRDefault="004C5B0C" w:rsidP="004C5B0C">
            <w:pPr>
              <w:spacing w:line="240" w:lineRule="auto"/>
              <w:jc w:val="center"/>
              <w:rPr>
                <w:iCs/>
              </w:rPr>
            </w:pPr>
            <w:r w:rsidRPr="001569FB">
              <w:rPr>
                <w:iCs/>
              </w:rPr>
              <w:t>75</w:t>
            </w:r>
          </w:p>
        </w:tc>
        <w:tc>
          <w:tcPr>
            <w:tcW w:w="1503" w:type="dxa"/>
            <w:vAlign w:val="center"/>
          </w:tcPr>
          <w:p w14:paraId="574F2B0F" w14:textId="77777777" w:rsidR="004C5B0C" w:rsidRPr="001569FB" w:rsidRDefault="004C5B0C" w:rsidP="004C5B0C">
            <w:pPr>
              <w:spacing w:line="240" w:lineRule="auto"/>
              <w:jc w:val="center"/>
              <w:rPr>
                <w:iCs/>
              </w:rPr>
            </w:pPr>
            <w:r w:rsidRPr="001569FB">
              <w:rPr>
                <w:iCs/>
              </w:rPr>
              <w:t>89.285714</w:t>
            </w:r>
          </w:p>
        </w:tc>
      </w:tr>
    </w:tbl>
    <w:p w14:paraId="438AB109" w14:textId="77777777" w:rsidR="004C5B0C" w:rsidRPr="001569FB" w:rsidRDefault="004C5B0C" w:rsidP="001569FB">
      <w:pPr>
        <w:spacing w:before="600" w:after="200"/>
        <w:rPr>
          <w:iCs/>
        </w:rPr>
      </w:pPr>
      <w:r w:rsidRPr="001569FB">
        <w:rPr>
          <w:b/>
        </w:rPr>
        <w:t xml:space="preserve">Contract D </w:t>
      </w:r>
      <w:r w:rsidRPr="001569FB">
        <w:t xml:space="preserve">has a mean annual enrollment of 350,000. </w:t>
      </w:r>
      <w:r w:rsidRPr="001569FB">
        <w:rPr>
          <w:iCs/>
        </w:rPr>
        <w:t>The contract submitted TMP data using a one-month time period. The TMP data revealed that 25 untimely cases were not forwarded to the IRE and 28 cases were untimely in the time period.</w:t>
      </w:r>
    </w:p>
    <w:p w14:paraId="3AB683DB" w14:textId="77777777" w:rsidR="004C5B0C" w:rsidRPr="001569FB" w:rsidRDefault="004C5B0C" w:rsidP="001569FB">
      <w:pPr>
        <w:spacing w:after="200"/>
        <w:rPr>
          <w:iCs/>
        </w:rPr>
      </w:pPr>
      <w:r w:rsidRPr="001569FB">
        <w:rPr>
          <w:iCs/>
        </w:rPr>
        <w:t xml:space="preserve">The contract’s calculated error rate is found by dividing the number of untimely cases not auto-forwarded to the IRE by the total number of untimely cases.  This results in a numerator of 25 and a denominator of 28 or a calculated error rate of 25/28 = </w:t>
      </w:r>
      <w:r w:rsidRPr="001569FB">
        <w:rPr>
          <w:color w:val="000000"/>
        </w:rPr>
        <w:t>0.89285714</w:t>
      </w:r>
      <w:r w:rsidRPr="001569FB">
        <w:rPr>
          <w:iCs/>
        </w:rPr>
        <w:t xml:space="preserve"> or 89.285714%.</w:t>
      </w:r>
    </w:p>
    <w:p w14:paraId="06ED3D62" w14:textId="77777777" w:rsidR="004C5B0C" w:rsidRPr="001569FB" w:rsidRDefault="004C5B0C" w:rsidP="001569FB">
      <w:pPr>
        <w:spacing w:after="200"/>
        <w:rPr>
          <w:iCs/>
        </w:rPr>
      </w:pPr>
      <w:r w:rsidRPr="001569FB">
        <w:rPr>
          <w:iCs/>
        </w:rPr>
        <w:t xml:space="preserve">The projected number of untimely cases not auto-forwarded to the IRE for Contract D is found by multiplying the number of untimely cases not auto-forwarded to the IRE in the TMP data (25) and the factor 3.0 since the contract had a mean annual enrollment greater than 250,000 beneficiaries. For Contract D, the projected number of untimely cases not auto-forwarded to the IRE is 25 times the constant 3.0, which is </w:t>
      </w:r>
      <m:oMath>
        <m:r>
          <w:rPr>
            <w:rFonts w:ascii="Cambria Math" w:hAnsi="Cambria Math"/>
          </w:rPr>
          <m:t xml:space="preserve">25×3.0 </m:t>
        </m:r>
      </m:oMath>
      <w:r w:rsidRPr="001569FB">
        <w:rPr>
          <w:iCs/>
        </w:rPr>
        <w:t>or 75 cases.</w:t>
      </w:r>
    </w:p>
    <w:p w14:paraId="56587D64" w14:textId="77777777" w:rsidR="004C5B0C" w:rsidRPr="001569FB" w:rsidRDefault="004C5B0C" w:rsidP="001569FB">
      <w:pPr>
        <w:spacing w:after="200"/>
        <w:rPr>
          <w:iCs/>
        </w:rPr>
      </w:pPr>
      <w:r w:rsidRPr="001569FB">
        <w:rPr>
          <w:iCs/>
        </w:rPr>
        <w:t>Contract D is subject to possible reductions for IRE data completeness issues because the calculated error rate is 20% or greater and the projected number of untimely cases not forwarded to the IRE exceeds 10.</w:t>
      </w:r>
    </w:p>
    <w:p w14:paraId="1BCF464A" w14:textId="77777777" w:rsidR="004C5B0C" w:rsidRPr="001569FB" w:rsidRDefault="004C5B0C" w:rsidP="001569FB">
      <w:pPr>
        <w:spacing w:after="200"/>
        <w:rPr>
          <w:color w:val="000000"/>
        </w:rPr>
      </w:pPr>
      <w:r w:rsidRPr="001569FB">
        <w:rPr>
          <w:iCs/>
        </w:rPr>
        <w:t xml:space="preserve">Next, the midpoint of the score interval is calculated using Equation 4 substituting the calculated error rate of 0.89285714 (89.285714%) for </w:t>
      </w:r>
      <m:oMath>
        <m:acc>
          <m:accPr>
            <m:ctrlPr>
              <w:rPr>
                <w:rFonts w:ascii="Cambria Math" w:hAnsi="Cambria Math"/>
                <w:i/>
                <w:iCs/>
              </w:rPr>
            </m:ctrlPr>
          </m:accPr>
          <m:e>
            <m:r>
              <w:rPr>
                <w:rFonts w:ascii="Cambria Math" w:hAnsi="Cambria Math"/>
              </w:rPr>
              <m:t>p</m:t>
            </m:r>
          </m:e>
        </m:acc>
      </m:oMath>
      <w:r w:rsidRPr="001569FB">
        <w:rPr>
          <w:iCs/>
        </w:rPr>
        <w:t xml:space="preserve">, the total number of untimely cases of 28 for n, and a z score of </w:t>
      </w:r>
      <w:r w:rsidRPr="001569FB">
        <w:rPr>
          <w:color w:val="000000"/>
        </w:rPr>
        <w:t xml:space="preserve">1.959964. </w:t>
      </w:r>
    </w:p>
    <w:p w14:paraId="79C83A01" w14:textId="77777777" w:rsidR="004C5B0C" w:rsidRPr="001569FB" w:rsidRDefault="004C5B0C" w:rsidP="001569FB">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11663040" w14:textId="77777777" w:rsidR="004C5B0C" w:rsidRPr="001569FB" w:rsidRDefault="004C5B0C" w:rsidP="001569FB">
      <w:pPr>
        <w:spacing w:after="200"/>
        <w:rPr>
          <w:iCs/>
        </w:rPr>
      </w:pPr>
      <m:oMathPara>
        <m:oMathParaPr>
          <m:jc m:val="left"/>
        </m:oMathParaPr>
        <m:oMath>
          <m:r>
            <w:rPr>
              <w:rFonts w:ascii="Cambria Math" w:hAnsi="Cambria Math"/>
            </w:rPr>
            <m:t xml:space="preserve">Midpoint= </m:t>
          </m:r>
          <m:r>
            <m:rPr>
              <m:sty m:val="p"/>
            </m:rPr>
            <w:rPr>
              <w:rFonts w:ascii="Cambria Math" w:hAnsi="Cambria Math"/>
            </w:rPr>
            <m:t>(0.89285714)</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28</m:t>
                  </m:r>
                </m:num>
                <m:den>
                  <m:r>
                    <w:rPr>
                      <w:rFonts w:ascii="Cambria Math" w:eastAsiaTheme="minorEastAsia" w:hAnsi="Cambria Math"/>
                    </w:rPr>
                    <m:t>28+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28+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1855D2B5" w14:textId="77777777" w:rsidR="004C5B0C" w:rsidRPr="001569FB" w:rsidRDefault="004C5B0C" w:rsidP="001569FB">
      <w:pPr>
        <w:spacing w:after="200"/>
        <w:rPr>
          <w:color w:val="000000"/>
        </w:rPr>
      </w:pPr>
      <w:r w:rsidRPr="001569FB">
        <w:rPr>
          <w:color w:val="000000"/>
        </w:rPr>
        <w:t>This results in a midpoint of 0.84546156 (84.546156%).</w:t>
      </w:r>
    </w:p>
    <w:p w14:paraId="2F8119DC" w14:textId="77777777" w:rsidR="004C5B0C" w:rsidRPr="001569FB" w:rsidRDefault="004C5B0C" w:rsidP="001569FB">
      <w:pPr>
        <w:spacing w:after="200"/>
        <w:rPr>
          <w:color w:val="000000"/>
        </w:rPr>
      </w:pPr>
      <w:r w:rsidRPr="001569FB">
        <w:rPr>
          <w:color w:val="000000"/>
        </w:rPr>
        <w:lastRenderedPageBreak/>
        <w:t xml:space="preserve">The lower bound of the confidence interval is determined using Equation 5. The values substituted in the Equation 5 are consistent with the values used above. </w:t>
      </w:r>
    </w:p>
    <w:p w14:paraId="06C9D7EE" w14:textId="77777777" w:rsidR="004C5B0C" w:rsidRPr="001569FB" w:rsidRDefault="004C5B0C" w:rsidP="004C5B0C">
      <w:pPr>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086D721F" w14:textId="77777777" w:rsidR="004C5B0C" w:rsidRPr="001569FB" w:rsidRDefault="004C5B0C" w:rsidP="004C5B0C">
      <w:pPr>
        <w:spacing w:before="600" w:after="600"/>
        <w:rPr>
          <w:iCs/>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sz w:val="14"/>
              <w:szCs w:val="14"/>
            </w:rPr>
            <m:t xml:space="preserve">0.845456156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28</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69BFCCA0" w14:textId="77777777" w:rsidR="004C5B0C" w:rsidRPr="001569FB" w:rsidRDefault="004C5B0C" w:rsidP="004C5B0C">
      <w:pPr>
        <w:rPr>
          <w:color w:val="000000"/>
        </w:rPr>
      </w:pPr>
      <w:r w:rsidRPr="001569FB">
        <w:rPr>
          <w:color w:val="000000"/>
        </w:rPr>
        <w:t>Lower Bound = 0.84546156 − 0.11742007 = 0.72804148</w:t>
      </w:r>
    </w:p>
    <w:p w14:paraId="3944A3B2" w14:textId="1558DE06" w:rsidR="00AF04CB" w:rsidRDefault="004C5B0C" w:rsidP="00AF04CB">
      <w:pPr>
        <w:kinsoku w:val="0"/>
        <w:overflowPunct w:val="0"/>
        <w:autoSpaceDE w:val="0"/>
        <w:autoSpaceDN w:val="0"/>
        <w:adjustRightInd w:val="0"/>
        <w:spacing w:before="200"/>
      </w:pPr>
      <w:bookmarkStart w:id="673" w:name="2018_Star_Ratings_Program_and_the_Catego"/>
      <w:bookmarkStart w:id="674" w:name="bookmark6"/>
      <w:bookmarkStart w:id="675" w:name="_Toc493523583"/>
      <w:bookmarkStart w:id="676" w:name="_Toc495652094"/>
      <w:bookmarkEnd w:id="673"/>
      <w:bookmarkEnd w:id="674"/>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20%, 40%, 60%, and 80%. Since the lower bound (72.804148%) is greater than 60%, but less than 80%, the contract’s two Part D appeals measure would be reduced by 3 stars due to IRE data completeness issues. The reduction would be applied after the measure-level Star Ratings are calculated as detailed in the 2019 Technical Notes.  The maximum measure-level Star Rating Contract D could receive for the two Part D appeals measures is 2 stars.  If the application of the 3-star reduction to the associated Part D appeals measure-level stars results in a measure-level Star Rating less than 1 star, the contract’s Part D appeals measure would be rated 1 star.</w:t>
      </w:r>
      <w:r w:rsidR="00AF04CB" w:rsidRPr="00AF04CB">
        <w:t xml:space="preserve"> </w:t>
      </w:r>
    </w:p>
    <w:p w14:paraId="7E1A0D42" w14:textId="0D4A4068" w:rsidR="004C5B0C" w:rsidRPr="001569FB" w:rsidRDefault="00AF04CB" w:rsidP="00AF04CB">
      <w:pPr>
        <w:pStyle w:val="Heading3"/>
      </w:pPr>
      <w:r>
        <w:t xml:space="preserve">Section I </w:t>
      </w:r>
      <w:r w:rsidRPr="001569FB">
        <w:t>Star Ratings</w:t>
      </w:r>
      <w:r>
        <w:t xml:space="preserve"> – Categorical Adjustment Index</w:t>
      </w:r>
    </w:p>
    <w:bookmarkEnd w:id="675"/>
    <w:bookmarkEnd w:id="676"/>
    <w:p w14:paraId="487B95D6" w14:textId="77777777" w:rsidR="004C5B0C" w:rsidRPr="001569FB" w:rsidRDefault="004C5B0C" w:rsidP="004C5B0C">
      <w:pPr>
        <w:pStyle w:val="Heading4"/>
      </w:pPr>
      <w:r w:rsidRPr="001569FB">
        <w:t>2019 Star Ratings Program and the Categorical Adjustment Index</w:t>
      </w:r>
    </w:p>
    <w:p w14:paraId="48300C22" w14:textId="77777777" w:rsidR="004C5B0C" w:rsidRPr="001569FB" w:rsidRDefault="004C5B0C" w:rsidP="004C5B0C">
      <w:pPr>
        <w:pStyle w:val="BodyText0"/>
        <w:kinsoku w:val="0"/>
        <w:overflowPunct w:val="0"/>
        <w:ind w:right="122"/>
      </w:pPr>
      <w:r w:rsidRPr="001569FB">
        <w:t xml:space="preserve">CMS’ interim response to address the within-contract disparity in performance associated with a contract’s percentages of beneficiaries with low income subsidy and dual eligible (LIS/DE) and disability status revealed in our comprehensive research conducted over multiple years culminated in the creation of the Categorical Adjustment Index (CAI). The CAI was first implemented in the 2017 Star Ratings Program. The values and abridged details of the methodology are provided in the annual Medicare Part C &amp; D Star Rating Technical Notes available on the CMS webpage at </w:t>
      </w:r>
      <w:hyperlink r:id="rId49" w:history="1">
        <w:r w:rsidRPr="001569FB">
          <w:rPr>
            <w:color w:val="0000FF"/>
            <w:u w:val="single"/>
          </w:rPr>
          <w:t>http</w:t>
        </w:r>
      </w:hyperlink>
      <w:r w:rsidRPr="001569FB">
        <w:rPr>
          <w:color w:val="0000FF"/>
          <w:u w:val="single"/>
        </w:rPr>
        <w:t>s</w:t>
      </w:r>
      <w:hyperlink r:id="rId50" w:history="1">
        <w:r w:rsidRPr="001569FB">
          <w:rPr>
            <w:color w:val="0000FF"/>
            <w:u w:val="single"/>
          </w:rPr>
          <w:t>://go.cms.gov/partcanddstarratings</w:t>
        </w:r>
      </w:hyperlink>
      <w:r w:rsidRPr="001569FB">
        <w:t>. Additional details of the CAI methodology can be found in the CAI Methodology Supplement available at the same link.</w:t>
      </w:r>
    </w:p>
    <w:p w14:paraId="764E4293" w14:textId="77777777" w:rsidR="004C5B0C" w:rsidRPr="001569FB" w:rsidRDefault="004C5B0C" w:rsidP="004C5B0C">
      <w:pPr>
        <w:pStyle w:val="BodyText0"/>
        <w:kinsoku w:val="0"/>
        <w:overflowPunct w:val="0"/>
        <w:ind w:right="321"/>
        <w:rPr>
          <w:lang w:val="en"/>
        </w:rPr>
      </w:pPr>
      <w:r w:rsidRPr="001569FB">
        <w:t xml:space="preserve">There continues to be additional work in the research community on both identifying the impact of social risk factors on health outcomes and how to best address the impact on clinical quality measurement such that comparisons across contracts yield accurate representations of true differences in quality as opposed to reflections of changes in the composition of beneficiaries in contracts. The final report of the findings of the two-year trial </w:t>
      </w:r>
      <w:r w:rsidRPr="001569FB">
        <w:lastRenderedPageBreak/>
        <w:t xml:space="preserve">period by National Quality Forum (NQF) that </w:t>
      </w:r>
      <w:r w:rsidRPr="001569FB">
        <w:rPr>
          <w:lang w:val="en"/>
        </w:rPr>
        <w:t>temporarily lifted the restriction and allowed risk-adjustment of performance measures for socioeconomic status (SES) and other demographic factors was released in July 2017.</w:t>
      </w:r>
      <w:r w:rsidRPr="001569FB">
        <w:rPr>
          <w:rStyle w:val="FootnoteReference"/>
          <w:lang w:val="en"/>
        </w:rPr>
        <w:footnoteReference w:id="16"/>
      </w:r>
      <w:r w:rsidRPr="001569FB">
        <w:rPr>
          <w:lang w:val="en"/>
        </w:rPr>
        <w:t xml:space="preserve">  NQF has recommended a three-year initiative to further examine and consider social risk adjustment to allow evidence as to whether a change in their longstanding policy prohibiting risk adjustment for SES and other demographic factors should be revised.</w:t>
      </w:r>
    </w:p>
    <w:p w14:paraId="335CF385" w14:textId="77777777" w:rsidR="004C5B0C" w:rsidRPr="001569FB" w:rsidRDefault="004C5B0C" w:rsidP="004C5B0C">
      <w:pPr>
        <w:pStyle w:val="BodyText0"/>
        <w:kinsoku w:val="0"/>
        <w:overflowPunct w:val="0"/>
        <w:ind w:right="321"/>
        <w:rPr>
          <w:lang w:val="en"/>
        </w:rPr>
      </w:pPr>
      <w:r w:rsidRPr="001569FB">
        <w:rPr>
          <w:lang w:val="en"/>
        </w:rPr>
        <w:t xml:space="preserve">We continue to engage the NCQA and PQA </w:t>
      </w:r>
      <w:r w:rsidRPr="001569FB">
        <w:t>to review and determine if any measures are sensitive to the composition of the enrollees in a plan and whether case-mix adjustment of individual measures would be appropriate. The PQA examined their medication adherence measures, which are currently used in the Star Ratings Program, for potential risk adjustment</w:t>
      </w:r>
      <w:r w:rsidRPr="001569FB">
        <w:rPr>
          <w:rStyle w:val="FootnoteReference"/>
        </w:rPr>
        <w:footnoteReference w:id="17"/>
      </w:r>
      <w:r w:rsidRPr="001569FB">
        <w:t xml:space="preserve">.  </w:t>
      </w:r>
      <w:r w:rsidRPr="001569FB">
        <w:rPr>
          <w:lang w:val="en"/>
        </w:rPr>
        <w:t>Beginning in 2018, the PQA will include draft recommendations on risk adjustment of the three medication adherence measures: Medication Adherence for Diabetes Medications, Medication Adherence for Hypertension, and Medication Adherence for Cholesterol.  The draft recommendations are as follows:</w:t>
      </w:r>
    </w:p>
    <w:p w14:paraId="0FF7015F"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 xml:space="preserve">All three adherence measures should be risk adjusted for </w:t>
      </w:r>
      <w:r w:rsidRPr="001569FB">
        <w:t>sociodemographic status (</w:t>
      </w:r>
      <w:r w:rsidRPr="001569FB">
        <w:rPr>
          <w:lang w:val="en"/>
        </w:rPr>
        <w:t>SDS) characteristics to adequately reflect differences in patient populations.</w:t>
      </w:r>
    </w:p>
    <w:p w14:paraId="11FC5B01"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measures should be adjusted for the following beneficiary-level SDS characteristics: age, gender, dual eligibility/LIS status, and disability status.</w:t>
      </w:r>
    </w:p>
    <w:p w14:paraId="193BDF67"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three adherence measures should be stratified by the beneficiary-level SDS characteristics listed above to allow health plans to identify disparities and understand how their patient population mix is affecting their measure rates.</w:t>
      </w:r>
    </w:p>
    <w:p w14:paraId="28F62213" w14:textId="77777777" w:rsidR="004C5B0C" w:rsidRPr="001569FB" w:rsidRDefault="004C5B0C" w:rsidP="004C5B0C">
      <w:pPr>
        <w:pStyle w:val="BodyText0"/>
        <w:kinsoku w:val="0"/>
        <w:overflowPunct w:val="0"/>
        <w:ind w:right="321"/>
      </w:pPr>
      <w:r w:rsidRPr="001569FB">
        <w:t>The PQA has indicated that these draft recommendations will be included in the 2018 PQA Measure Manual, and will be finalized in 2019 once PQA completes the NQF measure</w:t>
      </w:r>
      <w:r w:rsidRPr="001569FB">
        <w:rPr>
          <w:rStyle w:val="apple-converted-space"/>
        </w:rPr>
        <w:t> endorsement maintenance </w:t>
      </w:r>
      <w:r w:rsidRPr="001569FB">
        <w:t xml:space="preserve">of the three measures (NQF Endorsed # 0541).  If finalized, CMS will consider how to implement the PQA recommendations in the future for these Star Ratings measures. </w:t>
      </w:r>
    </w:p>
    <w:p w14:paraId="0585FA76" w14:textId="77777777" w:rsidR="004C5B0C" w:rsidRPr="001569FB" w:rsidRDefault="004C5B0C" w:rsidP="004C5B0C">
      <w:pPr>
        <w:pStyle w:val="BodyText0"/>
        <w:kinsoku w:val="0"/>
        <w:overflowPunct w:val="0"/>
        <w:ind w:right="321"/>
      </w:pPr>
      <w:r w:rsidRPr="001569FB">
        <w:t>NCQA has also completed their examination of a subset of the HEDIS measures used in the Star Ratings Program. NCQA has received approval from the Committee on Performance Measurement (CPM) to implement stratified reporting of four of the measures used in the Star Ratings Program: Breast Cancer Screening, Colorectal Cancer Screening, Comprehensive Diabetes Care – Eye Exam Performed, and Plan All-Cause Readmissions.</w:t>
      </w:r>
      <w:r w:rsidRPr="001569FB">
        <w:rPr>
          <w:rStyle w:val="FootnoteReference"/>
        </w:rPr>
        <w:footnoteReference w:id="18"/>
      </w:r>
      <w:r w:rsidRPr="001569FB">
        <w:t xml:space="preserve"> </w:t>
      </w:r>
      <w:r w:rsidRPr="001569FB">
        <w:lastRenderedPageBreak/>
        <w:t>The measures would be stratified using the following subgroups: both LIS/DE and disabled, not LIS/DE and not disabled; LIS/DE and not disabled; not LIS/DE and disabled; and other. An overall (i.e., non-stratified) result would also be required to be reported for this measure. The change to the specification would be applicable to the MA program reporting requirements. At present, NCQA is designing the reporting requirements and anticipate the change in its specification in the 2019 HEDIS Volume 2. CMS is considering how to best incorporate the information provided by the stratified reporting in future years of the Star Ratings.</w:t>
      </w:r>
    </w:p>
    <w:p w14:paraId="7FE6463F" w14:textId="77777777" w:rsidR="004C5B0C" w:rsidRPr="001569FB" w:rsidRDefault="004C5B0C" w:rsidP="004C5B0C">
      <w:pPr>
        <w:pStyle w:val="BodyText0"/>
        <w:kinsoku w:val="0"/>
        <w:overflowPunct w:val="0"/>
        <w:spacing w:line="271" w:lineRule="auto"/>
        <w:ind w:right="138"/>
      </w:pPr>
      <w:r w:rsidRPr="001569FB">
        <w:t xml:space="preserve">The Office of the Assistant Secretary for Planning and Evaluation (ASPE), as required in the </w:t>
      </w:r>
      <w:r w:rsidRPr="001569FB">
        <w:rPr>
          <w:color w:val="202020"/>
        </w:rPr>
        <w:t xml:space="preserve">Improving Medicare Post-Acute Care Transformation Act of 2014 </w:t>
      </w:r>
      <w:r w:rsidRPr="001569FB">
        <w:t>(IMPACT Act, P.L. 113</w:t>
      </w:r>
      <w:r w:rsidRPr="001569FB">
        <w:noBreakHyphen/>
        <w:t>185), released the first in a two-part series of Reports to Congress (RTC) in December 2016.</w:t>
      </w:r>
      <w:r w:rsidRPr="001569FB">
        <w:rPr>
          <w:rStyle w:val="FootnoteReference"/>
        </w:rPr>
        <w:footnoteReference w:id="19"/>
      </w:r>
      <w:r w:rsidRPr="001569FB">
        <w:rPr>
          <w:position w:val="9"/>
        </w:rPr>
        <w:t xml:space="preserve"> </w:t>
      </w:r>
      <w:r w:rsidRPr="001569FB">
        <w:t>In it, ASPE analyzed the effect of social risk factors on health outcomes of Medicare beneficiaries. ASPE reviewed a number of CMS programs, including MA. CMS has carefully reviewed the report and is considering the feasibility of the considerations presented in ASPE’s RTC for MA contracts and sponsors, as well as the impact on the use of the ratings for</w:t>
      </w:r>
      <w:r w:rsidRPr="001569FB">
        <w:rPr>
          <w:spacing w:val="-17"/>
        </w:rPr>
        <w:t xml:space="preserve"> </w:t>
      </w:r>
      <w:r w:rsidRPr="001569FB">
        <w:t>beneficiaries. ASPE’s second report is due in the fall of 2019. In the meantime, CMS continues to be in dialogue with ASPE to discuss potential options for future MA Star Ratings.</w:t>
      </w:r>
    </w:p>
    <w:p w14:paraId="4021E6BB" w14:textId="77777777" w:rsidR="004C5B0C" w:rsidRPr="001569FB" w:rsidRDefault="004C5B0C" w:rsidP="004C5B0C">
      <w:pPr>
        <w:pStyle w:val="BodyText0"/>
        <w:kinsoku w:val="0"/>
        <w:overflowPunct w:val="0"/>
        <w:ind w:right="321"/>
      </w:pPr>
      <w:r w:rsidRPr="001569FB">
        <w:t>CMS remains firmly committed to building the foundation for a long-term solution that appropriately addresses the issue at hand and aligns with our policy goals. CMS remains steadfast that any policy response must delineate the two distinct aspects of the issue - quality and payment.  The Star Ratings are a reflection of the quality of a contract and thus, the response to address the LIS/DE/disabled effect revealed in our research must not distort the meaning and value of the quality ratings. Further, the long-term solution must recognize the unique challenges of serving vulnerable populations. While the measure stewards continue their work, CMS will continue to consider all feasible options that exist for a long-term response.</w:t>
      </w:r>
    </w:p>
    <w:p w14:paraId="6F9D79E9" w14:textId="77777777" w:rsidR="004C5B0C" w:rsidRPr="001569FB" w:rsidRDefault="004C5B0C" w:rsidP="004C5B0C">
      <w:pPr>
        <w:pStyle w:val="BodyText0"/>
        <w:kinsoku w:val="0"/>
        <w:overflowPunct w:val="0"/>
        <w:spacing w:line="278" w:lineRule="auto"/>
        <w:ind w:right="282"/>
      </w:pPr>
      <w:r w:rsidRPr="001569FB">
        <w:t>Since its inception, the application of the CAI has resulted in a modest movement of the Star Ratings.  In 2017, nineteen MA-PDs had their overall Star Rating increase a half-star after the overall CAI was applied to their unadjusted overall Star Rating. Nine contracts had their overall rating change from</w:t>
      </w:r>
      <w:r w:rsidRPr="001569FB" w:rsidDel="00606778">
        <w:t xml:space="preserve"> </w:t>
      </w:r>
      <w:r w:rsidRPr="001569FB">
        <w:t xml:space="preserve">3.5 to 4.0 stars after the overall CAI was applied.  For MA-only and MA-PDs, seven contracts increased a half-star after the Part C summary CAI was applied to their unadjusted Part C summary rating. Sixteen MA-PDs contracts increased a half-star after Part D CAI was applied to their unadjusted Part D summary rating. In 2017, the movement for stand-alone PDPs was bidirectional. Nine PDPs decreased a half-star and three </w:t>
      </w:r>
      <w:r w:rsidRPr="001569FB">
        <w:lastRenderedPageBreak/>
        <w:t xml:space="preserve">increased a half-star after the PDP-specific CAI values were applied to their unadjusted Part D summary rating. </w:t>
      </w:r>
    </w:p>
    <w:p w14:paraId="075AC1A8" w14:textId="77777777" w:rsidR="004C5B0C" w:rsidRPr="001569FB" w:rsidRDefault="004C5B0C" w:rsidP="004C5B0C">
      <w:pPr>
        <w:pStyle w:val="BodyText0"/>
        <w:kinsoku w:val="0"/>
        <w:overflowPunct w:val="0"/>
        <w:spacing w:line="278" w:lineRule="auto"/>
        <w:ind w:right="282"/>
      </w:pPr>
      <w:r w:rsidRPr="001569FB">
        <w:t xml:space="preserve">For the 2018 Star Ratings, the impact of the CAI resulted in primarily positive movement of the ratings.  A total of eleven MA-PDs saw their overall Star Rating increase by a half-star and one MA-PD’s overall rating decreased by a half-star after the overall CAI was applied to their unadjusted overall Star Rating. Six contracts had their overall rating change from 3.5 to 4.0 after the CAI was applied. For MA-only and MA-PDs, eleven contracts increased a half-star and 4 decreased a half-star after the Part C summary CAI values were applied.  A total of 4 MA-PD contracts increased a half-star after the Part D MA-PD summary CAI was applied to their unadjusted Part D summary rating. The movement for stand-alone PDPs was directional only. Six PDPs decreased a half-star after the PDP-specific CAI values were applied to their unadjusted Part D summary rating. </w:t>
      </w:r>
    </w:p>
    <w:p w14:paraId="3FC3ED9F" w14:textId="77777777" w:rsidR="004C5B0C" w:rsidRPr="001569FB" w:rsidRDefault="004C5B0C" w:rsidP="004C5B0C">
      <w:pPr>
        <w:pStyle w:val="BodyText0"/>
        <w:kinsoku w:val="0"/>
        <w:overflowPunct w:val="0"/>
        <w:spacing w:before="207"/>
        <w:ind w:right="375"/>
        <w:rPr>
          <w:sz w:val="28"/>
          <w:szCs w:val="28"/>
        </w:rPr>
      </w:pPr>
      <w:r w:rsidRPr="001569FB">
        <w:t>For the 2019 Star Ratings Program, CMS is proposing to continue the use of the interim analytical adjustment, the CAI. The overall methodology would remain unchanged for 2019.</w:t>
      </w:r>
    </w:p>
    <w:p w14:paraId="5A7FD150" w14:textId="77777777" w:rsidR="004C5B0C" w:rsidRPr="001569FB" w:rsidRDefault="004C5B0C" w:rsidP="004C5B0C">
      <w:pPr>
        <w:pStyle w:val="BodyText0"/>
        <w:kinsoku w:val="0"/>
        <w:overflowPunct w:val="0"/>
        <w:spacing w:before="202"/>
        <w:ind w:right="124"/>
      </w:pPr>
      <w:r w:rsidRPr="001569FB">
        <w:t>As stated in the CY 2017 Call Letter (CY 2017 Rate Announcement, Attachment VII, pages 131</w:t>
      </w:r>
      <w:r w:rsidRPr="001569FB">
        <w:noBreakHyphen/>
        <w:t>133), the CAI values will be updated annually and published in the final Call Letter. The CAI values will be determined using the previous Star Ratings year’s measurement period, which allows the release of the CAI values well in advance of the first Star Ratings preview period. Thus, the 2019 CAI values are determined using data from the 2018 Star Ratings.</w:t>
      </w:r>
    </w:p>
    <w:p w14:paraId="748DE11F" w14:textId="77777777" w:rsidR="004C5B0C" w:rsidRPr="001569FB" w:rsidRDefault="004C5B0C" w:rsidP="004C5B0C">
      <w:pPr>
        <w:pStyle w:val="BodyText0"/>
        <w:kinsoku w:val="0"/>
        <w:overflowPunct w:val="0"/>
        <w:ind w:right="122"/>
      </w:pPr>
      <w:r w:rsidRPr="001569FB">
        <w:t xml:space="preserve">LIS/DE status for the categorization of the contracts for the 2019 Star Ratings will be based on the Medicare enrollment data from CY 2017. The disability status of an enrollee will be determined using information from the Social Security Administration (SSA) and Railroad Retirement Board (RRB) record systems for CY 2017. Disability status is based on the original reason for entitlement code (OREC).  </w:t>
      </w:r>
    </w:p>
    <w:p w14:paraId="02025428" w14:textId="77777777" w:rsidR="004C5B0C" w:rsidRPr="001569FB" w:rsidRDefault="004C5B0C" w:rsidP="004C5B0C">
      <w:pPr>
        <w:pStyle w:val="BodyText0"/>
        <w:kinsoku w:val="0"/>
        <w:overflowPunct w:val="0"/>
        <w:spacing w:line="273" w:lineRule="auto"/>
        <w:ind w:right="322"/>
        <w:contextualSpacing/>
      </w:pPr>
      <w:r w:rsidRPr="001569FB">
        <w:t>For the 2019 Star Ratings Program, the analysis and criteria used to select measures for adjustment were the same as those used for the 2017 Star Ratings Program. CMS updated its analyses of the measures using the 2016 measurement period data and evaluated the variability of within-contract differences in performance for a similar subset of Star Ratings measures examined last year.</w:t>
      </w:r>
      <w:r w:rsidRPr="001569FB">
        <w:rPr>
          <w:rStyle w:val="FootnoteReference"/>
        </w:rPr>
        <w:footnoteReference w:id="20"/>
      </w:r>
      <w:r w:rsidRPr="001569FB">
        <w:t xml:space="preserve"> A summary of the updated analysis conducted to select the measures including the minimum, median, and maximum values for the within-contract </w:t>
      </w:r>
      <w:r w:rsidRPr="001569FB">
        <w:lastRenderedPageBreak/>
        <w:t xml:space="preserve">variation for the LIS/DE differences is posted at </w:t>
      </w:r>
      <w:hyperlink r:id="rId51" w:history="1">
        <w:r w:rsidRPr="001569FB">
          <w:rPr>
            <w:rStyle w:val="Hyperlink"/>
          </w:rPr>
          <w:t>http://go.cms.gov/partcanddstarratings</w:t>
        </w:r>
      </w:hyperlink>
      <w:r w:rsidRPr="001569FB">
        <w:rPr>
          <w:color w:val="1F487C"/>
        </w:rPr>
        <w:t xml:space="preserve">. </w:t>
      </w:r>
      <w:r w:rsidRPr="001569FB">
        <w:t xml:space="preserve">The decision criteria used to select measures for adjustment was (1) a median absolute difference between LIS/DE and non-LIS/DE beneficiaries of 5 percentage points or more and/or (2) the LIS/DE subgroup performed better or worse than the non-LIS/DE subgroup in all contracts. </w:t>
      </w:r>
    </w:p>
    <w:p w14:paraId="2E63399B" w14:textId="77777777" w:rsidR="004C5B0C" w:rsidRPr="001569FB" w:rsidRDefault="004C5B0C" w:rsidP="004C5B0C">
      <w:bookmarkStart w:id="677" w:name="_Toc493523584"/>
      <w:bookmarkStart w:id="678" w:name="_Toc495652095"/>
      <w:r w:rsidRPr="001569FB">
        <w:t>The measures selected for adjustment for the 2019 Star Ratings include six Part C measures and two Part D measures.  For MA (MA-only, MA-PD) and 1876 contracts, the Part C measures selected for adjustment for the 2019 Star Ratings include:</w:t>
      </w:r>
      <w:r w:rsidRPr="001569FB">
        <w:rPr>
          <w:iCs/>
        </w:rPr>
        <w:t xml:space="preserve"> Annual Flu Vaccine, Breast Cancer Screening, Diabetes Care – Blood Sugar Controlled, Medication Reconciliation Post-Discharge, Osteoporosis Management in Women who had a Fracture, Plan All-Cause Readmissions</w:t>
      </w:r>
      <w:r w:rsidRPr="001569FB">
        <w:rPr>
          <w:rStyle w:val="FootnoteReference"/>
          <w:iCs/>
        </w:rPr>
        <w:footnoteReference w:id="21"/>
      </w:r>
      <w:r w:rsidRPr="001569FB">
        <w:rPr>
          <w:iCs/>
        </w:rPr>
        <w:t>.  For MA-PDs and PDPs, the two Part D measures selected for adjustment for the 2019 Star Ratings include: Part D Medication Adherence for Hypertension and MTM Program Completion Rate for CMR.</w:t>
      </w:r>
      <w:bookmarkStart w:id="679" w:name="bookmark50"/>
      <w:bookmarkEnd w:id="679"/>
    </w:p>
    <w:p w14:paraId="2FA5B632" w14:textId="77777777" w:rsidR="004C5B0C" w:rsidRPr="001569FB" w:rsidRDefault="004C5B0C" w:rsidP="004C5B0C">
      <w:pPr>
        <w:pStyle w:val="Heading4"/>
      </w:pPr>
      <w:r w:rsidRPr="001569FB">
        <w:t>2019 Categorical Adjustment Index (CAI) Values</w:t>
      </w:r>
      <w:bookmarkEnd w:id="677"/>
      <w:bookmarkEnd w:id="678"/>
    </w:p>
    <w:p w14:paraId="034B6034" w14:textId="77777777" w:rsidR="004C5B0C" w:rsidRPr="001569FB" w:rsidRDefault="004C5B0C" w:rsidP="004C5B0C">
      <w:pPr>
        <w:pStyle w:val="BodyText0"/>
        <w:kinsoku w:val="0"/>
        <w:overflowPunct w:val="0"/>
        <w:ind w:left="100" w:right="228"/>
      </w:pPr>
      <w:r w:rsidRPr="001569FB">
        <w:t>MA contracts have up to three mutually exclusive and independent adjustments – one for the overall Star Rating and one for each of the summary ratings (Part C and Part D). PDPs have one adjustment for the Part D summary rating. Tables 4 – 15 provide the rating-specific categories for classification of contracts based on the percentage of LIS/DE and disabled beneficiaries along with the final adjustment categories.</w:t>
      </w:r>
    </w:p>
    <w:p w14:paraId="7DB65BAA" w14:textId="77777777" w:rsidR="004C5B0C" w:rsidRPr="001569FB" w:rsidRDefault="004C5B0C" w:rsidP="004C5B0C">
      <w:pPr>
        <w:pStyle w:val="BodyText0"/>
        <w:kinsoku w:val="0"/>
        <w:overflowPunct w:val="0"/>
        <w:ind w:left="100" w:right="275"/>
      </w:pPr>
      <w:r w:rsidRPr="001569FB">
        <w:t>Table 4 provides the range for the percentages that correspond to the LIS/DE categories determined by dividing the distribution of MA contracts’ LIS/DE percentages into ten equal-sized groups. Table 5 provides the range of the percentages that correspond to the disability quintiles for the categorization of MA contracts for the CAI for the overall Star Rating.</w:t>
      </w:r>
    </w:p>
    <w:p w14:paraId="57E7927A" w14:textId="77777777" w:rsidR="004C5B0C" w:rsidRPr="001569FB" w:rsidRDefault="004C5B0C" w:rsidP="004C5B0C">
      <w:pPr>
        <w:pStyle w:val="BodyText0"/>
        <w:kinsoku w:val="0"/>
        <w:overflowPunct w:val="0"/>
        <w:spacing w:before="202"/>
        <w:ind w:left="100" w:right="249"/>
      </w:pPr>
      <w:r w:rsidRPr="001569FB">
        <w:t xml:space="preserve">The upper limit for each category is not included in that category, but rather the next higher category. For example, if a contract’s percentage of LIS/DE beneficiaries is </w:t>
      </w:r>
      <w:r w:rsidRPr="001569FB">
        <w:rPr>
          <w:rFonts w:asciiTheme="minorHAnsi" w:hAnsiTheme="minorHAnsi"/>
        </w:rPr>
        <w:t>9.486205</w:t>
      </w:r>
      <w:r w:rsidRPr="001569FB">
        <w:t>%, the contract’s LIS/DE initial category is L3. The exceptions for the upper limit exclusion for an initial group are the tenth initial category for LIS/DE and the fifth quintile for disability.</w:t>
      </w:r>
    </w:p>
    <w:p w14:paraId="69EB3DB1" w14:textId="77777777" w:rsidR="004C5B0C" w:rsidRPr="001569FB" w:rsidRDefault="004C5B0C" w:rsidP="004C5B0C">
      <w:pPr>
        <w:pStyle w:val="Caption"/>
        <w:ind w:left="900"/>
      </w:pPr>
      <w:r w:rsidRPr="001569FB">
        <w:lastRenderedPageBreak/>
        <w:t xml:space="preserve">Table </w:t>
      </w:r>
      <w:fldSimple w:instr=" SEQ Table \* ARABIC ">
        <w:r w:rsidR="00A216EC">
          <w:rPr>
            <w:noProof/>
          </w:rPr>
          <w:t>4</w:t>
        </w:r>
      </w:fldSimple>
      <w:r w:rsidRPr="001569FB">
        <w:t>: Categorization of MA Contracts into Initial LIS/DE Groups for the Overall Rating</w:t>
      </w:r>
    </w:p>
    <w:tbl>
      <w:tblPr>
        <w:tblW w:w="0" w:type="auto"/>
        <w:jc w:val="center"/>
        <w:tblLayout w:type="fixed"/>
        <w:tblCellMar>
          <w:left w:w="0" w:type="dxa"/>
          <w:right w:w="0" w:type="dxa"/>
        </w:tblCellMar>
        <w:tblLook w:val="0000" w:firstRow="0" w:lastRow="0" w:firstColumn="0" w:lastColumn="0" w:noHBand="0" w:noVBand="0"/>
      </w:tblPr>
      <w:tblGrid>
        <w:gridCol w:w="2601"/>
        <w:gridCol w:w="5310"/>
      </w:tblGrid>
      <w:tr w:rsidR="004C5B0C" w:rsidRPr="001569FB" w14:paraId="3C925755" w14:textId="77777777" w:rsidTr="004C5B0C">
        <w:trPr>
          <w:cantSplit/>
          <w:trHeight w:hRule="exact" w:val="354"/>
          <w:tblHeader/>
          <w:jc w:val="center"/>
        </w:trPr>
        <w:tc>
          <w:tcPr>
            <w:tcW w:w="2601" w:type="dxa"/>
            <w:tcBorders>
              <w:top w:val="single" w:sz="7" w:space="0" w:color="000000"/>
              <w:left w:val="single" w:sz="7" w:space="0" w:color="000000"/>
              <w:bottom w:val="single" w:sz="7" w:space="0" w:color="000000"/>
              <w:right w:val="single" w:sz="7" w:space="0" w:color="000000"/>
            </w:tcBorders>
            <w:shd w:val="clear" w:color="auto" w:fill="BEBEBE"/>
          </w:tcPr>
          <w:p w14:paraId="00AA944F" w14:textId="77777777" w:rsidR="004C5B0C" w:rsidRPr="001569FB" w:rsidRDefault="004C5B0C" w:rsidP="004C5B0C">
            <w:pPr>
              <w:pStyle w:val="TableParagraph"/>
              <w:keepNext/>
              <w:keepLines/>
              <w:widowControl/>
              <w:kinsoku w:val="0"/>
              <w:overflowPunct w:val="0"/>
              <w:spacing w:before="26"/>
              <w:ind w:hanging="189"/>
              <w:rPr>
                <w:sz w:val="24"/>
              </w:rPr>
            </w:pPr>
            <w:r w:rsidRPr="001569FB">
              <w:rPr>
                <w:b/>
                <w:bCs/>
                <w:sz w:val="24"/>
              </w:rPr>
              <w:t>LIS/DE Initial Group</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2B08487B" w14:textId="77777777" w:rsidR="004C5B0C" w:rsidRPr="001569FB" w:rsidRDefault="004C5B0C" w:rsidP="004C5B0C">
            <w:pPr>
              <w:pStyle w:val="TableParagraph"/>
              <w:keepNext/>
              <w:keepLines/>
              <w:widowControl/>
              <w:kinsoku w:val="0"/>
              <w:overflowPunct w:val="0"/>
              <w:spacing w:before="26"/>
              <w:ind w:left="29" w:right="30"/>
              <w:jc w:val="center"/>
              <w:rPr>
                <w:b/>
                <w:bCs/>
                <w:sz w:val="24"/>
              </w:rPr>
            </w:pPr>
            <w:r w:rsidRPr="001569FB">
              <w:rPr>
                <w:b/>
                <w:bCs/>
                <w:sz w:val="24"/>
              </w:rPr>
              <w:t xml:space="preserve">Percentage of Contract’s LIS/DE </w:t>
            </w:r>
            <w:r w:rsidRPr="001569FB">
              <w:rPr>
                <w:rFonts w:cstheme="minorHAnsi"/>
                <w:b/>
                <w:bCs/>
                <w:sz w:val="24"/>
              </w:rPr>
              <w:t>Beneficiaries</w:t>
            </w:r>
          </w:p>
          <w:p w14:paraId="77D16FD9" w14:textId="77777777" w:rsidR="004C5B0C" w:rsidRPr="001569FB" w:rsidRDefault="004C5B0C" w:rsidP="004C5B0C">
            <w:pPr>
              <w:pStyle w:val="Default"/>
              <w:keepNext/>
              <w:keepLines/>
              <w:jc w:val="center"/>
              <w:rPr>
                <w:rFonts w:asciiTheme="minorHAnsi" w:hAnsiTheme="minorHAnsi" w:cstheme="minorHAnsi"/>
                <w:sz w:val="23"/>
                <w:szCs w:val="23"/>
              </w:rPr>
            </w:pPr>
            <w:r w:rsidRPr="001569FB">
              <w:rPr>
                <w:rFonts w:asciiTheme="minorHAnsi" w:hAnsiTheme="minorHAnsi" w:cstheme="minorHAnsi"/>
                <w:b/>
                <w:bCs/>
                <w:sz w:val="23"/>
                <w:szCs w:val="23"/>
              </w:rPr>
              <w:t xml:space="preserve">Beneficiaries </w:t>
            </w:r>
          </w:p>
          <w:p w14:paraId="38BCC305" w14:textId="77777777" w:rsidR="004C5B0C" w:rsidRPr="001569FB" w:rsidRDefault="004C5B0C" w:rsidP="004C5B0C">
            <w:pPr>
              <w:pStyle w:val="TableParagraph"/>
              <w:keepNext/>
              <w:keepLines/>
              <w:widowControl/>
              <w:kinsoku w:val="0"/>
              <w:overflowPunct w:val="0"/>
              <w:spacing w:before="26"/>
              <w:ind w:left="29" w:right="30"/>
              <w:jc w:val="center"/>
              <w:rPr>
                <w:sz w:val="24"/>
              </w:rPr>
            </w:pPr>
            <w:r w:rsidRPr="001569FB">
              <w:rPr>
                <w:b/>
                <w:bCs/>
                <w:sz w:val="24"/>
              </w:rPr>
              <w:t>Beneficiaries</w:t>
            </w:r>
          </w:p>
        </w:tc>
      </w:tr>
      <w:tr w:rsidR="004C5B0C" w:rsidRPr="001569FB" w14:paraId="4CC2CA59"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552D1A6A"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310" w:type="dxa"/>
            <w:tcBorders>
              <w:top w:val="single" w:sz="7" w:space="0" w:color="000000"/>
              <w:left w:val="single" w:sz="7" w:space="0" w:color="000000"/>
              <w:bottom w:val="single" w:sz="7" w:space="0" w:color="000000"/>
              <w:right w:val="single" w:sz="7" w:space="0" w:color="000000"/>
            </w:tcBorders>
            <w:vAlign w:val="center"/>
          </w:tcPr>
          <w:p w14:paraId="3E5B39B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0.000000 to less than 6.147316</w:t>
            </w:r>
          </w:p>
        </w:tc>
      </w:tr>
      <w:tr w:rsidR="004C5B0C" w:rsidRPr="001569FB" w14:paraId="778AD471"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67D98522"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310" w:type="dxa"/>
            <w:tcBorders>
              <w:top w:val="single" w:sz="7" w:space="0" w:color="000000"/>
              <w:left w:val="single" w:sz="7" w:space="0" w:color="000000"/>
              <w:bottom w:val="single" w:sz="7" w:space="0" w:color="000000"/>
              <w:right w:val="single" w:sz="7" w:space="0" w:color="000000"/>
            </w:tcBorders>
            <w:vAlign w:val="center"/>
          </w:tcPr>
          <w:p w14:paraId="1ED54A29"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6.147316 to less than 9.486205</w:t>
            </w:r>
          </w:p>
        </w:tc>
      </w:tr>
      <w:tr w:rsidR="004C5B0C" w:rsidRPr="001569FB" w14:paraId="198CDDC3"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2404F32E"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310" w:type="dxa"/>
            <w:tcBorders>
              <w:top w:val="single" w:sz="7" w:space="0" w:color="000000"/>
              <w:left w:val="single" w:sz="7" w:space="0" w:color="000000"/>
              <w:bottom w:val="single" w:sz="7" w:space="0" w:color="000000"/>
              <w:right w:val="single" w:sz="7" w:space="0" w:color="000000"/>
            </w:tcBorders>
            <w:vAlign w:val="center"/>
          </w:tcPr>
          <w:p w14:paraId="6CF1F690"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9.486205 to less than 11.709700</w:t>
            </w:r>
          </w:p>
        </w:tc>
      </w:tr>
      <w:tr w:rsidR="004C5B0C" w:rsidRPr="001569FB" w14:paraId="512B23CB"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4C24479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310" w:type="dxa"/>
            <w:tcBorders>
              <w:top w:val="single" w:sz="7" w:space="0" w:color="000000"/>
              <w:left w:val="single" w:sz="7" w:space="0" w:color="000000"/>
              <w:bottom w:val="single" w:sz="7" w:space="0" w:color="000000"/>
              <w:right w:val="single" w:sz="7" w:space="0" w:color="000000"/>
            </w:tcBorders>
            <w:vAlign w:val="center"/>
          </w:tcPr>
          <w:p w14:paraId="26DB968B"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11.709700 to less than 14.743797</w:t>
            </w:r>
          </w:p>
        </w:tc>
      </w:tr>
      <w:tr w:rsidR="004C5B0C" w:rsidRPr="001569FB" w14:paraId="418E923D"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7F08FFA7"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310" w:type="dxa"/>
            <w:tcBorders>
              <w:top w:val="single" w:sz="7" w:space="0" w:color="000000"/>
              <w:left w:val="single" w:sz="7" w:space="0" w:color="000000"/>
              <w:bottom w:val="single" w:sz="7" w:space="0" w:color="000000"/>
              <w:right w:val="single" w:sz="7" w:space="0" w:color="000000"/>
            </w:tcBorders>
            <w:vAlign w:val="center"/>
          </w:tcPr>
          <w:p w14:paraId="1744B2D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14.743797 to less than 19.979137</w:t>
            </w:r>
          </w:p>
        </w:tc>
      </w:tr>
      <w:tr w:rsidR="004C5B0C" w:rsidRPr="001569FB" w14:paraId="71CCFB3C"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58D12B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310" w:type="dxa"/>
            <w:tcBorders>
              <w:top w:val="single" w:sz="7" w:space="0" w:color="000000"/>
              <w:left w:val="single" w:sz="7" w:space="0" w:color="000000"/>
              <w:bottom w:val="single" w:sz="7" w:space="0" w:color="000000"/>
              <w:right w:val="single" w:sz="7" w:space="0" w:color="000000"/>
            </w:tcBorders>
            <w:vAlign w:val="center"/>
          </w:tcPr>
          <w:p w14:paraId="6013C72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19.979137 to less than 26.817676</w:t>
            </w:r>
          </w:p>
        </w:tc>
      </w:tr>
      <w:tr w:rsidR="004C5B0C" w:rsidRPr="001569FB" w14:paraId="43EE9C7F"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5FCF309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310" w:type="dxa"/>
            <w:tcBorders>
              <w:top w:val="single" w:sz="7" w:space="0" w:color="000000"/>
              <w:left w:val="single" w:sz="7" w:space="0" w:color="000000"/>
              <w:bottom w:val="single" w:sz="7" w:space="0" w:color="000000"/>
              <w:right w:val="single" w:sz="7" w:space="0" w:color="000000"/>
            </w:tcBorders>
            <w:vAlign w:val="center"/>
          </w:tcPr>
          <w:p w14:paraId="2A88248A"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26.817676 to less than 39.929156</w:t>
            </w:r>
          </w:p>
        </w:tc>
      </w:tr>
      <w:tr w:rsidR="004C5B0C" w:rsidRPr="001569FB" w14:paraId="650200E1"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33F6903A"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310" w:type="dxa"/>
            <w:tcBorders>
              <w:top w:val="single" w:sz="7" w:space="0" w:color="000000"/>
              <w:left w:val="single" w:sz="7" w:space="0" w:color="000000"/>
              <w:bottom w:val="single" w:sz="7" w:space="0" w:color="000000"/>
              <w:right w:val="single" w:sz="7" w:space="0" w:color="000000"/>
            </w:tcBorders>
            <w:vAlign w:val="center"/>
          </w:tcPr>
          <w:p w14:paraId="1507BD9E"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39.929156 to less than 69.752170</w:t>
            </w:r>
          </w:p>
        </w:tc>
      </w:tr>
      <w:tr w:rsidR="004C5B0C" w:rsidRPr="001569FB" w14:paraId="7EC8D4A4"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8E8B792"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310" w:type="dxa"/>
            <w:tcBorders>
              <w:top w:val="single" w:sz="7" w:space="0" w:color="000000"/>
              <w:left w:val="single" w:sz="7" w:space="0" w:color="000000"/>
              <w:bottom w:val="single" w:sz="7" w:space="0" w:color="000000"/>
              <w:right w:val="single" w:sz="7" w:space="0" w:color="000000"/>
            </w:tcBorders>
            <w:vAlign w:val="center"/>
          </w:tcPr>
          <w:p w14:paraId="32D70ADF"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69.752170 to less than 100.00000</w:t>
            </w:r>
          </w:p>
        </w:tc>
      </w:tr>
      <w:tr w:rsidR="004C5B0C" w:rsidRPr="001569FB" w14:paraId="20B4CC89"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79928A4A"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310" w:type="dxa"/>
            <w:tcBorders>
              <w:top w:val="single" w:sz="7" w:space="0" w:color="000000"/>
              <w:left w:val="single" w:sz="7" w:space="0" w:color="000000"/>
              <w:bottom w:val="single" w:sz="7" w:space="0" w:color="000000"/>
              <w:right w:val="single" w:sz="7" w:space="0" w:color="000000"/>
            </w:tcBorders>
            <w:vAlign w:val="center"/>
          </w:tcPr>
          <w:p w14:paraId="05D03CB0" w14:textId="77777777" w:rsidR="004C5B0C" w:rsidRPr="001569FB" w:rsidRDefault="004C5B0C" w:rsidP="004C5B0C">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531757C5" w14:textId="77777777" w:rsidR="004C5B0C" w:rsidRPr="001569FB" w:rsidRDefault="004C5B0C" w:rsidP="004C5B0C">
      <w:pPr>
        <w:pStyle w:val="Caption"/>
        <w:ind w:left="1080"/>
      </w:pPr>
      <w:r w:rsidRPr="001569FB">
        <w:t xml:space="preserve">Table </w:t>
      </w:r>
      <w:fldSimple w:instr=" SEQ Table \* ARABIC ">
        <w:r w:rsidR="00A216EC">
          <w:rPr>
            <w:noProof/>
          </w:rPr>
          <w:t>5</w:t>
        </w:r>
      </w:fldSimple>
      <w:r w:rsidRPr="001569FB">
        <w:t>: Categorization of MA Contracts into Disability Quintiles for the Overall Rating</w:t>
      </w:r>
    </w:p>
    <w:tbl>
      <w:tblPr>
        <w:tblW w:w="0" w:type="auto"/>
        <w:jc w:val="center"/>
        <w:tblCellMar>
          <w:left w:w="0" w:type="dxa"/>
          <w:right w:w="0" w:type="dxa"/>
        </w:tblCellMar>
        <w:tblLook w:val="0000" w:firstRow="0" w:lastRow="0" w:firstColumn="0" w:lastColumn="0" w:noHBand="0" w:noVBand="0"/>
      </w:tblPr>
      <w:tblGrid>
        <w:gridCol w:w="2151"/>
        <w:gridCol w:w="5310"/>
      </w:tblGrid>
      <w:tr w:rsidR="004C5B0C" w:rsidRPr="001569FB" w14:paraId="25CE5940" w14:textId="77777777" w:rsidTr="004C5B0C">
        <w:trPr>
          <w:cantSplit/>
          <w:trHeight w:hRule="exact" w:val="353"/>
          <w:tblHeader/>
          <w:jc w:val="center"/>
        </w:trPr>
        <w:tc>
          <w:tcPr>
            <w:tcW w:w="2151" w:type="dxa"/>
            <w:tcBorders>
              <w:top w:val="single" w:sz="7" w:space="0" w:color="000000"/>
              <w:left w:val="single" w:sz="7" w:space="0" w:color="000000"/>
              <w:bottom w:val="single" w:sz="7" w:space="0" w:color="000000"/>
              <w:right w:val="single" w:sz="7" w:space="0" w:color="000000"/>
            </w:tcBorders>
            <w:shd w:val="clear" w:color="auto" w:fill="BEBEBE"/>
          </w:tcPr>
          <w:p w14:paraId="418EFCA7" w14:textId="77777777" w:rsidR="004C5B0C" w:rsidRPr="001569FB" w:rsidRDefault="004C5B0C" w:rsidP="004C5B0C">
            <w:pPr>
              <w:pStyle w:val="TableParagraph"/>
              <w:keepNext/>
              <w:keepLines/>
              <w:widowControl/>
              <w:kinsoku w:val="0"/>
              <w:overflowPunct w:val="0"/>
              <w:spacing w:before="25"/>
              <w:ind w:hanging="279"/>
              <w:jc w:val="center"/>
              <w:rPr>
                <w:sz w:val="24"/>
              </w:rPr>
            </w:pPr>
            <w:r w:rsidRPr="001569FB">
              <w:rPr>
                <w:b/>
                <w:bCs/>
                <w:sz w:val="24"/>
              </w:rPr>
              <w:t>Disability Quintile</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257F7593" w14:textId="77777777" w:rsidR="004C5B0C" w:rsidRPr="001569FB" w:rsidRDefault="004C5B0C" w:rsidP="004C5B0C">
            <w:pPr>
              <w:pStyle w:val="TableParagraph"/>
              <w:keepNext/>
              <w:keepLines/>
              <w:widowControl/>
              <w:kinsoku w:val="0"/>
              <w:overflowPunct w:val="0"/>
              <w:spacing w:before="25"/>
              <w:ind w:hanging="203"/>
              <w:rPr>
                <w:sz w:val="24"/>
              </w:rPr>
            </w:pPr>
            <w:r w:rsidRPr="001569FB">
              <w:rPr>
                <w:b/>
                <w:bCs/>
                <w:sz w:val="24"/>
              </w:rPr>
              <w:t xml:space="preserve">Percentage of Contract’s Disabled </w:t>
            </w:r>
            <w:r w:rsidRPr="001569FB">
              <w:rPr>
                <w:rFonts w:cstheme="minorHAnsi"/>
                <w:b/>
                <w:bCs/>
                <w:sz w:val="24"/>
              </w:rPr>
              <w:t>Beneficiaries</w:t>
            </w:r>
          </w:p>
        </w:tc>
      </w:tr>
      <w:tr w:rsidR="004C5B0C" w:rsidRPr="001569FB" w14:paraId="2549FE8E"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7842C5B6"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D1</w:t>
            </w:r>
          </w:p>
        </w:tc>
        <w:tc>
          <w:tcPr>
            <w:tcW w:w="5310" w:type="dxa"/>
            <w:tcBorders>
              <w:top w:val="single" w:sz="7" w:space="0" w:color="000000"/>
              <w:left w:val="single" w:sz="7" w:space="0" w:color="000000"/>
              <w:bottom w:val="single" w:sz="7" w:space="0" w:color="000000"/>
              <w:right w:val="single" w:sz="7" w:space="0" w:color="000000"/>
            </w:tcBorders>
            <w:vAlign w:val="bottom"/>
          </w:tcPr>
          <w:p w14:paraId="34A7D2AD"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0.000000 to less than 15.059848</w:t>
            </w:r>
          </w:p>
        </w:tc>
      </w:tr>
      <w:tr w:rsidR="004C5B0C" w:rsidRPr="001569FB" w14:paraId="50953DF8"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22B760E9"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D2</w:t>
            </w:r>
          </w:p>
        </w:tc>
        <w:tc>
          <w:tcPr>
            <w:tcW w:w="5310" w:type="dxa"/>
            <w:tcBorders>
              <w:top w:val="single" w:sz="7" w:space="0" w:color="000000"/>
              <w:left w:val="single" w:sz="7" w:space="0" w:color="000000"/>
              <w:bottom w:val="single" w:sz="7" w:space="0" w:color="000000"/>
              <w:right w:val="single" w:sz="7" w:space="0" w:color="000000"/>
            </w:tcBorders>
            <w:vAlign w:val="bottom"/>
          </w:tcPr>
          <w:p w14:paraId="700D7D85"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15.059848 to less than 20.932235</w:t>
            </w:r>
          </w:p>
        </w:tc>
      </w:tr>
      <w:tr w:rsidR="004C5B0C" w:rsidRPr="001569FB" w14:paraId="6BFCD7D5"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0877273E"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D3</w:t>
            </w:r>
          </w:p>
        </w:tc>
        <w:tc>
          <w:tcPr>
            <w:tcW w:w="5310" w:type="dxa"/>
            <w:tcBorders>
              <w:top w:val="single" w:sz="7" w:space="0" w:color="000000"/>
              <w:left w:val="single" w:sz="7" w:space="0" w:color="000000"/>
              <w:bottom w:val="single" w:sz="7" w:space="0" w:color="000000"/>
              <w:right w:val="single" w:sz="7" w:space="0" w:color="000000"/>
            </w:tcBorders>
            <w:vAlign w:val="bottom"/>
          </w:tcPr>
          <w:p w14:paraId="5E292853"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20.932235 to less than 27.405248</w:t>
            </w:r>
          </w:p>
        </w:tc>
      </w:tr>
      <w:tr w:rsidR="004C5B0C" w:rsidRPr="001569FB" w14:paraId="73C63560"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5DF104DB" w14:textId="77777777" w:rsidR="004C5B0C" w:rsidRPr="001569FB" w:rsidRDefault="004C5B0C" w:rsidP="004C5B0C">
            <w:pPr>
              <w:pStyle w:val="TableParagraph"/>
              <w:keepNext/>
              <w:keepLines/>
              <w:widowControl/>
              <w:kinsoku w:val="0"/>
              <w:overflowPunct w:val="0"/>
              <w:spacing w:before="20"/>
              <w:jc w:val="center"/>
              <w:rPr>
                <w:sz w:val="24"/>
              </w:rPr>
            </w:pPr>
            <w:r w:rsidRPr="001569FB">
              <w:rPr>
                <w:sz w:val="24"/>
              </w:rPr>
              <w:t>D4</w:t>
            </w:r>
          </w:p>
        </w:tc>
        <w:tc>
          <w:tcPr>
            <w:tcW w:w="5310" w:type="dxa"/>
            <w:tcBorders>
              <w:top w:val="single" w:sz="7" w:space="0" w:color="000000"/>
              <w:left w:val="single" w:sz="7" w:space="0" w:color="000000"/>
              <w:bottom w:val="single" w:sz="7" w:space="0" w:color="000000"/>
              <w:right w:val="single" w:sz="7" w:space="0" w:color="000000"/>
            </w:tcBorders>
            <w:vAlign w:val="bottom"/>
          </w:tcPr>
          <w:p w14:paraId="025436C8"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27.405248 to less than 38.060705</w:t>
            </w:r>
          </w:p>
        </w:tc>
      </w:tr>
      <w:tr w:rsidR="004C5B0C" w:rsidRPr="001569FB" w14:paraId="26DCEE66"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15FA8FDA" w14:textId="77777777" w:rsidR="004C5B0C" w:rsidRPr="001569FB" w:rsidRDefault="004C5B0C" w:rsidP="004C5B0C">
            <w:pPr>
              <w:pStyle w:val="TableParagraph"/>
              <w:kinsoku w:val="0"/>
              <w:overflowPunct w:val="0"/>
              <w:spacing w:before="20"/>
              <w:jc w:val="center"/>
              <w:rPr>
                <w:sz w:val="24"/>
              </w:rPr>
            </w:pPr>
            <w:r w:rsidRPr="001569FB">
              <w:rPr>
                <w:sz w:val="24"/>
              </w:rPr>
              <w:t>D5</w:t>
            </w:r>
          </w:p>
        </w:tc>
        <w:tc>
          <w:tcPr>
            <w:tcW w:w="5310" w:type="dxa"/>
            <w:tcBorders>
              <w:top w:val="single" w:sz="7" w:space="0" w:color="000000"/>
              <w:left w:val="single" w:sz="7" w:space="0" w:color="000000"/>
              <w:bottom w:val="single" w:sz="7" w:space="0" w:color="000000"/>
              <w:right w:val="single" w:sz="7" w:space="0" w:color="000000"/>
            </w:tcBorders>
            <w:vAlign w:val="bottom"/>
          </w:tcPr>
          <w:p w14:paraId="486D5EDC" w14:textId="77777777" w:rsidR="004C5B0C" w:rsidRPr="001569FB" w:rsidRDefault="004C5B0C" w:rsidP="004C5B0C">
            <w:pPr>
              <w:pStyle w:val="TableParagraph"/>
              <w:kinsoku w:val="0"/>
              <w:overflowPunct w:val="0"/>
              <w:spacing w:before="20"/>
              <w:jc w:val="center"/>
              <w:rPr>
                <w:sz w:val="24"/>
              </w:rPr>
            </w:pPr>
            <w:r w:rsidRPr="001569FB">
              <w:rPr>
                <w:rFonts w:cstheme="minorHAnsi"/>
                <w:color w:val="000000"/>
                <w:sz w:val="24"/>
              </w:rPr>
              <w:t>38.060705 to less than or equal to 100.000000</w:t>
            </w:r>
          </w:p>
        </w:tc>
      </w:tr>
    </w:tbl>
    <w:p w14:paraId="04B275AE" w14:textId="77777777" w:rsidR="004C5B0C" w:rsidRPr="001569FB" w:rsidRDefault="004C5B0C" w:rsidP="004C5B0C">
      <w:pPr>
        <w:pStyle w:val="BodyText0"/>
        <w:keepNext/>
        <w:keepLines/>
        <w:kinsoku w:val="0"/>
        <w:overflowPunct w:val="0"/>
        <w:spacing w:before="600" w:line="278" w:lineRule="auto"/>
        <w:ind w:right="144"/>
      </w:pPr>
      <w:r w:rsidRPr="001569FB">
        <w:lastRenderedPageBreak/>
        <w:t>Table 6 provides the description of each of the final adjustment categories for the overall Star Rating for MA contracts and the associated values of the CAI for each final adjustment category.</w:t>
      </w:r>
    </w:p>
    <w:p w14:paraId="4D5957A5" w14:textId="77777777" w:rsidR="004C5B0C" w:rsidRPr="001569FB" w:rsidRDefault="004C5B0C" w:rsidP="004C5B0C">
      <w:pPr>
        <w:pStyle w:val="Caption"/>
      </w:pPr>
      <w:r w:rsidRPr="001569FB">
        <w:t xml:space="preserve">Table </w:t>
      </w:r>
      <w:fldSimple w:instr=" SEQ Table \* ARABIC ">
        <w:r w:rsidR="00A216EC">
          <w:rPr>
            <w:noProof/>
          </w:rPr>
          <w:t>6</w:t>
        </w:r>
      </w:fldSimple>
      <w:r w:rsidRPr="001569FB">
        <w:t>: Final Adjustment Categories and CAI Values for the Overall Rating</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970"/>
        <w:gridCol w:w="2250"/>
      </w:tblGrid>
      <w:tr w:rsidR="004C5B0C" w:rsidRPr="001569FB" w14:paraId="0CEB11CC" w14:textId="77777777" w:rsidTr="004C5B0C">
        <w:trPr>
          <w:cantSplit/>
          <w:trHeight w:val="315"/>
          <w:tblHeader/>
        </w:trPr>
        <w:tc>
          <w:tcPr>
            <w:tcW w:w="1890" w:type="dxa"/>
            <w:shd w:val="clear" w:color="auto" w:fill="D9D9D9" w:themeFill="background1" w:themeFillShade="D9"/>
            <w:vAlign w:val="center"/>
          </w:tcPr>
          <w:p w14:paraId="7784410F" w14:textId="77777777" w:rsidR="004C5B0C" w:rsidRPr="001569FB" w:rsidRDefault="004C5B0C" w:rsidP="004C5B0C">
            <w:pPr>
              <w:keepNext/>
              <w:keepLines/>
              <w:spacing w:line="240" w:lineRule="auto"/>
              <w:contextualSpacing/>
              <w:jc w:val="center"/>
              <w:rPr>
                <w:color w:val="000000"/>
              </w:rPr>
            </w:pPr>
            <w:r w:rsidRPr="001569FB">
              <w:rPr>
                <w:b/>
                <w:bCs/>
              </w:rPr>
              <w:t>Final Adjustment Category</w:t>
            </w:r>
          </w:p>
        </w:tc>
        <w:tc>
          <w:tcPr>
            <w:tcW w:w="2070" w:type="dxa"/>
            <w:shd w:val="clear" w:color="auto" w:fill="D9D9D9" w:themeFill="background1" w:themeFillShade="D9"/>
            <w:vAlign w:val="center"/>
          </w:tcPr>
          <w:p w14:paraId="27C0E0C6" w14:textId="77777777" w:rsidR="004C5B0C" w:rsidRPr="001569FB" w:rsidRDefault="004C5B0C" w:rsidP="004C5B0C">
            <w:pPr>
              <w:keepNext/>
              <w:keepLines/>
              <w:spacing w:line="240" w:lineRule="auto"/>
              <w:contextualSpacing/>
              <w:jc w:val="center"/>
              <w:rPr>
                <w:color w:val="000000"/>
              </w:rPr>
            </w:pPr>
            <w:r w:rsidRPr="001569FB">
              <w:rPr>
                <w:b/>
                <w:bCs/>
              </w:rPr>
              <w:t>LIS/DE Initial Group</w:t>
            </w:r>
          </w:p>
        </w:tc>
        <w:tc>
          <w:tcPr>
            <w:tcW w:w="2970" w:type="dxa"/>
            <w:shd w:val="clear" w:color="auto" w:fill="D9D9D9" w:themeFill="background1" w:themeFillShade="D9"/>
            <w:vAlign w:val="center"/>
          </w:tcPr>
          <w:p w14:paraId="2D7BDD61" w14:textId="77777777" w:rsidR="004C5B0C" w:rsidRPr="001569FB" w:rsidRDefault="004C5B0C" w:rsidP="004C5B0C">
            <w:pPr>
              <w:keepNext/>
              <w:keepLines/>
              <w:spacing w:line="240" w:lineRule="auto"/>
              <w:contextualSpacing/>
              <w:jc w:val="center"/>
              <w:rPr>
                <w:color w:val="000000"/>
              </w:rPr>
            </w:pPr>
            <w:r w:rsidRPr="001569FB">
              <w:rPr>
                <w:b/>
                <w:bCs/>
              </w:rPr>
              <w:t>Disability Quintile</w:t>
            </w:r>
          </w:p>
        </w:tc>
        <w:tc>
          <w:tcPr>
            <w:tcW w:w="2250" w:type="dxa"/>
            <w:shd w:val="clear" w:color="auto" w:fill="D9D9D9" w:themeFill="background1" w:themeFillShade="D9"/>
            <w:vAlign w:val="center"/>
          </w:tcPr>
          <w:p w14:paraId="03E896BA" w14:textId="77777777" w:rsidR="004C5B0C" w:rsidRPr="001569FB" w:rsidRDefault="004C5B0C" w:rsidP="004C5B0C">
            <w:pPr>
              <w:keepNext/>
              <w:keepLines/>
              <w:spacing w:line="240" w:lineRule="auto"/>
              <w:contextualSpacing/>
              <w:jc w:val="center"/>
              <w:rPr>
                <w:color w:val="000000"/>
              </w:rPr>
            </w:pPr>
            <w:r w:rsidRPr="001569FB">
              <w:rPr>
                <w:b/>
                <w:bCs/>
              </w:rPr>
              <w:t>CAI Value</w:t>
            </w:r>
          </w:p>
        </w:tc>
      </w:tr>
      <w:tr w:rsidR="004C5B0C" w:rsidRPr="001569FB" w14:paraId="69A62A40" w14:textId="77777777" w:rsidTr="004C5B0C">
        <w:trPr>
          <w:trHeight w:val="315"/>
        </w:trPr>
        <w:tc>
          <w:tcPr>
            <w:tcW w:w="1890" w:type="dxa"/>
            <w:shd w:val="clear" w:color="auto" w:fill="auto"/>
            <w:vAlign w:val="center"/>
            <w:hideMark/>
          </w:tcPr>
          <w:p w14:paraId="311689BD" w14:textId="77777777" w:rsidR="004C5B0C" w:rsidRPr="001569FB" w:rsidRDefault="004C5B0C" w:rsidP="004C5B0C">
            <w:pPr>
              <w:keepNext/>
              <w:keepLines/>
              <w:spacing w:line="240" w:lineRule="auto"/>
              <w:contextualSpacing/>
              <w:jc w:val="center"/>
              <w:rPr>
                <w:color w:val="000000"/>
              </w:rPr>
            </w:pPr>
            <w:r w:rsidRPr="001569FB">
              <w:rPr>
                <w:color w:val="000000"/>
              </w:rPr>
              <w:t>A</w:t>
            </w:r>
          </w:p>
        </w:tc>
        <w:tc>
          <w:tcPr>
            <w:tcW w:w="2070" w:type="dxa"/>
            <w:vAlign w:val="center"/>
          </w:tcPr>
          <w:p w14:paraId="48AEEE34" w14:textId="77777777" w:rsidR="004C5B0C" w:rsidRPr="001569FB" w:rsidRDefault="004C5B0C" w:rsidP="004C5B0C">
            <w:pPr>
              <w:keepNext/>
              <w:keepLines/>
              <w:spacing w:line="240" w:lineRule="auto"/>
              <w:contextualSpacing/>
              <w:jc w:val="center"/>
              <w:rPr>
                <w:color w:val="000000"/>
              </w:rPr>
            </w:pPr>
            <w:r w:rsidRPr="001569FB">
              <w:rPr>
                <w:color w:val="000000"/>
              </w:rPr>
              <w:t>L1</w:t>
            </w:r>
          </w:p>
        </w:tc>
        <w:tc>
          <w:tcPr>
            <w:tcW w:w="2970" w:type="dxa"/>
            <w:vAlign w:val="center"/>
          </w:tcPr>
          <w:p w14:paraId="79F512DC" w14:textId="77777777" w:rsidR="004C5B0C" w:rsidRPr="001569FB" w:rsidRDefault="004C5B0C" w:rsidP="004C5B0C">
            <w:pPr>
              <w:keepNext/>
              <w:keepLines/>
              <w:spacing w:line="240" w:lineRule="auto"/>
              <w:contextualSpacing/>
              <w:jc w:val="center"/>
              <w:rPr>
                <w:color w:val="000000"/>
              </w:rPr>
            </w:pPr>
            <w:r w:rsidRPr="001569FB">
              <w:rPr>
                <w:color w:val="000000"/>
              </w:rPr>
              <w:t>D1 – D3</w:t>
            </w:r>
          </w:p>
        </w:tc>
        <w:tc>
          <w:tcPr>
            <w:tcW w:w="2250" w:type="dxa"/>
            <w:vAlign w:val="center"/>
          </w:tcPr>
          <w:p w14:paraId="49E1772F"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−0.041117</w:t>
            </w:r>
          </w:p>
        </w:tc>
      </w:tr>
      <w:tr w:rsidR="004C5B0C" w:rsidRPr="001569FB" w14:paraId="4DC369BA" w14:textId="77777777" w:rsidTr="004C5B0C">
        <w:trPr>
          <w:trHeight w:hRule="exact" w:val="315"/>
        </w:trPr>
        <w:tc>
          <w:tcPr>
            <w:tcW w:w="1890" w:type="dxa"/>
            <w:vMerge w:val="restart"/>
            <w:shd w:val="clear" w:color="auto" w:fill="auto"/>
            <w:vAlign w:val="center"/>
            <w:hideMark/>
          </w:tcPr>
          <w:p w14:paraId="26AFD3D6" w14:textId="77777777" w:rsidR="004C5B0C" w:rsidRPr="001569FB" w:rsidRDefault="004C5B0C" w:rsidP="004C5B0C">
            <w:pPr>
              <w:keepNext/>
              <w:keepLines/>
              <w:spacing w:line="240" w:lineRule="auto"/>
              <w:contextualSpacing/>
              <w:jc w:val="center"/>
              <w:rPr>
                <w:color w:val="000000"/>
              </w:rPr>
            </w:pPr>
            <w:r w:rsidRPr="001569FB">
              <w:rPr>
                <w:color w:val="000000"/>
              </w:rPr>
              <w:t>B </w:t>
            </w:r>
          </w:p>
        </w:tc>
        <w:tc>
          <w:tcPr>
            <w:tcW w:w="2070" w:type="dxa"/>
            <w:vAlign w:val="center"/>
          </w:tcPr>
          <w:p w14:paraId="425E7283" w14:textId="77777777" w:rsidR="004C5B0C" w:rsidRPr="001569FB" w:rsidRDefault="004C5B0C" w:rsidP="004C5B0C">
            <w:pPr>
              <w:keepNext/>
              <w:keepLines/>
              <w:spacing w:line="240" w:lineRule="auto"/>
              <w:contextualSpacing/>
              <w:jc w:val="center"/>
              <w:rPr>
                <w:color w:val="000000"/>
              </w:rPr>
            </w:pPr>
            <w:r w:rsidRPr="001569FB">
              <w:rPr>
                <w:color w:val="000000"/>
              </w:rPr>
              <w:t>L2 - L4</w:t>
            </w:r>
          </w:p>
        </w:tc>
        <w:tc>
          <w:tcPr>
            <w:tcW w:w="2970" w:type="dxa"/>
            <w:vAlign w:val="center"/>
          </w:tcPr>
          <w:p w14:paraId="3C5BE727" w14:textId="77777777" w:rsidR="004C5B0C" w:rsidRPr="001569FB" w:rsidRDefault="004C5B0C" w:rsidP="004C5B0C">
            <w:pPr>
              <w:keepNext/>
              <w:keepLines/>
              <w:spacing w:line="240" w:lineRule="auto"/>
              <w:contextualSpacing/>
              <w:jc w:val="center"/>
              <w:rPr>
                <w:color w:val="000000"/>
              </w:rPr>
            </w:pPr>
            <w:r w:rsidRPr="001569FB">
              <w:rPr>
                <w:color w:val="000000"/>
              </w:rPr>
              <w:t>D1 - D4</w:t>
            </w:r>
          </w:p>
        </w:tc>
        <w:tc>
          <w:tcPr>
            <w:tcW w:w="2250" w:type="dxa"/>
            <w:vMerge w:val="restart"/>
            <w:vAlign w:val="center"/>
          </w:tcPr>
          <w:p w14:paraId="2CBF9BA9" w14:textId="77777777" w:rsidR="004C5B0C" w:rsidRPr="001569FB" w:rsidRDefault="004C5B0C" w:rsidP="004C5B0C">
            <w:pPr>
              <w:keepNext/>
              <w:keepLines/>
              <w:tabs>
                <w:tab w:val="decimal" w:pos="612"/>
              </w:tabs>
              <w:spacing w:line="240" w:lineRule="auto"/>
              <w:ind w:leftChars="-7" w:hangingChars="7" w:hanging="17"/>
              <w:contextualSpacing/>
              <w:rPr>
                <w:color w:val="000000"/>
              </w:rPr>
            </w:pPr>
            <w:r w:rsidRPr="001569FB">
              <w:rPr>
                <w:color w:val="000000"/>
              </w:rPr>
              <w:t>−0.011802</w:t>
            </w:r>
          </w:p>
        </w:tc>
      </w:tr>
      <w:tr w:rsidR="004C5B0C" w:rsidRPr="001569FB" w14:paraId="3CAF7AA9" w14:textId="77777777" w:rsidTr="004C5B0C">
        <w:trPr>
          <w:trHeight w:val="297"/>
        </w:trPr>
        <w:tc>
          <w:tcPr>
            <w:tcW w:w="1890" w:type="dxa"/>
            <w:vMerge/>
            <w:vAlign w:val="center"/>
            <w:hideMark/>
          </w:tcPr>
          <w:p w14:paraId="5CBBDB69"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2DDD38FE" w14:textId="77777777" w:rsidR="004C5B0C" w:rsidRPr="001569FB" w:rsidRDefault="004C5B0C" w:rsidP="004C5B0C">
            <w:pPr>
              <w:keepNext/>
              <w:keepLines/>
              <w:spacing w:line="240" w:lineRule="auto"/>
              <w:contextualSpacing/>
              <w:jc w:val="center"/>
              <w:rPr>
                <w:color w:val="000000"/>
              </w:rPr>
            </w:pPr>
            <w:r w:rsidRPr="001569FB">
              <w:rPr>
                <w:color w:val="000000"/>
              </w:rPr>
              <w:t>L5</w:t>
            </w:r>
          </w:p>
        </w:tc>
        <w:tc>
          <w:tcPr>
            <w:tcW w:w="2970" w:type="dxa"/>
            <w:vAlign w:val="center"/>
          </w:tcPr>
          <w:p w14:paraId="1AE026B1" w14:textId="77777777" w:rsidR="004C5B0C" w:rsidRPr="001569FB" w:rsidRDefault="004C5B0C" w:rsidP="004C5B0C">
            <w:pPr>
              <w:keepNext/>
              <w:keepLines/>
              <w:spacing w:line="240" w:lineRule="auto"/>
              <w:contextualSpacing/>
              <w:jc w:val="center"/>
              <w:rPr>
                <w:color w:val="000000"/>
              </w:rPr>
            </w:pPr>
            <w:r w:rsidRPr="001569FB">
              <w:rPr>
                <w:color w:val="000000"/>
              </w:rPr>
              <w:t>D1 - D2</w:t>
            </w:r>
          </w:p>
        </w:tc>
        <w:tc>
          <w:tcPr>
            <w:tcW w:w="2250" w:type="dxa"/>
            <w:vMerge/>
            <w:vAlign w:val="center"/>
          </w:tcPr>
          <w:p w14:paraId="2439138B"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25D352EE" w14:textId="77777777" w:rsidTr="004C5B0C">
        <w:trPr>
          <w:trHeight w:val="279"/>
        </w:trPr>
        <w:tc>
          <w:tcPr>
            <w:tcW w:w="1890" w:type="dxa"/>
            <w:vMerge/>
            <w:vAlign w:val="center"/>
            <w:hideMark/>
          </w:tcPr>
          <w:p w14:paraId="330183F5"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5C300A52" w14:textId="77777777" w:rsidR="004C5B0C" w:rsidRPr="001569FB" w:rsidRDefault="004C5B0C" w:rsidP="004C5B0C">
            <w:pPr>
              <w:keepNext/>
              <w:keepLines/>
              <w:spacing w:line="240" w:lineRule="auto"/>
              <w:contextualSpacing/>
              <w:jc w:val="center"/>
              <w:rPr>
                <w:color w:val="000000"/>
              </w:rPr>
            </w:pPr>
            <w:r w:rsidRPr="001569FB">
              <w:rPr>
                <w:color w:val="000000"/>
              </w:rPr>
              <w:t>L1</w:t>
            </w:r>
          </w:p>
        </w:tc>
        <w:tc>
          <w:tcPr>
            <w:tcW w:w="2970" w:type="dxa"/>
            <w:vAlign w:val="center"/>
          </w:tcPr>
          <w:p w14:paraId="3A08CE18" w14:textId="77777777" w:rsidR="004C5B0C" w:rsidRPr="001569FB" w:rsidRDefault="004C5B0C" w:rsidP="004C5B0C">
            <w:pPr>
              <w:keepNext/>
              <w:keepLines/>
              <w:spacing w:line="240" w:lineRule="auto"/>
              <w:contextualSpacing/>
              <w:jc w:val="center"/>
              <w:rPr>
                <w:color w:val="000000"/>
              </w:rPr>
            </w:pPr>
            <w:r w:rsidRPr="001569FB">
              <w:rPr>
                <w:color w:val="000000"/>
              </w:rPr>
              <w:t>D4</w:t>
            </w:r>
          </w:p>
        </w:tc>
        <w:tc>
          <w:tcPr>
            <w:tcW w:w="2250" w:type="dxa"/>
            <w:vMerge/>
            <w:vAlign w:val="center"/>
          </w:tcPr>
          <w:p w14:paraId="7ED7548B"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1A5215AA" w14:textId="77777777" w:rsidTr="004C5B0C">
        <w:trPr>
          <w:trHeight w:val="315"/>
        </w:trPr>
        <w:tc>
          <w:tcPr>
            <w:tcW w:w="1890" w:type="dxa"/>
            <w:vMerge w:val="restart"/>
            <w:shd w:val="clear" w:color="auto" w:fill="auto"/>
            <w:vAlign w:val="center"/>
          </w:tcPr>
          <w:p w14:paraId="372146CF"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sz w:val="22"/>
              </w:rPr>
              <w:t>C</w:t>
            </w:r>
            <w:r w:rsidRPr="001569FB">
              <w:rPr>
                <w:color w:val="000000"/>
              </w:rPr>
              <w:t> </w:t>
            </w:r>
          </w:p>
        </w:tc>
        <w:tc>
          <w:tcPr>
            <w:tcW w:w="2070" w:type="dxa"/>
            <w:vAlign w:val="center"/>
          </w:tcPr>
          <w:p w14:paraId="12A63E95" w14:textId="77777777" w:rsidR="004C5B0C" w:rsidRPr="001569FB" w:rsidRDefault="004C5B0C" w:rsidP="004C5B0C">
            <w:pPr>
              <w:keepNext/>
              <w:keepLines/>
              <w:spacing w:line="240" w:lineRule="auto"/>
              <w:contextualSpacing/>
              <w:jc w:val="center"/>
              <w:rPr>
                <w:color w:val="000000"/>
              </w:rPr>
            </w:pPr>
            <w:r w:rsidRPr="001569FB">
              <w:rPr>
                <w:color w:val="000000"/>
              </w:rPr>
              <w:t>L6 - L7</w:t>
            </w:r>
          </w:p>
        </w:tc>
        <w:tc>
          <w:tcPr>
            <w:tcW w:w="2970" w:type="dxa"/>
            <w:vAlign w:val="center"/>
          </w:tcPr>
          <w:p w14:paraId="0EBB8345" w14:textId="77777777" w:rsidR="004C5B0C" w:rsidRPr="001569FB" w:rsidRDefault="004C5B0C" w:rsidP="004C5B0C">
            <w:pPr>
              <w:keepNext/>
              <w:keepLines/>
              <w:spacing w:line="240" w:lineRule="auto"/>
              <w:contextualSpacing/>
              <w:jc w:val="center"/>
              <w:rPr>
                <w:color w:val="000000"/>
              </w:rPr>
            </w:pPr>
            <w:r w:rsidRPr="001569FB">
              <w:rPr>
                <w:color w:val="000000"/>
              </w:rPr>
              <w:t>D1 - D3</w:t>
            </w:r>
          </w:p>
        </w:tc>
        <w:tc>
          <w:tcPr>
            <w:tcW w:w="2250" w:type="dxa"/>
            <w:vMerge w:val="restart"/>
            <w:vAlign w:val="center"/>
          </w:tcPr>
          <w:p w14:paraId="4AA796D4"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r w:rsidRPr="001569FB">
              <w:rPr>
                <w:color w:val="000000"/>
              </w:rPr>
              <w:t>0.006484</w:t>
            </w:r>
          </w:p>
        </w:tc>
      </w:tr>
      <w:tr w:rsidR="004C5B0C" w:rsidRPr="001569FB" w14:paraId="1A1268BC" w14:textId="77777777" w:rsidTr="004C5B0C">
        <w:trPr>
          <w:trHeight w:val="315"/>
        </w:trPr>
        <w:tc>
          <w:tcPr>
            <w:tcW w:w="1890" w:type="dxa"/>
            <w:vMerge/>
            <w:shd w:val="clear" w:color="auto" w:fill="auto"/>
            <w:vAlign w:val="center"/>
            <w:hideMark/>
          </w:tcPr>
          <w:p w14:paraId="5A15DBA5"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13982E53" w14:textId="77777777" w:rsidR="004C5B0C" w:rsidRPr="001569FB" w:rsidRDefault="004C5B0C" w:rsidP="004C5B0C">
            <w:pPr>
              <w:keepNext/>
              <w:keepLines/>
              <w:spacing w:line="240" w:lineRule="auto"/>
              <w:contextualSpacing/>
              <w:jc w:val="center"/>
              <w:rPr>
                <w:color w:val="000000"/>
              </w:rPr>
            </w:pPr>
            <w:r w:rsidRPr="001569FB">
              <w:rPr>
                <w:color w:val="000000"/>
              </w:rPr>
              <w:t>L8 - L9</w:t>
            </w:r>
          </w:p>
        </w:tc>
        <w:tc>
          <w:tcPr>
            <w:tcW w:w="2970" w:type="dxa"/>
            <w:vAlign w:val="center"/>
          </w:tcPr>
          <w:p w14:paraId="5035D069" w14:textId="77777777" w:rsidR="004C5B0C" w:rsidRPr="001569FB" w:rsidRDefault="004C5B0C" w:rsidP="004C5B0C">
            <w:pPr>
              <w:keepNext/>
              <w:keepLines/>
              <w:spacing w:line="240" w:lineRule="auto"/>
              <w:contextualSpacing/>
              <w:jc w:val="center"/>
              <w:rPr>
                <w:color w:val="000000"/>
              </w:rPr>
            </w:pPr>
            <w:r w:rsidRPr="001569FB">
              <w:rPr>
                <w:color w:val="000000"/>
              </w:rPr>
              <w:t>D1</w:t>
            </w:r>
          </w:p>
        </w:tc>
        <w:tc>
          <w:tcPr>
            <w:tcW w:w="2250" w:type="dxa"/>
            <w:vMerge/>
            <w:vAlign w:val="center"/>
          </w:tcPr>
          <w:p w14:paraId="3B893711"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157BA113" w14:textId="77777777" w:rsidTr="004C5B0C">
        <w:trPr>
          <w:trHeight w:val="342"/>
        </w:trPr>
        <w:tc>
          <w:tcPr>
            <w:tcW w:w="1890" w:type="dxa"/>
            <w:vMerge/>
            <w:shd w:val="clear" w:color="auto" w:fill="auto"/>
            <w:vAlign w:val="center"/>
            <w:hideMark/>
          </w:tcPr>
          <w:p w14:paraId="4F48BACE"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43347C1"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L5</w:t>
            </w:r>
          </w:p>
        </w:tc>
        <w:tc>
          <w:tcPr>
            <w:tcW w:w="2970" w:type="dxa"/>
            <w:vAlign w:val="center"/>
          </w:tcPr>
          <w:p w14:paraId="2E548591"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D3 - D4</w:t>
            </w:r>
          </w:p>
        </w:tc>
        <w:tc>
          <w:tcPr>
            <w:tcW w:w="2250" w:type="dxa"/>
            <w:vMerge/>
            <w:vAlign w:val="center"/>
          </w:tcPr>
          <w:p w14:paraId="7B94C5F7"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42ED9F7B" w14:textId="77777777" w:rsidTr="004C5B0C">
        <w:trPr>
          <w:trHeight w:val="360"/>
        </w:trPr>
        <w:tc>
          <w:tcPr>
            <w:tcW w:w="1890" w:type="dxa"/>
            <w:vMerge/>
            <w:shd w:val="clear" w:color="auto" w:fill="auto"/>
            <w:vAlign w:val="center"/>
            <w:hideMark/>
          </w:tcPr>
          <w:p w14:paraId="42DF119F"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02B3D1B0"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L6</w:t>
            </w:r>
          </w:p>
        </w:tc>
        <w:tc>
          <w:tcPr>
            <w:tcW w:w="2970" w:type="dxa"/>
            <w:vAlign w:val="center"/>
          </w:tcPr>
          <w:p w14:paraId="47800702"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1599A8CE"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0696999E" w14:textId="77777777" w:rsidTr="004C5B0C">
        <w:trPr>
          <w:trHeight w:val="270"/>
        </w:trPr>
        <w:tc>
          <w:tcPr>
            <w:tcW w:w="1890" w:type="dxa"/>
            <w:vMerge/>
            <w:shd w:val="clear" w:color="auto" w:fill="auto"/>
            <w:vAlign w:val="center"/>
            <w:hideMark/>
          </w:tcPr>
          <w:p w14:paraId="310C17D0"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7FA5025"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L1 - L5</w:t>
            </w:r>
          </w:p>
        </w:tc>
        <w:tc>
          <w:tcPr>
            <w:tcW w:w="2970" w:type="dxa"/>
            <w:vAlign w:val="center"/>
          </w:tcPr>
          <w:p w14:paraId="18E15D28"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18BF8679"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39E88313" w14:textId="77777777" w:rsidTr="004C5B0C">
        <w:trPr>
          <w:trHeight w:val="315"/>
        </w:trPr>
        <w:tc>
          <w:tcPr>
            <w:tcW w:w="1890" w:type="dxa"/>
            <w:vMerge w:val="restart"/>
            <w:shd w:val="clear" w:color="auto" w:fill="auto"/>
            <w:vAlign w:val="center"/>
          </w:tcPr>
          <w:p w14:paraId="5A8FE4B7" w14:textId="5FEF1B84" w:rsidR="004C5B0C" w:rsidRPr="001569FB" w:rsidRDefault="004C5B0C" w:rsidP="00980C81">
            <w:pPr>
              <w:keepNext/>
              <w:keepLines/>
              <w:spacing w:line="240" w:lineRule="auto"/>
              <w:contextualSpacing/>
              <w:jc w:val="center"/>
              <w:rPr>
                <w:color w:val="000000"/>
              </w:rPr>
            </w:pPr>
            <w:r w:rsidRPr="001569FB">
              <w:rPr>
                <w:color w:val="000000"/>
              </w:rPr>
              <w:t>D</w:t>
            </w:r>
          </w:p>
        </w:tc>
        <w:tc>
          <w:tcPr>
            <w:tcW w:w="2070" w:type="dxa"/>
            <w:vAlign w:val="center"/>
          </w:tcPr>
          <w:p w14:paraId="5D4621A9" w14:textId="77777777" w:rsidR="004C5B0C" w:rsidRPr="001569FB" w:rsidRDefault="004C5B0C" w:rsidP="004C5B0C">
            <w:pPr>
              <w:keepNext/>
              <w:keepLines/>
              <w:spacing w:line="240" w:lineRule="auto"/>
              <w:contextualSpacing/>
              <w:jc w:val="center"/>
              <w:rPr>
                <w:color w:val="000000"/>
              </w:rPr>
            </w:pPr>
            <w:r w:rsidRPr="001569FB">
              <w:rPr>
                <w:color w:val="000000"/>
              </w:rPr>
              <w:t>L10</w:t>
            </w:r>
          </w:p>
        </w:tc>
        <w:tc>
          <w:tcPr>
            <w:tcW w:w="2970" w:type="dxa"/>
            <w:vAlign w:val="center"/>
          </w:tcPr>
          <w:p w14:paraId="668640C9" w14:textId="77777777" w:rsidR="004C5B0C" w:rsidRPr="001569FB" w:rsidRDefault="004C5B0C" w:rsidP="004C5B0C">
            <w:pPr>
              <w:keepNext/>
              <w:keepLines/>
              <w:spacing w:line="240" w:lineRule="auto"/>
              <w:contextualSpacing/>
              <w:jc w:val="center"/>
              <w:rPr>
                <w:color w:val="000000"/>
              </w:rPr>
            </w:pPr>
            <w:r w:rsidRPr="001569FB">
              <w:rPr>
                <w:color w:val="000000"/>
              </w:rPr>
              <w:t>D1</w:t>
            </w:r>
          </w:p>
        </w:tc>
        <w:tc>
          <w:tcPr>
            <w:tcW w:w="2250" w:type="dxa"/>
            <w:vMerge w:val="restart"/>
            <w:vAlign w:val="center"/>
          </w:tcPr>
          <w:p w14:paraId="47704A8B"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0.041195</w:t>
            </w:r>
          </w:p>
        </w:tc>
      </w:tr>
      <w:tr w:rsidR="004C5B0C" w:rsidRPr="001569FB" w14:paraId="25687A2F" w14:textId="77777777" w:rsidTr="004C5B0C">
        <w:trPr>
          <w:trHeight w:val="315"/>
        </w:trPr>
        <w:tc>
          <w:tcPr>
            <w:tcW w:w="1890" w:type="dxa"/>
            <w:vMerge/>
            <w:shd w:val="clear" w:color="auto" w:fill="auto"/>
            <w:vAlign w:val="center"/>
            <w:hideMark/>
          </w:tcPr>
          <w:p w14:paraId="27F93BCE"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1F7827C1" w14:textId="77777777" w:rsidR="004C5B0C" w:rsidRPr="001569FB" w:rsidRDefault="004C5B0C" w:rsidP="004C5B0C">
            <w:pPr>
              <w:keepNext/>
              <w:keepLines/>
              <w:spacing w:line="240" w:lineRule="auto"/>
              <w:contextualSpacing/>
              <w:jc w:val="center"/>
              <w:rPr>
                <w:color w:val="000000"/>
              </w:rPr>
            </w:pPr>
            <w:r w:rsidRPr="001569FB">
              <w:rPr>
                <w:color w:val="000000"/>
              </w:rPr>
              <w:t>L8</w:t>
            </w:r>
          </w:p>
        </w:tc>
        <w:tc>
          <w:tcPr>
            <w:tcW w:w="2970" w:type="dxa"/>
            <w:vAlign w:val="center"/>
          </w:tcPr>
          <w:p w14:paraId="5F99C963" w14:textId="77777777" w:rsidR="004C5B0C" w:rsidRPr="001569FB" w:rsidRDefault="004C5B0C" w:rsidP="004C5B0C">
            <w:pPr>
              <w:keepNext/>
              <w:keepLines/>
              <w:spacing w:line="240" w:lineRule="auto"/>
              <w:contextualSpacing/>
              <w:jc w:val="center"/>
              <w:rPr>
                <w:color w:val="000000"/>
              </w:rPr>
            </w:pPr>
            <w:r w:rsidRPr="001569FB">
              <w:rPr>
                <w:color w:val="000000"/>
              </w:rPr>
              <w:t>D2 - D5</w:t>
            </w:r>
          </w:p>
        </w:tc>
        <w:tc>
          <w:tcPr>
            <w:tcW w:w="2250" w:type="dxa"/>
            <w:vMerge/>
            <w:vAlign w:val="center"/>
          </w:tcPr>
          <w:p w14:paraId="29CFD699"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70979605" w14:textId="77777777" w:rsidTr="004C5B0C">
        <w:trPr>
          <w:trHeight w:val="252"/>
        </w:trPr>
        <w:tc>
          <w:tcPr>
            <w:tcW w:w="1890" w:type="dxa"/>
            <w:vMerge/>
            <w:shd w:val="clear" w:color="auto" w:fill="auto"/>
            <w:vAlign w:val="center"/>
            <w:hideMark/>
          </w:tcPr>
          <w:p w14:paraId="3424254E"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69B7FF12"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L7</w:t>
            </w:r>
          </w:p>
        </w:tc>
        <w:tc>
          <w:tcPr>
            <w:tcW w:w="2970" w:type="dxa"/>
            <w:vAlign w:val="center"/>
          </w:tcPr>
          <w:p w14:paraId="52C1384B"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59997E85"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65F029B6" w14:textId="77777777" w:rsidTr="004C5B0C">
        <w:trPr>
          <w:trHeight w:val="342"/>
        </w:trPr>
        <w:tc>
          <w:tcPr>
            <w:tcW w:w="1890" w:type="dxa"/>
            <w:vMerge/>
            <w:shd w:val="clear" w:color="auto" w:fill="auto"/>
            <w:vAlign w:val="center"/>
            <w:hideMark/>
          </w:tcPr>
          <w:p w14:paraId="026338A1"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38020E0"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L9 - L10</w:t>
            </w:r>
          </w:p>
        </w:tc>
        <w:tc>
          <w:tcPr>
            <w:tcW w:w="2970" w:type="dxa"/>
            <w:vAlign w:val="center"/>
          </w:tcPr>
          <w:p w14:paraId="557A078B"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D2</w:t>
            </w:r>
          </w:p>
        </w:tc>
        <w:tc>
          <w:tcPr>
            <w:tcW w:w="2250" w:type="dxa"/>
            <w:vMerge/>
            <w:vAlign w:val="center"/>
          </w:tcPr>
          <w:p w14:paraId="45804BFE"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2CCB681B" w14:textId="77777777" w:rsidTr="004C5B0C">
        <w:trPr>
          <w:trHeight w:val="360"/>
        </w:trPr>
        <w:tc>
          <w:tcPr>
            <w:tcW w:w="1890" w:type="dxa"/>
            <w:vMerge/>
            <w:shd w:val="clear" w:color="auto" w:fill="auto"/>
            <w:vAlign w:val="center"/>
            <w:hideMark/>
          </w:tcPr>
          <w:p w14:paraId="497D0E2C"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5D958CC4"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L6 - L7</w:t>
            </w:r>
          </w:p>
        </w:tc>
        <w:tc>
          <w:tcPr>
            <w:tcW w:w="2970" w:type="dxa"/>
            <w:vAlign w:val="center"/>
          </w:tcPr>
          <w:p w14:paraId="4D4632CA"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19174554"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00FD76C9" w14:textId="77777777" w:rsidTr="004C5B0C">
        <w:trPr>
          <w:trHeight w:val="315"/>
        </w:trPr>
        <w:tc>
          <w:tcPr>
            <w:tcW w:w="1890" w:type="dxa"/>
            <w:vMerge w:val="restart"/>
            <w:shd w:val="clear" w:color="auto" w:fill="auto"/>
            <w:vAlign w:val="center"/>
            <w:hideMark/>
          </w:tcPr>
          <w:p w14:paraId="12659D51" w14:textId="77777777" w:rsidR="004C5B0C" w:rsidRPr="001569FB" w:rsidRDefault="004C5B0C" w:rsidP="004C5B0C">
            <w:pPr>
              <w:keepNext/>
              <w:keepLines/>
              <w:spacing w:line="240" w:lineRule="auto"/>
              <w:contextualSpacing/>
              <w:jc w:val="center"/>
              <w:rPr>
                <w:color w:val="000000"/>
              </w:rPr>
            </w:pPr>
            <w:r w:rsidRPr="001569FB">
              <w:rPr>
                <w:color w:val="000000"/>
              </w:rPr>
              <w:t>E</w:t>
            </w:r>
          </w:p>
        </w:tc>
        <w:tc>
          <w:tcPr>
            <w:tcW w:w="2070" w:type="dxa"/>
            <w:shd w:val="clear" w:color="auto" w:fill="FFFFFF" w:themeFill="background1"/>
            <w:vAlign w:val="center"/>
          </w:tcPr>
          <w:p w14:paraId="5F50E72B" w14:textId="77777777" w:rsidR="004C5B0C" w:rsidRPr="001569FB" w:rsidRDefault="004C5B0C" w:rsidP="004C5B0C">
            <w:pPr>
              <w:keepNext/>
              <w:keepLines/>
              <w:spacing w:line="240" w:lineRule="auto"/>
              <w:contextualSpacing/>
              <w:jc w:val="center"/>
              <w:rPr>
                <w:color w:val="000000"/>
              </w:rPr>
            </w:pPr>
            <w:r w:rsidRPr="001569FB">
              <w:rPr>
                <w:color w:val="000000"/>
              </w:rPr>
              <w:t>L9 - L10</w:t>
            </w:r>
          </w:p>
        </w:tc>
        <w:tc>
          <w:tcPr>
            <w:tcW w:w="2970" w:type="dxa"/>
            <w:shd w:val="clear" w:color="auto" w:fill="FFFFFF" w:themeFill="background1"/>
            <w:vAlign w:val="center"/>
          </w:tcPr>
          <w:p w14:paraId="3DC1460C" w14:textId="77777777" w:rsidR="004C5B0C" w:rsidRPr="001569FB" w:rsidRDefault="004C5B0C" w:rsidP="004C5B0C">
            <w:pPr>
              <w:keepNext/>
              <w:keepLines/>
              <w:spacing w:line="240" w:lineRule="auto"/>
              <w:contextualSpacing/>
              <w:jc w:val="center"/>
              <w:rPr>
                <w:color w:val="000000"/>
              </w:rPr>
            </w:pPr>
            <w:r w:rsidRPr="001569FB">
              <w:rPr>
                <w:color w:val="000000"/>
              </w:rPr>
              <w:t>D3 - D4</w:t>
            </w:r>
          </w:p>
        </w:tc>
        <w:tc>
          <w:tcPr>
            <w:tcW w:w="2250" w:type="dxa"/>
            <w:vMerge w:val="restart"/>
            <w:shd w:val="clear" w:color="auto" w:fill="FFFFFF" w:themeFill="background1"/>
            <w:vAlign w:val="center"/>
          </w:tcPr>
          <w:p w14:paraId="3AA903A4"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0.113869</w:t>
            </w:r>
          </w:p>
        </w:tc>
      </w:tr>
      <w:tr w:rsidR="004C5B0C" w:rsidRPr="001569FB" w14:paraId="478B9D5F" w14:textId="77777777" w:rsidTr="004C5B0C">
        <w:trPr>
          <w:trHeight w:val="314"/>
        </w:trPr>
        <w:tc>
          <w:tcPr>
            <w:tcW w:w="1890" w:type="dxa"/>
            <w:vMerge/>
            <w:vAlign w:val="center"/>
            <w:hideMark/>
          </w:tcPr>
          <w:p w14:paraId="16C2A615" w14:textId="77777777" w:rsidR="004C5B0C" w:rsidRPr="001569FB" w:rsidRDefault="004C5B0C" w:rsidP="004C5B0C">
            <w:pPr>
              <w:keepNext/>
              <w:keepLines/>
              <w:spacing w:line="240" w:lineRule="auto"/>
              <w:contextualSpacing/>
              <w:rPr>
                <w:color w:val="000000"/>
              </w:rPr>
            </w:pPr>
          </w:p>
        </w:tc>
        <w:tc>
          <w:tcPr>
            <w:tcW w:w="2070" w:type="dxa"/>
            <w:shd w:val="clear" w:color="auto" w:fill="FFFFFF" w:themeFill="background1"/>
            <w:vAlign w:val="center"/>
          </w:tcPr>
          <w:p w14:paraId="446A3BC9" w14:textId="77777777" w:rsidR="004C5B0C" w:rsidRPr="001569FB" w:rsidRDefault="004C5B0C" w:rsidP="004C5B0C">
            <w:pPr>
              <w:keepNext/>
              <w:keepLines/>
              <w:spacing w:line="240" w:lineRule="auto"/>
              <w:contextualSpacing/>
              <w:jc w:val="center"/>
              <w:rPr>
                <w:color w:val="000000"/>
              </w:rPr>
            </w:pPr>
            <w:r w:rsidRPr="001569FB">
              <w:rPr>
                <w:color w:val="000000"/>
              </w:rPr>
              <w:t>L9</w:t>
            </w:r>
          </w:p>
        </w:tc>
        <w:tc>
          <w:tcPr>
            <w:tcW w:w="2970" w:type="dxa"/>
            <w:shd w:val="clear" w:color="auto" w:fill="FFFFFF" w:themeFill="background1"/>
            <w:vAlign w:val="center"/>
          </w:tcPr>
          <w:p w14:paraId="3A84704A" w14:textId="77777777" w:rsidR="004C5B0C" w:rsidRPr="001569FB" w:rsidRDefault="004C5B0C" w:rsidP="004C5B0C">
            <w:pPr>
              <w:keepNext/>
              <w:keepLines/>
              <w:spacing w:line="240" w:lineRule="auto"/>
              <w:contextualSpacing/>
              <w:jc w:val="center"/>
              <w:rPr>
                <w:color w:val="000000"/>
              </w:rPr>
            </w:pPr>
            <w:r w:rsidRPr="001569FB">
              <w:rPr>
                <w:color w:val="000000"/>
              </w:rPr>
              <w:t>D5</w:t>
            </w:r>
          </w:p>
        </w:tc>
        <w:tc>
          <w:tcPr>
            <w:tcW w:w="2250" w:type="dxa"/>
            <w:vMerge/>
            <w:shd w:val="clear" w:color="auto" w:fill="FFFFFF" w:themeFill="background1"/>
            <w:vAlign w:val="center"/>
          </w:tcPr>
          <w:p w14:paraId="05D49603"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2BB2B43A" w14:textId="77777777" w:rsidTr="004C5B0C">
        <w:trPr>
          <w:trHeight w:val="315"/>
        </w:trPr>
        <w:tc>
          <w:tcPr>
            <w:tcW w:w="1890" w:type="dxa"/>
            <w:shd w:val="clear" w:color="auto" w:fill="auto"/>
            <w:vAlign w:val="center"/>
            <w:hideMark/>
          </w:tcPr>
          <w:p w14:paraId="52212CC3" w14:textId="77777777" w:rsidR="004C5B0C" w:rsidRPr="001569FB" w:rsidRDefault="004C5B0C" w:rsidP="004C5B0C">
            <w:pPr>
              <w:spacing w:line="240" w:lineRule="auto"/>
              <w:contextualSpacing/>
              <w:jc w:val="center"/>
              <w:rPr>
                <w:color w:val="000000"/>
              </w:rPr>
            </w:pPr>
            <w:r w:rsidRPr="001569FB">
              <w:rPr>
                <w:color w:val="000000"/>
              </w:rPr>
              <w:t>F</w:t>
            </w:r>
          </w:p>
        </w:tc>
        <w:tc>
          <w:tcPr>
            <w:tcW w:w="2070" w:type="dxa"/>
            <w:vAlign w:val="center"/>
          </w:tcPr>
          <w:p w14:paraId="5DBF1A37" w14:textId="77777777" w:rsidR="004C5B0C" w:rsidRPr="001569FB" w:rsidRDefault="004C5B0C" w:rsidP="004C5B0C">
            <w:pPr>
              <w:spacing w:line="240" w:lineRule="auto"/>
              <w:contextualSpacing/>
              <w:jc w:val="center"/>
              <w:rPr>
                <w:color w:val="000000"/>
              </w:rPr>
            </w:pPr>
            <w:r w:rsidRPr="001569FB">
              <w:rPr>
                <w:color w:val="000000"/>
              </w:rPr>
              <w:t>L10</w:t>
            </w:r>
          </w:p>
        </w:tc>
        <w:tc>
          <w:tcPr>
            <w:tcW w:w="2970" w:type="dxa"/>
            <w:vAlign w:val="center"/>
          </w:tcPr>
          <w:p w14:paraId="075DA6F8" w14:textId="77777777" w:rsidR="004C5B0C" w:rsidRPr="001569FB" w:rsidRDefault="004C5B0C" w:rsidP="004C5B0C">
            <w:pPr>
              <w:spacing w:line="240" w:lineRule="auto"/>
              <w:contextualSpacing/>
              <w:jc w:val="center"/>
              <w:rPr>
                <w:color w:val="000000"/>
              </w:rPr>
            </w:pPr>
            <w:r w:rsidRPr="001569FB">
              <w:rPr>
                <w:color w:val="000000"/>
              </w:rPr>
              <w:t>D5</w:t>
            </w:r>
          </w:p>
        </w:tc>
        <w:tc>
          <w:tcPr>
            <w:tcW w:w="2250" w:type="dxa"/>
            <w:vAlign w:val="center"/>
          </w:tcPr>
          <w:p w14:paraId="2EDB3CA8" w14:textId="77777777" w:rsidR="004C5B0C" w:rsidRPr="001569FB" w:rsidRDefault="004C5B0C" w:rsidP="004C5B0C">
            <w:pPr>
              <w:tabs>
                <w:tab w:val="decimal" w:pos="612"/>
              </w:tabs>
              <w:spacing w:line="240" w:lineRule="auto"/>
              <w:contextualSpacing/>
              <w:rPr>
                <w:color w:val="000000"/>
              </w:rPr>
            </w:pPr>
            <w:r w:rsidRPr="001569FB">
              <w:rPr>
                <w:color w:val="000000"/>
              </w:rPr>
              <w:t>0.142718</w:t>
            </w:r>
          </w:p>
        </w:tc>
      </w:tr>
    </w:tbl>
    <w:p w14:paraId="01B8DB95" w14:textId="77777777" w:rsidR="004C5B0C" w:rsidRPr="001569FB" w:rsidRDefault="004C5B0C" w:rsidP="004C5B0C">
      <w:pPr>
        <w:pStyle w:val="Caption"/>
        <w:spacing w:before="600"/>
        <w:rPr>
          <w:b w:val="0"/>
        </w:rPr>
      </w:pPr>
      <w:r w:rsidRPr="001569FB">
        <w:rPr>
          <w:b w:val="0"/>
        </w:rPr>
        <w:lastRenderedPageBreak/>
        <w:t>Tables 7 and 8 provide the range of the percentages that correspond to the initial LIS/DE groups and disability quintiles for the initial categories for the determination of the CAI values for the Part C summary rating.</w:t>
      </w:r>
    </w:p>
    <w:p w14:paraId="2BCC93AF" w14:textId="77777777" w:rsidR="004C5B0C" w:rsidRPr="001569FB" w:rsidRDefault="004C5B0C" w:rsidP="004C5B0C">
      <w:pPr>
        <w:pStyle w:val="Caption"/>
        <w:ind w:left="450"/>
      </w:pPr>
      <w:r w:rsidRPr="001569FB">
        <w:t xml:space="preserve">Table </w:t>
      </w:r>
      <w:fldSimple w:instr=" SEQ Table \* ARABIC ">
        <w:r w:rsidR="00A216EC">
          <w:rPr>
            <w:noProof/>
          </w:rPr>
          <w:t>7</w:t>
        </w:r>
      </w:fldSimple>
      <w:r w:rsidRPr="001569FB">
        <w:t>: Categorization of MA Contracts into Initial LIS/DE Groups for the Part C Summary Rating</w:t>
      </w:r>
    </w:p>
    <w:tbl>
      <w:tblPr>
        <w:tblW w:w="8091" w:type="dxa"/>
        <w:jc w:val="center"/>
        <w:tblLayout w:type="fixed"/>
        <w:tblCellMar>
          <w:left w:w="0" w:type="dxa"/>
          <w:right w:w="0" w:type="dxa"/>
        </w:tblCellMar>
        <w:tblLook w:val="0000" w:firstRow="0" w:lastRow="0" w:firstColumn="0" w:lastColumn="0" w:noHBand="0" w:noVBand="0"/>
      </w:tblPr>
      <w:tblGrid>
        <w:gridCol w:w="2511"/>
        <w:gridCol w:w="5580"/>
      </w:tblGrid>
      <w:tr w:rsidR="004C5B0C" w:rsidRPr="001569FB" w14:paraId="6F688504" w14:textId="77777777" w:rsidTr="004C5B0C">
        <w:trPr>
          <w:cantSplit/>
          <w:trHeight w:hRule="exact" w:val="354"/>
          <w:tblHeader/>
          <w:jc w:val="center"/>
        </w:trPr>
        <w:tc>
          <w:tcPr>
            <w:tcW w:w="2511" w:type="dxa"/>
            <w:tcBorders>
              <w:top w:val="single" w:sz="7" w:space="0" w:color="000000"/>
              <w:left w:val="single" w:sz="7" w:space="0" w:color="000000"/>
              <w:bottom w:val="single" w:sz="7" w:space="0" w:color="000000"/>
              <w:right w:val="single" w:sz="7" w:space="0" w:color="000000"/>
            </w:tcBorders>
            <w:shd w:val="clear" w:color="auto" w:fill="BEBEBE"/>
          </w:tcPr>
          <w:p w14:paraId="624A6F06" w14:textId="77777777" w:rsidR="004C5B0C" w:rsidRPr="001569FB" w:rsidRDefault="004C5B0C" w:rsidP="004C5B0C">
            <w:pPr>
              <w:pStyle w:val="TableParagraph"/>
              <w:keepNext/>
              <w:keepLines/>
              <w:widowControl/>
              <w:kinsoku w:val="0"/>
              <w:overflowPunct w:val="0"/>
              <w:spacing w:before="26"/>
              <w:ind w:left="171"/>
              <w:rPr>
                <w:sz w:val="24"/>
              </w:rPr>
            </w:pPr>
            <w:r w:rsidRPr="001569FB">
              <w:rPr>
                <w:b/>
                <w:bCs/>
                <w:sz w:val="24"/>
              </w:rPr>
              <w:t>LIS/DE Initial Group</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5C9230D7" w14:textId="77777777" w:rsidR="004C5B0C" w:rsidRPr="001569FB" w:rsidRDefault="004C5B0C" w:rsidP="004C5B0C">
            <w:pPr>
              <w:pStyle w:val="TableParagraph"/>
              <w:keepNext/>
              <w:keepLines/>
              <w:widowControl/>
              <w:kinsoku w:val="0"/>
              <w:overflowPunct w:val="0"/>
              <w:spacing w:before="26"/>
              <w:ind w:left="29" w:right="30" w:hanging="189"/>
              <w:jc w:val="center"/>
              <w:rPr>
                <w:sz w:val="24"/>
              </w:rPr>
            </w:pPr>
            <w:r w:rsidRPr="001569FB">
              <w:rPr>
                <w:b/>
                <w:bCs/>
                <w:sz w:val="24"/>
              </w:rPr>
              <w:t xml:space="preserve">Percentage of Contract’s LIS/DE </w:t>
            </w:r>
            <w:r w:rsidRPr="001569FB">
              <w:rPr>
                <w:rFonts w:cstheme="minorHAnsi"/>
                <w:b/>
                <w:bCs/>
                <w:sz w:val="24"/>
              </w:rPr>
              <w:t>Beneficiaries</w:t>
            </w:r>
          </w:p>
        </w:tc>
      </w:tr>
      <w:tr w:rsidR="004C5B0C" w:rsidRPr="001569FB" w14:paraId="226E8D83"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17C3CD4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580" w:type="dxa"/>
            <w:tcBorders>
              <w:top w:val="single" w:sz="7" w:space="0" w:color="000000"/>
              <w:left w:val="single" w:sz="7" w:space="0" w:color="000000"/>
              <w:bottom w:val="single" w:sz="7" w:space="0" w:color="000000"/>
              <w:right w:val="single" w:sz="7" w:space="0" w:color="000000"/>
            </w:tcBorders>
            <w:vAlign w:val="bottom"/>
          </w:tcPr>
          <w:p w14:paraId="4DA73379" w14:textId="77777777" w:rsidR="004C5B0C" w:rsidRPr="001569FB" w:rsidRDefault="004C5B0C" w:rsidP="004C5B0C">
            <w:pPr>
              <w:pStyle w:val="TableParagraph"/>
              <w:keepNext/>
              <w:keepLines/>
              <w:widowControl/>
              <w:tabs>
                <w:tab w:val="decimal" w:pos="1440"/>
              </w:tabs>
              <w:kinsoku w:val="0"/>
              <w:overflowPunct w:val="0"/>
              <w:spacing w:before="20"/>
              <w:ind w:left="29" w:right="29"/>
              <w:rPr>
                <w:sz w:val="24"/>
              </w:rPr>
            </w:pPr>
            <w:r w:rsidRPr="001569FB">
              <w:rPr>
                <w:rFonts w:cstheme="minorHAnsi"/>
                <w:color w:val="000000"/>
                <w:sz w:val="24"/>
              </w:rPr>
              <w:t>0.000000 to less than 5.992616</w:t>
            </w:r>
          </w:p>
        </w:tc>
      </w:tr>
      <w:tr w:rsidR="004C5B0C" w:rsidRPr="001569FB" w14:paraId="0E49F695"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0637AB4B"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580" w:type="dxa"/>
            <w:tcBorders>
              <w:top w:val="single" w:sz="7" w:space="0" w:color="000000"/>
              <w:left w:val="single" w:sz="7" w:space="0" w:color="000000"/>
              <w:bottom w:val="single" w:sz="7" w:space="0" w:color="000000"/>
              <w:right w:val="single" w:sz="7" w:space="0" w:color="000000"/>
            </w:tcBorders>
            <w:vAlign w:val="bottom"/>
          </w:tcPr>
          <w:p w14:paraId="20B3016A"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5.992616 to less than 8.988495</w:t>
            </w:r>
          </w:p>
        </w:tc>
      </w:tr>
      <w:tr w:rsidR="004C5B0C" w:rsidRPr="001569FB" w14:paraId="1776E442"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685790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580" w:type="dxa"/>
            <w:tcBorders>
              <w:top w:val="single" w:sz="7" w:space="0" w:color="000000"/>
              <w:left w:val="single" w:sz="7" w:space="0" w:color="000000"/>
              <w:bottom w:val="single" w:sz="7" w:space="0" w:color="000000"/>
              <w:right w:val="single" w:sz="7" w:space="0" w:color="000000"/>
            </w:tcBorders>
            <w:vAlign w:val="bottom"/>
          </w:tcPr>
          <w:p w14:paraId="09803B7D"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8.988495 to less than 11.438062</w:t>
            </w:r>
          </w:p>
        </w:tc>
      </w:tr>
      <w:tr w:rsidR="004C5B0C" w:rsidRPr="001569FB" w14:paraId="47488A45"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71F7425"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580" w:type="dxa"/>
            <w:tcBorders>
              <w:top w:val="single" w:sz="7" w:space="0" w:color="000000"/>
              <w:left w:val="single" w:sz="7" w:space="0" w:color="000000"/>
              <w:bottom w:val="single" w:sz="7" w:space="0" w:color="000000"/>
              <w:right w:val="single" w:sz="7" w:space="0" w:color="000000"/>
            </w:tcBorders>
            <w:vAlign w:val="bottom"/>
          </w:tcPr>
          <w:p w14:paraId="1CB783D0"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11.438062 to less than 14.634338</w:t>
            </w:r>
          </w:p>
        </w:tc>
      </w:tr>
      <w:tr w:rsidR="004C5B0C" w:rsidRPr="001569FB" w14:paraId="1389F08C"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4ED4C6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580" w:type="dxa"/>
            <w:tcBorders>
              <w:top w:val="single" w:sz="7" w:space="0" w:color="000000"/>
              <w:left w:val="single" w:sz="7" w:space="0" w:color="000000"/>
              <w:bottom w:val="single" w:sz="7" w:space="0" w:color="000000"/>
              <w:right w:val="single" w:sz="7" w:space="0" w:color="000000"/>
            </w:tcBorders>
            <w:vAlign w:val="bottom"/>
          </w:tcPr>
          <w:p w14:paraId="5E984B34"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14.634338 to less than 19.378661</w:t>
            </w:r>
          </w:p>
        </w:tc>
      </w:tr>
      <w:tr w:rsidR="004C5B0C" w:rsidRPr="001569FB" w14:paraId="1CE358EE"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2DDDD87E"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580" w:type="dxa"/>
            <w:tcBorders>
              <w:top w:val="single" w:sz="7" w:space="0" w:color="000000"/>
              <w:left w:val="single" w:sz="7" w:space="0" w:color="000000"/>
              <w:bottom w:val="single" w:sz="7" w:space="0" w:color="000000"/>
              <w:right w:val="single" w:sz="7" w:space="0" w:color="000000"/>
            </w:tcBorders>
            <w:vAlign w:val="bottom"/>
          </w:tcPr>
          <w:p w14:paraId="32C72501"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19.378661 to less than 26.317568</w:t>
            </w:r>
          </w:p>
        </w:tc>
      </w:tr>
      <w:tr w:rsidR="004C5B0C" w:rsidRPr="001569FB" w14:paraId="28558FEC"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58D75376"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580" w:type="dxa"/>
            <w:tcBorders>
              <w:top w:val="single" w:sz="7" w:space="0" w:color="000000"/>
              <w:left w:val="single" w:sz="7" w:space="0" w:color="000000"/>
              <w:bottom w:val="single" w:sz="7" w:space="0" w:color="000000"/>
              <w:right w:val="single" w:sz="7" w:space="0" w:color="000000"/>
            </w:tcBorders>
            <w:vAlign w:val="bottom"/>
          </w:tcPr>
          <w:p w14:paraId="57A9CE20"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26.317568 to less than 39.614595</w:t>
            </w:r>
          </w:p>
        </w:tc>
      </w:tr>
      <w:tr w:rsidR="004C5B0C" w:rsidRPr="001569FB" w14:paraId="43C4246E"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757F129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580" w:type="dxa"/>
            <w:tcBorders>
              <w:top w:val="single" w:sz="7" w:space="0" w:color="000000"/>
              <w:left w:val="single" w:sz="7" w:space="0" w:color="000000"/>
              <w:bottom w:val="single" w:sz="7" w:space="0" w:color="000000"/>
              <w:right w:val="single" w:sz="7" w:space="0" w:color="000000"/>
            </w:tcBorders>
            <w:vAlign w:val="bottom"/>
          </w:tcPr>
          <w:p w14:paraId="26F94476"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39.614595 to less than 69.705289</w:t>
            </w:r>
          </w:p>
        </w:tc>
      </w:tr>
      <w:tr w:rsidR="004C5B0C" w:rsidRPr="001569FB" w14:paraId="51095170"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56B66754"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580" w:type="dxa"/>
            <w:tcBorders>
              <w:top w:val="single" w:sz="7" w:space="0" w:color="000000"/>
              <w:left w:val="single" w:sz="7" w:space="0" w:color="000000"/>
              <w:bottom w:val="single" w:sz="7" w:space="0" w:color="000000"/>
              <w:right w:val="single" w:sz="7" w:space="0" w:color="000000"/>
            </w:tcBorders>
            <w:vAlign w:val="bottom"/>
          </w:tcPr>
          <w:p w14:paraId="2EA6D36A"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69.705289 to less than 100.00000</w:t>
            </w:r>
          </w:p>
        </w:tc>
      </w:tr>
      <w:tr w:rsidR="004C5B0C" w:rsidRPr="001569FB" w14:paraId="3B15D407"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6D861DE9"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580" w:type="dxa"/>
            <w:tcBorders>
              <w:top w:val="single" w:sz="7" w:space="0" w:color="000000"/>
              <w:left w:val="single" w:sz="7" w:space="0" w:color="000000"/>
              <w:bottom w:val="single" w:sz="7" w:space="0" w:color="000000"/>
              <w:right w:val="single" w:sz="7" w:space="0" w:color="000000"/>
            </w:tcBorders>
            <w:vAlign w:val="bottom"/>
          </w:tcPr>
          <w:p w14:paraId="4D3666E2" w14:textId="77777777" w:rsidR="004C5B0C" w:rsidRPr="001569FB" w:rsidRDefault="004C5B0C" w:rsidP="004C5B0C">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4F73E7E9" w14:textId="77777777" w:rsidR="004C5B0C" w:rsidRPr="001569FB" w:rsidRDefault="004C5B0C" w:rsidP="004C5B0C">
      <w:pPr>
        <w:pStyle w:val="Caption"/>
        <w:tabs>
          <w:tab w:val="left" w:pos="450"/>
        </w:tabs>
        <w:ind w:left="450"/>
      </w:pPr>
      <w:r w:rsidRPr="001569FB">
        <w:t xml:space="preserve">Table </w:t>
      </w:r>
      <w:fldSimple w:instr=" SEQ Table \* ARABIC ">
        <w:r w:rsidR="00A216EC">
          <w:rPr>
            <w:noProof/>
          </w:rPr>
          <w:t>8</w:t>
        </w:r>
      </w:fldSimple>
      <w:r w:rsidRPr="001569FB">
        <w:t>: Categorization of MA Contracts into Disability Quintiles for the Part C Summary Rating</w:t>
      </w:r>
    </w:p>
    <w:tbl>
      <w:tblPr>
        <w:tblW w:w="0" w:type="auto"/>
        <w:jc w:val="center"/>
        <w:tblCellMar>
          <w:left w:w="0" w:type="dxa"/>
          <w:right w:w="0" w:type="dxa"/>
        </w:tblCellMar>
        <w:tblLook w:val="0000" w:firstRow="0" w:lastRow="0" w:firstColumn="0" w:lastColumn="0" w:noHBand="0" w:noVBand="0"/>
      </w:tblPr>
      <w:tblGrid>
        <w:gridCol w:w="2269"/>
        <w:gridCol w:w="5552"/>
      </w:tblGrid>
      <w:tr w:rsidR="004C5B0C" w:rsidRPr="001569FB" w14:paraId="4C7D08D3" w14:textId="77777777" w:rsidTr="004C5B0C">
        <w:trPr>
          <w:cantSplit/>
          <w:trHeight w:hRule="exact" w:val="353"/>
          <w:tblHeader/>
          <w:jc w:val="center"/>
        </w:trPr>
        <w:tc>
          <w:tcPr>
            <w:tcW w:w="0" w:type="auto"/>
            <w:tcBorders>
              <w:top w:val="single" w:sz="7" w:space="0" w:color="000000"/>
              <w:left w:val="single" w:sz="7" w:space="0" w:color="000000"/>
              <w:bottom w:val="single" w:sz="7" w:space="0" w:color="000000"/>
              <w:right w:val="single" w:sz="7" w:space="0" w:color="000000"/>
            </w:tcBorders>
            <w:shd w:val="clear" w:color="auto" w:fill="BEBEBE"/>
          </w:tcPr>
          <w:p w14:paraId="2C94A78B" w14:textId="77777777" w:rsidR="004C5B0C" w:rsidRPr="001569FB" w:rsidRDefault="004C5B0C" w:rsidP="004C5B0C">
            <w:pPr>
              <w:pStyle w:val="TableParagraph"/>
              <w:kinsoku w:val="0"/>
              <w:overflowPunct w:val="0"/>
              <w:spacing w:before="25"/>
              <w:ind w:left="171" w:right="194"/>
              <w:jc w:val="center"/>
              <w:rPr>
                <w:sz w:val="24"/>
              </w:rPr>
            </w:pPr>
            <w:r w:rsidRPr="001569FB">
              <w:rPr>
                <w:b/>
                <w:bCs/>
                <w:sz w:val="24"/>
              </w:rPr>
              <w:t>Disability Quintile</w:t>
            </w:r>
          </w:p>
        </w:tc>
        <w:tc>
          <w:tcPr>
            <w:tcW w:w="5552" w:type="dxa"/>
            <w:tcBorders>
              <w:top w:val="single" w:sz="7" w:space="0" w:color="000000"/>
              <w:left w:val="single" w:sz="7" w:space="0" w:color="000000"/>
              <w:bottom w:val="single" w:sz="7" w:space="0" w:color="000000"/>
              <w:right w:val="single" w:sz="7" w:space="0" w:color="000000"/>
            </w:tcBorders>
            <w:shd w:val="clear" w:color="auto" w:fill="BEBEBE"/>
          </w:tcPr>
          <w:p w14:paraId="5DEC476D" w14:textId="77777777" w:rsidR="004C5B0C" w:rsidRPr="001569FB" w:rsidRDefault="004C5B0C" w:rsidP="004C5B0C">
            <w:pPr>
              <w:pStyle w:val="TableParagraph"/>
              <w:kinsoku w:val="0"/>
              <w:overflowPunct w:val="0"/>
              <w:spacing w:before="25"/>
              <w:rPr>
                <w:sz w:val="24"/>
              </w:rPr>
            </w:pPr>
            <w:r w:rsidRPr="001569FB">
              <w:rPr>
                <w:b/>
                <w:bCs/>
                <w:sz w:val="24"/>
              </w:rPr>
              <w:t>Percentage of Contract’s Disabled Beneficiaries</w:t>
            </w:r>
          </w:p>
        </w:tc>
      </w:tr>
      <w:tr w:rsidR="004C5B0C" w:rsidRPr="001569FB" w14:paraId="1BD1C6CC"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73C85387" w14:textId="77777777" w:rsidR="004C5B0C" w:rsidRPr="001569FB" w:rsidRDefault="004C5B0C" w:rsidP="004C5B0C">
            <w:pPr>
              <w:pStyle w:val="TableParagraph"/>
              <w:kinsoku w:val="0"/>
              <w:overflowPunct w:val="0"/>
              <w:spacing w:before="21"/>
              <w:jc w:val="center"/>
              <w:rPr>
                <w:sz w:val="24"/>
              </w:rPr>
            </w:pPr>
            <w:r w:rsidRPr="001569FB">
              <w:rPr>
                <w:sz w:val="24"/>
              </w:rPr>
              <w:t>D1</w:t>
            </w:r>
          </w:p>
        </w:tc>
        <w:tc>
          <w:tcPr>
            <w:tcW w:w="5552" w:type="dxa"/>
            <w:tcBorders>
              <w:top w:val="single" w:sz="7" w:space="0" w:color="000000"/>
              <w:left w:val="single" w:sz="7" w:space="0" w:color="000000"/>
              <w:bottom w:val="single" w:sz="7" w:space="0" w:color="000000"/>
              <w:right w:val="single" w:sz="7" w:space="0" w:color="000000"/>
            </w:tcBorders>
            <w:vAlign w:val="bottom"/>
          </w:tcPr>
          <w:p w14:paraId="673949D1"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0.000000 to less than 14.826108</w:t>
            </w:r>
          </w:p>
        </w:tc>
      </w:tr>
      <w:tr w:rsidR="004C5B0C" w:rsidRPr="001569FB" w14:paraId="5E8EEB0A"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59C43ADA" w14:textId="77777777" w:rsidR="004C5B0C" w:rsidRPr="001569FB" w:rsidRDefault="004C5B0C" w:rsidP="004C5B0C">
            <w:pPr>
              <w:pStyle w:val="TableParagraph"/>
              <w:kinsoku w:val="0"/>
              <w:overflowPunct w:val="0"/>
              <w:spacing w:before="21"/>
              <w:jc w:val="center"/>
              <w:rPr>
                <w:sz w:val="24"/>
              </w:rPr>
            </w:pPr>
            <w:r w:rsidRPr="001569FB">
              <w:rPr>
                <w:sz w:val="24"/>
              </w:rPr>
              <w:t>D2</w:t>
            </w:r>
          </w:p>
        </w:tc>
        <w:tc>
          <w:tcPr>
            <w:tcW w:w="5552" w:type="dxa"/>
            <w:tcBorders>
              <w:top w:val="single" w:sz="7" w:space="0" w:color="000000"/>
              <w:left w:val="single" w:sz="7" w:space="0" w:color="000000"/>
              <w:bottom w:val="single" w:sz="7" w:space="0" w:color="000000"/>
              <w:right w:val="single" w:sz="7" w:space="0" w:color="000000"/>
            </w:tcBorders>
            <w:vAlign w:val="bottom"/>
          </w:tcPr>
          <w:p w14:paraId="5812A69E"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14.826108 to less than 20.812509</w:t>
            </w:r>
          </w:p>
        </w:tc>
      </w:tr>
      <w:tr w:rsidR="004C5B0C" w:rsidRPr="001569FB" w14:paraId="229538CC"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2BDBD133" w14:textId="77777777" w:rsidR="004C5B0C" w:rsidRPr="001569FB" w:rsidRDefault="004C5B0C" w:rsidP="004C5B0C">
            <w:pPr>
              <w:pStyle w:val="TableParagraph"/>
              <w:kinsoku w:val="0"/>
              <w:overflowPunct w:val="0"/>
              <w:spacing w:before="21"/>
              <w:jc w:val="center"/>
              <w:rPr>
                <w:sz w:val="24"/>
              </w:rPr>
            </w:pPr>
            <w:r w:rsidRPr="001569FB">
              <w:rPr>
                <w:sz w:val="24"/>
              </w:rPr>
              <w:t>D3</w:t>
            </w:r>
          </w:p>
        </w:tc>
        <w:tc>
          <w:tcPr>
            <w:tcW w:w="5552" w:type="dxa"/>
            <w:tcBorders>
              <w:top w:val="single" w:sz="7" w:space="0" w:color="000000"/>
              <w:left w:val="single" w:sz="7" w:space="0" w:color="000000"/>
              <w:bottom w:val="single" w:sz="7" w:space="0" w:color="000000"/>
              <w:right w:val="single" w:sz="7" w:space="0" w:color="000000"/>
            </w:tcBorders>
            <w:vAlign w:val="bottom"/>
          </w:tcPr>
          <w:p w14:paraId="2AF560F4"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20.812509 to less than 27.249755</w:t>
            </w:r>
          </w:p>
        </w:tc>
      </w:tr>
      <w:tr w:rsidR="004C5B0C" w:rsidRPr="001569FB" w14:paraId="424ED826"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51B0C0E0" w14:textId="77777777" w:rsidR="004C5B0C" w:rsidRPr="001569FB" w:rsidRDefault="004C5B0C" w:rsidP="004C5B0C">
            <w:pPr>
              <w:pStyle w:val="TableParagraph"/>
              <w:kinsoku w:val="0"/>
              <w:overflowPunct w:val="0"/>
              <w:spacing w:before="20"/>
              <w:jc w:val="center"/>
              <w:rPr>
                <w:sz w:val="24"/>
              </w:rPr>
            </w:pPr>
            <w:r w:rsidRPr="001569FB">
              <w:rPr>
                <w:sz w:val="24"/>
              </w:rPr>
              <w:t>D4</w:t>
            </w:r>
          </w:p>
        </w:tc>
        <w:tc>
          <w:tcPr>
            <w:tcW w:w="5552" w:type="dxa"/>
            <w:tcBorders>
              <w:top w:val="single" w:sz="7" w:space="0" w:color="000000"/>
              <w:left w:val="single" w:sz="7" w:space="0" w:color="000000"/>
              <w:bottom w:val="single" w:sz="7" w:space="0" w:color="000000"/>
              <w:right w:val="single" w:sz="7" w:space="0" w:color="000000"/>
            </w:tcBorders>
            <w:vAlign w:val="bottom"/>
          </w:tcPr>
          <w:p w14:paraId="04E43841" w14:textId="77777777" w:rsidR="004C5B0C" w:rsidRPr="001569FB" w:rsidRDefault="004C5B0C" w:rsidP="004C5B0C">
            <w:pPr>
              <w:pStyle w:val="TableParagraph"/>
              <w:kinsoku w:val="0"/>
              <w:overflowPunct w:val="0"/>
              <w:spacing w:before="20"/>
              <w:rPr>
                <w:sz w:val="24"/>
              </w:rPr>
            </w:pPr>
            <w:r w:rsidRPr="001569FB">
              <w:rPr>
                <w:rFonts w:cstheme="minorHAnsi"/>
                <w:color w:val="000000"/>
                <w:sz w:val="24"/>
              </w:rPr>
              <w:t>27.249755 to less than 38.009950</w:t>
            </w:r>
          </w:p>
        </w:tc>
      </w:tr>
      <w:tr w:rsidR="004C5B0C" w:rsidRPr="001569FB" w14:paraId="17B119CF"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65C70F08" w14:textId="77777777" w:rsidR="004C5B0C" w:rsidRPr="001569FB" w:rsidRDefault="004C5B0C" w:rsidP="004C5B0C">
            <w:pPr>
              <w:pStyle w:val="TableParagraph"/>
              <w:kinsoku w:val="0"/>
              <w:overflowPunct w:val="0"/>
              <w:spacing w:before="20"/>
              <w:jc w:val="center"/>
              <w:rPr>
                <w:sz w:val="24"/>
              </w:rPr>
            </w:pPr>
            <w:r w:rsidRPr="001569FB">
              <w:rPr>
                <w:sz w:val="24"/>
              </w:rPr>
              <w:t>D5</w:t>
            </w:r>
          </w:p>
        </w:tc>
        <w:tc>
          <w:tcPr>
            <w:tcW w:w="5552" w:type="dxa"/>
            <w:tcBorders>
              <w:top w:val="single" w:sz="7" w:space="0" w:color="000000"/>
              <w:left w:val="single" w:sz="7" w:space="0" w:color="000000"/>
              <w:bottom w:val="single" w:sz="7" w:space="0" w:color="000000"/>
              <w:right w:val="single" w:sz="7" w:space="0" w:color="000000"/>
            </w:tcBorders>
            <w:vAlign w:val="bottom"/>
          </w:tcPr>
          <w:p w14:paraId="20988EF5" w14:textId="77777777" w:rsidR="004C5B0C" w:rsidRPr="001569FB" w:rsidRDefault="004C5B0C" w:rsidP="004C5B0C">
            <w:pPr>
              <w:pStyle w:val="TableParagraph"/>
              <w:kinsoku w:val="0"/>
              <w:overflowPunct w:val="0"/>
              <w:spacing w:before="20"/>
              <w:rPr>
                <w:sz w:val="24"/>
              </w:rPr>
            </w:pPr>
            <w:r w:rsidRPr="001569FB">
              <w:rPr>
                <w:rFonts w:cstheme="minorHAnsi"/>
                <w:color w:val="000000"/>
                <w:sz w:val="24"/>
              </w:rPr>
              <w:t>38.009950 to less or equal to 100.000000</w:t>
            </w:r>
          </w:p>
        </w:tc>
      </w:tr>
    </w:tbl>
    <w:p w14:paraId="0037D4A6" w14:textId="77777777" w:rsidR="004C5B0C" w:rsidRPr="001569FB" w:rsidRDefault="004C5B0C" w:rsidP="004C5B0C">
      <w:pPr>
        <w:pStyle w:val="BodyText0"/>
        <w:keepNext/>
        <w:keepLines/>
        <w:kinsoku w:val="0"/>
        <w:overflowPunct w:val="0"/>
        <w:spacing w:before="600"/>
        <w:ind w:left="101" w:right="230"/>
      </w:pPr>
      <w:r w:rsidRPr="001569FB">
        <w:lastRenderedPageBreak/>
        <w:t>Table 9 provides the description of each of the final adjustment categories for the Part C summary rating and the associated value of the CAI for each final adjustment category.</w:t>
      </w:r>
    </w:p>
    <w:p w14:paraId="78E58B7D" w14:textId="77777777" w:rsidR="004C5B0C" w:rsidRPr="001569FB" w:rsidRDefault="004C5B0C" w:rsidP="004C5B0C">
      <w:pPr>
        <w:pStyle w:val="Caption"/>
        <w:ind w:left="180"/>
      </w:pPr>
      <w:r w:rsidRPr="001569FB">
        <w:t xml:space="preserve">Table </w:t>
      </w:r>
      <w:fldSimple w:instr=" SEQ Table \* ARABIC ">
        <w:r w:rsidR="00A216EC">
          <w:rPr>
            <w:noProof/>
          </w:rPr>
          <w:t>9</w:t>
        </w:r>
      </w:fldSimple>
      <w:r w:rsidRPr="001569FB">
        <w:t>: Final Adjustment Categories and CAI Values for the Part C Summary Rating</w:t>
      </w:r>
    </w:p>
    <w:tbl>
      <w:tblPr>
        <w:tblW w:w="9265" w:type="dxa"/>
        <w:tblLook w:val="04A0" w:firstRow="1" w:lastRow="0" w:firstColumn="1" w:lastColumn="0" w:noHBand="0" w:noVBand="1"/>
      </w:tblPr>
      <w:tblGrid>
        <w:gridCol w:w="1837"/>
        <w:gridCol w:w="2294"/>
        <w:gridCol w:w="2701"/>
        <w:gridCol w:w="2433"/>
      </w:tblGrid>
      <w:tr w:rsidR="004C5B0C" w:rsidRPr="001569FB" w14:paraId="6F09A382" w14:textId="77777777" w:rsidTr="004C5B0C">
        <w:trPr>
          <w:cantSplit/>
          <w:trHeight w:val="300"/>
          <w:tblHeader/>
        </w:trPr>
        <w:tc>
          <w:tcPr>
            <w:tcW w:w="1837"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19253A8B"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2294" w:type="dxa"/>
            <w:tcBorders>
              <w:top w:val="single" w:sz="4" w:space="0" w:color="auto"/>
              <w:left w:val="nil"/>
              <w:bottom w:val="nil"/>
              <w:right w:val="single" w:sz="4" w:space="0" w:color="auto"/>
            </w:tcBorders>
            <w:shd w:val="clear" w:color="auto" w:fill="D9D9D9" w:themeFill="background1" w:themeFillShade="D9"/>
            <w:noWrap/>
            <w:vAlign w:val="center"/>
          </w:tcPr>
          <w:p w14:paraId="44439939" w14:textId="77777777" w:rsidR="004C5B0C" w:rsidRPr="001569FB" w:rsidRDefault="004C5B0C" w:rsidP="004C5B0C">
            <w:pPr>
              <w:keepNext/>
              <w:keepLines/>
              <w:spacing w:line="240" w:lineRule="auto"/>
              <w:jc w:val="center"/>
              <w:rPr>
                <w:color w:val="000000"/>
              </w:rPr>
            </w:pPr>
            <w:r w:rsidRPr="001569FB">
              <w:rPr>
                <w:b/>
                <w:bCs/>
              </w:rPr>
              <w:t>LIS/DE Initial Group</w:t>
            </w:r>
          </w:p>
        </w:tc>
        <w:tc>
          <w:tcPr>
            <w:tcW w:w="2701" w:type="dxa"/>
            <w:tcBorders>
              <w:top w:val="single" w:sz="4" w:space="0" w:color="auto"/>
              <w:left w:val="single" w:sz="4" w:space="0" w:color="auto"/>
              <w:bottom w:val="nil"/>
              <w:right w:val="nil"/>
            </w:tcBorders>
            <w:shd w:val="clear" w:color="auto" w:fill="D9D9D9" w:themeFill="background1" w:themeFillShade="D9"/>
            <w:noWrap/>
            <w:vAlign w:val="center"/>
          </w:tcPr>
          <w:p w14:paraId="7059F86B" w14:textId="77777777" w:rsidR="004C5B0C" w:rsidRPr="001569FB" w:rsidRDefault="004C5B0C" w:rsidP="004C5B0C">
            <w:pPr>
              <w:keepNext/>
              <w:keepLines/>
              <w:spacing w:line="240" w:lineRule="auto"/>
              <w:jc w:val="center"/>
              <w:rPr>
                <w:color w:val="000000"/>
              </w:rPr>
            </w:pPr>
            <w:r w:rsidRPr="001569FB">
              <w:rPr>
                <w:b/>
                <w:bCs/>
              </w:rPr>
              <w:t>Disability Quintile</w:t>
            </w:r>
          </w:p>
        </w:tc>
        <w:tc>
          <w:tcPr>
            <w:tcW w:w="2433"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469C2379"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70679B5A" w14:textId="77777777" w:rsidTr="004C5B0C">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D2A829" w14:textId="77777777" w:rsidR="004C5B0C" w:rsidRPr="001569FB" w:rsidRDefault="004C5B0C" w:rsidP="004C5B0C">
            <w:pPr>
              <w:keepNext/>
              <w:keepLines/>
              <w:spacing w:line="240" w:lineRule="auto"/>
              <w:jc w:val="center"/>
              <w:rPr>
                <w:color w:val="000000"/>
              </w:rPr>
            </w:pPr>
            <w:r w:rsidRPr="001569FB">
              <w:rPr>
                <w:color w:val="000000"/>
              </w:rPr>
              <w:t>A</w:t>
            </w:r>
          </w:p>
        </w:tc>
        <w:tc>
          <w:tcPr>
            <w:tcW w:w="2294" w:type="dxa"/>
            <w:tcBorders>
              <w:top w:val="single" w:sz="4" w:space="0" w:color="auto"/>
              <w:left w:val="nil"/>
              <w:bottom w:val="nil"/>
              <w:right w:val="single" w:sz="4" w:space="0" w:color="auto"/>
            </w:tcBorders>
            <w:shd w:val="clear" w:color="auto" w:fill="auto"/>
            <w:noWrap/>
            <w:vAlign w:val="center"/>
            <w:hideMark/>
          </w:tcPr>
          <w:p w14:paraId="2F8A2980" w14:textId="77777777" w:rsidR="004C5B0C" w:rsidRPr="001569FB" w:rsidRDefault="004C5B0C" w:rsidP="004C5B0C">
            <w:pPr>
              <w:keepNext/>
              <w:keepLines/>
              <w:spacing w:line="240" w:lineRule="auto"/>
              <w:jc w:val="center"/>
              <w:rPr>
                <w:color w:val="000000"/>
              </w:rPr>
            </w:pPr>
            <w:r w:rsidRPr="001569FB">
              <w:rPr>
                <w:color w:val="000000"/>
              </w:rPr>
              <w:t>L1 - L4</w:t>
            </w:r>
          </w:p>
        </w:tc>
        <w:tc>
          <w:tcPr>
            <w:tcW w:w="2701" w:type="dxa"/>
            <w:tcBorders>
              <w:top w:val="single" w:sz="4" w:space="0" w:color="auto"/>
              <w:left w:val="single" w:sz="4" w:space="0" w:color="auto"/>
              <w:bottom w:val="nil"/>
              <w:right w:val="nil"/>
            </w:tcBorders>
            <w:shd w:val="clear" w:color="auto" w:fill="auto"/>
            <w:noWrap/>
            <w:vAlign w:val="center"/>
            <w:hideMark/>
          </w:tcPr>
          <w:p w14:paraId="6266EFF6" w14:textId="77777777" w:rsidR="004C5B0C" w:rsidRPr="001569FB" w:rsidRDefault="004C5B0C" w:rsidP="004C5B0C">
            <w:pPr>
              <w:keepNext/>
              <w:keepLines/>
              <w:spacing w:line="240" w:lineRule="auto"/>
              <w:jc w:val="center"/>
              <w:rPr>
                <w:color w:val="000000"/>
              </w:rPr>
            </w:pPr>
            <w:r w:rsidRPr="001569FB">
              <w:rPr>
                <w:color w:val="000000"/>
              </w:rPr>
              <w:t>D1 - D2</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08FC1" w14:textId="77777777" w:rsidR="004C5B0C" w:rsidRPr="001569FB" w:rsidRDefault="004C5B0C" w:rsidP="004C5B0C">
            <w:pPr>
              <w:keepNext/>
              <w:keepLines/>
              <w:tabs>
                <w:tab w:val="decimal" w:pos="705"/>
              </w:tabs>
              <w:spacing w:line="240" w:lineRule="auto"/>
              <w:rPr>
                <w:color w:val="000000"/>
              </w:rPr>
            </w:pPr>
            <w:r w:rsidRPr="001569FB">
              <w:rPr>
                <w:color w:val="000000"/>
              </w:rPr>
              <w:t>−0.017642</w:t>
            </w:r>
          </w:p>
        </w:tc>
      </w:tr>
      <w:tr w:rsidR="004C5B0C" w:rsidRPr="001569FB" w14:paraId="1090730F" w14:textId="77777777" w:rsidTr="004C5B0C">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51BFCD65" w14:textId="77777777" w:rsidR="004C5B0C" w:rsidRPr="001569FB" w:rsidRDefault="004C5B0C" w:rsidP="004C5B0C">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463785B7" w14:textId="77777777" w:rsidR="004C5B0C" w:rsidRPr="001569FB" w:rsidRDefault="004C5B0C" w:rsidP="004C5B0C">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nil"/>
            </w:tcBorders>
            <w:shd w:val="clear" w:color="auto" w:fill="auto"/>
            <w:noWrap/>
            <w:vAlign w:val="center"/>
            <w:hideMark/>
          </w:tcPr>
          <w:p w14:paraId="5B119824" w14:textId="77777777" w:rsidR="004C5B0C" w:rsidRPr="001569FB" w:rsidRDefault="004C5B0C" w:rsidP="004C5B0C">
            <w:pPr>
              <w:keepNext/>
              <w:keepLines/>
              <w:spacing w:line="240" w:lineRule="auto"/>
              <w:jc w:val="center"/>
              <w:rPr>
                <w:color w:val="000000"/>
              </w:rPr>
            </w:pPr>
            <w:r w:rsidRPr="001569FB">
              <w:rPr>
                <w:color w:val="000000"/>
              </w:rPr>
              <w:t>D3</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4D06950A" w14:textId="77777777" w:rsidR="004C5B0C" w:rsidRPr="001569FB" w:rsidRDefault="004C5B0C" w:rsidP="004C5B0C">
            <w:pPr>
              <w:keepNext/>
              <w:keepLines/>
              <w:tabs>
                <w:tab w:val="decimal" w:pos="705"/>
              </w:tabs>
              <w:spacing w:line="240" w:lineRule="auto"/>
              <w:rPr>
                <w:color w:val="000000"/>
              </w:rPr>
            </w:pPr>
          </w:p>
        </w:tc>
      </w:tr>
      <w:tr w:rsidR="004C5B0C" w:rsidRPr="001569FB" w14:paraId="44C05349" w14:textId="77777777" w:rsidTr="004C5B0C">
        <w:trPr>
          <w:trHeight w:val="300"/>
        </w:trPr>
        <w:tc>
          <w:tcPr>
            <w:tcW w:w="18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9AB26F" w14:textId="77777777" w:rsidR="004C5B0C" w:rsidRPr="001569FB" w:rsidRDefault="004C5B0C" w:rsidP="004C5B0C">
            <w:pPr>
              <w:keepNext/>
              <w:keepLines/>
              <w:spacing w:line="240" w:lineRule="auto"/>
              <w:jc w:val="center"/>
              <w:rPr>
                <w:color w:val="000000"/>
              </w:rPr>
            </w:pPr>
            <w:r w:rsidRPr="001569FB">
              <w:rPr>
                <w:color w:val="000000"/>
              </w:rPr>
              <w:t>B</w:t>
            </w:r>
          </w:p>
        </w:tc>
        <w:tc>
          <w:tcPr>
            <w:tcW w:w="2294" w:type="dxa"/>
            <w:tcBorders>
              <w:top w:val="nil"/>
              <w:left w:val="nil"/>
              <w:bottom w:val="nil"/>
              <w:right w:val="single" w:sz="4" w:space="0" w:color="auto"/>
            </w:tcBorders>
            <w:shd w:val="clear" w:color="auto" w:fill="auto"/>
            <w:noWrap/>
            <w:vAlign w:val="center"/>
            <w:hideMark/>
          </w:tcPr>
          <w:p w14:paraId="19BC17B4" w14:textId="77777777" w:rsidR="004C5B0C" w:rsidRPr="001569FB" w:rsidRDefault="004C5B0C" w:rsidP="004C5B0C">
            <w:pPr>
              <w:keepNext/>
              <w:keepLines/>
              <w:spacing w:line="240" w:lineRule="auto"/>
              <w:jc w:val="center"/>
              <w:rPr>
                <w:color w:val="000000"/>
              </w:rPr>
            </w:pPr>
            <w:r w:rsidRPr="001569FB">
              <w:rPr>
                <w:color w:val="000000"/>
              </w:rPr>
              <w:t>L5 - L7</w:t>
            </w:r>
          </w:p>
        </w:tc>
        <w:tc>
          <w:tcPr>
            <w:tcW w:w="2701" w:type="dxa"/>
            <w:tcBorders>
              <w:top w:val="nil"/>
              <w:left w:val="single" w:sz="4" w:space="0" w:color="auto"/>
              <w:bottom w:val="nil"/>
              <w:right w:val="single" w:sz="4" w:space="0" w:color="auto"/>
            </w:tcBorders>
            <w:shd w:val="clear" w:color="auto" w:fill="auto"/>
            <w:noWrap/>
            <w:vAlign w:val="center"/>
            <w:hideMark/>
          </w:tcPr>
          <w:p w14:paraId="5FE623E3" w14:textId="77777777" w:rsidR="004C5B0C" w:rsidRPr="001569FB" w:rsidRDefault="004C5B0C" w:rsidP="004C5B0C">
            <w:pPr>
              <w:keepNext/>
              <w:keepLines/>
              <w:spacing w:line="240" w:lineRule="auto"/>
              <w:jc w:val="center"/>
              <w:rPr>
                <w:color w:val="000000"/>
              </w:rPr>
            </w:pPr>
            <w:r w:rsidRPr="001569FB">
              <w:rPr>
                <w:color w:val="000000"/>
              </w:rPr>
              <w:t>D1 - D5</w:t>
            </w:r>
          </w:p>
        </w:tc>
        <w:tc>
          <w:tcPr>
            <w:tcW w:w="24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FBB0F4" w14:textId="77777777" w:rsidR="004C5B0C" w:rsidRPr="001569FB" w:rsidRDefault="004C5B0C" w:rsidP="004C5B0C">
            <w:pPr>
              <w:keepNext/>
              <w:keepLines/>
              <w:tabs>
                <w:tab w:val="decimal" w:pos="705"/>
              </w:tabs>
              <w:spacing w:line="240" w:lineRule="auto"/>
              <w:rPr>
                <w:color w:val="000000"/>
              </w:rPr>
            </w:pPr>
            <w:r w:rsidRPr="001569FB">
              <w:rPr>
                <w:color w:val="000000"/>
              </w:rPr>
              <w:t>0.006198</w:t>
            </w:r>
          </w:p>
        </w:tc>
      </w:tr>
      <w:tr w:rsidR="004C5B0C" w:rsidRPr="001569FB" w14:paraId="5A22F5DB"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2147FEC6"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6205B0F1" w14:textId="77777777" w:rsidR="004C5B0C" w:rsidRPr="001569FB" w:rsidRDefault="004C5B0C" w:rsidP="004C5B0C">
            <w:pPr>
              <w:keepNext/>
              <w:keepLines/>
              <w:spacing w:line="240" w:lineRule="auto"/>
              <w:jc w:val="center"/>
              <w:rPr>
                <w:color w:val="000000"/>
              </w:rPr>
            </w:pPr>
            <w:r w:rsidRPr="001569FB">
              <w:rPr>
                <w:color w:val="000000"/>
              </w:rPr>
              <w:t>L8 - L9</w:t>
            </w:r>
          </w:p>
        </w:tc>
        <w:tc>
          <w:tcPr>
            <w:tcW w:w="2701" w:type="dxa"/>
            <w:tcBorders>
              <w:top w:val="nil"/>
              <w:left w:val="single" w:sz="4" w:space="0" w:color="auto"/>
              <w:bottom w:val="nil"/>
              <w:right w:val="single" w:sz="4" w:space="0" w:color="auto"/>
            </w:tcBorders>
            <w:shd w:val="clear" w:color="auto" w:fill="auto"/>
            <w:noWrap/>
            <w:vAlign w:val="center"/>
            <w:hideMark/>
          </w:tcPr>
          <w:p w14:paraId="0F62048A" w14:textId="77777777" w:rsidR="004C5B0C" w:rsidRPr="001569FB" w:rsidRDefault="004C5B0C" w:rsidP="004C5B0C">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single" w:sz="4" w:space="0" w:color="000000"/>
              <w:right w:val="single" w:sz="4" w:space="0" w:color="auto"/>
            </w:tcBorders>
            <w:vAlign w:val="center"/>
            <w:hideMark/>
          </w:tcPr>
          <w:p w14:paraId="3E54E6B1" w14:textId="77777777" w:rsidR="004C5B0C" w:rsidRPr="001569FB" w:rsidRDefault="004C5B0C" w:rsidP="004C5B0C">
            <w:pPr>
              <w:keepNext/>
              <w:keepLines/>
              <w:tabs>
                <w:tab w:val="decimal" w:pos="705"/>
              </w:tabs>
              <w:spacing w:line="240" w:lineRule="auto"/>
              <w:rPr>
                <w:color w:val="000000"/>
              </w:rPr>
            </w:pPr>
          </w:p>
        </w:tc>
      </w:tr>
      <w:tr w:rsidR="004C5B0C" w:rsidRPr="001569FB" w14:paraId="1831C7B3"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0A3EBF6F"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2442B5E1" w14:textId="77777777" w:rsidR="004C5B0C" w:rsidRPr="001569FB" w:rsidRDefault="004C5B0C" w:rsidP="004C5B0C">
            <w:pPr>
              <w:keepNext/>
              <w:keepLines/>
              <w:spacing w:line="240" w:lineRule="auto"/>
              <w:jc w:val="center"/>
              <w:rPr>
                <w:color w:val="000000"/>
              </w:rPr>
            </w:pPr>
            <w:r w:rsidRPr="001569FB">
              <w:rPr>
                <w:color w:val="000000"/>
              </w:rPr>
              <w:t>L3 - L4</w:t>
            </w:r>
          </w:p>
        </w:tc>
        <w:tc>
          <w:tcPr>
            <w:tcW w:w="2701" w:type="dxa"/>
            <w:tcBorders>
              <w:top w:val="nil"/>
              <w:left w:val="single" w:sz="4" w:space="0" w:color="auto"/>
              <w:bottom w:val="nil"/>
              <w:right w:val="single" w:sz="4" w:space="0" w:color="auto"/>
            </w:tcBorders>
            <w:shd w:val="clear" w:color="auto" w:fill="auto"/>
            <w:noWrap/>
            <w:vAlign w:val="center"/>
            <w:hideMark/>
          </w:tcPr>
          <w:p w14:paraId="2E484731" w14:textId="77777777" w:rsidR="004C5B0C" w:rsidRPr="001569FB" w:rsidRDefault="004C5B0C" w:rsidP="004C5B0C">
            <w:pPr>
              <w:keepNext/>
              <w:keepLines/>
              <w:spacing w:line="240" w:lineRule="auto"/>
              <w:jc w:val="center"/>
              <w:rPr>
                <w:color w:val="000000"/>
              </w:rPr>
            </w:pPr>
            <w:r w:rsidRPr="001569FB">
              <w:rPr>
                <w:color w:val="000000"/>
              </w:rPr>
              <w:t>D3 - D5</w:t>
            </w:r>
          </w:p>
        </w:tc>
        <w:tc>
          <w:tcPr>
            <w:tcW w:w="2433" w:type="dxa"/>
            <w:vMerge/>
            <w:tcBorders>
              <w:top w:val="nil"/>
              <w:left w:val="single" w:sz="4" w:space="0" w:color="auto"/>
              <w:bottom w:val="single" w:sz="4" w:space="0" w:color="000000"/>
              <w:right w:val="single" w:sz="4" w:space="0" w:color="auto"/>
            </w:tcBorders>
            <w:vAlign w:val="center"/>
            <w:hideMark/>
          </w:tcPr>
          <w:p w14:paraId="25DFDD19" w14:textId="77777777" w:rsidR="004C5B0C" w:rsidRPr="001569FB" w:rsidRDefault="004C5B0C" w:rsidP="004C5B0C">
            <w:pPr>
              <w:keepNext/>
              <w:keepLines/>
              <w:tabs>
                <w:tab w:val="decimal" w:pos="705"/>
              </w:tabs>
              <w:spacing w:line="240" w:lineRule="auto"/>
              <w:rPr>
                <w:color w:val="000000"/>
              </w:rPr>
            </w:pPr>
          </w:p>
        </w:tc>
      </w:tr>
      <w:tr w:rsidR="004C5B0C" w:rsidRPr="001569FB" w14:paraId="640BF33C"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48C6D9AC" w14:textId="77777777" w:rsidR="004C5B0C" w:rsidRPr="001569FB" w:rsidRDefault="004C5B0C" w:rsidP="004C5B0C">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0F996571" w14:textId="77777777" w:rsidR="004C5B0C" w:rsidRPr="001569FB" w:rsidRDefault="004C5B0C" w:rsidP="004C5B0C">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single" w:sz="4" w:space="0" w:color="auto"/>
            </w:tcBorders>
            <w:shd w:val="clear" w:color="auto" w:fill="auto"/>
            <w:noWrap/>
            <w:vAlign w:val="center"/>
            <w:hideMark/>
          </w:tcPr>
          <w:p w14:paraId="0AD55E3F"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single" w:sz="4" w:space="0" w:color="000000"/>
              <w:right w:val="single" w:sz="4" w:space="0" w:color="auto"/>
            </w:tcBorders>
            <w:vAlign w:val="center"/>
            <w:hideMark/>
          </w:tcPr>
          <w:p w14:paraId="368D4139" w14:textId="77777777" w:rsidR="004C5B0C" w:rsidRPr="001569FB" w:rsidRDefault="004C5B0C" w:rsidP="004C5B0C">
            <w:pPr>
              <w:keepNext/>
              <w:keepLines/>
              <w:tabs>
                <w:tab w:val="decimal" w:pos="705"/>
              </w:tabs>
              <w:spacing w:line="240" w:lineRule="auto"/>
              <w:rPr>
                <w:color w:val="000000"/>
              </w:rPr>
            </w:pPr>
          </w:p>
        </w:tc>
      </w:tr>
      <w:tr w:rsidR="004C5B0C" w:rsidRPr="001569FB" w14:paraId="6278487B" w14:textId="77777777" w:rsidTr="004C5B0C">
        <w:trPr>
          <w:trHeight w:val="300"/>
        </w:trPr>
        <w:tc>
          <w:tcPr>
            <w:tcW w:w="1837" w:type="dxa"/>
            <w:vMerge w:val="restart"/>
            <w:tcBorders>
              <w:top w:val="nil"/>
              <w:left w:val="single" w:sz="4" w:space="0" w:color="auto"/>
              <w:bottom w:val="nil"/>
              <w:right w:val="single" w:sz="4" w:space="0" w:color="auto"/>
            </w:tcBorders>
            <w:shd w:val="clear" w:color="auto" w:fill="auto"/>
            <w:noWrap/>
            <w:vAlign w:val="center"/>
            <w:hideMark/>
          </w:tcPr>
          <w:p w14:paraId="397F223C" w14:textId="77777777" w:rsidR="004C5B0C" w:rsidRPr="001569FB" w:rsidRDefault="004C5B0C" w:rsidP="004C5B0C">
            <w:pPr>
              <w:keepNext/>
              <w:keepLines/>
              <w:spacing w:line="240" w:lineRule="auto"/>
              <w:jc w:val="center"/>
              <w:rPr>
                <w:color w:val="000000"/>
              </w:rPr>
            </w:pPr>
            <w:r w:rsidRPr="001569FB">
              <w:rPr>
                <w:color w:val="000000"/>
              </w:rPr>
              <w:t>C</w:t>
            </w:r>
          </w:p>
        </w:tc>
        <w:tc>
          <w:tcPr>
            <w:tcW w:w="2294" w:type="dxa"/>
            <w:tcBorders>
              <w:top w:val="nil"/>
              <w:left w:val="nil"/>
              <w:bottom w:val="nil"/>
              <w:right w:val="single" w:sz="4" w:space="0" w:color="auto"/>
            </w:tcBorders>
            <w:shd w:val="clear" w:color="auto" w:fill="auto"/>
            <w:noWrap/>
            <w:vAlign w:val="center"/>
            <w:hideMark/>
          </w:tcPr>
          <w:p w14:paraId="5D511EAD" w14:textId="77777777" w:rsidR="004C5B0C" w:rsidRPr="001569FB" w:rsidRDefault="004C5B0C" w:rsidP="004C5B0C">
            <w:pPr>
              <w:keepNext/>
              <w:keepLines/>
              <w:spacing w:line="240" w:lineRule="auto"/>
              <w:jc w:val="center"/>
              <w:rPr>
                <w:color w:val="000000"/>
              </w:rPr>
            </w:pPr>
            <w:r w:rsidRPr="001569FB">
              <w:rPr>
                <w:color w:val="000000"/>
              </w:rPr>
              <w:t>L8 - L10</w:t>
            </w:r>
          </w:p>
        </w:tc>
        <w:tc>
          <w:tcPr>
            <w:tcW w:w="2701" w:type="dxa"/>
            <w:tcBorders>
              <w:top w:val="nil"/>
              <w:left w:val="single" w:sz="4" w:space="0" w:color="auto"/>
              <w:bottom w:val="nil"/>
              <w:right w:val="single" w:sz="4" w:space="0" w:color="auto"/>
            </w:tcBorders>
            <w:shd w:val="clear" w:color="auto" w:fill="auto"/>
            <w:noWrap/>
            <w:vAlign w:val="center"/>
            <w:hideMark/>
          </w:tcPr>
          <w:p w14:paraId="0C12CC9C"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433" w:type="dxa"/>
            <w:vMerge w:val="restart"/>
            <w:tcBorders>
              <w:top w:val="nil"/>
              <w:left w:val="single" w:sz="4" w:space="0" w:color="auto"/>
              <w:bottom w:val="nil"/>
              <w:right w:val="single" w:sz="4" w:space="0" w:color="auto"/>
            </w:tcBorders>
            <w:shd w:val="clear" w:color="auto" w:fill="auto"/>
            <w:noWrap/>
            <w:vAlign w:val="center"/>
            <w:hideMark/>
          </w:tcPr>
          <w:p w14:paraId="48403684" w14:textId="77777777" w:rsidR="004C5B0C" w:rsidRPr="001569FB" w:rsidRDefault="004C5B0C" w:rsidP="004C5B0C">
            <w:pPr>
              <w:keepNext/>
              <w:keepLines/>
              <w:tabs>
                <w:tab w:val="decimal" w:pos="705"/>
              </w:tabs>
              <w:spacing w:line="240" w:lineRule="auto"/>
              <w:rPr>
                <w:color w:val="000000"/>
              </w:rPr>
            </w:pPr>
            <w:r w:rsidRPr="001569FB">
              <w:rPr>
                <w:color w:val="000000"/>
              </w:rPr>
              <w:t>0.045454</w:t>
            </w:r>
          </w:p>
        </w:tc>
      </w:tr>
      <w:tr w:rsidR="004C5B0C" w:rsidRPr="001569FB" w14:paraId="0AD86917" w14:textId="77777777" w:rsidTr="004C5B0C">
        <w:trPr>
          <w:trHeight w:val="300"/>
        </w:trPr>
        <w:tc>
          <w:tcPr>
            <w:tcW w:w="1837" w:type="dxa"/>
            <w:vMerge/>
            <w:tcBorders>
              <w:top w:val="nil"/>
              <w:left w:val="single" w:sz="4" w:space="0" w:color="auto"/>
              <w:bottom w:val="nil"/>
              <w:right w:val="single" w:sz="4" w:space="0" w:color="auto"/>
            </w:tcBorders>
            <w:vAlign w:val="center"/>
            <w:hideMark/>
          </w:tcPr>
          <w:p w14:paraId="3B81916B"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74B47D93" w14:textId="77777777" w:rsidR="004C5B0C" w:rsidRPr="001569FB" w:rsidRDefault="004C5B0C" w:rsidP="004C5B0C">
            <w:pPr>
              <w:keepNext/>
              <w:keepLines/>
              <w:spacing w:line="240" w:lineRule="auto"/>
              <w:jc w:val="center"/>
              <w:rPr>
                <w:color w:val="000000"/>
              </w:rPr>
            </w:pPr>
            <w:r w:rsidRPr="001569FB">
              <w:rPr>
                <w:color w:val="000000"/>
              </w:rPr>
              <w:t>L10</w:t>
            </w:r>
          </w:p>
        </w:tc>
        <w:tc>
          <w:tcPr>
            <w:tcW w:w="2701" w:type="dxa"/>
            <w:tcBorders>
              <w:top w:val="nil"/>
              <w:left w:val="single" w:sz="4" w:space="0" w:color="auto"/>
              <w:bottom w:val="nil"/>
              <w:right w:val="single" w:sz="4" w:space="0" w:color="auto"/>
            </w:tcBorders>
            <w:shd w:val="clear" w:color="auto" w:fill="auto"/>
            <w:noWrap/>
            <w:vAlign w:val="center"/>
            <w:hideMark/>
          </w:tcPr>
          <w:p w14:paraId="4B426A16" w14:textId="77777777" w:rsidR="004C5B0C" w:rsidRPr="001569FB" w:rsidRDefault="004C5B0C" w:rsidP="004C5B0C">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nil"/>
              <w:right w:val="single" w:sz="4" w:space="0" w:color="auto"/>
            </w:tcBorders>
            <w:vAlign w:val="center"/>
            <w:hideMark/>
          </w:tcPr>
          <w:p w14:paraId="4DECA73B" w14:textId="77777777" w:rsidR="004C5B0C" w:rsidRPr="001569FB" w:rsidRDefault="004C5B0C" w:rsidP="004C5B0C">
            <w:pPr>
              <w:keepNext/>
              <w:keepLines/>
              <w:tabs>
                <w:tab w:val="decimal" w:pos="705"/>
              </w:tabs>
              <w:spacing w:line="240" w:lineRule="auto"/>
              <w:rPr>
                <w:color w:val="000000"/>
              </w:rPr>
            </w:pPr>
          </w:p>
        </w:tc>
      </w:tr>
      <w:tr w:rsidR="004C5B0C" w:rsidRPr="001569FB" w14:paraId="25525AAF" w14:textId="77777777" w:rsidTr="004C5B0C">
        <w:trPr>
          <w:trHeight w:val="300"/>
        </w:trPr>
        <w:tc>
          <w:tcPr>
            <w:tcW w:w="1837" w:type="dxa"/>
            <w:vMerge/>
            <w:tcBorders>
              <w:top w:val="nil"/>
              <w:left w:val="single" w:sz="4" w:space="0" w:color="auto"/>
              <w:bottom w:val="nil"/>
              <w:right w:val="single" w:sz="4" w:space="0" w:color="auto"/>
            </w:tcBorders>
            <w:vAlign w:val="center"/>
            <w:hideMark/>
          </w:tcPr>
          <w:p w14:paraId="2B4444FD"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75176923" w14:textId="77777777" w:rsidR="004C5B0C" w:rsidRPr="001569FB" w:rsidRDefault="004C5B0C" w:rsidP="004C5B0C">
            <w:pPr>
              <w:keepNext/>
              <w:keepLines/>
              <w:spacing w:line="240" w:lineRule="auto"/>
              <w:jc w:val="center"/>
              <w:rPr>
                <w:color w:val="000000"/>
              </w:rPr>
            </w:pPr>
            <w:r w:rsidRPr="001569FB">
              <w:rPr>
                <w:color w:val="000000"/>
              </w:rPr>
              <w:t>L8</w:t>
            </w:r>
          </w:p>
        </w:tc>
        <w:tc>
          <w:tcPr>
            <w:tcW w:w="2701" w:type="dxa"/>
            <w:tcBorders>
              <w:top w:val="nil"/>
              <w:left w:val="single" w:sz="4" w:space="0" w:color="auto"/>
              <w:bottom w:val="nil"/>
              <w:right w:val="single" w:sz="4" w:space="0" w:color="auto"/>
            </w:tcBorders>
            <w:shd w:val="clear" w:color="auto" w:fill="auto"/>
            <w:noWrap/>
            <w:vAlign w:val="center"/>
            <w:hideMark/>
          </w:tcPr>
          <w:p w14:paraId="1E294BA5"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nil"/>
              <w:right w:val="single" w:sz="4" w:space="0" w:color="auto"/>
            </w:tcBorders>
            <w:vAlign w:val="center"/>
            <w:hideMark/>
          </w:tcPr>
          <w:p w14:paraId="3147AA05" w14:textId="77777777" w:rsidR="004C5B0C" w:rsidRPr="001569FB" w:rsidRDefault="004C5B0C" w:rsidP="004C5B0C">
            <w:pPr>
              <w:keepNext/>
              <w:keepLines/>
              <w:tabs>
                <w:tab w:val="decimal" w:pos="705"/>
              </w:tabs>
              <w:spacing w:line="240" w:lineRule="auto"/>
              <w:rPr>
                <w:color w:val="000000"/>
              </w:rPr>
            </w:pPr>
          </w:p>
        </w:tc>
      </w:tr>
      <w:tr w:rsidR="004C5B0C" w:rsidRPr="001569FB" w14:paraId="2CE8E0C2" w14:textId="77777777" w:rsidTr="004C5B0C">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36DAF62" w14:textId="77777777" w:rsidR="004C5B0C" w:rsidRPr="001569FB" w:rsidRDefault="004C5B0C" w:rsidP="004C5B0C">
            <w:pPr>
              <w:keepNext/>
              <w:keepLines/>
              <w:spacing w:line="240" w:lineRule="auto"/>
              <w:jc w:val="center"/>
            </w:pPr>
            <w:r w:rsidRPr="001569FB">
              <w:t>D</w:t>
            </w:r>
          </w:p>
        </w:tc>
        <w:tc>
          <w:tcPr>
            <w:tcW w:w="2294" w:type="dxa"/>
            <w:tcBorders>
              <w:top w:val="single" w:sz="4" w:space="0" w:color="auto"/>
              <w:left w:val="nil"/>
              <w:bottom w:val="nil"/>
              <w:right w:val="single" w:sz="4" w:space="0" w:color="auto"/>
            </w:tcBorders>
            <w:shd w:val="clear" w:color="auto" w:fill="auto"/>
            <w:noWrap/>
            <w:vAlign w:val="center"/>
            <w:hideMark/>
          </w:tcPr>
          <w:p w14:paraId="01EE2B35" w14:textId="77777777" w:rsidR="004C5B0C" w:rsidRPr="001569FB" w:rsidRDefault="004C5B0C" w:rsidP="004C5B0C">
            <w:pPr>
              <w:keepNext/>
              <w:keepLines/>
              <w:spacing w:line="240" w:lineRule="auto"/>
              <w:jc w:val="center"/>
            </w:pPr>
            <w:r w:rsidRPr="001569FB">
              <w:t>L9 - L10</w:t>
            </w:r>
          </w:p>
        </w:tc>
        <w:tc>
          <w:tcPr>
            <w:tcW w:w="2701" w:type="dxa"/>
            <w:tcBorders>
              <w:top w:val="single" w:sz="4" w:space="0" w:color="auto"/>
              <w:left w:val="single" w:sz="4" w:space="0" w:color="auto"/>
              <w:bottom w:val="nil"/>
              <w:right w:val="nil"/>
            </w:tcBorders>
            <w:shd w:val="clear" w:color="auto" w:fill="auto"/>
            <w:noWrap/>
            <w:vAlign w:val="center"/>
            <w:hideMark/>
          </w:tcPr>
          <w:p w14:paraId="28FC333F" w14:textId="77777777" w:rsidR="004C5B0C" w:rsidRPr="001569FB" w:rsidRDefault="004C5B0C" w:rsidP="004C5B0C">
            <w:pPr>
              <w:keepNext/>
              <w:keepLines/>
              <w:spacing w:line="240" w:lineRule="auto"/>
              <w:jc w:val="center"/>
            </w:pPr>
            <w:r w:rsidRPr="001569FB">
              <w:t>D4</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46CB0F" w14:textId="77777777" w:rsidR="004C5B0C" w:rsidRPr="001569FB" w:rsidRDefault="004C5B0C" w:rsidP="004C5B0C">
            <w:pPr>
              <w:keepNext/>
              <w:keepLines/>
              <w:tabs>
                <w:tab w:val="decimal" w:pos="705"/>
              </w:tabs>
              <w:spacing w:line="240" w:lineRule="auto"/>
              <w:rPr>
                <w:color w:val="000000"/>
              </w:rPr>
            </w:pPr>
            <w:r w:rsidRPr="001569FB">
              <w:rPr>
                <w:color w:val="000000"/>
              </w:rPr>
              <w:t>0.076586</w:t>
            </w:r>
          </w:p>
        </w:tc>
      </w:tr>
      <w:tr w:rsidR="004C5B0C" w:rsidRPr="001569FB" w14:paraId="0DC1C598" w14:textId="77777777" w:rsidTr="004C5B0C">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7D0331F0" w14:textId="77777777" w:rsidR="004C5B0C" w:rsidRPr="001569FB" w:rsidRDefault="004C5B0C" w:rsidP="004C5B0C">
            <w:pPr>
              <w:keepNext/>
              <w:keepLines/>
              <w:spacing w:line="240" w:lineRule="auto"/>
            </w:pPr>
          </w:p>
        </w:tc>
        <w:tc>
          <w:tcPr>
            <w:tcW w:w="2294" w:type="dxa"/>
            <w:tcBorders>
              <w:top w:val="nil"/>
              <w:left w:val="nil"/>
              <w:bottom w:val="single" w:sz="4" w:space="0" w:color="auto"/>
              <w:right w:val="single" w:sz="4" w:space="0" w:color="auto"/>
            </w:tcBorders>
            <w:shd w:val="clear" w:color="auto" w:fill="auto"/>
            <w:noWrap/>
            <w:vAlign w:val="center"/>
            <w:hideMark/>
          </w:tcPr>
          <w:p w14:paraId="7E9FBE9E" w14:textId="77777777" w:rsidR="004C5B0C" w:rsidRPr="001569FB" w:rsidRDefault="004C5B0C" w:rsidP="004C5B0C">
            <w:pPr>
              <w:keepNext/>
              <w:keepLines/>
              <w:spacing w:line="240" w:lineRule="auto"/>
              <w:jc w:val="center"/>
            </w:pPr>
            <w:r w:rsidRPr="001569FB">
              <w:t xml:space="preserve">L9 </w:t>
            </w:r>
          </w:p>
        </w:tc>
        <w:tc>
          <w:tcPr>
            <w:tcW w:w="2701" w:type="dxa"/>
            <w:tcBorders>
              <w:top w:val="nil"/>
              <w:left w:val="single" w:sz="4" w:space="0" w:color="auto"/>
              <w:bottom w:val="single" w:sz="4" w:space="0" w:color="auto"/>
              <w:right w:val="nil"/>
            </w:tcBorders>
            <w:shd w:val="clear" w:color="auto" w:fill="auto"/>
            <w:noWrap/>
            <w:vAlign w:val="center"/>
            <w:hideMark/>
          </w:tcPr>
          <w:p w14:paraId="5160AC1B" w14:textId="77777777" w:rsidR="004C5B0C" w:rsidRPr="001569FB" w:rsidRDefault="004C5B0C" w:rsidP="004C5B0C">
            <w:pPr>
              <w:keepNext/>
              <w:keepLines/>
              <w:spacing w:line="240" w:lineRule="auto"/>
              <w:jc w:val="center"/>
            </w:pPr>
            <w:r w:rsidRPr="001569FB">
              <w:t>D5</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04B779A1" w14:textId="77777777" w:rsidR="004C5B0C" w:rsidRPr="001569FB" w:rsidRDefault="004C5B0C" w:rsidP="004C5B0C">
            <w:pPr>
              <w:keepNext/>
              <w:keepLines/>
              <w:tabs>
                <w:tab w:val="decimal" w:pos="705"/>
              </w:tabs>
              <w:spacing w:line="240" w:lineRule="auto"/>
              <w:rPr>
                <w:color w:val="000000"/>
              </w:rPr>
            </w:pPr>
          </w:p>
        </w:tc>
      </w:tr>
      <w:tr w:rsidR="004C5B0C" w:rsidRPr="001569FB" w14:paraId="7E40A2E1" w14:textId="77777777" w:rsidTr="004C5B0C">
        <w:trPr>
          <w:trHeight w:val="300"/>
        </w:trPr>
        <w:tc>
          <w:tcPr>
            <w:tcW w:w="1837" w:type="dxa"/>
            <w:tcBorders>
              <w:top w:val="nil"/>
              <w:left w:val="single" w:sz="4" w:space="0" w:color="auto"/>
              <w:bottom w:val="single" w:sz="4" w:space="0" w:color="auto"/>
              <w:right w:val="single" w:sz="4" w:space="0" w:color="auto"/>
            </w:tcBorders>
            <w:shd w:val="clear" w:color="auto" w:fill="auto"/>
            <w:noWrap/>
            <w:vAlign w:val="center"/>
            <w:hideMark/>
          </w:tcPr>
          <w:p w14:paraId="5DC62338" w14:textId="77777777" w:rsidR="004C5B0C" w:rsidRPr="001569FB" w:rsidRDefault="004C5B0C" w:rsidP="004C5B0C">
            <w:pPr>
              <w:spacing w:line="240" w:lineRule="auto"/>
              <w:jc w:val="center"/>
            </w:pPr>
            <w:r w:rsidRPr="001569FB">
              <w:t>E</w:t>
            </w:r>
          </w:p>
        </w:tc>
        <w:tc>
          <w:tcPr>
            <w:tcW w:w="2294" w:type="dxa"/>
            <w:tcBorders>
              <w:top w:val="nil"/>
              <w:left w:val="nil"/>
              <w:bottom w:val="single" w:sz="4" w:space="0" w:color="auto"/>
              <w:right w:val="single" w:sz="4" w:space="0" w:color="auto"/>
            </w:tcBorders>
            <w:shd w:val="clear" w:color="auto" w:fill="auto"/>
            <w:noWrap/>
            <w:vAlign w:val="center"/>
            <w:hideMark/>
          </w:tcPr>
          <w:p w14:paraId="154214BB" w14:textId="77777777" w:rsidR="004C5B0C" w:rsidRPr="001569FB" w:rsidRDefault="004C5B0C" w:rsidP="004C5B0C">
            <w:pPr>
              <w:spacing w:line="240" w:lineRule="auto"/>
              <w:jc w:val="center"/>
            </w:pPr>
            <w:r w:rsidRPr="001569FB">
              <w:t>L10</w:t>
            </w:r>
          </w:p>
        </w:tc>
        <w:tc>
          <w:tcPr>
            <w:tcW w:w="2701" w:type="dxa"/>
            <w:tcBorders>
              <w:top w:val="nil"/>
              <w:left w:val="single" w:sz="4" w:space="0" w:color="auto"/>
              <w:bottom w:val="single" w:sz="4" w:space="0" w:color="auto"/>
              <w:right w:val="nil"/>
            </w:tcBorders>
            <w:shd w:val="clear" w:color="auto" w:fill="auto"/>
            <w:noWrap/>
            <w:vAlign w:val="center"/>
            <w:hideMark/>
          </w:tcPr>
          <w:p w14:paraId="2322074D" w14:textId="77777777" w:rsidR="004C5B0C" w:rsidRPr="001569FB" w:rsidRDefault="004C5B0C" w:rsidP="004C5B0C">
            <w:pPr>
              <w:spacing w:line="240" w:lineRule="auto"/>
              <w:jc w:val="center"/>
            </w:pPr>
            <w:r w:rsidRPr="001569FB">
              <w:t>D5</w:t>
            </w:r>
          </w:p>
        </w:tc>
        <w:tc>
          <w:tcPr>
            <w:tcW w:w="2433" w:type="dxa"/>
            <w:tcBorders>
              <w:top w:val="nil"/>
              <w:left w:val="single" w:sz="4" w:space="0" w:color="auto"/>
              <w:bottom w:val="single" w:sz="4" w:space="0" w:color="auto"/>
              <w:right w:val="single" w:sz="4" w:space="0" w:color="auto"/>
            </w:tcBorders>
            <w:shd w:val="clear" w:color="auto" w:fill="auto"/>
            <w:noWrap/>
            <w:vAlign w:val="center"/>
            <w:hideMark/>
          </w:tcPr>
          <w:p w14:paraId="6B7EE5BE" w14:textId="77777777" w:rsidR="004C5B0C" w:rsidRPr="001569FB" w:rsidRDefault="004C5B0C" w:rsidP="004C5B0C">
            <w:pPr>
              <w:tabs>
                <w:tab w:val="decimal" w:pos="705"/>
              </w:tabs>
              <w:spacing w:line="240" w:lineRule="auto"/>
            </w:pPr>
            <w:r w:rsidRPr="001569FB">
              <w:t>0.125909</w:t>
            </w:r>
          </w:p>
        </w:tc>
      </w:tr>
    </w:tbl>
    <w:p w14:paraId="10B5917F" w14:textId="77777777" w:rsidR="004C5B0C" w:rsidRPr="001569FB" w:rsidRDefault="004C5B0C" w:rsidP="004C5B0C">
      <w:pPr>
        <w:pStyle w:val="BodyText0"/>
        <w:keepNext/>
        <w:kinsoku w:val="0"/>
        <w:overflowPunct w:val="0"/>
        <w:spacing w:before="600"/>
        <w:ind w:right="763"/>
        <w:jc w:val="both"/>
      </w:pPr>
      <w:r w:rsidRPr="001569FB">
        <w:t>Tables 10 and 11 provide the range of the percentages that correspond to the initial LIS/DE groups and the disability quintiles for the initial categories for the determination of the CAI values for the Part D summary rating for MA-PDs.</w:t>
      </w:r>
    </w:p>
    <w:p w14:paraId="209B5D13" w14:textId="77777777" w:rsidR="004C5B0C" w:rsidRPr="001569FB" w:rsidRDefault="004C5B0C" w:rsidP="004C5B0C">
      <w:pPr>
        <w:pStyle w:val="Caption"/>
        <w:tabs>
          <w:tab w:val="left" w:pos="900"/>
        </w:tabs>
        <w:ind w:left="900"/>
      </w:pPr>
      <w:r w:rsidRPr="001569FB">
        <w:t xml:space="preserve">Table </w:t>
      </w:r>
      <w:fldSimple w:instr=" SEQ Table \* ARABIC ">
        <w:r w:rsidR="00A216EC">
          <w:rPr>
            <w:noProof/>
          </w:rPr>
          <w:t>10</w:t>
        </w:r>
      </w:fldSimple>
      <w:r w:rsidRPr="001569FB">
        <w:t>: Categorization of MA-PD Contracts into Initial LIS/DE Groups for the Part D Summary Rating</w:t>
      </w:r>
    </w:p>
    <w:tbl>
      <w:tblPr>
        <w:tblW w:w="0" w:type="auto"/>
        <w:jc w:val="center"/>
        <w:tblCellMar>
          <w:left w:w="0" w:type="dxa"/>
          <w:right w:w="0" w:type="dxa"/>
        </w:tblCellMar>
        <w:tblLook w:val="0000" w:firstRow="0" w:lastRow="0" w:firstColumn="0" w:lastColumn="0" w:noHBand="0" w:noVBand="0"/>
      </w:tblPr>
      <w:tblGrid>
        <w:gridCol w:w="2520"/>
        <w:gridCol w:w="5220"/>
      </w:tblGrid>
      <w:tr w:rsidR="004C5B0C" w:rsidRPr="001569FB" w14:paraId="7C6FAF71" w14:textId="77777777" w:rsidTr="004C5B0C">
        <w:trPr>
          <w:cantSplit/>
          <w:trHeight w:hRule="exact" w:val="354"/>
          <w:tblHeader/>
          <w:jc w:val="center"/>
        </w:trPr>
        <w:tc>
          <w:tcPr>
            <w:tcW w:w="2520" w:type="dxa"/>
            <w:tcBorders>
              <w:top w:val="single" w:sz="7" w:space="0" w:color="000000"/>
              <w:left w:val="single" w:sz="7" w:space="0" w:color="000000"/>
              <w:bottom w:val="single" w:sz="7" w:space="0" w:color="000000"/>
              <w:right w:val="single" w:sz="7" w:space="0" w:color="000000"/>
            </w:tcBorders>
            <w:shd w:val="clear" w:color="auto" w:fill="BEBEBE"/>
          </w:tcPr>
          <w:p w14:paraId="034E74A1" w14:textId="77777777" w:rsidR="004C5B0C" w:rsidRPr="001569FB" w:rsidRDefault="004C5B0C" w:rsidP="004C5B0C">
            <w:pPr>
              <w:pStyle w:val="TableParagraph"/>
              <w:keepNext/>
              <w:keepLines/>
              <w:widowControl/>
              <w:kinsoku w:val="0"/>
              <w:overflowPunct w:val="0"/>
              <w:spacing w:before="26"/>
              <w:ind w:hanging="279"/>
              <w:jc w:val="center"/>
              <w:rPr>
                <w:sz w:val="24"/>
              </w:rPr>
            </w:pPr>
            <w:r w:rsidRPr="001569FB">
              <w:rPr>
                <w:b/>
                <w:bCs/>
                <w:sz w:val="24"/>
              </w:rPr>
              <w:t>LIS/DE Initial Group</w:t>
            </w:r>
          </w:p>
        </w:tc>
        <w:tc>
          <w:tcPr>
            <w:tcW w:w="5220" w:type="dxa"/>
            <w:tcBorders>
              <w:top w:val="single" w:sz="7" w:space="0" w:color="000000"/>
              <w:left w:val="single" w:sz="7" w:space="0" w:color="000000"/>
              <w:bottom w:val="single" w:sz="7" w:space="0" w:color="000000"/>
              <w:right w:val="single" w:sz="7" w:space="0" w:color="000000"/>
            </w:tcBorders>
            <w:shd w:val="clear" w:color="auto" w:fill="BEBEBE"/>
          </w:tcPr>
          <w:p w14:paraId="73DCE5FA" w14:textId="77777777" w:rsidR="004C5B0C" w:rsidRPr="001569FB" w:rsidRDefault="004C5B0C" w:rsidP="004C5B0C">
            <w:pPr>
              <w:pStyle w:val="TableParagraph"/>
              <w:keepNext/>
              <w:keepLines/>
              <w:widowControl/>
              <w:kinsoku w:val="0"/>
              <w:overflowPunct w:val="0"/>
              <w:spacing w:before="26"/>
              <w:ind w:left="29" w:right="30"/>
              <w:jc w:val="center"/>
              <w:rPr>
                <w:sz w:val="24"/>
              </w:rPr>
            </w:pPr>
            <w:r w:rsidRPr="001569FB">
              <w:rPr>
                <w:b/>
                <w:bCs/>
                <w:sz w:val="24"/>
              </w:rPr>
              <w:t>Percentage of Contract’s LIS/DE Beneficiaries</w:t>
            </w:r>
          </w:p>
        </w:tc>
      </w:tr>
      <w:tr w:rsidR="004C5B0C" w:rsidRPr="001569FB" w14:paraId="37CF7DFD"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3AA6A20"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220" w:type="dxa"/>
            <w:tcBorders>
              <w:top w:val="single" w:sz="7" w:space="0" w:color="000000"/>
              <w:left w:val="single" w:sz="7" w:space="0" w:color="000000"/>
              <w:bottom w:val="single" w:sz="7" w:space="0" w:color="000000"/>
              <w:right w:val="single" w:sz="7" w:space="0" w:color="000000"/>
            </w:tcBorders>
            <w:vAlign w:val="bottom"/>
          </w:tcPr>
          <w:p w14:paraId="1BB63301"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0.000000 to less than 6.086006</w:t>
            </w:r>
          </w:p>
        </w:tc>
      </w:tr>
      <w:tr w:rsidR="004C5B0C" w:rsidRPr="001569FB" w14:paraId="590CF6AD"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E21177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220" w:type="dxa"/>
            <w:tcBorders>
              <w:top w:val="single" w:sz="7" w:space="0" w:color="000000"/>
              <w:left w:val="single" w:sz="7" w:space="0" w:color="000000"/>
              <w:bottom w:val="single" w:sz="7" w:space="0" w:color="000000"/>
              <w:right w:val="single" w:sz="7" w:space="0" w:color="000000"/>
            </w:tcBorders>
            <w:vAlign w:val="bottom"/>
          </w:tcPr>
          <w:p w14:paraId="468E3826"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6.086006 to less than 9.486205</w:t>
            </w:r>
          </w:p>
        </w:tc>
      </w:tr>
      <w:tr w:rsidR="004C5B0C" w:rsidRPr="001569FB" w14:paraId="47FD2953"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16021C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220" w:type="dxa"/>
            <w:tcBorders>
              <w:top w:val="single" w:sz="7" w:space="0" w:color="000000"/>
              <w:left w:val="single" w:sz="7" w:space="0" w:color="000000"/>
              <w:bottom w:val="single" w:sz="7" w:space="0" w:color="000000"/>
              <w:right w:val="single" w:sz="7" w:space="0" w:color="000000"/>
            </w:tcBorders>
            <w:vAlign w:val="bottom"/>
          </w:tcPr>
          <w:p w14:paraId="3FFC2AA7"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9.486205 to less than 11.818672</w:t>
            </w:r>
          </w:p>
        </w:tc>
      </w:tr>
      <w:tr w:rsidR="004C5B0C" w:rsidRPr="001569FB" w14:paraId="365AFA98"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6273B21"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220" w:type="dxa"/>
            <w:tcBorders>
              <w:top w:val="single" w:sz="7" w:space="0" w:color="000000"/>
              <w:left w:val="single" w:sz="7" w:space="0" w:color="000000"/>
              <w:bottom w:val="single" w:sz="7" w:space="0" w:color="000000"/>
              <w:right w:val="single" w:sz="7" w:space="0" w:color="000000"/>
            </w:tcBorders>
            <w:vAlign w:val="bottom"/>
          </w:tcPr>
          <w:p w14:paraId="3A1442FF"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11.818672 to less than 15.062762</w:t>
            </w:r>
          </w:p>
        </w:tc>
      </w:tr>
      <w:tr w:rsidR="004C5B0C" w:rsidRPr="001569FB" w14:paraId="257F5500"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B4C576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220" w:type="dxa"/>
            <w:tcBorders>
              <w:top w:val="single" w:sz="7" w:space="0" w:color="000000"/>
              <w:left w:val="single" w:sz="7" w:space="0" w:color="000000"/>
              <w:bottom w:val="single" w:sz="7" w:space="0" w:color="000000"/>
              <w:right w:val="single" w:sz="7" w:space="0" w:color="000000"/>
            </w:tcBorders>
            <w:vAlign w:val="bottom"/>
          </w:tcPr>
          <w:p w14:paraId="1AC227D8"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15.062762 to less than 20.400000</w:t>
            </w:r>
          </w:p>
        </w:tc>
      </w:tr>
      <w:tr w:rsidR="004C5B0C" w:rsidRPr="001569FB" w14:paraId="2F6D0D6B"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0EC981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220" w:type="dxa"/>
            <w:tcBorders>
              <w:top w:val="single" w:sz="7" w:space="0" w:color="000000"/>
              <w:left w:val="single" w:sz="7" w:space="0" w:color="000000"/>
              <w:bottom w:val="single" w:sz="7" w:space="0" w:color="000000"/>
              <w:right w:val="single" w:sz="7" w:space="0" w:color="000000"/>
            </w:tcBorders>
            <w:vAlign w:val="bottom"/>
          </w:tcPr>
          <w:p w14:paraId="2F92D7C9"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20.400000 to less than 28.005752</w:t>
            </w:r>
          </w:p>
        </w:tc>
      </w:tr>
      <w:tr w:rsidR="004C5B0C" w:rsidRPr="001569FB" w14:paraId="0D838D76"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05A87BB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220" w:type="dxa"/>
            <w:tcBorders>
              <w:top w:val="single" w:sz="7" w:space="0" w:color="000000"/>
              <w:left w:val="single" w:sz="7" w:space="0" w:color="000000"/>
              <w:bottom w:val="single" w:sz="7" w:space="0" w:color="000000"/>
              <w:right w:val="single" w:sz="7" w:space="0" w:color="000000"/>
            </w:tcBorders>
            <w:vAlign w:val="bottom"/>
          </w:tcPr>
          <w:p w14:paraId="2B9EFE03"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28.005752 to less than 41.258946</w:t>
            </w:r>
          </w:p>
        </w:tc>
      </w:tr>
      <w:tr w:rsidR="004C5B0C" w:rsidRPr="001569FB" w14:paraId="35F02B73"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0AD6AF94"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220" w:type="dxa"/>
            <w:tcBorders>
              <w:top w:val="single" w:sz="7" w:space="0" w:color="000000"/>
              <w:left w:val="single" w:sz="7" w:space="0" w:color="000000"/>
              <w:bottom w:val="single" w:sz="7" w:space="0" w:color="000000"/>
              <w:right w:val="single" w:sz="7" w:space="0" w:color="000000"/>
            </w:tcBorders>
            <w:vAlign w:val="bottom"/>
          </w:tcPr>
          <w:p w14:paraId="691A6DB8"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41.258946 to less than 72.787572</w:t>
            </w:r>
          </w:p>
        </w:tc>
      </w:tr>
      <w:tr w:rsidR="004C5B0C" w:rsidRPr="001569FB" w14:paraId="49C8F636"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9BF9B11"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220" w:type="dxa"/>
            <w:tcBorders>
              <w:top w:val="single" w:sz="7" w:space="0" w:color="000000"/>
              <w:left w:val="single" w:sz="7" w:space="0" w:color="000000"/>
              <w:bottom w:val="single" w:sz="7" w:space="0" w:color="000000"/>
              <w:right w:val="single" w:sz="7" w:space="0" w:color="000000"/>
            </w:tcBorders>
            <w:vAlign w:val="bottom"/>
          </w:tcPr>
          <w:p w14:paraId="26ACAF2C"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72.787572 to less than 100.000000</w:t>
            </w:r>
          </w:p>
        </w:tc>
      </w:tr>
      <w:tr w:rsidR="004C5B0C" w:rsidRPr="001569FB" w14:paraId="2DA7142F"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3D9A5D8B"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220" w:type="dxa"/>
            <w:tcBorders>
              <w:top w:val="single" w:sz="7" w:space="0" w:color="000000"/>
              <w:left w:val="single" w:sz="7" w:space="0" w:color="000000"/>
              <w:bottom w:val="single" w:sz="7" w:space="0" w:color="000000"/>
              <w:right w:val="single" w:sz="7" w:space="0" w:color="000000"/>
            </w:tcBorders>
            <w:vAlign w:val="bottom"/>
          </w:tcPr>
          <w:p w14:paraId="660374DC" w14:textId="77777777" w:rsidR="004C5B0C" w:rsidRPr="001569FB" w:rsidRDefault="004C5B0C" w:rsidP="004C5B0C">
            <w:pPr>
              <w:pStyle w:val="TableParagraph"/>
              <w:keepLines/>
              <w:kinsoku w:val="0"/>
              <w:overflowPunct w:val="0"/>
              <w:spacing w:before="20"/>
              <w:ind w:left="29" w:right="29"/>
              <w:jc w:val="center"/>
              <w:rPr>
                <w:sz w:val="24"/>
              </w:rPr>
            </w:pPr>
            <w:r w:rsidRPr="001569FB">
              <w:rPr>
                <w:rFonts w:cstheme="minorHAnsi"/>
                <w:color w:val="000000"/>
                <w:sz w:val="24"/>
              </w:rPr>
              <w:t xml:space="preserve">100.00000 </w:t>
            </w:r>
          </w:p>
        </w:tc>
      </w:tr>
    </w:tbl>
    <w:p w14:paraId="7DBE1700" w14:textId="77777777" w:rsidR="004C5B0C" w:rsidRPr="001569FB" w:rsidRDefault="004C5B0C" w:rsidP="004C5B0C">
      <w:pPr>
        <w:pStyle w:val="Caption"/>
      </w:pPr>
      <w:r w:rsidRPr="001569FB">
        <w:lastRenderedPageBreak/>
        <w:t xml:space="preserve">Table </w:t>
      </w:r>
      <w:fldSimple w:instr=" SEQ Table \* ARABIC ">
        <w:r w:rsidR="00A216EC">
          <w:rPr>
            <w:noProof/>
          </w:rPr>
          <w:t>11</w:t>
        </w:r>
      </w:fldSimple>
      <w:r w:rsidRPr="001569FB">
        <w:t>: Categorization of MA-PD Contracts into Disability Quintiles for the Part D Summary Rating</w:t>
      </w:r>
    </w:p>
    <w:tbl>
      <w:tblPr>
        <w:tblW w:w="0" w:type="auto"/>
        <w:jc w:val="center"/>
        <w:tblCellMar>
          <w:left w:w="0" w:type="dxa"/>
          <w:right w:w="0" w:type="dxa"/>
        </w:tblCellMar>
        <w:tblLook w:val="0000" w:firstRow="0" w:lastRow="0" w:firstColumn="0" w:lastColumn="0" w:noHBand="0" w:noVBand="0"/>
      </w:tblPr>
      <w:tblGrid>
        <w:gridCol w:w="2250"/>
        <w:gridCol w:w="4860"/>
      </w:tblGrid>
      <w:tr w:rsidR="004C5B0C" w:rsidRPr="001569FB" w14:paraId="777CD794" w14:textId="77777777" w:rsidTr="004C5B0C">
        <w:trPr>
          <w:cantSplit/>
          <w:trHeight w:hRule="exact" w:val="353"/>
          <w:tblHeader/>
          <w:jc w:val="center"/>
        </w:trPr>
        <w:tc>
          <w:tcPr>
            <w:tcW w:w="225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00856998" w14:textId="77777777" w:rsidR="004C5B0C" w:rsidRPr="001569FB" w:rsidRDefault="004C5B0C" w:rsidP="004C5B0C">
            <w:pPr>
              <w:pStyle w:val="TableParagraph"/>
              <w:keepNext/>
              <w:keepLines/>
              <w:widowControl/>
              <w:kinsoku w:val="0"/>
              <w:overflowPunct w:val="0"/>
              <w:spacing w:before="25"/>
              <w:ind w:left="81"/>
              <w:jc w:val="center"/>
              <w:rPr>
                <w:sz w:val="24"/>
              </w:rPr>
            </w:pPr>
            <w:r w:rsidRPr="001569FB">
              <w:rPr>
                <w:b/>
                <w:bCs/>
                <w:sz w:val="24"/>
              </w:rPr>
              <w:t>Disability Quintile</w:t>
            </w:r>
          </w:p>
        </w:tc>
        <w:tc>
          <w:tcPr>
            <w:tcW w:w="486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193092CF" w14:textId="77777777" w:rsidR="004C5B0C" w:rsidRPr="001569FB" w:rsidRDefault="004C5B0C" w:rsidP="004C5B0C">
            <w:pPr>
              <w:pStyle w:val="TableParagraph"/>
              <w:keepNext/>
              <w:keepLines/>
              <w:widowControl/>
              <w:kinsoku w:val="0"/>
              <w:overflowPunct w:val="0"/>
              <w:spacing w:before="25"/>
              <w:rPr>
                <w:sz w:val="24"/>
              </w:rPr>
            </w:pPr>
            <w:r w:rsidRPr="001569FB">
              <w:rPr>
                <w:b/>
                <w:bCs/>
                <w:sz w:val="24"/>
              </w:rPr>
              <w:t>Percentage of Contract’s Disabled Beneficiaries</w:t>
            </w:r>
          </w:p>
        </w:tc>
      </w:tr>
      <w:tr w:rsidR="004C5B0C" w:rsidRPr="001569FB" w14:paraId="6BB36792"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0B673FF1" w14:textId="77777777" w:rsidR="004C5B0C" w:rsidRPr="001569FB" w:rsidRDefault="004C5B0C" w:rsidP="004C5B0C">
            <w:pPr>
              <w:pStyle w:val="TableParagraph"/>
              <w:keepNext/>
              <w:keepLines/>
              <w:widowControl/>
              <w:kinsoku w:val="0"/>
              <w:overflowPunct w:val="0"/>
              <w:spacing w:before="21"/>
              <w:jc w:val="center"/>
            </w:pPr>
            <w:r w:rsidRPr="001569FB">
              <w:t>D1</w:t>
            </w:r>
          </w:p>
        </w:tc>
        <w:tc>
          <w:tcPr>
            <w:tcW w:w="4860" w:type="dxa"/>
            <w:tcBorders>
              <w:top w:val="single" w:sz="7" w:space="0" w:color="000000"/>
              <w:left w:val="single" w:sz="7" w:space="0" w:color="000000"/>
              <w:bottom w:val="single" w:sz="7" w:space="0" w:color="000000"/>
              <w:right w:val="single" w:sz="7" w:space="0" w:color="000000"/>
            </w:tcBorders>
            <w:vAlign w:val="bottom"/>
          </w:tcPr>
          <w:p w14:paraId="130CC377" w14:textId="77777777" w:rsidR="004C5B0C" w:rsidRPr="001569FB" w:rsidRDefault="004C5B0C" w:rsidP="004C5B0C">
            <w:pPr>
              <w:pStyle w:val="TableParagraph"/>
              <w:keepNext/>
              <w:keepLines/>
              <w:widowControl/>
              <w:tabs>
                <w:tab w:val="decimal" w:pos="621"/>
              </w:tabs>
              <w:kinsoku w:val="0"/>
              <w:overflowPunct w:val="0"/>
              <w:spacing w:before="21"/>
            </w:pPr>
            <w:r w:rsidRPr="001569FB">
              <w:rPr>
                <w:rFonts w:cstheme="minorHAnsi"/>
                <w:color w:val="000000"/>
                <w:sz w:val="24"/>
              </w:rPr>
              <w:t>0.000000 to less than 15.064161</w:t>
            </w:r>
          </w:p>
        </w:tc>
      </w:tr>
      <w:tr w:rsidR="004C5B0C" w:rsidRPr="001569FB" w14:paraId="4BF2474C"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5C9946D8" w14:textId="77777777" w:rsidR="004C5B0C" w:rsidRPr="001569FB" w:rsidRDefault="004C5B0C" w:rsidP="004C5B0C">
            <w:pPr>
              <w:pStyle w:val="TableParagraph"/>
              <w:keepNext/>
              <w:keepLines/>
              <w:widowControl/>
              <w:kinsoku w:val="0"/>
              <w:overflowPunct w:val="0"/>
              <w:spacing w:before="21"/>
              <w:jc w:val="center"/>
            </w:pPr>
            <w:r w:rsidRPr="001569FB">
              <w:t>D2</w:t>
            </w:r>
          </w:p>
        </w:tc>
        <w:tc>
          <w:tcPr>
            <w:tcW w:w="4860" w:type="dxa"/>
            <w:tcBorders>
              <w:top w:val="single" w:sz="7" w:space="0" w:color="000000"/>
              <w:left w:val="single" w:sz="7" w:space="0" w:color="000000"/>
              <w:bottom w:val="single" w:sz="7" w:space="0" w:color="000000"/>
              <w:right w:val="single" w:sz="7" w:space="0" w:color="000000"/>
            </w:tcBorders>
            <w:vAlign w:val="bottom"/>
          </w:tcPr>
          <w:p w14:paraId="7F3FC194"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15.064161 to less than 21.113304</w:t>
            </w:r>
          </w:p>
        </w:tc>
      </w:tr>
      <w:tr w:rsidR="004C5B0C" w:rsidRPr="001569FB" w14:paraId="41D3EC4A"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8A60441" w14:textId="77777777" w:rsidR="004C5B0C" w:rsidRPr="001569FB" w:rsidRDefault="004C5B0C" w:rsidP="004C5B0C">
            <w:pPr>
              <w:pStyle w:val="TableParagraph"/>
              <w:keepNext/>
              <w:keepLines/>
              <w:widowControl/>
              <w:kinsoku w:val="0"/>
              <w:overflowPunct w:val="0"/>
              <w:spacing w:before="21"/>
              <w:jc w:val="center"/>
            </w:pPr>
            <w:r w:rsidRPr="001569FB">
              <w:t>D3</w:t>
            </w:r>
          </w:p>
        </w:tc>
        <w:tc>
          <w:tcPr>
            <w:tcW w:w="4860" w:type="dxa"/>
            <w:tcBorders>
              <w:top w:val="single" w:sz="7" w:space="0" w:color="000000"/>
              <w:left w:val="single" w:sz="7" w:space="0" w:color="000000"/>
              <w:bottom w:val="single" w:sz="7" w:space="0" w:color="000000"/>
              <w:right w:val="single" w:sz="7" w:space="0" w:color="000000"/>
            </w:tcBorders>
            <w:vAlign w:val="bottom"/>
          </w:tcPr>
          <w:p w14:paraId="03FDFCB2"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21.113304 to less than 27.887822</w:t>
            </w:r>
          </w:p>
        </w:tc>
      </w:tr>
      <w:tr w:rsidR="004C5B0C" w:rsidRPr="001569FB" w14:paraId="081198CA"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7A1CB27D" w14:textId="77777777" w:rsidR="004C5B0C" w:rsidRPr="001569FB" w:rsidRDefault="004C5B0C" w:rsidP="004C5B0C">
            <w:pPr>
              <w:pStyle w:val="TableParagraph"/>
              <w:keepNext/>
              <w:keepLines/>
              <w:widowControl/>
              <w:kinsoku w:val="0"/>
              <w:overflowPunct w:val="0"/>
              <w:spacing w:before="20"/>
              <w:jc w:val="center"/>
            </w:pPr>
            <w:r w:rsidRPr="001569FB">
              <w:t>D4</w:t>
            </w:r>
          </w:p>
        </w:tc>
        <w:tc>
          <w:tcPr>
            <w:tcW w:w="4860" w:type="dxa"/>
            <w:tcBorders>
              <w:top w:val="single" w:sz="7" w:space="0" w:color="000000"/>
              <w:left w:val="single" w:sz="7" w:space="0" w:color="000000"/>
              <w:bottom w:val="single" w:sz="7" w:space="0" w:color="000000"/>
              <w:right w:val="single" w:sz="7" w:space="0" w:color="000000"/>
            </w:tcBorders>
            <w:vAlign w:val="bottom"/>
          </w:tcPr>
          <w:p w14:paraId="39F85CEC"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27.887822 to less than 39.190317</w:t>
            </w:r>
          </w:p>
        </w:tc>
      </w:tr>
      <w:tr w:rsidR="004C5B0C" w:rsidRPr="001569FB" w14:paraId="218C2846"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61F22B3" w14:textId="77777777" w:rsidR="004C5B0C" w:rsidRPr="001569FB" w:rsidRDefault="004C5B0C" w:rsidP="004C5B0C">
            <w:pPr>
              <w:pStyle w:val="TableParagraph"/>
              <w:kinsoku w:val="0"/>
              <w:overflowPunct w:val="0"/>
              <w:spacing w:before="20"/>
              <w:jc w:val="center"/>
            </w:pPr>
            <w:r w:rsidRPr="001569FB">
              <w:t>D5</w:t>
            </w:r>
          </w:p>
        </w:tc>
        <w:tc>
          <w:tcPr>
            <w:tcW w:w="4860" w:type="dxa"/>
            <w:tcBorders>
              <w:top w:val="single" w:sz="7" w:space="0" w:color="000000"/>
              <w:left w:val="single" w:sz="7" w:space="0" w:color="000000"/>
              <w:bottom w:val="single" w:sz="7" w:space="0" w:color="000000"/>
              <w:right w:val="single" w:sz="7" w:space="0" w:color="000000"/>
            </w:tcBorders>
            <w:vAlign w:val="bottom"/>
          </w:tcPr>
          <w:p w14:paraId="1382F20A" w14:textId="77777777" w:rsidR="004C5B0C" w:rsidRPr="001569FB" w:rsidRDefault="004C5B0C" w:rsidP="004C5B0C">
            <w:pPr>
              <w:pStyle w:val="TableParagraph"/>
              <w:tabs>
                <w:tab w:val="decimal" w:pos="621"/>
              </w:tabs>
              <w:kinsoku w:val="0"/>
              <w:overflowPunct w:val="0"/>
              <w:spacing w:before="21"/>
              <w:rPr>
                <w:rFonts w:cstheme="minorHAnsi"/>
                <w:color w:val="000000"/>
                <w:sz w:val="24"/>
              </w:rPr>
            </w:pPr>
            <w:r w:rsidRPr="001569FB">
              <w:rPr>
                <w:rFonts w:cstheme="minorHAnsi"/>
                <w:color w:val="000000"/>
                <w:sz w:val="24"/>
              </w:rPr>
              <w:t>39.190317 to less than 100.000000</w:t>
            </w:r>
          </w:p>
        </w:tc>
      </w:tr>
    </w:tbl>
    <w:p w14:paraId="18F1D994" w14:textId="77777777" w:rsidR="004C5B0C" w:rsidRPr="001569FB" w:rsidRDefault="004C5B0C" w:rsidP="004C5B0C">
      <w:pPr>
        <w:pStyle w:val="BodyText0"/>
        <w:keepNext/>
        <w:keepLines/>
        <w:kinsoku w:val="0"/>
        <w:overflowPunct w:val="0"/>
        <w:spacing w:before="600"/>
        <w:ind w:left="101"/>
      </w:pPr>
      <w:r w:rsidRPr="001569FB">
        <w:t>Table 12 provides the description of each of the final adjustment categories for the Part D summary rating for MA-PDs and the associated values of the CAI for each final adjustment category.</w:t>
      </w:r>
    </w:p>
    <w:p w14:paraId="1134B592" w14:textId="77777777" w:rsidR="004C5B0C" w:rsidRPr="001569FB" w:rsidRDefault="004C5B0C" w:rsidP="004C5B0C">
      <w:pPr>
        <w:pStyle w:val="Caption"/>
        <w:ind w:left="540"/>
      </w:pPr>
      <w:r w:rsidRPr="001569FB">
        <w:t xml:space="preserve">Table </w:t>
      </w:r>
      <w:fldSimple w:instr=" SEQ Table \* ARABIC ">
        <w:r w:rsidR="00A216EC">
          <w:rPr>
            <w:noProof/>
          </w:rPr>
          <w:t>12</w:t>
        </w:r>
      </w:fldSimple>
      <w:r w:rsidRPr="001569FB">
        <w:t>: Final Adjustment Categories and CAI Values for the Part D Summary Rating for MA-PDs</w:t>
      </w: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75"/>
        <w:gridCol w:w="1840"/>
        <w:gridCol w:w="2660"/>
      </w:tblGrid>
      <w:tr w:rsidR="004C5B0C" w:rsidRPr="001569FB" w14:paraId="1189DA40" w14:textId="77777777" w:rsidTr="004C5B0C">
        <w:trPr>
          <w:cantSplit/>
          <w:trHeight w:val="300"/>
          <w:tblHeader/>
          <w:jc w:val="center"/>
        </w:trPr>
        <w:tc>
          <w:tcPr>
            <w:tcW w:w="1980" w:type="dxa"/>
            <w:shd w:val="clear" w:color="auto" w:fill="D9D9D9" w:themeFill="background1" w:themeFillShade="D9"/>
            <w:noWrap/>
            <w:vAlign w:val="center"/>
          </w:tcPr>
          <w:p w14:paraId="2E265B5C"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1975" w:type="dxa"/>
            <w:shd w:val="clear" w:color="auto" w:fill="D9D9D9" w:themeFill="background1" w:themeFillShade="D9"/>
            <w:noWrap/>
            <w:vAlign w:val="center"/>
          </w:tcPr>
          <w:p w14:paraId="108BB08A" w14:textId="77777777" w:rsidR="004C5B0C" w:rsidRPr="001569FB" w:rsidRDefault="004C5B0C" w:rsidP="004C5B0C">
            <w:pPr>
              <w:keepNext/>
              <w:keepLines/>
              <w:spacing w:line="240" w:lineRule="auto"/>
              <w:jc w:val="center"/>
              <w:rPr>
                <w:color w:val="000000"/>
              </w:rPr>
            </w:pPr>
            <w:r w:rsidRPr="001569FB">
              <w:rPr>
                <w:b/>
                <w:bCs/>
              </w:rPr>
              <w:t>LIS/DE Initial Group</w:t>
            </w:r>
          </w:p>
        </w:tc>
        <w:tc>
          <w:tcPr>
            <w:tcW w:w="1840" w:type="dxa"/>
            <w:shd w:val="clear" w:color="auto" w:fill="D9D9D9" w:themeFill="background1" w:themeFillShade="D9"/>
            <w:noWrap/>
            <w:vAlign w:val="center"/>
          </w:tcPr>
          <w:p w14:paraId="5A0068FC" w14:textId="77777777" w:rsidR="004C5B0C" w:rsidRPr="001569FB" w:rsidRDefault="004C5B0C" w:rsidP="004C5B0C">
            <w:pPr>
              <w:keepNext/>
              <w:keepLines/>
              <w:spacing w:line="240" w:lineRule="auto"/>
              <w:jc w:val="center"/>
              <w:rPr>
                <w:color w:val="000000"/>
              </w:rPr>
            </w:pPr>
            <w:r w:rsidRPr="001569FB">
              <w:rPr>
                <w:b/>
                <w:bCs/>
              </w:rPr>
              <w:t>Disability Quintile</w:t>
            </w:r>
          </w:p>
        </w:tc>
        <w:tc>
          <w:tcPr>
            <w:tcW w:w="2660" w:type="dxa"/>
            <w:shd w:val="clear" w:color="auto" w:fill="D9D9D9" w:themeFill="background1" w:themeFillShade="D9"/>
            <w:noWrap/>
            <w:vAlign w:val="center"/>
          </w:tcPr>
          <w:p w14:paraId="5CC876FE"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088A0CFA" w14:textId="77777777" w:rsidTr="004C5B0C">
        <w:trPr>
          <w:trHeight w:val="300"/>
          <w:jc w:val="center"/>
        </w:trPr>
        <w:tc>
          <w:tcPr>
            <w:tcW w:w="1980" w:type="dxa"/>
            <w:vMerge w:val="restart"/>
            <w:shd w:val="clear" w:color="auto" w:fill="auto"/>
            <w:noWrap/>
            <w:vAlign w:val="center"/>
            <w:hideMark/>
          </w:tcPr>
          <w:p w14:paraId="708672E8" w14:textId="77777777" w:rsidR="004C5B0C" w:rsidRPr="001569FB" w:rsidRDefault="004C5B0C" w:rsidP="004C5B0C">
            <w:pPr>
              <w:keepNext/>
              <w:keepLines/>
              <w:spacing w:line="240" w:lineRule="auto"/>
              <w:jc w:val="center"/>
              <w:rPr>
                <w:color w:val="000000"/>
              </w:rPr>
            </w:pPr>
            <w:r w:rsidRPr="001569FB">
              <w:rPr>
                <w:color w:val="000000"/>
              </w:rPr>
              <w:t>A</w:t>
            </w:r>
          </w:p>
        </w:tc>
        <w:tc>
          <w:tcPr>
            <w:tcW w:w="1975" w:type="dxa"/>
            <w:shd w:val="clear" w:color="auto" w:fill="auto"/>
            <w:noWrap/>
            <w:vAlign w:val="center"/>
            <w:hideMark/>
          </w:tcPr>
          <w:p w14:paraId="70F32E2E" w14:textId="77777777" w:rsidR="004C5B0C" w:rsidRPr="001569FB" w:rsidRDefault="004C5B0C" w:rsidP="004C5B0C">
            <w:pPr>
              <w:keepNext/>
              <w:keepLines/>
              <w:spacing w:line="240" w:lineRule="auto"/>
              <w:jc w:val="center"/>
              <w:rPr>
                <w:color w:val="000000"/>
              </w:rPr>
            </w:pPr>
            <w:r w:rsidRPr="001569FB">
              <w:rPr>
                <w:color w:val="000000"/>
              </w:rPr>
              <w:t>L1 - L3</w:t>
            </w:r>
          </w:p>
        </w:tc>
        <w:tc>
          <w:tcPr>
            <w:tcW w:w="1840" w:type="dxa"/>
            <w:shd w:val="clear" w:color="auto" w:fill="auto"/>
            <w:noWrap/>
            <w:vAlign w:val="center"/>
            <w:hideMark/>
          </w:tcPr>
          <w:p w14:paraId="3C3F9D50" w14:textId="77777777" w:rsidR="004C5B0C" w:rsidRPr="001569FB" w:rsidRDefault="004C5B0C" w:rsidP="004C5B0C">
            <w:pPr>
              <w:keepNext/>
              <w:keepLines/>
              <w:spacing w:line="240" w:lineRule="auto"/>
              <w:jc w:val="center"/>
              <w:rPr>
                <w:color w:val="000000"/>
              </w:rPr>
            </w:pPr>
            <w:r w:rsidRPr="001569FB">
              <w:rPr>
                <w:color w:val="000000"/>
              </w:rPr>
              <w:t>D1</w:t>
            </w:r>
          </w:p>
        </w:tc>
        <w:tc>
          <w:tcPr>
            <w:tcW w:w="2660" w:type="dxa"/>
            <w:vMerge w:val="restart"/>
            <w:shd w:val="clear" w:color="auto" w:fill="auto"/>
            <w:noWrap/>
            <w:vAlign w:val="center"/>
            <w:hideMark/>
          </w:tcPr>
          <w:p w14:paraId="6F82D09D" w14:textId="77777777" w:rsidR="004C5B0C" w:rsidRPr="001569FB" w:rsidRDefault="004C5B0C" w:rsidP="004C5B0C">
            <w:pPr>
              <w:keepNext/>
              <w:keepLines/>
              <w:tabs>
                <w:tab w:val="decimal" w:pos="752"/>
              </w:tabs>
              <w:spacing w:line="240" w:lineRule="auto"/>
              <w:rPr>
                <w:color w:val="000000"/>
              </w:rPr>
            </w:pPr>
            <w:r w:rsidRPr="001569FB">
              <w:rPr>
                <w:color w:val="000000"/>
              </w:rPr>
              <w:t>−0.031272</w:t>
            </w:r>
          </w:p>
        </w:tc>
      </w:tr>
      <w:tr w:rsidR="004C5B0C" w:rsidRPr="001569FB" w14:paraId="45423092" w14:textId="77777777" w:rsidTr="004C5B0C">
        <w:trPr>
          <w:trHeight w:val="300"/>
          <w:jc w:val="center"/>
        </w:trPr>
        <w:tc>
          <w:tcPr>
            <w:tcW w:w="1980" w:type="dxa"/>
            <w:vMerge/>
            <w:vAlign w:val="center"/>
            <w:hideMark/>
          </w:tcPr>
          <w:p w14:paraId="332082B3"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0142E97E" w14:textId="77777777" w:rsidR="004C5B0C" w:rsidRPr="001569FB" w:rsidRDefault="004C5B0C" w:rsidP="004C5B0C">
            <w:pPr>
              <w:keepNext/>
              <w:keepLines/>
              <w:spacing w:line="240" w:lineRule="auto"/>
              <w:jc w:val="center"/>
              <w:rPr>
                <w:color w:val="000000"/>
              </w:rPr>
            </w:pPr>
            <w:r w:rsidRPr="001569FB">
              <w:rPr>
                <w:color w:val="000000"/>
              </w:rPr>
              <w:t>L1</w:t>
            </w:r>
          </w:p>
        </w:tc>
        <w:tc>
          <w:tcPr>
            <w:tcW w:w="1840" w:type="dxa"/>
            <w:shd w:val="clear" w:color="auto" w:fill="auto"/>
            <w:noWrap/>
            <w:vAlign w:val="center"/>
            <w:hideMark/>
          </w:tcPr>
          <w:p w14:paraId="7F043FCA"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660" w:type="dxa"/>
            <w:vMerge/>
            <w:vAlign w:val="center"/>
            <w:hideMark/>
          </w:tcPr>
          <w:p w14:paraId="6110315A" w14:textId="77777777" w:rsidR="004C5B0C" w:rsidRPr="001569FB" w:rsidRDefault="004C5B0C" w:rsidP="004C5B0C">
            <w:pPr>
              <w:keepNext/>
              <w:keepLines/>
              <w:tabs>
                <w:tab w:val="decimal" w:pos="752"/>
              </w:tabs>
              <w:spacing w:line="240" w:lineRule="auto"/>
              <w:rPr>
                <w:color w:val="000000"/>
              </w:rPr>
            </w:pPr>
          </w:p>
        </w:tc>
      </w:tr>
      <w:tr w:rsidR="004C5B0C" w:rsidRPr="001569FB" w14:paraId="334EF08F" w14:textId="77777777" w:rsidTr="004C5B0C">
        <w:trPr>
          <w:trHeight w:val="300"/>
          <w:jc w:val="center"/>
        </w:trPr>
        <w:tc>
          <w:tcPr>
            <w:tcW w:w="1980" w:type="dxa"/>
            <w:vMerge w:val="restart"/>
            <w:shd w:val="clear" w:color="auto" w:fill="auto"/>
            <w:noWrap/>
            <w:vAlign w:val="center"/>
            <w:hideMark/>
          </w:tcPr>
          <w:p w14:paraId="174E39F1" w14:textId="77777777" w:rsidR="004C5B0C" w:rsidRPr="001569FB" w:rsidRDefault="004C5B0C" w:rsidP="004C5B0C">
            <w:pPr>
              <w:keepNext/>
              <w:keepLines/>
              <w:spacing w:line="240" w:lineRule="auto"/>
              <w:jc w:val="center"/>
              <w:rPr>
                <w:color w:val="000000"/>
              </w:rPr>
            </w:pPr>
            <w:r w:rsidRPr="001569FB">
              <w:rPr>
                <w:color w:val="000000"/>
              </w:rPr>
              <w:t>B</w:t>
            </w:r>
          </w:p>
        </w:tc>
        <w:tc>
          <w:tcPr>
            <w:tcW w:w="1975" w:type="dxa"/>
            <w:shd w:val="clear" w:color="auto" w:fill="auto"/>
            <w:noWrap/>
            <w:vAlign w:val="center"/>
            <w:hideMark/>
          </w:tcPr>
          <w:p w14:paraId="2F11916B" w14:textId="77777777" w:rsidR="004C5B0C" w:rsidRPr="001569FB" w:rsidRDefault="004C5B0C" w:rsidP="004C5B0C">
            <w:pPr>
              <w:keepNext/>
              <w:keepLines/>
              <w:spacing w:line="240" w:lineRule="auto"/>
              <w:jc w:val="center"/>
              <w:rPr>
                <w:color w:val="000000"/>
              </w:rPr>
            </w:pPr>
            <w:r w:rsidRPr="001569FB">
              <w:rPr>
                <w:color w:val="000000"/>
              </w:rPr>
              <w:t>L4 - L8</w:t>
            </w:r>
          </w:p>
        </w:tc>
        <w:tc>
          <w:tcPr>
            <w:tcW w:w="1840" w:type="dxa"/>
            <w:shd w:val="clear" w:color="auto" w:fill="auto"/>
            <w:noWrap/>
            <w:vAlign w:val="center"/>
            <w:hideMark/>
          </w:tcPr>
          <w:p w14:paraId="5004788E" w14:textId="77777777" w:rsidR="004C5B0C" w:rsidRPr="001569FB" w:rsidRDefault="004C5B0C" w:rsidP="004C5B0C">
            <w:pPr>
              <w:keepNext/>
              <w:keepLines/>
              <w:spacing w:line="240" w:lineRule="auto"/>
              <w:jc w:val="center"/>
              <w:rPr>
                <w:color w:val="000000"/>
              </w:rPr>
            </w:pPr>
            <w:r w:rsidRPr="001569FB">
              <w:rPr>
                <w:color w:val="000000"/>
              </w:rPr>
              <w:t>D1 - D3</w:t>
            </w:r>
          </w:p>
        </w:tc>
        <w:tc>
          <w:tcPr>
            <w:tcW w:w="2660" w:type="dxa"/>
            <w:vMerge w:val="restart"/>
            <w:shd w:val="clear" w:color="auto" w:fill="auto"/>
            <w:noWrap/>
            <w:vAlign w:val="center"/>
            <w:hideMark/>
          </w:tcPr>
          <w:p w14:paraId="5691D2C0" w14:textId="77777777" w:rsidR="004C5B0C" w:rsidRPr="001569FB" w:rsidRDefault="004C5B0C" w:rsidP="004C5B0C">
            <w:pPr>
              <w:keepNext/>
              <w:keepLines/>
              <w:tabs>
                <w:tab w:val="decimal" w:pos="752"/>
              </w:tabs>
              <w:spacing w:line="240" w:lineRule="auto"/>
              <w:rPr>
                <w:color w:val="000000"/>
              </w:rPr>
            </w:pPr>
            <w:r w:rsidRPr="001569FB">
              <w:rPr>
                <w:color w:val="000000"/>
              </w:rPr>
              <w:t>−0.007584</w:t>
            </w:r>
          </w:p>
        </w:tc>
      </w:tr>
      <w:tr w:rsidR="004C5B0C" w:rsidRPr="001569FB" w14:paraId="164A3BE1" w14:textId="77777777" w:rsidTr="004C5B0C">
        <w:trPr>
          <w:trHeight w:val="300"/>
          <w:jc w:val="center"/>
        </w:trPr>
        <w:tc>
          <w:tcPr>
            <w:tcW w:w="1980" w:type="dxa"/>
            <w:vMerge/>
            <w:vAlign w:val="center"/>
            <w:hideMark/>
          </w:tcPr>
          <w:p w14:paraId="766F6B7F"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2B7BE744" w14:textId="77777777" w:rsidR="004C5B0C" w:rsidRPr="001569FB" w:rsidRDefault="004C5B0C" w:rsidP="004C5B0C">
            <w:pPr>
              <w:keepNext/>
              <w:keepLines/>
              <w:spacing w:line="240" w:lineRule="auto"/>
              <w:jc w:val="center"/>
              <w:rPr>
                <w:color w:val="000000"/>
              </w:rPr>
            </w:pPr>
            <w:r w:rsidRPr="001569FB">
              <w:rPr>
                <w:color w:val="000000"/>
              </w:rPr>
              <w:t>L9</w:t>
            </w:r>
          </w:p>
        </w:tc>
        <w:tc>
          <w:tcPr>
            <w:tcW w:w="1840" w:type="dxa"/>
            <w:shd w:val="clear" w:color="auto" w:fill="auto"/>
            <w:noWrap/>
            <w:vAlign w:val="center"/>
            <w:hideMark/>
          </w:tcPr>
          <w:p w14:paraId="4B63E68E" w14:textId="77777777" w:rsidR="004C5B0C" w:rsidRPr="001569FB" w:rsidRDefault="004C5B0C" w:rsidP="004C5B0C">
            <w:pPr>
              <w:keepNext/>
              <w:keepLines/>
              <w:spacing w:line="240" w:lineRule="auto"/>
              <w:jc w:val="center"/>
              <w:rPr>
                <w:color w:val="000000"/>
              </w:rPr>
            </w:pPr>
            <w:r w:rsidRPr="001569FB">
              <w:rPr>
                <w:color w:val="000000"/>
              </w:rPr>
              <w:t>D1 - D2</w:t>
            </w:r>
          </w:p>
        </w:tc>
        <w:tc>
          <w:tcPr>
            <w:tcW w:w="2660" w:type="dxa"/>
            <w:vMerge/>
            <w:vAlign w:val="center"/>
            <w:hideMark/>
          </w:tcPr>
          <w:p w14:paraId="5290C108" w14:textId="77777777" w:rsidR="004C5B0C" w:rsidRPr="001569FB" w:rsidRDefault="004C5B0C" w:rsidP="004C5B0C">
            <w:pPr>
              <w:keepNext/>
              <w:keepLines/>
              <w:tabs>
                <w:tab w:val="decimal" w:pos="752"/>
              </w:tabs>
              <w:spacing w:line="240" w:lineRule="auto"/>
              <w:rPr>
                <w:color w:val="000000"/>
              </w:rPr>
            </w:pPr>
          </w:p>
        </w:tc>
      </w:tr>
      <w:tr w:rsidR="004C5B0C" w:rsidRPr="001569FB" w14:paraId="462A1E30" w14:textId="77777777" w:rsidTr="004C5B0C">
        <w:trPr>
          <w:trHeight w:val="300"/>
          <w:jc w:val="center"/>
        </w:trPr>
        <w:tc>
          <w:tcPr>
            <w:tcW w:w="1980" w:type="dxa"/>
            <w:vMerge/>
            <w:vAlign w:val="center"/>
            <w:hideMark/>
          </w:tcPr>
          <w:p w14:paraId="38E7F6C3"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35F27061" w14:textId="77777777" w:rsidR="004C5B0C" w:rsidRPr="001569FB" w:rsidRDefault="004C5B0C" w:rsidP="004C5B0C">
            <w:pPr>
              <w:keepNext/>
              <w:keepLines/>
              <w:spacing w:line="240" w:lineRule="auto"/>
              <w:jc w:val="center"/>
              <w:rPr>
                <w:color w:val="000000"/>
              </w:rPr>
            </w:pPr>
            <w:r w:rsidRPr="001569FB">
              <w:rPr>
                <w:color w:val="000000"/>
              </w:rPr>
              <w:t>L2 - L3</w:t>
            </w:r>
          </w:p>
        </w:tc>
        <w:tc>
          <w:tcPr>
            <w:tcW w:w="1840" w:type="dxa"/>
            <w:shd w:val="clear" w:color="auto" w:fill="auto"/>
            <w:noWrap/>
            <w:vAlign w:val="center"/>
            <w:hideMark/>
          </w:tcPr>
          <w:p w14:paraId="30CE1567"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660" w:type="dxa"/>
            <w:vMerge/>
            <w:vAlign w:val="center"/>
            <w:hideMark/>
          </w:tcPr>
          <w:p w14:paraId="6D17D3ED" w14:textId="77777777" w:rsidR="004C5B0C" w:rsidRPr="001569FB" w:rsidRDefault="004C5B0C" w:rsidP="004C5B0C">
            <w:pPr>
              <w:keepNext/>
              <w:keepLines/>
              <w:tabs>
                <w:tab w:val="decimal" w:pos="752"/>
              </w:tabs>
              <w:spacing w:line="240" w:lineRule="auto"/>
              <w:rPr>
                <w:color w:val="000000"/>
              </w:rPr>
            </w:pPr>
          </w:p>
        </w:tc>
      </w:tr>
      <w:tr w:rsidR="004C5B0C" w:rsidRPr="001569FB" w14:paraId="47A3BA88" w14:textId="77777777" w:rsidTr="004C5B0C">
        <w:trPr>
          <w:trHeight w:val="300"/>
          <w:jc w:val="center"/>
        </w:trPr>
        <w:tc>
          <w:tcPr>
            <w:tcW w:w="1980" w:type="dxa"/>
            <w:vMerge w:val="restart"/>
            <w:shd w:val="clear" w:color="auto" w:fill="auto"/>
            <w:noWrap/>
            <w:vAlign w:val="center"/>
            <w:hideMark/>
          </w:tcPr>
          <w:p w14:paraId="58D4F146" w14:textId="77777777" w:rsidR="004C5B0C" w:rsidRPr="001569FB" w:rsidRDefault="004C5B0C" w:rsidP="004C5B0C">
            <w:pPr>
              <w:keepNext/>
              <w:keepLines/>
              <w:spacing w:line="240" w:lineRule="auto"/>
              <w:jc w:val="center"/>
              <w:rPr>
                <w:color w:val="000000"/>
              </w:rPr>
            </w:pPr>
            <w:r w:rsidRPr="001569FB">
              <w:rPr>
                <w:color w:val="000000"/>
              </w:rPr>
              <w:t>C</w:t>
            </w:r>
          </w:p>
        </w:tc>
        <w:tc>
          <w:tcPr>
            <w:tcW w:w="1975" w:type="dxa"/>
            <w:shd w:val="clear" w:color="auto" w:fill="auto"/>
            <w:noWrap/>
            <w:vAlign w:val="center"/>
            <w:hideMark/>
          </w:tcPr>
          <w:p w14:paraId="7C390276" w14:textId="77777777" w:rsidR="004C5B0C" w:rsidRPr="001569FB" w:rsidRDefault="004C5B0C" w:rsidP="004C5B0C">
            <w:pPr>
              <w:keepNext/>
              <w:keepLines/>
              <w:spacing w:line="240" w:lineRule="auto"/>
              <w:jc w:val="center"/>
              <w:rPr>
                <w:color w:val="000000"/>
              </w:rPr>
            </w:pPr>
            <w:r w:rsidRPr="001569FB">
              <w:rPr>
                <w:color w:val="000000"/>
              </w:rPr>
              <w:t>L1 - L6</w:t>
            </w:r>
          </w:p>
        </w:tc>
        <w:tc>
          <w:tcPr>
            <w:tcW w:w="1840" w:type="dxa"/>
            <w:shd w:val="clear" w:color="auto" w:fill="auto"/>
            <w:noWrap/>
            <w:vAlign w:val="center"/>
            <w:hideMark/>
          </w:tcPr>
          <w:p w14:paraId="3220689F"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660" w:type="dxa"/>
            <w:vMerge w:val="restart"/>
            <w:shd w:val="clear" w:color="auto" w:fill="auto"/>
            <w:noWrap/>
            <w:vAlign w:val="center"/>
            <w:hideMark/>
          </w:tcPr>
          <w:p w14:paraId="205A6A10" w14:textId="77777777" w:rsidR="004C5B0C" w:rsidRPr="001569FB" w:rsidRDefault="004C5B0C" w:rsidP="004C5B0C">
            <w:pPr>
              <w:keepNext/>
              <w:keepLines/>
              <w:tabs>
                <w:tab w:val="decimal" w:pos="752"/>
              </w:tabs>
              <w:spacing w:line="240" w:lineRule="auto"/>
              <w:rPr>
                <w:color w:val="000000"/>
              </w:rPr>
            </w:pPr>
            <w:r w:rsidRPr="001569FB">
              <w:rPr>
                <w:color w:val="000000"/>
              </w:rPr>
              <w:t>0.015478</w:t>
            </w:r>
          </w:p>
        </w:tc>
      </w:tr>
      <w:tr w:rsidR="004C5B0C" w:rsidRPr="001569FB" w14:paraId="7748E047" w14:textId="77777777" w:rsidTr="004C5B0C">
        <w:trPr>
          <w:trHeight w:val="300"/>
          <w:jc w:val="center"/>
        </w:trPr>
        <w:tc>
          <w:tcPr>
            <w:tcW w:w="1980" w:type="dxa"/>
            <w:vMerge/>
            <w:vAlign w:val="center"/>
            <w:hideMark/>
          </w:tcPr>
          <w:p w14:paraId="6F37E1A0"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4DD79862" w14:textId="77777777" w:rsidR="004C5B0C" w:rsidRPr="001569FB" w:rsidRDefault="004C5B0C" w:rsidP="004C5B0C">
            <w:pPr>
              <w:keepNext/>
              <w:keepLines/>
              <w:spacing w:line="240" w:lineRule="auto"/>
              <w:jc w:val="center"/>
              <w:rPr>
                <w:color w:val="000000"/>
              </w:rPr>
            </w:pPr>
            <w:r w:rsidRPr="001569FB">
              <w:rPr>
                <w:color w:val="000000"/>
              </w:rPr>
              <w:t>L7</w:t>
            </w:r>
          </w:p>
        </w:tc>
        <w:tc>
          <w:tcPr>
            <w:tcW w:w="1840" w:type="dxa"/>
            <w:shd w:val="clear" w:color="auto" w:fill="auto"/>
            <w:noWrap/>
            <w:vAlign w:val="center"/>
            <w:hideMark/>
          </w:tcPr>
          <w:p w14:paraId="62FDB8BF" w14:textId="77777777" w:rsidR="004C5B0C" w:rsidRPr="001569FB" w:rsidRDefault="004C5B0C" w:rsidP="004C5B0C">
            <w:pPr>
              <w:keepNext/>
              <w:keepLines/>
              <w:spacing w:line="240" w:lineRule="auto"/>
              <w:jc w:val="center"/>
              <w:rPr>
                <w:color w:val="000000"/>
              </w:rPr>
            </w:pPr>
            <w:r w:rsidRPr="001569FB">
              <w:rPr>
                <w:color w:val="000000"/>
              </w:rPr>
              <w:t xml:space="preserve">D4 </w:t>
            </w:r>
          </w:p>
        </w:tc>
        <w:tc>
          <w:tcPr>
            <w:tcW w:w="2660" w:type="dxa"/>
            <w:vMerge/>
            <w:vAlign w:val="center"/>
            <w:hideMark/>
          </w:tcPr>
          <w:p w14:paraId="3AA56CBA" w14:textId="77777777" w:rsidR="004C5B0C" w:rsidRPr="001569FB" w:rsidRDefault="004C5B0C" w:rsidP="004C5B0C">
            <w:pPr>
              <w:keepNext/>
              <w:keepLines/>
              <w:tabs>
                <w:tab w:val="decimal" w:pos="752"/>
              </w:tabs>
              <w:spacing w:line="240" w:lineRule="auto"/>
              <w:rPr>
                <w:color w:val="000000"/>
              </w:rPr>
            </w:pPr>
          </w:p>
        </w:tc>
      </w:tr>
      <w:tr w:rsidR="004C5B0C" w:rsidRPr="001569FB" w14:paraId="15D88F99" w14:textId="77777777" w:rsidTr="004C5B0C">
        <w:trPr>
          <w:trHeight w:val="300"/>
          <w:jc w:val="center"/>
        </w:trPr>
        <w:tc>
          <w:tcPr>
            <w:tcW w:w="1980" w:type="dxa"/>
            <w:vMerge w:val="restart"/>
            <w:shd w:val="clear" w:color="auto" w:fill="auto"/>
            <w:noWrap/>
            <w:vAlign w:val="center"/>
            <w:hideMark/>
          </w:tcPr>
          <w:p w14:paraId="41D0F349" w14:textId="77777777" w:rsidR="004C5B0C" w:rsidRPr="001569FB" w:rsidRDefault="004C5B0C" w:rsidP="004C5B0C">
            <w:pPr>
              <w:keepNext/>
              <w:keepLines/>
              <w:spacing w:line="240" w:lineRule="auto"/>
              <w:jc w:val="center"/>
            </w:pPr>
            <w:r w:rsidRPr="001569FB">
              <w:t>D</w:t>
            </w:r>
          </w:p>
        </w:tc>
        <w:tc>
          <w:tcPr>
            <w:tcW w:w="1975" w:type="dxa"/>
            <w:shd w:val="clear" w:color="auto" w:fill="auto"/>
            <w:noWrap/>
            <w:vAlign w:val="center"/>
            <w:hideMark/>
          </w:tcPr>
          <w:p w14:paraId="08121C27" w14:textId="77777777" w:rsidR="004C5B0C" w:rsidRPr="001569FB" w:rsidRDefault="004C5B0C" w:rsidP="004C5B0C">
            <w:pPr>
              <w:keepNext/>
              <w:keepLines/>
              <w:spacing w:line="240" w:lineRule="auto"/>
              <w:jc w:val="center"/>
            </w:pPr>
            <w:r w:rsidRPr="001569FB">
              <w:t>L9 - L10</w:t>
            </w:r>
          </w:p>
        </w:tc>
        <w:tc>
          <w:tcPr>
            <w:tcW w:w="1840" w:type="dxa"/>
            <w:shd w:val="clear" w:color="auto" w:fill="auto"/>
            <w:noWrap/>
            <w:vAlign w:val="center"/>
            <w:hideMark/>
          </w:tcPr>
          <w:p w14:paraId="39CEB579" w14:textId="77777777" w:rsidR="004C5B0C" w:rsidRPr="001569FB" w:rsidRDefault="004C5B0C" w:rsidP="004C5B0C">
            <w:pPr>
              <w:keepNext/>
              <w:keepLines/>
              <w:spacing w:line="240" w:lineRule="auto"/>
              <w:jc w:val="center"/>
            </w:pPr>
            <w:r w:rsidRPr="001569FB">
              <w:t>D3 - D4</w:t>
            </w:r>
          </w:p>
        </w:tc>
        <w:tc>
          <w:tcPr>
            <w:tcW w:w="2660" w:type="dxa"/>
            <w:vMerge w:val="restart"/>
            <w:shd w:val="clear" w:color="auto" w:fill="auto"/>
            <w:noWrap/>
            <w:vAlign w:val="center"/>
            <w:hideMark/>
          </w:tcPr>
          <w:p w14:paraId="4A14AA5D" w14:textId="77777777" w:rsidR="004C5B0C" w:rsidRPr="001569FB" w:rsidRDefault="004C5B0C" w:rsidP="004C5B0C">
            <w:pPr>
              <w:keepNext/>
              <w:keepLines/>
              <w:tabs>
                <w:tab w:val="decimal" w:pos="752"/>
              </w:tabs>
              <w:spacing w:line="240" w:lineRule="auto"/>
              <w:rPr>
                <w:color w:val="000000"/>
              </w:rPr>
            </w:pPr>
            <w:r w:rsidRPr="001569FB">
              <w:rPr>
                <w:color w:val="000000"/>
              </w:rPr>
              <w:t>0.086029</w:t>
            </w:r>
          </w:p>
        </w:tc>
      </w:tr>
      <w:tr w:rsidR="004C5B0C" w:rsidRPr="001569FB" w14:paraId="214D720B" w14:textId="77777777" w:rsidTr="004C5B0C">
        <w:trPr>
          <w:trHeight w:val="300"/>
          <w:jc w:val="center"/>
        </w:trPr>
        <w:tc>
          <w:tcPr>
            <w:tcW w:w="1980" w:type="dxa"/>
            <w:vMerge/>
            <w:vAlign w:val="center"/>
            <w:hideMark/>
          </w:tcPr>
          <w:p w14:paraId="3009A3F2"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CE339B3" w14:textId="77777777" w:rsidR="004C5B0C" w:rsidRPr="001569FB" w:rsidRDefault="004C5B0C" w:rsidP="004C5B0C">
            <w:pPr>
              <w:keepNext/>
              <w:keepLines/>
              <w:spacing w:line="240" w:lineRule="auto"/>
              <w:jc w:val="center"/>
            </w:pPr>
            <w:r w:rsidRPr="001569FB">
              <w:t>L10</w:t>
            </w:r>
          </w:p>
        </w:tc>
        <w:tc>
          <w:tcPr>
            <w:tcW w:w="1840" w:type="dxa"/>
            <w:shd w:val="clear" w:color="auto" w:fill="auto"/>
            <w:noWrap/>
            <w:vAlign w:val="center"/>
            <w:hideMark/>
          </w:tcPr>
          <w:p w14:paraId="34299079" w14:textId="77777777" w:rsidR="004C5B0C" w:rsidRPr="001569FB" w:rsidRDefault="004C5B0C" w:rsidP="004C5B0C">
            <w:pPr>
              <w:keepNext/>
              <w:keepLines/>
              <w:spacing w:line="240" w:lineRule="auto"/>
              <w:jc w:val="center"/>
            </w:pPr>
            <w:r w:rsidRPr="001569FB">
              <w:t>D1 - D2</w:t>
            </w:r>
          </w:p>
        </w:tc>
        <w:tc>
          <w:tcPr>
            <w:tcW w:w="2660" w:type="dxa"/>
            <w:vMerge/>
            <w:vAlign w:val="center"/>
            <w:hideMark/>
          </w:tcPr>
          <w:p w14:paraId="399842F5" w14:textId="77777777" w:rsidR="004C5B0C" w:rsidRPr="001569FB" w:rsidRDefault="004C5B0C" w:rsidP="004C5B0C">
            <w:pPr>
              <w:keepNext/>
              <w:keepLines/>
              <w:tabs>
                <w:tab w:val="decimal" w:pos="752"/>
              </w:tabs>
              <w:spacing w:line="240" w:lineRule="auto"/>
              <w:rPr>
                <w:color w:val="000000"/>
              </w:rPr>
            </w:pPr>
          </w:p>
        </w:tc>
      </w:tr>
      <w:tr w:rsidR="004C5B0C" w:rsidRPr="001569FB" w14:paraId="3EB67CD0" w14:textId="77777777" w:rsidTr="004C5B0C">
        <w:trPr>
          <w:trHeight w:val="300"/>
          <w:jc w:val="center"/>
        </w:trPr>
        <w:tc>
          <w:tcPr>
            <w:tcW w:w="1980" w:type="dxa"/>
            <w:vMerge/>
            <w:vAlign w:val="center"/>
            <w:hideMark/>
          </w:tcPr>
          <w:p w14:paraId="331CDCF3"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5551EA8" w14:textId="77777777" w:rsidR="004C5B0C" w:rsidRPr="001569FB" w:rsidRDefault="004C5B0C" w:rsidP="004C5B0C">
            <w:pPr>
              <w:keepNext/>
              <w:keepLines/>
              <w:spacing w:line="240" w:lineRule="auto"/>
              <w:jc w:val="center"/>
            </w:pPr>
            <w:r w:rsidRPr="001569FB">
              <w:t>L8</w:t>
            </w:r>
          </w:p>
        </w:tc>
        <w:tc>
          <w:tcPr>
            <w:tcW w:w="1840" w:type="dxa"/>
            <w:shd w:val="clear" w:color="auto" w:fill="auto"/>
            <w:noWrap/>
            <w:vAlign w:val="center"/>
            <w:hideMark/>
          </w:tcPr>
          <w:p w14:paraId="5D85FEB4" w14:textId="77777777" w:rsidR="004C5B0C" w:rsidRPr="001569FB" w:rsidRDefault="004C5B0C" w:rsidP="004C5B0C">
            <w:pPr>
              <w:keepNext/>
              <w:keepLines/>
              <w:spacing w:line="240" w:lineRule="auto"/>
              <w:jc w:val="center"/>
            </w:pPr>
            <w:r w:rsidRPr="001569FB">
              <w:t>D4</w:t>
            </w:r>
          </w:p>
        </w:tc>
        <w:tc>
          <w:tcPr>
            <w:tcW w:w="2660" w:type="dxa"/>
            <w:vMerge/>
            <w:vAlign w:val="center"/>
            <w:hideMark/>
          </w:tcPr>
          <w:p w14:paraId="788919FA" w14:textId="77777777" w:rsidR="004C5B0C" w:rsidRPr="001569FB" w:rsidRDefault="004C5B0C" w:rsidP="004C5B0C">
            <w:pPr>
              <w:keepNext/>
              <w:keepLines/>
              <w:tabs>
                <w:tab w:val="decimal" w:pos="752"/>
              </w:tabs>
              <w:spacing w:line="240" w:lineRule="auto"/>
              <w:rPr>
                <w:color w:val="000000"/>
              </w:rPr>
            </w:pPr>
          </w:p>
        </w:tc>
      </w:tr>
      <w:tr w:rsidR="004C5B0C" w:rsidRPr="001569FB" w14:paraId="20BCA435" w14:textId="77777777" w:rsidTr="004C5B0C">
        <w:trPr>
          <w:trHeight w:val="300"/>
          <w:jc w:val="center"/>
        </w:trPr>
        <w:tc>
          <w:tcPr>
            <w:tcW w:w="1980" w:type="dxa"/>
            <w:vMerge/>
            <w:vAlign w:val="center"/>
            <w:hideMark/>
          </w:tcPr>
          <w:p w14:paraId="79DF0E1A"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D2CF3C7" w14:textId="77777777" w:rsidR="004C5B0C" w:rsidRPr="001569FB" w:rsidRDefault="004C5B0C" w:rsidP="004C5B0C">
            <w:pPr>
              <w:keepNext/>
              <w:keepLines/>
              <w:spacing w:line="240" w:lineRule="auto"/>
              <w:jc w:val="center"/>
            </w:pPr>
            <w:r w:rsidRPr="001569FB">
              <w:t>L7 - L9</w:t>
            </w:r>
          </w:p>
        </w:tc>
        <w:tc>
          <w:tcPr>
            <w:tcW w:w="1840" w:type="dxa"/>
            <w:shd w:val="clear" w:color="auto" w:fill="auto"/>
            <w:noWrap/>
            <w:vAlign w:val="center"/>
            <w:hideMark/>
          </w:tcPr>
          <w:p w14:paraId="40910EB5" w14:textId="77777777" w:rsidR="004C5B0C" w:rsidRPr="001569FB" w:rsidRDefault="004C5B0C" w:rsidP="004C5B0C">
            <w:pPr>
              <w:keepNext/>
              <w:keepLines/>
              <w:spacing w:line="240" w:lineRule="auto"/>
              <w:jc w:val="center"/>
            </w:pPr>
            <w:r w:rsidRPr="001569FB">
              <w:t>D5</w:t>
            </w:r>
          </w:p>
        </w:tc>
        <w:tc>
          <w:tcPr>
            <w:tcW w:w="2660" w:type="dxa"/>
            <w:vMerge/>
            <w:vAlign w:val="center"/>
            <w:hideMark/>
          </w:tcPr>
          <w:p w14:paraId="17EE0182" w14:textId="77777777" w:rsidR="004C5B0C" w:rsidRPr="001569FB" w:rsidRDefault="004C5B0C" w:rsidP="004C5B0C">
            <w:pPr>
              <w:keepNext/>
              <w:keepLines/>
              <w:tabs>
                <w:tab w:val="decimal" w:pos="752"/>
              </w:tabs>
              <w:spacing w:line="240" w:lineRule="auto"/>
              <w:rPr>
                <w:color w:val="000000"/>
              </w:rPr>
            </w:pPr>
          </w:p>
        </w:tc>
      </w:tr>
      <w:tr w:rsidR="004C5B0C" w:rsidRPr="001569FB" w14:paraId="4578F10D" w14:textId="77777777" w:rsidTr="004C5B0C">
        <w:trPr>
          <w:trHeight w:val="300"/>
          <w:jc w:val="center"/>
        </w:trPr>
        <w:tc>
          <w:tcPr>
            <w:tcW w:w="1980" w:type="dxa"/>
            <w:shd w:val="clear" w:color="auto" w:fill="auto"/>
            <w:noWrap/>
            <w:vAlign w:val="center"/>
            <w:hideMark/>
          </w:tcPr>
          <w:p w14:paraId="7FF43FC5" w14:textId="77777777" w:rsidR="004C5B0C" w:rsidRPr="001569FB" w:rsidRDefault="004C5B0C" w:rsidP="004C5B0C">
            <w:pPr>
              <w:spacing w:line="240" w:lineRule="auto"/>
              <w:jc w:val="center"/>
            </w:pPr>
            <w:r w:rsidRPr="001569FB">
              <w:t>E</w:t>
            </w:r>
          </w:p>
        </w:tc>
        <w:tc>
          <w:tcPr>
            <w:tcW w:w="1975" w:type="dxa"/>
            <w:shd w:val="clear" w:color="auto" w:fill="auto"/>
            <w:noWrap/>
            <w:vAlign w:val="center"/>
            <w:hideMark/>
          </w:tcPr>
          <w:p w14:paraId="583F6373" w14:textId="77777777" w:rsidR="004C5B0C" w:rsidRPr="001569FB" w:rsidRDefault="004C5B0C" w:rsidP="004C5B0C">
            <w:pPr>
              <w:spacing w:line="240" w:lineRule="auto"/>
              <w:jc w:val="center"/>
            </w:pPr>
            <w:r w:rsidRPr="001569FB">
              <w:t>L10</w:t>
            </w:r>
          </w:p>
        </w:tc>
        <w:tc>
          <w:tcPr>
            <w:tcW w:w="1840" w:type="dxa"/>
            <w:shd w:val="clear" w:color="auto" w:fill="auto"/>
            <w:noWrap/>
            <w:vAlign w:val="center"/>
            <w:hideMark/>
          </w:tcPr>
          <w:p w14:paraId="12D7086C" w14:textId="77777777" w:rsidR="004C5B0C" w:rsidRPr="001569FB" w:rsidRDefault="004C5B0C" w:rsidP="004C5B0C">
            <w:pPr>
              <w:spacing w:line="240" w:lineRule="auto"/>
              <w:jc w:val="center"/>
            </w:pPr>
            <w:r w:rsidRPr="001569FB">
              <w:t>D5</w:t>
            </w:r>
          </w:p>
        </w:tc>
        <w:tc>
          <w:tcPr>
            <w:tcW w:w="2660" w:type="dxa"/>
            <w:shd w:val="clear" w:color="auto" w:fill="auto"/>
            <w:noWrap/>
            <w:vAlign w:val="center"/>
            <w:hideMark/>
          </w:tcPr>
          <w:p w14:paraId="5E6AE250" w14:textId="77777777" w:rsidR="004C5B0C" w:rsidRPr="001569FB" w:rsidRDefault="004C5B0C" w:rsidP="004C5B0C">
            <w:pPr>
              <w:tabs>
                <w:tab w:val="decimal" w:pos="752"/>
              </w:tabs>
              <w:spacing w:line="240" w:lineRule="auto"/>
            </w:pPr>
            <w:r w:rsidRPr="001569FB">
              <w:t>0.142243</w:t>
            </w:r>
          </w:p>
        </w:tc>
      </w:tr>
    </w:tbl>
    <w:p w14:paraId="4BC45F55" w14:textId="77777777" w:rsidR="004C5B0C" w:rsidRPr="001569FB" w:rsidRDefault="004C5B0C" w:rsidP="004C5B0C">
      <w:pPr>
        <w:pStyle w:val="Caption"/>
        <w:spacing w:before="600" w:line="276" w:lineRule="auto"/>
        <w:ind w:left="90"/>
        <w:rPr>
          <w:b w:val="0"/>
        </w:rPr>
      </w:pPr>
      <w:r w:rsidRPr="001569FB">
        <w:rPr>
          <w:b w:val="0"/>
        </w:rPr>
        <w:lastRenderedPageBreak/>
        <w:t>Tables 13 and 14 provide the range of the percentages that correspond to the LIS/DE and disability quartiles for the initial categories for the determination of the CAI values for the Part D summary rating for PDPs. Quartiles are used for both dimensions (LIS/DE and disability) due to the limited number of PDPs as compared to MA contracts.</w:t>
      </w:r>
    </w:p>
    <w:p w14:paraId="478A1107" w14:textId="77777777" w:rsidR="004C5B0C" w:rsidRPr="001569FB" w:rsidRDefault="004C5B0C" w:rsidP="004C5B0C">
      <w:pPr>
        <w:pStyle w:val="Caption"/>
        <w:tabs>
          <w:tab w:val="left" w:pos="990"/>
        </w:tabs>
        <w:ind w:left="990"/>
      </w:pPr>
      <w:r w:rsidRPr="001569FB">
        <w:t xml:space="preserve">Table </w:t>
      </w:r>
      <w:fldSimple w:instr=" SEQ Table \* ARABIC ">
        <w:r w:rsidR="00A216EC">
          <w:rPr>
            <w:noProof/>
          </w:rPr>
          <w:t>13</w:t>
        </w:r>
      </w:fldSimple>
      <w:r w:rsidRPr="001569FB">
        <w:t>: Categorization of PDP Contracts into LIS/DE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9"/>
      </w:tblGrid>
      <w:tr w:rsidR="004C5B0C" w:rsidRPr="001569FB" w14:paraId="740B24AC" w14:textId="77777777" w:rsidTr="004C5B0C">
        <w:trPr>
          <w:cantSplit/>
          <w:trHeight w:hRule="exact" w:val="353"/>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16BC0885" w14:textId="77777777" w:rsidR="004C5B0C" w:rsidRPr="001569FB" w:rsidRDefault="004C5B0C" w:rsidP="004C5B0C">
            <w:pPr>
              <w:pStyle w:val="TableParagraph"/>
              <w:keepNext/>
              <w:keepLines/>
              <w:widowControl/>
              <w:kinsoku w:val="0"/>
              <w:overflowPunct w:val="0"/>
              <w:spacing w:before="25"/>
              <w:ind w:left="29" w:right="29"/>
              <w:rPr>
                <w:sz w:val="24"/>
              </w:rPr>
            </w:pPr>
            <w:r w:rsidRPr="001569FB">
              <w:rPr>
                <w:b/>
                <w:bCs/>
                <w:sz w:val="24"/>
              </w:rPr>
              <w:t>LIS/DE Quartile</w:t>
            </w:r>
          </w:p>
        </w:tc>
        <w:tc>
          <w:tcPr>
            <w:tcW w:w="5589" w:type="dxa"/>
            <w:tcBorders>
              <w:top w:val="single" w:sz="7" w:space="0" w:color="000000"/>
              <w:left w:val="single" w:sz="7" w:space="0" w:color="000000"/>
              <w:bottom w:val="single" w:sz="7" w:space="0" w:color="000000"/>
              <w:right w:val="single" w:sz="7" w:space="0" w:color="000000"/>
            </w:tcBorders>
            <w:shd w:val="clear" w:color="auto" w:fill="BEBEBE"/>
          </w:tcPr>
          <w:p w14:paraId="469F9B07" w14:textId="77777777" w:rsidR="004C5B0C" w:rsidRPr="001569FB" w:rsidRDefault="004C5B0C" w:rsidP="004C5B0C">
            <w:pPr>
              <w:pStyle w:val="TableParagraph"/>
              <w:keepNext/>
              <w:keepLines/>
              <w:widowControl/>
              <w:kinsoku w:val="0"/>
              <w:overflowPunct w:val="0"/>
              <w:spacing w:before="25"/>
              <w:ind w:right="29"/>
              <w:rPr>
                <w:sz w:val="24"/>
              </w:rPr>
            </w:pPr>
            <w:r w:rsidRPr="001569FB">
              <w:rPr>
                <w:b/>
                <w:bCs/>
                <w:sz w:val="24"/>
              </w:rPr>
              <w:t xml:space="preserve">Percentage of Contract’s LIS/DE </w:t>
            </w:r>
            <w:r w:rsidRPr="001569FB">
              <w:rPr>
                <w:rFonts w:cstheme="minorHAnsi"/>
                <w:b/>
                <w:bCs/>
                <w:sz w:val="24"/>
              </w:rPr>
              <w:t>Beneficiaries</w:t>
            </w:r>
            <w:r w:rsidRPr="001569FB">
              <w:rPr>
                <w:b/>
                <w:bCs/>
                <w:sz w:val="24"/>
              </w:rPr>
              <w:t xml:space="preserve"> </w:t>
            </w:r>
          </w:p>
        </w:tc>
      </w:tr>
      <w:tr w:rsidR="004C5B0C" w:rsidRPr="001569FB" w14:paraId="1468D92C"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6A8ABF1C"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L1</w:t>
            </w:r>
          </w:p>
        </w:tc>
        <w:tc>
          <w:tcPr>
            <w:tcW w:w="5589" w:type="dxa"/>
            <w:tcBorders>
              <w:top w:val="single" w:sz="7" w:space="0" w:color="000000"/>
              <w:left w:val="single" w:sz="7" w:space="0" w:color="000000"/>
              <w:bottom w:val="single" w:sz="7" w:space="0" w:color="000000"/>
              <w:right w:val="single" w:sz="7" w:space="0" w:color="000000"/>
            </w:tcBorders>
            <w:vAlign w:val="bottom"/>
          </w:tcPr>
          <w:p w14:paraId="67D29346" w14:textId="77777777" w:rsidR="004C5B0C" w:rsidRPr="001569FB" w:rsidRDefault="004C5B0C" w:rsidP="004C5B0C">
            <w:pPr>
              <w:pStyle w:val="TableParagraph"/>
              <w:keepNext/>
              <w:keepLines/>
              <w:widowControl/>
              <w:tabs>
                <w:tab w:val="decimal" w:pos="1530"/>
              </w:tabs>
              <w:kinsoku w:val="0"/>
              <w:overflowPunct w:val="0"/>
              <w:spacing w:before="20"/>
              <w:rPr>
                <w:sz w:val="24"/>
              </w:rPr>
            </w:pPr>
            <w:r w:rsidRPr="001569FB">
              <w:rPr>
                <w:rFonts w:cstheme="minorHAnsi"/>
                <w:color w:val="000000"/>
                <w:sz w:val="24"/>
              </w:rPr>
              <w:t>0.000000 to less than 1.669196</w:t>
            </w:r>
          </w:p>
        </w:tc>
      </w:tr>
      <w:tr w:rsidR="004C5B0C" w:rsidRPr="001569FB" w14:paraId="3FC253BE"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15602050"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L2</w:t>
            </w:r>
          </w:p>
        </w:tc>
        <w:tc>
          <w:tcPr>
            <w:tcW w:w="5589" w:type="dxa"/>
            <w:tcBorders>
              <w:top w:val="single" w:sz="7" w:space="0" w:color="000000"/>
              <w:left w:val="single" w:sz="7" w:space="0" w:color="000000"/>
              <w:bottom w:val="single" w:sz="7" w:space="0" w:color="000000"/>
              <w:right w:val="single" w:sz="7" w:space="0" w:color="000000"/>
            </w:tcBorders>
            <w:vAlign w:val="bottom"/>
          </w:tcPr>
          <w:p w14:paraId="23C460CD"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1.669196 to less than 4.001965</w:t>
            </w:r>
          </w:p>
        </w:tc>
      </w:tr>
      <w:tr w:rsidR="004C5B0C" w:rsidRPr="001569FB" w14:paraId="3498246F"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1D136D80"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L3</w:t>
            </w:r>
          </w:p>
        </w:tc>
        <w:tc>
          <w:tcPr>
            <w:tcW w:w="5589" w:type="dxa"/>
            <w:tcBorders>
              <w:top w:val="single" w:sz="7" w:space="0" w:color="000000"/>
              <w:left w:val="single" w:sz="7" w:space="0" w:color="000000"/>
              <w:bottom w:val="single" w:sz="7" w:space="0" w:color="000000"/>
              <w:right w:val="single" w:sz="7" w:space="0" w:color="000000"/>
            </w:tcBorders>
            <w:vAlign w:val="bottom"/>
          </w:tcPr>
          <w:p w14:paraId="0D5C9A4D"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4.001965 to less than 15.204859</w:t>
            </w:r>
          </w:p>
        </w:tc>
      </w:tr>
      <w:tr w:rsidR="004C5B0C" w:rsidRPr="001569FB" w14:paraId="5D2EF30A"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4BBA9376" w14:textId="77777777" w:rsidR="004C5B0C" w:rsidRPr="001569FB" w:rsidRDefault="004C5B0C" w:rsidP="004C5B0C">
            <w:pPr>
              <w:pStyle w:val="TableParagraph"/>
              <w:kinsoku w:val="0"/>
              <w:overflowPunct w:val="0"/>
              <w:spacing w:before="20"/>
              <w:ind w:left="24" w:right="29"/>
              <w:jc w:val="center"/>
              <w:rPr>
                <w:sz w:val="24"/>
              </w:rPr>
            </w:pPr>
            <w:r w:rsidRPr="001569FB">
              <w:rPr>
                <w:sz w:val="24"/>
              </w:rPr>
              <w:t>L4</w:t>
            </w:r>
          </w:p>
        </w:tc>
        <w:tc>
          <w:tcPr>
            <w:tcW w:w="5589" w:type="dxa"/>
            <w:tcBorders>
              <w:top w:val="single" w:sz="7" w:space="0" w:color="000000"/>
              <w:left w:val="single" w:sz="7" w:space="0" w:color="000000"/>
              <w:bottom w:val="single" w:sz="7" w:space="0" w:color="000000"/>
              <w:right w:val="single" w:sz="7" w:space="0" w:color="000000"/>
            </w:tcBorders>
            <w:vAlign w:val="bottom"/>
          </w:tcPr>
          <w:p w14:paraId="4FB7E73D" w14:textId="77777777" w:rsidR="004C5B0C" w:rsidRPr="001569FB" w:rsidRDefault="004C5B0C" w:rsidP="004C5B0C">
            <w:pPr>
              <w:pStyle w:val="TableParagraph"/>
              <w:kinsoku w:val="0"/>
              <w:overflowPunct w:val="0"/>
              <w:spacing w:before="20"/>
              <w:ind w:right="29"/>
              <w:jc w:val="center"/>
              <w:rPr>
                <w:sz w:val="24"/>
              </w:rPr>
            </w:pPr>
            <w:r w:rsidRPr="001569FB">
              <w:rPr>
                <w:rFonts w:cstheme="minorHAnsi"/>
                <w:color w:val="000000"/>
                <w:sz w:val="24"/>
              </w:rPr>
              <w:t>15.204859 to less than or equal to 100.000000</w:t>
            </w:r>
          </w:p>
        </w:tc>
      </w:tr>
    </w:tbl>
    <w:p w14:paraId="6D2EA557" w14:textId="77777777" w:rsidR="004C5B0C" w:rsidRPr="001569FB" w:rsidRDefault="004C5B0C" w:rsidP="004C5B0C">
      <w:pPr>
        <w:pStyle w:val="Caption"/>
        <w:ind w:left="990"/>
      </w:pPr>
      <w:r w:rsidRPr="001569FB">
        <w:t xml:space="preserve">Table </w:t>
      </w:r>
      <w:fldSimple w:instr=" SEQ Table \* ARABIC ">
        <w:r w:rsidR="00A216EC">
          <w:rPr>
            <w:noProof/>
          </w:rPr>
          <w:t>14</w:t>
        </w:r>
      </w:fldSimple>
      <w:r w:rsidRPr="001569FB">
        <w:t>: Categorization of PDP Contracts into Disability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0"/>
      </w:tblGrid>
      <w:tr w:rsidR="004C5B0C" w:rsidRPr="001569FB" w14:paraId="2B932304" w14:textId="77777777" w:rsidTr="004C5B0C">
        <w:trPr>
          <w:cantSplit/>
          <w:trHeight w:hRule="exact" w:val="354"/>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3189EB39" w14:textId="77777777" w:rsidR="004C5B0C" w:rsidRPr="001569FB" w:rsidRDefault="004C5B0C" w:rsidP="004C5B0C">
            <w:pPr>
              <w:pStyle w:val="TableParagraph"/>
              <w:keepNext/>
              <w:keepLines/>
              <w:widowControl/>
              <w:kinsoku w:val="0"/>
              <w:overflowPunct w:val="0"/>
              <w:spacing w:before="26"/>
              <w:ind w:left="29" w:right="29"/>
              <w:rPr>
                <w:sz w:val="24"/>
              </w:rPr>
            </w:pPr>
            <w:r w:rsidRPr="001569FB">
              <w:rPr>
                <w:b/>
                <w:bCs/>
                <w:sz w:val="24"/>
              </w:rPr>
              <w:t>LIS/DE Quartile</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1311C3D9" w14:textId="77777777" w:rsidR="004C5B0C" w:rsidRPr="001569FB" w:rsidRDefault="004C5B0C" w:rsidP="004C5B0C">
            <w:pPr>
              <w:pStyle w:val="TableParagraph"/>
              <w:keepNext/>
              <w:keepLines/>
              <w:widowControl/>
              <w:kinsoku w:val="0"/>
              <w:overflowPunct w:val="0"/>
              <w:spacing w:before="26"/>
              <w:ind w:right="29"/>
              <w:rPr>
                <w:sz w:val="24"/>
              </w:rPr>
            </w:pPr>
            <w:r w:rsidRPr="001569FB">
              <w:rPr>
                <w:b/>
                <w:bCs/>
                <w:sz w:val="24"/>
              </w:rPr>
              <w:t>Percentage of Contract’s LIS/DE Beneficiaries</w:t>
            </w:r>
          </w:p>
        </w:tc>
      </w:tr>
      <w:tr w:rsidR="004C5B0C" w:rsidRPr="001569FB" w14:paraId="4985A578"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46B3195C"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D1</w:t>
            </w:r>
          </w:p>
        </w:tc>
        <w:tc>
          <w:tcPr>
            <w:tcW w:w="5580" w:type="dxa"/>
            <w:tcBorders>
              <w:top w:val="single" w:sz="7" w:space="0" w:color="000000"/>
              <w:left w:val="single" w:sz="7" w:space="0" w:color="000000"/>
              <w:bottom w:val="single" w:sz="7" w:space="0" w:color="000000"/>
              <w:right w:val="single" w:sz="7" w:space="0" w:color="000000"/>
            </w:tcBorders>
            <w:vAlign w:val="bottom"/>
          </w:tcPr>
          <w:p w14:paraId="5FE0AE25"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0.000000 to less than 7.415977</w:t>
            </w:r>
          </w:p>
        </w:tc>
      </w:tr>
      <w:tr w:rsidR="004C5B0C" w:rsidRPr="001569FB" w14:paraId="43FC1F95"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2729D93E"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D2</w:t>
            </w:r>
          </w:p>
        </w:tc>
        <w:tc>
          <w:tcPr>
            <w:tcW w:w="5580" w:type="dxa"/>
            <w:tcBorders>
              <w:top w:val="single" w:sz="7" w:space="0" w:color="000000"/>
              <w:left w:val="single" w:sz="7" w:space="0" w:color="000000"/>
              <w:bottom w:val="single" w:sz="7" w:space="0" w:color="000000"/>
              <w:right w:val="single" w:sz="7" w:space="0" w:color="000000"/>
            </w:tcBorders>
            <w:vAlign w:val="bottom"/>
          </w:tcPr>
          <w:p w14:paraId="0B7FE18A"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7.415977 to less than 12.842575</w:t>
            </w:r>
          </w:p>
        </w:tc>
      </w:tr>
      <w:tr w:rsidR="004C5B0C" w:rsidRPr="001569FB" w14:paraId="5777C748"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3A5476AA"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D3</w:t>
            </w:r>
          </w:p>
        </w:tc>
        <w:tc>
          <w:tcPr>
            <w:tcW w:w="5580" w:type="dxa"/>
            <w:tcBorders>
              <w:top w:val="single" w:sz="7" w:space="0" w:color="000000"/>
              <w:left w:val="single" w:sz="7" w:space="0" w:color="000000"/>
              <w:bottom w:val="single" w:sz="7" w:space="0" w:color="000000"/>
              <w:right w:val="single" w:sz="7" w:space="0" w:color="000000"/>
            </w:tcBorders>
            <w:vAlign w:val="bottom"/>
          </w:tcPr>
          <w:p w14:paraId="555921F0"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12.842575 to less than 19.147148</w:t>
            </w:r>
          </w:p>
        </w:tc>
      </w:tr>
      <w:tr w:rsidR="004C5B0C" w:rsidRPr="001569FB" w14:paraId="1F6A877D"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2924FFDB" w14:textId="77777777" w:rsidR="004C5B0C" w:rsidRPr="001569FB" w:rsidRDefault="004C5B0C" w:rsidP="004C5B0C">
            <w:pPr>
              <w:pStyle w:val="TableParagraph"/>
              <w:kinsoku w:val="0"/>
              <w:overflowPunct w:val="0"/>
              <w:spacing w:before="20"/>
              <w:ind w:left="29" w:right="29"/>
              <w:jc w:val="center"/>
              <w:rPr>
                <w:sz w:val="24"/>
              </w:rPr>
            </w:pPr>
            <w:r w:rsidRPr="001569FB">
              <w:rPr>
                <w:sz w:val="24"/>
              </w:rPr>
              <w:t>D4</w:t>
            </w:r>
          </w:p>
        </w:tc>
        <w:tc>
          <w:tcPr>
            <w:tcW w:w="5580" w:type="dxa"/>
            <w:tcBorders>
              <w:top w:val="single" w:sz="7" w:space="0" w:color="000000"/>
              <w:left w:val="single" w:sz="7" w:space="0" w:color="000000"/>
              <w:bottom w:val="single" w:sz="7" w:space="0" w:color="000000"/>
              <w:right w:val="single" w:sz="7" w:space="0" w:color="000000"/>
            </w:tcBorders>
            <w:vAlign w:val="bottom"/>
          </w:tcPr>
          <w:p w14:paraId="0B784137" w14:textId="77777777" w:rsidR="004C5B0C" w:rsidRPr="001569FB" w:rsidRDefault="004C5B0C" w:rsidP="004C5B0C">
            <w:pPr>
              <w:pStyle w:val="TableParagraph"/>
              <w:kinsoku w:val="0"/>
              <w:overflowPunct w:val="0"/>
              <w:spacing w:before="20"/>
              <w:jc w:val="center"/>
              <w:rPr>
                <w:sz w:val="24"/>
              </w:rPr>
            </w:pPr>
            <w:r w:rsidRPr="001569FB">
              <w:rPr>
                <w:rFonts w:cstheme="minorHAnsi"/>
                <w:color w:val="000000"/>
                <w:sz w:val="24"/>
              </w:rPr>
              <w:t>19.147148 to less than or equal to 100.000000</w:t>
            </w:r>
          </w:p>
        </w:tc>
      </w:tr>
    </w:tbl>
    <w:p w14:paraId="54DC9C34" w14:textId="77777777" w:rsidR="004C5B0C" w:rsidRPr="001569FB" w:rsidRDefault="004C5B0C" w:rsidP="004C5B0C">
      <w:pPr>
        <w:pStyle w:val="BodyText0"/>
        <w:kinsoku w:val="0"/>
        <w:overflowPunct w:val="0"/>
        <w:spacing w:before="600" w:line="278" w:lineRule="auto"/>
        <w:ind w:left="115"/>
      </w:pPr>
      <w:r w:rsidRPr="001569FB">
        <w:t>Table 15 provides the description of each of the final adjustment categories for the Part D summary rating for PDPs and the associated value of the CAI per final adjustment category.</w:t>
      </w:r>
    </w:p>
    <w:p w14:paraId="2E614FE8" w14:textId="77777777" w:rsidR="004C5B0C" w:rsidRPr="001569FB" w:rsidRDefault="004C5B0C" w:rsidP="004C5B0C">
      <w:pPr>
        <w:pStyle w:val="BodyText0"/>
        <w:kinsoku w:val="0"/>
        <w:overflowPunct w:val="0"/>
        <w:ind w:left="120"/>
      </w:pPr>
      <w:r w:rsidRPr="001569FB">
        <w:t>Please note that the CAI values for the Part D summary rating for PDPs are different from the CAI values for the Part D summary rating for MA contracts. Categories were chosen to enforce monotonicity and to yield a minimum of 10 contracts per final adjustment category. There are four final adjustment categories for PDPs for the Part D summary rating.</w:t>
      </w:r>
    </w:p>
    <w:p w14:paraId="66434907" w14:textId="77777777" w:rsidR="004C5B0C" w:rsidRPr="001569FB" w:rsidRDefault="004C5B0C" w:rsidP="004C5B0C">
      <w:pPr>
        <w:pStyle w:val="Caption"/>
        <w:ind w:left="180"/>
      </w:pPr>
      <w:r w:rsidRPr="001569FB">
        <w:t xml:space="preserve">Table </w:t>
      </w:r>
      <w:fldSimple w:instr=" SEQ Table \* ARABIC ">
        <w:r w:rsidR="00A216EC">
          <w:rPr>
            <w:noProof/>
          </w:rPr>
          <w:t>15</w:t>
        </w:r>
      </w:fldSimple>
      <w:r w:rsidRPr="001569FB">
        <w:t>: Final Adjustment Categories and CAI Values for the Part D Summary Rating for PDPs</w:t>
      </w:r>
    </w:p>
    <w:tbl>
      <w:tblPr>
        <w:tblW w:w="9270" w:type="dxa"/>
        <w:tblInd w:w="-5" w:type="dxa"/>
        <w:tblLook w:val="04A0" w:firstRow="1" w:lastRow="0" w:firstColumn="1" w:lastColumn="0" w:noHBand="0" w:noVBand="1"/>
      </w:tblPr>
      <w:tblGrid>
        <w:gridCol w:w="1840"/>
        <w:gridCol w:w="2660"/>
        <w:gridCol w:w="2340"/>
        <w:gridCol w:w="2430"/>
      </w:tblGrid>
      <w:tr w:rsidR="004C5B0C" w:rsidRPr="001569FB" w14:paraId="702E98CE" w14:textId="77777777" w:rsidTr="004C5B0C">
        <w:trPr>
          <w:cantSplit/>
          <w:trHeight w:val="300"/>
          <w:tblHeader/>
        </w:trPr>
        <w:tc>
          <w:tcPr>
            <w:tcW w:w="1840" w:type="dxa"/>
            <w:tcBorders>
              <w:top w:val="single" w:sz="4" w:space="0" w:color="auto"/>
              <w:left w:val="single" w:sz="4" w:space="0" w:color="auto"/>
              <w:bottom w:val="nil"/>
              <w:right w:val="single" w:sz="4" w:space="0" w:color="auto"/>
            </w:tcBorders>
            <w:shd w:val="clear" w:color="auto" w:fill="D9D9D9" w:themeFill="background1" w:themeFillShade="D9"/>
            <w:noWrap/>
            <w:vAlign w:val="center"/>
          </w:tcPr>
          <w:p w14:paraId="3E5571E7"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2660" w:type="dxa"/>
            <w:tcBorders>
              <w:top w:val="single" w:sz="4" w:space="0" w:color="auto"/>
              <w:left w:val="nil"/>
              <w:bottom w:val="nil"/>
              <w:right w:val="single" w:sz="4" w:space="0" w:color="auto"/>
            </w:tcBorders>
            <w:shd w:val="clear" w:color="auto" w:fill="D9D9D9" w:themeFill="background1" w:themeFillShade="D9"/>
            <w:vAlign w:val="center"/>
          </w:tcPr>
          <w:p w14:paraId="6EFF7505" w14:textId="77777777" w:rsidR="004C5B0C" w:rsidRPr="001569FB" w:rsidRDefault="004C5B0C" w:rsidP="004C5B0C">
            <w:pPr>
              <w:keepNext/>
              <w:keepLines/>
              <w:tabs>
                <w:tab w:val="left" w:pos="1742"/>
              </w:tabs>
              <w:spacing w:line="240" w:lineRule="auto"/>
              <w:ind w:leftChars="-61" w:left="1" w:hangingChars="61" w:hanging="147"/>
              <w:jc w:val="center"/>
              <w:rPr>
                <w:color w:val="000000"/>
              </w:rPr>
            </w:pPr>
            <w:r w:rsidRPr="001569FB">
              <w:rPr>
                <w:b/>
                <w:bCs/>
              </w:rPr>
              <w:t>LIS/DE Quartile</w:t>
            </w:r>
          </w:p>
        </w:tc>
        <w:tc>
          <w:tcPr>
            <w:tcW w:w="2340" w:type="dxa"/>
            <w:tcBorders>
              <w:top w:val="single" w:sz="4" w:space="0" w:color="auto"/>
              <w:left w:val="nil"/>
              <w:bottom w:val="nil"/>
              <w:right w:val="single" w:sz="4" w:space="0" w:color="auto"/>
            </w:tcBorders>
            <w:shd w:val="clear" w:color="auto" w:fill="D9D9D9" w:themeFill="background1" w:themeFillShade="D9"/>
            <w:vAlign w:val="center"/>
          </w:tcPr>
          <w:p w14:paraId="5939334E" w14:textId="77777777" w:rsidR="004C5B0C" w:rsidRPr="001569FB" w:rsidRDefault="004C5B0C" w:rsidP="004C5B0C">
            <w:pPr>
              <w:keepNext/>
              <w:keepLines/>
              <w:spacing w:line="240" w:lineRule="auto"/>
              <w:ind w:firstLineChars="6" w:firstLine="14"/>
              <w:jc w:val="center"/>
              <w:rPr>
                <w:color w:val="000000"/>
              </w:rPr>
            </w:pPr>
            <w:r w:rsidRPr="001569FB">
              <w:rPr>
                <w:b/>
                <w:bCs/>
              </w:rPr>
              <w:t>Disability Quartile</w:t>
            </w:r>
          </w:p>
        </w:tc>
        <w:tc>
          <w:tcPr>
            <w:tcW w:w="243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2722629"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72829F22" w14:textId="77777777" w:rsidTr="004C5B0C">
        <w:trPr>
          <w:trHeight w:val="300"/>
        </w:trPr>
        <w:tc>
          <w:tcPr>
            <w:tcW w:w="1840" w:type="dxa"/>
            <w:tcBorders>
              <w:top w:val="single" w:sz="4" w:space="0" w:color="auto"/>
              <w:left w:val="single" w:sz="4" w:space="0" w:color="auto"/>
              <w:bottom w:val="nil"/>
              <w:right w:val="single" w:sz="4" w:space="0" w:color="auto"/>
            </w:tcBorders>
            <w:shd w:val="clear" w:color="auto" w:fill="auto"/>
            <w:noWrap/>
            <w:vAlign w:val="center"/>
            <w:hideMark/>
          </w:tcPr>
          <w:p w14:paraId="46A91398" w14:textId="77777777" w:rsidR="004C5B0C" w:rsidRPr="001569FB" w:rsidRDefault="004C5B0C" w:rsidP="004C5B0C">
            <w:pPr>
              <w:keepNext/>
              <w:keepLines/>
              <w:spacing w:line="240" w:lineRule="auto"/>
              <w:jc w:val="center"/>
              <w:rPr>
                <w:color w:val="000000"/>
              </w:rPr>
            </w:pPr>
            <w:r w:rsidRPr="001569FB">
              <w:rPr>
                <w:color w:val="000000"/>
              </w:rPr>
              <w:t>A</w:t>
            </w:r>
          </w:p>
        </w:tc>
        <w:tc>
          <w:tcPr>
            <w:tcW w:w="2660" w:type="dxa"/>
            <w:tcBorders>
              <w:top w:val="single" w:sz="4" w:space="0" w:color="auto"/>
              <w:left w:val="nil"/>
              <w:bottom w:val="nil"/>
              <w:right w:val="single" w:sz="4" w:space="0" w:color="auto"/>
            </w:tcBorders>
            <w:shd w:val="clear" w:color="auto" w:fill="auto"/>
            <w:vAlign w:val="center"/>
            <w:hideMark/>
          </w:tcPr>
          <w:p w14:paraId="5F618941" w14:textId="77777777" w:rsidR="004C5B0C" w:rsidRPr="001569FB" w:rsidRDefault="004C5B0C" w:rsidP="004C5B0C">
            <w:pPr>
              <w:keepNext/>
              <w:keepLines/>
              <w:spacing w:line="240" w:lineRule="auto"/>
              <w:ind w:left="-58" w:right="-108"/>
              <w:jc w:val="center"/>
              <w:rPr>
                <w:color w:val="000000"/>
              </w:rPr>
            </w:pPr>
            <w:r w:rsidRPr="001569FB">
              <w:rPr>
                <w:color w:val="000000"/>
              </w:rPr>
              <w:t>L1</w:t>
            </w:r>
          </w:p>
        </w:tc>
        <w:tc>
          <w:tcPr>
            <w:tcW w:w="2340" w:type="dxa"/>
            <w:tcBorders>
              <w:top w:val="single" w:sz="4" w:space="0" w:color="auto"/>
              <w:left w:val="nil"/>
              <w:bottom w:val="nil"/>
              <w:right w:val="single" w:sz="4" w:space="0" w:color="auto"/>
            </w:tcBorders>
            <w:shd w:val="clear" w:color="auto" w:fill="auto"/>
            <w:vAlign w:val="center"/>
            <w:hideMark/>
          </w:tcPr>
          <w:p w14:paraId="3BDB770D" w14:textId="77777777" w:rsidR="004C5B0C" w:rsidRPr="001569FB" w:rsidRDefault="004C5B0C" w:rsidP="004C5B0C">
            <w:pPr>
              <w:keepNext/>
              <w:keepLines/>
              <w:spacing w:line="240" w:lineRule="auto"/>
              <w:ind w:leftChars="-7" w:hangingChars="7" w:hanging="17"/>
              <w:jc w:val="center"/>
              <w:rPr>
                <w:color w:val="000000"/>
              </w:rPr>
            </w:pPr>
            <w:r w:rsidRPr="001569FB">
              <w:rPr>
                <w:color w:val="000000"/>
              </w:rPr>
              <w:t>D1 - D3</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6D7311E6" w14:textId="77777777" w:rsidR="004C5B0C" w:rsidRPr="001569FB" w:rsidRDefault="004C5B0C" w:rsidP="004C5B0C">
            <w:pPr>
              <w:keepNext/>
              <w:keepLines/>
              <w:tabs>
                <w:tab w:val="decimal" w:pos="702"/>
              </w:tabs>
              <w:spacing w:line="240" w:lineRule="auto"/>
              <w:rPr>
                <w:color w:val="000000"/>
              </w:rPr>
            </w:pPr>
            <w:r w:rsidRPr="001569FB">
              <w:rPr>
                <w:color w:val="000000"/>
              </w:rPr>
              <w:t>−0.243619</w:t>
            </w:r>
          </w:p>
        </w:tc>
      </w:tr>
      <w:tr w:rsidR="004C5B0C" w:rsidRPr="001569FB" w14:paraId="5C7FAAD3" w14:textId="77777777" w:rsidTr="004C5B0C">
        <w:trPr>
          <w:trHeight w:val="300"/>
        </w:trPr>
        <w:tc>
          <w:tcPr>
            <w:tcW w:w="1840" w:type="dxa"/>
            <w:vMerge w:val="restart"/>
            <w:tcBorders>
              <w:top w:val="single" w:sz="4" w:space="0" w:color="auto"/>
              <w:left w:val="single" w:sz="4" w:space="0" w:color="auto"/>
              <w:right w:val="single" w:sz="4" w:space="0" w:color="auto"/>
            </w:tcBorders>
            <w:shd w:val="clear" w:color="auto" w:fill="auto"/>
            <w:noWrap/>
            <w:vAlign w:val="center"/>
            <w:hideMark/>
          </w:tcPr>
          <w:p w14:paraId="181FE1DA" w14:textId="77777777" w:rsidR="004C5B0C" w:rsidRPr="001569FB" w:rsidRDefault="004C5B0C" w:rsidP="004C5B0C">
            <w:pPr>
              <w:keepNext/>
              <w:keepLines/>
              <w:spacing w:line="240" w:lineRule="auto"/>
              <w:jc w:val="center"/>
              <w:rPr>
                <w:color w:val="000000"/>
              </w:rPr>
            </w:pPr>
            <w:r w:rsidRPr="001569FB">
              <w:rPr>
                <w:color w:val="000000"/>
              </w:rPr>
              <w:t>B</w:t>
            </w:r>
          </w:p>
        </w:tc>
        <w:tc>
          <w:tcPr>
            <w:tcW w:w="2660" w:type="dxa"/>
            <w:tcBorders>
              <w:top w:val="single" w:sz="4" w:space="0" w:color="auto"/>
              <w:left w:val="nil"/>
              <w:bottom w:val="nil"/>
              <w:right w:val="single" w:sz="4" w:space="0" w:color="auto"/>
            </w:tcBorders>
            <w:shd w:val="clear" w:color="auto" w:fill="auto"/>
            <w:vAlign w:val="center"/>
            <w:hideMark/>
          </w:tcPr>
          <w:p w14:paraId="1A281D79" w14:textId="77777777" w:rsidR="004C5B0C" w:rsidRPr="001569FB" w:rsidRDefault="004C5B0C" w:rsidP="004C5B0C">
            <w:pPr>
              <w:keepNext/>
              <w:keepLines/>
              <w:spacing w:line="240" w:lineRule="auto"/>
              <w:ind w:leftChars="-23" w:left="-53" w:hanging="2"/>
              <w:jc w:val="center"/>
              <w:rPr>
                <w:color w:val="000000"/>
              </w:rPr>
            </w:pPr>
            <w:r w:rsidRPr="001569FB">
              <w:rPr>
                <w:color w:val="000000"/>
              </w:rPr>
              <w:t>L2 - L3</w:t>
            </w:r>
          </w:p>
        </w:tc>
        <w:tc>
          <w:tcPr>
            <w:tcW w:w="2340" w:type="dxa"/>
            <w:tcBorders>
              <w:top w:val="single" w:sz="4" w:space="0" w:color="auto"/>
              <w:left w:val="nil"/>
              <w:bottom w:val="nil"/>
              <w:right w:val="single" w:sz="4" w:space="0" w:color="auto"/>
            </w:tcBorders>
            <w:shd w:val="clear" w:color="auto" w:fill="auto"/>
            <w:vAlign w:val="center"/>
            <w:hideMark/>
          </w:tcPr>
          <w:p w14:paraId="0FFF640E" w14:textId="77777777" w:rsidR="004C5B0C" w:rsidRPr="001569FB" w:rsidRDefault="004C5B0C" w:rsidP="004C5B0C">
            <w:pPr>
              <w:keepNext/>
              <w:keepLines/>
              <w:spacing w:line="240" w:lineRule="auto"/>
              <w:ind w:leftChars="-45" w:left="-90" w:right="-138" w:hanging="18"/>
              <w:jc w:val="center"/>
              <w:rPr>
                <w:color w:val="000000"/>
              </w:rPr>
            </w:pPr>
            <w:r w:rsidRPr="001569FB">
              <w:rPr>
                <w:color w:val="000000"/>
              </w:rPr>
              <w:t>D1 - D4</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AE304C" w14:textId="77777777" w:rsidR="004C5B0C" w:rsidRPr="001569FB" w:rsidRDefault="004C5B0C" w:rsidP="004C5B0C">
            <w:pPr>
              <w:keepNext/>
              <w:keepLines/>
              <w:tabs>
                <w:tab w:val="decimal" w:pos="702"/>
              </w:tabs>
              <w:spacing w:line="240" w:lineRule="auto"/>
              <w:rPr>
                <w:color w:val="000000"/>
              </w:rPr>
            </w:pPr>
            <w:r w:rsidRPr="001569FB">
              <w:rPr>
                <w:color w:val="000000"/>
              </w:rPr>
              <w:t>−0.119773</w:t>
            </w:r>
          </w:p>
        </w:tc>
      </w:tr>
      <w:tr w:rsidR="004C5B0C" w:rsidRPr="001569FB" w14:paraId="741ED6BE" w14:textId="77777777" w:rsidTr="004C5B0C">
        <w:trPr>
          <w:trHeight w:val="300"/>
        </w:trPr>
        <w:tc>
          <w:tcPr>
            <w:tcW w:w="1840" w:type="dxa"/>
            <w:vMerge/>
            <w:tcBorders>
              <w:left w:val="single" w:sz="4" w:space="0" w:color="auto"/>
              <w:bottom w:val="single" w:sz="4" w:space="0" w:color="auto"/>
              <w:right w:val="single" w:sz="4" w:space="0" w:color="auto"/>
            </w:tcBorders>
            <w:shd w:val="clear" w:color="auto" w:fill="auto"/>
            <w:noWrap/>
            <w:vAlign w:val="center"/>
            <w:hideMark/>
          </w:tcPr>
          <w:p w14:paraId="28C94AFA" w14:textId="77777777" w:rsidR="004C5B0C" w:rsidRPr="001569FB" w:rsidRDefault="004C5B0C" w:rsidP="004C5B0C">
            <w:pPr>
              <w:keepNext/>
              <w:keepLines/>
              <w:spacing w:line="240" w:lineRule="auto"/>
              <w:jc w:val="center"/>
              <w:rPr>
                <w:color w:val="000000"/>
              </w:rPr>
            </w:pPr>
          </w:p>
        </w:tc>
        <w:tc>
          <w:tcPr>
            <w:tcW w:w="2660" w:type="dxa"/>
            <w:tcBorders>
              <w:top w:val="nil"/>
              <w:left w:val="nil"/>
              <w:bottom w:val="single" w:sz="4" w:space="0" w:color="auto"/>
              <w:right w:val="single" w:sz="4" w:space="0" w:color="auto"/>
            </w:tcBorders>
            <w:shd w:val="clear" w:color="auto" w:fill="auto"/>
            <w:vAlign w:val="center"/>
            <w:hideMark/>
          </w:tcPr>
          <w:p w14:paraId="4D4E28FE" w14:textId="77777777" w:rsidR="004C5B0C" w:rsidRPr="001569FB" w:rsidRDefault="004C5B0C" w:rsidP="004C5B0C">
            <w:pPr>
              <w:keepNext/>
              <w:keepLines/>
              <w:spacing w:line="240" w:lineRule="auto"/>
              <w:ind w:left="-58"/>
              <w:jc w:val="center"/>
              <w:rPr>
                <w:color w:val="000000"/>
              </w:rPr>
            </w:pPr>
            <w:r w:rsidRPr="001569FB">
              <w:rPr>
                <w:color w:val="000000"/>
              </w:rPr>
              <w:t>L1</w:t>
            </w:r>
          </w:p>
        </w:tc>
        <w:tc>
          <w:tcPr>
            <w:tcW w:w="2340" w:type="dxa"/>
            <w:tcBorders>
              <w:top w:val="nil"/>
              <w:left w:val="nil"/>
              <w:bottom w:val="single" w:sz="4" w:space="0" w:color="auto"/>
              <w:right w:val="single" w:sz="4" w:space="0" w:color="auto"/>
            </w:tcBorders>
            <w:shd w:val="clear" w:color="auto" w:fill="auto"/>
            <w:vAlign w:val="center"/>
            <w:hideMark/>
          </w:tcPr>
          <w:p w14:paraId="4A877FC0" w14:textId="77777777" w:rsidR="004C5B0C" w:rsidRPr="001569FB" w:rsidRDefault="004C5B0C" w:rsidP="004C5B0C">
            <w:pPr>
              <w:keepNext/>
              <w:keepLines/>
              <w:spacing w:line="240" w:lineRule="auto"/>
              <w:jc w:val="center"/>
              <w:rPr>
                <w:color w:val="000000"/>
              </w:rPr>
            </w:pPr>
            <w:r w:rsidRPr="001569FB">
              <w:rPr>
                <w:color w:val="000000"/>
              </w:rPr>
              <w:t>D4</w:t>
            </w:r>
          </w:p>
        </w:tc>
        <w:tc>
          <w:tcPr>
            <w:tcW w:w="2430" w:type="dxa"/>
            <w:vMerge/>
            <w:tcBorders>
              <w:top w:val="nil"/>
              <w:left w:val="single" w:sz="4" w:space="0" w:color="auto"/>
              <w:bottom w:val="single" w:sz="4" w:space="0" w:color="auto"/>
              <w:right w:val="single" w:sz="4" w:space="0" w:color="auto"/>
            </w:tcBorders>
            <w:vAlign w:val="center"/>
            <w:hideMark/>
          </w:tcPr>
          <w:p w14:paraId="4B3CBCAB" w14:textId="77777777" w:rsidR="004C5B0C" w:rsidRPr="001569FB" w:rsidRDefault="004C5B0C" w:rsidP="004C5B0C">
            <w:pPr>
              <w:keepNext/>
              <w:keepLines/>
              <w:tabs>
                <w:tab w:val="decimal" w:pos="702"/>
              </w:tabs>
              <w:spacing w:line="240" w:lineRule="auto"/>
              <w:rPr>
                <w:color w:val="000000"/>
              </w:rPr>
            </w:pPr>
          </w:p>
        </w:tc>
      </w:tr>
      <w:tr w:rsidR="004C5B0C" w:rsidRPr="001569FB" w14:paraId="5A810D32" w14:textId="77777777" w:rsidTr="004C5B0C">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E212312" w14:textId="77777777" w:rsidR="004C5B0C" w:rsidRPr="001569FB" w:rsidRDefault="004C5B0C" w:rsidP="004C5B0C">
            <w:pPr>
              <w:spacing w:line="240" w:lineRule="auto"/>
              <w:jc w:val="center"/>
              <w:rPr>
                <w:color w:val="000000"/>
              </w:rPr>
            </w:pPr>
            <w:r w:rsidRPr="001569FB">
              <w:rPr>
                <w:color w:val="000000"/>
              </w:rPr>
              <w:t>C</w:t>
            </w:r>
          </w:p>
        </w:tc>
        <w:tc>
          <w:tcPr>
            <w:tcW w:w="2660" w:type="dxa"/>
            <w:tcBorders>
              <w:top w:val="nil"/>
              <w:left w:val="nil"/>
              <w:bottom w:val="single" w:sz="4" w:space="0" w:color="auto"/>
              <w:right w:val="single" w:sz="4" w:space="0" w:color="auto"/>
            </w:tcBorders>
            <w:shd w:val="clear" w:color="auto" w:fill="auto"/>
            <w:vAlign w:val="center"/>
            <w:hideMark/>
          </w:tcPr>
          <w:p w14:paraId="384B40AE" w14:textId="77777777" w:rsidR="004C5B0C" w:rsidRPr="001569FB" w:rsidRDefault="004C5B0C" w:rsidP="004C5B0C">
            <w:pPr>
              <w:spacing w:line="240" w:lineRule="auto"/>
              <w:ind w:left="-58"/>
              <w:jc w:val="center"/>
              <w:rPr>
                <w:color w:val="000000"/>
              </w:rPr>
            </w:pPr>
            <w:r w:rsidRPr="001569FB">
              <w:rPr>
                <w:color w:val="000000"/>
              </w:rPr>
              <w:t>L4</w:t>
            </w:r>
          </w:p>
        </w:tc>
        <w:tc>
          <w:tcPr>
            <w:tcW w:w="2340" w:type="dxa"/>
            <w:tcBorders>
              <w:top w:val="nil"/>
              <w:left w:val="nil"/>
              <w:bottom w:val="single" w:sz="4" w:space="0" w:color="auto"/>
              <w:right w:val="single" w:sz="4" w:space="0" w:color="auto"/>
            </w:tcBorders>
            <w:shd w:val="clear" w:color="auto" w:fill="auto"/>
            <w:vAlign w:val="center"/>
            <w:hideMark/>
          </w:tcPr>
          <w:p w14:paraId="39FD3691" w14:textId="77777777" w:rsidR="004C5B0C" w:rsidRPr="001569FB" w:rsidRDefault="004C5B0C" w:rsidP="004C5B0C">
            <w:pPr>
              <w:spacing w:line="240" w:lineRule="auto"/>
              <w:jc w:val="center"/>
              <w:rPr>
                <w:color w:val="000000"/>
              </w:rPr>
            </w:pPr>
            <w:r w:rsidRPr="001569FB">
              <w:rPr>
                <w:color w:val="000000"/>
              </w:rPr>
              <w:t>D1 - D4</w:t>
            </w:r>
          </w:p>
        </w:tc>
        <w:tc>
          <w:tcPr>
            <w:tcW w:w="2430" w:type="dxa"/>
            <w:tcBorders>
              <w:top w:val="nil"/>
              <w:left w:val="nil"/>
              <w:bottom w:val="single" w:sz="4" w:space="0" w:color="auto"/>
              <w:right w:val="single" w:sz="4" w:space="0" w:color="auto"/>
            </w:tcBorders>
            <w:shd w:val="clear" w:color="auto" w:fill="auto"/>
            <w:noWrap/>
            <w:vAlign w:val="center"/>
            <w:hideMark/>
          </w:tcPr>
          <w:p w14:paraId="42232CF8" w14:textId="77777777" w:rsidR="004C5B0C" w:rsidRPr="001569FB" w:rsidRDefault="004C5B0C" w:rsidP="004C5B0C">
            <w:pPr>
              <w:tabs>
                <w:tab w:val="decimal" w:pos="702"/>
              </w:tabs>
              <w:spacing w:line="240" w:lineRule="auto"/>
              <w:rPr>
                <w:color w:val="000000"/>
              </w:rPr>
            </w:pPr>
            <w:r w:rsidRPr="001569FB">
              <w:rPr>
                <w:color w:val="000000"/>
              </w:rPr>
              <w:t>0.047909</w:t>
            </w:r>
          </w:p>
        </w:tc>
      </w:tr>
    </w:tbl>
    <w:p w14:paraId="23E40E9B" w14:textId="77777777" w:rsidR="004C5B0C" w:rsidRPr="001569FB" w:rsidRDefault="004C5B0C" w:rsidP="004C5B0C">
      <w:pPr>
        <w:pStyle w:val="Heading4"/>
        <w:spacing w:before="600"/>
      </w:pPr>
      <w:bookmarkStart w:id="680" w:name="Additional_response_to_address_lack_of_a"/>
      <w:bookmarkStart w:id="681" w:name="bookmark51"/>
      <w:bookmarkStart w:id="682" w:name="_Toc495652096"/>
      <w:bookmarkEnd w:id="680"/>
      <w:bookmarkEnd w:id="681"/>
      <w:r w:rsidRPr="001569FB">
        <w:lastRenderedPageBreak/>
        <w:t>Additional Adjustment to Address Lack of an LIS Indicator for Enrollees in Puerto Rico</w:t>
      </w:r>
      <w:bookmarkEnd w:id="682"/>
    </w:p>
    <w:p w14:paraId="7F11292C" w14:textId="77777777" w:rsidR="004C5B0C" w:rsidRPr="001569FB" w:rsidRDefault="004C5B0C" w:rsidP="004C5B0C">
      <w:pPr>
        <w:pStyle w:val="BodyText0"/>
        <w:kinsoku w:val="0"/>
        <w:overflowPunct w:val="0"/>
      </w:pPr>
      <w:r w:rsidRPr="001569FB">
        <w:t>Puerto Rico has a unique healthcare market with a large percentage of low-income individuals in both Medicare and Medicaid and a complex legal history that affects its healthcare system in many ways. Puerto Rican beneficiaries are not eligible for LIS.</w:t>
      </w:r>
    </w:p>
    <w:p w14:paraId="50656728" w14:textId="77777777" w:rsidR="004C5B0C" w:rsidRPr="001569FB" w:rsidRDefault="004C5B0C" w:rsidP="004C5B0C">
      <w:pPr>
        <w:pStyle w:val="BodyText0"/>
        <w:kinsoku w:val="0"/>
        <w:overflowPunct w:val="0"/>
        <w:spacing w:before="202"/>
      </w:pPr>
      <w:r w:rsidRPr="001569FB">
        <w:t xml:space="preserve">For the 2017 Star Ratings an additional adjustment for contracts that solely serve the population of beneficiaries in Puerto Rico (i.e., contracts with service areas entirely in Puerto Rico) to address the lack of LIS was applied to make the application of the CAI equitable for contracts in Puerto Rico. The additional adjustment resulted in a modified value for the percentage of LIS/DE for contracts operating solely in Puerto Rico. The adjustment resulted in a modified percentage of LIS/DE beneficiaries that was subsequently used to categorize contracts into the final adjustment category for the CAI.  The model developed for the 2019 Star Ratings LIS/DE indicator will be available in Attachment O in the 2019 Medicare Part C &amp; D Star Rating Technical Notes.  The details of the LIS/DE indicator methodology are available in the CAI Methodology Supplement available at </w:t>
      </w:r>
      <w:hyperlink r:id="rId52" w:history="1">
        <w:r w:rsidRPr="001569FB">
          <w:rPr>
            <w:color w:val="0000FF"/>
            <w:u w:val="single"/>
          </w:rPr>
          <w:t>http</w:t>
        </w:r>
      </w:hyperlink>
      <w:hyperlink r:id="rId53" w:history="1">
        <w:r w:rsidRPr="001569FB">
          <w:rPr>
            <w:color w:val="0000FF"/>
            <w:u w:val="single"/>
          </w:rPr>
          <w:t>://go.cms.gov/partcanddstarratings</w:t>
        </w:r>
      </w:hyperlink>
      <w:r w:rsidRPr="001569FB">
        <w:t xml:space="preserve">.  </w:t>
      </w:r>
    </w:p>
    <w:p w14:paraId="5D335234" w14:textId="77777777" w:rsidR="004C5B0C" w:rsidRPr="001569FB" w:rsidRDefault="004C5B0C" w:rsidP="004C5B0C">
      <w:pPr>
        <w:pStyle w:val="BodyText0"/>
        <w:kinsoku w:val="0"/>
        <w:overflowPunct w:val="0"/>
        <w:spacing w:before="202"/>
      </w:pPr>
      <w:r w:rsidRPr="001569FB">
        <w:t>For the 2019 Star Ratings, CMS proposes to continue to employ the additional adjustment for contracts operating solely in Puerto Rico (using the most recent data available at the time of development of the model for the 2019 Star Ratings. The data sources include: the 1-year American Community Survey (ACS) estimates for the percentage of people living below the Federal Poverty Level (FPL); the ACS 5-year estimates for Puerto Rico and the 10 highest-poverty states of the percentage of people living below 150% of the FPL</w:t>
      </w:r>
      <w:r w:rsidRPr="001569FB">
        <w:rPr>
          <w:rStyle w:val="FootnoteReference"/>
        </w:rPr>
        <w:footnoteReference w:id="22"/>
      </w:r>
      <w:r w:rsidRPr="001569FB">
        <w:t>; and the CY 2017 Medicare Enrollment data. CMS continues to explore alternative data sources for Puerto Rico to provide both resource and income information for the determination of the additional adjustment.</w:t>
      </w:r>
    </w:p>
    <w:p w14:paraId="14E58B94" w14:textId="77777777" w:rsidR="004C5B0C" w:rsidRDefault="004C5B0C" w:rsidP="004C5B0C">
      <w:pPr>
        <w:pStyle w:val="BodyText0"/>
        <w:kinsoku w:val="0"/>
        <w:overflowPunct w:val="0"/>
      </w:pPr>
      <w:bookmarkStart w:id="683" w:name="bookmark52"/>
      <w:bookmarkEnd w:id="683"/>
      <w:r w:rsidRPr="001569FB">
        <w:t>CMS recognizes the additional challenge unique to Puerto Rico related to the medication adherence measures used in the Star Ratings Program due to the lack of LIS. For the 2019 Star Ratings, CMS proposes to continue to reduce the weights for the adherence measures to zero (0)  for the summary and overall rating calculations and maintain the weight of three (3) for the adherence measures for the improvement measure calculations for contracts that solely serve the population of beneficiaries in Puerto Rico.</w:t>
      </w:r>
    </w:p>
    <w:p w14:paraId="24DA286B" w14:textId="24E1C9F8" w:rsidR="00AF04CB" w:rsidRPr="001569FB" w:rsidRDefault="00AF04CB" w:rsidP="00AF04CB">
      <w:pPr>
        <w:pStyle w:val="Heading3"/>
      </w:pPr>
      <w:r>
        <w:lastRenderedPageBreak/>
        <w:t xml:space="preserve">Section I </w:t>
      </w:r>
      <w:r w:rsidRPr="001569FB">
        <w:t>Star Ratings</w:t>
      </w:r>
      <w:r>
        <w:t xml:space="preserve"> – Disaster Implications</w:t>
      </w:r>
    </w:p>
    <w:p w14:paraId="45287BD1" w14:textId="77777777" w:rsidR="004C5B0C" w:rsidRPr="001569FB" w:rsidRDefault="004C5B0C" w:rsidP="004C5B0C">
      <w:pPr>
        <w:pStyle w:val="Heading4"/>
      </w:pPr>
      <w:bookmarkStart w:id="684" w:name="_Toc495652097"/>
      <w:bookmarkStart w:id="685" w:name="_Toc493523585"/>
      <w:bookmarkStart w:id="686" w:name="_Toc495652098"/>
      <w:r w:rsidRPr="001569FB">
        <w:t xml:space="preserve">Disaster Implications </w:t>
      </w:r>
      <w:bookmarkEnd w:id="684"/>
    </w:p>
    <w:p w14:paraId="3D22CC9B" w14:textId="77777777" w:rsidR="004C5B0C" w:rsidRPr="001569FB" w:rsidRDefault="004C5B0C" w:rsidP="004C5B0C">
      <w:pPr>
        <w:autoSpaceDE w:val="0"/>
        <w:autoSpaceDN w:val="0"/>
        <w:adjustRightInd w:val="0"/>
      </w:pPr>
      <w:bookmarkStart w:id="687" w:name="2018_Categorical_Adjustment_Index_(CAI)_"/>
      <w:bookmarkStart w:id="688" w:name="bookmark7"/>
      <w:bookmarkStart w:id="689" w:name="Categorization_of_Puerto_Rico_Contracts_"/>
      <w:bookmarkStart w:id="690" w:name="bookmark8"/>
      <w:bookmarkStart w:id="691" w:name="Next_Steps"/>
      <w:bookmarkStart w:id="692" w:name="2018_CMS_Display_Measures"/>
      <w:bookmarkEnd w:id="687"/>
      <w:bookmarkEnd w:id="688"/>
      <w:bookmarkEnd w:id="689"/>
      <w:bookmarkEnd w:id="690"/>
      <w:bookmarkEnd w:id="691"/>
      <w:bookmarkEnd w:id="692"/>
      <w:r w:rsidRPr="001569FB">
        <w:t xml:space="preserve">Natural disasters such as hurricanes and wildfires can directly affect our Medicare beneficiaries and providers, as well as the Parts C and D organizations that provide them with important medical care and prescription drug coverage. These disasters may negatively affect the underlying operational and clinical systems that CMS relies on for accurate performance measurement in the Star Ratings program. CMS is considering a variety of strategies to address Star Ratings issues related to contracts impacted by extreme and uncontrollable circumstances. We propose to adjust the 2019 and 2020 Star Ratings to take into account the effects of extreme and uncontrollable circumstances that occurred during the performance period, such as the disasters (Hurricanes Harvey, Irma, and Maria, and the wildfires in California) that occurred during the 2017 performance period.  CMS is also concerned that certain natural disasters and emergencies that continue into early 2018 may interfere in plans’ ability to conduct surveys needed for 2019 Star Ratings.  Below we propose a policy to identify which contracts were impacted as well as rules to adjust the Star Ratings measures.  </w:t>
      </w:r>
    </w:p>
    <w:p w14:paraId="7B101B50" w14:textId="77777777" w:rsidR="004C5B0C" w:rsidRPr="001569FB" w:rsidRDefault="004C5B0C" w:rsidP="004C5B0C">
      <w:pPr>
        <w:pStyle w:val="Heading5"/>
        <w:rPr>
          <w:b w:val="0"/>
          <w:i/>
        </w:rPr>
      </w:pPr>
      <w:r w:rsidRPr="001569FB">
        <w:rPr>
          <w:b w:val="0"/>
          <w:i/>
        </w:rPr>
        <w:t>Identification of Affected Contracts</w:t>
      </w:r>
    </w:p>
    <w:p w14:paraId="33F4D76E" w14:textId="77777777" w:rsidR="004C5B0C" w:rsidRPr="001569FB" w:rsidRDefault="004C5B0C" w:rsidP="004C5B0C">
      <w:pPr>
        <w:autoSpaceDE w:val="0"/>
        <w:autoSpaceDN w:val="0"/>
        <w:adjustRightInd w:val="0"/>
      </w:pPr>
      <w:r w:rsidRPr="001569FB">
        <w:t>We are proposing a policy to identify MA and Part D contracts affected by extreme and uncontrollable circumstances that may impact their performance on Star Ratings measures and/or may impact their ability to collect the necessary measure-level data. These “affected contracts” would be the contracts eligible for the adjustments proposed below to take into account the effects of the extreme and uncontrollable circumstances.</w:t>
      </w:r>
    </w:p>
    <w:p w14:paraId="52F96B1B" w14:textId="77777777" w:rsidR="004C5B0C" w:rsidRPr="001569FB" w:rsidRDefault="004C5B0C" w:rsidP="004C5B0C">
      <w:pPr>
        <w:autoSpaceDE w:val="0"/>
        <w:autoSpaceDN w:val="0"/>
        <w:adjustRightInd w:val="0"/>
      </w:pPr>
      <w:r w:rsidRPr="001569FB">
        <w:t xml:space="preserve">We propose that affected contracts would be: </w:t>
      </w:r>
    </w:p>
    <w:p w14:paraId="458EC3F9" w14:textId="3F646EF2" w:rsidR="004C5B0C" w:rsidRPr="001569FB" w:rsidRDefault="004C5B0C" w:rsidP="00AC78D9">
      <w:pPr>
        <w:pStyle w:val="ListParagraph"/>
        <w:numPr>
          <w:ilvl w:val="0"/>
          <w:numId w:val="81"/>
        </w:numPr>
        <w:autoSpaceDE w:val="0"/>
        <w:autoSpaceDN w:val="0"/>
        <w:adjustRightInd w:val="0"/>
        <w:spacing w:before="199"/>
        <w:contextualSpacing w:val="0"/>
      </w:pPr>
      <w:r w:rsidRPr="001569FB">
        <w:t xml:space="preserve">Contracts operating solely in Puerto Rico (i.e., serving only residents of Puerto Rico); </w:t>
      </w:r>
      <w:r w:rsidR="00CB7A65">
        <w:br/>
      </w:r>
      <w:r w:rsidR="00CB7A65">
        <w:br/>
      </w:r>
      <w:r w:rsidRPr="001569FB">
        <w:t>OR</w:t>
      </w:r>
    </w:p>
    <w:p w14:paraId="11010725" w14:textId="77777777" w:rsidR="004C5B0C" w:rsidRPr="001569FB" w:rsidRDefault="004C5B0C" w:rsidP="00AC78D9">
      <w:pPr>
        <w:pStyle w:val="ListParagraph"/>
        <w:numPr>
          <w:ilvl w:val="0"/>
          <w:numId w:val="81"/>
        </w:numPr>
        <w:autoSpaceDE w:val="0"/>
        <w:autoSpaceDN w:val="0"/>
        <w:adjustRightInd w:val="0"/>
        <w:spacing w:before="199"/>
        <w:contextualSpacing w:val="0"/>
      </w:pPr>
      <w:r w:rsidRPr="001569FB">
        <w:t>Contracts that meet all of these criteria:</w:t>
      </w:r>
    </w:p>
    <w:p w14:paraId="6F7BC831" w14:textId="77777777" w:rsidR="004C5B0C" w:rsidRPr="001569FB" w:rsidRDefault="004C5B0C" w:rsidP="00AC78D9">
      <w:pPr>
        <w:pStyle w:val="ListParagraph"/>
        <w:numPr>
          <w:ilvl w:val="1"/>
          <w:numId w:val="81"/>
        </w:numPr>
        <w:autoSpaceDE w:val="0"/>
        <w:autoSpaceDN w:val="0"/>
        <w:adjustRightInd w:val="0"/>
        <w:spacing w:before="199"/>
        <w:contextualSpacing w:val="0"/>
      </w:pPr>
      <w:r w:rsidRPr="001569FB">
        <w:t>The service area is within an “emergency area” during an “emergency period” as defined in Section 1135(g) of the Act.</w:t>
      </w:r>
    </w:p>
    <w:p w14:paraId="7ABBF104" w14:textId="77777777" w:rsidR="004C5B0C" w:rsidRPr="001569FB" w:rsidRDefault="004C5B0C" w:rsidP="00AC78D9">
      <w:pPr>
        <w:pStyle w:val="ListParagraph"/>
        <w:numPr>
          <w:ilvl w:val="1"/>
          <w:numId w:val="81"/>
        </w:numPr>
        <w:autoSpaceDE w:val="0"/>
        <w:autoSpaceDN w:val="0"/>
        <w:adjustRightInd w:val="0"/>
        <w:spacing w:before="199"/>
        <w:contextualSpacing w:val="0"/>
      </w:pPr>
      <w:r w:rsidRPr="001569FB">
        <w:t>The service area is within a county, parish, U.S. territory or tribal area designated in a major disaster declaration under the Stafford Act that served as a condition precedent for the Secretary’s exercise of authority under Section 1135 of the Act.</w:t>
      </w:r>
    </w:p>
    <w:p w14:paraId="171A11FA" w14:textId="77777777" w:rsidR="004C5B0C" w:rsidRPr="001569FB" w:rsidRDefault="004C5B0C" w:rsidP="00AC78D9">
      <w:pPr>
        <w:pStyle w:val="ListParagraph"/>
        <w:numPr>
          <w:ilvl w:val="1"/>
          <w:numId w:val="81"/>
        </w:numPr>
        <w:autoSpaceDE w:val="0"/>
        <w:autoSpaceDN w:val="0"/>
        <w:adjustRightInd w:val="0"/>
        <w:spacing w:before="199" w:after="200"/>
        <w:contextualSpacing w:val="0"/>
      </w:pPr>
      <w:r w:rsidRPr="001569FB">
        <w:t xml:space="preserve">At least one enrollee under the contract resides in a FEMA-designated Individual Assistance area either at the time of the survey (for CAHPS and HOS adjustments to survey responses) or at the time of the disaster (for all </w:t>
      </w:r>
      <w:r w:rsidRPr="001569FB">
        <w:lastRenderedPageBreak/>
        <w:t>other adjustments).  For some adjustments, a certain percentage (25% or 60%) of the enrollees under the contract must reside in a FEMA-designated Individual Assistance area.</w:t>
      </w:r>
    </w:p>
    <w:p w14:paraId="5E307078" w14:textId="77777777" w:rsidR="004C5B0C" w:rsidRPr="001569FB" w:rsidRDefault="004C5B0C" w:rsidP="001569FB">
      <w:pPr>
        <w:autoSpaceDE w:val="0"/>
        <w:autoSpaceDN w:val="0"/>
        <w:adjustRightInd w:val="0"/>
        <w:spacing w:after="200"/>
        <w:rPr>
          <w:i/>
          <w:iCs/>
        </w:rPr>
      </w:pPr>
      <w:r w:rsidRPr="001569FB">
        <w:t>We propose that the policy should be tailored to the specific areas experiencing the extreme and uncontrollable circumstance.  Health and drug plans can serve enrollees across large geographic areas, and thus they may not be impacted in the same manner as healthcare providers such as hospitals or medical centers located in specific physical locations.  For purposes of this policy, a narrower geographic scope than the full emergency area would ensure that the Star Ratings adjustments are focused on the specific geographic areas that experienced the greatest adverse effects from the extreme and uncontrollable circumstance and are not applied to areas sustaining little or no adverse effects.  We identify an area as having experienced extreme and uncontrollable circumstances if it is within an “emergency area” and “emergency period” as defined in section 1135(g) of the Act, and also is within a county, parish, U.S. territory or tribal government designated in a major disaster declaration under the Stafford Act that served as a condition precedent for the Secretary’s exercise of the 1135 waiver authority (</w:t>
      </w:r>
      <w:hyperlink r:id="rId54" w:history="1">
        <w:r w:rsidRPr="001569FB">
          <w:rPr>
            <w:rStyle w:val="Hyperlink"/>
          </w:rPr>
          <w:t>https://www.phe.gov/emergency/news/healthactions/section1135/Pages/default.aspx</w:t>
        </w:r>
      </w:hyperlink>
      <w:r w:rsidRPr="001569FB">
        <w:t xml:space="preserve">).  Major disaster area are identified and can be located on Federal Emergency Management Agency (FEMA) Web site at </w:t>
      </w:r>
      <w:hyperlink r:id="rId55" w:history="1">
        <w:r w:rsidRPr="001569FB">
          <w:rPr>
            <w:rStyle w:val="Hyperlink"/>
          </w:rPr>
          <w:t>https://www.fema.gov/disasters</w:t>
        </w:r>
      </w:hyperlink>
      <w:r w:rsidRPr="001569FB">
        <w:rPr>
          <w:i/>
          <w:iCs/>
        </w:rPr>
        <w:t xml:space="preserve">. </w:t>
      </w:r>
    </w:p>
    <w:p w14:paraId="0357A4D5" w14:textId="77777777" w:rsidR="004C5B0C" w:rsidRPr="001569FB" w:rsidRDefault="004C5B0C" w:rsidP="001569FB">
      <w:pPr>
        <w:autoSpaceDE w:val="0"/>
        <w:autoSpaceDN w:val="0"/>
        <w:adjustRightInd w:val="0"/>
        <w:spacing w:after="200"/>
      </w:pPr>
      <w:r w:rsidRPr="001569FB">
        <w:rPr>
          <w:iCs/>
        </w:rPr>
        <w:t xml:space="preserve">To further </w:t>
      </w:r>
      <w:r w:rsidRPr="001569FB">
        <w:t xml:space="preserve">narrow the scope of this policy to ensure it is applied to those contracts most likely to have experienced the greatest adverse effects, we propose to limit this policy to Individual Assistance disaster declarations. Individual Assistance includes assistance to individuals and households, crisis counseling, disaster case management, disaster unemployment assistance, disaster legal services, and the disaster Supplemental Nutrition Assistance Program.  We focus on counties eligible for Individual Assistance as a result of a major disaster because most Star Ratings measures are based on services provided directly to beneficiaries in their local area. Therefore, adjustments to the Star Ratings are most appropriately targeted to areas where beneficiaries were eligible for individual and household assistance as a result of the disaster. </w:t>
      </w:r>
    </w:p>
    <w:p w14:paraId="545B2ECF" w14:textId="77777777" w:rsidR="004C5B0C" w:rsidRPr="001569FB" w:rsidRDefault="004C5B0C" w:rsidP="001569FB">
      <w:pPr>
        <w:autoSpaceDE w:val="0"/>
        <w:autoSpaceDN w:val="0"/>
        <w:adjustRightInd w:val="0"/>
        <w:spacing w:after="200"/>
      </w:pPr>
      <w:r w:rsidRPr="001569FB">
        <w:t xml:space="preserve">To determine whether a contract was impacted (such as that it would be an “affected contract” eligible for adjustments), we propose to compare the number of enrollees in the Individual Assistance area at the time of the disaster compared to the number of enrollees outside the Individual Assistance area.  Using the Individual Assistance major disaster declaration as a requirement for the extreme and uncontrollable event policy ensures that the policy would apply only when the event is extreme, meriting the use of special adjustments to the Star Ratings, and targeting the specific area affected by the extreme and uncontrollable circumstance. </w:t>
      </w:r>
    </w:p>
    <w:p w14:paraId="491F9437" w14:textId="77777777" w:rsidR="004C5B0C" w:rsidRPr="001569FB" w:rsidRDefault="004C5B0C" w:rsidP="001569FB">
      <w:pPr>
        <w:autoSpaceDE w:val="0"/>
        <w:autoSpaceDN w:val="0"/>
        <w:adjustRightInd w:val="0"/>
        <w:spacing w:after="200"/>
      </w:pPr>
      <w:r w:rsidRPr="001569FB">
        <w:t xml:space="preserve">The Hurricanes Harvey, Irma, and Maria, and the recent California wildfires would trigger the extreme and uncontrollable circumstance policy as there were areas identified as “emergency areas” for “emergency periods” under Section 1135(g) as a result of these natural disasters; there were Stafford Act declarations of a major disaster applicable to them; the Secretary did exercise </w:t>
      </w:r>
      <w:r w:rsidRPr="001569FB">
        <w:lastRenderedPageBreak/>
        <w:t>authority under Section 1135 of the Act as a result of these disasters; and there are enrollees residing in FEMA-designated Individual Assistance areas. During the measurement year for the 2019 Star Ratings, the effects of Hurricanes Harvey, Irma, and Maria, as well as the California wildfires were significant for Medicare beneficiaries, as well as for the Parts C and D organizations that provide important medical care and prescription drug coverage for them. We propose to limit relief to these major disasters since they affected large regions of the United States, leading to issues accessing medical care and prescription drug coverage.  Further, plans complete many preventive screenings at the end of the calendar year so disasters in this period may have an inordinate impact on 2019 Star Ratings.  Finally, beneficiaries responding to CMS surveys early in 2018 will be reflecting predominately on events in late 2017 so these disasters may impact survey results.</w:t>
      </w:r>
    </w:p>
    <w:p w14:paraId="5B85D3BA" w14:textId="77777777" w:rsidR="004C5B0C" w:rsidRPr="001569FB" w:rsidRDefault="004C5B0C" w:rsidP="001569FB">
      <w:pPr>
        <w:spacing w:after="200"/>
      </w:pPr>
      <w:r w:rsidRPr="001569FB">
        <w:t xml:space="preserve">We are also proposing that contracts operating solely in Puerto Rico (i.e., with service areas limited to Puerto Rico) be treated as affected contracts without further analysis because of the extent of damage in that area.  Several areas remain without electricity in Puerto Rico and there are reports of significant population movement as a result of Hurricane Maria that are unique in scope to Puerto Rico compared to the other Individual Assistance areas designed by FEMA during 2017.  Those contracts meet the other proposed criteria.  As noted below, we also propose adjustments that are specific to contracts operating in Puerto Rico. </w:t>
      </w:r>
    </w:p>
    <w:p w14:paraId="381866EE" w14:textId="77777777" w:rsidR="004C5B0C" w:rsidRPr="001569FB" w:rsidRDefault="004C5B0C" w:rsidP="004C5B0C">
      <w:pPr>
        <w:pStyle w:val="BodyText0"/>
        <w:overflowPunct w:val="0"/>
      </w:pPr>
      <w:r w:rsidRPr="001569FB">
        <w:t>Contracts that do not meet the definition of an “affected contract” or the pa</w:t>
      </w:r>
      <w:r w:rsidRPr="001569FB">
        <w:rPr>
          <w:color w:val="auto"/>
        </w:rPr>
        <w:t xml:space="preserve">rameters discussed </w:t>
      </w:r>
      <w:r w:rsidRPr="001569FB">
        <w:t>b</w:t>
      </w:r>
      <w:r w:rsidRPr="001569FB">
        <w:rPr>
          <w:color w:val="auto"/>
        </w:rPr>
        <w:t>e</w:t>
      </w:r>
      <w:r w:rsidRPr="001569FB">
        <w:t>low would not be eligible for any adjustmen</w:t>
      </w:r>
      <w:r w:rsidRPr="001569FB">
        <w:rPr>
          <w:color w:val="auto"/>
        </w:rPr>
        <w:t>t</w:t>
      </w:r>
      <w:r w:rsidRPr="001569FB">
        <w:t>s under this policy.</w:t>
      </w:r>
    </w:p>
    <w:p w14:paraId="1B318291" w14:textId="77777777" w:rsidR="004C5B0C" w:rsidRPr="001569FB" w:rsidRDefault="004C5B0C" w:rsidP="004C5B0C">
      <w:pPr>
        <w:pStyle w:val="Heading5"/>
        <w:rPr>
          <w:b w:val="0"/>
          <w:i/>
        </w:rPr>
      </w:pPr>
      <w:r w:rsidRPr="001569FB">
        <w:rPr>
          <w:b w:val="0"/>
          <w:i/>
        </w:rPr>
        <w:t>CAHPS Adjustments:</w:t>
      </w:r>
    </w:p>
    <w:p w14:paraId="556AC0CD" w14:textId="77777777" w:rsidR="004C5B0C" w:rsidRPr="001569FB" w:rsidRDefault="004C5B0C" w:rsidP="004C5B0C">
      <w:pPr>
        <w:pStyle w:val="BodyText0"/>
        <w:overflowPunct w:val="0"/>
        <w:rPr>
          <w:color w:val="auto"/>
        </w:rPr>
      </w:pPr>
      <w:r w:rsidRPr="001569FB">
        <w:rPr>
          <w:color w:val="auto"/>
        </w:rPr>
        <w:t xml:space="preserve">For CAHPS, </w:t>
      </w:r>
      <w:r w:rsidRPr="001569FB">
        <w:t>CMS is proposing to take into account the effects of these disasters in the following ways for affected contracts:</w:t>
      </w:r>
    </w:p>
    <w:p w14:paraId="7B73674A" w14:textId="77777777" w:rsidR="004C5B0C" w:rsidRPr="001569FB" w:rsidRDefault="004C5B0C" w:rsidP="00AC78D9">
      <w:pPr>
        <w:pStyle w:val="BodyText0"/>
        <w:numPr>
          <w:ilvl w:val="0"/>
          <w:numId w:val="79"/>
        </w:numPr>
        <w:overflowPunct w:val="0"/>
        <w:spacing w:before="199" w:after="0"/>
        <w:rPr>
          <w:color w:val="auto"/>
        </w:rPr>
      </w:pPr>
      <w:r w:rsidRPr="001569FB">
        <w:rPr>
          <w:color w:val="auto"/>
        </w:rPr>
        <w:t>For contracts that operate solely in Puerto Rico, we propose to make the 2018 survey optional, given substantial ongoing issues contacting enrollees in Puerto Rico, the continuing loss of electricity in several areas, etc. If a contract in Puerto Rico chooses not to administer the 2018 survey, it would receive the contract’s 2018 CAHPS Star Ratings for the 2019 Star Ratings. If a contract in Puerto Rico choses to administer the 2018 survey, it would receive the higher of the 2018 or 2019 Star Ratings (and corresponding measure ratings) for each CAHPS survey measure (including the annual flu vaccine measure). We are proposing this relief because of concerns that t</w:t>
      </w:r>
      <w:r w:rsidRPr="001569FB">
        <w:rPr>
          <w:noProof/>
        </w:rPr>
        <w:t xml:space="preserve">he adjustment to the 2018 survey results may not capture all possible impacts of the major disasters given the possibility of unusual response patterns due to the scope of the disasters, and we do not know what performance would have been observed in the absence of these disasters.  </w:t>
      </w:r>
    </w:p>
    <w:p w14:paraId="154E7487" w14:textId="77777777" w:rsidR="004C5B0C" w:rsidRPr="001569FB" w:rsidRDefault="004C5B0C" w:rsidP="00AC78D9">
      <w:pPr>
        <w:pStyle w:val="BodyText0"/>
        <w:numPr>
          <w:ilvl w:val="0"/>
          <w:numId w:val="79"/>
        </w:numPr>
        <w:overflowPunct w:val="0"/>
        <w:spacing w:before="199" w:after="0"/>
        <w:rPr>
          <w:color w:val="FF0000"/>
        </w:rPr>
      </w:pPr>
      <w:r w:rsidRPr="001569FB">
        <w:t>For other affected contracts, the MA organization would be required to administer the 2018 CAHPS survey unless the contract requested and we approved an exception</w:t>
      </w:r>
      <w:r w:rsidRPr="001569FB">
        <w:rPr>
          <w:color w:val="FF0000"/>
        </w:rPr>
        <w:t xml:space="preserve"> </w:t>
      </w:r>
      <w:r w:rsidRPr="001569FB">
        <w:t xml:space="preserve">because a substantial number of their enrollees have been displaced due to a FEMA-designated </w:t>
      </w:r>
      <w:r w:rsidRPr="001569FB">
        <w:lastRenderedPageBreak/>
        <w:t>disaster in 2017 and it would be practically impossible to contact the required sample for the survey.  Our proposed adjustment is two-fold:  an adjustment for affected contracts and an additional adjustment for affected contracts with more than 25% of enrollees residing in FEMA-designated Individual Assistance areas. </w:t>
      </w:r>
    </w:p>
    <w:p w14:paraId="7DD90F38" w14:textId="77777777" w:rsidR="004C5B0C" w:rsidRPr="001569FB" w:rsidRDefault="004C5B0C" w:rsidP="004C5B0C">
      <w:pPr>
        <w:pStyle w:val="BodyText0"/>
        <w:tabs>
          <w:tab w:val="left" w:pos="720"/>
        </w:tabs>
        <w:overflowPunct w:val="0"/>
        <w:ind w:left="720"/>
      </w:pPr>
      <w:r w:rsidRPr="001569FB">
        <w:t>The CAHPS scores for affected contracts would be adjusted to account for the impact of the disaster. A CAHPS respondent would be considered to reside in a FEMA-designated disaster area if the respondent lives in a FEMA-designated Individual Assistance area at the time of the survey. This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In particular, the estimated effect of a disaster would be the mean CAHPS score change from the previous year in affected counties minus the mean CAHPS score change from the previous year in unaffected counties, both estimated from only the contracts that have sample in both the affected counties and unaffected counties. This approach distinguishes changes that were specific to the affected areas from overall trends in CAHPS scores and only adjusts for the change in CAHPS scores that is specific to the affected areas. We propose to only adjust if the effects are in a consistent direction and adjustment is advantageous to contracts.</w:t>
      </w:r>
    </w:p>
    <w:p w14:paraId="0B29CFAF" w14:textId="77777777" w:rsidR="004C5B0C" w:rsidRPr="001569FB" w:rsidRDefault="004C5B0C" w:rsidP="004C5B0C">
      <w:pPr>
        <w:ind w:left="720"/>
        <w:rPr>
          <w:color w:val="1F497D"/>
        </w:rPr>
      </w:pPr>
      <w:r w:rsidRPr="001569FB">
        <w:t>We further propose that affected contracts with more than 25% of beneficiaries residing in affected Individual Assistance areas at the time of the disaster would receive the higher of the 2018 or the adjusted 2019 Star Ratings (and corresponding measure ratings) for each CAHPS measure (including the annual flu vaccine measure).  We chose the 25% cutoff based on analysis of the distribution of the data for the percent of enrollees per contract in the Individual Assistance areas at the time of the disasters. The 25% was chosen based on the distribution since no contracts were near this cut off and it would avoid including contracts with very few enrollees impacted.  The measure-level scores for contracts with very few enrollees impacted should not be adversely affected by these disasters.</w:t>
      </w:r>
    </w:p>
    <w:p w14:paraId="5E111542" w14:textId="77777777" w:rsidR="004C5B0C" w:rsidRPr="001569FB" w:rsidRDefault="004C5B0C" w:rsidP="004C5B0C">
      <w:pPr>
        <w:pStyle w:val="BodyText0"/>
        <w:tabs>
          <w:tab w:val="left" w:pos="810"/>
        </w:tabs>
        <w:overflowPunct w:val="0"/>
        <w:ind w:left="720"/>
        <w:rPr>
          <w:color w:val="auto"/>
        </w:rPr>
      </w:pPr>
      <w:r w:rsidRPr="001569FB">
        <w:t>Further, contracts operating solely in Puerto Rico would be excluded from 2019 Star Ratings cut point calculations for CAHPS measures.  Cut points for contracts operating solely in Puerto Rico would have their cut points calculated using only data collected in 2018.</w:t>
      </w:r>
      <w:r w:rsidRPr="001569FB">
        <w:rPr>
          <w:color w:val="auto"/>
        </w:rPr>
        <w:t xml:space="preserve"> </w:t>
      </w:r>
    </w:p>
    <w:p w14:paraId="50697704" w14:textId="77777777" w:rsidR="004C5B0C" w:rsidRPr="001569FB" w:rsidRDefault="004C5B0C" w:rsidP="004C5B0C">
      <w:pPr>
        <w:pStyle w:val="Heading5"/>
        <w:rPr>
          <w:b w:val="0"/>
          <w:i/>
        </w:rPr>
      </w:pPr>
      <w:r w:rsidRPr="001569FB">
        <w:rPr>
          <w:b w:val="0"/>
          <w:i/>
        </w:rPr>
        <w:t>HOS Adjustments:</w:t>
      </w:r>
    </w:p>
    <w:p w14:paraId="7907BFD2" w14:textId="77777777" w:rsidR="004C5B0C" w:rsidRPr="001569FB" w:rsidRDefault="004C5B0C" w:rsidP="004C5B0C">
      <w:pPr>
        <w:pStyle w:val="BodyText0"/>
        <w:ind w:right="102"/>
      </w:pPr>
      <w:r w:rsidRPr="001569FB">
        <w:t>For the HOS survey, we propose to follow similar procedures as CAHPS: </w:t>
      </w:r>
    </w:p>
    <w:p w14:paraId="3956E6A8" w14:textId="77777777" w:rsidR="004C5B0C" w:rsidRPr="001569FB" w:rsidRDefault="004C5B0C" w:rsidP="00AC78D9">
      <w:pPr>
        <w:pStyle w:val="BodyText0"/>
        <w:numPr>
          <w:ilvl w:val="0"/>
          <w:numId w:val="80"/>
        </w:numPr>
        <w:spacing w:before="199" w:after="0"/>
        <w:ind w:right="102"/>
      </w:pPr>
      <w:r w:rsidRPr="001569FB">
        <w:t>For contracts solely operating in Puerto Rico, we propose to make the 2018 HOS survey optional, given substantial ongoing issues contacting enrollees in Puerto Rico</w:t>
      </w:r>
      <w:r w:rsidRPr="001569FB">
        <w:rPr>
          <w:color w:val="auto"/>
        </w:rPr>
        <w:t xml:space="preserve">, the </w:t>
      </w:r>
      <w:r w:rsidRPr="001569FB">
        <w:rPr>
          <w:color w:val="auto"/>
        </w:rPr>
        <w:lastRenderedPageBreak/>
        <w:t>continuing loss of electricity in several areas, etc</w:t>
      </w:r>
      <w:r w:rsidRPr="001569FB">
        <w:t>. If a contract in Puerto Rico chooses not to administer the 2018 HOS Cohort 21 Baseline and Cohort 19 Follow-up surveys, we propose that it would receive the previous year’s Star Ratings (and corresponding measure ratings) for HOS and HEDIS-HOS measures in the 2020 Star Ratings. If a contract in Puerto Rico chooses to administer the 2018 HOS surveys, we propose to assign it the higher of the current or previous year’s Star Ratings (and corresponding measure ratings) for each HOS and HEDIS-HOS measure in the 2020 Star Ratings.</w:t>
      </w:r>
    </w:p>
    <w:p w14:paraId="55DB8F2D" w14:textId="77777777" w:rsidR="004C5B0C" w:rsidRPr="001569FB" w:rsidRDefault="004C5B0C" w:rsidP="00AC78D9">
      <w:pPr>
        <w:pStyle w:val="BodyText0"/>
        <w:numPr>
          <w:ilvl w:val="0"/>
          <w:numId w:val="80"/>
        </w:numPr>
        <w:overflowPunct w:val="0"/>
        <w:spacing w:before="199" w:after="0"/>
        <w:rPr>
          <w:color w:val="auto"/>
        </w:rPr>
      </w:pPr>
      <w:r w:rsidRPr="001569FB">
        <w:t xml:space="preserve">For affected contracts, the MA organization would be required to administer the 2018 HOS surveys unless the contract requests and CMS approves an exception because a substantial number of the contract enrollees have been displaced due to a FEMA-designated disaster in 2017 (i.e., Hurricanes Harvey, Irma, Maria, or the California wildfires) and it would be practically impossible to contact the required sample for the survey. </w:t>
      </w:r>
    </w:p>
    <w:p w14:paraId="63108A83" w14:textId="77777777" w:rsidR="004C5B0C" w:rsidRPr="001569FB" w:rsidRDefault="004C5B0C" w:rsidP="004C5B0C">
      <w:pPr>
        <w:pStyle w:val="BodyText0"/>
        <w:tabs>
          <w:tab w:val="left" w:pos="720"/>
        </w:tabs>
        <w:overflowPunct w:val="0"/>
        <w:ind w:left="720"/>
      </w:pPr>
      <w:r w:rsidRPr="001569FB">
        <w:t xml:space="preserve">The HOS scores for affected contracts would be adjusted to account for the impact of the disaster. A HOS respondent would be considered to reside in a FEMA-designated disaster area if the respondent lives in a FEMA-designated Individual Assistance area at the time of the survey. The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We propose to only adjust if the effects are in a consistent direction and adjustment is advantageous to contracts. </w:t>
      </w:r>
    </w:p>
    <w:p w14:paraId="0C9EA347" w14:textId="77777777" w:rsidR="004C5B0C" w:rsidRPr="001569FB" w:rsidRDefault="004C5B0C" w:rsidP="004C5B0C">
      <w:pPr>
        <w:rPr>
          <w:color w:val="1F497D"/>
        </w:rPr>
      </w:pPr>
      <w:r w:rsidRPr="001569FB">
        <w:t xml:space="preserve">We further propose that affected contracts with more than 25% of beneficiaries residing in affected Individual Assistance areas at the time of the disaster would receive the higher of the current or previous year’s Star Rating for each HOS and HEDIS-HOS measure (and corresponding measure rating) in the 2020 Star Ratings.  We chose the 25% cutoff based on analysis of the distribution of the data for the percent of enrollees per contract in the Individual Assistance areas at the time of the disasters. Please see discussion above for more details. </w:t>
      </w:r>
    </w:p>
    <w:p w14:paraId="3CEA8C8C" w14:textId="77777777" w:rsidR="004C5B0C" w:rsidRPr="001569FB" w:rsidRDefault="004C5B0C" w:rsidP="004C5B0C">
      <w:pPr>
        <w:pStyle w:val="BodyText0"/>
        <w:overflowPunct w:val="0"/>
        <w:rPr>
          <w:color w:val="FF0000"/>
        </w:rPr>
      </w:pPr>
      <w:r w:rsidRPr="001569FB">
        <w:rPr>
          <w:color w:val="auto"/>
        </w:rPr>
        <w:t>Our proposal for cut points for non-CAHPS measures is addressed on page 48 below.</w:t>
      </w:r>
    </w:p>
    <w:p w14:paraId="0D1EA1B7" w14:textId="77777777" w:rsidR="004C5B0C" w:rsidRPr="001569FB" w:rsidRDefault="004C5B0C" w:rsidP="004C5B0C">
      <w:pPr>
        <w:pStyle w:val="Heading5"/>
        <w:rPr>
          <w:b w:val="0"/>
          <w:i/>
        </w:rPr>
      </w:pPr>
      <w:r w:rsidRPr="001569FB">
        <w:rPr>
          <w:b w:val="0"/>
          <w:i/>
        </w:rPr>
        <w:t xml:space="preserve">HEDIS Adjustments: </w:t>
      </w:r>
    </w:p>
    <w:p w14:paraId="6B2EAE90" w14:textId="77777777" w:rsidR="004C5B0C" w:rsidRPr="001569FB" w:rsidRDefault="004C5B0C" w:rsidP="004C5B0C">
      <w:pPr>
        <w:pStyle w:val="BodyText0"/>
        <w:overflowPunct w:val="0"/>
      </w:pPr>
      <w:r w:rsidRPr="001569FB">
        <w:t xml:space="preserve">For HEDIS, contracts operating solely in Puerto Rico would have the option to report “NA” for all HEDIS measures; all other affected contracts would be required to report HEDIS data to CMS unless the MA organization of an affected contract requests and receives from CMS an exception given the inability to obtain both administrative and medical record data. All contracts in disaster areas can work with NCQA to request modifications to the samples for measures that require medical record review. If a Puerto Rico contract reports an “NA” for any of the Star Ratings measures, the contract would receive the 2018 Star Ratings for that measure. If a Puerto </w:t>
      </w:r>
      <w:r w:rsidRPr="001569FB">
        <w:lastRenderedPageBreak/>
        <w:t>Rico contract chooses to report any of the HEDIS measures, the contract would receive the higher of the 2018 or 2019 Star Rating (and corresponding measure rating) for each HEDIS measure reported. For affected contracts with more than 25% of beneficiaries in a FEMA-designated Individual Assistance area at the time of the disaster, we would take the higher of the 2018 or 2019 Star Ratings (and corresponding measure rating) for each HEDIS measure. Please see discussion above for the selection of the 25% cutoff.</w:t>
      </w:r>
    </w:p>
    <w:p w14:paraId="78EBB648" w14:textId="77777777" w:rsidR="004C5B0C" w:rsidRPr="001569FB" w:rsidRDefault="004C5B0C" w:rsidP="004C5B0C">
      <w:pPr>
        <w:pStyle w:val="Heading5"/>
        <w:rPr>
          <w:b w:val="0"/>
          <w:i/>
        </w:rPr>
      </w:pPr>
      <w:r w:rsidRPr="001569FB">
        <w:rPr>
          <w:b w:val="0"/>
          <w:i/>
        </w:rPr>
        <w:t>Other Star Ratings Measure Adjustments:</w:t>
      </w:r>
    </w:p>
    <w:p w14:paraId="05BCDE9F" w14:textId="77777777" w:rsidR="004C5B0C" w:rsidRPr="001569FB" w:rsidRDefault="004C5B0C" w:rsidP="004C5B0C">
      <w:pPr>
        <w:pStyle w:val="BodyText0"/>
        <w:overflowPunct w:val="0"/>
        <w:rPr>
          <w:color w:val="auto"/>
        </w:rPr>
      </w:pPr>
      <w:r w:rsidRPr="001569FB">
        <w:t>We propose that for all other measures for affected contracts with at least 25% of beneficiaries in a FEMA-designated Individual Assistance area at the time of the disaster, we would take the higher of the 2018 or 2019 measure Star Rating (and corresponding measure rating).</w:t>
      </w:r>
      <w:r w:rsidRPr="001569FB">
        <w:rPr>
          <w:color w:val="auto"/>
        </w:rPr>
        <w:t xml:space="preserve"> </w:t>
      </w:r>
    </w:p>
    <w:p w14:paraId="39B533FB" w14:textId="77777777" w:rsidR="004C5B0C" w:rsidRPr="001569FB" w:rsidRDefault="004C5B0C" w:rsidP="004C5B0C">
      <w:pPr>
        <w:pStyle w:val="BodyText0"/>
        <w:overflowPunct w:val="0"/>
      </w:pPr>
      <w:r w:rsidRPr="001569FB">
        <w:t xml:space="preserve">We propose to exclude from this adjustment policy the following measures: Part C Call Center – Foreign Language Interpreter and TTY Availability; Part D Call Center – Foreign Language Interpreter and TTY Availability; Part C Plan Makes Timely Decisions about Appeals; Part C Reviewing Appeals Decisions; Part D Appeals Auto-Forward; and Part D Appeals Upheld. We propose to exclude these specific measures from the proposed adjustments for affected contracts because these measures and the underlying performance are completely in the plan’s control; we believe therefore that there should be no impact from the declaration of a disaster on plan performance in these areas. </w:t>
      </w:r>
    </w:p>
    <w:p w14:paraId="77980331" w14:textId="77777777" w:rsidR="004C5B0C" w:rsidRPr="001569FB" w:rsidRDefault="004C5B0C" w:rsidP="004C5B0C">
      <w:pPr>
        <w:pStyle w:val="BodyText0"/>
        <w:overflowPunct w:val="0"/>
      </w:pPr>
      <w:r w:rsidRPr="001569FB">
        <w:t xml:space="preserve">Currently, contracts must have data for at least half of the attainment measures used to calculate the Part C or Part D improvement measures to be eligible to receive a rating in each improvement measure. For contracts that revert back to the 2018 Star Rating for a particular measure, we propose that measure would be excluded in the measure count for the determination of whether the contract has at least half of the measures needed to calculate the relevant improvement measure for the 2019 and 2020 Star Ratings. That is, we would follow our usual rule where to receive a Star Rating in the improvement measures a contract must have measure scores for both years in at least half of the required measures used to calculate the Part C improvement or Part D improvement measures. </w:t>
      </w:r>
    </w:p>
    <w:p w14:paraId="1DBF54EE" w14:textId="77777777" w:rsidR="004C5B0C" w:rsidRPr="001569FB" w:rsidRDefault="004C5B0C" w:rsidP="004C5B0C">
      <w:pPr>
        <w:pStyle w:val="Heading5"/>
        <w:rPr>
          <w:b w:val="0"/>
          <w:i/>
        </w:rPr>
      </w:pPr>
      <w:bookmarkStart w:id="693" w:name="non_CAHPS"/>
      <w:r w:rsidRPr="001569FB">
        <w:rPr>
          <w:b w:val="0"/>
          <w:i/>
        </w:rPr>
        <w:t>Cut Points for Non-CAHPS Measures:</w:t>
      </w:r>
      <w:bookmarkEnd w:id="693"/>
    </w:p>
    <w:p w14:paraId="5029F81D" w14:textId="77777777" w:rsidR="004C5B0C" w:rsidRPr="001569FB" w:rsidRDefault="004C5B0C" w:rsidP="004C5B0C">
      <w:pPr>
        <w:pStyle w:val="BodyText0"/>
        <w:overflowPunct w:val="0"/>
      </w:pPr>
      <w:r w:rsidRPr="001569FB">
        <w:t xml:space="preserve">Currently, the Star Rating for each non-CAHPS measure is determined by applying a clustering algorithm to all the measures’ numeric value scores from all contracts required to submit the measure. The cut points are derived from this clustering algorithm. We propose to exclude from this clustering algorithm the numeric values for affected contracts with 60% or more of their enrollees in the FEMA-designated Individual Assistance area at the time of the disaster. We are proposing that these contracts be excluded to ensure that any impact of the disaster on their measure-level scores would not have an impact on the cut points for other contracts. However, these cut points calculated for all other contracts would be used to assess these contracts’ 2019 </w:t>
      </w:r>
      <w:r w:rsidRPr="001569FB">
        <w:lastRenderedPageBreak/>
        <w:t>measure Star Ratings (which would be compared to the contracts’ 2018 measure Star Ratings to determine which is higher, and therefore used for the impacted contracts’ 2019 Star Ratings calculations, per above).</w:t>
      </w:r>
    </w:p>
    <w:p w14:paraId="75205F93" w14:textId="77777777" w:rsidR="004C5B0C" w:rsidRPr="001569FB" w:rsidRDefault="004C5B0C" w:rsidP="004C5B0C">
      <w:pPr>
        <w:pStyle w:val="BodyText0"/>
        <w:overflowPunct w:val="0"/>
      </w:pPr>
      <w:r w:rsidRPr="001569FB">
        <w:t>Similarly, we propose that affected contracts with 60% or more of their enrollees impacted would also be excluded from the determination of the performance summary and variance thresholds for the Reward Factor. However, these contracts would still be eligible for the Reward Factor based on the mean and variance calculations of other contracts.</w:t>
      </w:r>
    </w:p>
    <w:p w14:paraId="75FF91F2" w14:textId="77777777" w:rsidR="004C5B0C" w:rsidRPr="001569FB" w:rsidRDefault="004C5B0C" w:rsidP="004C5B0C">
      <w:pPr>
        <w:pStyle w:val="CommentText"/>
      </w:pPr>
      <w:r w:rsidRPr="001569FB">
        <w:t>For the measures using the 25% cutoff for reverting to last year’s measure-level stars, if the affected contract did better for that measure in the prior year, we chose that cutoff based on analysis of the data. Contracts tend either to have very few enrollees impacted or most of their enrollees impacted. If one out of four enrollees were impacted during the period of the year when the disaster hit, there is a small chance that scores may have been impacted.  If very few enrollees in a contract lived in impacted areas during the disaster period, the measure-level scores should not be impacted.  The selection of the exclusion of numeric measures scores from contracts with 60% or more enrollees impacted from the determination of the cut points was chosen through an analysis of the distribution of the percent of enrollees impacted by contract across all contracts impacted.  The 60% was chosen since there was a break in the distribution.  Our approach in selecting 60% is conservative in case scores are impacted in contracts where a clear majority or all of the enrollees are impacted.  We welcome comments on these policies to account for the potential impact on the 2019 Star Ratings from the widespread disasters in 2017.</w:t>
      </w:r>
    </w:p>
    <w:p w14:paraId="015505BB" w14:textId="77777777" w:rsidR="00AF04CB" w:rsidRPr="001569FB" w:rsidRDefault="00AF04CB" w:rsidP="00AF04CB">
      <w:pPr>
        <w:pStyle w:val="Heading3"/>
      </w:pPr>
      <w:r>
        <w:t xml:space="preserve">Section I </w:t>
      </w:r>
      <w:r w:rsidRPr="001569FB">
        <w:t>Star Ratings</w:t>
      </w:r>
      <w:r>
        <w:t xml:space="preserve"> – Display Measures</w:t>
      </w:r>
    </w:p>
    <w:p w14:paraId="688EE161" w14:textId="77777777" w:rsidR="004C5B0C" w:rsidRPr="001569FB" w:rsidRDefault="004C5B0C" w:rsidP="004C5B0C">
      <w:pPr>
        <w:pStyle w:val="Heading4"/>
      </w:pPr>
      <w:r w:rsidRPr="001569FB">
        <w:t>2019 CMS Display Measures</w:t>
      </w:r>
      <w:bookmarkEnd w:id="685"/>
      <w:bookmarkEnd w:id="686"/>
    </w:p>
    <w:p w14:paraId="4C6938CE" w14:textId="77777777" w:rsidR="004C5B0C" w:rsidRPr="001569FB" w:rsidRDefault="004C5B0C" w:rsidP="004C5B0C">
      <w:pPr>
        <w:kinsoku w:val="0"/>
        <w:overflowPunct w:val="0"/>
        <w:autoSpaceDE w:val="0"/>
        <w:autoSpaceDN w:val="0"/>
        <w:adjustRightInd w:val="0"/>
        <w:ind w:right="162"/>
      </w:pPr>
      <w:r w:rsidRPr="001569FB">
        <w:t>Display measures on CMS.gov are not part of the Star Ratings. These may include measures that are transitioned from inclusion in the Star Ratings, new measures that are being tested before inclusion into the Star Ratings, or measures displayed solely for informational purposes. Organizations and sponsors will have the opportunity to preview the data for their display measures prior to release on CMS’ website. Data for measures moved to the display page continue to be collected and monitored; poor scores on display measures may reveal underlying compliance and performance issues that are subject to enforcement actions by CMS. All 2018 display measures will continue to be shown as display measures on CMS.gov in 2019 unless noted below.</w:t>
      </w:r>
    </w:p>
    <w:p w14:paraId="7BB50642" w14:textId="77777777" w:rsidR="004C5B0C" w:rsidRPr="001569FB" w:rsidRDefault="004C5B0C" w:rsidP="004C5B0C">
      <w:pPr>
        <w:kinsoku w:val="0"/>
        <w:overflowPunct w:val="0"/>
        <w:autoSpaceDE w:val="0"/>
        <w:autoSpaceDN w:val="0"/>
        <w:adjustRightInd w:val="0"/>
        <w:spacing w:before="240"/>
      </w:pPr>
      <w:r w:rsidRPr="001569FB">
        <w:t xml:space="preserve">CMS will continue to provide advance notice regarding measures considered for implementation as future Star Ratings measures. Other display measures may be provided as information only. </w:t>
      </w:r>
    </w:p>
    <w:p w14:paraId="6ABE007E" w14:textId="77777777" w:rsidR="004C5B0C" w:rsidRPr="001569FB" w:rsidRDefault="004C5B0C" w:rsidP="004C5B0C">
      <w:pPr>
        <w:pStyle w:val="Heading4"/>
      </w:pPr>
      <w:bookmarkStart w:id="694" w:name="_Toc493523586"/>
      <w:bookmarkStart w:id="695" w:name="_Toc495652099"/>
      <w:r w:rsidRPr="001569FB">
        <w:lastRenderedPageBreak/>
        <w:t>New 2019 Display Measure</w:t>
      </w:r>
      <w:bookmarkEnd w:id="694"/>
      <w:bookmarkEnd w:id="695"/>
    </w:p>
    <w:p w14:paraId="1625DEFB" w14:textId="77777777" w:rsidR="004C5B0C" w:rsidRPr="001569FB" w:rsidRDefault="004C5B0C" w:rsidP="00AC78D9">
      <w:pPr>
        <w:numPr>
          <w:ilvl w:val="0"/>
          <w:numId w:val="47"/>
        </w:numPr>
        <w:tabs>
          <w:tab w:val="left" w:pos="461"/>
        </w:tabs>
        <w:kinsoku w:val="0"/>
        <w:overflowPunct w:val="0"/>
        <w:autoSpaceDE w:val="0"/>
        <w:autoSpaceDN w:val="0"/>
        <w:adjustRightInd w:val="0"/>
        <w:spacing w:before="202"/>
        <w:ind w:right="234"/>
      </w:pPr>
      <w:bookmarkStart w:id="696" w:name="_Toc493523587"/>
      <w:r w:rsidRPr="001569FB">
        <w:rPr>
          <w:b/>
          <w:bCs/>
        </w:rPr>
        <w:t xml:space="preserve">Plan Makes Timely Decisions about Appeals (Part C). </w:t>
      </w:r>
      <w:r w:rsidRPr="001569FB">
        <w:t>We are proposing for display a new appeals measure which includes cases dismissed by the IRE because the plan has subsequently approved coverage/payment (using 2017 data). Currently, we exclude all cases dismissed/withdrawn by the IRE from this measure. However, plans’ performance may be artificially improved as a result, especially if the dismissal were directly related to the plans’ (untimely) approval. Inclusion of cases where the plan has subsequently approved for coverage/payment that are dismissed or withdrawn at the IRE level could provide a more accurate assessment of plans’ timeliness in their Part C appeals</w:t>
      </w:r>
      <w:r w:rsidRPr="001569FB">
        <w:rPr>
          <w:spacing w:val="-37"/>
        </w:rPr>
        <w:t xml:space="preserve"> </w:t>
      </w:r>
      <w:r w:rsidRPr="001569FB">
        <w:t xml:space="preserve">processing. We propose to include this modified measure on the 2019 and 2020 display pages; we intend also to add this revised measure to the 2021 Star Ratings. At that time the current “Plan Makes Timely Decisions about Appeals” measure would be retired. </w:t>
      </w:r>
    </w:p>
    <w:p w14:paraId="45E80AAA" w14:textId="77777777" w:rsidR="004C5B0C" w:rsidRPr="001569FB" w:rsidRDefault="004C5B0C" w:rsidP="004C5B0C">
      <w:pPr>
        <w:pStyle w:val="Heading4"/>
      </w:pPr>
      <w:bookmarkStart w:id="697" w:name="_Toc495652100"/>
      <w:r w:rsidRPr="001569FB">
        <w:t>Changes to Existing Display Measures</w:t>
      </w:r>
      <w:bookmarkEnd w:id="696"/>
      <w:bookmarkEnd w:id="697"/>
    </w:p>
    <w:p w14:paraId="71EE0089" w14:textId="77777777" w:rsidR="004C5B0C" w:rsidRPr="001569FB" w:rsidRDefault="004C5B0C" w:rsidP="00AC78D9">
      <w:pPr>
        <w:pStyle w:val="ListParagraph"/>
        <w:numPr>
          <w:ilvl w:val="0"/>
          <w:numId w:val="58"/>
        </w:numPr>
        <w:tabs>
          <w:tab w:val="left" w:pos="461"/>
        </w:tabs>
        <w:kinsoku w:val="0"/>
        <w:overflowPunct w:val="0"/>
        <w:autoSpaceDE w:val="0"/>
        <w:autoSpaceDN w:val="0"/>
        <w:adjustRightInd w:val="0"/>
        <w:spacing w:before="202"/>
        <w:ind w:left="360" w:right="179"/>
        <w:contextualSpacing w:val="0"/>
      </w:pPr>
      <w:r w:rsidRPr="001569FB">
        <w:rPr>
          <w:b/>
          <w:bCs/>
        </w:rPr>
        <w:t xml:space="preserve">Hospitalizations for Potentially Preventable Complications (Part C). </w:t>
      </w:r>
      <w:r w:rsidRPr="001569FB">
        <w:t>This measure is a risk-adjusted measure that assesses the rate of hospitalization for complications of chronic and acute ambulatory care-sensitive conditions. The measure is therefore an important indicator of care coordination, where hospitalizations represent a failure to prevent a serious complication. However, concerns raised by experts and stakeholders have led NCQA to consider updating the specifications to include hospital stays that are considered “observation stays” to improve completeness of the measure. That is, observation stays can also represent a failure to prevent serious complications. Therefore we propose to retain this measure as a 2019 display page measure. We will propose through rulemaking moving it to Star Ratings with a weight of 1 for the 2022 Star Ratings. In subsequent years, we intend to weight it 3 as an outcomes measure.  Please refer to the NCQA HEDIS 2018 Technical Specifications for Health Plans Volume 2 for measure construction and technical</w:t>
      </w:r>
      <w:r w:rsidRPr="001569FB">
        <w:rPr>
          <w:spacing w:val="-9"/>
        </w:rPr>
        <w:t xml:space="preserve"> </w:t>
      </w:r>
      <w:r w:rsidRPr="001569FB">
        <w:t>specifications, as well as to more recent communications from NCQA as to updates in specifications.</w:t>
      </w:r>
    </w:p>
    <w:p w14:paraId="52976D5F" w14:textId="77777777" w:rsidR="004C5B0C" w:rsidRPr="001569FB" w:rsidRDefault="004C5B0C" w:rsidP="00AC78D9">
      <w:pPr>
        <w:numPr>
          <w:ilvl w:val="0"/>
          <w:numId w:val="58"/>
        </w:numPr>
        <w:tabs>
          <w:tab w:val="left" w:pos="841"/>
        </w:tabs>
        <w:kinsoku w:val="0"/>
        <w:overflowPunct w:val="0"/>
        <w:autoSpaceDE w:val="0"/>
        <w:autoSpaceDN w:val="0"/>
        <w:adjustRightInd w:val="0"/>
        <w:spacing w:before="198" w:after="160"/>
        <w:ind w:left="360" w:right="288"/>
        <w:rPr>
          <w:b/>
        </w:rPr>
      </w:pPr>
      <w:r w:rsidRPr="001569FB">
        <w:rPr>
          <w:b/>
          <w:bCs/>
        </w:rPr>
        <w:t xml:space="preserve">High Risk Medication (Part D). </w:t>
      </w:r>
      <w:r w:rsidRPr="001569FB">
        <w:t xml:space="preserve">The PQA High Risk Medication (HRM) measure calculates the percentage of Medicare Part D beneficiaries 65 years and older who received two or more prescription fills for the same HRM drug with a high risk of serious side effects in the elderly. This measure would remain on the display page for 2019 (based on 2017 data), and as noted in the 2018 Call Letter, we propose to use the updated PQA HRM drug list for that display. We also propose to adopt a specification change made by the PQA to measure specifications for the numerator (beneficiaries with at least two fills of the same HRM drug </w:t>
      </w:r>
      <w:r w:rsidRPr="001569FB">
        <w:rPr>
          <w:u w:val="single"/>
        </w:rPr>
        <w:t>on different dates of service</w:t>
      </w:r>
      <w:r w:rsidRPr="001569FB">
        <w:t xml:space="preserve">) for the 2019 display measure.  </w:t>
      </w:r>
    </w:p>
    <w:p w14:paraId="164BBB0B" w14:textId="77777777" w:rsidR="004C5B0C" w:rsidRPr="001569FB" w:rsidRDefault="004C5B0C" w:rsidP="00AC78D9">
      <w:pPr>
        <w:numPr>
          <w:ilvl w:val="0"/>
          <w:numId w:val="58"/>
        </w:numPr>
        <w:tabs>
          <w:tab w:val="left" w:pos="360"/>
        </w:tabs>
        <w:kinsoku w:val="0"/>
        <w:overflowPunct w:val="0"/>
        <w:autoSpaceDE w:val="0"/>
        <w:autoSpaceDN w:val="0"/>
        <w:adjustRightInd w:val="0"/>
        <w:spacing w:after="160"/>
        <w:ind w:left="360" w:right="183"/>
      </w:pPr>
      <w:r w:rsidRPr="001569FB">
        <w:rPr>
          <w:b/>
          <w:bCs/>
        </w:rPr>
        <w:t xml:space="preserve">Drug-Drug Interactions (DDI) (Part D). </w:t>
      </w:r>
      <w:r w:rsidRPr="001569FB">
        <w:t xml:space="preserve">The PQA DDI measure is the percent of Part D beneficiaries who received a prescription for a target medication during the measurement </w:t>
      </w:r>
      <w:r w:rsidRPr="001569FB">
        <w:lastRenderedPageBreak/>
        <w:t>period who were also dispensed a concurrent prescription for a contraindicated medication with or subsequent to the initial prescription. As discussed in the 2018 Call Letter, the PQA updated the DDI measure drug list. We propose to implement the revised list for the 2019 display measure using 2017 performance and PDE data.</w:t>
      </w:r>
    </w:p>
    <w:p w14:paraId="72534D31" w14:textId="77777777" w:rsidR="004C5B0C" w:rsidRPr="001569FB" w:rsidRDefault="004C5B0C" w:rsidP="00AC78D9">
      <w:pPr>
        <w:numPr>
          <w:ilvl w:val="0"/>
          <w:numId w:val="52"/>
        </w:numPr>
        <w:tabs>
          <w:tab w:val="left" w:pos="360"/>
        </w:tabs>
        <w:kinsoku w:val="0"/>
        <w:overflowPunct w:val="0"/>
        <w:autoSpaceDE w:val="0"/>
        <w:autoSpaceDN w:val="0"/>
        <w:adjustRightInd w:val="0"/>
        <w:spacing w:before="199"/>
        <w:ind w:left="360" w:right="120"/>
      </w:pPr>
      <w:r w:rsidRPr="001569FB">
        <w:rPr>
          <w:b/>
          <w:bCs/>
        </w:rPr>
        <w:t>Antipsychotic Use in Persons with Dementia (APD) (Part D)</w:t>
      </w:r>
      <w:r w:rsidRPr="001569FB">
        <w:t>. The PQA APD measure is the percentage of Part D beneficiaries 65 years or older with dementia who received prescription fills for antipsychotics without evidence of a psychotic disorder or related</w:t>
      </w:r>
      <w:r w:rsidRPr="001569FB">
        <w:rPr>
          <w:spacing w:val="-9"/>
        </w:rPr>
        <w:t xml:space="preserve"> </w:t>
      </w:r>
      <w:r w:rsidRPr="001569FB">
        <w:t>condition. For the 2017 measurement year, the APD measure includes an overall measure rate and breakouts for community-only (COMM) residents and long-term nursing home (LTNH) residents. We propose to display the rates for the two population breakouts on the 2019 display page (in addition to the overall APD rate currently displayed). We will assess adding the APD measure to the Star Ratings in the future, which would be proposed through rulemaking.</w:t>
      </w:r>
    </w:p>
    <w:p w14:paraId="00C5337C" w14:textId="77777777" w:rsidR="004C5B0C" w:rsidRPr="001569FB" w:rsidRDefault="004C5B0C" w:rsidP="00AC78D9">
      <w:pPr>
        <w:numPr>
          <w:ilvl w:val="0"/>
          <w:numId w:val="52"/>
        </w:numPr>
        <w:tabs>
          <w:tab w:val="left" w:pos="360"/>
        </w:tabs>
        <w:kinsoku w:val="0"/>
        <w:overflowPunct w:val="0"/>
        <w:autoSpaceDE w:val="0"/>
        <w:autoSpaceDN w:val="0"/>
        <w:adjustRightInd w:val="0"/>
        <w:spacing w:before="207" w:line="273" w:lineRule="auto"/>
        <w:ind w:left="360" w:right="288"/>
      </w:pPr>
      <w:r w:rsidRPr="001569FB">
        <w:rPr>
          <w:b/>
          <w:bCs/>
        </w:rPr>
        <w:t xml:space="preserve">Use of Opioids from Multiple Providers and/or at High Dosage in Persons without Cancer (Part D). </w:t>
      </w:r>
      <w:r w:rsidRPr="001569FB">
        <w:t xml:space="preserve">PQA’s opioid measures examine multi-provider and/or high dosage opioid use among individuals 18 years and older without cancer and not in hospice care. </w:t>
      </w:r>
    </w:p>
    <w:p w14:paraId="2854D811" w14:textId="77777777" w:rsidR="004C5B0C" w:rsidRPr="001569FB" w:rsidRDefault="004C5B0C" w:rsidP="004C5B0C">
      <w:pPr>
        <w:kinsoku w:val="0"/>
        <w:overflowPunct w:val="0"/>
        <w:autoSpaceDE w:val="0"/>
        <w:autoSpaceDN w:val="0"/>
        <w:adjustRightInd w:val="0"/>
        <w:spacing w:before="203"/>
        <w:ind w:left="360" w:right="157"/>
      </w:pPr>
      <w:r w:rsidRPr="001569FB">
        <w:t>The PQA’s Measure Update Panel and Quality Metrics Expert Panel approved non-substantial changes to the measures. First, each rate will have a separate title and the term “morphine equivalent dose” will be changed to “morphine milligram equivalents.”</w:t>
      </w:r>
    </w:p>
    <w:p w14:paraId="59F1CA9C" w14:textId="77777777" w:rsidR="004C5B0C" w:rsidRPr="001569FB" w:rsidRDefault="004C5B0C" w:rsidP="004C5B0C">
      <w:pPr>
        <w:kinsoku w:val="0"/>
        <w:overflowPunct w:val="0"/>
        <w:autoSpaceDE w:val="0"/>
        <w:autoSpaceDN w:val="0"/>
        <w:adjustRightInd w:val="0"/>
        <w:ind w:right="141"/>
      </w:pPr>
      <w:r w:rsidRPr="001569FB">
        <w:rPr>
          <w:u w:val="single"/>
        </w:rPr>
        <w:t>Measure 1: Use of Opioids at High Dosage in Persons without Cancer (OHD):</w:t>
      </w:r>
      <w:r w:rsidRPr="001569FB">
        <w:t xml:space="preserve"> The proportion (XX out of 1,000) of individuals from the denominator receiving prescriptions for opioids with a daily dosage greater than 120 mg morphine milligram equivalents (MME) for 90 consecutive days or longer.</w:t>
      </w:r>
    </w:p>
    <w:p w14:paraId="2BF69E20" w14:textId="77777777" w:rsidR="004C5B0C" w:rsidRPr="001569FB" w:rsidRDefault="004C5B0C" w:rsidP="004C5B0C">
      <w:pPr>
        <w:kinsoku w:val="0"/>
        <w:overflowPunct w:val="0"/>
        <w:autoSpaceDE w:val="0"/>
        <w:autoSpaceDN w:val="0"/>
        <w:adjustRightInd w:val="0"/>
        <w:spacing w:before="202"/>
        <w:ind w:right="367"/>
      </w:pPr>
      <w:r w:rsidRPr="001569FB">
        <w:rPr>
          <w:u w:val="single"/>
        </w:rPr>
        <w:t xml:space="preserve">Measure 2: Use of Opioids from Multiple Providers in Persons without Cancer (OMP): </w:t>
      </w:r>
      <w:r w:rsidRPr="001569FB">
        <w:t>The proportion (XX out of 1,000) of individuals from the denominator receiving prescriptions for opioids from four (4) or more prescribers AND four (4) or more pharmacies.</w:t>
      </w:r>
    </w:p>
    <w:p w14:paraId="2F1CEC85" w14:textId="77777777" w:rsidR="004C5B0C" w:rsidRPr="001569FB" w:rsidRDefault="004C5B0C" w:rsidP="004C5B0C">
      <w:pPr>
        <w:kinsoku w:val="0"/>
        <w:overflowPunct w:val="0"/>
        <w:autoSpaceDE w:val="0"/>
        <w:autoSpaceDN w:val="0"/>
        <w:adjustRightInd w:val="0"/>
        <w:spacing w:before="202"/>
        <w:ind w:right="262"/>
      </w:pPr>
      <w:r w:rsidRPr="001569FB">
        <w:rPr>
          <w:u w:val="single"/>
        </w:rPr>
        <w:t>Measure 3: Use of Opioids at High Dosage and from Multiple Providers in Persons without Cancer (OHDMP):</w:t>
      </w:r>
      <w:r w:rsidRPr="001569FB">
        <w:t xml:space="preserve"> The proportion (XX out of 1,000) of individuals from the denominator receiving prescriptions for opioids with a daily dosage greater than 120 mg morphine milligram equivalents (MME) for 90 consecutive days or longer, AND who received opioid prescriptions from four (4) or more prescribers AND four (4) or more pharmacies.</w:t>
      </w:r>
    </w:p>
    <w:p w14:paraId="03AA7B51" w14:textId="77777777" w:rsidR="004C5B0C" w:rsidRPr="001569FB" w:rsidRDefault="004C5B0C" w:rsidP="004C5B0C">
      <w:pPr>
        <w:kinsoku w:val="0"/>
        <w:overflowPunct w:val="0"/>
        <w:autoSpaceDE w:val="0"/>
        <w:autoSpaceDN w:val="0"/>
        <w:adjustRightInd w:val="0"/>
        <w:spacing w:before="201" w:line="240" w:lineRule="auto"/>
      </w:pPr>
      <w:r w:rsidRPr="001569FB">
        <w:t>Additional changes made by the PQA to these measures include:</w:t>
      </w:r>
    </w:p>
    <w:p w14:paraId="3E499377" w14:textId="77777777" w:rsidR="004C5B0C" w:rsidRPr="001569FB" w:rsidRDefault="004C5B0C" w:rsidP="00AC78D9">
      <w:pPr>
        <w:numPr>
          <w:ilvl w:val="0"/>
          <w:numId w:val="51"/>
        </w:numPr>
        <w:tabs>
          <w:tab w:val="left" w:pos="1541"/>
        </w:tabs>
        <w:kinsoku w:val="0"/>
        <w:overflowPunct w:val="0"/>
        <w:autoSpaceDE w:val="0"/>
        <w:autoSpaceDN w:val="0"/>
        <w:adjustRightInd w:val="0"/>
        <w:spacing w:before="1" w:line="240" w:lineRule="auto"/>
      </w:pPr>
      <w:r w:rsidRPr="001569FB">
        <w:t>The opioid treatment period for Measures 1 and 3 must be 90 days or more.</w:t>
      </w:r>
    </w:p>
    <w:p w14:paraId="27AB092F" w14:textId="77777777" w:rsidR="004C5B0C" w:rsidRPr="001569FB" w:rsidRDefault="004C5B0C" w:rsidP="00AC78D9">
      <w:pPr>
        <w:numPr>
          <w:ilvl w:val="0"/>
          <w:numId w:val="51"/>
        </w:numPr>
        <w:tabs>
          <w:tab w:val="left" w:pos="1541"/>
        </w:tabs>
        <w:kinsoku w:val="0"/>
        <w:overflowPunct w:val="0"/>
        <w:autoSpaceDE w:val="0"/>
        <w:autoSpaceDN w:val="0"/>
        <w:adjustRightInd w:val="0"/>
        <w:spacing w:before="41"/>
        <w:ind w:right="232"/>
      </w:pPr>
      <w:r w:rsidRPr="001569FB">
        <w:t>ICD-9 and ICD-10 codes will be changed to align with the American Medical Association (AMA) Physician Consortium for Performance Improvement (PCPI) cancer value</w:t>
      </w:r>
      <w:r w:rsidRPr="001569FB">
        <w:rPr>
          <w:spacing w:val="3"/>
        </w:rPr>
        <w:t xml:space="preserve"> </w:t>
      </w:r>
      <w:r w:rsidRPr="001569FB">
        <w:t>set.</w:t>
      </w:r>
    </w:p>
    <w:p w14:paraId="678C1874" w14:textId="77777777" w:rsidR="004C5B0C" w:rsidRPr="001569FB" w:rsidRDefault="004C5B0C" w:rsidP="00AC78D9">
      <w:pPr>
        <w:numPr>
          <w:ilvl w:val="0"/>
          <w:numId w:val="51"/>
        </w:numPr>
        <w:tabs>
          <w:tab w:val="left" w:pos="1541"/>
        </w:tabs>
        <w:kinsoku w:val="0"/>
        <w:overflowPunct w:val="0"/>
        <w:autoSpaceDE w:val="0"/>
        <w:autoSpaceDN w:val="0"/>
        <w:adjustRightInd w:val="0"/>
        <w:spacing w:after="200"/>
        <w:ind w:right="433"/>
      </w:pPr>
      <w:r w:rsidRPr="001569FB">
        <w:lastRenderedPageBreak/>
        <w:t>All buprenorphine products indicated for medication-assisted treatment (MAT) will be</w:t>
      </w:r>
      <w:r w:rsidRPr="001569FB">
        <w:rPr>
          <w:spacing w:val="-1"/>
        </w:rPr>
        <w:t xml:space="preserve"> </w:t>
      </w:r>
      <w:r w:rsidRPr="001569FB">
        <w:t>excluded.</w:t>
      </w:r>
    </w:p>
    <w:p w14:paraId="049305D1" w14:textId="77777777" w:rsidR="004C5B0C" w:rsidRPr="001569FB" w:rsidRDefault="004C5B0C" w:rsidP="001569FB">
      <w:pPr>
        <w:pStyle w:val="NoSpacing"/>
        <w:spacing w:after="200" w:line="276" w:lineRule="auto"/>
      </w:pPr>
      <w:bookmarkStart w:id="698" w:name="_Toc493523588"/>
      <w:r w:rsidRPr="001569FB">
        <w:t xml:space="preserve">As mentioned in the 2018 Call Letter, we planned to implement these changes beginning with the 2017 Patient Safety reports. In response to the 2018 Call Letter, several commenters felt that Measure 3 mirrored the criteria used in the Overutilization Monitoring System (OMS), whereas the other two measures did not. Therefore, based on that feedback, we propose to add only the OHDMP measure to the 2019 Part D display page (using 2017 data). All three measures will continue to be reported to Part D plan sponsors through the Patient Safety reports. </w:t>
      </w:r>
    </w:p>
    <w:p w14:paraId="1752D714" w14:textId="77777777" w:rsidR="004C5B0C" w:rsidRPr="001569FB" w:rsidRDefault="004C5B0C" w:rsidP="001569FB">
      <w:pPr>
        <w:pStyle w:val="NoSpacing"/>
        <w:spacing w:after="200" w:line="276" w:lineRule="auto"/>
      </w:pPr>
      <w:bookmarkStart w:id="699" w:name="_Toc495652101"/>
      <w:r w:rsidRPr="001569FB">
        <w:t>In response to the 2018 Call Letter, some commenters suggested that the PQA lower the threshold in the opioid measures to align with the March 2016 Centers for Disease Control and Prevention (CDC) Guideline for Prescribing Opioids for Chronic Pain</w:t>
      </w:r>
      <w:r w:rsidRPr="001569FB">
        <w:footnoteReference w:id="23"/>
      </w:r>
      <w:r w:rsidRPr="001569FB">
        <w:t xml:space="preserve"> and the revised OMS criteria thresholds. Due to the timing of their measure development and NQF endorsement process, the PQA has not yet revised their measures. It is our understanding that the PQA will discuss additional changes in 2018 along with a timeline for testing potential modifications. We will monitor updates to the measure specifications made by the PQA and consider for adoption after advance notice through a future Call Letter. CMS will re-assess including these measures in the Star Ratings once the PQA updates their measures to better align with the CDC Guideline and/or OMS.  </w:t>
      </w:r>
    </w:p>
    <w:p w14:paraId="6011DDED" w14:textId="77777777" w:rsidR="004C5B0C" w:rsidRPr="001569FB" w:rsidRDefault="004C5B0C" w:rsidP="004C5B0C">
      <w:r w:rsidRPr="001569FB">
        <w:t>Note, additional proposals to the Medicare Part D opioid overutilization policy are discussed within the Improving Drug Utilization Review Controls in Medicare Part D section.</w:t>
      </w:r>
    </w:p>
    <w:p w14:paraId="287BA7C3" w14:textId="77777777" w:rsidR="004C5B0C" w:rsidRPr="001569FB" w:rsidRDefault="004C5B0C" w:rsidP="00AC78D9">
      <w:pPr>
        <w:pStyle w:val="ListParagraph"/>
        <w:numPr>
          <w:ilvl w:val="0"/>
          <w:numId w:val="63"/>
        </w:numPr>
        <w:overflowPunct w:val="0"/>
        <w:autoSpaceDE w:val="0"/>
        <w:autoSpaceDN w:val="0"/>
        <w:spacing w:before="202"/>
        <w:ind w:left="360" w:right="282"/>
      </w:pPr>
      <w:r w:rsidRPr="001569FB">
        <w:rPr>
          <w:b/>
          <w:bCs/>
        </w:rPr>
        <w:t xml:space="preserve">Transition Monitoring (Part D). </w:t>
      </w:r>
      <w:r w:rsidRPr="001569FB">
        <w:t>Since 2015, CMS has produced two display measures using the results from the Transition Monitoring Program Analysis (TMPA). We propose to no longer display two separate contract-level measures, one for drugs within the classes for clinical concern and one for all other drugs. Instead, the results would be consolidated into one failure rate and display measure.  This change aligns with the display measure for the Formulary Administration Analysis (FAA).  Previously, the data was displayed as a percentage with one decimal place. In order to provide the most accurate results, beginning with the 2019 display measure, the data will be displayed as a percentage with two decimal places.</w:t>
      </w:r>
    </w:p>
    <w:p w14:paraId="2ADFB570" w14:textId="77777777" w:rsidR="004C5B0C" w:rsidRPr="001569FB" w:rsidRDefault="004C5B0C" w:rsidP="00AC78D9">
      <w:pPr>
        <w:pStyle w:val="ListParagraph"/>
        <w:numPr>
          <w:ilvl w:val="0"/>
          <w:numId w:val="63"/>
        </w:numPr>
        <w:overflowPunct w:val="0"/>
        <w:autoSpaceDE w:val="0"/>
        <w:autoSpaceDN w:val="0"/>
        <w:spacing w:before="202"/>
        <w:ind w:left="360" w:right="288"/>
        <w:contextualSpacing w:val="0"/>
      </w:pPr>
      <w:r w:rsidRPr="001569FB">
        <w:rPr>
          <w:b/>
          <w:bCs/>
        </w:rPr>
        <w:t>Formulary Administration Analysis measure (Part D).</w:t>
      </w:r>
      <w:r w:rsidRPr="001569FB">
        <w:t xml:space="preserve"> This display measure, added in 2018, uses the results of the FAA used by CMS to evaluate whether Part D sponsors are appropriately adjudicating drug claims consistent with Part D requirements and sponsors’ CMS-approved benefits. </w:t>
      </w:r>
    </w:p>
    <w:p w14:paraId="63405C1B" w14:textId="77777777" w:rsidR="004C5B0C" w:rsidRPr="001569FB" w:rsidRDefault="004C5B0C" w:rsidP="004C5B0C">
      <w:pPr>
        <w:pStyle w:val="ListParagraph"/>
        <w:overflowPunct w:val="0"/>
        <w:autoSpaceDE w:val="0"/>
        <w:autoSpaceDN w:val="0"/>
        <w:spacing w:before="202"/>
        <w:ind w:left="360" w:right="288"/>
        <w:contextualSpacing w:val="0"/>
      </w:pPr>
      <w:r w:rsidRPr="001569FB">
        <w:lastRenderedPageBreak/>
        <w:t>Previously the data for this measure was displayed as a percentage with one decimal place. In order to provide the most accurate results, beginning with the 2019 display measure, the data will be displayed as a percentage with two decimal places.</w:t>
      </w:r>
    </w:p>
    <w:p w14:paraId="371A7085" w14:textId="77777777" w:rsidR="004C5B0C" w:rsidRPr="001569FB" w:rsidRDefault="004C5B0C" w:rsidP="00AC78D9">
      <w:pPr>
        <w:numPr>
          <w:ilvl w:val="0"/>
          <w:numId w:val="63"/>
        </w:numPr>
        <w:kinsoku w:val="0"/>
        <w:overflowPunct w:val="0"/>
        <w:autoSpaceDE w:val="0"/>
        <w:autoSpaceDN w:val="0"/>
        <w:adjustRightInd w:val="0"/>
        <w:spacing w:before="202"/>
        <w:ind w:left="360" w:right="282"/>
      </w:pPr>
      <w:r w:rsidRPr="001569FB">
        <w:rPr>
          <w:b/>
          <w:bCs/>
        </w:rPr>
        <w:t xml:space="preserve">Timely Effectuation of Appeals (Part D). </w:t>
      </w:r>
      <w:r w:rsidRPr="001569FB">
        <w:t>This measure is defined as the percent of appeals requiring effectuation that the plan effectuated in a timely manner (timely is defined as effectuation of the decision within one day for expedited appeals, and effectuation of the decision within three days for standard appeals). If the IRE does not receive a notice of effectuation before the report generation date, the IRE will count the effectuation as non-timely. Currently, this measure includes all data applicable to the time period being reported as of the date the report is generated by the IRE.  Data may change based on the report date. Discrepancies may also result if the IRE received the effectuation notice late, even though the plan’s effectuation was timely. Reopenings of appeals may extend into the following contract year which can impact effectuation data.  In order to allow for these factors, we propose to modify this measure to be defined as all appeals received by the IRE in the defined timeframe. To account for reopenings and appeals that straddle the contract year, all decisions from this time period will be included up to May 1st of the following contract year.  For example, the CY 2019 display measure’s timeframe would be IRE cases received from 1/1/18 – 12/31/18 with decisions made before 5/1/19.  Effectuations for appeals decided on or after May 1, 2019 that correspond to an appeal received 1/1/18 – 12/31/18 will not be reflected in these data and the timeliness of the reconsideration will be used. Additionally, we propose to exclude the results of appeals that occur beyond Level 2 (i.e., Administrative Law Judge or Medicare Appeals Council appeals) from this measure.</w:t>
      </w:r>
    </w:p>
    <w:p w14:paraId="0C5B69B3" w14:textId="77777777" w:rsidR="004C5B0C" w:rsidRPr="001569FB" w:rsidRDefault="004C5B0C" w:rsidP="004C5B0C">
      <w:pPr>
        <w:pStyle w:val="Heading4"/>
      </w:pPr>
      <w:r w:rsidRPr="001569FB">
        <w:t>Display Measures being Retired</w:t>
      </w:r>
      <w:bookmarkEnd w:id="698"/>
      <w:bookmarkEnd w:id="699"/>
    </w:p>
    <w:p w14:paraId="29F2A12A" w14:textId="77777777" w:rsidR="004C5B0C" w:rsidRPr="001569FB" w:rsidRDefault="004C5B0C" w:rsidP="00AC78D9">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Enrollment Timeliness (Part C and D). </w:t>
      </w:r>
      <w:r w:rsidRPr="001569FB">
        <w:t>The measure assesses the timeliness of enrollment transactions using the number of plan generated enrollment transactions submitted to CMS within 7 calendar days of the application date and the total number of plan generated enrollment transactions submitted to CMS. Beginning in 2012, CMS has been displaying and monitoring the values of enrollment timeliness. Overall, contracts are receiving extremely high rates for this measure (96 percent on average). For the 2019 Star Ratings, we propose to discontinue the display of the measure. We encourage contracts to continue to track their enrollment timeliness.</w:t>
      </w:r>
    </w:p>
    <w:p w14:paraId="5C1D9761" w14:textId="77777777" w:rsidR="004C5B0C" w:rsidRPr="001569FB" w:rsidRDefault="004C5B0C" w:rsidP="00AC78D9">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Appropriate Monitoring of Patients Taking Long-term Medications and Asthma Medication Ratio (Part C).  </w:t>
      </w:r>
      <w:r w:rsidRPr="001569FB">
        <w:t xml:space="preserve">NCQA removed the Medicare population from these measures.  Therefore, we propose to discontinue display of these measures in 2019.  </w:t>
      </w:r>
    </w:p>
    <w:p w14:paraId="10E3A368" w14:textId="77777777" w:rsidR="00AF04CB" w:rsidRPr="0062461A" w:rsidRDefault="00AF04CB" w:rsidP="00AF04CB">
      <w:pPr>
        <w:pStyle w:val="Heading3"/>
      </w:pPr>
      <w:bookmarkStart w:id="700" w:name="Forecasting_to_2019_and_Beyond"/>
      <w:bookmarkStart w:id="701" w:name="_Toc493523589"/>
      <w:bookmarkStart w:id="702" w:name="_Toc495652102"/>
      <w:bookmarkEnd w:id="700"/>
      <w:r>
        <w:lastRenderedPageBreak/>
        <w:t xml:space="preserve">Section I </w:t>
      </w:r>
      <w:r w:rsidRPr="001569FB">
        <w:t>Star Ratings</w:t>
      </w:r>
      <w:r>
        <w:t xml:space="preserve"> – Future</w:t>
      </w:r>
    </w:p>
    <w:p w14:paraId="76455D3F" w14:textId="77777777" w:rsidR="004C5B0C" w:rsidRPr="001569FB" w:rsidRDefault="004C5B0C" w:rsidP="004C5B0C">
      <w:pPr>
        <w:pStyle w:val="Heading4"/>
      </w:pPr>
      <w:r w:rsidRPr="001569FB">
        <w:t>Forecasting to 2020 and Beyond</w:t>
      </w:r>
      <w:bookmarkEnd w:id="701"/>
      <w:bookmarkEnd w:id="702"/>
    </w:p>
    <w:p w14:paraId="5E172123" w14:textId="77777777" w:rsidR="004C5B0C" w:rsidRPr="001569FB" w:rsidRDefault="004C5B0C" w:rsidP="001569FB">
      <w:pPr>
        <w:kinsoku w:val="0"/>
        <w:overflowPunct w:val="0"/>
        <w:autoSpaceDE w:val="0"/>
        <w:autoSpaceDN w:val="0"/>
        <w:adjustRightInd w:val="0"/>
        <w:spacing w:after="200"/>
        <w:ind w:right="259"/>
      </w:pPr>
      <w:r w:rsidRPr="001569FB">
        <w:t>The following describes potential changes to existing measures and potential new measures. CMS will also monitor any additional measures developed by NCQA or PQA for potential incorporation into the Star Ratings for 2020 or later. As we add new measures, CMS will consider which measures are topped out or have little variation across contracts to transition them to the display page.</w:t>
      </w:r>
    </w:p>
    <w:p w14:paraId="385F213E" w14:textId="77777777" w:rsidR="004C5B0C" w:rsidRPr="001569FB" w:rsidRDefault="004C5B0C" w:rsidP="004C5B0C">
      <w:pPr>
        <w:kinsoku w:val="0"/>
        <w:overflowPunct w:val="0"/>
        <w:autoSpaceDE w:val="0"/>
        <w:autoSpaceDN w:val="0"/>
        <w:adjustRightInd w:val="0"/>
        <w:ind w:right="255"/>
      </w:pPr>
      <w:bookmarkStart w:id="703" w:name="Patient_Safety_Report_Frequency"/>
      <w:bookmarkStart w:id="704" w:name="Changes_to_existing_measures"/>
      <w:bookmarkStart w:id="705" w:name="Potential_changes_to_existing_measures"/>
      <w:bookmarkStart w:id="706" w:name="_Toc493523590"/>
      <w:bookmarkStart w:id="707" w:name="_Toc495652103"/>
      <w:bookmarkEnd w:id="703"/>
      <w:bookmarkEnd w:id="704"/>
      <w:bookmarkEnd w:id="705"/>
      <w:r w:rsidRPr="001569FB">
        <w:t xml:space="preserve">As proposed in the Medicare Program; Contract Year 2019 Policy and Technical Changes to the Medicare Advantage, Medicare Cost Plan, Medicare Fee-for-Service, the Medicare Prescription Drug Benefit Programs, and the PACE Program (CMS-4182-P) proposed rule, which was published in the Federal Register on November 28, 2017 (82 FR 56336), we intend that changes to the measures for the 2021 Star Ratings and beyond would be governed by the regulations ultimately finalized pursuant to that proposed rule.  We proposed there that new measures or measures with substantial changes would be proposed through the Federal Register rulemaking process for the 2021 Star Ratings or beyond (82 FR 56378) while the Advance Notice/Call Letter process would continue to be used for the 2019 and 2020 Star Ratings.  </w:t>
      </w:r>
    </w:p>
    <w:p w14:paraId="348B2615" w14:textId="77777777" w:rsidR="004C5B0C" w:rsidRPr="001569FB" w:rsidRDefault="004C5B0C" w:rsidP="004C5B0C">
      <w:pPr>
        <w:pStyle w:val="Heading4"/>
      </w:pPr>
      <w:r w:rsidRPr="001569FB">
        <w:t>Potential Changes to Existing Measures</w:t>
      </w:r>
      <w:bookmarkEnd w:id="706"/>
      <w:bookmarkEnd w:id="707"/>
    </w:p>
    <w:p w14:paraId="5940D64F" w14:textId="77777777" w:rsidR="004C5B0C" w:rsidRPr="001569FB" w:rsidRDefault="004C5B0C" w:rsidP="00AC78D9">
      <w:pPr>
        <w:pStyle w:val="ListParagraph"/>
        <w:numPr>
          <w:ilvl w:val="0"/>
          <w:numId w:val="78"/>
        </w:numPr>
        <w:spacing w:before="199"/>
      </w:pPr>
      <w:r w:rsidRPr="001569FB">
        <w:rPr>
          <w:b/>
        </w:rPr>
        <w:t>Controlling High Blood Pressure (Part C)</w:t>
      </w:r>
      <w:r w:rsidRPr="001569FB">
        <w:t xml:space="preserve">. Due to the release of new hypertension treatment guidelines from the American College of Cardiology and American Heart Association, NCQA is evaluating potential updates to the </w:t>
      </w:r>
      <w:r w:rsidRPr="001569FB">
        <w:rPr>
          <w:iCs/>
        </w:rPr>
        <w:t>Controlling High Blood Pressure</w:t>
      </w:r>
      <w:r w:rsidRPr="001569FB">
        <w:t xml:space="preserve"> measure for HEDIS 2019. Additionally, NCQA is exploring modifications to the denominator criteria of the measure to improve feasibility and reduce burden, and potential administrative approaches for meeting numerator criteria.</w:t>
      </w:r>
    </w:p>
    <w:p w14:paraId="276A7702" w14:textId="77777777" w:rsidR="004C5B0C" w:rsidRPr="001569FB" w:rsidRDefault="004C5B0C" w:rsidP="00AC78D9">
      <w:pPr>
        <w:numPr>
          <w:ilvl w:val="0"/>
          <w:numId w:val="49"/>
        </w:numPr>
        <w:tabs>
          <w:tab w:val="left" w:pos="461"/>
        </w:tabs>
        <w:kinsoku w:val="0"/>
        <w:overflowPunct w:val="0"/>
        <w:autoSpaceDE w:val="0"/>
        <w:autoSpaceDN w:val="0"/>
        <w:adjustRightInd w:val="0"/>
        <w:spacing w:before="202"/>
        <w:ind w:left="360" w:right="363"/>
      </w:pPr>
      <w:r w:rsidRPr="001569FB">
        <w:rPr>
          <w:b/>
          <w:bCs/>
        </w:rPr>
        <w:t xml:space="preserve">Plan All-Cause Readmissions (Part C). </w:t>
      </w:r>
      <w:r w:rsidRPr="001569FB">
        <w:t xml:space="preserve">NCQA is exploring several revisions to the HEDIS Plan All-Cause Readmissions measure based on feedback they have received from the field and stakeholders. These revisions may impact the definition of the denominator, numerator, and risk adjustment model for data collected in 2018. The specific revisions they are exploring include: 1) Inclusion of observation stays in the denominator and numerator; 2) revising the measure denominator to be the overall plan population as opposed to index hospital admissions; and 3) adding death in the measurement year as a possible factor in the risk adjustment model for this measure. NCQA is also considering stratifying this measure to separate those individuals with high frequency of index hospital stays. These changes are pending NCQA’s analyses. CMS is also proposing to combine the rates for ages 18-64 and ages 65+ for the revised PCR measure. The revised measure would use NCQA’s new recommendation of 150 as the minimum denominator value for data to be used. The revised measure would be part of </w:t>
      </w:r>
      <w:r w:rsidRPr="001569FB">
        <w:lastRenderedPageBreak/>
        <w:t>the display page for 2019 and 2020 before moving to the 2021 Star Ratings with a weight of 1 the first year and a weight of 3 thereafter. The current Plan All-Cause Readmissions measure would remain in the Star Ratings through 2020.</w:t>
      </w:r>
    </w:p>
    <w:p w14:paraId="3A644731" w14:textId="77777777" w:rsidR="004C5B0C" w:rsidRPr="001569FB" w:rsidRDefault="004C5B0C" w:rsidP="004C5B0C">
      <w:pPr>
        <w:tabs>
          <w:tab w:val="left" w:pos="461"/>
        </w:tabs>
        <w:kinsoku w:val="0"/>
        <w:overflowPunct w:val="0"/>
        <w:autoSpaceDE w:val="0"/>
        <w:autoSpaceDN w:val="0"/>
        <w:adjustRightInd w:val="0"/>
        <w:spacing w:before="202"/>
        <w:ind w:left="360" w:right="363"/>
      </w:pPr>
      <w:r w:rsidRPr="001569FB">
        <w:t xml:space="preserve">NCQA is also considering a possible stratification of the </w:t>
      </w:r>
      <w:r w:rsidRPr="001569FB">
        <w:rPr>
          <w:iCs/>
        </w:rPr>
        <w:t>Plan All-Cause Readmissions</w:t>
      </w:r>
      <w:r w:rsidRPr="001569FB">
        <w:rPr>
          <w:i/>
          <w:iCs/>
        </w:rPr>
        <w:t xml:space="preserve"> </w:t>
      </w:r>
      <w:r w:rsidRPr="001569FB">
        <w:t>measure to identify the percentage of hospital discharges that result in an unplanned hospital readmission during or after a skilled nursing facility stay for MA contracts. As noted below an alternate strategy would be to report readmissions from skilled nursing facilities as a new measure. CMS welcomes feedback on the value of stratified rates as well as the appropriateness of these revisions.</w:t>
      </w:r>
    </w:p>
    <w:p w14:paraId="340BF6DF" w14:textId="77777777" w:rsidR="004C5B0C" w:rsidRPr="001569FB" w:rsidRDefault="004C5B0C" w:rsidP="00AC78D9">
      <w:pPr>
        <w:pStyle w:val="ListParagraph"/>
        <w:numPr>
          <w:ilvl w:val="0"/>
          <w:numId w:val="58"/>
        </w:numPr>
        <w:tabs>
          <w:tab w:val="left" w:pos="461"/>
        </w:tabs>
        <w:kinsoku w:val="0"/>
        <w:overflowPunct w:val="0"/>
        <w:autoSpaceDE w:val="0"/>
        <w:autoSpaceDN w:val="0"/>
        <w:adjustRightInd w:val="0"/>
        <w:spacing w:before="202"/>
        <w:ind w:left="360" w:right="363"/>
      </w:pPr>
      <w:r w:rsidRPr="001569FB">
        <w:rPr>
          <w:b/>
          <w:bCs/>
        </w:rPr>
        <w:t xml:space="preserve">Initiation and Engagement in Alcohol or Drug Dependence (AOD) Treatment (Part C). </w:t>
      </w:r>
      <w:r w:rsidRPr="001569FB">
        <w:rPr>
          <w:bCs/>
        </w:rPr>
        <w:t xml:space="preserve">NCQA modified this measure to include </w:t>
      </w:r>
      <w:r w:rsidRPr="001569FB">
        <w:t>data on the use of MAT in the denominator and numerator components of the measure. This measure will continue to be included on the display page.</w:t>
      </w:r>
    </w:p>
    <w:p w14:paraId="4A0A9B35" w14:textId="77777777" w:rsidR="004C5B0C" w:rsidRPr="001569FB" w:rsidRDefault="004C5B0C" w:rsidP="004C5B0C">
      <w:pPr>
        <w:tabs>
          <w:tab w:val="left" w:pos="360"/>
        </w:tabs>
        <w:kinsoku w:val="0"/>
        <w:overflowPunct w:val="0"/>
        <w:autoSpaceDE w:val="0"/>
        <w:autoSpaceDN w:val="0"/>
        <w:adjustRightInd w:val="0"/>
        <w:ind w:left="360" w:right="562"/>
      </w:pPr>
      <w:r w:rsidRPr="001569FB">
        <w:rPr>
          <w:bCs/>
        </w:rPr>
        <w:t>CMS would also welcome feedback to share with NCQA on the appropriateness of adding certain specific behavioral health diagnostic codes to this measure.</w:t>
      </w:r>
      <w:r w:rsidRPr="001569FB">
        <w:t xml:space="preserve"> Potential diagnostic codes might include self-harm, asphyxiation, overdose, and poisoning conditions.</w:t>
      </w:r>
    </w:p>
    <w:p w14:paraId="13F12410" w14:textId="77777777" w:rsidR="004C5B0C" w:rsidRPr="001569FB" w:rsidRDefault="004C5B0C" w:rsidP="00AC78D9">
      <w:pPr>
        <w:numPr>
          <w:ilvl w:val="0"/>
          <w:numId w:val="50"/>
        </w:numPr>
        <w:tabs>
          <w:tab w:val="left" w:pos="360"/>
        </w:tabs>
        <w:kinsoku w:val="0"/>
        <w:overflowPunct w:val="0"/>
        <w:autoSpaceDE w:val="0"/>
        <w:autoSpaceDN w:val="0"/>
        <w:adjustRightInd w:val="0"/>
        <w:spacing w:before="202" w:after="200"/>
        <w:ind w:left="360" w:right="144"/>
      </w:pPr>
      <w:r w:rsidRPr="001569FB">
        <w:rPr>
          <w:b/>
          <w:bCs/>
        </w:rPr>
        <w:t xml:space="preserve">Telehealth and Remote Access Technologies (Part C). </w:t>
      </w:r>
      <w:r w:rsidRPr="001569FB">
        <w:t>CMS solicited feedback on the appropriateness of including telehealth and/or remote access technology encounters, as allowed under the current statutory definition of Medicare-covered telehealth services and/or as provided by the MAO as an MA supplemental benefit, as eligible encounters in various Part C quality</w:t>
      </w:r>
      <w:r w:rsidRPr="001569FB">
        <w:rPr>
          <w:spacing w:val="-19"/>
        </w:rPr>
        <w:t xml:space="preserve"> </w:t>
      </w:r>
      <w:r w:rsidRPr="001569FB">
        <w:t xml:space="preserve">measures. For example, some HEDIS measures require a visit for the denominator, numerator, or exclusion, and we sought comment on whether telehealth and/or remote access technology encounters should be counted as eligible encounters for the relevant portion of the measure, that is whether for counting as part of a measure, such telehealth and/or remote access technology visits are equivalent to (reasonable replacements for) in-person visits for relevant clinical areas. CMS would welcome feedback to share with NCQA on feasibility of and strategies for addressing telehealth services especially regarding the following measures that are reported by Medicare contracts: </w:t>
      </w:r>
    </w:p>
    <w:p w14:paraId="38E2C52D"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Use of Spirometry Testing in the Assessment and Diagnosis of COPD </w:t>
      </w:r>
    </w:p>
    <w:p w14:paraId="6EB32909" w14:textId="2CBE92D0"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Adults</w:t>
      </w:r>
      <w:r w:rsidR="00980C81" w:rsidRPr="001569FB">
        <w:rPr>
          <w:rFonts w:asciiTheme="minorHAnsi" w:hAnsiTheme="minorHAnsi" w:cstheme="minorHAnsi"/>
          <w:i/>
        </w:rPr>
        <w:t>’</w:t>
      </w:r>
      <w:r w:rsidRPr="001569FB">
        <w:rPr>
          <w:rFonts w:asciiTheme="minorHAnsi" w:hAnsiTheme="minorHAnsi" w:cstheme="minorHAnsi"/>
          <w:i/>
        </w:rPr>
        <w:t xml:space="preserve"> Access to Preventive/Ambulatory Health Services </w:t>
      </w:r>
    </w:p>
    <w:p w14:paraId="6A3A285E"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Controlling High Blood Pressure </w:t>
      </w:r>
    </w:p>
    <w:p w14:paraId="542B7FC7"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Comprehensive Diabetes Care </w:t>
      </w:r>
    </w:p>
    <w:p w14:paraId="23D1E922" w14:textId="77777777" w:rsidR="004C5B0C" w:rsidRPr="001569FB" w:rsidRDefault="004C5B0C" w:rsidP="00AC78D9">
      <w:pPr>
        <w:pStyle w:val="Default"/>
        <w:numPr>
          <w:ilvl w:val="0"/>
          <w:numId w:val="57"/>
        </w:numPr>
        <w:tabs>
          <w:tab w:val="left" w:pos="461"/>
        </w:tabs>
        <w:kinsoku w:val="0"/>
        <w:overflowPunct w:val="0"/>
        <w:spacing w:before="202" w:after="0"/>
        <w:ind w:left="360" w:right="157"/>
        <w:rPr>
          <w:rFonts w:asciiTheme="minorHAnsi" w:hAnsiTheme="minorHAnsi" w:cstheme="minorHAnsi"/>
        </w:rPr>
      </w:pPr>
      <w:r w:rsidRPr="001569FB">
        <w:rPr>
          <w:rFonts w:asciiTheme="minorHAnsi" w:hAnsiTheme="minorHAnsi" w:cstheme="minorHAnsi"/>
          <w:b/>
          <w:bCs/>
        </w:rPr>
        <w:t xml:space="preserve">Cross-Cutting Exclusions for Advanced Illness (Part C). </w:t>
      </w:r>
      <w:r w:rsidRPr="001569FB">
        <w:rPr>
          <w:rFonts w:asciiTheme="minorHAnsi" w:hAnsiTheme="minorHAnsi" w:cstheme="minorHAnsi"/>
        </w:rPr>
        <w:t xml:space="preserve">NCQA is evaluating the clinical appropriateness and feasibility of excluding individuals with advanced illness from selected HEDIS measures. While HEDIS measures are designed to compare the quality of care provided to general populations or disease-specific care provided to individuals with a </w:t>
      </w:r>
      <w:r w:rsidRPr="001569FB">
        <w:rPr>
          <w:rFonts w:asciiTheme="minorHAnsi" w:hAnsiTheme="minorHAnsi" w:cstheme="minorHAnsi"/>
        </w:rPr>
        <w:lastRenderedPageBreak/>
        <w:t xml:space="preserve">chronic condition, these measures may not be clinically appropriate for certain individuals with advanced illness and may overlook the quality issues that are specific to these patients. NCQA is therefore assessing the need for having exclusions for selected HEDIS measures for patients with advanced illness where providing certain treatments and services may not be appropriate. NCQA is exploring which specific illnesses and healthcare utilization may warrant an exclusion, and to which measures the exclusion should be applied. If approved, updates to HEDIS measures for any additional exclusions would be incorporated in HEDIS 2019. </w:t>
      </w:r>
    </w:p>
    <w:p w14:paraId="46E99026" w14:textId="77777777" w:rsidR="004C5B0C" w:rsidRPr="001569FB" w:rsidRDefault="004C5B0C" w:rsidP="00AC78D9">
      <w:pPr>
        <w:pStyle w:val="ListParagraph"/>
        <w:numPr>
          <w:ilvl w:val="0"/>
          <w:numId w:val="57"/>
        </w:numPr>
        <w:tabs>
          <w:tab w:val="left" w:pos="841"/>
        </w:tabs>
        <w:kinsoku w:val="0"/>
        <w:overflowPunct w:val="0"/>
        <w:autoSpaceDE w:val="0"/>
        <w:autoSpaceDN w:val="0"/>
        <w:adjustRightInd w:val="0"/>
        <w:spacing w:before="207"/>
        <w:ind w:left="360" w:right="235"/>
      </w:pPr>
      <w:r w:rsidRPr="001569FB">
        <w:rPr>
          <w:b/>
          <w:bCs/>
        </w:rPr>
        <w:t xml:space="preserve">Medication Adherence (ADH) for Cholesterol (Statins) (Part D).  </w:t>
      </w:r>
      <w:r w:rsidRPr="001569FB">
        <w:rPr>
          <w:bCs/>
        </w:rPr>
        <w:t xml:space="preserve">The PQA updated this measure for 2018 to exclude beneficiaries with ESRD. We propose to apply this exclusion to the 2020 Star Ratings (based on 2018 data), in the same manner that the ESRD exclusion is currently applied to the Medication Adherence (ADH) for Hypertension (RAS Antagonists), Medication Adherence for Diabetes Medications, and Statin Use in Persons with Dementia measures.  </w:t>
      </w:r>
    </w:p>
    <w:p w14:paraId="094BD0A2" w14:textId="77777777" w:rsidR="004C5B0C" w:rsidRPr="001569FB" w:rsidRDefault="004C5B0C" w:rsidP="00AC78D9">
      <w:pPr>
        <w:numPr>
          <w:ilvl w:val="0"/>
          <w:numId w:val="57"/>
        </w:numPr>
        <w:tabs>
          <w:tab w:val="left" w:pos="841"/>
        </w:tabs>
        <w:kinsoku w:val="0"/>
        <w:overflowPunct w:val="0"/>
        <w:autoSpaceDE w:val="0"/>
        <w:autoSpaceDN w:val="0"/>
        <w:adjustRightInd w:val="0"/>
        <w:spacing w:before="207"/>
        <w:ind w:left="360" w:right="235"/>
      </w:pPr>
      <w:r w:rsidRPr="001569FB">
        <w:rPr>
          <w:b/>
          <w:bCs/>
        </w:rPr>
        <w:t xml:space="preserve">Medication Therapy Management (MTM) Program Completion Rate for Comprehensive Medication Reviews (CMR) Measure (Part D).  </w:t>
      </w:r>
      <w:r w:rsidRPr="001569FB">
        <w:rPr>
          <w:bCs/>
        </w:rPr>
        <w:t>The PQA updated this measure for 2018 to include a new denominator exception as follows:</w:t>
      </w:r>
    </w:p>
    <w:p w14:paraId="3C8F8DA0" w14:textId="77777777" w:rsidR="004C5B0C" w:rsidRPr="001569FB" w:rsidRDefault="004C5B0C" w:rsidP="004C5B0C">
      <w:pPr>
        <w:pStyle w:val="ListParagraph"/>
        <w:ind w:left="360"/>
        <w:rPr>
          <w:color w:val="000000" w:themeColor="text1"/>
        </w:rPr>
      </w:pPr>
      <w:r w:rsidRPr="001569FB">
        <w:rPr>
          <w:color w:val="000000" w:themeColor="text1"/>
        </w:rPr>
        <w:t xml:space="preserve">For patients eligible for CMR with fewer than 61 days of continuous enrollment in the MTM program: </w:t>
      </w:r>
    </w:p>
    <w:p w14:paraId="6A39047F" w14:textId="77777777" w:rsidR="004C5B0C" w:rsidRPr="001569FB" w:rsidRDefault="004C5B0C" w:rsidP="00AC78D9">
      <w:pPr>
        <w:pStyle w:val="ListParagraph"/>
        <w:widowControl w:val="0"/>
        <w:numPr>
          <w:ilvl w:val="1"/>
          <w:numId w:val="60"/>
        </w:numPr>
        <w:contextualSpacing w:val="0"/>
        <w:rPr>
          <w:bCs/>
        </w:rPr>
      </w:pPr>
      <w:r w:rsidRPr="001569FB">
        <w:rPr>
          <w:bCs/>
        </w:rPr>
        <w:t>Exclude them from the denominator if they did not receive a CMR within this timeframe.</w:t>
      </w:r>
    </w:p>
    <w:p w14:paraId="286E6005" w14:textId="77777777" w:rsidR="004C5B0C" w:rsidRPr="001569FB" w:rsidRDefault="004C5B0C" w:rsidP="00AC78D9">
      <w:pPr>
        <w:pStyle w:val="ListParagraph"/>
        <w:numPr>
          <w:ilvl w:val="1"/>
          <w:numId w:val="60"/>
        </w:numPr>
        <w:contextualSpacing w:val="0"/>
        <w:rPr>
          <w:bCs/>
        </w:rPr>
      </w:pPr>
      <w:r w:rsidRPr="001569FB">
        <w:rPr>
          <w:bCs/>
        </w:rPr>
        <w:t xml:space="preserve">Include them in the denominator and the numerator if they received a CMR within this timeframe. </w:t>
      </w:r>
    </w:p>
    <w:p w14:paraId="2D66582A" w14:textId="77777777" w:rsidR="004C5B0C" w:rsidRPr="001569FB" w:rsidRDefault="004C5B0C" w:rsidP="004C5B0C">
      <w:pPr>
        <w:pStyle w:val="ListParagraph"/>
        <w:ind w:left="360"/>
        <w:rPr>
          <w:color w:val="000000" w:themeColor="text1"/>
          <w:sz w:val="10"/>
          <w:szCs w:val="10"/>
        </w:rPr>
      </w:pPr>
    </w:p>
    <w:p w14:paraId="4A510D83" w14:textId="77777777" w:rsidR="004C5B0C" w:rsidRPr="001569FB" w:rsidRDefault="004C5B0C" w:rsidP="004C5B0C">
      <w:pPr>
        <w:pStyle w:val="ListParagraph"/>
        <w:ind w:left="360"/>
        <w:contextualSpacing w:val="0"/>
        <w:rPr>
          <w:color w:val="000000" w:themeColor="text1"/>
        </w:rPr>
      </w:pPr>
      <w:r w:rsidRPr="001569FB">
        <w:rPr>
          <w:color w:val="000000" w:themeColor="text1"/>
        </w:rPr>
        <w:t>For example, if the patient was enrolled in the MTM program and eligible for CMR on November 2 of the measurement year, the patient would not be included in the denominator if the CMR were not received as of December 31, because there would have been fewer than 61 days of continuous eligibility. If the patient received a CMR by December 31, the patient would be included in the denominator and the numerator.</w:t>
      </w:r>
    </w:p>
    <w:p w14:paraId="228034A8" w14:textId="77777777" w:rsidR="004C5B0C" w:rsidRPr="001569FB" w:rsidRDefault="004C5B0C" w:rsidP="004C5B0C">
      <w:pPr>
        <w:pStyle w:val="ListParagraph"/>
        <w:spacing w:after="200"/>
        <w:ind w:left="360"/>
        <w:contextualSpacing w:val="0"/>
        <w:rPr>
          <w:color w:val="000000" w:themeColor="text1"/>
        </w:rPr>
      </w:pPr>
      <w:r w:rsidRPr="001569FB">
        <w:rPr>
          <w:color w:val="000000" w:themeColor="text1"/>
        </w:rPr>
        <w:t>We plan to propose to apply this denominator exception to the 2020 Star Ratings (based on 2018 data).</w:t>
      </w:r>
    </w:p>
    <w:p w14:paraId="2B70D13F" w14:textId="77777777" w:rsidR="004C5B0C" w:rsidRPr="001569FB" w:rsidRDefault="004C5B0C" w:rsidP="00AC78D9">
      <w:pPr>
        <w:pStyle w:val="ListParagraph"/>
        <w:numPr>
          <w:ilvl w:val="0"/>
          <w:numId w:val="58"/>
        </w:numPr>
        <w:spacing w:before="199" w:after="200"/>
        <w:ind w:left="360"/>
        <w:contextualSpacing w:val="0"/>
      </w:pPr>
      <w:r w:rsidRPr="001569FB">
        <w:rPr>
          <w:b/>
          <w:bCs/>
        </w:rPr>
        <w:t xml:space="preserve">Center for Medicare and Medicaid Innovation Model Tests. </w:t>
      </w:r>
      <w:r w:rsidRPr="001569FB">
        <w:t>The MA Value-Based Insurance Design (MA-VBID) model test is an opportunity for MAOs to offer supplemental benefits or reduced cost sharing to enrollees with CMS-specified chronic conditions, focused on the services that are of highest clinical value to them.</w:t>
      </w:r>
      <w:r w:rsidRPr="001569FB">
        <w:rPr>
          <w:spacing w:val="-4"/>
        </w:rPr>
        <w:t xml:space="preserve"> </w:t>
      </w:r>
      <w:r w:rsidRPr="001569FB">
        <w:t xml:space="preserve">The Part D Enhanced MTM model tests whether providing Part D sponsors with additional payment incentives and regulatory flexibilities will engender enhancements in the MTM program, leading to improved therapeutic outcomes, while reducing net Medicare expenditures. We note that some stakeholders have expressed concern regarding the potential for the improvements in quality </w:t>
      </w:r>
      <w:r w:rsidRPr="001569FB">
        <w:lastRenderedPageBreak/>
        <w:t>resulting from these tests to adversely influence the Star Ratings of contracts that are ineligible to participate (or that include some PBPs ineligible to participate). CMS’ goal is to not penalize participants or non-participants in either model.</w:t>
      </w:r>
    </w:p>
    <w:p w14:paraId="22182AEA" w14:textId="77777777" w:rsidR="004C5B0C" w:rsidRPr="001569FB" w:rsidRDefault="004C5B0C" w:rsidP="004C5B0C">
      <w:pPr>
        <w:kinsoku w:val="0"/>
        <w:overflowPunct w:val="0"/>
        <w:autoSpaceDE w:val="0"/>
        <w:autoSpaceDN w:val="0"/>
        <w:adjustRightInd w:val="0"/>
        <w:ind w:left="360" w:right="600"/>
        <w:rPr>
          <w:b/>
          <w:bCs/>
        </w:rPr>
      </w:pPr>
      <w:r w:rsidRPr="001569FB">
        <w:t>For the MA-VBID Model test, CMS is considering the option of excluding VBID- participants’ data when calculating the cut points for relevant measures. CMS has waived the MTM requirements under Section 1860D–4(c)(2) and 42 CFR 423.153(d) and the Part D Reporting Requirements for MTM for Part D plans participating in the Part D Enhanced MTM Model. However, Part D sponsors with plans participating in this model must establish MTM programs in compliance with current requirements and reporting data for the remaining plans under each Part D contract. Therefore, the MTM Program CMR Completion Rates will be calculated using available plan-reported data from the remaining plans under the Part D contract. CMS plans to analyze if this approach significantly advantages or disadvantages Enhanced MTM model participants and evaluate potential adjustments as necessary, including the establishment of different cut points for model participants or to case-mix adjust scores for the purpose of determining cut points.</w:t>
      </w:r>
      <w:r w:rsidRPr="001569FB" w:rsidDel="006D113C">
        <w:rPr>
          <w:sz w:val="20"/>
          <w:szCs w:val="20"/>
        </w:rPr>
        <w:t xml:space="preserve"> </w:t>
      </w:r>
      <w:bookmarkStart w:id="708" w:name="Temporary_removal_of_measures_from_Star_"/>
      <w:bookmarkEnd w:id="708"/>
    </w:p>
    <w:p w14:paraId="1433225C" w14:textId="77777777" w:rsidR="004C5B0C" w:rsidRPr="001569FB" w:rsidRDefault="004C5B0C" w:rsidP="004C5B0C">
      <w:pPr>
        <w:pStyle w:val="Heading4"/>
      </w:pPr>
      <w:bookmarkStart w:id="709" w:name="Potential_new_measures_for_2019_and_beyo"/>
      <w:bookmarkStart w:id="710" w:name="bookmark16"/>
      <w:bookmarkStart w:id="711" w:name="_Toc493523591"/>
      <w:bookmarkStart w:id="712" w:name="_Toc495652104"/>
      <w:bookmarkEnd w:id="709"/>
      <w:bookmarkEnd w:id="710"/>
      <w:r w:rsidRPr="001569FB">
        <w:t>Potential New Measures for 2020 and Beyond</w:t>
      </w:r>
      <w:bookmarkEnd w:id="711"/>
      <w:bookmarkEnd w:id="712"/>
    </w:p>
    <w:p w14:paraId="08B9E49D" w14:textId="77777777" w:rsidR="004C5B0C" w:rsidRPr="001569FB" w:rsidRDefault="004C5B0C" w:rsidP="00AC78D9">
      <w:pPr>
        <w:numPr>
          <w:ilvl w:val="0"/>
          <w:numId w:val="49"/>
        </w:numPr>
        <w:tabs>
          <w:tab w:val="left" w:pos="360"/>
        </w:tabs>
        <w:kinsoku w:val="0"/>
        <w:overflowPunct w:val="0"/>
        <w:autoSpaceDE w:val="0"/>
        <w:autoSpaceDN w:val="0"/>
        <w:adjustRightInd w:val="0"/>
        <w:spacing w:before="201" w:after="200" w:line="274" w:lineRule="auto"/>
        <w:ind w:left="360" w:right="245"/>
      </w:pPr>
      <w:r w:rsidRPr="001569FB">
        <w:rPr>
          <w:b/>
          <w:bCs/>
        </w:rPr>
        <w:t xml:space="preserve">Transitions of Care (Part C). </w:t>
      </w:r>
      <w:r w:rsidRPr="001569FB">
        <w:t>CMS appreciates feedback received about a new HEDIS Transitions of Care measure with four indicators:</w:t>
      </w:r>
    </w:p>
    <w:p w14:paraId="5E840F8F" w14:textId="77777777" w:rsidR="004C5B0C" w:rsidRPr="001569FB" w:rsidRDefault="004C5B0C" w:rsidP="00AC78D9">
      <w:pPr>
        <w:numPr>
          <w:ilvl w:val="0"/>
          <w:numId w:val="48"/>
        </w:numPr>
        <w:tabs>
          <w:tab w:val="left" w:pos="821"/>
        </w:tabs>
        <w:kinsoku w:val="0"/>
        <w:overflowPunct w:val="0"/>
        <w:autoSpaceDE w:val="0"/>
        <w:autoSpaceDN w:val="0"/>
        <w:adjustRightInd w:val="0"/>
        <w:spacing w:before="1"/>
        <w:ind w:right="675"/>
      </w:pPr>
      <w:r w:rsidRPr="001569FB">
        <w:rPr>
          <w:i/>
          <w:iCs/>
        </w:rPr>
        <w:t xml:space="preserve">Notification of Inpatient Admission: </w:t>
      </w:r>
      <w:r w:rsidRPr="001569FB">
        <w:t>Documentation of primary care practitioner notification of inpatient admission on the day of admission or the following</w:t>
      </w:r>
      <w:r w:rsidRPr="001569FB">
        <w:rPr>
          <w:spacing w:val="-17"/>
        </w:rPr>
        <w:t xml:space="preserve"> </w:t>
      </w:r>
      <w:r w:rsidRPr="001569FB">
        <w:t>day.</w:t>
      </w:r>
    </w:p>
    <w:p w14:paraId="0B55C774" w14:textId="77777777" w:rsidR="004C5B0C" w:rsidRPr="001569FB" w:rsidRDefault="004C5B0C" w:rsidP="00AC78D9">
      <w:pPr>
        <w:numPr>
          <w:ilvl w:val="0"/>
          <w:numId w:val="48"/>
        </w:numPr>
        <w:tabs>
          <w:tab w:val="left" w:pos="821"/>
        </w:tabs>
        <w:kinsoku w:val="0"/>
        <w:overflowPunct w:val="0"/>
        <w:autoSpaceDE w:val="0"/>
        <w:autoSpaceDN w:val="0"/>
        <w:adjustRightInd w:val="0"/>
        <w:spacing w:before="1" w:line="278" w:lineRule="auto"/>
        <w:ind w:right="129"/>
      </w:pPr>
      <w:r w:rsidRPr="001569FB">
        <w:rPr>
          <w:i/>
          <w:iCs/>
        </w:rPr>
        <w:t xml:space="preserve">Receipt of Discharge Information: </w:t>
      </w:r>
      <w:r w:rsidRPr="001569FB">
        <w:t>Documentation of primary care practitioner receipt of specific discharge information on the day of discharge or the following</w:t>
      </w:r>
      <w:r w:rsidRPr="001569FB">
        <w:rPr>
          <w:spacing w:val="-14"/>
        </w:rPr>
        <w:t xml:space="preserve"> </w:t>
      </w:r>
      <w:r w:rsidRPr="001569FB">
        <w:t>day.</w:t>
      </w:r>
    </w:p>
    <w:p w14:paraId="74D17332" w14:textId="77777777" w:rsidR="004C5B0C" w:rsidRPr="001569FB" w:rsidRDefault="004C5B0C" w:rsidP="00AC78D9">
      <w:pPr>
        <w:numPr>
          <w:ilvl w:val="0"/>
          <w:numId w:val="48"/>
        </w:numPr>
        <w:tabs>
          <w:tab w:val="left" w:pos="821"/>
        </w:tabs>
        <w:kinsoku w:val="0"/>
        <w:overflowPunct w:val="0"/>
        <w:autoSpaceDE w:val="0"/>
        <w:autoSpaceDN w:val="0"/>
        <w:adjustRightInd w:val="0"/>
        <w:ind w:right="120"/>
      </w:pPr>
      <w:r w:rsidRPr="001569FB">
        <w:rPr>
          <w:i/>
          <w:iCs/>
        </w:rPr>
        <w:t>Patient Engagement After Inpatient Discharge</w:t>
      </w:r>
      <w:r w:rsidRPr="001569FB">
        <w:t>: Documentation of patient engagement (e.g., office visits, visits to the home, or telehealth) provided by primary care practitioner within 30 days after</w:t>
      </w:r>
      <w:r w:rsidRPr="001569FB">
        <w:rPr>
          <w:spacing w:val="-10"/>
        </w:rPr>
        <w:t xml:space="preserve"> </w:t>
      </w:r>
      <w:r w:rsidRPr="001569FB">
        <w:t>discharge.</w:t>
      </w:r>
    </w:p>
    <w:p w14:paraId="223D3F00" w14:textId="77777777" w:rsidR="004C5B0C" w:rsidRPr="001569FB" w:rsidRDefault="004C5B0C" w:rsidP="00AC78D9">
      <w:pPr>
        <w:numPr>
          <w:ilvl w:val="0"/>
          <w:numId w:val="48"/>
        </w:numPr>
        <w:tabs>
          <w:tab w:val="left" w:pos="821"/>
        </w:tabs>
        <w:kinsoku w:val="0"/>
        <w:overflowPunct w:val="0"/>
        <w:autoSpaceDE w:val="0"/>
        <w:autoSpaceDN w:val="0"/>
        <w:adjustRightInd w:val="0"/>
        <w:spacing w:before="5"/>
        <w:ind w:right="468"/>
      </w:pPr>
      <w:r w:rsidRPr="001569FB">
        <w:rPr>
          <w:i/>
          <w:iCs/>
        </w:rPr>
        <w:t xml:space="preserve">Medication Reconciliation Post-Discharge </w:t>
      </w:r>
      <w:r w:rsidRPr="001569FB">
        <w:t>(which is currently a HEDIS measure): Documentation of medication reconciliation within 30 days of</w:t>
      </w:r>
      <w:r w:rsidRPr="001569FB">
        <w:rPr>
          <w:spacing w:val="-9"/>
        </w:rPr>
        <w:t xml:space="preserve"> </w:t>
      </w:r>
      <w:r w:rsidRPr="001569FB">
        <w:t>discharge.</w:t>
      </w:r>
    </w:p>
    <w:p w14:paraId="22A6A3F7" w14:textId="77777777" w:rsidR="004C5B0C" w:rsidRPr="001569FB" w:rsidRDefault="004C5B0C" w:rsidP="004C5B0C">
      <w:pPr>
        <w:kinsoku w:val="0"/>
        <w:overflowPunct w:val="0"/>
        <w:autoSpaceDE w:val="0"/>
        <w:autoSpaceDN w:val="0"/>
        <w:adjustRightInd w:val="0"/>
        <w:ind w:left="450" w:right="202"/>
      </w:pPr>
      <w:r w:rsidRPr="001569FB">
        <w:t>The intent of the measure is to improve the quality of care transitions from an inpatient setting to home. We plan to propose to include this measure with the four indicators on the 2020 display measure for possible inclusion in the 2022 Star Ratings.</w:t>
      </w:r>
    </w:p>
    <w:p w14:paraId="6DED00B6" w14:textId="77777777" w:rsidR="004C5B0C" w:rsidRPr="001569FB" w:rsidRDefault="004C5B0C" w:rsidP="00AC78D9">
      <w:pPr>
        <w:numPr>
          <w:ilvl w:val="0"/>
          <w:numId w:val="55"/>
        </w:numPr>
        <w:kinsoku w:val="0"/>
        <w:overflowPunct w:val="0"/>
        <w:spacing w:before="199" w:after="160"/>
        <w:ind w:right="202"/>
        <w:rPr>
          <w:b/>
          <w:bCs/>
        </w:rPr>
      </w:pPr>
      <w:r w:rsidRPr="001569FB">
        <w:rPr>
          <w:b/>
          <w:bCs/>
        </w:rPr>
        <w:t xml:space="preserve">Follow-up after Emergency Department Visit for Patients with Multiple Chronic Conditions (Part C). </w:t>
      </w:r>
      <w:r w:rsidRPr="001569FB">
        <w:t xml:space="preserve">CMS is considering use of a new HEDIS measure assessing follow-up care provided after an emergency department visit for patients with multiple chronic conditions. Patients with multiple chronic conditions are more likely to have complex care needs and follow-up after an acute event, like an emergency department visit, can help to prevent the development of more severe complications. The developer, NCQA, is </w:t>
      </w:r>
      <w:r w:rsidRPr="001569FB">
        <w:lastRenderedPageBreak/>
        <w:t>evaluating what timeframe (e.g., 7, 14, or 30 days post-ED visit) and what types of follow-up (e.g., face-to-face office visits, telephone or web interactions, or visits to the home) are appropriate.  We plan to propose to include this measure on the 2020 display page for possible inclusion in the 2022 Star Ratings.</w:t>
      </w:r>
    </w:p>
    <w:p w14:paraId="384138FC" w14:textId="77777777" w:rsidR="004C5B0C" w:rsidRPr="001569FB" w:rsidRDefault="004C5B0C" w:rsidP="00AC78D9">
      <w:pPr>
        <w:numPr>
          <w:ilvl w:val="0"/>
          <w:numId w:val="49"/>
        </w:numPr>
        <w:kinsoku w:val="0"/>
        <w:overflowPunct w:val="0"/>
        <w:autoSpaceDE w:val="0"/>
        <w:autoSpaceDN w:val="0"/>
        <w:adjustRightInd w:val="0"/>
        <w:spacing w:before="240"/>
        <w:ind w:left="360" w:right="220"/>
      </w:pPr>
      <w:r w:rsidRPr="001569FB">
        <w:rPr>
          <w:b/>
          <w:bCs/>
        </w:rPr>
        <w:t xml:space="preserve">Care Coordination Measures (Part C). </w:t>
      </w:r>
      <w:r w:rsidRPr="001569FB">
        <w:t>Effective care coordination, including care transition, contributes to improved health outcomes (</w:t>
      </w:r>
      <w:hyperlink r:id="rId56" w:history="1">
        <w:r w:rsidRPr="001569FB">
          <w:rPr>
            <w:color w:val="0000FF"/>
            <w:u w:val="single"/>
          </w:rPr>
          <w:t>http://www.qualityforum.org/200cNews_And_Resources/‌Press_Releases/2012/</w:t>
        </w:r>
      </w:hyperlink>
      <w:r w:rsidRPr="001569FB">
        <w:rPr>
          <w:color w:val="0000FF"/>
          <w:u w:val="single"/>
        </w:rPr>
        <w:t>‌</w:t>
      </w:r>
      <w:hyperlink r:id="rId57" w:history="1">
        <w:r w:rsidRPr="001569FB">
          <w:rPr>
            <w:color w:val="0000FF"/>
            <w:u w:val="single"/>
          </w:rPr>
          <w:t>NQF_Endorses_Care_Coordination_Measures.aspx</w:t>
        </w:r>
      </w:hyperlink>
      <w:r w:rsidRPr="001569FB">
        <w:rPr>
          <w:color w:val="000000"/>
          <w:u w:val="single"/>
        </w:rPr>
        <w:t>)</w:t>
      </w:r>
      <w:r w:rsidRPr="001569FB">
        <w:t>. CMS believes that 5-star MA contracts perform well on our Star Ratings measures because they understand how to effectively coordinate care for their enrollees. Our assumption about plan care coordination activities, however, is based largely on anecdotes and discussions with high performing plans, as well as on data from CAHPS surveys, which reflect enrollees’ experiences with the care they receive.</w:t>
      </w:r>
    </w:p>
    <w:p w14:paraId="3933E08E" w14:textId="77777777" w:rsidR="004C5B0C" w:rsidRPr="001569FB" w:rsidRDefault="004C5B0C" w:rsidP="004C5B0C">
      <w:pPr>
        <w:pStyle w:val="ListParagraph"/>
        <w:kinsoku w:val="0"/>
        <w:overflowPunct w:val="0"/>
        <w:autoSpaceDE w:val="0"/>
        <w:autoSpaceDN w:val="0"/>
        <w:adjustRightInd w:val="0"/>
        <w:spacing w:before="202"/>
        <w:ind w:left="360" w:right="122"/>
      </w:pPr>
      <w:r w:rsidRPr="001569FB">
        <w:t>CMS is working to expand efforts to better evaluate a plan’s success at effective care coordination. We have identified potential new care coordination measures and are currently testing them for possible future implementation. We will provide more details at a later date.</w:t>
      </w:r>
      <w:r w:rsidRPr="001569FB" w:rsidDel="00080E2B">
        <w:t xml:space="preserve"> </w:t>
      </w:r>
    </w:p>
    <w:p w14:paraId="163A8C98" w14:textId="77777777" w:rsidR="004C5B0C" w:rsidRPr="001569FB" w:rsidRDefault="004C5B0C" w:rsidP="00AC78D9">
      <w:pPr>
        <w:numPr>
          <w:ilvl w:val="0"/>
          <w:numId w:val="49"/>
        </w:numPr>
        <w:tabs>
          <w:tab w:val="left" w:pos="461"/>
        </w:tabs>
        <w:kinsoku w:val="0"/>
        <w:overflowPunct w:val="0"/>
        <w:autoSpaceDE w:val="0"/>
        <w:autoSpaceDN w:val="0"/>
        <w:adjustRightInd w:val="0"/>
        <w:spacing w:before="240"/>
        <w:ind w:left="360" w:right="220"/>
        <w:rPr>
          <w:bCs/>
        </w:rPr>
      </w:pPr>
      <w:r w:rsidRPr="001569FB">
        <w:rPr>
          <w:b/>
          <w:bCs/>
        </w:rPr>
        <w:t xml:space="preserve">Opioid Overuse (Part C). </w:t>
      </w:r>
      <w:r w:rsidRPr="001569FB">
        <w:rPr>
          <w:bCs/>
        </w:rPr>
        <w:t xml:space="preserve">For HEDIS 2018, NCQA is collecting data on Use of Opioids at High Doses and Use of Opioids from Multiple Providers. These measures are adapted from the PQA’s opioid measures (discussed above). We welcome feedback from stakeholders about the value of including these Part C measures on the display page, given the similar Part D measures that constitute data for Patient Safety reports back to plans and which may also be reported on the display page. </w:t>
      </w:r>
    </w:p>
    <w:p w14:paraId="5F305100" w14:textId="77777777" w:rsidR="004C5B0C" w:rsidRPr="001569FB" w:rsidRDefault="004C5B0C" w:rsidP="004C5B0C">
      <w:pPr>
        <w:tabs>
          <w:tab w:val="left" w:pos="461"/>
        </w:tabs>
        <w:kinsoku w:val="0"/>
        <w:overflowPunct w:val="0"/>
        <w:autoSpaceDE w:val="0"/>
        <w:autoSpaceDN w:val="0"/>
        <w:adjustRightInd w:val="0"/>
        <w:ind w:left="360" w:right="220"/>
        <w:rPr>
          <w:bCs/>
        </w:rPr>
      </w:pPr>
      <w:r w:rsidRPr="001569FB">
        <w:rPr>
          <w:bCs/>
        </w:rPr>
        <w:t xml:space="preserve">For HEDIS 2019, NCQA will be testing a new measure concept that addresses members who were previously naïve to opioids who become long-term or “chronic” users. In addition to understanding the feasibility and utility of reporting this measure concept at the health plan level, testing of this concept will focus on exploring different definitions of “opioid naïve” and “chronic use,” as well as identifying populations that warrant exclusion from the measure. NCQA is also considering testing of a second measure concept that addresses the concurrent prescription of opioids and central nervous system (CNS) depressants. If this concept is pursued further, testing would focus on understanding the feasibility and utility of the measure, identifying populations to be excluded, and defining both the list of drugs included and the concurrent overlap period.  </w:t>
      </w:r>
    </w:p>
    <w:p w14:paraId="5BA0462A" w14:textId="77777777" w:rsidR="004C5B0C" w:rsidRPr="001569FB" w:rsidRDefault="004C5B0C" w:rsidP="004C5B0C">
      <w:pPr>
        <w:tabs>
          <w:tab w:val="left" w:pos="461"/>
        </w:tabs>
        <w:kinsoku w:val="0"/>
        <w:overflowPunct w:val="0"/>
        <w:autoSpaceDE w:val="0"/>
        <w:autoSpaceDN w:val="0"/>
        <w:adjustRightInd w:val="0"/>
        <w:ind w:left="360" w:right="220"/>
        <w:rPr>
          <w:bCs/>
        </w:rPr>
      </w:pPr>
      <w:r w:rsidRPr="001569FB">
        <w:rPr>
          <w:bCs/>
        </w:rPr>
        <w:t xml:space="preserve">Since similar measures are being or have been developed as Part D measures, CMS is interested in feedback not only on the measure concepts, but also whether and how MA contracts have a unique role and responsibility, in contrast to stand-alone prescription drug plans, regarding opioid use, misuse, abuse and/or dependency, none of which would be captured by Part D measures. CMS would also be interested in feedback on the value of </w:t>
      </w:r>
      <w:r w:rsidRPr="001569FB">
        <w:rPr>
          <w:bCs/>
        </w:rPr>
        <w:lastRenderedPageBreak/>
        <w:t>these measure concepts and how to weigh that value in contrast to any burden from measurement in this area.</w:t>
      </w:r>
    </w:p>
    <w:p w14:paraId="2EB098F1" w14:textId="77777777" w:rsidR="004C5B0C" w:rsidRPr="001569FB" w:rsidRDefault="004C5B0C" w:rsidP="00AC78D9">
      <w:pPr>
        <w:numPr>
          <w:ilvl w:val="0"/>
          <w:numId w:val="47"/>
        </w:numPr>
        <w:tabs>
          <w:tab w:val="left" w:pos="360"/>
        </w:tabs>
        <w:kinsoku w:val="0"/>
        <w:overflowPunct w:val="0"/>
        <w:autoSpaceDE w:val="0"/>
        <w:autoSpaceDN w:val="0"/>
        <w:adjustRightInd w:val="0"/>
        <w:spacing w:before="240"/>
        <w:ind w:right="120"/>
        <w:rPr>
          <w:bCs/>
        </w:rPr>
      </w:pPr>
      <w:r w:rsidRPr="001569FB">
        <w:rPr>
          <w:b/>
          <w:bCs/>
        </w:rPr>
        <w:t xml:space="preserve">Assessment of Care for People with Multiple High-Risk Chronic Conditions (Part C). </w:t>
      </w:r>
      <w:r w:rsidRPr="001569FB">
        <w:rPr>
          <w:bCs/>
        </w:rPr>
        <w:t>NCQA is considering a new measure concept that would adapt the current Care for Older Adults measure by expanding the number of indicators and broadening the populations covered by the set of measures. Care for Older Adults currently has four indicators and is reported by MA Special Needs Plans (SNPs) only. The new measure, Assessment of Care for People with Multiple High-Risk Chronic Conditions, would apply to all Medicare plans and would target the population of people with two or more high-risk chronic conditions. Using the same denominator introduced in the HEDIS 2018 first-year measure Follow-Up After Emergency Department Visit for People with Multiple High-Risk Chronic Conditions, the new measure would assess the percentage of members who had an expanded assessment during the measurement year. The following components may be included in the measure: physical function assessment, cognitive function assessment, pain assessment, fall risk assessment, goals of care discussion, and advance care planning. The measure concept is currently undergoing testing to assess feasibility, alignment with current practice, and gaps in care. CMS welcomes feedback about this expansion of the number of indicators and broadening the product line beyond Medicare SNPs.</w:t>
      </w:r>
    </w:p>
    <w:p w14:paraId="47E82DAB"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40" w:after="120"/>
        <w:ind w:right="120"/>
        <w:contextualSpacing w:val="0"/>
      </w:pPr>
      <w:r w:rsidRPr="001569FB">
        <w:rPr>
          <w:b/>
          <w:bCs/>
        </w:rPr>
        <w:t xml:space="preserve">Depression Screening and Follow-Up for Adolescents and Adults (Part C). </w:t>
      </w:r>
      <w:r w:rsidRPr="001569FB">
        <w:rPr>
          <w:bCs/>
        </w:rPr>
        <w:t xml:space="preserve">NCQA developed a </w:t>
      </w:r>
      <w:r w:rsidRPr="001569FB">
        <w:t xml:space="preserve">measure assessing the percentage of patients age 12 and older who were screened for depression using a standardized assessment tool, such as the PHQ-9, and if positive, received appropriate follow-up care within 30 days of the positive screen. This measure is part of NCQA’s new effort to collect data using an Electronic Clinical Data System (ECDS). Depending on the results during the first year of implementation, CMS may consider this measure for the display page and Star Ratings in the future.  </w:t>
      </w:r>
    </w:p>
    <w:p w14:paraId="312CC3FA"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bCs/>
        </w:rPr>
        <w:t xml:space="preserve">Unhealthy Alcohol Use Screening and Follow-Up (Part C). </w:t>
      </w:r>
      <w:r w:rsidRPr="001569FB">
        <w:rPr>
          <w:bCs/>
        </w:rPr>
        <w:t>NCQA</w:t>
      </w:r>
      <w:r w:rsidRPr="001569FB">
        <w:rPr>
          <w:b/>
          <w:bCs/>
        </w:rPr>
        <w:t xml:space="preserve"> </w:t>
      </w:r>
      <w:r w:rsidRPr="001569FB">
        <w:t xml:space="preserve">adapted the provider-level NCQA measure, Unhealthy Alcohol Use: Screening &amp; Brief Counseling (NQF 2152), for health plan reporting. The intent of this measure is to increase the use of alcohol screening and brief intervention, which is recommended by the USPSTF for adults 18 and older. A number of health plans have been helping to test and evaluate performance for the adapted measure and to gather information on feasibility of implementation at the health-plan level. This measure is part of NCQA’s new effort to collect data using an ECDS.  Depending on the results during the first year of implementation, CMS may consider this measure for the display page and Star Ratings in the future.  </w:t>
      </w:r>
    </w:p>
    <w:p w14:paraId="1D6712E8"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rPr>
        <w:t xml:space="preserve">Readmissions from Post-Acute Care (Part C). </w:t>
      </w:r>
      <w:r w:rsidRPr="001569FB">
        <w:t xml:space="preserve">NCQA is pursuing opportunities to measure acute facility readmissions during or following a skilled nursing facility (SNF) stay for Medicare beneficiaries. Eleven percent of beneficiaries require skilled nursing </w:t>
      </w:r>
      <w:r w:rsidRPr="001569FB">
        <w:lastRenderedPageBreak/>
        <w:t>following an acute facility stay. A readmission event during or after a SNF stay may be the result of inadequate provider communication during care transitions and poor discharge planning. NCQA is exploring the development of a new measure or, as noted above, the potential adaption of the Plan All-Cause Readmissions (PCR) measure to evaluate acute facility readmissions among Medicare beneficiaries during or after a SNF stay. If approved, the new measure or revisions to the current PCR measure would be included in HEDIS 2019. CMS welcomes feedback on the feasibility, utility, and burden of such a modification/stratification or new measure.</w:t>
      </w:r>
    </w:p>
    <w:p w14:paraId="164D13E4" w14:textId="77777777" w:rsidR="004C5B0C" w:rsidRPr="001569FB" w:rsidRDefault="004C5B0C" w:rsidP="00AC78D9">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Adult Immunization Measure (Part C). </w:t>
      </w:r>
      <w:r w:rsidRPr="001569FB">
        <w:t>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CMS would welcome feedback on the feasibility, value of, and burden/reduction in burden of this change in data source. Depending on results of implementation, CMS will determine the use of this new composite measure for the display page and Star Ratings for the future.</w:t>
      </w:r>
    </w:p>
    <w:p w14:paraId="2600E1DA" w14:textId="77777777" w:rsidR="004C5B0C" w:rsidRPr="001569FB" w:rsidRDefault="004C5B0C" w:rsidP="00AC78D9">
      <w:pPr>
        <w:numPr>
          <w:ilvl w:val="0"/>
          <w:numId w:val="56"/>
        </w:numPr>
        <w:tabs>
          <w:tab w:val="left" w:pos="360"/>
        </w:tabs>
        <w:kinsoku w:val="0"/>
        <w:overflowPunct w:val="0"/>
        <w:autoSpaceDE w:val="0"/>
        <w:autoSpaceDN w:val="0"/>
        <w:adjustRightInd w:val="0"/>
        <w:spacing w:before="240"/>
        <w:ind w:left="360" w:right="120"/>
      </w:pPr>
      <w:r w:rsidRPr="001569FB">
        <w:rPr>
          <w:b/>
        </w:rPr>
        <w:t xml:space="preserve">Anxiety (Part C). </w:t>
      </w:r>
      <w:r w:rsidRPr="001569FB">
        <w:t>NCQA is exploring the feasibility and acceptability of developing quality measures assessing care for those with anxiety disorders for inclusion in HEDIS. The approach is to conduct feasibility assessments and evidence reviews, which includes the consideration of clinical practice guidelines, evidence-based treatment, and symptom monitoring tools for all types of anxiety disorders. Recognizing the high prevalence of co-occurring anxiety and depression, NCQA is assessing the need for new anxiety quality measures or amended depression quality measures. Any new anxiety quality measures or changes for the depression measures would be included in HEDIS 2020 at the earliest. CMS welcomes feedback about the value and burden of measuring anxiety and of amending depression quality measures to address anxiety for inclusion in display and ratings measure in the future.</w:t>
      </w:r>
    </w:p>
    <w:p w14:paraId="0AE541BD" w14:textId="77777777" w:rsidR="004C5B0C" w:rsidRPr="001569FB" w:rsidRDefault="004C5B0C" w:rsidP="00AC78D9">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Polypharmacy Measures (Part D). </w:t>
      </w:r>
      <w:r w:rsidRPr="001569FB">
        <w:t>The PQA developed and endorsed three measures that identify potentially harmful concurrent drug use or polypharmacy. CMS reviewed these measures for potential inclusion in Patient Safety reporting, display page, or Star Ratings in the future.</w:t>
      </w:r>
    </w:p>
    <w:p w14:paraId="1817A576" w14:textId="77777777" w:rsidR="004C5B0C" w:rsidRPr="001569FB" w:rsidRDefault="004C5B0C" w:rsidP="004C5B0C">
      <w:pPr>
        <w:tabs>
          <w:tab w:val="left" w:pos="360"/>
        </w:tabs>
        <w:kinsoku w:val="0"/>
        <w:overflowPunct w:val="0"/>
        <w:autoSpaceDE w:val="0"/>
        <w:autoSpaceDN w:val="0"/>
        <w:adjustRightInd w:val="0"/>
        <w:ind w:left="360" w:right="120"/>
      </w:pPr>
      <w:r w:rsidRPr="001569FB">
        <w:rPr>
          <w:u w:val="single"/>
        </w:rPr>
        <w:t>Polypharmacy: Use of Multiple Anticholinergic (ACH) Medications in Older Adults (Poly-ACH):</w:t>
      </w:r>
      <w:r w:rsidRPr="001569FB">
        <w:t xml:space="preserve"> This measure assesses the percentage of individuals 65 years and older with </w:t>
      </w:r>
      <w:r w:rsidRPr="001569FB">
        <w:lastRenderedPageBreak/>
        <w:t>concurrent</w:t>
      </w:r>
      <w:r w:rsidRPr="001569FB">
        <w:rPr>
          <w:vertAlign w:val="superscript"/>
        </w:rPr>
        <w:footnoteReference w:id="24"/>
      </w:r>
      <w:r w:rsidRPr="001569FB">
        <w:t xml:space="preserve"> use of two or more unique ACH medications. To be included in the denominator, a beneficiary must have at least two fills of the same ACH medication with unique dates of service during the treatment period. Any beneficiary with a hospice indicator during the measurement year was excluded.  Lower rates represent better performance. We tested the PQA specifications using 2016 PDE data as of May 6, 2017. We adjusted the measure for member-years and evaluated the number of contracts with greater than 30 member-years in the denominator. There were 743 active Part D contracts in 2016 (671 MA-PDs, 67 PDPs, and 5 employer direct contracts).</w:t>
      </w:r>
    </w:p>
    <w:p w14:paraId="5E336360" w14:textId="77777777" w:rsidR="004C5B0C" w:rsidRPr="001569FB" w:rsidRDefault="004C5B0C" w:rsidP="004C5B0C">
      <w:pPr>
        <w:ind w:left="360"/>
      </w:pPr>
      <w:r w:rsidRPr="001569FB">
        <w:t>Of the 743 active Part D contracts in 2016, eight contracts had no members eligible for the Poly-ACH measure (N=735). There were 621 MA-PD and PDP contracts that had greater than 30 member-years in the denominator, and about 16% of MA-PDs and 10% of PDP contracts did not meet the greater than 30 member-year denominator criterion. The table below provides the Part D contract distributions by contract type and member-year (M-Y) criterion.</w:t>
      </w:r>
    </w:p>
    <w:p w14:paraId="74784CF6" w14:textId="77777777" w:rsidR="004C5B0C" w:rsidRPr="001569FB" w:rsidRDefault="004C5B0C" w:rsidP="004C5B0C">
      <w:pPr>
        <w:pStyle w:val="Caption"/>
      </w:pPr>
      <w:r w:rsidRPr="001569FB">
        <w:t xml:space="preserve">Table </w:t>
      </w:r>
      <w:fldSimple w:instr=" SEQ Table \* ARABIC ">
        <w:r w:rsidR="00A216EC">
          <w:rPr>
            <w:noProof/>
          </w:rPr>
          <w:t>16</w:t>
        </w:r>
      </w:fldSimple>
      <w:r w:rsidRPr="001569FB">
        <w:t>: Distribution of the Poly-ACH Measure Rates, Part D, 2016</w:t>
      </w:r>
    </w:p>
    <w:tbl>
      <w:tblPr>
        <w:tblW w:w="10141" w:type="dxa"/>
        <w:jc w:val="center"/>
        <w:tblLook w:val="04A0" w:firstRow="1" w:lastRow="0" w:firstColumn="1" w:lastColumn="0" w:noHBand="0" w:noVBand="1"/>
      </w:tblPr>
      <w:tblGrid>
        <w:gridCol w:w="1154"/>
        <w:gridCol w:w="1086"/>
        <w:gridCol w:w="773"/>
        <w:gridCol w:w="847"/>
        <w:gridCol w:w="847"/>
        <w:gridCol w:w="847"/>
        <w:gridCol w:w="847"/>
        <w:gridCol w:w="935"/>
        <w:gridCol w:w="935"/>
        <w:gridCol w:w="935"/>
        <w:gridCol w:w="935"/>
      </w:tblGrid>
      <w:tr w:rsidR="004C5B0C" w:rsidRPr="001569FB" w14:paraId="103AAA61" w14:textId="77777777" w:rsidTr="004C5B0C">
        <w:trPr>
          <w:cantSplit/>
          <w:trHeight w:val="315"/>
          <w:tblHeader/>
          <w:jc w:val="center"/>
        </w:trPr>
        <w:tc>
          <w:tcPr>
            <w:tcW w:w="3013" w:type="dxa"/>
            <w:gridSpan w:val="3"/>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462D7992" w14:textId="77777777" w:rsidR="004C5B0C" w:rsidRPr="001569FB" w:rsidRDefault="004C5B0C" w:rsidP="004C5B0C">
            <w:pPr>
              <w:keepNext/>
              <w:keepLines/>
              <w:jc w:val="center"/>
              <w:rPr>
                <w:color w:val="000000"/>
              </w:rPr>
            </w:pPr>
            <w:r w:rsidRPr="001569FB">
              <w:rPr>
                <w:color w:val="000000"/>
              </w:rPr>
              <w:t>Part D Contracts</w:t>
            </w:r>
          </w:p>
        </w:tc>
        <w:tc>
          <w:tcPr>
            <w:tcW w:w="7128" w:type="dxa"/>
            <w:gridSpan w:val="8"/>
            <w:tcBorders>
              <w:top w:val="single" w:sz="8" w:space="0" w:color="auto"/>
              <w:left w:val="single" w:sz="4" w:space="0" w:color="auto"/>
              <w:bottom w:val="single" w:sz="4" w:space="0" w:color="auto"/>
              <w:right w:val="single" w:sz="8" w:space="0" w:color="000000"/>
            </w:tcBorders>
            <w:shd w:val="clear" w:color="000000" w:fill="D9D9D9"/>
            <w:noWrap/>
            <w:vAlign w:val="bottom"/>
            <w:hideMark/>
          </w:tcPr>
          <w:p w14:paraId="599DA7C9" w14:textId="77777777" w:rsidR="004C5B0C" w:rsidRPr="001569FB" w:rsidRDefault="004C5B0C" w:rsidP="004C5B0C">
            <w:pPr>
              <w:keepNext/>
              <w:keepLines/>
              <w:jc w:val="center"/>
              <w:rPr>
                <w:color w:val="000000"/>
              </w:rPr>
            </w:pPr>
            <w:r w:rsidRPr="001569FB">
              <w:rPr>
                <w:color w:val="000000"/>
              </w:rPr>
              <w:t>Percentiles</w:t>
            </w:r>
          </w:p>
        </w:tc>
      </w:tr>
      <w:tr w:rsidR="004C5B0C" w:rsidRPr="001569FB" w14:paraId="5E589076" w14:textId="77777777" w:rsidTr="004C5B0C">
        <w:trPr>
          <w:cantSplit/>
          <w:trHeight w:val="300"/>
          <w:tblHeader/>
          <w:jc w:val="center"/>
        </w:trPr>
        <w:tc>
          <w:tcPr>
            <w:tcW w:w="1154"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35A71558" w14:textId="77777777" w:rsidR="004C5B0C" w:rsidRPr="001569FB" w:rsidRDefault="004C5B0C" w:rsidP="004C5B0C">
            <w:pPr>
              <w:keepNext/>
              <w:keepLines/>
              <w:ind w:left="152"/>
              <w:rPr>
                <w:color w:val="000000"/>
              </w:rPr>
            </w:pPr>
            <w:r w:rsidRPr="001569FB">
              <w:rPr>
                <w:color w:val="000000"/>
              </w:rPr>
              <w:t>Type</w:t>
            </w:r>
          </w:p>
        </w:tc>
        <w:tc>
          <w:tcPr>
            <w:tcW w:w="1086" w:type="dxa"/>
            <w:tcBorders>
              <w:top w:val="nil"/>
              <w:left w:val="nil"/>
              <w:bottom w:val="single" w:sz="4" w:space="0" w:color="auto"/>
              <w:right w:val="single" w:sz="4" w:space="0" w:color="auto"/>
            </w:tcBorders>
            <w:shd w:val="clear" w:color="000000" w:fill="D9D9D9"/>
            <w:noWrap/>
            <w:vAlign w:val="bottom"/>
            <w:hideMark/>
          </w:tcPr>
          <w:p w14:paraId="65EA9D18" w14:textId="77777777" w:rsidR="004C5B0C" w:rsidRPr="001569FB" w:rsidRDefault="004C5B0C" w:rsidP="004C5B0C">
            <w:pPr>
              <w:keepNext/>
              <w:keepLines/>
              <w:ind w:left="-102"/>
              <w:rPr>
                <w:color w:val="000000"/>
              </w:rPr>
            </w:pPr>
            <w:r w:rsidRPr="001569FB">
              <w:rPr>
                <w:color w:val="000000"/>
              </w:rPr>
              <w:t>Group</w:t>
            </w:r>
          </w:p>
        </w:tc>
        <w:tc>
          <w:tcPr>
            <w:tcW w:w="773" w:type="dxa"/>
            <w:tcBorders>
              <w:top w:val="nil"/>
              <w:left w:val="nil"/>
              <w:bottom w:val="single" w:sz="4" w:space="0" w:color="auto"/>
              <w:right w:val="nil"/>
            </w:tcBorders>
            <w:shd w:val="clear" w:color="000000" w:fill="D9D9D9"/>
            <w:noWrap/>
            <w:vAlign w:val="bottom"/>
            <w:hideMark/>
          </w:tcPr>
          <w:p w14:paraId="74999089" w14:textId="77777777" w:rsidR="004C5B0C" w:rsidRPr="001569FB" w:rsidRDefault="004C5B0C" w:rsidP="004C5B0C">
            <w:pPr>
              <w:keepNext/>
              <w:keepLines/>
              <w:ind w:left="-50"/>
              <w:jc w:val="center"/>
              <w:rPr>
                <w:color w:val="000000"/>
              </w:rPr>
            </w:pPr>
            <w:r w:rsidRPr="001569FB">
              <w:rPr>
                <w:color w:val="000000"/>
              </w:rPr>
              <w:t>Count</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424ACA69" w14:textId="77777777" w:rsidR="004C5B0C" w:rsidRPr="001569FB" w:rsidRDefault="004C5B0C" w:rsidP="004C5B0C">
            <w:pPr>
              <w:keepNext/>
              <w:keepLines/>
              <w:ind w:left="-45"/>
              <w:jc w:val="center"/>
              <w:rPr>
                <w:color w:val="000000"/>
              </w:rPr>
            </w:pPr>
            <w:r w:rsidRPr="001569FB">
              <w:rPr>
                <w:color w:val="000000"/>
              </w:rPr>
              <w:t>Min</w:t>
            </w:r>
          </w:p>
        </w:tc>
        <w:tc>
          <w:tcPr>
            <w:tcW w:w="847" w:type="dxa"/>
            <w:tcBorders>
              <w:top w:val="nil"/>
              <w:left w:val="nil"/>
              <w:bottom w:val="single" w:sz="4" w:space="0" w:color="auto"/>
              <w:right w:val="single" w:sz="4" w:space="0" w:color="auto"/>
            </w:tcBorders>
            <w:shd w:val="clear" w:color="000000" w:fill="D9D9D9"/>
            <w:noWrap/>
            <w:vAlign w:val="bottom"/>
            <w:hideMark/>
          </w:tcPr>
          <w:p w14:paraId="4A43F4B0" w14:textId="77777777" w:rsidR="004C5B0C" w:rsidRPr="001569FB" w:rsidRDefault="004C5B0C" w:rsidP="004C5B0C">
            <w:pPr>
              <w:keepNext/>
              <w:keepLines/>
              <w:jc w:val="center"/>
              <w:rPr>
                <w:color w:val="000000"/>
              </w:rPr>
            </w:pPr>
            <w:r w:rsidRPr="001569FB">
              <w:rPr>
                <w:color w:val="000000"/>
              </w:rPr>
              <w:t>10%</w:t>
            </w:r>
          </w:p>
        </w:tc>
        <w:tc>
          <w:tcPr>
            <w:tcW w:w="847" w:type="dxa"/>
            <w:tcBorders>
              <w:top w:val="nil"/>
              <w:left w:val="nil"/>
              <w:bottom w:val="single" w:sz="4" w:space="0" w:color="auto"/>
              <w:right w:val="single" w:sz="4" w:space="0" w:color="auto"/>
            </w:tcBorders>
            <w:shd w:val="clear" w:color="000000" w:fill="D9D9D9"/>
            <w:noWrap/>
            <w:vAlign w:val="bottom"/>
            <w:hideMark/>
          </w:tcPr>
          <w:p w14:paraId="2C0ED5E9" w14:textId="77777777" w:rsidR="004C5B0C" w:rsidRPr="001569FB" w:rsidRDefault="004C5B0C" w:rsidP="004C5B0C">
            <w:pPr>
              <w:keepNext/>
              <w:keepLines/>
              <w:jc w:val="center"/>
              <w:rPr>
                <w:color w:val="000000"/>
              </w:rPr>
            </w:pPr>
            <w:r w:rsidRPr="001569FB">
              <w:rPr>
                <w:color w:val="000000"/>
              </w:rPr>
              <w:t>25%</w:t>
            </w:r>
          </w:p>
        </w:tc>
        <w:tc>
          <w:tcPr>
            <w:tcW w:w="847" w:type="dxa"/>
            <w:tcBorders>
              <w:top w:val="nil"/>
              <w:left w:val="nil"/>
              <w:bottom w:val="single" w:sz="4" w:space="0" w:color="auto"/>
              <w:right w:val="single" w:sz="4" w:space="0" w:color="auto"/>
            </w:tcBorders>
            <w:shd w:val="clear" w:color="000000" w:fill="D9D9D9"/>
            <w:noWrap/>
            <w:vAlign w:val="bottom"/>
            <w:hideMark/>
          </w:tcPr>
          <w:p w14:paraId="50311A8B" w14:textId="77777777" w:rsidR="004C5B0C" w:rsidRPr="001569FB" w:rsidRDefault="004C5B0C" w:rsidP="004C5B0C">
            <w:pPr>
              <w:keepNext/>
              <w:keepLines/>
              <w:ind w:left="-37"/>
              <w:jc w:val="center"/>
              <w:rPr>
                <w:color w:val="000000"/>
              </w:rPr>
            </w:pPr>
            <w:r w:rsidRPr="001569FB">
              <w:rPr>
                <w:color w:val="000000"/>
              </w:rPr>
              <w:t>50%</w:t>
            </w:r>
          </w:p>
        </w:tc>
        <w:tc>
          <w:tcPr>
            <w:tcW w:w="935" w:type="dxa"/>
            <w:tcBorders>
              <w:top w:val="nil"/>
              <w:left w:val="nil"/>
              <w:bottom w:val="single" w:sz="4" w:space="0" w:color="auto"/>
              <w:right w:val="single" w:sz="4" w:space="0" w:color="auto"/>
            </w:tcBorders>
            <w:shd w:val="clear" w:color="000000" w:fill="D9D9D9"/>
            <w:noWrap/>
            <w:vAlign w:val="bottom"/>
            <w:hideMark/>
          </w:tcPr>
          <w:p w14:paraId="06D42A9B" w14:textId="77777777" w:rsidR="004C5B0C" w:rsidRPr="001569FB" w:rsidRDefault="004C5B0C" w:rsidP="004C5B0C">
            <w:pPr>
              <w:keepNext/>
              <w:keepLines/>
              <w:ind w:left="1"/>
              <w:jc w:val="center"/>
              <w:rPr>
                <w:color w:val="000000"/>
              </w:rPr>
            </w:pPr>
            <w:r w:rsidRPr="001569FB">
              <w:rPr>
                <w:color w:val="000000"/>
              </w:rPr>
              <w:t>75%</w:t>
            </w:r>
          </w:p>
        </w:tc>
        <w:tc>
          <w:tcPr>
            <w:tcW w:w="935" w:type="dxa"/>
            <w:tcBorders>
              <w:top w:val="nil"/>
              <w:left w:val="nil"/>
              <w:bottom w:val="single" w:sz="4" w:space="0" w:color="auto"/>
              <w:right w:val="single" w:sz="4" w:space="0" w:color="auto"/>
            </w:tcBorders>
            <w:shd w:val="clear" w:color="000000" w:fill="D9D9D9"/>
            <w:noWrap/>
            <w:vAlign w:val="bottom"/>
            <w:hideMark/>
          </w:tcPr>
          <w:p w14:paraId="14732333" w14:textId="77777777" w:rsidR="004C5B0C" w:rsidRPr="001569FB" w:rsidRDefault="004C5B0C" w:rsidP="004C5B0C">
            <w:pPr>
              <w:keepNext/>
              <w:keepLines/>
              <w:jc w:val="center"/>
              <w:rPr>
                <w:color w:val="000000"/>
              </w:rPr>
            </w:pPr>
            <w:r w:rsidRPr="001569FB">
              <w:rPr>
                <w:color w:val="000000"/>
              </w:rPr>
              <w:t>90%</w:t>
            </w:r>
          </w:p>
        </w:tc>
        <w:tc>
          <w:tcPr>
            <w:tcW w:w="935" w:type="dxa"/>
            <w:tcBorders>
              <w:top w:val="nil"/>
              <w:left w:val="nil"/>
              <w:bottom w:val="single" w:sz="4" w:space="0" w:color="auto"/>
              <w:right w:val="single" w:sz="4" w:space="0" w:color="auto"/>
            </w:tcBorders>
            <w:shd w:val="clear" w:color="000000" w:fill="D9D9D9"/>
            <w:noWrap/>
            <w:vAlign w:val="bottom"/>
            <w:hideMark/>
          </w:tcPr>
          <w:p w14:paraId="201A196C" w14:textId="77777777" w:rsidR="004C5B0C" w:rsidRPr="001569FB" w:rsidRDefault="004C5B0C" w:rsidP="004C5B0C">
            <w:pPr>
              <w:keepNext/>
              <w:keepLines/>
              <w:ind w:left="19"/>
              <w:jc w:val="center"/>
              <w:rPr>
                <w:color w:val="000000"/>
              </w:rPr>
            </w:pPr>
            <w:r w:rsidRPr="001569FB">
              <w:rPr>
                <w:color w:val="000000"/>
              </w:rPr>
              <w:t>95%</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44DF910" w14:textId="77777777" w:rsidR="004C5B0C" w:rsidRPr="001569FB" w:rsidRDefault="004C5B0C" w:rsidP="004C5B0C">
            <w:pPr>
              <w:keepNext/>
              <w:keepLines/>
              <w:ind w:left="85"/>
              <w:jc w:val="center"/>
              <w:rPr>
                <w:color w:val="000000"/>
              </w:rPr>
            </w:pPr>
            <w:r w:rsidRPr="001569FB">
              <w:rPr>
                <w:color w:val="000000"/>
              </w:rPr>
              <w:t>Max</w:t>
            </w:r>
          </w:p>
        </w:tc>
      </w:tr>
      <w:tr w:rsidR="004C5B0C" w:rsidRPr="001569FB" w14:paraId="02314FB1" w14:textId="77777777" w:rsidTr="004C5B0C">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06AADACF" w14:textId="77777777" w:rsidR="004C5B0C" w:rsidRPr="001569FB" w:rsidRDefault="004C5B0C" w:rsidP="004C5B0C">
            <w:pPr>
              <w:keepNext/>
              <w:keepLines/>
              <w:ind w:left="152"/>
              <w:rPr>
                <w:color w:val="000000"/>
              </w:rPr>
            </w:pPr>
            <w:r w:rsidRPr="001569FB">
              <w:rPr>
                <w:color w:val="000000"/>
              </w:rPr>
              <w:t>All</w:t>
            </w:r>
          </w:p>
        </w:tc>
        <w:tc>
          <w:tcPr>
            <w:tcW w:w="1086" w:type="dxa"/>
            <w:tcBorders>
              <w:top w:val="nil"/>
              <w:left w:val="single" w:sz="4" w:space="0" w:color="auto"/>
              <w:bottom w:val="nil"/>
              <w:right w:val="single" w:sz="4" w:space="0" w:color="auto"/>
            </w:tcBorders>
            <w:shd w:val="clear" w:color="auto" w:fill="auto"/>
            <w:noWrap/>
            <w:vAlign w:val="bottom"/>
            <w:hideMark/>
          </w:tcPr>
          <w:p w14:paraId="6398E5CE" w14:textId="77777777" w:rsidR="004C5B0C" w:rsidRPr="001569FB" w:rsidRDefault="004C5B0C" w:rsidP="004C5B0C">
            <w:pPr>
              <w:keepNext/>
              <w:keepLines/>
              <w:ind w:left="-102"/>
              <w:rPr>
                <w:color w:val="000000"/>
              </w:rPr>
            </w:pPr>
            <w:r w:rsidRPr="001569FB">
              <w:rPr>
                <w:color w:val="000000"/>
              </w:rPr>
              <w:t> </w:t>
            </w:r>
          </w:p>
        </w:tc>
        <w:tc>
          <w:tcPr>
            <w:tcW w:w="773" w:type="dxa"/>
            <w:tcBorders>
              <w:top w:val="nil"/>
              <w:left w:val="nil"/>
              <w:bottom w:val="nil"/>
              <w:right w:val="nil"/>
            </w:tcBorders>
            <w:shd w:val="clear" w:color="auto" w:fill="auto"/>
            <w:noWrap/>
            <w:vAlign w:val="bottom"/>
            <w:hideMark/>
          </w:tcPr>
          <w:p w14:paraId="7BB4E8EC" w14:textId="77777777" w:rsidR="004C5B0C" w:rsidRPr="001569FB" w:rsidRDefault="004C5B0C" w:rsidP="004C5B0C">
            <w:pPr>
              <w:keepNext/>
              <w:keepLines/>
              <w:ind w:left="-50"/>
              <w:jc w:val="right"/>
              <w:rPr>
                <w:color w:val="000000"/>
              </w:rPr>
            </w:pPr>
            <w:r w:rsidRPr="001569FB">
              <w:rPr>
                <w:color w:val="000000"/>
              </w:rPr>
              <w:t>735</w:t>
            </w:r>
          </w:p>
        </w:tc>
        <w:tc>
          <w:tcPr>
            <w:tcW w:w="847" w:type="dxa"/>
            <w:tcBorders>
              <w:top w:val="nil"/>
              <w:left w:val="single" w:sz="4" w:space="0" w:color="auto"/>
              <w:bottom w:val="nil"/>
              <w:right w:val="single" w:sz="4" w:space="0" w:color="auto"/>
            </w:tcBorders>
            <w:shd w:val="clear" w:color="auto" w:fill="auto"/>
            <w:noWrap/>
            <w:vAlign w:val="bottom"/>
            <w:hideMark/>
          </w:tcPr>
          <w:p w14:paraId="6658A4D0"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single" w:sz="4" w:space="0" w:color="auto"/>
              <w:bottom w:val="nil"/>
              <w:right w:val="single" w:sz="4" w:space="0" w:color="auto"/>
            </w:tcBorders>
            <w:shd w:val="clear" w:color="auto" w:fill="auto"/>
            <w:noWrap/>
            <w:vAlign w:val="bottom"/>
            <w:hideMark/>
          </w:tcPr>
          <w:p w14:paraId="71B79BCC" w14:textId="77777777" w:rsidR="004C5B0C" w:rsidRPr="001569FB" w:rsidRDefault="004C5B0C" w:rsidP="004C5B0C">
            <w:pPr>
              <w:keepNext/>
              <w:keepLines/>
              <w:jc w:val="right"/>
              <w:rPr>
                <w:color w:val="000000"/>
              </w:rPr>
            </w:pPr>
            <w:r w:rsidRPr="001569FB">
              <w:rPr>
                <w:color w:val="000000"/>
              </w:rPr>
              <w:t>4.3%</w:t>
            </w:r>
          </w:p>
        </w:tc>
        <w:tc>
          <w:tcPr>
            <w:tcW w:w="847" w:type="dxa"/>
            <w:tcBorders>
              <w:top w:val="nil"/>
              <w:left w:val="single" w:sz="4" w:space="0" w:color="auto"/>
              <w:bottom w:val="nil"/>
              <w:right w:val="single" w:sz="4" w:space="0" w:color="auto"/>
            </w:tcBorders>
            <w:shd w:val="clear" w:color="auto" w:fill="auto"/>
            <w:noWrap/>
            <w:vAlign w:val="bottom"/>
            <w:hideMark/>
          </w:tcPr>
          <w:p w14:paraId="2BE0D1F4" w14:textId="77777777" w:rsidR="004C5B0C" w:rsidRPr="001569FB" w:rsidRDefault="004C5B0C" w:rsidP="004C5B0C">
            <w:pPr>
              <w:keepNext/>
              <w:keepLines/>
              <w:jc w:val="right"/>
              <w:rPr>
                <w:color w:val="000000"/>
              </w:rPr>
            </w:pPr>
            <w:r w:rsidRPr="001569FB">
              <w:rPr>
                <w:color w:val="000000"/>
              </w:rPr>
              <w:t>6.0%</w:t>
            </w:r>
          </w:p>
        </w:tc>
        <w:tc>
          <w:tcPr>
            <w:tcW w:w="847" w:type="dxa"/>
            <w:tcBorders>
              <w:top w:val="nil"/>
              <w:left w:val="single" w:sz="4" w:space="0" w:color="auto"/>
              <w:bottom w:val="nil"/>
              <w:right w:val="single" w:sz="4" w:space="0" w:color="auto"/>
            </w:tcBorders>
            <w:shd w:val="clear" w:color="auto" w:fill="auto"/>
            <w:noWrap/>
            <w:vAlign w:val="bottom"/>
            <w:hideMark/>
          </w:tcPr>
          <w:p w14:paraId="6AE34665"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nil"/>
              <w:left w:val="single" w:sz="4" w:space="0" w:color="auto"/>
              <w:bottom w:val="nil"/>
              <w:right w:val="single" w:sz="4" w:space="0" w:color="auto"/>
            </w:tcBorders>
            <w:shd w:val="clear" w:color="auto" w:fill="auto"/>
            <w:noWrap/>
            <w:vAlign w:val="bottom"/>
            <w:hideMark/>
          </w:tcPr>
          <w:p w14:paraId="2C1078D8" w14:textId="77777777" w:rsidR="004C5B0C" w:rsidRPr="001569FB" w:rsidRDefault="004C5B0C" w:rsidP="004C5B0C">
            <w:pPr>
              <w:keepNext/>
              <w:keepLines/>
              <w:ind w:left="1"/>
              <w:jc w:val="right"/>
              <w:rPr>
                <w:color w:val="000000"/>
              </w:rPr>
            </w:pPr>
            <w:r w:rsidRPr="001569FB">
              <w:rPr>
                <w:color w:val="000000"/>
              </w:rPr>
              <w:t>10.1%</w:t>
            </w:r>
          </w:p>
        </w:tc>
        <w:tc>
          <w:tcPr>
            <w:tcW w:w="935" w:type="dxa"/>
            <w:tcBorders>
              <w:top w:val="nil"/>
              <w:left w:val="single" w:sz="4" w:space="0" w:color="auto"/>
              <w:bottom w:val="nil"/>
              <w:right w:val="single" w:sz="4" w:space="0" w:color="auto"/>
            </w:tcBorders>
            <w:shd w:val="clear" w:color="auto" w:fill="auto"/>
            <w:noWrap/>
            <w:vAlign w:val="bottom"/>
            <w:hideMark/>
          </w:tcPr>
          <w:p w14:paraId="0EF8BC88" w14:textId="77777777" w:rsidR="004C5B0C" w:rsidRPr="001569FB" w:rsidRDefault="004C5B0C" w:rsidP="004C5B0C">
            <w:pPr>
              <w:keepNext/>
              <w:keepLines/>
              <w:jc w:val="right"/>
              <w:rPr>
                <w:color w:val="000000"/>
              </w:rPr>
            </w:pPr>
            <w:r w:rsidRPr="001569FB">
              <w:rPr>
                <w:color w:val="000000"/>
              </w:rPr>
              <w:t>13.9%</w:t>
            </w:r>
          </w:p>
        </w:tc>
        <w:tc>
          <w:tcPr>
            <w:tcW w:w="935" w:type="dxa"/>
            <w:tcBorders>
              <w:top w:val="nil"/>
              <w:left w:val="single" w:sz="4" w:space="0" w:color="auto"/>
              <w:bottom w:val="nil"/>
              <w:right w:val="single" w:sz="4" w:space="0" w:color="auto"/>
            </w:tcBorders>
            <w:shd w:val="clear" w:color="auto" w:fill="auto"/>
            <w:noWrap/>
            <w:vAlign w:val="bottom"/>
            <w:hideMark/>
          </w:tcPr>
          <w:p w14:paraId="77655A83" w14:textId="77777777" w:rsidR="004C5B0C" w:rsidRPr="001569FB" w:rsidRDefault="004C5B0C" w:rsidP="004C5B0C">
            <w:pPr>
              <w:keepNext/>
              <w:keepLines/>
              <w:ind w:left="19"/>
              <w:jc w:val="right"/>
              <w:rPr>
                <w:color w:val="000000"/>
              </w:rPr>
            </w:pPr>
            <w:r w:rsidRPr="001569FB">
              <w:rPr>
                <w:color w:val="000000"/>
              </w:rPr>
              <w:t>17.5%</w:t>
            </w:r>
          </w:p>
        </w:tc>
        <w:tc>
          <w:tcPr>
            <w:tcW w:w="935" w:type="dxa"/>
            <w:tcBorders>
              <w:top w:val="nil"/>
              <w:left w:val="nil"/>
              <w:bottom w:val="nil"/>
              <w:right w:val="single" w:sz="8" w:space="0" w:color="auto"/>
            </w:tcBorders>
            <w:shd w:val="clear" w:color="auto" w:fill="auto"/>
            <w:noWrap/>
            <w:vAlign w:val="bottom"/>
            <w:hideMark/>
          </w:tcPr>
          <w:p w14:paraId="064E3AC5" w14:textId="77777777" w:rsidR="004C5B0C" w:rsidRPr="001569FB" w:rsidRDefault="004C5B0C" w:rsidP="004C5B0C">
            <w:pPr>
              <w:keepNext/>
              <w:keepLines/>
              <w:ind w:left="85"/>
              <w:jc w:val="right"/>
              <w:rPr>
                <w:color w:val="000000"/>
              </w:rPr>
            </w:pPr>
            <w:r w:rsidRPr="001569FB">
              <w:rPr>
                <w:color w:val="000000"/>
              </w:rPr>
              <w:t>51.3%</w:t>
            </w:r>
          </w:p>
        </w:tc>
      </w:tr>
      <w:tr w:rsidR="004C5B0C" w:rsidRPr="001569FB" w14:paraId="1ACD9F5E" w14:textId="77777777" w:rsidTr="004C5B0C">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38CAEEA7" w14:textId="77777777" w:rsidR="004C5B0C" w:rsidRPr="001569FB" w:rsidRDefault="004C5B0C" w:rsidP="004C5B0C">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C323CBC" w14:textId="77777777" w:rsidR="004C5B0C" w:rsidRPr="001569FB" w:rsidRDefault="004C5B0C" w:rsidP="004C5B0C">
            <w:pPr>
              <w:keepNext/>
              <w:keepLines/>
              <w:ind w:left="-102"/>
              <w:rPr>
                <w:color w:val="000000"/>
              </w:rPr>
            </w:pPr>
            <w:r w:rsidRPr="001569FB">
              <w:rPr>
                <w:color w:val="000000"/>
              </w:rPr>
              <w:t>All</w:t>
            </w:r>
          </w:p>
        </w:tc>
        <w:tc>
          <w:tcPr>
            <w:tcW w:w="773" w:type="dxa"/>
            <w:tcBorders>
              <w:top w:val="single" w:sz="4" w:space="0" w:color="auto"/>
              <w:left w:val="nil"/>
              <w:bottom w:val="single" w:sz="4" w:space="0" w:color="auto"/>
              <w:right w:val="nil"/>
            </w:tcBorders>
            <w:shd w:val="clear" w:color="000000" w:fill="D9D9D9"/>
            <w:noWrap/>
            <w:vAlign w:val="bottom"/>
            <w:hideMark/>
          </w:tcPr>
          <w:p w14:paraId="0E50CE65" w14:textId="77777777" w:rsidR="004C5B0C" w:rsidRPr="001569FB" w:rsidRDefault="004C5B0C" w:rsidP="004C5B0C">
            <w:pPr>
              <w:keepNext/>
              <w:keepLines/>
              <w:ind w:left="-50"/>
              <w:jc w:val="right"/>
              <w:rPr>
                <w:color w:val="000000"/>
              </w:rPr>
            </w:pPr>
            <w:r w:rsidRPr="001569FB">
              <w:rPr>
                <w:color w:val="000000"/>
              </w:rPr>
              <w:t>667</w:t>
            </w: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D0AA0DA"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2BC9B2D3" w14:textId="77777777" w:rsidR="004C5B0C" w:rsidRPr="001569FB" w:rsidRDefault="004C5B0C" w:rsidP="004C5B0C">
            <w:pPr>
              <w:keepNext/>
              <w:keepLines/>
              <w:jc w:val="right"/>
              <w:rPr>
                <w:color w:val="000000"/>
              </w:rPr>
            </w:pPr>
            <w:r w:rsidRPr="001569FB">
              <w:rPr>
                <w:color w:val="000000"/>
              </w:rPr>
              <w:t>4.1%</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73DE0424" w14:textId="77777777" w:rsidR="004C5B0C" w:rsidRPr="001569FB" w:rsidRDefault="004C5B0C" w:rsidP="004C5B0C">
            <w:pPr>
              <w:keepNext/>
              <w:keepLines/>
              <w:jc w:val="right"/>
              <w:rPr>
                <w:color w:val="000000"/>
              </w:rPr>
            </w:pPr>
            <w:r w:rsidRPr="001569FB">
              <w:rPr>
                <w:color w:val="000000"/>
              </w:rPr>
              <w:t>5.9%</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2751E1D3"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0B51222A" w14:textId="77777777" w:rsidR="004C5B0C" w:rsidRPr="001569FB" w:rsidRDefault="004C5B0C" w:rsidP="004C5B0C">
            <w:pPr>
              <w:keepNext/>
              <w:keepLines/>
              <w:ind w:left="1"/>
              <w:jc w:val="right"/>
              <w:rPr>
                <w:color w:val="000000"/>
              </w:rPr>
            </w:pPr>
            <w:r w:rsidRPr="001569FB">
              <w:rPr>
                <w:color w:val="000000"/>
              </w:rPr>
              <w:t>10.3%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429855D0" w14:textId="77777777" w:rsidR="004C5B0C" w:rsidRPr="001569FB" w:rsidRDefault="004C5B0C" w:rsidP="004C5B0C">
            <w:pPr>
              <w:keepNext/>
              <w:keepLines/>
              <w:jc w:val="right"/>
              <w:rPr>
                <w:color w:val="000000"/>
              </w:rPr>
            </w:pPr>
            <w:r w:rsidRPr="001569FB">
              <w:rPr>
                <w:color w:val="000000"/>
              </w:rPr>
              <w:t>14.4%</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6920DB03" w14:textId="77777777" w:rsidR="004C5B0C" w:rsidRPr="001569FB" w:rsidRDefault="004C5B0C" w:rsidP="004C5B0C">
            <w:pPr>
              <w:keepNext/>
              <w:keepLines/>
              <w:ind w:left="19"/>
              <w:jc w:val="right"/>
              <w:rPr>
                <w:color w:val="000000"/>
              </w:rPr>
            </w:pPr>
            <w:r w:rsidRPr="001569FB">
              <w:rPr>
                <w:color w:val="000000"/>
              </w:rPr>
              <w:t>17.6%</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C7EE2C0" w14:textId="77777777" w:rsidR="004C5B0C" w:rsidRPr="001569FB" w:rsidRDefault="004C5B0C" w:rsidP="004C5B0C">
            <w:pPr>
              <w:keepNext/>
              <w:keepLines/>
              <w:ind w:left="85"/>
              <w:jc w:val="right"/>
              <w:rPr>
                <w:color w:val="000000"/>
              </w:rPr>
            </w:pPr>
            <w:r w:rsidRPr="001569FB">
              <w:rPr>
                <w:color w:val="000000"/>
              </w:rPr>
              <w:t>51.3%</w:t>
            </w:r>
          </w:p>
        </w:tc>
      </w:tr>
      <w:tr w:rsidR="004C5B0C" w:rsidRPr="001569FB" w14:paraId="47AEE60F" w14:textId="77777777" w:rsidTr="004C5B0C">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5D6794CA" w14:textId="77777777" w:rsidR="004C5B0C" w:rsidRPr="001569FB" w:rsidRDefault="004C5B0C" w:rsidP="004C5B0C">
            <w:pPr>
              <w:keepNext/>
              <w:keepLines/>
              <w:ind w:left="152"/>
              <w:rPr>
                <w:color w:val="000000"/>
              </w:rPr>
            </w:pPr>
            <w:r w:rsidRPr="001569FB">
              <w:rPr>
                <w:color w:val="000000"/>
              </w:rPr>
              <w:t>PDP</w:t>
            </w:r>
          </w:p>
        </w:tc>
        <w:tc>
          <w:tcPr>
            <w:tcW w:w="1086" w:type="dxa"/>
            <w:tcBorders>
              <w:top w:val="nil"/>
              <w:left w:val="single" w:sz="4" w:space="0" w:color="auto"/>
              <w:bottom w:val="nil"/>
              <w:right w:val="single" w:sz="4" w:space="0" w:color="auto"/>
            </w:tcBorders>
            <w:shd w:val="clear" w:color="auto" w:fill="auto"/>
            <w:noWrap/>
            <w:vAlign w:val="bottom"/>
            <w:hideMark/>
          </w:tcPr>
          <w:p w14:paraId="69C3F9B3" w14:textId="77777777" w:rsidR="004C5B0C" w:rsidRPr="001569FB" w:rsidRDefault="004C5B0C" w:rsidP="004C5B0C">
            <w:pPr>
              <w:keepNext/>
              <w:keepLines/>
              <w:ind w:left="-102"/>
              <w:rPr>
                <w:color w:val="000000"/>
              </w:rPr>
            </w:pPr>
            <w:r w:rsidRPr="001569FB">
              <w:rPr>
                <w:color w:val="000000"/>
              </w:rPr>
              <w:t>All</w:t>
            </w:r>
          </w:p>
        </w:tc>
        <w:tc>
          <w:tcPr>
            <w:tcW w:w="773" w:type="dxa"/>
            <w:tcBorders>
              <w:top w:val="nil"/>
              <w:left w:val="nil"/>
              <w:bottom w:val="single" w:sz="4" w:space="0" w:color="auto"/>
              <w:right w:val="nil"/>
            </w:tcBorders>
            <w:shd w:val="clear" w:color="auto" w:fill="auto"/>
            <w:noWrap/>
            <w:vAlign w:val="bottom"/>
            <w:hideMark/>
          </w:tcPr>
          <w:p w14:paraId="1E4F2C95" w14:textId="77777777" w:rsidR="004C5B0C" w:rsidRPr="001569FB" w:rsidRDefault="004C5B0C" w:rsidP="004C5B0C">
            <w:pPr>
              <w:keepNext/>
              <w:keepLines/>
              <w:ind w:left="-50"/>
              <w:jc w:val="right"/>
              <w:rPr>
                <w:color w:val="000000"/>
              </w:rPr>
            </w:pPr>
            <w:r w:rsidRPr="001569FB">
              <w:rPr>
                <w:color w:val="000000"/>
              </w:rPr>
              <w:t>63</w:t>
            </w: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E6E20D3"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auto" w:fill="auto"/>
            <w:noWrap/>
            <w:vAlign w:val="bottom"/>
            <w:hideMark/>
          </w:tcPr>
          <w:p w14:paraId="41EE308B" w14:textId="77777777" w:rsidR="004C5B0C" w:rsidRPr="001569FB" w:rsidRDefault="004C5B0C" w:rsidP="004C5B0C">
            <w:pPr>
              <w:keepNext/>
              <w:keepLines/>
              <w:jc w:val="right"/>
              <w:rPr>
                <w:color w:val="000000"/>
              </w:rPr>
            </w:pPr>
            <w:r w:rsidRPr="001569FB">
              <w:rPr>
                <w:color w:val="000000"/>
              </w:rPr>
              <w:t>5.8%</w:t>
            </w:r>
          </w:p>
        </w:tc>
        <w:tc>
          <w:tcPr>
            <w:tcW w:w="847" w:type="dxa"/>
            <w:tcBorders>
              <w:top w:val="nil"/>
              <w:left w:val="nil"/>
              <w:bottom w:val="single" w:sz="4" w:space="0" w:color="auto"/>
              <w:right w:val="single" w:sz="4" w:space="0" w:color="auto"/>
            </w:tcBorders>
            <w:shd w:val="clear" w:color="auto" w:fill="auto"/>
            <w:noWrap/>
            <w:vAlign w:val="bottom"/>
            <w:hideMark/>
          </w:tcPr>
          <w:p w14:paraId="69C921EE" w14:textId="77777777" w:rsidR="004C5B0C" w:rsidRPr="001569FB" w:rsidRDefault="004C5B0C" w:rsidP="004C5B0C">
            <w:pPr>
              <w:keepNext/>
              <w:keepLines/>
              <w:jc w:val="right"/>
              <w:rPr>
                <w:color w:val="000000"/>
              </w:rPr>
            </w:pPr>
            <w:r w:rsidRPr="001569FB">
              <w:rPr>
                <w:color w:val="000000"/>
              </w:rPr>
              <w:t>6.6%</w:t>
            </w:r>
          </w:p>
        </w:tc>
        <w:tc>
          <w:tcPr>
            <w:tcW w:w="847" w:type="dxa"/>
            <w:tcBorders>
              <w:top w:val="nil"/>
              <w:left w:val="nil"/>
              <w:bottom w:val="single" w:sz="4" w:space="0" w:color="auto"/>
              <w:right w:val="single" w:sz="4" w:space="0" w:color="auto"/>
            </w:tcBorders>
            <w:shd w:val="clear" w:color="auto" w:fill="auto"/>
            <w:noWrap/>
            <w:vAlign w:val="bottom"/>
            <w:hideMark/>
          </w:tcPr>
          <w:p w14:paraId="642794B4" w14:textId="77777777" w:rsidR="004C5B0C" w:rsidRPr="001569FB" w:rsidRDefault="004C5B0C" w:rsidP="004C5B0C">
            <w:pPr>
              <w:keepNext/>
              <w:keepLines/>
              <w:ind w:left="-37"/>
              <w:jc w:val="right"/>
              <w:rPr>
                <w:color w:val="000000"/>
              </w:rPr>
            </w:pPr>
            <w:r w:rsidRPr="001569FB">
              <w:rPr>
                <w:color w:val="000000"/>
              </w:rPr>
              <w:t>7.6%</w:t>
            </w:r>
          </w:p>
        </w:tc>
        <w:tc>
          <w:tcPr>
            <w:tcW w:w="935" w:type="dxa"/>
            <w:tcBorders>
              <w:top w:val="nil"/>
              <w:left w:val="nil"/>
              <w:bottom w:val="single" w:sz="4" w:space="0" w:color="auto"/>
              <w:right w:val="single" w:sz="4" w:space="0" w:color="auto"/>
            </w:tcBorders>
            <w:shd w:val="clear" w:color="auto" w:fill="auto"/>
            <w:noWrap/>
            <w:vAlign w:val="bottom"/>
            <w:hideMark/>
          </w:tcPr>
          <w:p w14:paraId="5D80B726" w14:textId="77777777" w:rsidR="004C5B0C" w:rsidRPr="001569FB" w:rsidRDefault="004C5B0C" w:rsidP="004C5B0C">
            <w:pPr>
              <w:keepNext/>
              <w:keepLines/>
              <w:ind w:left="1"/>
              <w:jc w:val="right"/>
              <w:rPr>
                <w:color w:val="000000"/>
              </w:rPr>
            </w:pPr>
            <w:r w:rsidRPr="001569FB">
              <w:rPr>
                <w:color w:val="000000"/>
              </w:rPr>
              <w:t>9.4%</w:t>
            </w:r>
          </w:p>
        </w:tc>
        <w:tc>
          <w:tcPr>
            <w:tcW w:w="935" w:type="dxa"/>
            <w:tcBorders>
              <w:top w:val="nil"/>
              <w:left w:val="nil"/>
              <w:bottom w:val="single" w:sz="4" w:space="0" w:color="auto"/>
              <w:right w:val="single" w:sz="4" w:space="0" w:color="auto"/>
            </w:tcBorders>
            <w:shd w:val="clear" w:color="auto" w:fill="auto"/>
            <w:noWrap/>
            <w:vAlign w:val="bottom"/>
            <w:hideMark/>
          </w:tcPr>
          <w:p w14:paraId="2DFF0D04" w14:textId="77777777" w:rsidR="004C5B0C" w:rsidRPr="001569FB" w:rsidRDefault="004C5B0C" w:rsidP="004C5B0C">
            <w:pPr>
              <w:keepNext/>
              <w:keepLines/>
              <w:jc w:val="right"/>
              <w:rPr>
                <w:color w:val="000000"/>
              </w:rPr>
            </w:pPr>
            <w:r w:rsidRPr="001569FB">
              <w:rPr>
                <w:color w:val="000000"/>
              </w:rPr>
              <w:t>11.3%</w:t>
            </w:r>
          </w:p>
        </w:tc>
        <w:tc>
          <w:tcPr>
            <w:tcW w:w="935" w:type="dxa"/>
            <w:tcBorders>
              <w:top w:val="nil"/>
              <w:left w:val="nil"/>
              <w:bottom w:val="single" w:sz="4" w:space="0" w:color="auto"/>
              <w:right w:val="single" w:sz="4" w:space="0" w:color="auto"/>
            </w:tcBorders>
            <w:shd w:val="clear" w:color="auto" w:fill="auto"/>
            <w:noWrap/>
            <w:vAlign w:val="bottom"/>
            <w:hideMark/>
          </w:tcPr>
          <w:p w14:paraId="2CA30E9F" w14:textId="77777777" w:rsidR="004C5B0C" w:rsidRPr="001569FB" w:rsidRDefault="004C5B0C" w:rsidP="004C5B0C">
            <w:pPr>
              <w:keepNext/>
              <w:keepLines/>
              <w:ind w:left="19"/>
              <w:jc w:val="right"/>
              <w:rPr>
                <w:color w:val="000000"/>
              </w:rPr>
            </w:pPr>
            <w:r w:rsidRPr="001569FB">
              <w:rPr>
                <w:color w:val="000000"/>
              </w:rPr>
              <w:t>12.2%</w:t>
            </w:r>
          </w:p>
        </w:tc>
        <w:tc>
          <w:tcPr>
            <w:tcW w:w="935" w:type="dxa"/>
            <w:tcBorders>
              <w:top w:val="nil"/>
              <w:left w:val="nil"/>
              <w:bottom w:val="single" w:sz="4" w:space="0" w:color="auto"/>
              <w:right w:val="single" w:sz="8" w:space="0" w:color="auto"/>
            </w:tcBorders>
            <w:shd w:val="clear" w:color="auto" w:fill="auto"/>
            <w:noWrap/>
            <w:vAlign w:val="bottom"/>
            <w:hideMark/>
          </w:tcPr>
          <w:p w14:paraId="0674BE23" w14:textId="77777777" w:rsidR="004C5B0C" w:rsidRPr="001569FB" w:rsidRDefault="004C5B0C" w:rsidP="004C5B0C">
            <w:pPr>
              <w:keepNext/>
              <w:keepLines/>
              <w:ind w:left="85"/>
              <w:jc w:val="right"/>
              <w:rPr>
                <w:color w:val="000000"/>
              </w:rPr>
            </w:pPr>
            <w:r w:rsidRPr="001569FB">
              <w:rPr>
                <w:color w:val="000000"/>
              </w:rPr>
              <w:t>20.0%</w:t>
            </w:r>
          </w:p>
        </w:tc>
      </w:tr>
      <w:tr w:rsidR="004C5B0C" w:rsidRPr="001569FB" w14:paraId="031E2B30" w14:textId="77777777" w:rsidTr="004C5B0C">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1BBCA0C6" w14:textId="77777777" w:rsidR="004C5B0C" w:rsidRPr="001569FB" w:rsidRDefault="004C5B0C" w:rsidP="004C5B0C">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E707ECF" w14:textId="77777777" w:rsidR="004C5B0C" w:rsidRPr="001569FB" w:rsidRDefault="004C5B0C" w:rsidP="004C5B0C">
            <w:pPr>
              <w:keepNext/>
              <w:keepLines/>
              <w:ind w:left="-102"/>
              <w:rPr>
                <w:color w:val="000000"/>
              </w:rPr>
            </w:pPr>
            <w:r w:rsidRPr="001569FB">
              <w:rPr>
                <w:color w:val="000000"/>
              </w:rPr>
              <w:t>&gt;30 M-Y</w:t>
            </w:r>
          </w:p>
        </w:tc>
        <w:tc>
          <w:tcPr>
            <w:tcW w:w="773" w:type="dxa"/>
            <w:tcBorders>
              <w:top w:val="nil"/>
              <w:left w:val="nil"/>
              <w:bottom w:val="single" w:sz="4" w:space="0" w:color="auto"/>
              <w:right w:val="nil"/>
            </w:tcBorders>
            <w:shd w:val="clear" w:color="000000" w:fill="D9D9D9"/>
            <w:noWrap/>
            <w:vAlign w:val="bottom"/>
            <w:hideMark/>
          </w:tcPr>
          <w:p w14:paraId="2CBD8B7D" w14:textId="77777777" w:rsidR="004C5B0C" w:rsidRPr="001569FB" w:rsidRDefault="004C5B0C" w:rsidP="004C5B0C">
            <w:pPr>
              <w:keepNext/>
              <w:keepLines/>
              <w:ind w:left="-50"/>
              <w:jc w:val="right"/>
              <w:rPr>
                <w:color w:val="000000"/>
              </w:rPr>
            </w:pPr>
            <w:r w:rsidRPr="001569FB">
              <w:rPr>
                <w:color w:val="000000"/>
              </w:rPr>
              <w:t>561</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7E9D0E67"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000000" w:fill="D9D9D9"/>
            <w:noWrap/>
            <w:vAlign w:val="bottom"/>
            <w:hideMark/>
          </w:tcPr>
          <w:p w14:paraId="6A3E7702" w14:textId="77777777" w:rsidR="004C5B0C" w:rsidRPr="001569FB" w:rsidRDefault="004C5B0C" w:rsidP="004C5B0C">
            <w:pPr>
              <w:keepNext/>
              <w:keepLines/>
              <w:jc w:val="right"/>
              <w:rPr>
                <w:color w:val="000000"/>
              </w:rPr>
            </w:pPr>
            <w:r w:rsidRPr="001569FB">
              <w:rPr>
                <w:color w:val="000000"/>
              </w:rPr>
              <w:t>5.0%</w:t>
            </w:r>
          </w:p>
        </w:tc>
        <w:tc>
          <w:tcPr>
            <w:tcW w:w="847" w:type="dxa"/>
            <w:tcBorders>
              <w:top w:val="nil"/>
              <w:left w:val="nil"/>
              <w:bottom w:val="single" w:sz="4" w:space="0" w:color="auto"/>
              <w:right w:val="single" w:sz="4" w:space="0" w:color="auto"/>
            </w:tcBorders>
            <w:shd w:val="clear" w:color="000000" w:fill="D9D9D9"/>
            <w:noWrap/>
            <w:vAlign w:val="bottom"/>
            <w:hideMark/>
          </w:tcPr>
          <w:p w14:paraId="79686FA6" w14:textId="77777777" w:rsidR="004C5B0C" w:rsidRPr="001569FB" w:rsidRDefault="004C5B0C" w:rsidP="004C5B0C">
            <w:pPr>
              <w:keepNext/>
              <w:keepLines/>
              <w:jc w:val="right"/>
              <w:rPr>
                <w:color w:val="000000"/>
              </w:rPr>
            </w:pPr>
            <w:r w:rsidRPr="001569FB">
              <w:rPr>
                <w:color w:val="000000"/>
              </w:rPr>
              <w:t>6.1%</w:t>
            </w:r>
          </w:p>
        </w:tc>
        <w:tc>
          <w:tcPr>
            <w:tcW w:w="847" w:type="dxa"/>
            <w:tcBorders>
              <w:top w:val="nil"/>
              <w:left w:val="nil"/>
              <w:bottom w:val="single" w:sz="4" w:space="0" w:color="auto"/>
              <w:right w:val="single" w:sz="4" w:space="0" w:color="auto"/>
            </w:tcBorders>
            <w:shd w:val="clear" w:color="000000" w:fill="D9D9D9"/>
            <w:noWrap/>
            <w:vAlign w:val="bottom"/>
            <w:hideMark/>
          </w:tcPr>
          <w:p w14:paraId="36903109"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nil"/>
              <w:left w:val="nil"/>
              <w:bottom w:val="single" w:sz="4" w:space="0" w:color="auto"/>
              <w:right w:val="single" w:sz="4" w:space="0" w:color="auto"/>
            </w:tcBorders>
            <w:shd w:val="clear" w:color="000000" w:fill="D9D9D9"/>
            <w:noWrap/>
            <w:vAlign w:val="bottom"/>
            <w:hideMark/>
          </w:tcPr>
          <w:p w14:paraId="54B5F851" w14:textId="77777777" w:rsidR="004C5B0C" w:rsidRPr="001569FB" w:rsidRDefault="004C5B0C" w:rsidP="004C5B0C">
            <w:pPr>
              <w:keepNext/>
              <w:keepLines/>
              <w:ind w:left="1"/>
              <w:jc w:val="right"/>
              <w:rPr>
                <w:color w:val="000000"/>
              </w:rPr>
            </w:pPr>
            <w:r w:rsidRPr="001569FB">
              <w:rPr>
                <w:color w:val="000000"/>
              </w:rPr>
              <w:t>9.9%</w:t>
            </w:r>
          </w:p>
        </w:tc>
        <w:tc>
          <w:tcPr>
            <w:tcW w:w="935" w:type="dxa"/>
            <w:tcBorders>
              <w:top w:val="nil"/>
              <w:left w:val="nil"/>
              <w:bottom w:val="single" w:sz="4" w:space="0" w:color="auto"/>
              <w:right w:val="single" w:sz="4" w:space="0" w:color="auto"/>
            </w:tcBorders>
            <w:shd w:val="clear" w:color="000000" w:fill="D9D9D9"/>
            <w:noWrap/>
            <w:vAlign w:val="bottom"/>
            <w:hideMark/>
          </w:tcPr>
          <w:p w14:paraId="6404114B" w14:textId="77777777" w:rsidR="004C5B0C" w:rsidRPr="001569FB" w:rsidRDefault="004C5B0C" w:rsidP="004C5B0C">
            <w:pPr>
              <w:keepNext/>
              <w:keepLines/>
              <w:jc w:val="right"/>
              <w:rPr>
                <w:color w:val="000000"/>
              </w:rPr>
            </w:pPr>
            <w:r w:rsidRPr="001569FB">
              <w:rPr>
                <w:color w:val="000000"/>
              </w:rPr>
              <w:t>13.0%</w:t>
            </w:r>
          </w:p>
        </w:tc>
        <w:tc>
          <w:tcPr>
            <w:tcW w:w="935" w:type="dxa"/>
            <w:tcBorders>
              <w:top w:val="nil"/>
              <w:left w:val="nil"/>
              <w:bottom w:val="single" w:sz="4" w:space="0" w:color="auto"/>
              <w:right w:val="single" w:sz="4" w:space="0" w:color="auto"/>
            </w:tcBorders>
            <w:shd w:val="clear" w:color="000000" w:fill="D9D9D9"/>
            <w:noWrap/>
            <w:vAlign w:val="bottom"/>
            <w:hideMark/>
          </w:tcPr>
          <w:p w14:paraId="0B184A3C" w14:textId="77777777" w:rsidR="004C5B0C" w:rsidRPr="001569FB" w:rsidRDefault="004C5B0C" w:rsidP="004C5B0C">
            <w:pPr>
              <w:keepNext/>
              <w:keepLines/>
              <w:ind w:left="19"/>
              <w:jc w:val="right"/>
              <w:rPr>
                <w:color w:val="000000"/>
              </w:rPr>
            </w:pPr>
            <w:r w:rsidRPr="001569FB">
              <w:rPr>
                <w:color w:val="000000"/>
              </w:rPr>
              <w:t>15.7%</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3DE4870F" w14:textId="77777777" w:rsidR="004C5B0C" w:rsidRPr="001569FB" w:rsidRDefault="004C5B0C" w:rsidP="004C5B0C">
            <w:pPr>
              <w:keepNext/>
              <w:keepLines/>
              <w:ind w:left="85"/>
              <w:jc w:val="right"/>
              <w:rPr>
                <w:color w:val="000000"/>
              </w:rPr>
            </w:pPr>
            <w:r w:rsidRPr="001569FB">
              <w:rPr>
                <w:color w:val="000000"/>
              </w:rPr>
              <w:t>30.8%</w:t>
            </w:r>
          </w:p>
        </w:tc>
      </w:tr>
      <w:tr w:rsidR="004C5B0C" w:rsidRPr="001569FB" w14:paraId="269013BE" w14:textId="77777777" w:rsidTr="004C5B0C">
        <w:trPr>
          <w:cantSplit/>
          <w:trHeight w:val="315"/>
          <w:jc w:val="center"/>
        </w:trPr>
        <w:tc>
          <w:tcPr>
            <w:tcW w:w="1154" w:type="dxa"/>
            <w:tcBorders>
              <w:top w:val="nil"/>
              <w:left w:val="single" w:sz="8" w:space="0" w:color="auto"/>
              <w:bottom w:val="single" w:sz="8" w:space="0" w:color="auto"/>
              <w:right w:val="nil"/>
            </w:tcBorders>
            <w:shd w:val="clear" w:color="auto" w:fill="auto"/>
            <w:noWrap/>
            <w:vAlign w:val="bottom"/>
            <w:hideMark/>
          </w:tcPr>
          <w:p w14:paraId="376B70A8" w14:textId="77777777" w:rsidR="004C5B0C" w:rsidRPr="001569FB" w:rsidRDefault="004C5B0C" w:rsidP="004C5B0C">
            <w:pPr>
              <w:ind w:left="152"/>
              <w:rPr>
                <w:color w:val="000000"/>
              </w:rPr>
            </w:pPr>
            <w:r w:rsidRPr="001569FB">
              <w:rPr>
                <w:color w:val="000000"/>
              </w:rPr>
              <w:t>PDP</w:t>
            </w:r>
          </w:p>
        </w:tc>
        <w:tc>
          <w:tcPr>
            <w:tcW w:w="1086" w:type="dxa"/>
            <w:tcBorders>
              <w:top w:val="nil"/>
              <w:left w:val="single" w:sz="4" w:space="0" w:color="auto"/>
              <w:bottom w:val="single" w:sz="8" w:space="0" w:color="auto"/>
              <w:right w:val="single" w:sz="4" w:space="0" w:color="auto"/>
            </w:tcBorders>
            <w:shd w:val="clear" w:color="auto" w:fill="auto"/>
            <w:noWrap/>
            <w:vAlign w:val="bottom"/>
            <w:hideMark/>
          </w:tcPr>
          <w:p w14:paraId="2FCDBAEC" w14:textId="77777777" w:rsidR="004C5B0C" w:rsidRPr="001569FB" w:rsidRDefault="004C5B0C" w:rsidP="004C5B0C">
            <w:pPr>
              <w:ind w:left="-102"/>
              <w:rPr>
                <w:color w:val="000000"/>
              </w:rPr>
            </w:pPr>
            <w:r w:rsidRPr="001569FB">
              <w:rPr>
                <w:color w:val="000000"/>
              </w:rPr>
              <w:t>&gt;30 M-Y</w:t>
            </w:r>
          </w:p>
        </w:tc>
        <w:tc>
          <w:tcPr>
            <w:tcW w:w="773" w:type="dxa"/>
            <w:tcBorders>
              <w:top w:val="nil"/>
              <w:left w:val="nil"/>
              <w:bottom w:val="single" w:sz="8" w:space="0" w:color="auto"/>
              <w:right w:val="nil"/>
            </w:tcBorders>
            <w:shd w:val="clear" w:color="auto" w:fill="auto"/>
            <w:noWrap/>
            <w:vAlign w:val="bottom"/>
            <w:hideMark/>
          </w:tcPr>
          <w:p w14:paraId="0288AAB5" w14:textId="77777777" w:rsidR="004C5B0C" w:rsidRPr="001569FB" w:rsidRDefault="004C5B0C" w:rsidP="004C5B0C">
            <w:pPr>
              <w:ind w:left="-50"/>
              <w:jc w:val="right"/>
              <w:rPr>
                <w:color w:val="000000"/>
              </w:rPr>
            </w:pPr>
            <w:r w:rsidRPr="001569FB">
              <w:rPr>
                <w:color w:val="000000"/>
              </w:rPr>
              <w:t>60</w:t>
            </w:r>
          </w:p>
        </w:tc>
        <w:tc>
          <w:tcPr>
            <w:tcW w:w="847" w:type="dxa"/>
            <w:tcBorders>
              <w:top w:val="nil"/>
              <w:left w:val="single" w:sz="4" w:space="0" w:color="auto"/>
              <w:bottom w:val="single" w:sz="8" w:space="0" w:color="auto"/>
              <w:right w:val="single" w:sz="4" w:space="0" w:color="auto"/>
            </w:tcBorders>
            <w:shd w:val="clear" w:color="auto" w:fill="auto"/>
            <w:noWrap/>
            <w:vAlign w:val="bottom"/>
            <w:hideMark/>
          </w:tcPr>
          <w:p w14:paraId="5009935B" w14:textId="77777777" w:rsidR="004C5B0C" w:rsidRPr="001569FB" w:rsidRDefault="004C5B0C" w:rsidP="004C5B0C">
            <w:pPr>
              <w:ind w:left="-45"/>
              <w:jc w:val="center"/>
              <w:rPr>
                <w:color w:val="000000"/>
              </w:rPr>
            </w:pPr>
            <w:r w:rsidRPr="001569FB">
              <w:rPr>
                <w:color w:val="000000"/>
              </w:rPr>
              <w:t>5.0%</w:t>
            </w:r>
          </w:p>
        </w:tc>
        <w:tc>
          <w:tcPr>
            <w:tcW w:w="847" w:type="dxa"/>
            <w:tcBorders>
              <w:top w:val="nil"/>
              <w:left w:val="nil"/>
              <w:bottom w:val="single" w:sz="8" w:space="0" w:color="auto"/>
              <w:right w:val="single" w:sz="4" w:space="0" w:color="auto"/>
            </w:tcBorders>
            <w:shd w:val="clear" w:color="auto" w:fill="auto"/>
            <w:noWrap/>
            <w:vAlign w:val="bottom"/>
            <w:hideMark/>
          </w:tcPr>
          <w:p w14:paraId="1A66ED58" w14:textId="77777777" w:rsidR="004C5B0C" w:rsidRPr="001569FB" w:rsidRDefault="004C5B0C" w:rsidP="004C5B0C">
            <w:pPr>
              <w:jc w:val="right"/>
              <w:rPr>
                <w:color w:val="000000"/>
              </w:rPr>
            </w:pPr>
            <w:r w:rsidRPr="001569FB">
              <w:rPr>
                <w:color w:val="000000"/>
              </w:rPr>
              <w:t>5.8%</w:t>
            </w:r>
          </w:p>
        </w:tc>
        <w:tc>
          <w:tcPr>
            <w:tcW w:w="847" w:type="dxa"/>
            <w:tcBorders>
              <w:top w:val="nil"/>
              <w:left w:val="nil"/>
              <w:bottom w:val="single" w:sz="8" w:space="0" w:color="auto"/>
              <w:right w:val="single" w:sz="4" w:space="0" w:color="auto"/>
            </w:tcBorders>
            <w:shd w:val="clear" w:color="auto" w:fill="auto"/>
            <w:noWrap/>
            <w:vAlign w:val="bottom"/>
            <w:hideMark/>
          </w:tcPr>
          <w:p w14:paraId="79AC06EE" w14:textId="77777777" w:rsidR="004C5B0C" w:rsidRPr="001569FB" w:rsidRDefault="004C5B0C" w:rsidP="004C5B0C">
            <w:pPr>
              <w:jc w:val="right"/>
              <w:rPr>
                <w:color w:val="000000"/>
              </w:rPr>
            </w:pPr>
            <w:r w:rsidRPr="001569FB">
              <w:rPr>
                <w:color w:val="000000"/>
              </w:rPr>
              <w:t>6.6%</w:t>
            </w:r>
          </w:p>
        </w:tc>
        <w:tc>
          <w:tcPr>
            <w:tcW w:w="847" w:type="dxa"/>
            <w:tcBorders>
              <w:top w:val="nil"/>
              <w:left w:val="nil"/>
              <w:bottom w:val="single" w:sz="8" w:space="0" w:color="auto"/>
              <w:right w:val="single" w:sz="4" w:space="0" w:color="auto"/>
            </w:tcBorders>
            <w:shd w:val="clear" w:color="auto" w:fill="auto"/>
            <w:noWrap/>
            <w:vAlign w:val="bottom"/>
            <w:hideMark/>
          </w:tcPr>
          <w:p w14:paraId="5792E0FB" w14:textId="77777777" w:rsidR="004C5B0C" w:rsidRPr="001569FB" w:rsidRDefault="004C5B0C" w:rsidP="004C5B0C">
            <w:pPr>
              <w:ind w:left="-37"/>
              <w:jc w:val="right"/>
              <w:rPr>
                <w:color w:val="000000"/>
              </w:rPr>
            </w:pPr>
            <w:r w:rsidRPr="001569FB">
              <w:rPr>
                <w:color w:val="000000"/>
              </w:rPr>
              <w:t>7.6%</w:t>
            </w:r>
          </w:p>
        </w:tc>
        <w:tc>
          <w:tcPr>
            <w:tcW w:w="935" w:type="dxa"/>
            <w:tcBorders>
              <w:top w:val="nil"/>
              <w:left w:val="nil"/>
              <w:bottom w:val="single" w:sz="8" w:space="0" w:color="auto"/>
              <w:right w:val="single" w:sz="4" w:space="0" w:color="auto"/>
            </w:tcBorders>
            <w:shd w:val="clear" w:color="auto" w:fill="auto"/>
            <w:noWrap/>
            <w:vAlign w:val="bottom"/>
            <w:hideMark/>
          </w:tcPr>
          <w:p w14:paraId="38CDD53A" w14:textId="77777777" w:rsidR="004C5B0C" w:rsidRPr="001569FB" w:rsidRDefault="004C5B0C" w:rsidP="004C5B0C">
            <w:pPr>
              <w:ind w:left="1"/>
              <w:jc w:val="right"/>
              <w:rPr>
                <w:color w:val="000000"/>
              </w:rPr>
            </w:pPr>
            <w:r w:rsidRPr="001569FB">
              <w:rPr>
                <w:color w:val="000000"/>
              </w:rPr>
              <w:t>9.3%</w:t>
            </w:r>
          </w:p>
        </w:tc>
        <w:tc>
          <w:tcPr>
            <w:tcW w:w="935" w:type="dxa"/>
            <w:tcBorders>
              <w:top w:val="nil"/>
              <w:left w:val="nil"/>
              <w:bottom w:val="single" w:sz="8" w:space="0" w:color="auto"/>
              <w:right w:val="single" w:sz="4" w:space="0" w:color="auto"/>
            </w:tcBorders>
            <w:shd w:val="clear" w:color="auto" w:fill="auto"/>
            <w:noWrap/>
            <w:vAlign w:val="bottom"/>
            <w:hideMark/>
          </w:tcPr>
          <w:p w14:paraId="4B79D5F4" w14:textId="77777777" w:rsidR="004C5B0C" w:rsidRPr="001569FB" w:rsidRDefault="004C5B0C" w:rsidP="004C5B0C">
            <w:pPr>
              <w:jc w:val="right"/>
              <w:rPr>
                <w:color w:val="000000"/>
              </w:rPr>
            </w:pPr>
            <w:r w:rsidRPr="001569FB">
              <w:rPr>
                <w:color w:val="000000"/>
              </w:rPr>
              <w:t>11.1%</w:t>
            </w:r>
          </w:p>
        </w:tc>
        <w:tc>
          <w:tcPr>
            <w:tcW w:w="935" w:type="dxa"/>
            <w:tcBorders>
              <w:top w:val="nil"/>
              <w:left w:val="nil"/>
              <w:bottom w:val="single" w:sz="8" w:space="0" w:color="auto"/>
              <w:right w:val="single" w:sz="4" w:space="0" w:color="auto"/>
            </w:tcBorders>
            <w:shd w:val="clear" w:color="auto" w:fill="auto"/>
            <w:noWrap/>
            <w:vAlign w:val="bottom"/>
            <w:hideMark/>
          </w:tcPr>
          <w:p w14:paraId="1C11E136" w14:textId="77777777" w:rsidR="004C5B0C" w:rsidRPr="001569FB" w:rsidRDefault="004C5B0C" w:rsidP="004C5B0C">
            <w:pPr>
              <w:ind w:left="19"/>
              <w:jc w:val="right"/>
              <w:rPr>
                <w:color w:val="000000"/>
              </w:rPr>
            </w:pPr>
            <w:r w:rsidRPr="001569FB">
              <w:rPr>
                <w:color w:val="000000"/>
              </w:rPr>
              <w:t>12.1%</w:t>
            </w:r>
          </w:p>
        </w:tc>
        <w:tc>
          <w:tcPr>
            <w:tcW w:w="935" w:type="dxa"/>
            <w:tcBorders>
              <w:top w:val="nil"/>
              <w:left w:val="single" w:sz="4" w:space="0" w:color="auto"/>
              <w:bottom w:val="single" w:sz="8" w:space="0" w:color="auto"/>
              <w:right w:val="single" w:sz="8" w:space="0" w:color="auto"/>
            </w:tcBorders>
            <w:shd w:val="clear" w:color="auto" w:fill="auto"/>
            <w:noWrap/>
            <w:vAlign w:val="bottom"/>
            <w:hideMark/>
          </w:tcPr>
          <w:p w14:paraId="74F999D9" w14:textId="77777777" w:rsidR="004C5B0C" w:rsidRPr="001569FB" w:rsidRDefault="004C5B0C" w:rsidP="004C5B0C">
            <w:pPr>
              <w:ind w:left="85"/>
              <w:jc w:val="right"/>
              <w:rPr>
                <w:color w:val="000000"/>
              </w:rPr>
            </w:pPr>
            <w:r w:rsidRPr="001569FB">
              <w:rPr>
                <w:color w:val="000000"/>
              </w:rPr>
              <w:t>12.7%</w:t>
            </w:r>
          </w:p>
        </w:tc>
      </w:tr>
    </w:tbl>
    <w:p w14:paraId="005227E2" w14:textId="77777777" w:rsidR="004C5B0C" w:rsidRPr="001569FB" w:rsidRDefault="004C5B0C" w:rsidP="004C5B0C">
      <w:pPr>
        <w:tabs>
          <w:tab w:val="left" w:pos="360"/>
        </w:tabs>
        <w:kinsoku w:val="0"/>
        <w:overflowPunct w:val="0"/>
        <w:autoSpaceDE w:val="0"/>
        <w:autoSpaceDN w:val="0"/>
        <w:adjustRightInd w:val="0"/>
        <w:spacing w:before="600"/>
        <w:ind w:left="360" w:right="115"/>
      </w:pPr>
      <w:r w:rsidRPr="001569FB">
        <w:t xml:space="preserve">As the PQA measure manual notes, medication combinations in this measure are those for which serious adverse effects have been reported among older adults. It is generally accepted that a high burden of anticholinergic use is consistently associated with cognitive impairment and increased risk of dementia in older adults. The rate distributions show variability in use across both MA-PD and PDP contracts suggesting an opportunity for improvement to reduce the use of multiple concurrent ACH medications within Part D enrolled older adults. We propose to begin reporting the Poly-ACH measure in the Patient Safety reports for the 2018 measurement year. We plan to add the measure to the display page for 2021 (2019 data) and 2022 (2020 data). We will consider this measure for the 2023 Star Ratings (2021 data), which would be proposed through rulemaking. </w:t>
      </w:r>
    </w:p>
    <w:p w14:paraId="6AD0C3FE" w14:textId="77777777" w:rsidR="004C5B0C" w:rsidRPr="001569FB" w:rsidRDefault="004C5B0C" w:rsidP="001569FB">
      <w:pPr>
        <w:tabs>
          <w:tab w:val="left" w:pos="360"/>
        </w:tabs>
        <w:kinsoku w:val="0"/>
        <w:overflowPunct w:val="0"/>
        <w:autoSpaceDE w:val="0"/>
        <w:autoSpaceDN w:val="0"/>
        <w:adjustRightInd w:val="0"/>
        <w:spacing w:after="200"/>
        <w:ind w:left="360" w:right="115"/>
      </w:pPr>
      <w:r w:rsidRPr="001569FB">
        <w:rPr>
          <w:u w:val="single"/>
        </w:rPr>
        <w:lastRenderedPageBreak/>
        <w:t>Polypharmacy: Use of Multiple Central Nervous System (CNS)-Active Medications in Older Adults (Poly-CNS):</w:t>
      </w:r>
      <w:r w:rsidRPr="001569FB">
        <w:t xml:space="preserve">  This measure assesses the percentage of individuals 65 years and older with concurrent use of three or more unique CNS-active medications. To be included in the denominator, a beneficiary must have at least two fills of the same CNS-active medication with unique dates of service during the treatment period. Any beneficiary with a hospice indicator during the measurement year was excluded. Lower rates represent better performance.</w:t>
      </w:r>
    </w:p>
    <w:p w14:paraId="65FBDEA2" w14:textId="77777777" w:rsidR="004C5B0C" w:rsidRPr="001569FB" w:rsidRDefault="004C5B0C" w:rsidP="004C5B0C">
      <w:pPr>
        <w:tabs>
          <w:tab w:val="left" w:pos="360"/>
        </w:tabs>
        <w:kinsoku w:val="0"/>
        <w:overflowPunct w:val="0"/>
        <w:autoSpaceDE w:val="0"/>
        <w:autoSpaceDN w:val="0"/>
        <w:adjustRightInd w:val="0"/>
        <w:ind w:left="360" w:right="115"/>
      </w:pPr>
      <w:r w:rsidRPr="001569FB">
        <w:t>We also tested the Poly-CNS PQA measure specifications using 2016 PDE data. We adjusted the measure for member-years and evaluated the number of contracts with greater than 30 member-years in the denominator. A total of 736 out of 743 Part D contracts in 2016 (668 MA-PDs, 63 PDPs, and 5 employer direct contracts) had a beneficiary who met the eligibility requirements for the Poly-CNS measure. When the greater than 30 member-year denominator criterion was applied, the total number of MA-PD and PDP contracts decreased to 698. Over 5% of MA-PD contracts and 9% PDP contracts were excluded. However, the distributions did not change, so those rates are not shown in the table below.</w:t>
      </w:r>
    </w:p>
    <w:p w14:paraId="0A98E2B8" w14:textId="77777777" w:rsidR="004C5B0C" w:rsidRPr="001569FB" w:rsidRDefault="004C5B0C" w:rsidP="004C5B0C">
      <w:pPr>
        <w:pStyle w:val="Caption"/>
      </w:pPr>
      <w:r w:rsidRPr="001569FB">
        <w:t xml:space="preserve">Table </w:t>
      </w:r>
      <w:fldSimple w:instr=" SEQ Table \* ARABIC ">
        <w:r w:rsidR="00A216EC">
          <w:rPr>
            <w:noProof/>
          </w:rPr>
          <w:t>17</w:t>
        </w:r>
      </w:fldSimple>
      <w:r w:rsidRPr="001569FB">
        <w:t>: Distribution of the Poly-CNS Measure Rates, Part D, 2016</w:t>
      </w:r>
    </w:p>
    <w:tbl>
      <w:tblPr>
        <w:tblW w:w="0" w:type="auto"/>
        <w:jc w:val="center"/>
        <w:tblLayout w:type="fixed"/>
        <w:tblCellMar>
          <w:left w:w="58" w:type="dxa"/>
          <w:right w:w="58" w:type="dxa"/>
        </w:tblCellMar>
        <w:tblLook w:val="04A0" w:firstRow="1" w:lastRow="0" w:firstColumn="1" w:lastColumn="0" w:noHBand="0" w:noVBand="1"/>
      </w:tblPr>
      <w:tblGrid>
        <w:gridCol w:w="1871"/>
        <w:gridCol w:w="1393"/>
        <w:gridCol w:w="701"/>
        <w:gridCol w:w="701"/>
        <w:gridCol w:w="701"/>
        <w:gridCol w:w="701"/>
        <w:gridCol w:w="818"/>
        <w:gridCol w:w="818"/>
        <w:gridCol w:w="818"/>
        <w:gridCol w:w="818"/>
      </w:tblGrid>
      <w:tr w:rsidR="004C5B0C" w:rsidRPr="001569FB" w14:paraId="349A6035" w14:textId="77777777" w:rsidTr="004C5B0C">
        <w:trPr>
          <w:trHeight w:val="300"/>
          <w:tblHeader/>
          <w:jc w:val="center"/>
        </w:trPr>
        <w:tc>
          <w:tcPr>
            <w:tcW w:w="1871" w:type="dxa"/>
            <w:tcBorders>
              <w:top w:val="single" w:sz="8" w:space="0" w:color="auto"/>
              <w:left w:val="single" w:sz="8" w:space="0" w:color="auto"/>
              <w:bottom w:val="nil"/>
              <w:right w:val="nil"/>
            </w:tcBorders>
            <w:shd w:val="clear" w:color="000000" w:fill="D9D9D9"/>
            <w:noWrap/>
            <w:vAlign w:val="bottom"/>
            <w:hideMark/>
          </w:tcPr>
          <w:p w14:paraId="263E559B" w14:textId="77777777" w:rsidR="004C5B0C" w:rsidRPr="001569FB" w:rsidRDefault="004C5B0C" w:rsidP="004C5B0C">
            <w:pPr>
              <w:keepNext/>
              <w:keepLines/>
              <w:ind w:left="-28" w:right="13"/>
              <w:rPr>
                <w:color w:val="000000"/>
              </w:rPr>
            </w:pPr>
            <w:r w:rsidRPr="001569FB">
              <w:rPr>
                <w:color w:val="000000"/>
              </w:rPr>
              <w:t>Part D Contracts</w:t>
            </w:r>
          </w:p>
        </w:tc>
        <w:tc>
          <w:tcPr>
            <w:tcW w:w="1393" w:type="dxa"/>
            <w:tcBorders>
              <w:top w:val="single" w:sz="8" w:space="0" w:color="auto"/>
              <w:left w:val="nil"/>
              <w:bottom w:val="single" w:sz="4" w:space="0" w:color="auto"/>
              <w:right w:val="single" w:sz="4" w:space="0" w:color="auto"/>
            </w:tcBorders>
            <w:shd w:val="clear" w:color="000000" w:fill="D9D9D9"/>
            <w:noWrap/>
            <w:vAlign w:val="bottom"/>
            <w:hideMark/>
          </w:tcPr>
          <w:p w14:paraId="4066EDF4" w14:textId="77777777" w:rsidR="004C5B0C" w:rsidRPr="001569FB" w:rsidRDefault="004C5B0C" w:rsidP="004C5B0C">
            <w:pPr>
              <w:keepNext/>
              <w:keepLines/>
              <w:rPr>
                <w:color w:val="000000"/>
              </w:rPr>
            </w:pPr>
            <w:r w:rsidRPr="001569FB">
              <w:rPr>
                <w:color w:val="000000"/>
              </w:rPr>
              <w:t> </w:t>
            </w:r>
          </w:p>
        </w:tc>
        <w:tc>
          <w:tcPr>
            <w:tcW w:w="6076"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47C390E4" w14:textId="77777777" w:rsidR="004C5B0C" w:rsidRPr="001569FB" w:rsidRDefault="004C5B0C" w:rsidP="004C5B0C">
            <w:pPr>
              <w:keepNext/>
              <w:keepLines/>
              <w:jc w:val="center"/>
              <w:rPr>
                <w:color w:val="000000"/>
              </w:rPr>
            </w:pPr>
            <w:r w:rsidRPr="001569FB">
              <w:rPr>
                <w:color w:val="000000"/>
              </w:rPr>
              <w:t>Percentiles</w:t>
            </w:r>
          </w:p>
        </w:tc>
      </w:tr>
      <w:tr w:rsidR="004C5B0C" w:rsidRPr="001569FB" w14:paraId="63B6AD23" w14:textId="77777777" w:rsidTr="004C5B0C">
        <w:trPr>
          <w:trHeight w:val="300"/>
          <w:tblHeader/>
          <w:jc w:val="center"/>
        </w:trPr>
        <w:tc>
          <w:tcPr>
            <w:tcW w:w="1871"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2169A1E1" w14:textId="77777777" w:rsidR="004C5B0C" w:rsidRPr="001569FB" w:rsidRDefault="004C5B0C" w:rsidP="004C5B0C">
            <w:pPr>
              <w:keepNext/>
              <w:keepLines/>
              <w:rPr>
                <w:color w:val="000000"/>
              </w:rPr>
            </w:pPr>
            <w:r w:rsidRPr="001569FB">
              <w:rPr>
                <w:color w:val="000000"/>
              </w:rPr>
              <w:t>Type</w:t>
            </w:r>
          </w:p>
        </w:tc>
        <w:tc>
          <w:tcPr>
            <w:tcW w:w="1393" w:type="dxa"/>
            <w:tcBorders>
              <w:top w:val="nil"/>
              <w:left w:val="nil"/>
              <w:bottom w:val="single" w:sz="4" w:space="0" w:color="auto"/>
              <w:right w:val="single" w:sz="4" w:space="0" w:color="auto"/>
            </w:tcBorders>
            <w:shd w:val="clear" w:color="000000" w:fill="D9D9D9"/>
            <w:noWrap/>
            <w:vAlign w:val="bottom"/>
            <w:hideMark/>
          </w:tcPr>
          <w:p w14:paraId="6C73F94C" w14:textId="77777777" w:rsidR="004C5B0C" w:rsidRPr="001569FB" w:rsidRDefault="004C5B0C" w:rsidP="004C5B0C">
            <w:pPr>
              <w:keepNext/>
              <w:keepLines/>
              <w:rPr>
                <w:color w:val="000000"/>
              </w:rPr>
            </w:pPr>
            <w:r w:rsidRPr="001569FB">
              <w:rPr>
                <w:color w:val="000000"/>
              </w:rPr>
              <w:t>Count</w:t>
            </w:r>
          </w:p>
        </w:tc>
        <w:tc>
          <w:tcPr>
            <w:tcW w:w="701" w:type="dxa"/>
            <w:tcBorders>
              <w:top w:val="nil"/>
              <w:left w:val="nil"/>
              <w:bottom w:val="single" w:sz="4" w:space="0" w:color="auto"/>
              <w:right w:val="single" w:sz="4" w:space="0" w:color="auto"/>
            </w:tcBorders>
            <w:shd w:val="clear" w:color="000000" w:fill="D9D9D9"/>
            <w:noWrap/>
            <w:vAlign w:val="bottom"/>
            <w:hideMark/>
          </w:tcPr>
          <w:p w14:paraId="382FBA2B" w14:textId="77777777" w:rsidR="004C5B0C" w:rsidRPr="001569FB" w:rsidRDefault="004C5B0C" w:rsidP="004C5B0C">
            <w:pPr>
              <w:keepNext/>
              <w:keepLines/>
              <w:rPr>
                <w:color w:val="000000"/>
              </w:rPr>
            </w:pPr>
            <w:r w:rsidRPr="001569FB">
              <w:rPr>
                <w:color w:val="000000"/>
              </w:rPr>
              <w:t>Min</w:t>
            </w:r>
          </w:p>
        </w:tc>
        <w:tc>
          <w:tcPr>
            <w:tcW w:w="701" w:type="dxa"/>
            <w:tcBorders>
              <w:top w:val="nil"/>
              <w:left w:val="single" w:sz="4" w:space="0" w:color="auto"/>
              <w:bottom w:val="single" w:sz="4" w:space="0" w:color="auto"/>
              <w:right w:val="single" w:sz="4" w:space="0" w:color="auto"/>
            </w:tcBorders>
            <w:shd w:val="clear" w:color="000000" w:fill="D9D9D9"/>
            <w:noWrap/>
            <w:vAlign w:val="bottom"/>
            <w:hideMark/>
          </w:tcPr>
          <w:p w14:paraId="1A05CA48" w14:textId="77777777" w:rsidR="004C5B0C" w:rsidRPr="001569FB" w:rsidRDefault="004C5B0C" w:rsidP="004C5B0C">
            <w:pPr>
              <w:keepNext/>
              <w:keepLines/>
              <w:rPr>
                <w:color w:val="000000"/>
              </w:rPr>
            </w:pPr>
            <w:r w:rsidRPr="001569FB">
              <w:rPr>
                <w:color w:val="000000"/>
              </w:rPr>
              <w:t>10%</w:t>
            </w:r>
          </w:p>
        </w:tc>
        <w:tc>
          <w:tcPr>
            <w:tcW w:w="701" w:type="dxa"/>
            <w:tcBorders>
              <w:top w:val="nil"/>
              <w:left w:val="nil"/>
              <w:bottom w:val="single" w:sz="4" w:space="0" w:color="auto"/>
              <w:right w:val="single" w:sz="4" w:space="0" w:color="auto"/>
            </w:tcBorders>
            <w:shd w:val="clear" w:color="000000" w:fill="D9D9D9"/>
            <w:noWrap/>
            <w:vAlign w:val="bottom"/>
            <w:hideMark/>
          </w:tcPr>
          <w:p w14:paraId="6B2DEAA5" w14:textId="77777777" w:rsidR="004C5B0C" w:rsidRPr="001569FB" w:rsidRDefault="004C5B0C" w:rsidP="004C5B0C">
            <w:pPr>
              <w:keepNext/>
              <w:keepLines/>
              <w:rPr>
                <w:color w:val="000000"/>
              </w:rPr>
            </w:pPr>
            <w:r w:rsidRPr="001569FB">
              <w:rPr>
                <w:color w:val="000000"/>
              </w:rPr>
              <w:t>25%</w:t>
            </w:r>
          </w:p>
        </w:tc>
        <w:tc>
          <w:tcPr>
            <w:tcW w:w="701" w:type="dxa"/>
            <w:tcBorders>
              <w:top w:val="nil"/>
              <w:left w:val="nil"/>
              <w:bottom w:val="single" w:sz="4" w:space="0" w:color="auto"/>
              <w:right w:val="single" w:sz="4" w:space="0" w:color="auto"/>
            </w:tcBorders>
            <w:shd w:val="clear" w:color="000000" w:fill="D9D9D9"/>
            <w:noWrap/>
            <w:vAlign w:val="bottom"/>
            <w:hideMark/>
          </w:tcPr>
          <w:p w14:paraId="5B8FA883" w14:textId="77777777" w:rsidR="004C5B0C" w:rsidRPr="001569FB" w:rsidRDefault="004C5B0C" w:rsidP="004C5B0C">
            <w:pPr>
              <w:keepNext/>
              <w:keepLines/>
              <w:rPr>
                <w:color w:val="000000"/>
              </w:rPr>
            </w:pPr>
            <w:r w:rsidRPr="001569FB">
              <w:rPr>
                <w:color w:val="000000"/>
              </w:rPr>
              <w:t>50%</w:t>
            </w:r>
          </w:p>
        </w:tc>
        <w:tc>
          <w:tcPr>
            <w:tcW w:w="818" w:type="dxa"/>
            <w:tcBorders>
              <w:top w:val="nil"/>
              <w:left w:val="nil"/>
              <w:bottom w:val="single" w:sz="4" w:space="0" w:color="auto"/>
              <w:right w:val="single" w:sz="4" w:space="0" w:color="auto"/>
            </w:tcBorders>
            <w:shd w:val="clear" w:color="000000" w:fill="D9D9D9"/>
            <w:noWrap/>
            <w:vAlign w:val="bottom"/>
            <w:hideMark/>
          </w:tcPr>
          <w:p w14:paraId="31408B13" w14:textId="77777777" w:rsidR="004C5B0C" w:rsidRPr="001569FB" w:rsidRDefault="004C5B0C" w:rsidP="004C5B0C">
            <w:pPr>
              <w:keepNext/>
              <w:keepLines/>
              <w:rPr>
                <w:color w:val="000000"/>
              </w:rPr>
            </w:pPr>
            <w:r w:rsidRPr="001569FB">
              <w:rPr>
                <w:color w:val="000000"/>
              </w:rPr>
              <w:t>75%</w:t>
            </w:r>
          </w:p>
        </w:tc>
        <w:tc>
          <w:tcPr>
            <w:tcW w:w="818" w:type="dxa"/>
            <w:tcBorders>
              <w:top w:val="nil"/>
              <w:left w:val="nil"/>
              <w:bottom w:val="single" w:sz="4" w:space="0" w:color="auto"/>
              <w:right w:val="single" w:sz="4" w:space="0" w:color="auto"/>
            </w:tcBorders>
            <w:shd w:val="clear" w:color="000000" w:fill="D9D9D9"/>
            <w:noWrap/>
            <w:vAlign w:val="bottom"/>
            <w:hideMark/>
          </w:tcPr>
          <w:p w14:paraId="14241772" w14:textId="77777777" w:rsidR="004C5B0C" w:rsidRPr="001569FB" w:rsidRDefault="004C5B0C" w:rsidP="004C5B0C">
            <w:pPr>
              <w:keepNext/>
              <w:keepLines/>
              <w:rPr>
                <w:color w:val="000000"/>
              </w:rPr>
            </w:pPr>
            <w:r w:rsidRPr="001569FB">
              <w:rPr>
                <w:color w:val="000000"/>
              </w:rPr>
              <w:t>90%</w:t>
            </w:r>
          </w:p>
        </w:tc>
        <w:tc>
          <w:tcPr>
            <w:tcW w:w="818" w:type="dxa"/>
            <w:tcBorders>
              <w:top w:val="nil"/>
              <w:left w:val="nil"/>
              <w:bottom w:val="single" w:sz="4" w:space="0" w:color="auto"/>
              <w:right w:val="single" w:sz="4" w:space="0" w:color="auto"/>
            </w:tcBorders>
            <w:shd w:val="clear" w:color="000000" w:fill="D9D9D9"/>
            <w:noWrap/>
            <w:vAlign w:val="bottom"/>
            <w:hideMark/>
          </w:tcPr>
          <w:p w14:paraId="47A42517" w14:textId="77777777" w:rsidR="004C5B0C" w:rsidRPr="001569FB" w:rsidRDefault="004C5B0C" w:rsidP="004C5B0C">
            <w:pPr>
              <w:keepNext/>
              <w:keepLines/>
              <w:rPr>
                <w:color w:val="000000"/>
              </w:rPr>
            </w:pPr>
            <w:r w:rsidRPr="001569FB">
              <w:rPr>
                <w:color w:val="000000"/>
              </w:rPr>
              <w:t>95%</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7F2FB16D" w14:textId="77777777" w:rsidR="004C5B0C" w:rsidRPr="001569FB" w:rsidRDefault="004C5B0C" w:rsidP="004C5B0C">
            <w:pPr>
              <w:keepNext/>
              <w:keepLines/>
              <w:rPr>
                <w:color w:val="000000"/>
              </w:rPr>
            </w:pPr>
            <w:r w:rsidRPr="001569FB">
              <w:rPr>
                <w:color w:val="000000"/>
              </w:rPr>
              <w:t>Max</w:t>
            </w:r>
          </w:p>
        </w:tc>
      </w:tr>
      <w:tr w:rsidR="004C5B0C" w:rsidRPr="001569FB" w14:paraId="1A1FF115" w14:textId="77777777" w:rsidTr="004C5B0C">
        <w:trPr>
          <w:trHeight w:val="300"/>
          <w:jc w:val="center"/>
        </w:trPr>
        <w:tc>
          <w:tcPr>
            <w:tcW w:w="1871" w:type="dxa"/>
            <w:tcBorders>
              <w:top w:val="nil"/>
              <w:left w:val="single" w:sz="8" w:space="0" w:color="auto"/>
              <w:bottom w:val="single" w:sz="4" w:space="0" w:color="auto"/>
              <w:right w:val="nil"/>
            </w:tcBorders>
            <w:shd w:val="clear" w:color="auto" w:fill="auto"/>
            <w:noWrap/>
            <w:vAlign w:val="bottom"/>
            <w:hideMark/>
          </w:tcPr>
          <w:p w14:paraId="721D125F" w14:textId="77777777" w:rsidR="004C5B0C" w:rsidRPr="001569FB" w:rsidRDefault="004C5B0C" w:rsidP="004C5B0C">
            <w:pPr>
              <w:keepNext/>
              <w:keepLines/>
              <w:rPr>
                <w:color w:val="000000"/>
              </w:rPr>
            </w:pPr>
            <w:r w:rsidRPr="001569FB">
              <w:rPr>
                <w:color w:val="000000"/>
              </w:rPr>
              <w:t>All</w:t>
            </w:r>
          </w:p>
        </w:tc>
        <w:tc>
          <w:tcPr>
            <w:tcW w:w="1393" w:type="dxa"/>
            <w:tcBorders>
              <w:top w:val="nil"/>
              <w:left w:val="single" w:sz="4" w:space="0" w:color="auto"/>
              <w:bottom w:val="nil"/>
              <w:right w:val="single" w:sz="4" w:space="0" w:color="auto"/>
            </w:tcBorders>
            <w:shd w:val="clear" w:color="auto" w:fill="auto"/>
            <w:noWrap/>
            <w:vAlign w:val="bottom"/>
            <w:hideMark/>
          </w:tcPr>
          <w:p w14:paraId="6056AD9D" w14:textId="77777777" w:rsidR="004C5B0C" w:rsidRPr="001569FB" w:rsidRDefault="004C5B0C" w:rsidP="004C5B0C">
            <w:pPr>
              <w:keepNext/>
              <w:keepLines/>
              <w:rPr>
                <w:color w:val="000000"/>
              </w:rPr>
            </w:pPr>
            <w:r w:rsidRPr="001569FB">
              <w:rPr>
                <w:color w:val="000000"/>
              </w:rPr>
              <w:t>736</w:t>
            </w:r>
          </w:p>
        </w:tc>
        <w:tc>
          <w:tcPr>
            <w:tcW w:w="701" w:type="dxa"/>
            <w:tcBorders>
              <w:top w:val="nil"/>
              <w:left w:val="nil"/>
              <w:bottom w:val="nil"/>
              <w:right w:val="single" w:sz="4" w:space="0" w:color="auto"/>
            </w:tcBorders>
            <w:shd w:val="clear" w:color="auto" w:fill="auto"/>
            <w:noWrap/>
            <w:vAlign w:val="bottom"/>
            <w:hideMark/>
          </w:tcPr>
          <w:p w14:paraId="784F3779" w14:textId="77777777" w:rsidR="004C5B0C" w:rsidRPr="001569FB" w:rsidRDefault="004C5B0C" w:rsidP="004C5B0C">
            <w:pPr>
              <w:keepNext/>
              <w:keepLines/>
              <w:rPr>
                <w:color w:val="000000"/>
              </w:rPr>
            </w:pPr>
            <w:r w:rsidRPr="001569FB">
              <w:rPr>
                <w:color w:val="000000"/>
              </w:rPr>
              <w:t>0.0%</w:t>
            </w:r>
          </w:p>
        </w:tc>
        <w:tc>
          <w:tcPr>
            <w:tcW w:w="701" w:type="dxa"/>
            <w:tcBorders>
              <w:top w:val="nil"/>
              <w:left w:val="single" w:sz="4" w:space="0" w:color="auto"/>
              <w:bottom w:val="nil"/>
              <w:right w:val="single" w:sz="4" w:space="0" w:color="auto"/>
            </w:tcBorders>
            <w:shd w:val="clear" w:color="auto" w:fill="auto"/>
            <w:noWrap/>
            <w:vAlign w:val="bottom"/>
            <w:hideMark/>
          </w:tcPr>
          <w:p w14:paraId="12101C30" w14:textId="77777777" w:rsidR="004C5B0C" w:rsidRPr="001569FB" w:rsidRDefault="004C5B0C" w:rsidP="004C5B0C">
            <w:pPr>
              <w:keepNext/>
              <w:keepLines/>
              <w:rPr>
                <w:color w:val="000000"/>
              </w:rPr>
            </w:pPr>
            <w:r w:rsidRPr="001569FB">
              <w:rPr>
                <w:color w:val="000000"/>
              </w:rPr>
              <w:t>4.8%</w:t>
            </w:r>
          </w:p>
        </w:tc>
        <w:tc>
          <w:tcPr>
            <w:tcW w:w="701" w:type="dxa"/>
            <w:tcBorders>
              <w:top w:val="nil"/>
              <w:left w:val="single" w:sz="4" w:space="0" w:color="auto"/>
              <w:bottom w:val="nil"/>
              <w:right w:val="single" w:sz="4" w:space="0" w:color="auto"/>
            </w:tcBorders>
            <w:shd w:val="clear" w:color="auto" w:fill="auto"/>
            <w:noWrap/>
            <w:vAlign w:val="bottom"/>
            <w:hideMark/>
          </w:tcPr>
          <w:p w14:paraId="0F162167" w14:textId="77777777" w:rsidR="004C5B0C" w:rsidRPr="001569FB" w:rsidRDefault="004C5B0C" w:rsidP="004C5B0C">
            <w:pPr>
              <w:keepNext/>
              <w:keepLines/>
              <w:rPr>
                <w:color w:val="000000"/>
              </w:rPr>
            </w:pPr>
            <w:r w:rsidRPr="001569FB">
              <w:rPr>
                <w:color w:val="000000"/>
              </w:rPr>
              <w:t>5.9%</w:t>
            </w:r>
          </w:p>
        </w:tc>
        <w:tc>
          <w:tcPr>
            <w:tcW w:w="701" w:type="dxa"/>
            <w:tcBorders>
              <w:top w:val="nil"/>
              <w:left w:val="single" w:sz="4" w:space="0" w:color="auto"/>
              <w:bottom w:val="nil"/>
              <w:right w:val="single" w:sz="4" w:space="0" w:color="auto"/>
            </w:tcBorders>
            <w:shd w:val="clear" w:color="auto" w:fill="auto"/>
            <w:noWrap/>
            <w:vAlign w:val="bottom"/>
            <w:hideMark/>
          </w:tcPr>
          <w:p w14:paraId="5F0C163A" w14:textId="77777777" w:rsidR="004C5B0C" w:rsidRPr="001569FB" w:rsidRDefault="004C5B0C" w:rsidP="004C5B0C">
            <w:pPr>
              <w:keepNext/>
              <w:keepLines/>
              <w:rPr>
                <w:color w:val="000000"/>
              </w:rPr>
            </w:pPr>
            <w:r w:rsidRPr="001569FB">
              <w:rPr>
                <w:color w:val="000000"/>
              </w:rPr>
              <w:t>7.7%</w:t>
            </w:r>
          </w:p>
        </w:tc>
        <w:tc>
          <w:tcPr>
            <w:tcW w:w="818" w:type="dxa"/>
            <w:tcBorders>
              <w:top w:val="nil"/>
              <w:left w:val="single" w:sz="4" w:space="0" w:color="auto"/>
              <w:bottom w:val="nil"/>
              <w:right w:val="single" w:sz="4" w:space="0" w:color="auto"/>
            </w:tcBorders>
            <w:shd w:val="clear" w:color="auto" w:fill="auto"/>
            <w:noWrap/>
            <w:vAlign w:val="bottom"/>
            <w:hideMark/>
          </w:tcPr>
          <w:p w14:paraId="6DBD968B" w14:textId="77777777" w:rsidR="004C5B0C" w:rsidRPr="001569FB" w:rsidRDefault="004C5B0C" w:rsidP="004C5B0C">
            <w:pPr>
              <w:keepNext/>
              <w:keepLines/>
              <w:rPr>
                <w:color w:val="000000"/>
              </w:rPr>
            </w:pPr>
            <w:r w:rsidRPr="001569FB">
              <w:rPr>
                <w:color w:val="000000"/>
              </w:rPr>
              <w:t>11.5%</w:t>
            </w:r>
          </w:p>
        </w:tc>
        <w:tc>
          <w:tcPr>
            <w:tcW w:w="818" w:type="dxa"/>
            <w:tcBorders>
              <w:top w:val="nil"/>
              <w:left w:val="single" w:sz="4" w:space="0" w:color="auto"/>
              <w:bottom w:val="nil"/>
              <w:right w:val="single" w:sz="4" w:space="0" w:color="auto"/>
            </w:tcBorders>
            <w:shd w:val="clear" w:color="auto" w:fill="auto"/>
            <w:noWrap/>
            <w:vAlign w:val="bottom"/>
            <w:hideMark/>
          </w:tcPr>
          <w:p w14:paraId="1D454CC8" w14:textId="77777777" w:rsidR="004C5B0C" w:rsidRPr="001569FB" w:rsidRDefault="004C5B0C" w:rsidP="004C5B0C">
            <w:pPr>
              <w:keepNext/>
              <w:keepLines/>
              <w:rPr>
                <w:color w:val="000000"/>
              </w:rPr>
            </w:pPr>
            <w:r w:rsidRPr="001569FB">
              <w:rPr>
                <w:color w:val="000000"/>
              </w:rPr>
              <w:t>16.9%</w:t>
            </w:r>
          </w:p>
        </w:tc>
        <w:tc>
          <w:tcPr>
            <w:tcW w:w="818" w:type="dxa"/>
            <w:tcBorders>
              <w:top w:val="nil"/>
              <w:left w:val="single" w:sz="4" w:space="0" w:color="auto"/>
              <w:bottom w:val="nil"/>
              <w:right w:val="single" w:sz="4" w:space="0" w:color="auto"/>
            </w:tcBorders>
            <w:shd w:val="clear" w:color="auto" w:fill="auto"/>
            <w:noWrap/>
            <w:vAlign w:val="bottom"/>
            <w:hideMark/>
          </w:tcPr>
          <w:p w14:paraId="069F58EB" w14:textId="77777777" w:rsidR="004C5B0C" w:rsidRPr="001569FB" w:rsidRDefault="004C5B0C" w:rsidP="004C5B0C">
            <w:pPr>
              <w:keepNext/>
              <w:keepLines/>
              <w:rPr>
                <w:color w:val="000000"/>
              </w:rPr>
            </w:pPr>
            <w:r w:rsidRPr="001569FB">
              <w:rPr>
                <w:color w:val="000000"/>
              </w:rPr>
              <w:t>20.3%</w:t>
            </w:r>
          </w:p>
        </w:tc>
        <w:tc>
          <w:tcPr>
            <w:tcW w:w="818" w:type="dxa"/>
            <w:tcBorders>
              <w:top w:val="nil"/>
              <w:left w:val="nil"/>
              <w:bottom w:val="nil"/>
              <w:right w:val="single" w:sz="8" w:space="0" w:color="auto"/>
            </w:tcBorders>
            <w:shd w:val="clear" w:color="auto" w:fill="auto"/>
            <w:noWrap/>
            <w:vAlign w:val="bottom"/>
            <w:hideMark/>
          </w:tcPr>
          <w:p w14:paraId="2A22F50E" w14:textId="77777777" w:rsidR="004C5B0C" w:rsidRPr="001569FB" w:rsidRDefault="004C5B0C" w:rsidP="004C5B0C">
            <w:pPr>
              <w:keepNext/>
              <w:keepLines/>
              <w:rPr>
                <w:color w:val="000000"/>
              </w:rPr>
            </w:pPr>
            <w:r w:rsidRPr="001569FB">
              <w:rPr>
                <w:color w:val="000000"/>
              </w:rPr>
              <w:t>44.4%</w:t>
            </w:r>
          </w:p>
        </w:tc>
      </w:tr>
      <w:tr w:rsidR="004C5B0C" w:rsidRPr="001569FB" w14:paraId="4294D51D" w14:textId="77777777" w:rsidTr="004C5B0C">
        <w:trPr>
          <w:trHeight w:val="300"/>
          <w:jc w:val="center"/>
        </w:trPr>
        <w:tc>
          <w:tcPr>
            <w:tcW w:w="1871" w:type="dxa"/>
            <w:tcBorders>
              <w:top w:val="nil"/>
              <w:left w:val="single" w:sz="8" w:space="0" w:color="auto"/>
              <w:bottom w:val="nil"/>
              <w:right w:val="nil"/>
            </w:tcBorders>
            <w:shd w:val="clear" w:color="000000" w:fill="D9D9D9"/>
            <w:noWrap/>
            <w:vAlign w:val="bottom"/>
            <w:hideMark/>
          </w:tcPr>
          <w:p w14:paraId="567061AF" w14:textId="77777777" w:rsidR="004C5B0C" w:rsidRPr="001569FB" w:rsidRDefault="004C5B0C" w:rsidP="004C5B0C">
            <w:pPr>
              <w:keepNext/>
              <w:keepLines/>
              <w:rPr>
                <w:color w:val="000000"/>
              </w:rPr>
            </w:pPr>
            <w:r w:rsidRPr="001569FB">
              <w:rPr>
                <w:color w:val="000000"/>
              </w:rPr>
              <w:t>MA-PD</w:t>
            </w:r>
          </w:p>
        </w:tc>
        <w:tc>
          <w:tcPr>
            <w:tcW w:w="13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060531D" w14:textId="77777777" w:rsidR="004C5B0C" w:rsidRPr="001569FB" w:rsidRDefault="004C5B0C" w:rsidP="004C5B0C">
            <w:pPr>
              <w:keepNext/>
              <w:keepLines/>
              <w:rPr>
                <w:color w:val="000000"/>
              </w:rPr>
            </w:pPr>
            <w:r w:rsidRPr="001569FB">
              <w:rPr>
                <w:color w:val="000000"/>
              </w:rPr>
              <w:t>668</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7A613F85" w14:textId="77777777" w:rsidR="004C5B0C" w:rsidRPr="001569FB" w:rsidRDefault="004C5B0C" w:rsidP="004C5B0C">
            <w:pPr>
              <w:keepNext/>
              <w:keepLines/>
              <w:rPr>
                <w:color w:val="000000"/>
              </w:rPr>
            </w:pPr>
            <w:r w:rsidRPr="001569FB">
              <w:rPr>
                <w:color w:val="000000"/>
              </w:rPr>
              <w:t>0.0%</w:t>
            </w:r>
          </w:p>
        </w:tc>
        <w:tc>
          <w:tcPr>
            <w:tcW w:w="70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FCED629" w14:textId="77777777" w:rsidR="004C5B0C" w:rsidRPr="001569FB" w:rsidRDefault="004C5B0C" w:rsidP="004C5B0C">
            <w:pPr>
              <w:keepNext/>
              <w:keepLines/>
              <w:rPr>
                <w:color w:val="000000"/>
              </w:rPr>
            </w:pPr>
            <w:r w:rsidRPr="001569FB">
              <w:rPr>
                <w:color w:val="000000"/>
              </w:rPr>
              <w:t>4.7%</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3CFAE50C" w14:textId="77777777" w:rsidR="004C5B0C" w:rsidRPr="001569FB" w:rsidRDefault="004C5B0C" w:rsidP="004C5B0C">
            <w:pPr>
              <w:keepNext/>
              <w:keepLines/>
              <w:rPr>
                <w:color w:val="000000"/>
              </w:rPr>
            </w:pPr>
            <w:r w:rsidRPr="001569FB">
              <w:rPr>
                <w:color w:val="000000"/>
              </w:rPr>
              <w:t>5.9%</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0031C478" w14:textId="77777777" w:rsidR="004C5B0C" w:rsidRPr="001569FB" w:rsidRDefault="004C5B0C" w:rsidP="004C5B0C">
            <w:pPr>
              <w:keepNext/>
              <w:keepLines/>
              <w:rPr>
                <w:color w:val="000000"/>
              </w:rPr>
            </w:pPr>
            <w:r w:rsidRPr="001569FB">
              <w:rPr>
                <w:color w:val="000000"/>
              </w:rPr>
              <w:t>7.7%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104AF189" w14:textId="77777777" w:rsidR="004C5B0C" w:rsidRPr="001569FB" w:rsidRDefault="004C5B0C" w:rsidP="004C5B0C">
            <w:pPr>
              <w:keepNext/>
              <w:keepLines/>
              <w:rPr>
                <w:color w:val="000000"/>
              </w:rPr>
            </w:pPr>
            <w:r w:rsidRPr="001569FB">
              <w:rPr>
                <w:color w:val="000000"/>
              </w:rPr>
              <w:t>11.7%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2620C241" w14:textId="77777777" w:rsidR="004C5B0C" w:rsidRPr="001569FB" w:rsidRDefault="004C5B0C" w:rsidP="004C5B0C">
            <w:pPr>
              <w:keepNext/>
              <w:keepLines/>
              <w:rPr>
                <w:color w:val="000000"/>
              </w:rPr>
            </w:pPr>
            <w:r w:rsidRPr="001569FB">
              <w:rPr>
                <w:color w:val="000000"/>
              </w:rPr>
              <w:t>17.0%</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51C90345" w14:textId="77777777" w:rsidR="004C5B0C" w:rsidRPr="001569FB" w:rsidRDefault="004C5B0C" w:rsidP="004C5B0C">
            <w:pPr>
              <w:keepNext/>
              <w:keepLines/>
              <w:rPr>
                <w:color w:val="000000"/>
              </w:rPr>
            </w:pPr>
            <w:r w:rsidRPr="001569FB">
              <w:rPr>
                <w:color w:val="000000"/>
              </w:rPr>
              <w:t>20.7%</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78F614F" w14:textId="77777777" w:rsidR="004C5B0C" w:rsidRPr="001569FB" w:rsidRDefault="004C5B0C" w:rsidP="004C5B0C">
            <w:pPr>
              <w:keepNext/>
              <w:keepLines/>
              <w:rPr>
                <w:color w:val="000000"/>
              </w:rPr>
            </w:pPr>
            <w:r w:rsidRPr="001569FB">
              <w:rPr>
                <w:color w:val="000000"/>
              </w:rPr>
              <w:t>44.4%</w:t>
            </w:r>
          </w:p>
        </w:tc>
      </w:tr>
      <w:tr w:rsidR="004C5B0C" w:rsidRPr="001569FB" w14:paraId="4196B8DE" w14:textId="77777777" w:rsidTr="004C5B0C">
        <w:trPr>
          <w:trHeight w:val="315"/>
          <w:jc w:val="center"/>
        </w:trPr>
        <w:tc>
          <w:tcPr>
            <w:tcW w:w="1871"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2C082F7" w14:textId="77777777" w:rsidR="004C5B0C" w:rsidRPr="001569FB" w:rsidRDefault="004C5B0C" w:rsidP="004C5B0C">
            <w:pPr>
              <w:rPr>
                <w:color w:val="000000"/>
              </w:rPr>
            </w:pPr>
            <w:r w:rsidRPr="001569FB">
              <w:rPr>
                <w:color w:val="000000"/>
              </w:rPr>
              <w:t>PDP</w:t>
            </w:r>
          </w:p>
        </w:tc>
        <w:tc>
          <w:tcPr>
            <w:tcW w:w="1393" w:type="dxa"/>
            <w:tcBorders>
              <w:top w:val="nil"/>
              <w:left w:val="single" w:sz="4" w:space="0" w:color="auto"/>
              <w:bottom w:val="single" w:sz="8" w:space="0" w:color="auto"/>
              <w:right w:val="single" w:sz="4" w:space="0" w:color="auto"/>
            </w:tcBorders>
            <w:shd w:val="clear" w:color="auto" w:fill="auto"/>
            <w:noWrap/>
            <w:vAlign w:val="bottom"/>
            <w:hideMark/>
          </w:tcPr>
          <w:p w14:paraId="0E6D17DF" w14:textId="77777777" w:rsidR="004C5B0C" w:rsidRPr="001569FB" w:rsidRDefault="004C5B0C" w:rsidP="004C5B0C">
            <w:pPr>
              <w:rPr>
                <w:color w:val="000000"/>
              </w:rPr>
            </w:pPr>
            <w:r w:rsidRPr="001569FB">
              <w:rPr>
                <w:color w:val="000000"/>
              </w:rPr>
              <w:t>63</w:t>
            </w:r>
          </w:p>
        </w:tc>
        <w:tc>
          <w:tcPr>
            <w:tcW w:w="701" w:type="dxa"/>
            <w:tcBorders>
              <w:top w:val="nil"/>
              <w:left w:val="nil"/>
              <w:bottom w:val="single" w:sz="8" w:space="0" w:color="auto"/>
              <w:right w:val="single" w:sz="4" w:space="0" w:color="auto"/>
            </w:tcBorders>
            <w:shd w:val="clear" w:color="auto" w:fill="auto"/>
            <w:noWrap/>
            <w:vAlign w:val="bottom"/>
            <w:hideMark/>
          </w:tcPr>
          <w:p w14:paraId="0A398D32" w14:textId="77777777" w:rsidR="004C5B0C" w:rsidRPr="001569FB" w:rsidRDefault="004C5B0C" w:rsidP="004C5B0C">
            <w:pPr>
              <w:rPr>
                <w:color w:val="000000"/>
              </w:rPr>
            </w:pPr>
            <w:r w:rsidRPr="001569FB">
              <w:rPr>
                <w:color w:val="000000"/>
              </w:rPr>
              <w:t>0.0%</w:t>
            </w:r>
          </w:p>
        </w:tc>
        <w:tc>
          <w:tcPr>
            <w:tcW w:w="701" w:type="dxa"/>
            <w:tcBorders>
              <w:top w:val="nil"/>
              <w:left w:val="nil"/>
              <w:bottom w:val="single" w:sz="8" w:space="0" w:color="auto"/>
              <w:right w:val="single" w:sz="4" w:space="0" w:color="auto"/>
            </w:tcBorders>
            <w:shd w:val="clear" w:color="auto" w:fill="auto"/>
            <w:noWrap/>
            <w:vAlign w:val="bottom"/>
            <w:hideMark/>
          </w:tcPr>
          <w:p w14:paraId="5CEA8011" w14:textId="77777777" w:rsidR="004C5B0C" w:rsidRPr="001569FB" w:rsidRDefault="004C5B0C" w:rsidP="004C5B0C">
            <w:pPr>
              <w:rPr>
                <w:color w:val="000000"/>
              </w:rPr>
            </w:pPr>
            <w:r w:rsidRPr="001569FB">
              <w:rPr>
                <w:color w:val="000000"/>
              </w:rPr>
              <w:t>5.4%</w:t>
            </w:r>
          </w:p>
        </w:tc>
        <w:tc>
          <w:tcPr>
            <w:tcW w:w="701" w:type="dxa"/>
            <w:tcBorders>
              <w:top w:val="nil"/>
              <w:left w:val="nil"/>
              <w:bottom w:val="single" w:sz="8" w:space="0" w:color="auto"/>
              <w:right w:val="single" w:sz="4" w:space="0" w:color="auto"/>
            </w:tcBorders>
            <w:shd w:val="clear" w:color="auto" w:fill="auto"/>
            <w:noWrap/>
            <w:vAlign w:val="bottom"/>
            <w:hideMark/>
          </w:tcPr>
          <w:p w14:paraId="2B400244" w14:textId="77777777" w:rsidR="004C5B0C" w:rsidRPr="001569FB" w:rsidRDefault="004C5B0C" w:rsidP="004C5B0C">
            <w:pPr>
              <w:rPr>
                <w:color w:val="000000"/>
              </w:rPr>
            </w:pPr>
            <w:r w:rsidRPr="001569FB">
              <w:rPr>
                <w:color w:val="000000"/>
              </w:rPr>
              <w:t>6.4%</w:t>
            </w:r>
          </w:p>
        </w:tc>
        <w:tc>
          <w:tcPr>
            <w:tcW w:w="701" w:type="dxa"/>
            <w:tcBorders>
              <w:top w:val="nil"/>
              <w:left w:val="nil"/>
              <w:bottom w:val="single" w:sz="8" w:space="0" w:color="auto"/>
              <w:right w:val="single" w:sz="4" w:space="0" w:color="auto"/>
            </w:tcBorders>
            <w:shd w:val="clear" w:color="auto" w:fill="auto"/>
            <w:noWrap/>
            <w:vAlign w:val="bottom"/>
            <w:hideMark/>
          </w:tcPr>
          <w:p w14:paraId="51A3A85E" w14:textId="77777777" w:rsidR="004C5B0C" w:rsidRPr="001569FB" w:rsidRDefault="004C5B0C" w:rsidP="004C5B0C">
            <w:pPr>
              <w:rPr>
                <w:color w:val="000000"/>
              </w:rPr>
            </w:pPr>
            <w:r w:rsidRPr="001569FB">
              <w:rPr>
                <w:color w:val="000000"/>
              </w:rPr>
              <w:t>7.8%</w:t>
            </w:r>
          </w:p>
        </w:tc>
        <w:tc>
          <w:tcPr>
            <w:tcW w:w="818" w:type="dxa"/>
            <w:tcBorders>
              <w:top w:val="nil"/>
              <w:left w:val="nil"/>
              <w:bottom w:val="single" w:sz="8" w:space="0" w:color="auto"/>
              <w:right w:val="single" w:sz="4" w:space="0" w:color="auto"/>
            </w:tcBorders>
            <w:shd w:val="clear" w:color="auto" w:fill="auto"/>
            <w:noWrap/>
            <w:vAlign w:val="bottom"/>
            <w:hideMark/>
          </w:tcPr>
          <w:p w14:paraId="0E7F0ACC" w14:textId="77777777" w:rsidR="004C5B0C" w:rsidRPr="001569FB" w:rsidRDefault="004C5B0C" w:rsidP="004C5B0C">
            <w:pPr>
              <w:rPr>
                <w:color w:val="000000"/>
              </w:rPr>
            </w:pPr>
            <w:r w:rsidRPr="001569FB">
              <w:rPr>
                <w:color w:val="000000"/>
              </w:rPr>
              <w:t>10.2%</w:t>
            </w:r>
          </w:p>
        </w:tc>
        <w:tc>
          <w:tcPr>
            <w:tcW w:w="818" w:type="dxa"/>
            <w:tcBorders>
              <w:top w:val="nil"/>
              <w:left w:val="nil"/>
              <w:bottom w:val="single" w:sz="8" w:space="0" w:color="auto"/>
              <w:right w:val="single" w:sz="4" w:space="0" w:color="auto"/>
            </w:tcBorders>
            <w:shd w:val="clear" w:color="auto" w:fill="auto"/>
            <w:noWrap/>
            <w:vAlign w:val="bottom"/>
            <w:hideMark/>
          </w:tcPr>
          <w:p w14:paraId="3ACDF61F" w14:textId="77777777" w:rsidR="004C5B0C" w:rsidRPr="001569FB" w:rsidRDefault="004C5B0C" w:rsidP="004C5B0C">
            <w:pPr>
              <w:rPr>
                <w:color w:val="000000"/>
              </w:rPr>
            </w:pPr>
            <w:r w:rsidRPr="001569FB">
              <w:rPr>
                <w:color w:val="000000"/>
              </w:rPr>
              <w:t>14.3%</w:t>
            </w:r>
          </w:p>
        </w:tc>
        <w:tc>
          <w:tcPr>
            <w:tcW w:w="818" w:type="dxa"/>
            <w:tcBorders>
              <w:top w:val="nil"/>
              <w:left w:val="nil"/>
              <w:bottom w:val="single" w:sz="8" w:space="0" w:color="auto"/>
              <w:right w:val="single" w:sz="4" w:space="0" w:color="auto"/>
            </w:tcBorders>
            <w:shd w:val="clear" w:color="auto" w:fill="auto"/>
            <w:noWrap/>
            <w:vAlign w:val="bottom"/>
            <w:hideMark/>
          </w:tcPr>
          <w:p w14:paraId="0A67DE14" w14:textId="77777777" w:rsidR="004C5B0C" w:rsidRPr="001569FB" w:rsidRDefault="004C5B0C" w:rsidP="004C5B0C">
            <w:pPr>
              <w:rPr>
                <w:color w:val="000000"/>
              </w:rPr>
            </w:pPr>
            <w:r w:rsidRPr="001569FB">
              <w:rPr>
                <w:color w:val="000000"/>
              </w:rPr>
              <w:t>17.6%</w:t>
            </w:r>
          </w:p>
        </w:tc>
        <w:tc>
          <w:tcPr>
            <w:tcW w:w="818" w:type="dxa"/>
            <w:tcBorders>
              <w:top w:val="nil"/>
              <w:left w:val="single" w:sz="4" w:space="0" w:color="auto"/>
              <w:bottom w:val="single" w:sz="8" w:space="0" w:color="auto"/>
              <w:right w:val="single" w:sz="8" w:space="0" w:color="auto"/>
            </w:tcBorders>
            <w:shd w:val="clear" w:color="auto" w:fill="auto"/>
            <w:noWrap/>
            <w:vAlign w:val="bottom"/>
            <w:hideMark/>
          </w:tcPr>
          <w:p w14:paraId="4DBF5E6F" w14:textId="77777777" w:rsidR="004C5B0C" w:rsidRPr="001569FB" w:rsidRDefault="004C5B0C" w:rsidP="004C5B0C">
            <w:pPr>
              <w:rPr>
                <w:color w:val="000000"/>
              </w:rPr>
            </w:pPr>
            <w:r w:rsidRPr="001569FB">
              <w:rPr>
                <w:color w:val="000000"/>
              </w:rPr>
              <w:t>28.5%</w:t>
            </w:r>
          </w:p>
        </w:tc>
      </w:tr>
    </w:tbl>
    <w:p w14:paraId="4E3EEFBE" w14:textId="77777777" w:rsidR="004C5B0C" w:rsidRPr="001569FB" w:rsidRDefault="004C5B0C" w:rsidP="004C5B0C">
      <w:pPr>
        <w:tabs>
          <w:tab w:val="left" w:pos="360"/>
        </w:tabs>
        <w:kinsoku w:val="0"/>
        <w:overflowPunct w:val="0"/>
        <w:autoSpaceDE w:val="0"/>
        <w:autoSpaceDN w:val="0"/>
        <w:adjustRightInd w:val="0"/>
        <w:spacing w:before="600" w:after="240"/>
        <w:ind w:left="360" w:right="115"/>
      </w:pPr>
      <w:r w:rsidRPr="001569FB">
        <w:t>According to the American Geriatrics Society, there is moderate evidence to avoid concurrent use of three or more CNS agents in older adults due to an increased risk of falls and possible fractures. Based on the analysis, variability exists across Part D contracts on the use of multiple concurrent CNS medications. Again, CMS believes this measure represents an opportunity to identify and reduce concurrent use of multiple CNS medications and improve the health of Medicare Part D enrollees.</w:t>
      </w:r>
    </w:p>
    <w:p w14:paraId="5F8036B8" w14:textId="77777777" w:rsidR="004C5B0C" w:rsidRPr="001569FB" w:rsidRDefault="004C5B0C" w:rsidP="004C5B0C">
      <w:pPr>
        <w:tabs>
          <w:tab w:val="left" w:pos="360"/>
        </w:tabs>
        <w:kinsoku w:val="0"/>
        <w:overflowPunct w:val="0"/>
        <w:autoSpaceDE w:val="0"/>
        <w:autoSpaceDN w:val="0"/>
        <w:adjustRightInd w:val="0"/>
        <w:spacing w:after="240"/>
        <w:ind w:left="360" w:right="115"/>
      </w:pPr>
      <w:r w:rsidRPr="001569FB">
        <w:t xml:space="preserve">We propose to begin reporting the Poly-CNS measure in the Patient Safety reports for the 2018 measurement year. We plan to add the measure to the display page for 2021 (2019 data) and 2022 (2020 data). We will consider proposing this measure through rulemaking for the 2023 Star Ratings (2021 data). </w:t>
      </w:r>
    </w:p>
    <w:p w14:paraId="54C023DC" w14:textId="77777777" w:rsidR="004C5B0C" w:rsidRPr="001569FB" w:rsidRDefault="004C5B0C" w:rsidP="004C5B0C">
      <w:pPr>
        <w:spacing w:after="240"/>
        <w:ind w:left="360"/>
      </w:pPr>
      <w:r w:rsidRPr="001569FB">
        <w:t xml:space="preserve">We also plan to re-evaluate the utility of reporting the HRM Patient Safety reports and display measure since many of the same drugs are included in both the Poly-ACH and Poly-CNS measures.  </w:t>
      </w:r>
    </w:p>
    <w:p w14:paraId="6A2C81CA" w14:textId="77777777" w:rsidR="004C5B0C" w:rsidRPr="001569FB" w:rsidRDefault="004C5B0C" w:rsidP="004C5B0C">
      <w:pPr>
        <w:tabs>
          <w:tab w:val="left" w:pos="360"/>
        </w:tabs>
        <w:kinsoku w:val="0"/>
        <w:overflowPunct w:val="0"/>
        <w:autoSpaceDE w:val="0"/>
        <w:autoSpaceDN w:val="0"/>
        <w:adjustRightInd w:val="0"/>
        <w:spacing w:after="240"/>
        <w:ind w:left="360" w:right="425"/>
      </w:pPr>
      <w:r w:rsidRPr="001569FB">
        <w:rPr>
          <w:u w:val="single"/>
        </w:rPr>
        <w:lastRenderedPageBreak/>
        <w:t>Concurrent</w:t>
      </w:r>
      <w:r w:rsidRPr="001569FB">
        <w:rPr>
          <w:rStyle w:val="FootnoteReference"/>
          <w:u w:val="single"/>
        </w:rPr>
        <w:footnoteReference w:id="25"/>
      </w:r>
      <w:r w:rsidRPr="001569FB">
        <w:rPr>
          <w:u w:val="single"/>
        </w:rPr>
        <w:t xml:space="preserve"> Use of Opioids and Benzodiazepines:</w:t>
      </w:r>
      <w:r w:rsidRPr="001569FB">
        <w:t xml:space="preserve"> This measure assesses the percentage of individuals 18 years and older with concurrent use of opioids and benzodiazepines.</w:t>
      </w:r>
    </w:p>
    <w:p w14:paraId="487C1E8A" w14:textId="77777777" w:rsidR="004C5B0C" w:rsidRPr="001569FB" w:rsidRDefault="004C5B0C" w:rsidP="004C5B0C">
      <w:pPr>
        <w:spacing w:after="240"/>
        <w:ind w:left="360"/>
      </w:pPr>
      <w:r w:rsidRPr="001569FB">
        <w:t>We tested the measure specifications using 2016 PDE data. We adjusted the measure for member-years and evaluated the number of contracts with greater than 30 member-years in the denominator. A total of 680 Part D contracts met the eligibility requirements for the Concurrent Use of Opioids and Benzodiazepine measure. The rate associated with the top 5% of PDP contracts was 42.9% while MA-PD contracts had a higher rate of 51.4%.</w:t>
      </w:r>
    </w:p>
    <w:p w14:paraId="5CAC6D25" w14:textId="77777777" w:rsidR="004C5B0C" w:rsidRPr="001569FB" w:rsidRDefault="004C5B0C" w:rsidP="004C5B0C">
      <w:pPr>
        <w:pStyle w:val="Caption"/>
        <w:ind w:left="450"/>
      </w:pPr>
      <w:r w:rsidRPr="001569FB">
        <w:t xml:space="preserve">Table </w:t>
      </w:r>
      <w:fldSimple w:instr=" SEQ Table \* ARABIC ">
        <w:r w:rsidR="00A216EC">
          <w:rPr>
            <w:noProof/>
          </w:rPr>
          <w:t>18</w:t>
        </w:r>
      </w:fldSimple>
      <w:r w:rsidRPr="001569FB">
        <w:t>: Distribution of the Concurrent Use of Opioids and Benzodiazepines Measure Rates, Part D, 2016</w:t>
      </w:r>
    </w:p>
    <w:tbl>
      <w:tblPr>
        <w:tblW w:w="10405" w:type="dxa"/>
        <w:jc w:val="center"/>
        <w:tblLook w:val="04A0" w:firstRow="1" w:lastRow="0" w:firstColumn="1" w:lastColumn="0" w:noHBand="0" w:noVBand="1"/>
      </w:tblPr>
      <w:tblGrid>
        <w:gridCol w:w="1230"/>
        <w:gridCol w:w="857"/>
        <w:gridCol w:w="1026"/>
        <w:gridCol w:w="1076"/>
        <w:gridCol w:w="1076"/>
        <w:gridCol w:w="1076"/>
        <w:gridCol w:w="956"/>
        <w:gridCol w:w="1076"/>
        <w:gridCol w:w="1076"/>
        <w:gridCol w:w="956"/>
      </w:tblGrid>
      <w:tr w:rsidR="004C5B0C" w:rsidRPr="001569FB" w14:paraId="741004EC" w14:textId="77777777" w:rsidTr="004C5B0C">
        <w:trPr>
          <w:cantSplit/>
          <w:trHeight w:val="288"/>
          <w:tblHeader/>
          <w:jc w:val="center"/>
        </w:trPr>
        <w:tc>
          <w:tcPr>
            <w:tcW w:w="1230" w:type="dxa"/>
            <w:tcBorders>
              <w:top w:val="single" w:sz="4" w:space="0" w:color="auto"/>
              <w:left w:val="single" w:sz="4" w:space="0" w:color="auto"/>
              <w:bottom w:val="single" w:sz="4" w:space="0" w:color="auto"/>
              <w:right w:val="nil"/>
            </w:tcBorders>
            <w:shd w:val="clear" w:color="000000" w:fill="D9D9D9"/>
            <w:noWrap/>
            <w:vAlign w:val="bottom"/>
            <w:hideMark/>
          </w:tcPr>
          <w:p w14:paraId="5DE41C8D" w14:textId="77777777" w:rsidR="004C5B0C" w:rsidRPr="001569FB" w:rsidRDefault="004C5B0C" w:rsidP="004C5B0C">
            <w:pPr>
              <w:keepNext/>
              <w:keepLines/>
              <w:spacing w:line="240" w:lineRule="auto"/>
              <w:rPr>
                <w:b/>
                <w:bCs/>
                <w:color w:val="000000"/>
              </w:rPr>
            </w:pPr>
            <w:r w:rsidRPr="001569FB">
              <w:rPr>
                <w:b/>
                <w:bCs/>
                <w:color w:val="000000"/>
              </w:rPr>
              <w:t>Contracts</w:t>
            </w:r>
          </w:p>
        </w:tc>
        <w:tc>
          <w:tcPr>
            <w:tcW w:w="857" w:type="dxa"/>
            <w:tcBorders>
              <w:top w:val="single" w:sz="4" w:space="0" w:color="auto"/>
              <w:left w:val="nil"/>
              <w:bottom w:val="single" w:sz="4" w:space="0" w:color="auto"/>
              <w:right w:val="nil"/>
            </w:tcBorders>
            <w:shd w:val="clear" w:color="000000" w:fill="D9D9D9"/>
            <w:noWrap/>
            <w:vAlign w:val="bottom"/>
            <w:hideMark/>
          </w:tcPr>
          <w:p w14:paraId="13282D95" w14:textId="77777777" w:rsidR="004C5B0C" w:rsidRPr="001569FB" w:rsidRDefault="004C5B0C" w:rsidP="004C5B0C">
            <w:pPr>
              <w:keepNext/>
              <w:keepLines/>
              <w:spacing w:line="240" w:lineRule="auto"/>
              <w:rPr>
                <w:color w:val="000000"/>
              </w:rPr>
            </w:pPr>
            <w:r w:rsidRPr="001569FB">
              <w:rPr>
                <w:color w:val="000000"/>
              </w:rPr>
              <w:t> </w:t>
            </w:r>
          </w:p>
        </w:tc>
        <w:tc>
          <w:tcPr>
            <w:tcW w:w="831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69773D" w14:textId="77777777" w:rsidR="004C5B0C" w:rsidRPr="001569FB" w:rsidRDefault="004C5B0C" w:rsidP="004C5B0C">
            <w:pPr>
              <w:keepNext/>
              <w:keepLines/>
              <w:spacing w:line="240" w:lineRule="auto"/>
              <w:jc w:val="center"/>
              <w:rPr>
                <w:b/>
                <w:bCs/>
                <w:color w:val="000000"/>
              </w:rPr>
            </w:pPr>
            <w:r w:rsidRPr="001569FB">
              <w:rPr>
                <w:b/>
                <w:bCs/>
                <w:color w:val="000000"/>
              </w:rPr>
              <w:t>Percentiles</w:t>
            </w:r>
          </w:p>
        </w:tc>
      </w:tr>
      <w:tr w:rsidR="004C5B0C" w:rsidRPr="001569FB" w14:paraId="257530B2" w14:textId="77777777" w:rsidTr="004C5B0C">
        <w:trPr>
          <w:cantSplit/>
          <w:trHeight w:val="300"/>
          <w:tblHeader/>
          <w:jc w:val="center"/>
        </w:trPr>
        <w:tc>
          <w:tcPr>
            <w:tcW w:w="1230" w:type="dxa"/>
            <w:tcBorders>
              <w:top w:val="nil"/>
              <w:left w:val="single" w:sz="4" w:space="0" w:color="auto"/>
              <w:bottom w:val="single" w:sz="8" w:space="0" w:color="auto"/>
              <w:right w:val="nil"/>
            </w:tcBorders>
            <w:shd w:val="clear" w:color="000000" w:fill="D9D9D9"/>
            <w:noWrap/>
            <w:vAlign w:val="bottom"/>
            <w:hideMark/>
          </w:tcPr>
          <w:p w14:paraId="2599C08E" w14:textId="77777777" w:rsidR="004C5B0C" w:rsidRPr="001569FB" w:rsidRDefault="004C5B0C" w:rsidP="004C5B0C">
            <w:pPr>
              <w:keepNext/>
              <w:keepLines/>
              <w:spacing w:line="240" w:lineRule="auto"/>
              <w:rPr>
                <w:b/>
                <w:bCs/>
                <w:color w:val="000000"/>
              </w:rPr>
            </w:pPr>
            <w:r w:rsidRPr="001569FB">
              <w:rPr>
                <w:b/>
                <w:bCs/>
                <w:color w:val="000000"/>
              </w:rPr>
              <w:t>Type</w:t>
            </w:r>
          </w:p>
        </w:tc>
        <w:tc>
          <w:tcPr>
            <w:tcW w:w="857" w:type="dxa"/>
            <w:tcBorders>
              <w:top w:val="nil"/>
              <w:left w:val="nil"/>
              <w:bottom w:val="single" w:sz="8" w:space="0" w:color="auto"/>
              <w:right w:val="nil"/>
            </w:tcBorders>
            <w:shd w:val="clear" w:color="000000" w:fill="D9D9D9"/>
            <w:noWrap/>
            <w:vAlign w:val="bottom"/>
            <w:hideMark/>
          </w:tcPr>
          <w:p w14:paraId="167CD3F1" w14:textId="77777777" w:rsidR="004C5B0C" w:rsidRPr="001569FB" w:rsidRDefault="004C5B0C" w:rsidP="004C5B0C">
            <w:pPr>
              <w:keepNext/>
              <w:keepLines/>
              <w:spacing w:line="240" w:lineRule="auto"/>
              <w:jc w:val="center"/>
              <w:rPr>
                <w:b/>
                <w:bCs/>
                <w:color w:val="000000"/>
              </w:rPr>
            </w:pPr>
            <w:r w:rsidRPr="001569FB">
              <w:rPr>
                <w:b/>
                <w:bCs/>
                <w:color w:val="000000"/>
              </w:rPr>
              <w:t>Count</w:t>
            </w:r>
          </w:p>
        </w:tc>
        <w:tc>
          <w:tcPr>
            <w:tcW w:w="1026" w:type="dxa"/>
            <w:tcBorders>
              <w:top w:val="nil"/>
              <w:left w:val="single" w:sz="4" w:space="0" w:color="auto"/>
              <w:bottom w:val="single" w:sz="8" w:space="0" w:color="auto"/>
              <w:right w:val="nil"/>
            </w:tcBorders>
            <w:shd w:val="clear" w:color="000000" w:fill="D9D9D9"/>
            <w:noWrap/>
            <w:vAlign w:val="bottom"/>
            <w:hideMark/>
          </w:tcPr>
          <w:p w14:paraId="4DDB7B8C" w14:textId="77777777" w:rsidR="004C5B0C" w:rsidRPr="001569FB" w:rsidRDefault="004C5B0C" w:rsidP="004C5B0C">
            <w:pPr>
              <w:keepNext/>
              <w:keepLines/>
              <w:spacing w:line="240" w:lineRule="auto"/>
              <w:jc w:val="center"/>
              <w:rPr>
                <w:b/>
                <w:bCs/>
                <w:color w:val="000000"/>
              </w:rPr>
            </w:pPr>
            <w:r w:rsidRPr="001569FB">
              <w:rPr>
                <w:b/>
                <w:bCs/>
                <w:color w:val="000000"/>
              </w:rPr>
              <w:t>Min</w:t>
            </w:r>
          </w:p>
        </w:tc>
        <w:tc>
          <w:tcPr>
            <w:tcW w:w="1076" w:type="dxa"/>
            <w:tcBorders>
              <w:top w:val="nil"/>
              <w:left w:val="nil"/>
              <w:bottom w:val="single" w:sz="8" w:space="0" w:color="auto"/>
              <w:right w:val="nil"/>
            </w:tcBorders>
            <w:shd w:val="clear" w:color="000000" w:fill="D9D9D9"/>
            <w:noWrap/>
            <w:vAlign w:val="bottom"/>
            <w:hideMark/>
          </w:tcPr>
          <w:p w14:paraId="781F9022" w14:textId="77777777" w:rsidR="004C5B0C" w:rsidRPr="001569FB" w:rsidRDefault="004C5B0C" w:rsidP="004C5B0C">
            <w:pPr>
              <w:keepNext/>
              <w:keepLines/>
              <w:spacing w:line="240" w:lineRule="auto"/>
              <w:jc w:val="center"/>
              <w:rPr>
                <w:b/>
                <w:bCs/>
                <w:color w:val="000000"/>
              </w:rPr>
            </w:pPr>
            <w:r w:rsidRPr="001569FB">
              <w:rPr>
                <w:b/>
                <w:bCs/>
                <w:color w:val="000000"/>
              </w:rPr>
              <w:t>10%</w:t>
            </w:r>
          </w:p>
        </w:tc>
        <w:tc>
          <w:tcPr>
            <w:tcW w:w="1076" w:type="dxa"/>
            <w:tcBorders>
              <w:top w:val="nil"/>
              <w:left w:val="nil"/>
              <w:bottom w:val="single" w:sz="8" w:space="0" w:color="auto"/>
              <w:right w:val="nil"/>
            </w:tcBorders>
            <w:shd w:val="clear" w:color="000000" w:fill="D9D9D9"/>
            <w:noWrap/>
            <w:vAlign w:val="bottom"/>
            <w:hideMark/>
          </w:tcPr>
          <w:p w14:paraId="6DE9663B" w14:textId="77777777" w:rsidR="004C5B0C" w:rsidRPr="001569FB" w:rsidRDefault="004C5B0C" w:rsidP="004C5B0C">
            <w:pPr>
              <w:keepNext/>
              <w:keepLines/>
              <w:spacing w:line="240" w:lineRule="auto"/>
              <w:jc w:val="center"/>
              <w:rPr>
                <w:b/>
                <w:bCs/>
                <w:color w:val="000000"/>
              </w:rPr>
            </w:pPr>
            <w:r w:rsidRPr="001569FB">
              <w:rPr>
                <w:b/>
                <w:bCs/>
                <w:color w:val="000000"/>
              </w:rPr>
              <w:t>25%</w:t>
            </w:r>
          </w:p>
        </w:tc>
        <w:tc>
          <w:tcPr>
            <w:tcW w:w="1076" w:type="dxa"/>
            <w:tcBorders>
              <w:top w:val="nil"/>
              <w:left w:val="nil"/>
              <w:bottom w:val="single" w:sz="8" w:space="0" w:color="auto"/>
              <w:right w:val="nil"/>
            </w:tcBorders>
            <w:shd w:val="clear" w:color="000000" w:fill="D9D9D9"/>
            <w:noWrap/>
            <w:vAlign w:val="bottom"/>
            <w:hideMark/>
          </w:tcPr>
          <w:p w14:paraId="2E03C545" w14:textId="77777777" w:rsidR="004C5B0C" w:rsidRPr="001569FB" w:rsidRDefault="004C5B0C" w:rsidP="004C5B0C">
            <w:pPr>
              <w:keepNext/>
              <w:keepLines/>
              <w:spacing w:line="240" w:lineRule="auto"/>
              <w:jc w:val="center"/>
              <w:rPr>
                <w:b/>
                <w:bCs/>
                <w:color w:val="000000"/>
              </w:rPr>
            </w:pPr>
            <w:r w:rsidRPr="001569FB">
              <w:rPr>
                <w:b/>
                <w:bCs/>
                <w:color w:val="000000"/>
              </w:rPr>
              <w:t>50%</w:t>
            </w:r>
          </w:p>
        </w:tc>
        <w:tc>
          <w:tcPr>
            <w:tcW w:w="956" w:type="dxa"/>
            <w:tcBorders>
              <w:top w:val="nil"/>
              <w:left w:val="nil"/>
              <w:bottom w:val="single" w:sz="8" w:space="0" w:color="auto"/>
              <w:right w:val="nil"/>
            </w:tcBorders>
            <w:shd w:val="clear" w:color="000000" w:fill="D9D9D9"/>
            <w:noWrap/>
            <w:vAlign w:val="bottom"/>
            <w:hideMark/>
          </w:tcPr>
          <w:p w14:paraId="61B3A7D4" w14:textId="77777777" w:rsidR="004C5B0C" w:rsidRPr="001569FB" w:rsidRDefault="004C5B0C" w:rsidP="004C5B0C">
            <w:pPr>
              <w:keepNext/>
              <w:keepLines/>
              <w:spacing w:line="240" w:lineRule="auto"/>
              <w:jc w:val="center"/>
              <w:rPr>
                <w:b/>
                <w:bCs/>
                <w:color w:val="000000"/>
              </w:rPr>
            </w:pPr>
            <w:r w:rsidRPr="001569FB">
              <w:rPr>
                <w:b/>
                <w:bCs/>
                <w:color w:val="000000"/>
              </w:rPr>
              <w:t>75%</w:t>
            </w:r>
          </w:p>
        </w:tc>
        <w:tc>
          <w:tcPr>
            <w:tcW w:w="1076" w:type="dxa"/>
            <w:tcBorders>
              <w:top w:val="nil"/>
              <w:left w:val="nil"/>
              <w:bottom w:val="single" w:sz="8" w:space="0" w:color="auto"/>
              <w:right w:val="nil"/>
            </w:tcBorders>
            <w:shd w:val="clear" w:color="000000" w:fill="D9D9D9"/>
            <w:noWrap/>
            <w:vAlign w:val="bottom"/>
            <w:hideMark/>
          </w:tcPr>
          <w:p w14:paraId="443A5FF5" w14:textId="77777777" w:rsidR="004C5B0C" w:rsidRPr="001569FB" w:rsidRDefault="004C5B0C" w:rsidP="004C5B0C">
            <w:pPr>
              <w:keepNext/>
              <w:keepLines/>
              <w:spacing w:line="240" w:lineRule="auto"/>
              <w:jc w:val="center"/>
              <w:rPr>
                <w:b/>
                <w:bCs/>
                <w:color w:val="000000"/>
              </w:rPr>
            </w:pPr>
            <w:r w:rsidRPr="001569FB">
              <w:rPr>
                <w:b/>
                <w:bCs/>
                <w:color w:val="000000"/>
              </w:rPr>
              <w:t>90%</w:t>
            </w:r>
          </w:p>
        </w:tc>
        <w:tc>
          <w:tcPr>
            <w:tcW w:w="1076" w:type="dxa"/>
            <w:tcBorders>
              <w:top w:val="nil"/>
              <w:left w:val="nil"/>
              <w:bottom w:val="single" w:sz="8" w:space="0" w:color="auto"/>
              <w:right w:val="nil"/>
            </w:tcBorders>
            <w:shd w:val="clear" w:color="000000" w:fill="D9D9D9"/>
            <w:noWrap/>
            <w:vAlign w:val="bottom"/>
            <w:hideMark/>
          </w:tcPr>
          <w:p w14:paraId="0E802215" w14:textId="77777777" w:rsidR="004C5B0C" w:rsidRPr="001569FB" w:rsidRDefault="004C5B0C" w:rsidP="004C5B0C">
            <w:pPr>
              <w:keepNext/>
              <w:keepLines/>
              <w:spacing w:line="240" w:lineRule="auto"/>
              <w:jc w:val="center"/>
              <w:rPr>
                <w:b/>
                <w:bCs/>
                <w:color w:val="000000"/>
              </w:rPr>
            </w:pPr>
            <w:r w:rsidRPr="001569FB">
              <w:rPr>
                <w:b/>
                <w:bCs/>
                <w:color w:val="000000"/>
              </w:rPr>
              <w:t>95%</w:t>
            </w:r>
          </w:p>
        </w:tc>
        <w:tc>
          <w:tcPr>
            <w:tcW w:w="956" w:type="dxa"/>
            <w:tcBorders>
              <w:top w:val="nil"/>
              <w:left w:val="nil"/>
              <w:bottom w:val="single" w:sz="8" w:space="0" w:color="auto"/>
              <w:right w:val="single" w:sz="4" w:space="0" w:color="auto"/>
            </w:tcBorders>
            <w:shd w:val="clear" w:color="000000" w:fill="D9D9D9"/>
            <w:noWrap/>
            <w:vAlign w:val="bottom"/>
            <w:hideMark/>
          </w:tcPr>
          <w:p w14:paraId="64A83E91" w14:textId="77777777" w:rsidR="004C5B0C" w:rsidRPr="001569FB" w:rsidRDefault="004C5B0C" w:rsidP="004C5B0C">
            <w:pPr>
              <w:keepNext/>
              <w:keepLines/>
              <w:spacing w:line="240" w:lineRule="auto"/>
              <w:jc w:val="center"/>
              <w:rPr>
                <w:b/>
                <w:bCs/>
                <w:color w:val="000000"/>
              </w:rPr>
            </w:pPr>
            <w:r w:rsidRPr="001569FB">
              <w:rPr>
                <w:b/>
                <w:bCs/>
                <w:color w:val="000000"/>
              </w:rPr>
              <w:t>Max</w:t>
            </w:r>
          </w:p>
        </w:tc>
      </w:tr>
      <w:tr w:rsidR="004C5B0C" w:rsidRPr="001569FB" w14:paraId="417BC027" w14:textId="77777777" w:rsidTr="004C5B0C">
        <w:trPr>
          <w:trHeight w:val="288"/>
          <w:jc w:val="center"/>
        </w:trPr>
        <w:tc>
          <w:tcPr>
            <w:tcW w:w="12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BD9E559" w14:textId="77777777" w:rsidR="004C5B0C" w:rsidRPr="001569FB" w:rsidRDefault="004C5B0C" w:rsidP="004C5B0C">
            <w:pPr>
              <w:keepNext/>
              <w:keepLines/>
              <w:spacing w:line="240" w:lineRule="auto"/>
              <w:rPr>
                <w:color w:val="000000"/>
              </w:rPr>
            </w:pPr>
            <w:r w:rsidRPr="001569FB">
              <w:rPr>
                <w:color w:val="000000"/>
              </w:rPr>
              <w:t>All</w:t>
            </w:r>
          </w:p>
        </w:tc>
        <w:tc>
          <w:tcPr>
            <w:tcW w:w="857" w:type="dxa"/>
            <w:tcBorders>
              <w:top w:val="single" w:sz="8" w:space="0" w:color="auto"/>
              <w:left w:val="nil"/>
              <w:bottom w:val="nil"/>
              <w:right w:val="single" w:sz="4" w:space="0" w:color="auto"/>
            </w:tcBorders>
            <w:shd w:val="clear" w:color="auto" w:fill="auto"/>
            <w:noWrap/>
            <w:vAlign w:val="bottom"/>
            <w:hideMark/>
          </w:tcPr>
          <w:p w14:paraId="11404227" w14:textId="77777777" w:rsidR="004C5B0C" w:rsidRPr="001569FB" w:rsidRDefault="004C5B0C" w:rsidP="004C5B0C">
            <w:pPr>
              <w:keepNext/>
              <w:keepLines/>
              <w:spacing w:line="240" w:lineRule="auto"/>
              <w:jc w:val="right"/>
              <w:rPr>
                <w:color w:val="000000"/>
              </w:rPr>
            </w:pPr>
            <w:r w:rsidRPr="001569FB">
              <w:rPr>
                <w:color w:val="000000"/>
              </w:rPr>
              <w:t>680</w:t>
            </w:r>
          </w:p>
        </w:tc>
        <w:tc>
          <w:tcPr>
            <w:tcW w:w="1026" w:type="dxa"/>
            <w:tcBorders>
              <w:top w:val="single" w:sz="4" w:space="0" w:color="auto"/>
              <w:left w:val="single" w:sz="4" w:space="0" w:color="auto"/>
              <w:bottom w:val="nil"/>
              <w:right w:val="single" w:sz="4" w:space="0" w:color="auto"/>
            </w:tcBorders>
            <w:shd w:val="clear" w:color="auto" w:fill="auto"/>
            <w:noWrap/>
            <w:vAlign w:val="bottom"/>
            <w:hideMark/>
          </w:tcPr>
          <w:p w14:paraId="69369C32" w14:textId="77777777" w:rsidR="004C5B0C" w:rsidRPr="001569FB" w:rsidRDefault="004C5B0C" w:rsidP="004C5B0C">
            <w:pPr>
              <w:keepNext/>
              <w:keepLines/>
              <w:spacing w:line="240" w:lineRule="auto"/>
              <w:jc w:val="right"/>
              <w:rPr>
                <w:color w:val="000000"/>
              </w:rPr>
            </w:pPr>
            <w:r w:rsidRPr="001569FB">
              <w:rPr>
                <w:color w:val="000000"/>
              </w:rPr>
              <w:t>4.1%</w:t>
            </w:r>
          </w:p>
        </w:tc>
        <w:tc>
          <w:tcPr>
            <w:tcW w:w="1076" w:type="dxa"/>
            <w:tcBorders>
              <w:top w:val="single" w:sz="4" w:space="0" w:color="auto"/>
              <w:left w:val="nil"/>
              <w:bottom w:val="nil"/>
              <w:right w:val="single" w:sz="4" w:space="0" w:color="auto"/>
            </w:tcBorders>
            <w:shd w:val="clear" w:color="auto" w:fill="auto"/>
            <w:noWrap/>
            <w:vAlign w:val="bottom"/>
            <w:hideMark/>
          </w:tcPr>
          <w:p w14:paraId="6F1315AF" w14:textId="77777777" w:rsidR="004C5B0C" w:rsidRPr="001569FB" w:rsidRDefault="004C5B0C" w:rsidP="004C5B0C">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nil"/>
              <w:right w:val="single" w:sz="4" w:space="0" w:color="auto"/>
            </w:tcBorders>
            <w:shd w:val="clear" w:color="auto" w:fill="auto"/>
            <w:noWrap/>
            <w:vAlign w:val="bottom"/>
            <w:hideMark/>
          </w:tcPr>
          <w:p w14:paraId="4A33CD84" w14:textId="77777777" w:rsidR="004C5B0C" w:rsidRPr="001569FB" w:rsidRDefault="004C5B0C" w:rsidP="004C5B0C">
            <w:pPr>
              <w:keepNext/>
              <w:keepLines/>
              <w:spacing w:line="240" w:lineRule="auto"/>
              <w:jc w:val="right"/>
              <w:rPr>
                <w:color w:val="000000"/>
              </w:rPr>
            </w:pPr>
            <w:r w:rsidRPr="001569FB">
              <w:rPr>
                <w:color w:val="000000"/>
              </w:rPr>
              <w:t>16.5%</w:t>
            </w:r>
          </w:p>
        </w:tc>
        <w:tc>
          <w:tcPr>
            <w:tcW w:w="1076" w:type="dxa"/>
            <w:tcBorders>
              <w:top w:val="single" w:sz="4" w:space="0" w:color="auto"/>
              <w:left w:val="nil"/>
              <w:bottom w:val="nil"/>
              <w:right w:val="single" w:sz="4" w:space="0" w:color="auto"/>
            </w:tcBorders>
            <w:shd w:val="clear" w:color="auto" w:fill="auto"/>
            <w:noWrap/>
            <w:vAlign w:val="bottom"/>
            <w:hideMark/>
          </w:tcPr>
          <w:p w14:paraId="40600D01" w14:textId="77777777" w:rsidR="004C5B0C" w:rsidRPr="001569FB" w:rsidRDefault="004C5B0C" w:rsidP="004C5B0C">
            <w:pPr>
              <w:keepNext/>
              <w:keepLines/>
              <w:spacing w:line="240" w:lineRule="auto"/>
              <w:jc w:val="right"/>
              <w:rPr>
                <w:color w:val="000000"/>
              </w:rPr>
            </w:pPr>
            <w:r w:rsidRPr="001569FB">
              <w:rPr>
                <w:color w:val="000000"/>
              </w:rPr>
              <w:t>20.9%</w:t>
            </w:r>
          </w:p>
        </w:tc>
        <w:tc>
          <w:tcPr>
            <w:tcW w:w="956" w:type="dxa"/>
            <w:tcBorders>
              <w:top w:val="single" w:sz="4" w:space="0" w:color="auto"/>
              <w:left w:val="nil"/>
              <w:bottom w:val="nil"/>
              <w:right w:val="single" w:sz="4" w:space="0" w:color="auto"/>
            </w:tcBorders>
            <w:shd w:val="clear" w:color="auto" w:fill="auto"/>
            <w:noWrap/>
            <w:vAlign w:val="bottom"/>
            <w:hideMark/>
          </w:tcPr>
          <w:p w14:paraId="3FDFC737" w14:textId="77777777" w:rsidR="004C5B0C" w:rsidRPr="001569FB" w:rsidRDefault="004C5B0C" w:rsidP="004C5B0C">
            <w:pPr>
              <w:keepNext/>
              <w:keepLines/>
              <w:spacing w:line="240" w:lineRule="auto"/>
              <w:jc w:val="right"/>
              <w:rPr>
                <w:color w:val="000000"/>
              </w:rPr>
            </w:pPr>
            <w:r w:rsidRPr="001569FB">
              <w:rPr>
                <w:color w:val="000000"/>
              </w:rPr>
              <w:t>25.3%</w:t>
            </w:r>
          </w:p>
        </w:tc>
        <w:tc>
          <w:tcPr>
            <w:tcW w:w="1076" w:type="dxa"/>
            <w:tcBorders>
              <w:top w:val="single" w:sz="4" w:space="0" w:color="auto"/>
              <w:left w:val="nil"/>
              <w:bottom w:val="nil"/>
              <w:right w:val="single" w:sz="4" w:space="0" w:color="auto"/>
            </w:tcBorders>
            <w:shd w:val="clear" w:color="auto" w:fill="auto"/>
            <w:noWrap/>
            <w:vAlign w:val="bottom"/>
            <w:hideMark/>
          </w:tcPr>
          <w:p w14:paraId="06EA5962" w14:textId="77777777" w:rsidR="004C5B0C" w:rsidRPr="001569FB" w:rsidRDefault="004C5B0C" w:rsidP="004C5B0C">
            <w:pPr>
              <w:keepNext/>
              <w:keepLines/>
              <w:spacing w:line="240" w:lineRule="auto"/>
              <w:jc w:val="right"/>
              <w:rPr>
                <w:color w:val="000000"/>
              </w:rPr>
            </w:pPr>
            <w:r w:rsidRPr="001569FB">
              <w:rPr>
                <w:color w:val="000000"/>
              </w:rPr>
              <w:t>30.1%</w:t>
            </w:r>
          </w:p>
        </w:tc>
        <w:tc>
          <w:tcPr>
            <w:tcW w:w="1076" w:type="dxa"/>
            <w:tcBorders>
              <w:top w:val="single" w:sz="4" w:space="0" w:color="auto"/>
              <w:left w:val="nil"/>
              <w:bottom w:val="nil"/>
              <w:right w:val="single" w:sz="4" w:space="0" w:color="auto"/>
            </w:tcBorders>
            <w:shd w:val="clear" w:color="auto" w:fill="auto"/>
            <w:noWrap/>
            <w:vAlign w:val="bottom"/>
            <w:hideMark/>
          </w:tcPr>
          <w:p w14:paraId="6773B441" w14:textId="77777777" w:rsidR="004C5B0C" w:rsidRPr="001569FB" w:rsidRDefault="004C5B0C" w:rsidP="004C5B0C">
            <w:pPr>
              <w:keepNext/>
              <w:keepLines/>
              <w:spacing w:line="240" w:lineRule="auto"/>
              <w:jc w:val="right"/>
              <w:rPr>
                <w:color w:val="000000"/>
              </w:rPr>
            </w:pPr>
            <w:r w:rsidRPr="001569FB">
              <w:rPr>
                <w:color w:val="000000"/>
              </w:rPr>
              <w:t>33.7%</w:t>
            </w:r>
          </w:p>
        </w:tc>
        <w:tc>
          <w:tcPr>
            <w:tcW w:w="956" w:type="dxa"/>
            <w:tcBorders>
              <w:top w:val="single" w:sz="4" w:space="0" w:color="auto"/>
              <w:left w:val="nil"/>
              <w:bottom w:val="nil"/>
              <w:right w:val="single" w:sz="4" w:space="0" w:color="auto"/>
            </w:tcBorders>
            <w:shd w:val="clear" w:color="auto" w:fill="auto"/>
            <w:noWrap/>
            <w:vAlign w:val="bottom"/>
            <w:hideMark/>
          </w:tcPr>
          <w:p w14:paraId="5CD70F88" w14:textId="77777777" w:rsidR="004C5B0C" w:rsidRPr="001569FB" w:rsidRDefault="004C5B0C" w:rsidP="004C5B0C">
            <w:pPr>
              <w:keepNext/>
              <w:keepLines/>
              <w:spacing w:line="240" w:lineRule="auto"/>
              <w:jc w:val="right"/>
              <w:rPr>
                <w:color w:val="000000"/>
              </w:rPr>
            </w:pPr>
            <w:r w:rsidRPr="001569FB">
              <w:rPr>
                <w:color w:val="000000"/>
              </w:rPr>
              <w:t>51.4%</w:t>
            </w:r>
          </w:p>
        </w:tc>
      </w:tr>
      <w:tr w:rsidR="004C5B0C" w:rsidRPr="001569FB" w14:paraId="5E114A27" w14:textId="77777777" w:rsidTr="004C5B0C">
        <w:trPr>
          <w:trHeight w:val="288"/>
          <w:jc w:val="center"/>
        </w:trPr>
        <w:tc>
          <w:tcPr>
            <w:tcW w:w="1230" w:type="dxa"/>
            <w:tcBorders>
              <w:top w:val="nil"/>
              <w:left w:val="single" w:sz="4" w:space="0" w:color="auto"/>
              <w:bottom w:val="single" w:sz="4" w:space="0" w:color="auto"/>
              <w:right w:val="single" w:sz="4" w:space="0" w:color="auto"/>
            </w:tcBorders>
            <w:shd w:val="clear" w:color="000000" w:fill="D9D9D9"/>
            <w:noWrap/>
            <w:vAlign w:val="bottom"/>
            <w:hideMark/>
          </w:tcPr>
          <w:p w14:paraId="438779A6" w14:textId="77777777" w:rsidR="004C5B0C" w:rsidRPr="001569FB" w:rsidRDefault="004C5B0C" w:rsidP="004C5B0C">
            <w:pPr>
              <w:keepNext/>
              <w:keepLines/>
              <w:spacing w:line="240" w:lineRule="auto"/>
              <w:rPr>
                <w:color w:val="000000"/>
              </w:rPr>
            </w:pPr>
            <w:r w:rsidRPr="001569FB">
              <w:rPr>
                <w:color w:val="000000"/>
              </w:rPr>
              <w:t>PDP</w:t>
            </w:r>
          </w:p>
        </w:tc>
        <w:tc>
          <w:tcPr>
            <w:tcW w:w="857" w:type="dxa"/>
            <w:tcBorders>
              <w:top w:val="single" w:sz="4" w:space="0" w:color="auto"/>
              <w:left w:val="nil"/>
              <w:bottom w:val="single" w:sz="4" w:space="0" w:color="auto"/>
              <w:right w:val="single" w:sz="4" w:space="0" w:color="auto"/>
            </w:tcBorders>
            <w:shd w:val="clear" w:color="000000" w:fill="D9D9D9"/>
            <w:noWrap/>
            <w:vAlign w:val="bottom"/>
            <w:hideMark/>
          </w:tcPr>
          <w:p w14:paraId="3F52BB35" w14:textId="77777777" w:rsidR="004C5B0C" w:rsidRPr="001569FB" w:rsidRDefault="004C5B0C" w:rsidP="004C5B0C">
            <w:pPr>
              <w:keepNext/>
              <w:keepLines/>
              <w:spacing w:line="240" w:lineRule="auto"/>
              <w:jc w:val="right"/>
              <w:rPr>
                <w:color w:val="000000"/>
              </w:rPr>
            </w:pPr>
            <w:r w:rsidRPr="001569FB">
              <w:rPr>
                <w:color w:val="000000"/>
              </w:rPr>
              <w:t>61</w:t>
            </w:r>
          </w:p>
        </w:tc>
        <w:tc>
          <w:tcPr>
            <w:tcW w:w="1026" w:type="dxa"/>
            <w:tcBorders>
              <w:top w:val="single" w:sz="4" w:space="0" w:color="auto"/>
              <w:left w:val="nil"/>
              <w:bottom w:val="single" w:sz="4" w:space="0" w:color="auto"/>
              <w:right w:val="single" w:sz="4" w:space="0" w:color="auto"/>
            </w:tcBorders>
            <w:shd w:val="clear" w:color="000000" w:fill="D9D9D9"/>
            <w:noWrap/>
            <w:vAlign w:val="bottom"/>
            <w:hideMark/>
          </w:tcPr>
          <w:p w14:paraId="63E4BB4A" w14:textId="77777777" w:rsidR="004C5B0C" w:rsidRPr="001569FB" w:rsidRDefault="004C5B0C" w:rsidP="004C5B0C">
            <w:pPr>
              <w:keepNext/>
              <w:keepLines/>
              <w:spacing w:line="240" w:lineRule="auto"/>
              <w:jc w:val="right"/>
              <w:rPr>
                <w:color w:val="000000"/>
              </w:rPr>
            </w:pPr>
            <w:r w:rsidRPr="001569FB">
              <w:rPr>
                <w:color w:val="000000"/>
              </w:rPr>
              <w:t>9.6%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58F1FA52" w14:textId="77777777" w:rsidR="004C5B0C" w:rsidRPr="001569FB" w:rsidRDefault="004C5B0C" w:rsidP="004C5B0C">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561CFFF8" w14:textId="77777777" w:rsidR="004C5B0C" w:rsidRPr="001569FB" w:rsidRDefault="004C5B0C" w:rsidP="004C5B0C">
            <w:pPr>
              <w:keepNext/>
              <w:keepLines/>
              <w:spacing w:line="240" w:lineRule="auto"/>
              <w:jc w:val="right"/>
              <w:rPr>
                <w:color w:val="000000"/>
              </w:rPr>
            </w:pPr>
            <w:r w:rsidRPr="001569FB">
              <w:rPr>
                <w:color w:val="000000"/>
              </w:rPr>
              <w:t>15.7%</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3194A150" w14:textId="77777777" w:rsidR="004C5B0C" w:rsidRPr="001569FB" w:rsidRDefault="004C5B0C" w:rsidP="004C5B0C">
            <w:pPr>
              <w:keepNext/>
              <w:keepLines/>
              <w:spacing w:line="240" w:lineRule="auto"/>
              <w:jc w:val="right"/>
              <w:rPr>
                <w:color w:val="000000"/>
              </w:rPr>
            </w:pPr>
            <w:r w:rsidRPr="001569FB">
              <w:rPr>
                <w:color w:val="000000"/>
              </w:rPr>
              <w:t>21.1%</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2DFD5A32" w14:textId="77777777" w:rsidR="004C5B0C" w:rsidRPr="001569FB" w:rsidRDefault="004C5B0C" w:rsidP="004C5B0C">
            <w:pPr>
              <w:keepNext/>
              <w:keepLines/>
              <w:spacing w:line="240" w:lineRule="auto"/>
              <w:jc w:val="right"/>
              <w:rPr>
                <w:color w:val="000000"/>
              </w:rPr>
            </w:pPr>
            <w:r w:rsidRPr="001569FB">
              <w:rPr>
                <w:color w:val="000000"/>
              </w:rPr>
              <w:t>25.6%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6B7A0BB9" w14:textId="77777777" w:rsidR="004C5B0C" w:rsidRPr="001569FB" w:rsidRDefault="004C5B0C" w:rsidP="004C5B0C">
            <w:pPr>
              <w:keepNext/>
              <w:keepLines/>
              <w:spacing w:line="240" w:lineRule="auto"/>
              <w:jc w:val="right"/>
              <w:rPr>
                <w:color w:val="000000"/>
              </w:rPr>
            </w:pPr>
            <w:r w:rsidRPr="001569FB">
              <w:rPr>
                <w:color w:val="000000"/>
              </w:rPr>
              <w:t>31.0%</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4420B710" w14:textId="77777777" w:rsidR="004C5B0C" w:rsidRPr="001569FB" w:rsidRDefault="004C5B0C" w:rsidP="004C5B0C">
            <w:pPr>
              <w:keepNext/>
              <w:keepLines/>
              <w:spacing w:line="240" w:lineRule="auto"/>
              <w:jc w:val="right"/>
              <w:rPr>
                <w:color w:val="000000"/>
              </w:rPr>
            </w:pPr>
            <w:r w:rsidRPr="001569FB">
              <w:rPr>
                <w:color w:val="000000"/>
              </w:rPr>
              <w:t>35.5%</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361BA838" w14:textId="77777777" w:rsidR="004C5B0C" w:rsidRPr="001569FB" w:rsidRDefault="004C5B0C" w:rsidP="004C5B0C">
            <w:pPr>
              <w:keepNext/>
              <w:keepLines/>
              <w:spacing w:line="240" w:lineRule="auto"/>
              <w:jc w:val="right"/>
              <w:rPr>
                <w:color w:val="000000"/>
              </w:rPr>
            </w:pPr>
            <w:r w:rsidRPr="001569FB">
              <w:rPr>
                <w:color w:val="000000"/>
              </w:rPr>
              <w:t>42.9%</w:t>
            </w:r>
          </w:p>
        </w:tc>
      </w:tr>
      <w:tr w:rsidR="004C5B0C" w:rsidRPr="001569FB" w14:paraId="0C599AF6" w14:textId="77777777" w:rsidTr="004C5B0C">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856A3E4" w14:textId="77777777" w:rsidR="004C5B0C" w:rsidRPr="001569FB" w:rsidRDefault="004C5B0C" w:rsidP="004C5B0C">
            <w:pPr>
              <w:spacing w:line="240" w:lineRule="auto"/>
              <w:rPr>
                <w:color w:val="000000"/>
              </w:rPr>
            </w:pPr>
            <w:r w:rsidRPr="001569FB">
              <w:rPr>
                <w:color w:val="000000"/>
              </w:rPr>
              <w:t>MA-PD</w:t>
            </w:r>
          </w:p>
        </w:tc>
        <w:tc>
          <w:tcPr>
            <w:tcW w:w="857" w:type="dxa"/>
            <w:tcBorders>
              <w:top w:val="nil"/>
              <w:left w:val="nil"/>
              <w:bottom w:val="single" w:sz="4" w:space="0" w:color="auto"/>
              <w:right w:val="single" w:sz="4" w:space="0" w:color="auto"/>
            </w:tcBorders>
            <w:shd w:val="clear" w:color="auto" w:fill="auto"/>
            <w:noWrap/>
            <w:vAlign w:val="bottom"/>
            <w:hideMark/>
          </w:tcPr>
          <w:p w14:paraId="0EDA46FC" w14:textId="77777777" w:rsidR="004C5B0C" w:rsidRPr="001569FB" w:rsidRDefault="004C5B0C" w:rsidP="004C5B0C">
            <w:pPr>
              <w:spacing w:line="240" w:lineRule="auto"/>
              <w:jc w:val="right"/>
              <w:rPr>
                <w:color w:val="000000"/>
              </w:rPr>
            </w:pPr>
            <w:r w:rsidRPr="001569FB">
              <w:rPr>
                <w:color w:val="000000"/>
              </w:rPr>
              <w:t>614</w:t>
            </w:r>
          </w:p>
        </w:tc>
        <w:tc>
          <w:tcPr>
            <w:tcW w:w="1026" w:type="dxa"/>
            <w:tcBorders>
              <w:top w:val="nil"/>
              <w:left w:val="nil"/>
              <w:bottom w:val="single" w:sz="4" w:space="0" w:color="auto"/>
              <w:right w:val="single" w:sz="4" w:space="0" w:color="auto"/>
            </w:tcBorders>
            <w:shd w:val="clear" w:color="auto" w:fill="auto"/>
            <w:noWrap/>
            <w:vAlign w:val="bottom"/>
            <w:hideMark/>
          </w:tcPr>
          <w:p w14:paraId="66E1ED43" w14:textId="77777777" w:rsidR="004C5B0C" w:rsidRPr="001569FB" w:rsidRDefault="004C5B0C" w:rsidP="004C5B0C">
            <w:pPr>
              <w:spacing w:line="240" w:lineRule="auto"/>
              <w:jc w:val="right"/>
              <w:rPr>
                <w:color w:val="000000"/>
              </w:rPr>
            </w:pPr>
            <w:r w:rsidRPr="001569FB">
              <w:rPr>
                <w:color w:val="000000"/>
              </w:rPr>
              <w:t>4.1%</w:t>
            </w:r>
          </w:p>
        </w:tc>
        <w:tc>
          <w:tcPr>
            <w:tcW w:w="1076" w:type="dxa"/>
            <w:tcBorders>
              <w:top w:val="nil"/>
              <w:left w:val="nil"/>
              <w:bottom w:val="single" w:sz="4" w:space="0" w:color="auto"/>
              <w:right w:val="single" w:sz="4" w:space="0" w:color="auto"/>
            </w:tcBorders>
            <w:shd w:val="clear" w:color="auto" w:fill="auto"/>
            <w:noWrap/>
            <w:vAlign w:val="bottom"/>
            <w:hideMark/>
          </w:tcPr>
          <w:p w14:paraId="04581AA1" w14:textId="77777777" w:rsidR="004C5B0C" w:rsidRPr="001569FB" w:rsidRDefault="004C5B0C" w:rsidP="004C5B0C">
            <w:pPr>
              <w:spacing w:line="240" w:lineRule="auto"/>
              <w:jc w:val="right"/>
              <w:rPr>
                <w:color w:val="000000"/>
              </w:rPr>
            </w:pPr>
            <w:r w:rsidRPr="001569FB">
              <w:rPr>
                <w:color w:val="000000"/>
              </w:rPr>
              <w:t>13.2%</w:t>
            </w:r>
          </w:p>
        </w:tc>
        <w:tc>
          <w:tcPr>
            <w:tcW w:w="1076" w:type="dxa"/>
            <w:tcBorders>
              <w:top w:val="nil"/>
              <w:left w:val="nil"/>
              <w:bottom w:val="single" w:sz="4" w:space="0" w:color="auto"/>
              <w:right w:val="single" w:sz="4" w:space="0" w:color="auto"/>
            </w:tcBorders>
            <w:shd w:val="clear" w:color="auto" w:fill="auto"/>
            <w:noWrap/>
            <w:vAlign w:val="bottom"/>
            <w:hideMark/>
          </w:tcPr>
          <w:p w14:paraId="43024C8F" w14:textId="77777777" w:rsidR="004C5B0C" w:rsidRPr="001569FB" w:rsidRDefault="004C5B0C" w:rsidP="004C5B0C">
            <w:pPr>
              <w:spacing w:line="240" w:lineRule="auto"/>
              <w:jc w:val="right"/>
              <w:rPr>
                <w:color w:val="000000"/>
              </w:rPr>
            </w:pPr>
            <w:r w:rsidRPr="001569FB">
              <w:rPr>
                <w:color w:val="000000"/>
              </w:rPr>
              <w:t>16.5%</w:t>
            </w:r>
          </w:p>
        </w:tc>
        <w:tc>
          <w:tcPr>
            <w:tcW w:w="1076" w:type="dxa"/>
            <w:tcBorders>
              <w:top w:val="nil"/>
              <w:left w:val="nil"/>
              <w:bottom w:val="single" w:sz="4" w:space="0" w:color="auto"/>
              <w:right w:val="single" w:sz="4" w:space="0" w:color="auto"/>
            </w:tcBorders>
            <w:shd w:val="clear" w:color="auto" w:fill="auto"/>
            <w:noWrap/>
            <w:vAlign w:val="bottom"/>
            <w:hideMark/>
          </w:tcPr>
          <w:p w14:paraId="4A3FDB05" w14:textId="77777777" w:rsidR="004C5B0C" w:rsidRPr="001569FB" w:rsidRDefault="004C5B0C" w:rsidP="004C5B0C">
            <w:pPr>
              <w:spacing w:line="240" w:lineRule="auto"/>
              <w:jc w:val="right"/>
              <w:rPr>
                <w:color w:val="000000"/>
              </w:rPr>
            </w:pPr>
            <w:r w:rsidRPr="001569FB">
              <w:rPr>
                <w:color w:val="000000"/>
              </w:rPr>
              <w:t>20.9%</w:t>
            </w:r>
          </w:p>
        </w:tc>
        <w:tc>
          <w:tcPr>
            <w:tcW w:w="956" w:type="dxa"/>
            <w:tcBorders>
              <w:top w:val="nil"/>
              <w:left w:val="nil"/>
              <w:bottom w:val="single" w:sz="4" w:space="0" w:color="auto"/>
              <w:right w:val="single" w:sz="4" w:space="0" w:color="auto"/>
            </w:tcBorders>
            <w:shd w:val="clear" w:color="auto" w:fill="auto"/>
            <w:noWrap/>
            <w:vAlign w:val="bottom"/>
            <w:hideMark/>
          </w:tcPr>
          <w:p w14:paraId="0EC23D30" w14:textId="77777777" w:rsidR="004C5B0C" w:rsidRPr="001569FB" w:rsidRDefault="004C5B0C" w:rsidP="004C5B0C">
            <w:pPr>
              <w:spacing w:line="240" w:lineRule="auto"/>
              <w:jc w:val="right"/>
              <w:rPr>
                <w:color w:val="000000"/>
              </w:rPr>
            </w:pPr>
            <w:r w:rsidRPr="001569FB">
              <w:rPr>
                <w:color w:val="000000"/>
              </w:rPr>
              <w:t>25.2%</w:t>
            </w:r>
          </w:p>
        </w:tc>
        <w:tc>
          <w:tcPr>
            <w:tcW w:w="1076" w:type="dxa"/>
            <w:tcBorders>
              <w:top w:val="nil"/>
              <w:left w:val="nil"/>
              <w:bottom w:val="single" w:sz="4" w:space="0" w:color="auto"/>
              <w:right w:val="single" w:sz="4" w:space="0" w:color="auto"/>
            </w:tcBorders>
            <w:shd w:val="clear" w:color="auto" w:fill="auto"/>
            <w:noWrap/>
            <w:vAlign w:val="bottom"/>
            <w:hideMark/>
          </w:tcPr>
          <w:p w14:paraId="4CB22344" w14:textId="77777777" w:rsidR="004C5B0C" w:rsidRPr="001569FB" w:rsidRDefault="004C5B0C" w:rsidP="004C5B0C">
            <w:pPr>
              <w:spacing w:line="240" w:lineRule="auto"/>
              <w:jc w:val="right"/>
              <w:rPr>
                <w:color w:val="000000"/>
              </w:rPr>
            </w:pPr>
            <w:r w:rsidRPr="001569FB">
              <w:rPr>
                <w:color w:val="000000"/>
              </w:rPr>
              <w:t>30.1%</w:t>
            </w:r>
          </w:p>
        </w:tc>
        <w:tc>
          <w:tcPr>
            <w:tcW w:w="1076" w:type="dxa"/>
            <w:tcBorders>
              <w:top w:val="nil"/>
              <w:left w:val="nil"/>
              <w:bottom w:val="single" w:sz="4" w:space="0" w:color="auto"/>
              <w:right w:val="single" w:sz="4" w:space="0" w:color="auto"/>
            </w:tcBorders>
            <w:shd w:val="clear" w:color="auto" w:fill="auto"/>
            <w:noWrap/>
            <w:vAlign w:val="bottom"/>
            <w:hideMark/>
          </w:tcPr>
          <w:p w14:paraId="68FFD6D2" w14:textId="77777777" w:rsidR="004C5B0C" w:rsidRPr="001569FB" w:rsidRDefault="004C5B0C" w:rsidP="004C5B0C">
            <w:pPr>
              <w:spacing w:line="240" w:lineRule="auto"/>
              <w:jc w:val="right"/>
              <w:rPr>
                <w:color w:val="000000"/>
              </w:rPr>
            </w:pPr>
            <w:r w:rsidRPr="001569FB">
              <w:rPr>
                <w:color w:val="000000"/>
              </w:rPr>
              <w:t>33.7%</w:t>
            </w:r>
          </w:p>
        </w:tc>
        <w:tc>
          <w:tcPr>
            <w:tcW w:w="956" w:type="dxa"/>
            <w:tcBorders>
              <w:top w:val="nil"/>
              <w:left w:val="nil"/>
              <w:bottom w:val="single" w:sz="4" w:space="0" w:color="auto"/>
              <w:right w:val="single" w:sz="4" w:space="0" w:color="auto"/>
            </w:tcBorders>
            <w:shd w:val="clear" w:color="auto" w:fill="auto"/>
            <w:noWrap/>
            <w:vAlign w:val="bottom"/>
            <w:hideMark/>
          </w:tcPr>
          <w:p w14:paraId="39E11E71" w14:textId="77777777" w:rsidR="004C5B0C" w:rsidRPr="001569FB" w:rsidRDefault="004C5B0C" w:rsidP="004C5B0C">
            <w:pPr>
              <w:spacing w:line="240" w:lineRule="auto"/>
              <w:jc w:val="right"/>
              <w:rPr>
                <w:color w:val="000000"/>
              </w:rPr>
            </w:pPr>
            <w:r w:rsidRPr="001569FB">
              <w:rPr>
                <w:color w:val="000000"/>
              </w:rPr>
              <w:t>51.4%</w:t>
            </w:r>
          </w:p>
        </w:tc>
      </w:tr>
    </w:tbl>
    <w:p w14:paraId="649A94E6" w14:textId="77777777" w:rsidR="004C5B0C" w:rsidRPr="001569FB" w:rsidRDefault="004C5B0C" w:rsidP="004C5B0C">
      <w:pPr>
        <w:tabs>
          <w:tab w:val="left" w:pos="450"/>
        </w:tabs>
        <w:kinsoku w:val="0"/>
        <w:overflowPunct w:val="0"/>
        <w:autoSpaceDE w:val="0"/>
        <w:autoSpaceDN w:val="0"/>
        <w:adjustRightInd w:val="0"/>
        <w:spacing w:before="600"/>
        <w:ind w:left="450" w:right="432"/>
      </w:pPr>
      <w:r w:rsidRPr="001569FB">
        <w:t>We propose to begin reporting the Concurrent Use of Opioids and Benzodiazepines measure in the Patient Safety reports for the 2018 measurement year. We plan to add the measure to the display page for 2021 (2019 data) and 2022 (2020 data). We will consider this measure for the 2023 Star Ratings (2021 data) pending rulemaking. However, we seek feedback if there are concerns with adding this measure for the following reasons: (1) the Overutilization Monitoring System (OMS) identifies potential opioid overutilizers who are also receiving a benzodiazepine, and (2) a proportion of the concurrent opioid and benzodiazepines users will already be identified within the Poly-CNS measure.</w:t>
      </w:r>
    </w:p>
    <w:p w14:paraId="194F2AFA" w14:textId="77777777" w:rsidR="004C5B0C" w:rsidRPr="001569FB" w:rsidRDefault="004C5B0C" w:rsidP="004C5B0C">
      <w:pPr>
        <w:tabs>
          <w:tab w:val="left" w:pos="634"/>
        </w:tabs>
        <w:spacing w:before="200"/>
        <w:ind w:left="432"/>
      </w:pPr>
      <w:r w:rsidRPr="001569FB">
        <w:t xml:space="preserve">Note: see additional proposals within the Improving Drug Utilization Review Controls in Medicare Part D section. </w:t>
      </w:r>
    </w:p>
    <w:p w14:paraId="0D30701F" w14:textId="77777777" w:rsidR="004C5B0C" w:rsidRPr="001569FB" w:rsidRDefault="004C5B0C" w:rsidP="00AC78D9">
      <w:pPr>
        <w:numPr>
          <w:ilvl w:val="0"/>
          <w:numId w:val="56"/>
        </w:numPr>
        <w:tabs>
          <w:tab w:val="left" w:pos="360"/>
        </w:tabs>
        <w:kinsoku w:val="0"/>
        <w:overflowPunct w:val="0"/>
        <w:autoSpaceDE w:val="0"/>
        <w:autoSpaceDN w:val="0"/>
        <w:adjustRightInd w:val="0"/>
        <w:spacing w:before="199"/>
        <w:ind w:left="360" w:right="115"/>
      </w:pPr>
      <w:r w:rsidRPr="001569FB">
        <w:rPr>
          <w:b/>
        </w:rPr>
        <w:t>Additional PQA Medication Adherence Measures (Part D).</w:t>
      </w:r>
      <w:r w:rsidRPr="001569FB">
        <w:t xml:space="preserve"> We evaluated two additional PQA endorsed medication adherence measures within the Medicare Part D population using 2016 PDE data. We adjusted the measure for member-years. There were 743 active Part D contracts in 2016 (671 MA-PDs, 67 PDPs, and 5 employer direct contracts).</w:t>
      </w:r>
    </w:p>
    <w:p w14:paraId="164A0AB0" w14:textId="77777777" w:rsidR="004C5B0C" w:rsidRPr="001569FB" w:rsidRDefault="004C5B0C" w:rsidP="004C5B0C">
      <w:pPr>
        <w:tabs>
          <w:tab w:val="left" w:pos="360"/>
        </w:tabs>
        <w:kinsoku w:val="0"/>
        <w:overflowPunct w:val="0"/>
        <w:autoSpaceDE w:val="0"/>
        <w:autoSpaceDN w:val="0"/>
        <w:adjustRightInd w:val="0"/>
        <w:ind w:left="360" w:right="115"/>
      </w:pPr>
      <w:r w:rsidRPr="001569FB">
        <w:rPr>
          <w:u w:val="single"/>
        </w:rPr>
        <w:t>Adherence to Non-Warfarin Oral Anticoagulants (ADH- NWOA):</w:t>
      </w:r>
      <w:r w:rsidRPr="001569FB">
        <w:rPr>
          <w:b/>
        </w:rPr>
        <w:t xml:space="preserve"> </w:t>
      </w:r>
      <w:r w:rsidRPr="001569FB">
        <w:t xml:space="preserve">This measure is defined as the percentage of individuals 18 years and older who met the Proportion of Days Covered (PDC) threshold of 80 percent during the measurement period. The PQA measure manual states that adherence to all anticoagulants is important, and adherence to non-warfarin </w:t>
      </w:r>
      <w:r w:rsidRPr="001569FB">
        <w:lastRenderedPageBreak/>
        <w:t xml:space="preserve">anticoagulants may be more critical to monitor since there is not a surrogate lab value such as the international normalized ratio (INR). </w:t>
      </w:r>
    </w:p>
    <w:p w14:paraId="3188C8F9" w14:textId="77777777" w:rsidR="004C5B0C" w:rsidRPr="001569FB" w:rsidRDefault="004C5B0C" w:rsidP="004C5B0C">
      <w:pPr>
        <w:tabs>
          <w:tab w:val="left" w:pos="360"/>
        </w:tabs>
        <w:kinsoku w:val="0"/>
        <w:overflowPunct w:val="0"/>
        <w:autoSpaceDE w:val="0"/>
        <w:autoSpaceDN w:val="0"/>
        <w:adjustRightInd w:val="0"/>
        <w:ind w:left="360" w:right="115"/>
      </w:pPr>
      <w:r w:rsidRPr="001569FB">
        <w:t>Individuals who filled at least two prescriptions for a NWOA on two unique dates of service at least 180 days apart during the treatment period and who received greater than 60 days’ supply of the medication during the treatment period were included in the measure. The prescriptions can be for the same or different medications. Higher rates signify better performance.</w:t>
      </w:r>
    </w:p>
    <w:p w14:paraId="6792B36C" w14:textId="77777777" w:rsidR="004C5B0C" w:rsidRPr="001569FB" w:rsidRDefault="004C5B0C" w:rsidP="004C5B0C">
      <w:pPr>
        <w:pStyle w:val="Caption"/>
      </w:pPr>
      <w:r w:rsidRPr="001569FB">
        <w:t xml:space="preserve">Table </w:t>
      </w:r>
      <w:fldSimple w:instr=" SEQ Table \* ARABIC ">
        <w:r w:rsidR="00A216EC">
          <w:rPr>
            <w:noProof/>
          </w:rPr>
          <w:t>19</w:t>
        </w:r>
      </w:fldSimple>
      <w:r w:rsidRPr="001569FB">
        <w:t>: Distribution of the ADH-NWOA Measure Rates, Part D, 2016</w:t>
      </w:r>
    </w:p>
    <w:tbl>
      <w:tblPr>
        <w:tblW w:w="10141" w:type="dxa"/>
        <w:jc w:val="center"/>
        <w:tblLook w:val="04A0" w:firstRow="1" w:lastRow="0" w:firstColumn="1" w:lastColumn="0" w:noHBand="0" w:noVBand="1"/>
      </w:tblPr>
      <w:tblGrid>
        <w:gridCol w:w="1230"/>
        <w:gridCol w:w="869"/>
        <w:gridCol w:w="1014"/>
        <w:gridCol w:w="1014"/>
        <w:gridCol w:w="1014"/>
        <w:gridCol w:w="1014"/>
        <w:gridCol w:w="1014"/>
        <w:gridCol w:w="1014"/>
        <w:gridCol w:w="1014"/>
        <w:gridCol w:w="1014"/>
      </w:tblGrid>
      <w:tr w:rsidR="004C5B0C" w:rsidRPr="001569FB" w14:paraId="26740DCC" w14:textId="77777777" w:rsidTr="004C5B0C">
        <w:trPr>
          <w:cantSplit/>
          <w:trHeight w:val="300"/>
          <w:tblHeader/>
          <w:jc w:val="center"/>
        </w:trPr>
        <w:tc>
          <w:tcPr>
            <w:tcW w:w="1160" w:type="dxa"/>
            <w:tcBorders>
              <w:top w:val="single" w:sz="8" w:space="0" w:color="auto"/>
              <w:left w:val="single" w:sz="8" w:space="0" w:color="auto"/>
              <w:bottom w:val="single" w:sz="4" w:space="0" w:color="auto"/>
              <w:right w:val="nil"/>
            </w:tcBorders>
            <w:shd w:val="clear" w:color="000000" w:fill="D9D9D9"/>
            <w:noWrap/>
            <w:vAlign w:val="center"/>
            <w:hideMark/>
          </w:tcPr>
          <w:p w14:paraId="01FA3491" w14:textId="77777777" w:rsidR="004C5B0C" w:rsidRPr="001569FB" w:rsidRDefault="004C5B0C" w:rsidP="004C5B0C">
            <w:pPr>
              <w:keepNext/>
              <w:keepLines/>
              <w:spacing w:line="240" w:lineRule="auto"/>
              <w:jc w:val="center"/>
              <w:rPr>
                <w:b/>
                <w:color w:val="000000"/>
              </w:rPr>
            </w:pPr>
            <w:r w:rsidRPr="001569FB">
              <w:rPr>
                <w:b/>
                <w:color w:val="000000"/>
              </w:rPr>
              <w:t>Contracts</w:t>
            </w:r>
          </w:p>
        </w:tc>
        <w:tc>
          <w:tcPr>
            <w:tcW w:w="869" w:type="dxa"/>
            <w:tcBorders>
              <w:top w:val="single" w:sz="8" w:space="0" w:color="auto"/>
              <w:left w:val="nil"/>
              <w:bottom w:val="single" w:sz="4" w:space="0" w:color="auto"/>
              <w:right w:val="single" w:sz="4" w:space="0" w:color="auto"/>
            </w:tcBorders>
            <w:shd w:val="clear" w:color="000000" w:fill="D9D9D9"/>
            <w:noWrap/>
            <w:vAlign w:val="center"/>
            <w:hideMark/>
          </w:tcPr>
          <w:p w14:paraId="76BF5B97" w14:textId="77777777" w:rsidR="004C5B0C" w:rsidRPr="001569FB" w:rsidRDefault="004C5B0C" w:rsidP="004C5B0C">
            <w:pPr>
              <w:keepNext/>
              <w:keepLines/>
              <w:spacing w:line="240" w:lineRule="auto"/>
              <w:jc w:val="center"/>
              <w:rPr>
                <w:b/>
                <w:color w:val="000000"/>
              </w:rPr>
            </w:pPr>
          </w:p>
        </w:tc>
        <w:tc>
          <w:tcPr>
            <w:tcW w:w="8112" w:type="dxa"/>
            <w:gridSpan w:val="8"/>
            <w:tcBorders>
              <w:top w:val="single" w:sz="8" w:space="0" w:color="auto"/>
              <w:left w:val="nil"/>
              <w:bottom w:val="single" w:sz="4" w:space="0" w:color="auto"/>
              <w:right w:val="single" w:sz="8" w:space="0" w:color="000000"/>
            </w:tcBorders>
            <w:shd w:val="clear" w:color="000000" w:fill="D9D9D9"/>
            <w:noWrap/>
            <w:vAlign w:val="center"/>
            <w:hideMark/>
          </w:tcPr>
          <w:p w14:paraId="2629A38D" w14:textId="77777777" w:rsidR="004C5B0C" w:rsidRPr="001569FB" w:rsidRDefault="004C5B0C" w:rsidP="004C5B0C">
            <w:pPr>
              <w:keepNext/>
              <w:keepLines/>
              <w:spacing w:line="240" w:lineRule="auto"/>
              <w:jc w:val="center"/>
              <w:rPr>
                <w:b/>
                <w:color w:val="000000"/>
              </w:rPr>
            </w:pPr>
            <w:r w:rsidRPr="001569FB">
              <w:rPr>
                <w:b/>
                <w:color w:val="000000"/>
              </w:rPr>
              <w:t>Percentiles</w:t>
            </w:r>
          </w:p>
        </w:tc>
      </w:tr>
      <w:tr w:rsidR="004C5B0C" w:rsidRPr="001569FB" w14:paraId="7FB45112" w14:textId="77777777" w:rsidTr="004C5B0C">
        <w:trPr>
          <w:cantSplit/>
          <w:trHeight w:val="300"/>
          <w:tblHeader/>
          <w:jc w:val="center"/>
        </w:trPr>
        <w:tc>
          <w:tcPr>
            <w:tcW w:w="1160" w:type="dxa"/>
            <w:tcBorders>
              <w:top w:val="nil"/>
              <w:left w:val="single" w:sz="8" w:space="0" w:color="auto"/>
              <w:bottom w:val="single" w:sz="4" w:space="0" w:color="auto"/>
              <w:right w:val="single" w:sz="4" w:space="0" w:color="auto"/>
            </w:tcBorders>
            <w:shd w:val="clear" w:color="000000" w:fill="D9D9D9"/>
            <w:noWrap/>
            <w:vAlign w:val="center"/>
            <w:hideMark/>
          </w:tcPr>
          <w:p w14:paraId="4D422014" w14:textId="77777777" w:rsidR="004C5B0C" w:rsidRPr="001569FB" w:rsidRDefault="004C5B0C" w:rsidP="004C5B0C">
            <w:pPr>
              <w:keepNext/>
              <w:keepLines/>
              <w:spacing w:line="240" w:lineRule="auto"/>
              <w:jc w:val="center"/>
              <w:rPr>
                <w:b/>
                <w:color w:val="000000"/>
              </w:rPr>
            </w:pPr>
            <w:r w:rsidRPr="001569FB">
              <w:rPr>
                <w:b/>
                <w:color w:val="000000"/>
              </w:rPr>
              <w:t>Type</w:t>
            </w:r>
          </w:p>
        </w:tc>
        <w:tc>
          <w:tcPr>
            <w:tcW w:w="869" w:type="dxa"/>
            <w:tcBorders>
              <w:top w:val="nil"/>
              <w:left w:val="nil"/>
              <w:bottom w:val="single" w:sz="4" w:space="0" w:color="auto"/>
              <w:right w:val="nil"/>
            </w:tcBorders>
            <w:shd w:val="clear" w:color="000000" w:fill="D9D9D9"/>
            <w:noWrap/>
            <w:vAlign w:val="center"/>
            <w:hideMark/>
          </w:tcPr>
          <w:p w14:paraId="7CD5785A" w14:textId="77777777" w:rsidR="004C5B0C" w:rsidRPr="001569FB" w:rsidRDefault="004C5B0C" w:rsidP="004C5B0C">
            <w:pPr>
              <w:keepNext/>
              <w:keepLines/>
              <w:spacing w:line="240" w:lineRule="auto"/>
              <w:jc w:val="center"/>
              <w:rPr>
                <w:b/>
                <w:color w:val="000000"/>
              </w:rPr>
            </w:pPr>
            <w:r w:rsidRPr="001569FB">
              <w:rPr>
                <w:b/>
                <w:color w:val="000000"/>
              </w:rPr>
              <w:t>Count</w:t>
            </w:r>
          </w:p>
        </w:tc>
        <w:tc>
          <w:tcPr>
            <w:tcW w:w="1014" w:type="dxa"/>
            <w:tcBorders>
              <w:top w:val="nil"/>
              <w:left w:val="single" w:sz="4" w:space="0" w:color="auto"/>
              <w:bottom w:val="single" w:sz="4" w:space="0" w:color="auto"/>
              <w:right w:val="single" w:sz="4" w:space="0" w:color="auto"/>
            </w:tcBorders>
            <w:shd w:val="clear" w:color="000000" w:fill="D9D9D9"/>
            <w:noWrap/>
            <w:vAlign w:val="center"/>
            <w:hideMark/>
          </w:tcPr>
          <w:p w14:paraId="247713C7" w14:textId="77777777" w:rsidR="004C5B0C" w:rsidRPr="001569FB" w:rsidRDefault="004C5B0C" w:rsidP="004C5B0C">
            <w:pPr>
              <w:keepNext/>
              <w:keepLines/>
              <w:spacing w:line="240" w:lineRule="auto"/>
              <w:jc w:val="center"/>
              <w:rPr>
                <w:b/>
                <w:color w:val="000000"/>
              </w:rPr>
            </w:pPr>
            <w:r w:rsidRPr="001569FB">
              <w:rPr>
                <w:b/>
                <w:color w:val="000000"/>
              </w:rPr>
              <w:t>Min</w:t>
            </w:r>
          </w:p>
        </w:tc>
        <w:tc>
          <w:tcPr>
            <w:tcW w:w="1014" w:type="dxa"/>
            <w:tcBorders>
              <w:top w:val="nil"/>
              <w:left w:val="nil"/>
              <w:bottom w:val="single" w:sz="4" w:space="0" w:color="auto"/>
              <w:right w:val="single" w:sz="4" w:space="0" w:color="auto"/>
            </w:tcBorders>
            <w:shd w:val="clear" w:color="000000" w:fill="D9D9D9"/>
            <w:noWrap/>
            <w:vAlign w:val="center"/>
            <w:hideMark/>
          </w:tcPr>
          <w:p w14:paraId="073E6F2C" w14:textId="77777777" w:rsidR="004C5B0C" w:rsidRPr="001569FB" w:rsidRDefault="004C5B0C" w:rsidP="004C5B0C">
            <w:pPr>
              <w:keepNext/>
              <w:keepLines/>
              <w:spacing w:line="240" w:lineRule="auto"/>
              <w:jc w:val="center"/>
              <w:rPr>
                <w:b/>
                <w:color w:val="000000"/>
              </w:rPr>
            </w:pPr>
            <w:r w:rsidRPr="001569FB">
              <w:rPr>
                <w:b/>
                <w:color w:val="000000"/>
              </w:rPr>
              <w:t>10%</w:t>
            </w:r>
          </w:p>
        </w:tc>
        <w:tc>
          <w:tcPr>
            <w:tcW w:w="1014" w:type="dxa"/>
            <w:tcBorders>
              <w:top w:val="nil"/>
              <w:left w:val="nil"/>
              <w:bottom w:val="single" w:sz="4" w:space="0" w:color="auto"/>
              <w:right w:val="single" w:sz="4" w:space="0" w:color="auto"/>
            </w:tcBorders>
            <w:shd w:val="clear" w:color="000000" w:fill="D9D9D9"/>
            <w:noWrap/>
            <w:vAlign w:val="center"/>
            <w:hideMark/>
          </w:tcPr>
          <w:p w14:paraId="013B8F1B" w14:textId="77777777" w:rsidR="004C5B0C" w:rsidRPr="001569FB" w:rsidRDefault="004C5B0C" w:rsidP="004C5B0C">
            <w:pPr>
              <w:keepNext/>
              <w:keepLines/>
              <w:spacing w:line="240" w:lineRule="auto"/>
              <w:jc w:val="center"/>
              <w:rPr>
                <w:b/>
                <w:color w:val="000000"/>
              </w:rPr>
            </w:pPr>
            <w:r w:rsidRPr="001569FB">
              <w:rPr>
                <w:b/>
                <w:color w:val="000000"/>
              </w:rPr>
              <w:t>25%</w:t>
            </w:r>
          </w:p>
        </w:tc>
        <w:tc>
          <w:tcPr>
            <w:tcW w:w="1014" w:type="dxa"/>
            <w:tcBorders>
              <w:top w:val="nil"/>
              <w:left w:val="nil"/>
              <w:bottom w:val="single" w:sz="4" w:space="0" w:color="auto"/>
              <w:right w:val="single" w:sz="4" w:space="0" w:color="auto"/>
            </w:tcBorders>
            <w:shd w:val="clear" w:color="000000" w:fill="D9D9D9"/>
            <w:noWrap/>
            <w:vAlign w:val="center"/>
            <w:hideMark/>
          </w:tcPr>
          <w:p w14:paraId="64EDA10D" w14:textId="77777777" w:rsidR="004C5B0C" w:rsidRPr="001569FB" w:rsidRDefault="004C5B0C" w:rsidP="004C5B0C">
            <w:pPr>
              <w:keepNext/>
              <w:keepLines/>
              <w:spacing w:line="240" w:lineRule="auto"/>
              <w:jc w:val="center"/>
              <w:rPr>
                <w:b/>
                <w:color w:val="000000"/>
              </w:rPr>
            </w:pPr>
            <w:r w:rsidRPr="001569FB">
              <w:rPr>
                <w:b/>
                <w:color w:val="000000"/>
              </w:rPr>
              <w:t>50%</w:t>
            </w:r>
          </w:p>
        </w:tc>
        <w:tc>
          <w:tcPr>
            <w:tcW w:w="1014" w:type="dxa"/>
            <w:tcBorders>
              <w:top w:val="nil"/>
              <w:left w:val="nil"/>
              <w:bottom w:val="single" w:sz="4" w:space="0" w:color="auto"/>
              <w:right w:val="single" w:sz="4" w:space="0" w:color="auto"/>
            </w:tcBorders>
            <w:shd w:val="clear" w:color="000000" w:fill="D9D9D9"/>
            <w:noWrap/>
            <w:vAlign w:val="center"/>
            <w:hideMark/>
          </w:tcPr>
          <w:p w14:paraId="0B4849F1" w14:textId="77777777" w:rsidR="004C5B0C" w:rsidRPr="001569FB" w:rsidRDefault="004C5B0C" w:rsidP="004C5B0C">
            <w:pPr>
              <w:keepNext/>
              <w:keepLines/>
              <w:spacing w:line="240" w:lineRule="auto"/>
              <w:jc w:val="center"/>
              <w:rPr>
                <w:b/>
                <w:color w:val="000000"/>
              </w:rPr>
            </w:pPr>
            <w:r w:rsidRPr="001569FB">
              <w:rPr>
                <w:b/>
                <w:color w:val="000000"/>
              </w:rPr>
              <w:t>75%</w:t>
            </w:r>
          </w:p>
        </w:tc>
        <w:tc>
          <w:tcPr>
            <w:tcW w:w="1014" w:type="dxa"/>
            <w:tcBorders>
              <w:top w:val="nil"/>
              <w:left w:val="nil"/>
              <w:bottom w:val="single" w:sz="4" w:space="0" w:color="auto"/>
              <w:right w:val="single" w:sz="4" w:space="0" w:color="auto"/>
            </w:tcBorders>
            <w:shd w:val="clear" w:color="000000" w:fill="D9D9D9"/>
            <w:noWrap/>
            <w:vAlign w:val="center"/>
            <w:hideMark/>
          </w:tcPr>
          <w:p w14:paraId="6F4955CD" w14:textId="77777777" w:rsidR="004C5B0C" w:rsidRPr="001569FB" w:rsidRDefault="004C5B0C" w:rsidP="004C5B0C">
            <w:pPr>
              <w:keepNext/>
              <w:keepLines/>
              <w:spacing w:line="240" w:lineRule="auto"/>
              <w:jc w:val="center"/>
              <w:rPr>
                <w:b/>
                <w:color w:val="000000"/>
              </w:rPr>
            </w:pPr>
            <w:r w:rsidRPr="001569FB">
              <w:rPr>
                <w:b/>
                <w:color w:val="000000"/>
              </w:rPr>
              <w:t>90%</w:t>
            </w:r>
          </w:p>
        </w:tc>
        <w:tc>
          <w:tcPr>
            <w:tcW w:w="1014" w:type="dxa"/>
            <w:tcBorders>
              <w:top w:val="nil"/>
              <w:left w:val="nil"/>
              <w:bottom w:val="single" w:sz="4" w:space="0" w:color="auto"/>
              <w:right w:val="single" w:sz="4" w:space="0" w:color="auto"/>
            </w:tcBorders>
            <w:shd w:val="clear" w:color="000000" w:fill="D9D9D9"/>
            <w:noWrap/>
            <w:vAlign w:val="center"/>
            <w:hideMark/>
          </w:tcPr>
          <w:p w14:paraId="6B6D7C9A" w14:textId="77777777" w:rsidR="004C5B0C" w:rsidRPr="001569FB" w:rsidRDefault="004C5B0C" w:rsidP="004C5B0C">
            <w:pPr>
              <w:keepNext/>
              <w:keepLines/>
              <w:spacing w:line="240" w:lineRule="auto"/>
              <w:jc w:val="center"/>
              <w:rPr>
                <w:b/>
                <w:color w:val="000000"/>
              </w:rPr>
            </w:pPr>
            <w:r w:rsidRPr="001569FB">
              <w:rPr>
                <w:b/>
                <w:color w:val="000000"/>
              </w:rPr>
              <w:t>95%</w:t>
            </w:r>
          </w:p>
        </w:tc>
        <w:tc>
          <w:tcPr>
            <w:tcW w:w="1014" w:type="dxa"/>
            <w:tcBorders>
              <w:top w:val="nil"/>
              <w:left w:val="nil"/>
              <w:bottom w:val="single" w:sz="4" w:space="0" w:color="auto"/>
              <w:right w:val="single" w:sz="8" w:space="0" w:color="auto"/>
            </w:tcBorders>
            <w:shd w:val="clear" w:color="000000" w:fill="D9D9D9"/>
            <w:noWrap/>
            <w:vAlign w:val="center"/>
            <w:hideMark/>
          </w:tcPr>
          <w:p w14:paraId="625205C5" w14:textId="77777777" w:rsidR="004C5B0C" w:rsidRPr="001569FB" w:rsidRDefault="004C5B0C" w:rsidP="004C5B0C">
            <w:pPr>
              <w:keepNext/>
              <w:keepLines/>
              <w:spacing w:line="240" w:lineRule="auto"/>
              <w:jc w:val="center"/>
              <w:rPr>
                <w:b/>
                <w:color w:val="000000"/>
              </w:rPr>
            </w:pPr>
            <w:r w:rsidRPr="001569FB">
              <w:rPr>
                <w:b/>
                <w:color w:val="000000"/>
              </w:rPr>
              <w:t>Max</w:t>
            </w:r>
          </w:p>
        </w:tc>
      </w:tr>
      <w:tr w:rsidR="004C5B0C" w:rsidRPr="001569FB" w14:paraId="158EE1D2" w14:textId="77777777" w:rsidTr="004C5B0C">
        <w:trPr>
          <w:cantSplit/>
          <w:trHeight w:val="300"/>
          <w:jc w:val="center"/>
        </w:trPr>
        <w:tc>
          <w:tcPr>
            <w:tcW w:w="1160" w:type="dxa"/>
            <w:tcBorders>
              <w:top w:val="nil"/>
              <w:left w:val="single" w:sz="8" w:space="0" w:color="auto"/>
              <w:bottom w:val="nil"/>
              <w:right w:val="single" w:sz="4" w:space="0" w:color="auto"/>
            </w:tcBorders>
            <w:shd w:val="clear" w:color="auto" w:fill="auto"/>
            <w:noWrap/>
            <w:vAlign w:val="center"/>
            <w:hideMark/>
          </w:tcPr>
          <w:p w14:paraId="43971F11" w14:textId="77777777" w:rsidR="004C5B0C" w:rsidRPr="001569FB" w:rsidRDefault="004C5B0C" w:rsidP="004C5B0C">
            <w:pPr>
              <w:keepNext/>
              <w:keepLines/>
              <w:spacing w:line="240" w:lineRule="auto"/>
              <w:jc w:val="center"/>
              <w:rPr>
                <w:color w:val="000000"/>
              </w:rPr>
            </w:pPr>
            <w:r w:rsidRPr="001569FB">
              <w:rPr>
                <w:color w:val="000000"/>
              </w:rPr>
              <w:t>All</w:t>
            </w:r>
          </w:p>
        </w:tc>
        <w:tc>
          <w:tcPr>
            <w:tcW w:w="869" w:type="dxa"/>
            <w:tcBorders>
              <w:top w:val="single" w:sz="4" w:space="0" w:color="auto"/>
              <w:left w:val="single" w:sz="4" w:space="0" w:color="auto"/>
              <w:bottom w:val="single" w:sz="4" w:space="0" w:color="auto"/>
              <w:right w:val="nil"/>
            </w:tcBorders>
            <w:shd w:val="clear" w:color="auto" w:fill="auto"/>
            <w:noWrap/>
            <w:vAlign w:val="center"/>
            <w:hideMark/>
          </w:tcPr>
          <w:p w14:paraId="178FAF03" w14:textId="77777777" w:rsidR="004C5B0C" w:rsidRPr="001569FB" w:rsidRDefault="004C5B0C" w:rsidP="004C5B0C">
            <w:pPr>
              <w:keepNext/>
              <w:keepLines/>
              <w:spacing w:line="240" w:lineRule="auto"/>
              <w:jc w:val="center"/>
              <w:rPr>
                <w:color w:val="000000"/>
              </w:rPr>
            </w:pPr>
            <w:r w:rsidRPr="001569FB">
              <w:rPr>
                <w:color w:val="000000"/>
              </w:rPr>
              <w:t>714</w:t>
            </w:r>
          </w:p>
        </w:tc>
        <w:tc>
          <w:tcPr>
            <w:tcW w:w="1014" w:type="dxa"/>
            <w:tcBorders>
              <w:top w:val="nil"/>
              <w:left w:val="single" w:sz="4" w:space="0" w:color="auto"/>
              <w:bottom w:val="nil"/>
              <w:right w:val="single" w:sz="4" w:space="0" w:color="auto"/>
            </w:tcBorders>
            <w:shd w:val="clear" w:color="auto" w:fill="auto"/>
            <w:noWrap/>
            <w:vAlign w:val="center"/>
            <w:hideMark/>
          </w:tcPr>
          <w:p w14:paraId="7E39C5C7" w14:textId="77777777" w:rsidR="004C5B0C" w:rsidRPr="001569FB" w:rsidRDefault="004C5B0C" w:rsidP="004C5B0C">
            <w:pPr>
              <w:keepNext/>
              <w:keepLines/>
              <w:spacing w:line="240" w:lineRule="auto"/>
              <w:jc w:val="center"/>
              <w:rPr>
                <w:color w:val="000000"/>
              </w:rPr>
            </w:pPr>
            <w:r w:rsidRPr="001569FB">
              <w:rPr>
                <w:color w:val="000000"/>
              </w:rPr>
              <w:t>0.0%</w:t>
            </w:r>
          </w:p>
        </w:tc>
        <w:tc>
          <w:tcPr>
            <w:tcW w:w="1014" w:type="dxa"/>
            <w:tcBorders>
              <w:top w:val="nil"/>
              <w:left w:val="single" w:sz="4" w:space="0" w:color="auto"/>
              <w:bottom w:val="nil"/>
              <w:right w:val="single" w:sz="4" w:space="0" w:color="auto"/>
            </w:tcBorders>
            <w:shd w:val="clear" w:color="auto" w:fill="auto"/>
            <w:noWrap/>
            <w:vAlign w:val="center"/>
            <w:hideMark/>
          </w:tcPr>
          <w:p w14:paraId="09654C45" w14:textId="77777777" w:rsidR="004C5B0C" w:rsidRPr="001569FB" w:rsidRDefault="004C5B0C" w:rsidP="004C5B0C">
            <w:pPr>
              <w:keepNext/>
              <w:keepLines/>
              <w:spacing w:line="240" w:lineRule="auto"/>
              <w:jc w:val="center"/>
              <w:rPr>
                <w:color w:val="000000"/>
              </w:rPr>
            </w:pPr>
            <w:r w:rsidRPr="001569FB">
              <w:rPr>
                <w:color w:val="000000"/>
              </w:rPr>
              <w:t>60.9%</w:t>
            </w:r>
          </w:p>
        </w:tc>
        <w:tc>
          <w:tcPr>
            <w:tcW w:w="1014" w:type="dxa"/>
            <w:tcBorders>
              <w:top w:val="nil"/>
              <w:left w:val="single" w:sz="4" w:space="0" w:color="auto"/>
              <w:bottom w:val="nil"/>
              <w:right w:val="single" w:sz="4" w:space="0" w:color="auto"/>
            </w:tcBorders>
            <w:shd w:val="clear" w:color="auto" w:fill="auto"/>
            <w:noWrap/>
            <w:vAlign w:val="center"/>
            <w:hideMark/>
          </w:tcPr>
          <w:p w14:paraId="0E2BB8FA" w14:textId="77777777" w:rsidR="004C5B0C" w:rsidRPr="001569FB" w:rsidRDefault="004C5B0C" w:rsidP="004C5B0C">
            <w:pPr>
              <w:keepNext/>
              <w:keepLines/>
              <w:spacing w:line="240" w:lineRule="auto"/>
              <w:jc w:val="center"/>
              <w:rPr>
                <w:color w:val="000000"/>
              </w:rPr>
            </w:pPr>
            <w:r w:rsidRPr="001569FB">
              <w:rPr>
                <w:color w:val="000000"/>
              </w:rPr>
              <w:t>69.4%</w:t>
            </w:r>
          </w:p>
        </w:tc>
        <w:tc>
          <w:tcPr>
            <w:tcW w:w="1014" w:type="dxa"/>
            <w:tcBorders>
              <w:top w:val="nil"/>
              <w:left w:val="single" w:sz="4" w:space="0" w:color="auto"/>
              <w:bottom w:val="nil"/>
              <w:right w:val="single" w:sz="4" w:space="0" w:color="auto"/>
            </w:tcBorders>
            <w:shd w:val="clear" w:color="auto" w:fill="auto"/>
            <w:noWrap/>
            <w:vAlign w:val="center"/>
            <w:hideMark/>
          </w:tcPr>
          <w:p w14:paraId="3E64145B" w14:textId="77777777" w:rsidR="004C5B0C" w:rsidRPr="001569FB" w:rsidRDefault="004C5B0C" w:rsidP="004C5B0C">
            <w:pPr>
              <w:keepNext/>
              <w:keepLines/>
              <w:spacing w:line="240" w:lineRule="auto"/>
              <w:jc w:val="center"/>
              <w:rPr>
                <w:color w:val="000000"/>
              </w:rPr>
            </w:pPr>
            <w:r w:rsidRPr="001569FB">
              <w:rPr>
                <w:color w:val="000000"/>
              </w:rPr>
              <w:t>76.9%</w:t>
            </w:r>
          </w:p>
        </w:tc>
        <w:tc>
          <w:tcPr>
            <w:tcW w:w="1014" w:type="dxa"/>
            <w:tcBorders>
              <w:top w:val="nil"/>
              <w:left w:val="single" w:sz="4" w:space="0" w:color="auto"/>
              <w:bottom w:val="nil"/>
              <w:right w:val="single" w:sz="4" w:space="0" w:color="auto"/>
            </w:tcBorders>
            <w:shd w:val="clear" w:color="auto" w:fill="auto"/>
            <w:noWrap/>
            <w:vAlign w:val="center"/>
            <w:hideMark/>
          </w:tcPr>
          <w:p w14:paraId="206DB01E" w14:textId="77777777" w:rsidR="004C5B0C" w:rsidRPr="001569FB" w:rsidRDefault="004C5B0C" w:rsidP="004C5B0C">
            <w:pPr>
              <w:keepNext/>
              <w:keepLines/>
              <w:spacing w:line="240" w:lineRule="auto"/>
              <w:jc w:val="center"/>
              <w:rPr>
                <w:color w:val="000000"/>
              </w:rPr>
            </w:pPr>
            <w:r w:rsidRPr="001569FB">
              <w:rPr>
                <w:color w:val="000000"/>
              </w:rPr>
              <w:t>85.0%</w:t>
            </w:r>
          </w:p>
        </w:tc>
        <w:tc>
          <w:tcPr>
            <w:tcW w:w="1014" w:type="dxa"/>
            <w:tcBorders>
              <w:top w:val="nil"/>
              <w:left w:val="single" w:sz="4" w:space="0" w:color="auto"/>
              <w:bottom w:val="nil"/>
              <w:right w:val="single" w:sz="4" w:space="0" w:color="auto"/>
            </w:tcBorders>
            <w:shd w:val="clear" w:color="auto" w:fill="auto"/>
            <w:noWrap/>
            <w:vAlign w:val="center"/>
            <w:hideMark/>
          </w:tcPr>
          <w:p w14:paraId="2B0A2632"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nil"/>
              <w:left w:val="single" w:sz="4" w:space="0" w:color="auto"/>
              <w:bottom w:val="nil"/>
              <w:right w:val="single" w:sz="4" w:space="0" w:color="auto"/>
            </w:tcBorders>
            <w:shd w:val="clear" w:color="auto" w:fill="auto"/>
            <w:noWrap/>
            <w:vAlign w:val="center"/>
            <w:hideMark/>
          </w:tcPr>
          <w:p w14:paraId="3F6827F4"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nil"/>
              <w:right w:val="single" w:sz="8" w:space="0" w:color="auto"/>
            </w:tcBorders>
            <w:shd w:val="clear" w:color="auto" w:fill="auto"/>
            <w:noWrap/>
            <w:vAlign w:val="center"/>
            <w:hideMark/>
          </w:tcPr>
          <w:p w14:paraId="19D182AD"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7B94E8AA" w14:textId="77777777" w:rsidTr="004C5B0C">
        <w:trPr>
          <w:cantSplit/>
          <w:trHeight w:val="315"/>
          <w:jc w:val="center"/>
        </w:trPr>
        <w:tc>
          <w:tcPr>
            <w:tcW w:w="1160" w:type="dxa"/>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2579E6E5" w14:textId="77777777" w:rsidR="004C5B0C" w:rsidRPr="001569FB" w:rsidRDefault="004C5B0C" w:rsidP="004C5B0C">
            <w:pPr>
              <w:keepNext/>
              <w:keepLines/>
              <w:spacing w:line="240" w:lineRule="auto"/>
              <w:jc w:val="center"/>
              <w:rPr>
                <w:color w:val="000000"/>
              </w:rPr>
            </w:pPr>
            <w:r w:rsidRPr="001569FB">
              <w:rPr>
                <w:color w:val="000000"/>
              </w:rPr>
              <w:t>MA-PD</w:t>
            </w:r>
          </w:p>
        </w:tc>
        <w:tc>
          <w:tcPr>
            <w:tcW w:w="869" w:type="dxa"/>
            <w:tcBorders>
              <w:top w:val="single" w:sz="4" w:space="0" w:color="auto"/>
              <w:left w:val="single" w:sz="4" w:space="0" w:color="auto"/>
              <w:bottom w:val="single" w:sz="4" w:space="0" w:color="auto"/>
              <w:right w:val="nil"/>
            </w:tcBorders>
            <w:shd w:val="clear" w:color="000000" w:fill="D9D9D9"/>
            <w:noWrap/>
            <w:vAlign w:val="center"/>
            <w:hideMark/>
          </w:tcPr>
          <w:p w14:paraId="509B9C1C" w14:textId="77777777" w:rsidR="004C5B0C" w:rsidRPr="001569FB" w:rsidRDefault="004C5B0C" w:rsidP="004C5B0C">
            <w:pPr>
              <w:keepNext/>
              <w:keepLines/>
              <w:spacing w:line="240" w:lineRule="auto"/>
              <w:jc w:val="center"/>
              <w:rPr>
                <w:color w:val="000000"/>
              </w:rPr>
            </w:pPr>
            <w:r w:rsidRPr="001569FB">
              <w:rPr>
                <w:color w:val="000000"/>
              </w:rPr>
              <w:t>647</w:t>
            </w:r>
          </w:p>
        </w:tc>
        <w:tc>
          <w:tcPr>
            <w:tcW w:w="101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CC0AB7F" w14:textId="77777777" w:rsidR="004C5B0C" w:rsidRPr="001569FB" w:rsidRDefault="004C5B0C" w:rsidP="004C5B0C">
            <w:pPr>
              <w:keepNext/>
              <w:keepLines/>
              <w:spacing w:line="240" w:lineRule="auto"/>
              <w:jc w:val="center"/>
              <w:rPr>
                <w:color w:val="000000"/>
              </w:rPr>
            </w:pPr>
            <w:r w:rsidRPr="001569FB">
              <w:rPr>
                <w:color w:val="000000"/>
              </w:rPr>
              <w:t>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680125D" w14:textId="77777777" w:rsidR="004C5B0C" w:rsidRPr="001569FB" w:rsidRDefault="004C5B0C" w:rsidP="004C5B0C">
            <w:pPr>
              <w:keepNext/>
              <w:keepLines/>
              <w:spacing w:line="240" w:lineRule="auto"/>
              <w:jc w:val="center"/>
              <w:rPr>
                <w:color w:val="000000"/>
              </w:rPr>
            </w:pPr>
            <w:r w:rsidRPr="001569FB">
              <w:rPr>
                <w:color w:val="000000"/>
              </w:rPr>
              <w:t>60.6%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7A4D2A8F" w14:textId="77777777" w:rsidR="004C5B0C" w:rsidRPr="001569FB" w:rsidRDefault="004C5B0C" w:rsidP="004C5B0C">
            <w:pPr>
              <w:keepNext/>
              <w:keepLines/>
              <w:spacing w:line="240" w:lineRule="auto"/>
              <w:jc w:val="center"/>
              <w:rPr>
                <w:color w:val="000000"/>
              </w:rPr>
            </w:pPr>
            <w:r w:rsidRPr="001569FB">
              <w:rPr>
                <w:color w:val="000000"/>
              </w:rPr>
              <w:t>68.6%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7D66B9AA" w14:textId="77777777" w:rsidR="004C5B0C" w:rsidRPr="001569FB" w:rsidRDefault="004C5B0C" w:rsidP="004C5B0C">
            <w:pPr>
              <w:keepNext/>
              <w:keepLines/>
              <w:spacing w:line="240" w:lineRule="auto"/>
              <w:jc w:val="center"/>
              <w:rPr>
                <w:color w:val="000000"/>
              </w:rPr>
            </w:pPr>
            <w:r w:rsidRPr="001569FB">
              <w:rPr>
                <w:color w:val="000000"/>
              </w:rPr>
              <w:t>76.4%</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68EDA990" w14:textId="77777777" w:rsidR="004C5B0C" w:rsidRPr="001569FB" w:rsidRDefault="004C5B0C" w:rsidP="004C5B0C">
            <w:pPr>
              <w:keepNext/>
              <w:keepLines/>
              <w:spacing w:line="240" w:lineRule="auto"/>
              <w:jc w:val="center"/>
              <w:rPr>
                <w:color w:val="000000"/>
              </w:rPr>
            </w:pPr>
            <w:r w:rsidRPr="001569FB">
              <w:rPr>
                <w:color w:val="000000"/>
              </w:rPr>
              <w:t>85.1%</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08EEE6E"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65DA1C5"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8" w:space="0" w:color="auto"/>
            </w:tcBorders>
            <w:shd w:val="clear" w:color="000000" w:fill="D9D9D9"/>
            <w:noWrap/>
            <w:vAlign w:val="center"/>
            <w:hideMark/>
          </w:tcPr>
          <w:p w14:paraId="5113B1B2"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4F9AFF9C" w14:textId="77777777" w:rsidTr="004C5B0C">
        <w:trPr>
          <w:cantSplit/>
          <w:trHeight w:val="300"/>
          <w:jc w:val="center"/>
        </w:trPr>
        <w:tc>
          <w:tcPr>
            <w:tcW w:w="11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AAEAB09" w14:textId="77777777" w:rsidR="004C5B0C" w:rsidRPr="001569FB" w:rsidRDefault="004C5B0C" w:rsidP="004C5B0C">
            <w:pPr>
              <w:spacing w:line="240" w:lineRule="auto"/>
              <w:jc w:val="center"/>
              <w:rPr>
                <w:color w:val="000000"/>
              </w:rPr>
            </w:pPr>
            <w:r w:rsidRPr="001569FB">
              <w:rPr>
                <w:color w:val="000000"/>
              </w:rPr>
              <w:t>PDP</w:t>
            </w:r>
          </w:p>
        </w:tc>
        <w:tc>
          <w:tcPr>
            <w:tcW w:w="869" w:type="dxa"/>
            <w:tcBorders>
              <w:top w:val="single" w:sz="4" w:space="0" w:color="auto"/>
              <w:left w:val="single" w:sz="4" w:space="0" w:color="auto"/>
              <w:bottom w:val="single" w:sz="8" w:space="0" w:color="auto"/>
              <w:right w:val="nil"/>
            </w:tcBorders>
            <w:shd w:val="clear" w:color="auto" w:fill="auto"/>
            <w:noWrap/>
            <w:vAlign w:val="center"/>
            <w:hideMark/>
          </w:tcPr>
          <w:p w14:paraId="39E433B0" w14:textId="77777777" w:rsidR="004C5B0C" w:rsidRPr="001569FB" w:rsidRDefault="004C5B0C" w:rsidP="004C5B0C">
            <w:pPr>
              <w:spacing w:line="240" w:lineRule="auto"/>
              <w:jc w:val="center"/>
              <w:rPr>
                <w:color w:val="000000"/>
              </w:rPr>
            </w:pPr>
            <w:r w:rsidRPr="001569FB">
              <w:rPr>
                <w:color w:val="000000"/>
              </w:rPr>
              <w:t>62</w:t>
            </w:r>
          </w:p>
        </w:tc>
        <w:tc>
          <w:tcPr>
            <w:tcW w:w="101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29FC25B" w14:textId="77777777" w:rsidR="004C5B0C" w:rsidRPr="001569FB" w:rsidRDefault="004C5B0C" w:rsidP="004C5B0C">
            <w:pPr>
              <w:spacing w:line="240" w:lineRule="auto"/>
              <w:jc w:val="center"/>
              <w:rPr>
                <w:color w:val="000000"/>
              </w:rPr>
            </w:pPr>
            <w:r w:rsidRPr="001569FB">
              <w:rPr>
                <w:color w:val="000000"/>
              </w:rPr>
              <w:t>50.0%</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45EFC140" w14:textId="77777777" w:rsidR="004C5B0C" w:rsidRPr="001569FB" w:rsidRDefault="004C5B0C" w:rsidP="004C5B0C">
            <w:pPr>
              <w:spacing w:line="240" w:lineRule="auto"/>
              <w:jc w:val="center"/>
              <w:rPr>
                <w:color w:val="000000"/>
              </w:rPr>
            </w:pPr>
            <w:r w:rsidRPr="001569FB">
              <w:rPr>
                <w:color w:val="000000"/>
              </w:rPr>
              <w:t>73.5%</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19D583D4" w14:textId="77777777" w:rsidR="004C5B0C" w:rsidRPr="001569FB" w:rsidRDefault="004C5B0C" w:rsidP="004C5B0C">
            <w:pPr>
              <w:spacing w:line="240" w:lineRule="auto"/>
              <w:jc w:val="center"/>
              <w:rPr>
                <w:color w:val="000000"/>
              </w:rPr>
            </w:pPr>
            <w:r w:rsidRPr="001569FB">
              <w:rPr>
                <w:color w:val="000000"/>
              </w:rPr>
              <w:t>75.9%</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2F2F22C0" w14:textId="77777777" w:rsidR="004C5B0C" w:rsidRPr="001569FB" w:rsidRDefault="004C5B0C" w:rsidP="004C5B0C">
            <w:pPr>
              <w:spacing w:line="240" w:lineRule="auto"/>
              <w:jc w:val="center"/>
              <w:rPr>
                <w:color w:val="000000"/>
              </w:rPr>
            </w:pPr>
            <w:r w:rsidRPr="001569FB">
              <w:rPr>
                <w:color w:val="000000"/>
              </w:rPr>
              <w:t>79.4%</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3E54E535" w14:textId="77777777" w:rsidR="004C5B0C" w:rsidRPr="001569FB" w:rsidRDefault="004C5B0C" w:rsidP="004C5B0C">
            <w:pPr>
              <w:spacing w:line="240" w:lineRule="auto"/>
              <w:jc w:val="center"/>
              <w:rPr>
                <w:color w:val="000000"/>
              </w:rPr>
            </w:pPr>
            <w:r w:rsidRPr="001569FB">
              <w:rPr>
                <w:color w:val="000000"/>
              </w:rPr>
              <w:t>85.3%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59EA0AB4" w14:textId="77777777" w:rsidR="004C5B0C" w:rsidRPr="001569FB" w:rsidRDefault="004C5B0C" w:rsidP="004C5B0C">
            <w:pPr>
              <w:spacing w:line="240" w:lineRule="auto"/>
              <w:jc w:val="center"/>
              <w:rPr>
                <w:color w:val="000000"/>
              </w:rPr>
            </w:pPr>
            <w:r w:rsidRPr="001569FB">
              <w:rPr>
                <w:color w:val="000000"/>
              </w:rPr>
              <w:t>87.3%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02A97D2D" w14:textId="77777777" w:rsidR="004C5B0C" w:rsidRPr="001569FB" w:rsidRDefault="004C5B0C" w:rsidP="004C5B0C">
            <w:pPr>
              <w:spacing w:line="240" w:lineRule="auto"/>
              <w:jc w:val="center"/>
              <w:rPr>
                <w:color w:val="000000"/>
              </w:rPr>
            </w:pPr>
            <w:r w:rsidRPr="001569FB">
              <w:rPr>
                <w:color w:val="000000"/>
              </w:rPr>
              <w:t>89.9%</w:t>
            </w:r>
          </w:p>
        </w:tc>
        <w:tc>
          <w:tcPr>
            <w:tcW w:w="1014" w:type="dxa"/>
            <w:tcBorders>
              <w:top w:val="single" w:sz="4" w:space="0" w:color="auto"/>
              <w:left w:val="nil"/>
              <w:bottom w:val="single" w:sz="8" w:space="0" w:color="auto"/>
              <w:right w:val="single" w:sz="8" w:space="0" w:color="auto"/>
            </w:tcBorders>
            <w:shd w:val="clear" w:color="auto" w:fill="auto"/>
            <w:noWrap/>
            <w:vAlign w:val="center"/>
            <w:hideMark/>
          </w:tcPr>
          <w:p w14:paraId="3B33DC66" w14:textId="77777777" w:rsidR="004C5B0C" w:rsidRPr="001569FB" w:rsidRDefault="004C5B0C" w:rsidP="004C5B0C">
            <w:pPr>
              <w:spacing w:line="240" w:lineRule="auto"/>
              <w:jc w:val="center"/>
              <w:rPr>
                <w:color w:val="000000"/>
              </w:rPr>
            </w:pPr>
            <w:r w:rsidRPr="001569FB">
              <w:rPr>
                <w:color w:val="000000"/>
              </w:rPr>
              <w:t>100.0%</w:t>
            </w:r>
          </w:p>
        </w:tc>
      </w:tr>
    </w:tbl>
    <w:p w14:paraId="084CEA41" w14:textId="77777777" w:rsidR="004C5B0C" w:rsidRPr="001569FB" w:rsidRDefault="004C5B0C" w:rsidP="004C5B0C">
      <w:pPr>
        <w:spacing w:before="600"/>
        <w:ind w:left="360"/>
      </w:pPr>
      <w:r w:rsidRPr="001569FB">
        <w:t xml:space="preserve">The ADH-NWOA rates for all contracts ranged from 0.0% to 100% except for PDP contracts where the minimum rate was 50.0%. Over 50% of the MA-PD and PDP contracts had rates below 76% and 79%, respectively. Many of the low and high rates were associated with contracts with low denominator member-years. Overall, 462 or 37% of MA-PD and PDP contracts had 30 or fewer member-years in the denominator.  </w:t>
      </w:r>
    </w:p>
    <w:p w14:paraId="09C36648" w14:textId="77777777" w:rsidR="004C5B0C" w:rsidRPr="001569FB" w:rsidRDefault="004C5B0C" w:rsidP="004C5B0C">
      <w:pPr>
        <w:ind w:left="360"/>
      </w:pPr>
      <w:r w:rsidRPr="001569FB">
        <w:rPr>
          <w:u w:val="single"/>
        </w:rPr>
        <w:t>Adherence to Non-Infused Disease Modifying Agents Used to Treat Multiple Sclerosis (ADH-MS)</w:t>
      </w:r>
      <w:r w:rsidRPr="001569FB">
        <w:t>: This measure assesses the percentage of individuals 18 years and older who met the Proportion of Days Covered (PDC) threshold of 80% during the measurement period. The denominator includes patients who filled at least two prescriptions for non-infused disease modifying agents for the treatment of multiple sclerosis on two unique dates and who received at least 56 days’ supply of the medication during the treatment period. The prescriptions can be for the same or different medications. Higher rates signify better performance.</w:t>
      </w:r>
    </w:p>
    <w:p w14:paraId="28378125" w14:textId="77777777" w:rsidR="004C5B0C" w:rsidRPr="001569FB" w:rsidRDefault="004C5B0C" w:rsidP="004C5B0C">
      <w:pPr>
        <w:ind w:left="360"/>
      </w:pPr>
      <w:r w:rsidRPr="001569FB">
        <w:t>Of the 743 Part D contracts, 144 or 19% contracts had no members eligible for the ADH-MS measure in 2016. The table below reports the Part D contract rate distribution by contract type.</w:t>
      </w:r>
    </w:p>
    <w:p w14:paraId="746229A0" w14:textId="77777777" w:rsidR="004C5B0C" w:rsidRPr="001569FB" w:rsidRDefault="004C5B0C" w:rsidP="004C5B0C">
      <w:pPr>
        <w:pStyle w:val="Caption"/>
      </w:pPr>
      <w:r w:rsidRPr="001569FB">
        <w:t xml:space="preserve">Table </w:t>
      </w:r>
      <w:fldSimple w:instr=" SEQ Table \* ARABIC ">
        <w:r w:rsidR="00A216EC">
          <w:rPr>
            <w:noProof/>
          </w:rPr>
          <w:t>20</w:t>
        </w:r>
      </w:fldSimple>
      <w:r w:rsidRPr="001569FB">
        <w:t>: Distribution of ADH-MS Measure Rates, Part D, 2016</w:t>
      </w:r>
    </w:p>
    <w:tbl>
      <w:tblPr>
        <w:tblW w:w="9422" w:type="dxa"/>
        <w:jc w:val="center"/>
        <w:tblLayout w:type="fixed"/>
        <w:tblCellMar>
          <w:left w:w="58" w:type="dxa"/>
          <w:right w:w="58" w:type="dxa"/>
        </w:tblCellMar>
        <w:tblLook w:val="04A0" w:firstRow="1" w:lastRow="0" w:firstColumn="1" w:lastColumn="0" w:noHBand="0" w:noVBand="1"/>
      </w:tblPr>
      <w:tblGrid>
        <w:gridCol w:w="1136"/>
        <w:gridCol w:w="806"/>
        <w:gridCol w:w="872"/>
        <w:gridCol w:w="872"/>
        <w:gridCol w:w="872"/>
        <w:gridCol w:w="872"/>
        <w:gridCol w:w="872"/>
        <w:gridCol w:w="1040"/>
        <w:gridCol w:w="1040"/>
        <w:gridCol w:w="1040"/>
      </w:tblGrid>
      <w:tr w:rsidR="004C5B0C" w:rsidRPr="001569FB" w14:paraId="43CBE4D7" w14:textId="77777777" w:rsidTr="004C5B0C">
        <w:trPr>
          <w:cantSplit/>
          <w:trHeight w:val="300"/>
          <w:tblHeader/>
          <w:jc w:val="center"/>
        </w:trPr>
        <w:tc>
          <w:tcPr>
            <w:tcW w:w="1136" w:type="dxa"/>
            <w:tcBorders>
              <w:top w:val="single" w:sz="8" w:space="0" w:color="auto"/>
              <w:left w:val="single" w:sz="8" w:space="0" w:color="auto"/>
              <w:bottom w:val="single" w:sz="4" w:space="0" w:color="auto"/>
              <w:right w:val="nil"/>
            </w:tcBorders>
            <w:shd w:val="clear" w:color="000000" w:fill="D9D9D9"/>
            <w:noWrap/>
            <w:vAlign w:val="bottom"/>
            <w:hideMark/>
          </w:tcPr>
          <w:p w14:paraId="74E3E060" w14:textId="77777777" w:rsidR="004C5B0C" w:rsidRPr="001569FB" w:rsidRDefault="004C5B0C" w:rsidP="004C5B0C">
            <w:pPr>
              <w:keepNext/>
              <w:keepLines/>
              <w:spacing w:line="240" w:lineRule="auto"/>
              <w:jc w:val="center"/>
              <w:rPr>
                <w:b/>
                <w:color w:val="000000"/>
              </w:rPr>
            </w:pPr>
            <w:r w:rsidRPr="001569FB">
              <w:rPr>
                <w:b/>
                <w:color w:val="000000"/>
              </w:rPr>
              <w:t>Contracts</w:t>
            </w:r>
          </w:p>
        </w:tc>
        <w:tc>
          <w:tcPr>
            <w:tcW w:w="806" w:type="dxa"/>
            <w:tcBorders>
              <w:top w:val="single" w:sz="8" w:space="0" w:color="auto"/>
              <w:left w:val="nil"/>
              <w:bottom w:val="single" w:sz="4" w:space="0" w:color="auto"/>
              <w:right w:val="single" w:sz="4" w:space="0" w:color="auto"/>
            </w:tcBorders>
            <w:shd w:val="clear" w:color="000000" w:fill="D9D9D9"/>
            <w:noWrap/>
            <w:vAlign w:val="bottom"/>
            <w:hideMark/>
          </w:tcPr>
          <w:p w14:paraId="6523A973" w14:textId="77777777" w:rsidR="004C5B0C" w:rsidRPr="001569FB" w:rsidRDefault="004C5B0C" w:rsidP="004C5B0C">
            <w:pPr>
              <w:keepNext/>
              <w:keepLines/>
              <w:spacing w:line="240" w:lineRule="auto"/>
              <w:jc w:val="center"/>
              <w:rPr>
                <w:b/>
                <w:color w:val="000000"/>
              </w:rPr>
            </w:pPr>
          </w:p>
        </w:tc>
        <w:tc>
          <w:tcPr>
            <w:tcW w:w="7480"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2428943E" w14:textId="77777777" w:rsidR="004C5B0C" w:rsidRPr="001569FB" w:rsidRDefault="004C5B0C" w:rsidP="004C5B0C">
            <w:pPr>
              <w:keepNext/>
              <w:keepLines/>
              <w:spacing w:line="240" w:lineRule="auto"/>
              <w:jc w:val="center"/>
              <w:rPr>
                <w:b/>
                <w:color w:val="000000"/>
              </w:rPr>
            </w:pPr>
            <w:r w:rsidRPr="001569FB">
              <w:rPr>
                <w:b/>
                <w:color w:val="000000"/>
              </w:rPr>
              <w:t>Percentile</w:t>
            </w:r>
          </w:p>
        </w:tc>
      </w:tr>
      <w:tr w:rsidR="004C5B0C" w:rsidRPr="001569FB" w14:paraId="6112E6F7" w14:textId="77777777" w:rsidTr="004C5B0C">
        <w:trPr>
          <w:cantSplit/>
          <w:trHeight w:val="300"/>
          <w:tblHeader/>
          <w:jc w:val="center"/>
        </w:trPr>
        <w:tc>
          <w:tcPr>
            <w:tcW w:w="1136" w:type="dxa"/>
            <w:tcBorders>
              <w:top w:val="nil"/>
              <w:left w:val="single" w:sz="8" w:space="0" w:color="auto"/>
              <w:bottom w:val="single" w:sz="4" w:space="0" w:color="auto"/>
              <w:right w:val="single" w:sz="4" w:space="0" w:color="auto"/>
            </w:tcBorders>
            <w:shd w:val="clear" w:color="000000" w:fill="D9D9D9"/>
            <w:noWrap/>
            <w:vAlign w:val="bottom"/>
            <w:hideMark/>
          </w:tcPr>
          <w:p w14:paraId="0016EF8A" w14:textId="77777777" w:rsidR="004C5B0C" w:rsidRPr="001569FB" w:rsidRDefault="004C5B0C" w:rsidP="004C5B0C">
            <w:pPr>
              <w:keepNext/>
              <w:keepLines/>
              <w:spacing w:line="240" w:lineRule="auto"/>
              <w:jc w:val="center"/>
              <w:rPr>
                <w:b/>
                <w:color w:val="000000"/>
              </w:rPr>
            </w:pPr>
            <w:r w:rsidRPr="001569FB">
              <w:rPr>
                <w:b/>
                <w:color w:val="000000"/>
              </w:rPr>
              <w:t>Types</w:t>
            </w:r>
          </w:p>
        </w:tc>
        <w:tc>
          <w:tcPr>
            <w:tcW w:w="806" w:type="dxa"/>
            <w:tcBorders>
              <w:top w:val="nil"/>
              <w:left w:val="nil"/>
              <w:bottom w:val="single" w:sz="4" w:space="0" w:color="auto"/>
              <w:right w:val="nil"/>
            </w:tcBorders>
            <w:shd w:val="clear" w:color="000000" w:fill="D9D9D9"/>
            <w:noWrap/>
            <w:vAlign w:val="bottom"/>
            <w:hideMark/>
          </w:tcPr>
          <w:p w14:paraId="0AF03609" w14:textId="77777777" w:rsidR="004C5B0C" w:rsidRPr="001569FB" w:rsidRDefault="004C5B0C" w:rsidP="004C5B0C">
            <w:pPr>
              <w:keepNext/>
              <w:keepLines/>
              <w:spacing w:line="240" w:lineRule="auto"/>
              <w:jc w:val="center"/>
              <w:rPr>
                <w:b/>
                <w:color w:val="000000"/>
              </w:rPr>
            </w:pPr>
            <w:r w:rsidRPr="001569FB">
              <w:rPr>
                <w:b/>
                <w:color w:val="000000"/>
              </w:rPr>
              <w:t>Count</w:t>
            </w:r>
          </w:p>
        </w:tc>
        <w:tc>
          <w:tcPr>
            <w:tcW w:w="872" w:type="dxa"/>
            <w:tcBorders>
              <w:top w:val="nil"/>
              <w:left w:val="single" w:sz="4" w:space="0" w:color="auto"/>
              <w:bottom w:val="single" w:sz="4" w:space="0" w:color="auto"/>
              <w:right w:val="single" w:sz="4" w:space="0" w:color="auto"/>
            </w:tcBorders>
            <w:shd w:val="clear" w:color="000000" w:fill="D9D9D9"/>
            <w:noWrap/>
            <w:vAlign w:val="bottom"/>
            <w:hideMark/>
          </w:tcPr>
          <w:p w14:paraId="3C55B3E3" w14:textId="77777777" w:rsidR="004C5B0C" w:rsidRPr="001569FB" w:rsidRDefault="004C5B0C" w:rsidP="004C5B0C">
            <w:pPr>
              <w:keepNext/>
              <w:keepLines/>
              <w:spacing w:line="240" w:lineRule="auto"/>
              <w:jc w:val="center"/>
              <w:rPr>
                <w:b/>
                <w:color w:val="000000"/>
              </w:rPr>
            </w:pPr>
            <w:r w:rsidRPr="001569FB">
              <w:rPr>
                <w:b/>
                <w:color w:val="000000"/>
              </w:rPr>
              <w:t>min</w:t>
            </w:r>
          </w:p>
        </w:tc>
        <w:tc>
          <w:tcPr>
            <w:tcW w:w="872" w:type="dxa"/>
            <w:tcBorders>
              <w:top w:val="nil"/>
              <w:left w:val="nil"/>
              <w:bottom w:val="single" w:sz="4" w:space="0" w:color="auto"/>
              <w:right w:val="single" w:sz="4" w:space="0" w:color="auto"/>
            </w:tcBorders>
            <w:shd w:val="clear" w:color="000000" w:fill="D9D9D9"/>
            <w:noWrap/>
            <w:vAlign w:val="bottom"/>
            <w:hideMark/>
          </w:tcPr>
          <w:p w14:paraId="3EE2F0F0" w14:textId="77777777" w:rsidR="004C5B0C" w:rsidRPr="001569FB" w:rsidRDefault="004C5B0C" w:rsidP="004C5B0C">
            <w:pPr>
              <w:keepNext/>
              <w:keepLines/>
              <w:spacing w:line="240" w:lineRule="auto"/>
              <w:jc w:val="center"/>
              <w:rPr>
                <w:b/>
                <w:color w:val="000000"/>
              </w:rPr>
            </w:pPr>
            <w:r w:rsidRPr="001569FB">
              <w:rPr>
                <w:b/>
                <w:color w:val="000000"/>
              </w:rPr>
              <w:t>10%</w:t>
            </w:r>
          </w:p>
        </w:tc>
        <w:tc>
          <w:tcPr>
            <w:tcW w:w="872" w:type="dxa"/>
            <w:tcBorders>
              <w:top w:val="nil"/>
              <w:left w:val="nil"/>
              <w:bottom w:val="single" w:sz="4" w:space="0" w:color="auto"/>
              <w:right w:val="single" w:sz="4" w:space="0" w:color="auto"/>
            </w:tcBorders>
            <w:shd w:val="clear" w:color="000000" w:fill="D9D9D9"/>
            <w:noWrap/>
            <w:vAlign w:val="bottom"/>
            <w:hideMark/>
          </w:tcPr>
          <w:p w14:paraId="2341F6EA" w14:textId="77777777" w:rsidR="004C5B0C" w:rsidRPr="001569FB" w:rsidRDefault="004C5B0C" w:rsidP="004C5B0C">
            <w:pPr>
              <w:keepNext/>
              <w:keepLines/>
              <w:spacing w:line="240" w:lineRule="auto"/>
              <w:jc w:val="center"/>
              <w:rPr>
                <w:b/>
                <w:color w:val="000000"/>
              </w:rPr>
            </w:pPr>
            <w:r w:rsidRPr="001569FB">
              <w:rPr>
                <w:b/>
                <w:color w:val="000000"/>
              </w:rPr>
              <w:t>25%</w:t>
            </w:r>
          </w:p>
        </w:tc>
        <w:tc>
          <w:tcPr>
            <w:tcW w:w="872" w:type="dxa"/>
            <w:tcBorders>
              <w:top w:val="nil"/>
              <w:left w:val="nil"/>
              <w:bottom w:val="single" w:sz="4" w:space="0" w:color="auto"/>
              <w:right w:val="single" w:sz="4" w:space="0" w:color="auto"/>
            </w:tcBorders>
            <w:shd w:val="clear" w:color="000000" w:fill="D9D9D9"/>
            <w:noWrap/>
            <w:vAlign w:val="bottom"/>
            <w:hideMark/>
          </w:tcPr>
          <w:p w14:paraId="34AA2CAD" w14:textId="77777777" w:rsidR="004C5B0C" w:rsidRPr="001569FB" w:rsidRDefault="004C5B0C" w:rsidP="004C5B0C">
            <w:pPr>
              <w:keepNext/>
              <w:keepLines/>
              <w:spacing w:line="240" w:lineRule="auto"/>
              <w:jc w:val="center"/>
              <w:rPr>
                <w:b/>
                <w:color w:val="000000"/>
              </w:rPr>
            </w:pPr>
            <w:r w:rsidRPr="001569FB">
              <w:rPr>
                <w:b/>
                <w:color w:val="000000"/>
              </w:rPr>
              <w:t>50%</w:t>
            </w:r>
          </w:p>
        </w:tc>
        <w:tc>
          <w:tcPr>
            <w:tcW w:w="872" w:type="dxa"/>
            <w:tcBorders>
              <w:top w:val="nil"/>
              <w:left w:val="nil"/>
              <w:bottom w:val="single" w:sz="4" w:space="0" w:color="auto"/>
              <w:right w:val="single" w:sz="4" w:space="0" w:color="auto"/>
            </w:tcBorders>
            <w:shd w:val="clear" w:color="000000" w:fill="D9D9D9"/>
            <w:noWrap/>
            <w:vAlign w:val="bottom"/>
            <w:hideMark/>
          </w:tcPr>
          <w:p w14:paraId="7F80AF20" w14:textId="77777777" w:rsidR="004C5B0C" w:rsidRPr="001569FB" w:rsidRDefault="004C5B0C" w:rsidP="004C5B0C">
            <w:pPr>
              <w:keepNext/>
              <w:keepLines/>
              <w:spacing w:line="240" w:lineRule="auto"/>
              <w:jc w:val="center"/>
              <w:rPr>
                <w:b/>
                <w:color w:val="000000"/>
              </w:rPr>
            </w:pPr>
            <w:r w:rsidRPr="001569FB">
              <w:rPr>
                <w:b/>
                <w:color w:val="000000"/>
              </w:rPr>
              <w:t>75%</w:t>
            </w:r>
          </w:p>
        </w:tc>
        <w:tc>
          <w:tcPr>
            <w:tcW w:w="1040" w:type="dxa"/>
            <w:tcBorders>
              <w:top w:val="nil"/>
              <w:left w:val="nil"/>
              <w:bottom w:val="single" w:sz="4" w:space="0" w:color="auto"/>
              <w:right w:val="single" w:sz="4" w:space="0" w:color="auto"/>
            </w:tcBorders>
            <w:shd w:val="clear" w:color="000000" w:fill="D9D9D9"/>
            <w:noWrap/>
            <w:vAlign w:val="bottom"/>
            <w:hideMark/>
          </w:tcPr>
          <w:p w14:paraId="06CB6D5E" w14:textId="77777777" w:rsidR="004C5B0C" w:rsidRPr="001569FB" w:rsidRDefault="004C5B0C" w:rsidP="004C5B0C">
            <w:pPr>
              <w:keepNext/>
              <w:keepLines/>
              <w:spacing w:line="240" w:lineRule="auto"/>
              <w:jc w:val="center"/>
              <w:rPr>
                <w:b/>
                <w:color w:val="000000"/>
              </w:rPr>
            </w:pPr>
            <w:r w:rsidRPr="001569FB">
              <w:rPr>
                <w:b/>
                <w:color w:val="000000"/>
              </w:rPr>
              <w:t>90%</w:t>
            </w:r>
          </w:p>
        </w:tc>
        <w:tc>
          <w:tcPr>
            <w:tcW w:w="1040" w:type="dxa"/>
            <w:tcBorders>
              <w:top w:val="nil"/>
              <w:left w:val="nil"/>
              <w:bottom w:val="single" w:sz="4" w:space="0" w:color="auto"/>
              <w:right w:val="single" w:sz="4" w:space="0" w:color="auto"/>
            </w:tcBorders>
            <w:shd w:val="clear" w:color="000000" w:fill="D9D9D9"/>
            <w:noWrap/>
            <w:vAlign w:val="bottom"/>
            <w:hideMark/>
          </w:tcPr>
          <w:p w14:paraId="452F63AC" w14:textId="77777777" w:rsidR="004C5B0C" w:rsidRPr="001569FB" w:rsidRDefault="004C5B0C" w:rsidP="004C5B0C">
            <w:pPr>
              <w:keepNext/>
              <w:keepLines/>
              <w:spacing w:line="240" w:lineRule="auto"/>
              <w:jc w:val="center"/>
              <w:rPr>
                <w:b/>
                <w:color w:val="000000"/>
              </w:rPr>
            </w:pPr>
            <w:r w:rsidRPr="001569FB">
              <w:rPr>
                <w:b/>
                <w:color w:val="000000"/>
              </w:rPr>
              <w:t>95%</w:t>
            </w:r>
          </w:p>
        </w:tc>
        <w:tc>
          <w:tcPr>
            <w:tcW w:w="1040" w:type="dxa"/>
            <w:tcBorders>
              <w:top w:val="nil"/>
              <w:left w:val="nil"/>
              <w:bottom w:val="single" w:sz="4" w:space="0" w:color="auto"/>
              <w:right w:val="single" w:sz="8" w:space="0" w:color="auto"/>
            </w:tcBorders>
            <w:shd w:val="clear" w:color="000000" w:fill="D9D9D9"/>
            <w:noWrap/>
            <w:vAlign w:val="bottom"/>
            <w:hideMark/>
          </w:tcPr>
          <w:p w14:paraId="460FA3FC" w14:textId="77777777" w:rsidR="004C5B0C" w:rsidRPr="001569FB" w:rsidRDefault="004C5B0C" w:rsidP="004C5B0C">
            <w:pPr>
              <w:keepNext/>
              <w:keepLines/>
              <w:spacing w:line="240" w:lineRule="auto"/>
              <w:jc w:val="center"/>
              <w:rPr>
                <w:b/>
                <w:color w:val="000000"/>
              </w:rPr>
            </w:pPr>
            <w:r w:rsidRPr="001569FB">
              <w:rPr>
                <w:b/>
                <w:color w:val="000000"/>
              </w:rPr>
              <w:t>Max</w:t>
            </w:r>
          </w:p>
        </w:tc>
      </w:tr>
      <w:tr w:rsidR="004C5B0C" w:rsidRPr="001569FB" w14:paraId="552B756A" w14:textId="77777777" w:rsidTr="004C5B0C">
        <w:trPr>
          <w:trHeight w:val="300"/>
          <w:jc w:val="center"/>
        </w:trPr>
        <w:tc>
          <w:tcPr>
            <w:tcW w:w="1136" w:type="dxa"/>
            <w:tcBorders>
              <w:top w:val="nil"/>
              <w:left w:val="single" w:sz="8" w:space="0" w:color="auto"/>
              <w:bottom w:val="nil"/>
              <w:right w:val="single" w:sz="4" w:space="0" w:color="auto"/>
            </w:tcBorders>
            <w:shd w:val="clear" w:color="auto" w:fill="auto"/>
            <w:noWrap/>
            <w:vAlign w:val="bottom"/>
            <w:hideMark/>
          </w:tcPr>
          <w:p w14:paraId="2D338B91" w14:textId="77777777" w:rsidR="004C5B0C" w:rsidRPr="001569FB" w:rsidRDefault="004C5B0C" w:rsidP="004C5B0C">
            <w:pPr>
              <w:keepNext/>
              <w:keepLines/>
              <w:spacing w:line="240" w:lineRule="auto"/>
              <w:jc w:val="center"/>
              <w:rPr>
                <w:color w:val="000000"/>
              </w:rPr>
            </w:pPr>
            <w:r w:rsidRPr="001569FB">
              <w:rPr>
                <w:color w:val="000000"/>
              </w:rPr>
              <w:t>All</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2D7DFA7D" w14:textId="77777777" w:rsidR="004C5B0C" w:rsidRPr="001569FB" w:rsidRDefault="004C5B0C" w:rsidP="004C5B0C">
            <w:pPr>
              <w:keepNext/>
              <w:keepLines/>
              <w:spacing w:line="240" w:lineRule="auto"/>
              <w:ind w:right="104"/>
              <w:jc w:val="right"/>
              <w:rPr>
                <w:color w:val="000000"/>
              </w:rPr>
            </w:pPr>
            <w:r w:rsidRPr="001569FB">
              <w:rPr>
                <w:color w:val="000000"/>
              </w:rPr>
              <w:t>599</w:t>
            </w:r>
          </w:p>
        </w:tc>
        <w:tc>
          <w:tcPr>
            <w:tcW w:w="872" w:type="dxa"/>
            <w:tcBorders>
              <w:top w:val="nil"/>
              <w:left w:val="single" w:sz="4" w:space="0" w:color="auto"/>
              <w:bottom w:val="nil"/>
              <w:right w:val="single" w:sz="4" w:space="0" w:color="auto"/>
            </w:tcBorders>
            <w:shd w:val="clear" w:color="auto" w:fill="auto"/>
            <w:noWrap/>
            <w:vAlign w:val="bottom"/>
            <w:hideMark/>
          </w:tcPr>
          <w:p w14:paraId="54FF6BD2" w14:textId="77777777" w:rsidR="004C5B0C" w:rsidRPr="001569FB" w:rsidRDefault="004C5B0C" w:rsidP="004C5B0C">
            <w:pPr>
              <w:keepNext/>
              <w:keepLines/>
              <w:spacing w:line="240" w:lineRule="auto"/>
              <w:jc w:val="center"/>
              <w:rPr>
                <w:color w:val="000000"/>
              </w:rPr>
            </w:pPr>
            <w:r w:rsidRPr="001569FB">
              <w:rPr>
                <w:color w:val="000000"/>
              </w:rPr>
              <w:t>0.0%</w:t>
            </w:r>
          </w:p>
        </w:tc>
        <w:tc>
          <w:tcPr>
            <w:tcW w:w="872" w:type="dxa"/>
            <w:tcBorders>
              <w:top w:val="nil"/>
              <w:left w:val="single" w:sz="4" w:space="0" w:color="auto"/>
              <w:bottom w:val="nil"/>
              <w:right w:val="single" w:sz="4" w:space="0" w:color="auto"/>
            </w:tcBorders>
            <w:shd w:val="clear" w:color="auto" w:fill="auto"/>
            <w:noWrap/>
            <w:vAlign w:val="bottom"/>
            <w:hideMark/>
          </w:tcPr>
          <w:p w14:paraId="65D82C08" w14:textId="77777777" w:rsidR="004C5B0C" w:rsidRPr="001569FB" w:rsidRDefault="004C5B0C" w:rsidP="004C5B0C">
            <w:pPr>
              <w:keepNext/>
              <w:keepLines/>
              <w:spacing w:line="240" w:lineRule="auto"/>
              <w:jc w:val="center"/>
              <w:rPr>
                <w:color w:val="000000"/>
              </w:rPr>
            </w:pPr>
            <w:r w:rsidRPr="001569FB">
              <w:rPr>
                <w:color w:val="000000"/>
              </w:rPr>
              <w:t>56.0%</w:t>
            </w:r>
          </w:p>
        </w:tc>
        <w:tc>
          <w:tcPr>
            <w:tcW w:w="872" w:type="dxa"/>
            <w:tcBorders>
              <w:top w:val="nil"/>
              <w:left w:val="single" w:sz="4" w:space="0" w:color="auto"/>
              <w:bottom w:val="nil"/>
              <w:right w:val="single" w:sz="4" w:space="0" w:color="auto"/>
            </w:tcBorders>
            <w:shd w:val="clear" w:color="auto" w:fill="auto"/>
            <w:noWrap/>
            <w:vAlign w:val="bottom"/>
            <w:hideMark/>
          </w:tcPr>
          <w:p w14:paraId="311E1975" w14:textId="77777777" w:rsidR="004C5B0C" w:rsidRPr="001569FB" w:rsidRDefault="004C5B0C" w:rsidP="004C5B0C">
            <w:pPr>
              <w:keepNext/>
              <w:keepLines/>
              <w:spacing w:line="240" w:lineRule="auto"/>
              <w:jc w:val="center"/>
              <w:rPr>
                <w:color w:val="000000"/>
              </w:rPr>
            </w:pPr>
            <w:r w:rsidRPr="001569FB">
              <w:rPr>
                <w:color w:val="000000"/>
              </w:rPr>
              <w:t>68.5%</w:t>
            </w:r>
          </w:p>
        </w:tc>
        <w:tc>
          <w:tcPr>
            <w:tcW w:w="872" w:type="dxa"/>
            <w:tcBorders>
              <w:top w:val="nil"/>
              <w:left w:val="single" w:sz="4" w:space="0" w:color="auto"/>
              <w:bottom w:val="nil"/>
              <w:right w:val="single" w:sz="4" w:space="0" w:color="auto"/>
            </w:tcBorders>
            <w:shd w:val="clear" w:color="auto" w:fill="auto"/>
            <w:noWrap/>
            <w:vAlign w:val="bottom"/>
            <w:hideMark/>
          </w:tcPr>
          <w:p w14:paraId="6AC35C37" w14:textId="77777777" w:rsidR="004C5B0C" w:rsidRPr="001569FB" w:rsidRDefault="004C5B0C" w:rsidP="004C5B0C">
            <w:pPr>
              <w:keepNext/>
              <w:keepLines/>
              <w:spacing w:line="240" w:lineRule="auto"/>
              <w:jc w:val="center"/>
              <w:rPr>
                <w:color w:val="000000"/>
              </w:rPr>
            </w:pPr>
            <w:r w:rsidRPr="001569FB">
              <w:rPr>
                <w:color w:val="000000"/>
              </w:rPr>
              <w:t>76.2%</w:t>
            </w:r>
          </w:p>
        </w:tc>
        <w:tc>
          <w:tcPr>
            <w:tcW w:w="872" w:type="dxa"/>
            <w:tcBorders>
              <w:top w:val="nil"/>
              <w:left w:val="single" w:sz="4" w:space="0" w:color="auto"/>
              <w:bottom w:val="nil"/>
              <w:right w:val="single" w:sz="4" w:space="0" w:color="auto"/>
            </w:tcBorders>
            <w:shd w:val="clear" w:color="auto" w:fill="auto"/>
            <w:noWrap/>
            <w:vAlign w:val="bottom"/>
            <w:hideMark/>
          </w:tcPr>
          <w:p w14:paraId="63B5AB74" w14:textId="77777777" w:rsidR="004C5B0C" w:rsidRPr="001569FB" w:rsidRDefault="004C5B0C" w:rsidP="004C5B0C">
            <w:pPr>
              <w:keepNext/>
              <w:keepLines/>
              <w:spacing w:line="240" w:lineRule="auto"/>
              <w:jc w:val="center"/>
              <w:rPr>
                <w:color w:val="000000"/>
              </w:rPr>
            </w:pPr>
            <w:r w:rsidRPr="001569FB">
              <w:rPr>
                <w:color w:val="000000"/>
              </w:rPr>
              <w:t>85.2%</w:t>
            </w:r>
          </w:p>
        </w:tc>
        <w:tc>
          <w:tcPr>
            <w:tcW w:w="1040" w:type="dxa"/>
            <w:tcBorders>
              <w:top w:val="nil"/>
              <w:left w:val="single" w:sz="4" w:space="0" w:color="auto"/>
              <w:bottom w:val="nil"/>
              <w:right w:val="single" w:sz="4" w:space="0" w:color="auto"/>
            </w:tcBorders>
            <w:shd w:val="clear" w:color="auto" w:fill="auto"/>
            <w:noWrap/>
            <w:vAlign w:val="bottom"/>
            <w:hideMark/>
          </w:tcPr>
          <w:p w14:paraId="4B7F7C8C"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nil"/>
              <w:left w:val="single" w:sz="4" w:space="0" w:color="auto"/>
              <w:bottom w:val="nil"/>
              <w:right w:val="single" w:sz="4" w:space="0" w:color="auto"/>
            </w:tcBorders>
            <w:shd w:val="clear" w:color="auto" w:fill="auto"/>
            <w:noWrap/>
            <w:vAlign w:val="bottom"/>
            <w:hideMark/>
          </w:tcPr>
          <w:p w14:paraId="74D9E6EA"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nil"/>
              <w:right w:val="single" w:sz="8" w:space="0" w:color="auto"/>
            </w:tcBorders>
            <w:shd w:val="clear" w:color="auto" w:fill="auto"/>
            <w:noWrap/>
            <w:vAlign w:val="bottom"/>
            <w:hideMark/>
          </w:tcPr>
          <w:p w14:paraId="667C99F7"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63BAC30A" w14:textId="77777777" w:rsidTr="004C5B0C">
        <w:trPr>
          <w:trHeight w:val="315"/>
          <w:jc w:val="center"/>
        </w:trPr>
        <w:tc>
          <w:tcPr>
            <w:tcW w:w="1136"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7F4457CB" w14:textId="77777777" w:rsidR="004C5B0C" w:rsidRPr="001569FB" w:rsidRDefault="004C5B0C" w:rsidP="004C5B0C">
            <w:pPr>
              <w:keepNext/>
              <w:keepLines/>
              <w:spacing w:line="240" w:lineRule="auto"/>
              <w:jc w:val="center"/>
              <w:rPr>
                <w:color w:val="000000"/>
              </w:rPr>
            </w:pPr>
            <w:r w:rsidRPr="001569FB">
              <w:rPr>
                <w:color w:val="000000"/>
              </w:rPr>
              <w:t>MA-PD</w:t>
            </w:r>
          </w:p>
        </w:tc>
        <w:tc>
          <w:tcPr>
            <w:tcW w:w="806" w:type="dxa"/>
            <w:tcBorders>
              <w:top w:val="single" w:sz="4" w:space="0" w:color="auto"/>
              <w:left w:val="single" w:sz="4" w:space="0" w:color="auto"/>
              <w:bottom w:val="single" w:sz="4" w:space="0" w:color="auto"/>
              <w:right w:val="nil"/>
            </w:tcBorders>
            <w:shd w:val="clear" w:color="000000" w:fill="D9D9D9"/>
            <w:noWrap/>
            <w:vAlign w:val="bottom"/>
            <w:hideMark/>
          </w:tcPr>
          <w:p w14:paraId="7BE90359" w14:textId="77777777" w:rsidR="004C5B0C" w:rsidRPr="001569FB" w:rsidRDefault="004C5B0C" w:rsidP="004C5B0C">
            <w:pPr>
              <w:keepNext/>
              <w:keepLines/>
              <w:spacing w:line="240" w:lineRule="auto"/>
              <w:ind w:right="104"/>
              <w:jc w:val="right"/>
              <w:rPr>
                <w:color w:val="000000"/>
              </w:rPr>
            </w:pPr>
            <w:r w:rsidRPr="001569FB">
              <w:rPr>
                <w:color w:val="000000"/>
              </w:rPr>
              <w:t>535</w:t>
            </w:r>
          </w:p>
        </w:tc>
        <w:tc>
          <w:tcPr>
            <w:tcW w:w="8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532703C" w14:textId="77777777" w:rsidR="004C5B0C" w:rsidRPr="001569FB" w:rsidRDefault="004C5B0C" w:rsidP="004C5B0C">
            <w:pPr>
              <w:keepNext/>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6B086DDC" w14:textId="77777777" w:rsidR="004C5B0C" w:rsidRPr="001569FB" w:rsidRDefault="004C5B0C" w:rsidP="004C5B0C">
            <w:pPr>
              <w:keepNext/>
              <w:keepLines/>
              <w:spacing w:line="240" w:lineRule="auto"/>
              <w:jc w:val="center"/>
              <w:rPr>
                <w:color w:val="000000"/>
              </w:rPr>
            </w:pPr>
            <w:r w:rsidRPr="001569FB">
              <w:rPr>
                <w:color w:val="000000"/>
              </w:rPr>
              <w:t>51.0%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3D6B7660" w14:textId="77777777" w:rsidR="004C5B0C" w:rsidRPr="001569FB" w:rsidRDefault="004C5B0C" w:rsidP="004C5B0C">
            <w:pPr>
              <w:keepNext/>
              <w:keepLines/>
              <w:spacing w:line="240" w:lineRule="auto"/>
              <w:jc w:val="center"/>
              <w:rPr>
                <w:color w:val="000000"/>
              </w:rPr>
            </w:pPr>
            <w:r w:rsidRPr="001569FB">
              <w:rPr>
                <w:color w:val="000000"/>
              </w:rPr>
              <w:t>67.9%</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5EA9189D" w14:textId="77777777" w:rsidR="004C5B0C" w:rsidRPr="001569FB" w:rsidRDefault="004C5B0C" w:rsidP="004C5B0C">
            <w:pPr>
              <w:keepNext/>
              <w:keepLines/>
              <w:spacing w:line="240" w:lineRule="auto"/>
              <w:jc w:val="center"/>
              <w:rPr>
                <w:color w:val="000000"/>
              </w:rPr>
            </w:pPr>
            <w:r w:rsidRPr="001569FB">
              <w:rPr>
                <w:color w:val="000000"/>
              </w:rPr>
              <w:t>76.0%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182233C7" w14:textId="77777777" w:rsidR="004C5B0C" w:rsidRPr="001569FB" w:rsidRDefault="004C5B0C" w:rsidP="004C5B0C">
            <w:pPr>
              <w:keepNext/>
              <w:keepLines/>
              <w:spacing w:line="240" w:lineRule="auto"/>
              <w:jc w:val="center"/>
              <w:rPr>
                <w:color w:val="000000"/>
              </w:rPr>
            </w:pPr>
            <w:r w:rsidRPr="001569FB">
              <w:rPr>
                <w:color w:val="000000"/>
              </w:rPr>
              <w:t>85.5%</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73290C9E"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08D5F380"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000000" w:fill="D9D9D9"/>
            <w:noWrap/>
            <w:vAlign w:val="bottom"/>
            <w:hideMark/>
          </w:tcPr>
          <w:p w14:paraId="12EB30C5"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5EE02C8B" w14:textId="77777777" w:rsidTr="004C5B0C">
        <w:trPr>
          <w:trHeight w:val="300"/>
          <w:jc w:val="center"/>
        </w:trPr>
        <w:tc>
          <w:tcPr>
            <w:tcW w:w="113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ED94FCC" w14:textId="77777777" w:rsidR="004C5B0C" w:rsidRPr="001569FB" w:rsidRDefault="004C5B0C" w:rsidP="004C5B0C">
            <w:pPr>
              <w:keepLines/>
              <w:spacing w:line="240" w:lineRule="auto"/>
              <w:jc w:val="center"/>
              <w:rPr>
                <w:color w:val="000000"/>
              </w:rPr>
            </w:pPr>
            <w:r w:rsidRPr="001569FB">
              <w:rPr>
                <w:color w:val="000000"/>
              </w:rPr>
              <w:t>PDP</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41D6ED92" w14:textId="77777777" w:rsidR="004C5B0C" w:rsidRPr="001569FB" w:rsidRDefault="004C5B0C" w:rsidP="004C5B0C">
            <w:pPr>
              <w:keepLines/>
              <w:spacing w:line="240" w:lineRule="auto"/>
              <w:ind w:right="104"/>
              <w:jc w:val="right"/>
              <w:rPr>
                <w:color w:val="000000"/>
              </w:rPr>
            </w:pPr>
            <w:r w:rsidRPr="001569FB">
              <w:rPr>
                <w:color w:val="000000"/>
              </w:rPr>
              <w:t>59</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4D72C" w14:textId="77777777" w:rsidR="004C5B0C" w:rsidRPr="001569FB" w:rsidRDefault="004C5B0C" w:rsidP="004C5B0C">
            <w:pPr>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509FAAB8" w14:textId="77777777" w:rsidR="004C5B0C" w:rsidRPr="001569FB" w:rsidRDefault="004C5B0C" w:rsidP="004C5B0C">
            <w:pPr>
              <w:keepLines/>
              <w:spacing w:line="240" w:lineRule="auto"/>
              <w:jc w:val="center"/>
              <w:rPr>
                <w:color w:val="000000"/>
              </w:rPr>
            </w:pPr>
            <w:r w:rsidRPr="001569FB">
              <w:rPr>
                <w:color w:val="000000"/>
              </w:rPr>
              <w:t>68.4%</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186538E0" w14:textId="77777777" w:rsidR="004C5B0C" w:rsidRPr="001569FB" w:rsidRDefault="004C5B0C" w:rsidP="004C5B0C">
            <w:pPr>
              <w:keepLines/>
              <w:spacing w:line="240" w:lineRule="auto"/>
              <w:jc w:val="center"/>
              <w:rPr>
                <w:color w:val="000000"/>
              </w:rPr>
            </w:pPr>
            <w:r w:rsidRPr="001569FB">
              <w:rPr>
                <w:color w:val="000000"/>
              </w:rPr>
              <w:t>72.5%</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7E43AFA7" w14:textId="77777777" w:rsidR="004C5B0C" w:rsidRPr="001569FB" w:rsidRDefault="004C5B0C" w:rsidP="004C5B0C">
            <w:pPr>
              <w:keepLines/>
              <w:spacing w:line="240" w:lineRule="auto"/>
              <w:jc w:val="center"/>
              <w:rPr>
                <w:color w:val="000000"/>
              </w:rPr>
            </w:pPr>
            <w:r w:rsidRPr="001569FB">
              <w:rPr>
                <w:color w:val="000000"/>
              </w:rPr>
              <w:t>76.6%</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05B6A869" w14:textId="77777777" w:rsidR="004C5B0C" w:rsidRPr="001569FB" w:rsidRDefault="004C5B0C" w:rsidP="004C5B0C">
            <w:pPr>
              <w:keepLines/>
              <w:spacing w:line="240" w:lineRule="auto"/>
              <w:jc w:val="center"/>
              <w:rPr>
                <w:color w:val="000000"/>
              </w:rPr>
            </w:pPr>
            <w:r w:rsidRPr="001569FB">
              <w:rPr>
                <w:color w:val="000000"/>
              </w:rPr>
              <w:t>80.5%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B6778AB" w14:textId="77777777" w:rsidR="004C5B0C" w:rsidRPr="001569FB" w:rsidRDefault="004C5B0C" w:rsidP="004C5B0C">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B8D1E9F" w14:textId="77777777" w:rsidR="004C5B0C" w:rsidRPr="001569FB" w:rsidRDefault="004C5B0C" w:rsidP="004C5B0C">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auto" w:fill="auto"/>
            <w:noWrap/>
            <w:vAlign w:val="bottom"/>
            <w:hideMark/>
          </w:tcPr>
          <w:p w14:paraId="4FDCA62F" w14:textId="77777777" w:rsidR="004C5B0C" w:rsidRPr="001569FB" w:rsidRDefault="004C5B0C" w:rsidP="004C5B0C">
            <w:pPr>
              <w:keepLines/>
              <w:spacing w:line="240" w:lineRule="auto"/>
              <w:jc w:val="center"/>
              <w:rPr>
                <w:color w:val="000000"/>
              </w:rPr>
            </w:pPr>
            <w:r w:rsidRPr="001569FB">
              <w:rPr>
                <w:color w:val="000000"/>
              </w:rPr>
              <w:t>100.0%</w:t>
            </w:r>
          </w:p>
        </w:tc>
      </w:tr>
    </w:tbl>
    <w:p w14:paraId="5919B7AC" w14:textId="77777777" w:rsidR="004C5B0C" w:rsidRPr="001569FB" w:rsidRDefault="004C5B0C" w:rsidP="004C5B0C">
      <w:pPr>
        <w:spacing w:before="600"/>
      </w:pPr>
      <w:r w:rsidRPr="001569FB">
        <w:lastRenderedPageBreak/>
        <w:t xml:space="preserve">The minimum and maximum rates for all contracts and contract types was 0.0% to 100%.  Over half of the contracts had rates below 76% and the top 10% of contracts had rates at 100%. Similar to the ADH-NWOA rates, many of the high and low contract rates were associated with low denominator member-years (512 or 69% of MA-PD and PDP contracts had 30 or fewer member-years in the denominator). </w:t>
      </w:r>
    </w:p>
    <w:p w14:paraId="4AA81FE5" w14:textId="77777777" w:rsidR="004C5B0C" w:rsidRPr="001569FB" w:rsidRDefault="004C5B0C" w:rsidP="004C5B0C">
      <w:pPr>
        <w:rPr>
          <w:b/>
        </w:rPr>
      </w:pPr>
      <w:r w:rsidRPr="001569FB">
        <w:t>Although we found some variability between the contract rates for both the ADH-NWOA and ADH-MS measures, many contracts had low member-year denominators. The low prevalence of multiple sclerosis in many Part D contracts resulted in 19% of contracts having no members eligible for the ADH-MS measure and over 25% of contracts having a 100% adherence rate.  Although the prevalence of NWOA use is much higher and only 4% of contracts had no members eligible for ADH-NWOA measure, many contracts had small denominators (less than 30 member-years). A total of 512 (69%) and 276 (37%) of MA-PD and PDP contracts had 30 or fewer member-years in the denominator for the ADH-MS and ADH-NWOA measures, respectively</w:t>
      </w:r>
      <w:r w:rsidRPr="001569FB">
        <w:rPr>
          <w:b/>
        </w:rPr>
        <w:t>.</w:t>
      </w:r>
      <w:r w:rsidRPr="001569FB">
        <w:t xml:space="preserve"> Low denominators can affect the utility of a measure to assess contract performance. Currently, four adherence measures are already included in the Patient Safety reports (three are included in Star Ratings), so we are not considering adding these adherence measures to the Patient Safety reports, the display page, or Star Ratings at this time.  However, given the high cost of these medications and the importance of adherence for achieving positive outcomes, we may consider including these measures within the quarterly outlier reports to Part D contracts through the Patient Safety Analysis Website in the future, along with the beneficiary-level data so contracts can focus adherence improvement efforts for these members.</w:t>
      </w:r>
    </w:p>
    <w:p w14:paraId="2EDC68F0" w14:textId="77777777" w:rsidR="004C5B0C" w:rsidRPr="001569FB" w:rsidRDefault="004C5B0C" w:rsidP="004C5B0C">
      <w:pPr>
        <w:pStyle w:val="Heading4"/>
      </w:pPr>
      <w:bookmarkStart w:id="713" w:name="bookmark17"/>
      <w:bookmarkStart w:id="714" w:name="_Toc493523592"/>
      <w:bookmarkStart w:id="715" w:name="_Toc495652105"/>
      <w:bookmarkStart w:id="716" w:name="_Toc493523593"/>
      <w:bookmarkStart w:id="717" w:name="_Toc493523594"/>
      <w:bookmarkEnd w:id="713"/>
      <w:r w:rsidRPr="001569FB">
        <w:t>Measurement and Methodological Enhancements</w:t>
      </w:r>
      <w:bookmarkEnd w:id="714"/>
      <w:bookmarkEnd w:id="715"/>
    </w:p>
    <w:p w14:paraId="58B2835F" w14:textId="77777777" w:rsidR="004C5B0C" w:rsidRPr="001569FB" w:rsidRDefault="004C5B0C" w:rsidP="004C5B0C">
      <w:pPr>
        <w:kinsoku w:val="0"/>
        <w:overflowPunct w:val="0"/>
        <w:autoSpaceDE w:val="0"/>
        <w:autoSpaceDN w:val="0"/>
        <w:adjustRightInd w:val="0"/>
        <w:spacing w:after="120"/>
        <w:ind w:right="118"/>
        <w:rPr>
          <w:color w:val="000000"/>
        </w:rPr>
      </w:pPr>
      <w:r w:rsidRPr="001569FB">
        <w:t>CMS is committed to continuing to improve the Part C and D Star Ratings by identifying new measures and methodological enhancements. Feedback or recommendations can help CMS’ continuing analyses, as well as our collaboration with measurement development entities such as NCQA and PQA. We will continue to analyze existing ratings measures to determine if measure scores are “topped out” or showing high performance across all contracts. In making decisions to transition such measures to the display page, CMS does not have a strict formula. Although some measures may show uniform high performance across contracts with little variation between them, we want to balance how critical the measures are to improving patient care, the importance of not creating incentives for a decline in performance after the measures transition out of the Star Ratings, and the availability of alternative related measures</w:t>
      </w:r>
      <w:r w:rsidRPr="001569FB">
        <w:rPr>
          <w:color w:val="2B2B2B"/>
        </w:rPr>
        <w:t xml:space="preserve">. </w:t>
      </w:r>
      <w:r w:rsidRPr="001569FB">
        <w:rPr>
          <w:color w:val="000000"/>
        </w:rPr>
        <w:t>If plans have only recently achieved uniformly high performance, for example, or if no other measures capture a key focus in Star Ratings, a "topped out" measure may be retained in Star Ratings.</w:t>
      </w:r>
    </w:p>
    <w:p w14:paraId="5366B897" w14:textId="77777777" w:rsidR="004C5B0C" w:rsidRPr="001569FB" w:rsidRDefault="004C5B0C" w:rsidP="00AC78D9">
      <w:pPr>
        <w:numPr>
          <w:ilvl w:val="0"/>
          <w:numId w:val="56"/>
        </w:numPr>
        <w:spacing w:after="120"/>
        <w:ind w:left="360"/>
      </w:pPr>
      <w:r w:rsidRPr="001569FB">
        <w:t xml:space="preserve">CMS and measure developers are exploring additional measurement concepts for future work, such as functional status, and use of non-pharmacological or non-opioid pain management interventions, which will require use of non-claims data. CMS is interested in stakeholder feedback about how these “upstream” concepts can inform measurement of quality of care and how measurement of these concepts might help CMS assess MA </w:t>
      </w:r>
      <w:r w:rsidRPr="001569FB">
        <w:lastRenderedPageBreak/>
        <w:t>contracts’ role in and capacity to affect the quality of care. We are also interested in stakeholder feedback on how these concepts can be measured without adding undue burden on plans or providers.  However, given the importance of addressing the opioid epidemic, we will consider adding measurement or reporting burden if less burdensome options are not available.</w:t>
      </w:r>
    </w:p>
    <w:p w14:paraId="26C453F8" w14:textId="77777777" w:rsidR="004C5B0C" w:rsidRPr="001569FB" w:rsidRDefault="004C5B0C" w:rsidP="00AC78D9">
      <w:pPr>
        <w:numPr>
          <w:ilvl w:val="0"/>
          <w:numId w:val="46"/>
        </w:numPr>
        <w:tabs>
          <w:tab w:val="left" w:pos="360"/>
        </w:tabs>
        <w:kinsoku w:val="0"/>
        <w:overflowPunct w:val="0"/>
        <w:autoSpaceDE w:val="0"/>
        <w:autoSpaceDN w:val="0"/>
        <w:adjustRightInd w:val="0"/>
        <w:spacing w:before="199"/>
        <w:ind w:left="360" w:right="128"/>
      </w:pPr>
      <w:r w:rsidRPr="001569FB">
        <w:t>Effective processing of Part C organization determinations and reconsiderations and Part D coverage determination and redeterminations by sponsors are critical areas of the MA and Part D program. CMS requirements for these processes provide key beneficiary protections for access to healthcare and prescription drugs. We have included appeals measures in the Star Ratings since 2007 because they are such important indicators of beneficiary access. We continue to be interested in developing new or enhanced measures of beneficiary access, especially with the industry-wide collection of data from sponsoring organizations as described earlier.</w:t>
      </w:r>
      <w:r w:rsidRPr="001569FB">
        <w:rPr>
          <w:spacing w:val="17"/>
        </w:rPr>
        <w:t xml:space="preserve"> </w:t>
      </w:r>
      <w:r w:rsidRPr="001569FB">
        <w:t xml:space="preserve">In addition to the current measures of sponsoring organizations’ timeliness and reliable decision-making, we remain interested in </w:t>
      </w:r>
      <w:bookmarkStart w:id="718" w:name="_GoBack"/>
      <w:bookmarkEnd w:id="718"/>
      <w:r w:rsidRPr="001569FB">
        <w:t>potentially evaluating sponsoring organizations’ compliance with effectuating appeals and provider outreach requirements, as well as appropriate clinical-decision making and notification to beneficiaries.</w:t>
      </w:r>
    </w:p>
    <w:p w14:paraId="54D62623" w14:textId="696BECC8" w:rsidR="004C5B0C" w:rsidRPr="001569FB" w:rsidRDefault="009D4953" w:rsidP="004C5B0C">
      <w:pPr>
        <w:pStyle w:val="Heading3"/>
      </w:pPr>
      <w:bookmarkStart w:id="719" w:name="_Toc493523572"/>
      <w:bookmarkStart w:id="720" w:name="_Toc495652082"/>
      <w:bookmarkStart w:id="721" w:name="_Toc505253831"/>
      <w:r>
        <w:t>Section I</w:t>
      </w:r>
      <w:r w:rsidRPr="001569FB">
        <w:t xml:space="preserve"> </w:t>
      </w:r>
      <w:r w:rsidR="004C5B0C" w:rsidRPr="001569FB">
        <w:t>Incomplete and Inaccurate Bid</w:t>
      </w:r>
      <w:r w:rsidR="004C5B0C" w:rsidRPr="001569FB">
        <w:rPr>
          <w:spacing w:val="-8"/>
        </w:rPr>
        <w:t xml:space="preserve"> </w:t>
      </w:r>
      <w:r w:rsidR="004C5B0C" w:rsidRPr="001569FB">
        <w:t>Submissions</w:t>
      </w:r>
      <w:bookmarkEnd w:id="719"/>
      <w:bookmarkEnd w:id="720"/>
      <w:bookmarkEnd w:id="721"/>
    </w:p>
    <w:p w14:paraId="3681ECC6" w14:textId="77777777" w:rsidR="004C5B0C" w:rsidRPr="001569FB" w:rsidRDefault="004C5B0C" w:rsidP="004C5B0C">
      <w:pPr>
        <w:pStyle w:val="Heading4"/>
      </w:pPr>
      <w:bookmarkStart w:id="722" w:name="_Toc443480637"/>
      <w:bookmarkStart w:id="723" w:name="_Toc493523573"/>
      <w:bookmarkStart w:id="724" w:name="_Toc495652083"/>
      <w:r w:rsidRPr="001569FB">
        <w:t>Incomplete</w:t>
      </w:r>
      <w:r w:rsidRPr="001569FB">
        <w:rPr>
          <w:spacing w:val="-9"/>
        </w:rPr>
        <w:t xml:space="preserve"> </w:t>
      </w:r>
      <w:r w:rsidRPr="001569FB">
        <w:t>Submissions</w:t>
      </w:r>
      <w:bookmarkEnd w:id="722"/>
      <w:bookmarkEnd w:id="723"/>
      <w:bookmarkEnd w:id="724"/>
    </w:p>
    <w:p w14:paraId="31653C86" w14:textId="77777777" w:rsidR="004C5B0C" w:rsidRPr="001569FB" w:rsidRDefault="004C5B0C" w:rsidP="004C5B0C">
      <w:pPr>
        <w:autoSpaceDE w:val="0"/>
        <w:autoSpaceDN w:val="0"/>
        <w:adjustRightInd w:val="0"/>
        <w:rPr>
          <w:color w:val="000000"/>
        </w:rPr>
      </w:pPr>
      <w:r w:rsidRPr="001569FB">
        <w:rPr>
          <w:color w:val="000000"/>
        </w:rPr>
        <w:t>Under Sections 1854(a)(1)(A) and 1860D-11(b) of the Social Security Act, initial</w:t>
      </w:r>
      <w:r w:rsidRPr="001569FB">
        <w:rPr>
          <w:color w:val="000000"/>
          <w:spacing w:val="-9"/>
        </w:rPr>
        <w:t xml:space="preserve"> </w:t>
      </w:r>
      <w:r w:rsidRPr="001569FB">
        <w:rPr>
          <w:color w:val="000000"/>
        </w:rPr>
        <w:t>bid submissions for all MA, MA-PD, and PDPs are due the first Monday in</w:t>
      </w:r>
      <w:r w:rsidRPr="001569FB">
        <w:rPr>
          <w:color w:val="000000"/>
          <w:spacing w:val="-8"/>
        </w:rPr>
        <w:t xml:space="preserve"> </w:t>
      </w:r>
      <w:r w:rsidRPr="001569FB">
        <w:rPr>
          <w:color w:val="000000"/>
        </w:rPr>
        <w:t>June and shall be in a form and manner specified by the Secretary. Therefore, for CY 2019, the</w:t>
      </w:r>
      <w:r w:rsidRPr="001569FB">
        <w:rPr>
          <w:color w:val="000000"/>
          <w:spacing w:val="-12"/>
        </w:rPr>
        <w:t xml:space="preserve"> </w:t>
      </w:r>
      <w:r w:rsidRPr="001569FB">
        <w:rPr>
          <w:color w:val="000000"/>
        </w:rPr>
        <w:t>bid submission deadline is June 4, 2018 at 11:59 PM Pacific Daylight</w:t>
      </w:r>
      <w:r w:rsidRPr="001569FB">
        <w:rPr>
          <w:color w:val="000000"/>
          <w:spacing w:val="-12"/>
        </w:rPr>
        <w:t xml:space="preserve"> </w:t>
      </w:r>
      <w:r w:rsidRPr="001569FB">
        <w:rPr>
          <w:color w:val="000000"/>
        </w:rPr>
        <w:t>Time.</w:t>
      </w:r>
    </w:p>
    <w:p w14:paraId="13CFBD4B" w14:textId="77777777" w:rsidR="004C5B0C" w:rsidRPr="001569FB" w:rsidRDefault="004C5B0C" w:rsidP="004C5B0C">
      <w:pPr>
        <w:autoSpaceDE w:val="0"/>
        <w:autoSpaceDN w:val="0"/>
        <w:adjustRightInd w:val="0"/>
        <w:rPr>
          <w:color w:val="000000"/>
        </w:rPr>
      </w:pPr>
    </w:p>
    <w:p w14:paraId="239DAD35" w14:textId="77777777" w:rsidR="004C5B0C" w:rsidRPr="001569FB" w:rsidRDefault="004C5B0C" w:rsidP="004C5B0C">
      <w:pPr>
        <w:autoSpaceDE w:val="0"/>
        <w:autoSpaceDN w:val="0"/>
        <w:adjustRightInd w:val="0"/>
        <w:rPr>
          <w:color w:val="000000"/>
        </w:rPr>
      </w:pPr>
      <w:r w:rsidRPr="001569FB">
        <w:rPr>
          <w:color w:val="000000"/>
        </w:rPr>
        <w:t>The following components are required, if applicable, to constitute a complete bid</w:t>
      </w:r>
      <w:r w:rsidRPr="001569FB">
        <w:rPr>
          <w:color w:val="000000"/>
          <w:spacing w:val="-10"/>
        </w:rPr>
        <w:t xml:space="preserve"> </w:t>
      </w:r>
      <w:r w:rsidRPr="001569FB">
        <w:rPr>
          <w:color w:val="000000"/>
        </w:rPr>
        <w:t>submission:</w:t>
      </w:r>
    </w:p>
    <w:p w14:paraId="730A7E40" w14:textId="77777777" w:rsidR="004C5B0C" w:rsidRPr="001569FB" w:rsidRDefault="004C5B0C" w:rsidP="00AC78D9">
      <w:pPr>
        <w:widowControl w:val="0"/>
        <w:numPr>
          <w:ilvl w:val="0"/>
          <w:numId w:val="32"/>
        </w:numPr>
        <w:ind w:left="720"/>
        <w:rPr>
          <w:color w:val="000000"/>
        </w:rPr>
      </w:pPr>
      <w:r w:rsidRPr="001569FB">
        <w:rPr>
          <w:color w:val="000000"/>
        </w:rPr>
        <w:t>Plan Benefit Package (PBP),</w:t>
      </w:r>
    </w:p>
    <w:p w14:paraId="749A5FB3" w14:textId="77777777" w:rsidR="004C5B0C" w:rsidRPr="001569FB" w:rsidRDefault="004C5B0C" w:rsidP="00AC78D9">
      <w:pPr>
        <w:widowControl w:val="0"/>
        <w:numPr>
          <w:ilvl w:val="0"/>
          <w:numId w:val="32"/>
        </w:numPr>
        <w:ind w:left="720"/>
        <w:rPr>
          <w:color w:val="000000"/>
        </w:rPr>
      </w:pPr>
      <w:r w:rsidRPr="001569FB">
        <w:rPr>
          <w:color w:val="000000"/>
        </w:rPr>
        <w:t xml:space="preserve">Bid Pricing Tool (BPT) (if applicable), </w:t>
      </w:r>
    </w:p>
    <w:p w14:paraId="61563902" w14:textId="77777777" w:rsidR="004C5B0C" w:rsidRPr="001569FB" w:rsidRDefault="004C5B0C" w:rsidP="00AC78D9">
      <w:pPr>
        <w:widowControl w:val="0"/>
        <w:numPr>
          <w:ilvl w:val="0"/>
          <w:numId w:val="32"/>
        </w:numPr>
        <w:ind w:left="720"/>
        <w:rPr>
          <w:color w:val="000000"/>
        </w:rPr>
      </w:pPr>
      <w:r w:rsidRPr="001569FB">
        <w:rPr>
          <w:color w:val="000000"/>
        </w:rPr>
        <w:t>Service Area Verification</w:t>
      </w:r>
      <w:r w:rsidRPr="001569FB">
        <w:rPr>
          <w:color w:val="000000"/>
          <w:spacing w:val="-3"/>
        </w:rPr>
        <w:t xml:space="preserve"> </w:t>
      </w:r>
      <w:r w:rsidRPr="001569FB">
        <w:rPr>
          <w:color w:val="000000"/>
        </w:rPr>
        <w:t>(SAV),</w:t>
      </w:r>
    </w:p>
    <w:p w14:paraId="43D5D99E" w14:textId="77777777" w:rsidR="004C5B0C" w:rsidRPr="001569FB" w:rsidRDefault="004C5B0C" w:rsidP="00AC78D9">
      <w:pPr>
        <w:widowControl w:val="0"/>
        <w:numPr>
          <w:ilvl w:val="0"/>
          <w:numId w:val="32"/>
        </w:numPr>
        <w:ind w:left="720"/>
        <w:rPr>
          <w:color w:val="000000"/>
        </w:rPr>
      </w:pPr>
      <w:r w:rsidRPr="001569FB">
        <w:rPr>
          <w:color w:val="000000"/>
        </w:rPr>
        <w:t>Plan Crosswalk (if</w:t>
      </w:r>
      <w:r w:rsidRPr="001569FB">
        <w:rPr>
          <w:color w:val="000000"/>
          <w:spacing w:val="-1"/>
        </w:rPr>
        <w:t xml:space="preserve"> </w:t>
      </w:r>
      <w:r w:rsidRPr="001569FB">
        <w:rPr>
          <w:color w:val="000000"/>
        </w:rPr>
        <w:t>applicable),</w:t>
      </w:r>
    </w:p>
    <w:p w14:paraId="7E0A5EB5" w14:textId="77777777" w:rsidR="004C5B0C" w:rsidRPr="001569FB" w:rsidRDefault="004C5B0C" w:rsidP="00AC78D9">
      <w:pPr>
        <w:widowControl w:val="0"/>
        <w:numPr>
          <w:ilvl w:val="0"/>
          <w:numId w:val="32"/>
        </w:numPr>
        <w:ind w:left="720"/>
        <w:rPr>
          <w:color w:val="000000"/>
        </w:rPr>
      </w:pPr>
      <w:r w:rsidRPr="001569FB">
        <w:rPr>
          <w:color w:val="000000"/>
        </w:rPr>
        <w:t>Cost Sharing Justification (if applicable, as described in the “Part C Cost Sharing Standards” section of this Call Letter),</w:t>
      </w:r>
    </w:p>
    <w:p w14:paraId="6EE03D90" w14:textId="77777777" w:rsidR="004C5B0C" w:rsidRPr="001569FB" w:rsidRDefault="004C5B0C" w:rsidP="00AC78D9">
      <w:pPr>
        <w:widowControl w:val="0"/>
        <w:numPr>
          <w:ilvl w:val="0"/>
          <w:numId w:val="32"/>
        </w:numPr>
        <w:ind w:left="720"/>
        <w:rPr>
          <w:color w:val="000000"/>
        </w:rPr>
      </w:pPr>
      <w:r w:rsidRPr="001569FB">
        <w:rPr>
          <w:color w:val="000000"/>
        </w:rPr>
        <w:t>Formulary Submission (if offering a Part D plan with a</w:t>
      </w:r>
      <w:r w:rsidRPr="001569FB">
        <w:rPr>
          <w:color w:val="000000"/>
          <w:spacing w:val="-9"/>
        </w:rPr>
        <w:t xml:space="preserve"> </w:t>
      </w:r>
      <w:r w:rsidRPr="001569FB">
        <w:rPr>
          <w:color w:val="000000"/>
        </w:rPr>
        <w:t>formulary),</w:t>
      </w:r>
    </w:p>
    <w:p w14:paraId="2BA6A83D" w14:textId="77777777" w:rsidR="004C5B0C" w:rsidRPr="001569FB" w:rsidRDefault="004C5B0C" w:rsidP="00AC78D9">
      <w:pPr>
        <w:widowControl w:val="0"/>
        <w:numPr>
          <w:ilvl w:val="0"/>
          <w:numId w:val="32"/>
        </w:numPr>
        <w:ind w:left="720"/>
        <w:rPr>
          <w:color w:val="000000"/>
        </w:rPr>
      </w:pPr>
      <w:r w:rsidRPr="001569FB">
        <w:rPr>
          <w:color w:val="000000"/>
        </w:rPr>
        <w:t>Formulary Crosswalk (if offering a Part D plan with a</w:t>
      </w:r>
      <w:r w:rsidRPr="001569FB">
        <w:rPr>
          <w:color w:val="000000"/>
          <w:spacing w:val="-9"/>
        </w:rPr>
        <w:t xml:space="preserve"> </w:t>
      </w:r>
      <w:r w:rsidRPr="001569FB">
        <w:rPr>
          <w:color w:val="000000"/>
        </w:rPr>
        <w:t>formulary); and</w:t>
      </w:r>
    </w:p>
    <w:p w14:paraId="3390E76E" w14:textId="77777777" w:rsidR="004C5B0C" w:rsidRPr="001569FB" w:rsidRDefault="004C5B0C" w:rsidP="00AC78D9">
      <w:pPr>
        <w:widowControl w:val="0"/>
        <w:numPr>
          <w:ilvl w:val="0"/>
          <w:numId w:val="32"/>
        </w:numPr>
        <w:ind w:left="720"/>
        <w:rPr>
          <w:color w:val="000000"/>
        </w:rPr>
      </w:pPr>
      <w:r w:rsidRPr="001569FB">
        <w:rPr>
          <w:color w:val="000000"/>
        </w:rPr>
        <w:t>Substantiation (supporting documentation for bid pricing tool).</w:t>
      </w:r>
    </w:p>
    <w:p w14:paraId="590B3470" w14:textId="77777777" w:rsidR="004C5B0C" w:rsidRPr="001569FB" w:rsidRDefault="004C5B0C" w:rsidP="004C5B0C">
      <w:pPr>
        <w:autoSpaceDE w:val="0"/>
        <w:autoSpaceDN w:val="0"/>
        <w:adjustRightInd w:val="0"/>
        <w:spacing w:before="200"/>
        <w:rPr>
          <w:color w:val="000000"/>
        </w:rPr>
      </w:pPr>
      <w:r w:rsidRPr="001569FB">
        <w:rPr>
          <w:color w:val="000000"/>
        </w:rPr>
        <w:t>All MA, MA-PD, PDP, and cost-based plans are responsible for confirming that complete and accurate</w:t>
      </w:r>
      <w:r w:rsidRPr="001569FB">
        <w:rPr>
          <w:color w:val="000000"/>
          <w:spacing w:val="-13"/>
        </w:rPr>
        <w:t xml:space="preserve"> </w:t>
      </w:r>
      <w:r w:rsidRPr="001569FB">
        <w:rPr>
          <w:color w:val="000000"/>
        </w:rPr>
        <w:t xml:space="preserve">bids are submitted by the June deadline. Employer Group Waiver Plans are subject to the submission requirements that have not been waived.  Consistent with past years, CMS </w:t>
      </w:r>
      <w:r w:rsidRPr="001569FB">
        <w:rPr>
          <w:color w:val="000000"/>
        </w:rPr>
        <w:lastRenderedPageBreak/>
        <w:t>reminds organizations</w:t>
      </w:r>
      <w:r w:rsidRPr="001569FB">
        <w:rPr>
          <w:color w:val="000000"/>
          <w:spacing w:val="-12"/>
        </w:rPr>
        <w:t xml:space="preserve"> </w:t>
      </w:r>
      <w:r w:rsidRPr="001569FB">
        <w:rPr>
          <w:color w:val="000000"/>
        </w:rPr>
        <w:t>that all required components of an organization’s bid must be submitted by the deadline in order</w:t>
      </w:r>
      <w:r w:rsidRPr="001569FB">
        <w:rPr>
          <w:color w:val="000000"/>
          <w:spacing w:val="-11"/>
        </w:rPr>
        <w:t xml:space="preserve"> </w:t>
      </w:r>
      <w:r w:rsidRPr="001569FB">
        <w:rPr>
          <w:color w:val="000000"/>
        </w:rPr>
        <w:t>for the bid to be considered complete. If any of the required components are not successfully submitted by</w:t>
      </w:r>
      <w:r w:rsidRPr="001569FB">
        <w:rPr>
          <w:color w:val="000000"/>
          <w:spacing w:val="-14"/>
        </w:rPr>
        <w:t xml:space="preserve"> </w:t>
      </w:r>
      <w:r w:rsidRPr="001569FB">
        <w:rPr>
          <w:color w:val="000000"/>
        </w:rPr>
        <w:t>the deadline, the bid submission will be considered incomplete and not accepted by CMS</w:t>
      </w:r>
      <w:r w:rsidRPr="001569FB">
        <w:rPr>
          <w:color w:val="000000"/>
          <w:spacing w:val="-12"/>
        </w:rPr>
        <w:t xml:space="preserve"> </w:t>
      </w:r>
      <w:r w:rsidRPr="001569FB">
        <w:rPr>
          <w:color w:val="000000"/>
        </w:rPr>
        <w:t>absent extraordinary circumstances. This policy is consistent with previous years (for example,</w:t>
      </w:r>
      <w:r w:rsidRPr="001569FB">
        <w:rPr>
          <w:color w:val="000000"/>
          <w:spacing w:val="-16"/>
        </w:rPr>
        <w:t xml:space="preserve"> </w:t>
      </w:r>
      <w:r w:rsidRPr="001569FB">
        <w:rPr>
          <w:color w:val="000000"/>
        </w:rPr>
        <w:t>please refer to the memo “Release of Contract Year (CY) 2018 Bid Upload Functionality in</w:t>
      </w:r>
      <w:r w:rsidRPr="001569FB">
        <w:rPr>
          <w:color w:val="000000"/>
          <w:spacing w:val="-10"/>
        </w:rPr>
        <w:t xml:space="preserve"> </w:t>
      </w:r>
      <w:r w:rsidRPr="001569FB">
        <w:rPr>
          <w:color w:val="000000"/>
        </w:rPr>
        <w:t>HPMS,” dated May 5,</w:t>
      </w:r>
      <w:r w:rsidRPr="001569FB">
        <w:rPr>
          <w:color w:val="000000"/>
          <w:spacing w:val="-4"/>
        </w:rPr>
        <w:t xml:space="preserve"> </w:t>
      </w:r>
      <w:r w:rsidRPr="001569FB">
        <w:rPr>
          <w:color w:val="000000"/>
        </w:rPr>
        <w:t>2017).</w:t>
      </w:r>
    </w:p>
    <w:p w14:paraId="1DE77F7C" w14:textId="77777777" w:rsidR="004C5B0C" w:rsidRPr="001569FB" w:rsidRDefault="004C5B0C" w:rsidP="004C5B0C">
      <w:pPr>
        <w:autoSpaceDE w:val="0"/>
        <w:autoSpaceDN w:val="0"/>
        <w:adjustRightInd w:val="0"/>
        <w:spacing w:before="200"/>
        <w:rPr>
          <w:color w:val="000000"/>
        </w:rPr>
      </w:pPr>
      <w:r w:rsidRPr="001569FB">
        <w:rPr>
          <w:color w:val="000000"/>
        </w:rPr>
        <w:t>The Health Plan Management System (HPMS) Bid Upload functionality, which is</w:t>
      </w:r>
      <w:r w:rsidRPr="001569FB">
        <w:rPr>
          <w:color w:val="000000"/>
          <w:spacing w:val="-8"/>
        </w:rPr>
        <w:t xml:space="preserve"> </w:t>
      </w:r>
      <w:r w:rsidRPr="001569FB">
        <w:rPr>
          <w:color w:val="000000"/>
        </w:rPr>
        <w:t>made available to organizations in May, allows organizations to submit each required bid</w:t>
      </w:r>
      <w:r w:rsidRPr="001569FB">
        <w:rPr>
          <w:color w:val="000000"/>
          <w:spacing w:val="-12"/>
        </w:rPr>
        <w:t xml:space="preserve"> </w:t>
      </w:r>
      <w:r w:rsidRPr="001569FB">
        <w:rPr>
          <w:color w:val="000000"/>
        </w:rPr>
        <w:t>component well in advance of the deadline. The Bid Upload functionality includes reporting tools that</w:t>
      </w:r>
      <w:r w:rsidRPr="001569FB">
        <w:rPr>
          <w:color w:val="000000"/>
          <w:spacing w:val="-18"/>
        </w:rPr>
        <w:t xml:space="preserve"> </w:t>
      </w:r>
      <w:r w:rsidRPr="001569FB">
        <w:rPr>
          <w:color w:val="000000"/>
        </w:rPr>
        <w:t>track those components that were successfully submitted and those that are still outstanding.</w:t>
      </w:r>
      <w:r w:rsidRPr="001569FB">
        <w:rPr>
          <w:color w:val="000000"/>
          <w:spacing w:val="-8"/>
        </w:rPr>
        <w:t xml:space="preserve"> </w:t>
      </w:r>
      <w:r w:rsidRPr="001569FB">
        <w:rPr>
          <w:color w:val="000000"/>
        </w:rPr>
        <w:t>Organizations should take advantage of these resources and make certain that all</w:t>
      </w:r>
      <w:r w:rsidRPr="001569FB">
        <w:rPr>
          <w:color w:val="000000"/>
          <w:spacing w:val="-10"/>
        </w:rPr>
        <w:t xml:space="preserve"> </w:t>
      </w:r>
      <w:r w:rsidRPr="001569FB">
        <w:rPr>
          <w:color w:val="000000"/>
        </w:rPr>
        <w:t>components of their bid are submitted successfully and accurately by the submission</w:t>
      </w:r>
      <w:r w:rsidRPr="001569FB">
        <w:rPr>
          <w:color w:val="000000"/>
          <w:spacing w:val="-13"/>
        </w:rPr>
        <w:t xml:space="preserve"> </w:t>
      </w:r>
      <w:r w:rsidRPr="001569FB">
        <w:rPr>
          <w:color w:val="000000"/>
        </w:rPr>
        <w:t>deadline.</w:t>
      </w:r>
    </w:p>
    <w:p w14:paraId="551286DF" w14:textId="77777777" w:rsidR="004C5B0C" w:rsidRPr="001569FB" w:rsidRDefault="004C5B0C" w:rsidP="004C5B0C">
      <w:pPr>
        <w:autoSpaceDE w:val="0"/>
        <w:autoSpaceDN w:val="0"/>
        <w:adjustRightInd w:val="0"/>
        <w:spacing w:before="200"/>
        <w:rPr>
          <w:color w:val="000000"/>
        </w:rPr>
      </w:pPr>
      <w:r w:rsidRPr="001569FB">
        <w:rPr>
          <w:color w:val="000000"/>
        </w:rPr>
        <w:t xml:space="preserve">All organizations are expected to contact the HPMS Help Desk at </w:t>
      </w:r>
      <w:hyperlink r:id="rId58" w:history="1">
        <w:r w:rsidRPr="001569FB">
          <w:rPr>
            <w:color w:val="0000FF"/>
            <w:u w:val="single"/>
          </w:rPr>
          <w:t>hpms@cms.hhs.gov</w:t>
        </w:r>
      </w:hyperlink>
      <w:r w:rsidRPr="001569FB">
        <w:rPr>
          <w:color w:val="000000"/>
        </w:rPr>
        <w:t xml:space="preserve"> about any technical upload or validation</w:t>
      </w:r>
      <w:r w:rsidRPr="001569FB">
        <w:rPr>
          <w:color w:val="000000"/>
          <w:spacing w:val="-13"/>
        </w:rPr>
        <w:t xml:space="preserve"> </w:t>
      </w:r>
      <w:r w:rsidRPr="001569FB">
        <w:rPr>
          <w:color w:val="000000"/>
        </w:rPr>
        <w:t>errors well in advance of the bid submission deadline.  All</w:t>
      </w:r>
      <w:r w:rsidRPr="001569FB">
        <w:rPr>
          <w:color w:val="000000"/>
          <w:spacing w:val="-11"/>
        </w:rPr>
        <w:t xml:space="preserve"> </w:t>
      </w:r>
      <w:r w:rsidRPr="001569FB">
        <w:rPr>
          <w:color w:val="000000"/>
        </w:rPr>
        <w:t>organizations should make sure that appropriate personnel are available both before and after the bid</w:t>
      </w:r>
      <w:r w:rsidRPr="001569FB">
        <w:rPr>
          <w:color w:val="000000"/>
          <w:spacing w:val="-11"/>
        </w:rPr>
        <w:t xml:space="preserve"> </w:t>
      </w:r>
      <w:r w:rsidRPr="001569FB">
        <w:rPr>
          <w:color w:val="000000"/>
        </w:rPr>
        <w:t>submission deadline to address any ongoing bid upload and/or validation issues that might prevent the</w:t>
      </w:r>
      <w:r w:rsidRPr="001569FB">
        <w:rPr>
          <w:color w:val="000000"/>
          <w:spacing w:val="-18"/>
        </w:rPr>
        <w:t xml:space="preserve"> </w:t>
      </w:r>
      <w:r w:rsidRPr="001569FB">
        <w:rPr>
          <w:color w:val="000000"/>
        </w:rPr>
        <w:t>bid from proceeding to desk</w:t>
      </w:r>
      <w:r w:rsidRPr="001569FB">
        <w:rPr>
          <w:color w:val="000000"/>
          <w:spacing w:val="-7"/>
        </w:rPr>
        <w:t xml:space="preserve"> </w:t>
      </w:r>
      <w:r w:rsidRPr="001569FB">
        <w:rPr>
          <w:color w:val="000000"/>
        </w:rPr>
        <w:t>review.</w:t>
      </w:r>
    </w:p>
    <w:p w14:paraId="42CCF626" w14:textId="77777777" w:rsidR="004C5B0C" w:rsidRPr="001569FB" w:rsidRDefault="004C5B0C" w:rsidP="004C5B0C">
      <w:pPr>
        <w:pStyle w:val="Heading4"/>
      </w:pPr>
      <w:bookmarkStart w:id="725" w:name="_Toc443480638"/>
      <w:bookmarkStart w:id="726" w:name="_Toc493523574"/>
      <w:bookmarkStart w:id="727" w:name="_Toc495652084"/>
      <w:r w:rsidRPr="001569FB">
        <w:t>Inaccurate</w:t>
      </w:r>
      <w:r w:rsidRPr="001569FB">
        <w:rPr>
          <w:spacing w:val="-8"/>
        </w:rPr>
        <w:t xml:space="preserve"> </w:t>
      </w:r>
      <w:r w:rsidRPr="001569FB">
        <w:t>Submissions</w:t>
      </w:r>
      <w:bookmarkEnd w:id="725"/>
      <w:bookmarkEnd w:id="726"/>
      <w:bookmarkEnd w:id="727"/>
    </w:p>
    <w:p w14:paraId="4C0BE12D" w14:textId="77777777" w:rsidR="004C5B0C" w:rsidRPr="001569FB" w:rsidRDefault="004C5B0C" w:rsidP="004C5B0C">
      <w:pPr>
        <w:autoSpaceDE w:val="0"/>
        <w:autoSpaceDN w:val="0"/>
        <w:adjustRightInd w:val="0"/>
        <w:rPr>
          <w:color w:val="000000"/>
        </w:rPr>
      </w:pPr>
      <w:r w:rsidRPr="001569FB">
        <w:rPr>
          <w:color w:val="000000"/>
        </w:rPr>
        <w:t>CMS reminds organizations that it will only approve a Part D bid under 42 C.F.R. §423.272(b)</w:t>
      </w:r>
      <w:r w:rsidRPr="001569FB">
        <w:rPr>
          <w:color w:val="000000"/>
          <w:spacing w:val="-12"/>
        </w:rPr>
        <w:t xml:space="preserve"> </w:t>
      </w:r>
      <w:r w:rsidRPr="001569FB">
        <w:rPr>
          <w:color w:val="000000"/>
        </w:rPr>
        <w:t>if the organization offering the plan’s bid complies with all applicable Part D</w:t>
      </w:r>
      <w:r w:rsidRPr="001569FB">
        <w:rPr>
          <w:color w:val="000000"/>
          <w:spacing w:val="-6"/>
        </w:rPr>
        <w:t xml:space="preserve"> </w:t>
      </w:r>
      <w:r w:rsidRPr="001569FB">
        <w:rPr>
          <w:color w:val="000000"/>
        </w:rPr>
        <w:t>requirements, including those related to the provision of qualified prescription drug coverage and</w:t>
      </w:r>
      <w:r w:rsidRPr="001569FB">
        <w:rPr>
          <w:color w:val="000000"/>
          <w:spacing w:val="-6"/>
        </w:rPr>
        <w:t xml:space="preserve"> </w:t>
      </w:r>
      <w:r w:rsidRPr="001569FB">
        <w:rPr>
          <w:color w:val="000000"/>
        </w:rPr>
        <w:t>actuarial determinations.  In addition, all Part C bids under §422.254(a)(3) must be complete, timely,</w:t>
      </w:r>
      <w:r w:rsidRPr="001569FB">
        <w:rPr>
          <w:color w:val="000000"/>
          <w:spacing w:val="-14"/>
        </w:rPr>
        <w:t xml:space="preserve"> </w:t>
      </w:r>
      <w:r w:rsidRPr="001569FB">
        <w:rPr>
          <w:color w:val="000000"/>
        </w:rPr>
        <w:t>and accurate or CMS has the authority to impose sanctions or may choose not to renew the</w:t>
      </w:r>
      <w:r w:rsidRPr="001569FB">
        <w:rPr>
          <w:color w:val="000000"/>
          <w:spacing w:val="-18"/>
        </w:rPr>
        <w:t xml:space="preserve"> </w:t>
      </w:r>
      <w:r w:rsidRPr="001569FB">
        <w:rPr>
          <w:color w:val="000000"/>
        </w:rPr>
        <w:t>contract (see also §§422.256 and 423.265).  Bids that contain inaccurate information and/or fail to</w:t>
      </w:r>
      <w:r w:rsidRPr="001569FB">
        <w:rPr>
          <w:color w:val="000000"/>
          <w:spacing w:val="-8"/>
        </w:rPr>
        <w:t xml:space="preserve"> </w:t>
      </w:r>
      <w:r w:rsidRPr="001569FB">
        <w:rPr>
          <w:color w:val="000000"/>
        </w:rPr>
        <w:t>meet established thresholds may, among other things, result in an unnecessary diversion of CMS</w:t>
      </w:r>
      <w:r w:rsidRPr="001569FB">
        <w:rPr>
          <w:color w:val="000000"/>
          <w:spacing w:val="-14"/>
        </w:rPr>
        <w:t xml:space="preserve"> </w:t>
      </w:r>
      <w:r w:rsidRPr="001569FB">
        <w:rPr>
          <w:color w:val="000000"/>
        </w:rPr>
        <w:t>and organizations’ and sponsors’ time and call into question an organization’s or a sponsor’s ability and intention</w:t>
      </w:r>
      <w:r w:rsidRPr="001569FB">
        <w:rPr>
          <w:color w:val="000000"/>
          <w:spacing w:val="-17"/>
        </w:rPr>
        <w:t xml:space="preserve"> </w:t>
      </w:r>
      <w:r w:rsidRPr="001569FB">
        <w:rPr>
          <w:color w:val="000000"/>
        </w:rPr>
        <w:t>to fully comply with Part C and D</w:t>
      </w:r>
      <w:r w:rsidRPr="001569FB">
        <w:rPr>
          <w:color w:val="000000"/>
          <w:spacing w:val="-7"/>
        </w:rPr>
        <w:t xml:space="preserve"> </w:t>
      </w:r>
      <w:r w:rsidRPr="001569FB">
        <w:rPr>
          <w:color w:val="000000"/>
        </w:rPr>
        <w:t>requirements.  Examples of bids containing information that is clearly inaccurate under Part D requirements</w:t>
      </w:r>
      <w:r w:rsidRPr="001569FB">
        <w:rPr>
          <w:color w:val="000000"/>
          <w:spacing w:val="-14"/>
        </w:rPr>
        <w:t xml:space="preserve"> </w:t>
      </w:r>
      <w:r w:rsidRPr="001569FB">
        <w:rPr>
          <w:color w:val="000000"/>
        </w:rPr>
        <w:t>and established thresholds</w:t>
      </w:r>
      <w:r w:rsidRPr="001569FB">
        <w:rPr>
          <w:color w:val="000000"/>
          <w:spacing w:val="-5"/>
        </w:rPr>
        <w:t xml:space="preserve"> </w:t>
      </w:r>
      <w:r w:rsidRPr="001569FB">
        <w:rPr>
          <w:color w:val="000000"/>
        </w:rPr>
        <w:t>are:</w:t>
      </w:r>
    </w:p>
    <w:p w14:paraId="7ECA5F39" w14:textId="77777777" w:rsidR="004C5B0C" w:rsidRPr="001569FB" w:rsidRDefault="004C5B0C" w:rsidP="00AC78D9">
      <w:pPr>
        <w:widowControl w:val="0"/>
        <w:numPr>
          <w:ilvl w:val="0"/>
          <w:numId w:val="33"/>
        </w:numPr>
        <w:ind w:left="1080"/>
        <w:rPr>
          <w:color w:val="000000"/>
        </w:rPr>
      </w:pPr>
      <w:r w:rsidRPr="001569FB">
        <w:rPr>
          <w:color w:val="000000"/>
        </w:rPr>
        <w:t>An MA-PD bid that does not offer required prescription drug coverage throughout</w:t>
      </w:r>
      <w:r w:rsidRPr="001569FB">
        <w:rPr>
          <w:color w:val="000000"/>
          <w:spacing w:val="-8"/>
        </w:rPr>
        <w:t xml:space="preserve"> </w:t>
      </w:r>
      <w:r w:rsidRPr="001569FB">
        <w:rPr>
          <w:color w:val="000000"/>
        </w:rPr>
        <w:t>its service area as required under §423.104(f)(2) (see also section 20.4.4 of Chapter 5 of</w:t>
      </w:r>
      <w:r w:rsidRPr="001569FB">
        <w:rPr>
          <w:color w:val="000000"/>
          <w:spacing w:val="-13"/>
        </w:rPr>
        <w:t xml:space="preserve"> </w:t>
      </w:r>
      <w:r w:rsidRPr="001569FB">
        <w:rPr>
          <w:color w:val="000000"/>
        </w:rPr>
        <w:t>the Prescription Drug Benefit</w:t>
      </w:r>
      <w:r w:rsidRPr="001569FB">
        <w:rPr>
          <w:color w:val="000000"/>
          <w:spacing w:val="-2"/>
        </w:rPr>
        <w:t xml:space="preserve"> </w:t>
      </w:r>
      <w:r w:rsidRPr="001569FB">
        <w:rPr>
          <w:color w:val="000000"/>
        </w:rPr>
        <w:t>Manual),</w:t>
      </w:r>
    </w:p>
    <w:p w14:paraId="34B412C8" w14:textId="77777777" w:rsidR="004C5B0C" w:rsidRPr="001569FB" w:rsidRDefault="004C5B0C" w:rsidP="00AC78D9">
      <w:pPr>
        <w:widowControl w:val="0"/>
        <w:numPr>
          <w:ilvl w:val="0"/>
          <w:numId w:val="33"/>
        </w:numPr>
        <w:ind w:left="1080"/>
        <w:rPr>
          <w:color w:val="000000"/>
        </w:rPr>
      </w:pPr>
      <w:r w:rsidRPr="001569FB">
        <w:rPr>
          <w:color w:val="000000"/>
        </w:rPr>
        <w:t>A PDP bid for a non-defined standard plan that does not meet the Part D</w:t>
      </w:r>
      <w:r w:rsidRPr="001569FB">
        <w:rPr>
          <w:color w:val="000000"/>
          <w:spacing w:val="-8"/>
        </w:rPr>
        <w:t xml:space="preserve"> </w:t>
      </w:r>
      <w:r w:rsidRPr="001569FB">
        <w:rPr>
          <w:color w:val="000000"/>
        </w:rPr>
        <w:t>Benefit Parameters set forth in the applicable law and defined benefit thresholds specified in</w:t>
      </w:r>
      <w:r w:rsidRPr="001569FB">
        <w:rPr>
          <w:color w:val="000000"/>
          <w:spacing w:val="-14"/>
        </w:rPr>
        <w:t xml:space="preserve"> </w:t>
      </w:r>
      <w:r w:rsidRPr="001569FB">
        <w:rPr>
          <w:color w:val="000000"/>
        </w:rPr>
        <w:t>the CY 2019 Call Letter,</w:t>
      </w:r>
      <w:r w:rsidRPr="001569FB">
        <w:rPr>
          <w:color w:val="000000"/>
          <w:spacing w:val="1"/>
        </w:rPr>
        <w:t xml:space="preserve"> </w:t>
      </w:r>
      <w:r w:rsidRPr="001569FB">
        <w:rPr>
          <w:color w:val="000000"/>
        </w:rPr>
        <w:t>or</w:t>
      </w:r>
    </w:p>
    <w:p w14:paraId="7B414CE8" w14:textId="77777777" w:rsidR="004C5B0C" w:rsidRPr="001569FB" w:rsidRDefault="004C5B0C" w:rsidP="00AC78D9">
      <w:pPr>
        <w:widowControl w:val="0"/>
        <w:numPr>
          <w:ilvl w:val="0"/>
          <w:numId w:val="33"/>
        </w:numPr>
        <w:ind w:left="1080"/>
        <w:rPr>
          <w:color w:val="000000"/>
        </w:rPr>
      </w:pPr>
      <w:r w:rsidRPr="001569FB">
        <w:rPr>
          <w:color w:val="000000"/>
        </w:rPr>
        <w:t>A Part D bid that includes an incorrect PBP-to-formulary</w:t>
      </w:r>
      <w:r w:rsidRPr="001569FB">
        <w:rPr>
          <w:color w:val="000000"/>
          <w:spacing w:val="-5"/>
        </w:rPr>
        <w:t xml:space="preserve"> </w:t>
      </w:r>
      <w:r w:rsidRPr="001569FB">
        <w:rPr>
          <w:color w:val="000000"/>
        </w:rPr>
        <w:t>crosswalk.</w:t>
      </w:r>
    </w:p>
    <w:p w14:paraId="133060B6" w14:textId="77777777" w:rsidR="004C5B0C" w:rsidRPr="001569FB" w:rsidRDefault="004C5B0C" w:rsidP="004C5B0C">
      <w:pPr>
        <w:autoSpaceDE w:val="0"/>
        <w:autoSpaceDN w:val="0"/>
        <w:adjustRightInd w:val="0"/>
        <w:rPr>
          <w:color w:val="000000"/>
        </w:rPr>
      </w:pPr>
      <w:r w:rsidRPr="001569FB">
        <w:rPr>
          <w:color w:val="000000"/>
        </w:rPr>
        <w:t xml:space="preserve">CMS will issue a compliance notice or request for a corrective action plan to organizations and sponsors that submit clearly inaccurate bids on June 4, 2018 or otherwise violate bidding procedures.  Actions triggering such compliance action could include, but are not limited to, the </w:t>
      </w:r>
      <w:r w:rsidRPr="001569FB">
        <w:rPr>
          <w:color w:val="000000"/>
        </w:rPr>
        <w:lastRenderedPageBreak/>
        <w:t>resubmission of bids prior to CMS authorization for bid modification, failure to meet Part C and D requirements, or failure to meet established thresholds.  In addition, organizations and sponsors that</w:t>
      </w:r>
      <w:r w:rsidRPr="001569FB">
        <w:rPr>
          <w:color w:val="000000"/>
          <w:spacing w:val="-4"/>
        </w:rPr>
        <w:t xml:space="preserve"> </w:t>
      </w:r>
      <w:r w:rsidRPr="001569FB">
        <w:rPr>
          <w:color w:val="000000"/>
        </w:rPr>
        <w:t>submit inaccurate bids may not be allowed to revise their bids to correct inaccuracies, and the bids</w:t>
      </w:r>
      <w:r w:rsidRPr="001569FB">
        <w:rPr>
          <w:color w:val="000000"/>
          <w:spacing w:val="-11"/>
        </w:rPr>
        <w:t xml:space="preserve"> </w:t>
      </w:r>
      <w:r w:rsidRPr="001569FB">
        <w:rPr>
          <w:color w:val="000000"/>
        </w:rPr>
        <w:t>may be denied. Organizations and sponsors should engage in sufficient due diligence to make</w:t>
      </w:r>
      <w:r w:rsidRPr="001569FB">
        <w:rPr>
          <w:color w:val="000000"/>
          <w:spacing w:val="-10"/>
        </w:rPr>
        <w:t xml:space="preserve"> </w:t>
      </w:r>
      <w:r w:rsidRPr="001569FB">
        <w:rPr>
          <w:color w:val="000000"/>
        </w:rPr>
        <w:t>certain their bids are accurate before</w:t>
      </w:r>
      <w:r w:rsidRPr="001569FB">
        <w:rPr>
          <w:color w:val="000000"/>
          <w:spacing w:val="-8"/>
        </w:rPr>
        <w:t xml:space="preserve"> </w:t>
      </w:r>
      <w:r w:rsidRPr="001569FB">
        <w:rPr>
          <w:color w:val="000000"/>
        </w:rPr>
        <w:t xml:space="preserve">submission. </w:t>
      </w:r>
    </w:p>
    <w:p w14:paraId="41FAE67B" w14:textId="5D67BD92" w:rsidR="004C5B0C" w:rsidRPr="001569FB" w:rsidRDefault="009D4953" w:rsidP="004C5B0C">
      <w:pPr>
        <w:pStyle w:val="Heading3"/>
      </w:pPr>
      <w:bookmarkStart w:id="728" w:name="_Toc443480639"/>
      <w:bookmarkStart w:id="729" w:name="_Toc493523575"/>
      <w:bookmarkStart w:id="730" w:name="_Toc495652085"/>
      <w:bookmarkStart w:id="731" w:name="_Toc505253832"/>
      <w:r>
        <w:t>Section I</w:t>
      </w:r>
      <w:r w:rsidRPr="001569FB">
        <w:t xml:space="preserve"> </w:t>
      </w:r>
      <w:r w:rsidR="004C5B0C" w:rsidRPr="001569FB">
        <w:t>Plan</w:t>
      </w:r>
      <w:r w:rsidR="004C5B0C" w:rsidRPr="001569FB">
        <w:rPr>
          <w:spacing w:val="-2"/>
        </w:rPr>
        <w:t xml:space="preserve"> </w:t>
      </w:r>
      <w:r w:rsidR="004C5B0C" w:rsidRPr="001569FB">
        <w:t>Corrections</w:t>
      </w:r>
      <w:bookmarkEnd w:id="728"/>
      <w:bookmarkEnd w:id="729"/>
      <w:bookmarkEnd w:id="730"/>
      <w:bookmarkEnd w:id="731"/>
    </w:p>
    <w:p w14:paraId="5168D7A5" w14:textId="77777777" w:rsidR="004C5B0C" w:rsidRPr="001569FB" w:rsidRDefault="004C5B0C" w:rsidP="004C5B0C">
      <w:pPr>
        <w:autoSpaceDE w:val="0"/>
        <w:autoSpaceDN w:val="0"/>
        <w:adjustRightInd w:val="0"/>
        <w:spacing w:before="200"/>
        <w:rPr>
          <w:color w:val="000000"/>
        </w:rPr>
      </w:pPr>
      <w:r w:rsidRPr="001569FB">
        <w:rPr>
          <w:color w:val="000000"/>
        </w:rPr>
        <w:t>As required by 42 C.F.R. §§422.254, 423.265(c)(3) and 423.505(k)(4), completion of the final actuarial certification serves as documentation that the final bid, as uploaded, has been verified and is complete and accurate at the time of submission.  A request by an organization or sponsor for a plan correction indicates the presence of inaccuracies and/or the incompleteness of a bid and calls into question an organization’s or sponsor’s ability to submit correct bids and the validity of the final actuarial certification and bid attestation. A plan correction provides plans with the opportunity to change information in the PBP and must be supported by the BPT. Typos or minor data input errors that do not affect benefits do not need to be submitted as a plan correction.  MA organizations are encouraged to conduct a quality review prior to bid submission, and are permitted to make necessary changes during the bid review process to align information in the PBP with the submitted BPT.</w:t>
      </w:r>
    </w:p>
    <w:p w14:paraId="3E25C269" w14:textId="77777777" w:rsidR="004C5B0C" w:rsidRPr="001569FB" w:rsidRDefault="004C5B0C" w:rsidP="004C5B0C">
      <w:pPr>
        <w:autoSpaceDE w:val="0"/>
        <w:autoSpaceDN w:val="0"/>
        <w:adjustRightInd w:val="0"/>
        <w:spacing w:before="200"/>
        <w:rPr>
          <w:color w:val="000000"/>
        </w:rPr>
      </w:pPr>
      <w:r w:rsidRPr="001569FB">
        <w:rPr>
          <w:color w:val="000000"/>
        </w:rPr>
        <w:t xml:space="preserve">After bids are approved, CMS will not reopen the submission gates to correct errors identified by the organization or sponsor until the plan correction window in September.  The plan correction window will be open from early September to late September 2018 and the specific dates will be announced in future guidance.  The only changes to the PBP that are allowed during the plan correction period are those that modify the PBP data to align with the BPT.  No changes to the BPT are permitted during the plan correction period. </w:t>
      </w:r>
    </w:p>
    <w:p w14:paraId="49A01E72" w14:textId="77777777" w:rsidR="004C5B0C" w:rsidRPr="001569FB" w:rsidRDefault="004C5B0C" w:rsidP="004C5B0C">
      <w:pPr>
        <w:autoSpaceDE w:val="0"/>
        <w:autoSpaceDN w:val="0"/>
        <w:adjustRightInd w:val="0"/>
        <w:spacing w:before="200"/>
        <w:rPr>
          <w:color w:val="000000"/>
        </w:rPr>
      </w:pPr>
      <w:r w:rsidRPr="001569FB">
        <w:rPr>
          <w:color w:val="000000"/>
        </w:rPr>
        <w:t>In advance of the bid submission deadline, CMS will provide organizations and sponsors the guidance and tools necessary for a complete and accurate bid submission.  These tools will include a Medicare Plan Finder (MPF) summary table report that will be released in HPMS in May.  Organizations and sponsors can upload their bid multiple times in HPMS prior to bid submission and can use the HPMS bid reports to verify the accuracy of the submitted bids.  Organizations and sponsors are encouraged to use this time prior to the submission deadline to verify their bid will not require a plan correction.  Organizations and sponsors submitting plan corrections will receive a compliance action and will be suppressed in MPF until the first MPF update in November.  In addition, CMS may issue more severe compliance actions such as warning letters and requests for corrective action plans to organizations and sponsors that have demonstrated a consistent pattern of bid submission errors over multiple contract years and/or previously received a compliance notice relating to a plan correction for CY 2018.</w:t>
      </w:r>
    </w:p>
    <w:p w14:paraId="1EBCCF43" w14:textId="133E488B" w:rsidR="004C5B0C" w:rsidRPr="001569FB" w:rsidRDefault="009D4953" w:rsidP="004C5B0C">
      <w:pPr>
        <w:pStyle w:val="Heading3"/>
      </w:pPr>
      <w:bookmarkStart w:id="732" w:name="_Toc493523563"/>
      <w:bookmarkStart w:id="733" w:name="_Toc495652073"/>
      <w:bookmarkStart w:id="734" w:name="_Toc505253833"/>
      <w:r>
        <w:lastRenderedPageBreak/>
        <w:t>Section I</w:t>
      </w:r>
      <w:r w:rsidRPr="001569FB">
        <w:t xml:space="preserve"> </w:t>
      </w:r>
      <w:r w:rsidR="004C5B0C" w:rsidRPr="001569FB">
        <w:t>Validation Audits</w:t>
      </w:r>
      <w:bookmarkEnd w:id="732"/>
      <w:bookmarkEnd w:id="733"/>
      <w:bookmarkEnd w:id="734"/>
    </w:p>
    <w:p w14:paraId="4C67FAA1" w14:textId="77777777" w:rsidR="004C5B0C" w:rsidRPr="001569FB" w:rsidRDefault="004C5B0C" w:rsidP="004C5B0C">
      <w:pPr>
        <w:pStyle w:val="BodyText0"/>
        <w:spacing w:beforeLines="100" w:before="240"/>
      </w:pPr>
      <w:r w:rsidRPr="001569FB">
        <w:t xml:space="preserve">CMS conducts program audits of Medicare Advantage Organizations (MAOs), Prescription Drug Plans (PDPs), and Medicare-Medicaid Plans (MMPs), here collectively referred to as “sponsoring organizations,” that participate in these programs. These program audits measure a sponsoring organization’s compliance with the terms of its contract with CMS, in particular the requirements associated with access to medical services, drugs, and other beneficiary protections required by Medicare. CMS requires sponsoring organizations who have been audited and found to have deficiencies to undergo a validation audit to ensure correction. </w:t>
      </w:r>
    </w:p>
    <w:p w14:paraId="4C06E2A8" w14:textId="77777777" w:rsidR="004C5B0C" w:rsidRPr="001569FB" w:rsidRDefault="004C5B0C" w:rsidP="004C5B0C">
      <w:pPr>
        <w:pStyle w:val="BodyText0"/>
        <w:spacing w:beforeLines="100" w:before="240"/>
      </w:pPr>
      <w:r w:rsidRPr="001569FB">
        <w:t xml:space="preserve">Since 2016, pursuant to 42 CFR §§422.503(d)(2)(iv) and 423.504(d)(2)(iv), CMS has required that when an audit demonstrates that a sponsoring organization has failed to comply with program requirements, the sponsoring organization must hire an independent auditor to conduct a validation audit to demonstrate correction of conditions cited during the initial audit.  CMS’s current guidance titled “Program Audit Validation Close-Out” is available on CMS’s Part C and Part D Compliance and Audits webpage, in the “Program Audits” section at the following link: </w:t>
      </w:r>
      <w:hyperlink r:id="rId59" w:history="1">
        <w:r w:rsidRPr="001569FB">
          <w:rPr>
            <w:rStyle w:val="Hyperlink"/>
            <w:rFonts w:eastAsiaTheme="minorHAnsi"/>
            <w:color w:val="0000FF" w:themeColor="hyperlink"/>
          </w:rPr>
          <w:t>https://www.cms.gov/Medicare/Compliance-and-Audits/Part-C-and-Part-D-Compliance-and-Audits/ProgramAudits.html</w:t>
        </w:r>
      </w:hyperlink>
      <w:r w:rsidRPr="001569FB">
        <w:t>.</w:t>
      </w:r>
    </w:p>
    <w:p w14:paraId="3F321DA6" w14:textId="77777777" w:rsidR="004C5B0C" w:rsidRPr="001569FB" w:rsidRDefault="004C5B0C" w:rsidP="004C5B0C">
      <w:pPr>
        <w:pStyle w:val="BodyText0"/>
        <w:spacing w:beforeLines="100" w:before="240"/>
      </w:pPr>
      <w:r w:rsidRPr="001569FB">
        <w:t xml:space="preserve">On July 18, 2017, CMS hosted a listening session to solicit industry input on ways in which the program audit validation process could be improved.  Sponsors and independent auditing firms provided valuable feedback during that session and via email in the weeks following the event.  Based  the feedback, CMS is considering several process improvements and enhancements to the program audit validation process that are intended to promote consistency and decrease burden on Sponsors.  </w:t>
      </w:r>
    </w:p>
    <w:p w14:paraId="00A84240" w14:textId="77777777" w:rsidR="004C5B0C" w:rsidRPr="001569FB" w:rsidRDefault="004C5B0C" w:rsidP="004C5B0C">
      <w:pPr>
        <w:pStyle w:val="BodyText0"/>
        <w:spacing w:beforeLines="100" w:before="240"/>
      </w:pPr>
      <w:r w:rsidRPr="001569FB">
        <w:t xml:space="preserve">We welcome comments on the process changes summarized below.  Any modifications to the validation audit process will be summarized in the final 2019 Call Letter and reflected in the Program Audit Validation Close-Out guidance available on the Compliance and Audits webpage. </w:t>
      </w:r>
    </w:p>
    <w:p w14:paraId="520235AA" w14:textId="77777777" w:rsidR="004C5B0C" w:rsidRPr="001569FB" w:rsidRDefault="004C5B0C" w:rsidP="004C5B0C">
      <w:pPr>
        <w:pStyle w:val="Heading4"/>
      </w:pPr>
      <w:bookmarkStart w:id="735" w:name="_Toc493068352"/>
      <w:bookmarkStart w:id="736" w:name="_Toc493523564"/>
      <w:bookmarkStart w:id="737" w:name="_Toc495652074"/>
      <w:r w:rsidRPr="001569FB">
        <w:t>Threshold for Requiring an Independent Validation Audit</w:t>
      </w:r>
      <w:bookmarkEnd w:id="735"/>
      <w:bookmarkEnd w:id="736"/>
      <w:bookmarkEnd w:id="737"/>
    </w:p>
    <w:p w14:paraId="39D19F3D" w14:textId="77777777" w:rsidR="004C5B0C" w:rsidRPr="001569FB" w:rsidRDefault="004C5B0C" w:rsidP="004C5B0C">
      <w:pPr>
        <w:pStyle w:val="BodyText0"/>
      </w:pPr>
      <w:r w:rsidRPr="001569FB">
        <w:t>CMS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We are seeking comments on whether this threshold should be increased or decreased, or limited to conditions that may cause adverse impacts to beneficiaries.  Our proposal described below aims to exclude a category of conditions from consideration in the threshold because they do not directly and adversely impact beneficiaries.</w:t>
      </w:r>
    </w:p>
    <w:p w14:paraId="39D6BC5B" w14:textId="77777777" w:rsidR="004C5B0C" w:rsidRPr="001569FB" w:rsidRDefault="004C5B0C" w:rsidP="004C5B0C">
      <w:pPr>
        <w:pStyle w:val="BodyText0"/>
      </w:pPr>
      <w:bookmarkStart w:id="738" w:name="_Toc493068353"/>
      <w:bookmarkStart w:id="739" w:name="_Toc493523565"/>
      <w:bookmarkStart w:id="740" w:name="_Toc495652075"/>
      <w:r w:rsidRPr="001569FB">
        <w:t xml:space="preserve">During the validation listening session, sponsoring organizations requested flexibility regarding the threshold for requiring an independent audit, asserting that there were challenges with hiring an independent auditing firm when only a limited number of conditions required validation.  In </w:t>
      </w:r>
      <w:r w:rsidRPr="001569FB">
        <w:lastRenderedPageBreak/>
        <w:t>response to this comment, we propose to modify the threshold used to determine when a sponsoring organization must hire an independent auditing firm.  Specifically, CMS intends to exclude Compliance Program Effectiveness (CPE) conditions from the threshold calculation.   The identification of CPE conditions in a program audit indicate weakness(es) in a sponsoring organization’s compliance program and its ability to prevent, detect and correct Medicare Parts C or D program</w:t>
      </w:r>
      <w:r w:rsidRPr="001569FB">
        <w:rPr>
          <w:spacing w:val="-23"/>
        </w:rPr>
        <w:t xml:space="preserve"> </w:t>
      </w:r>
      <w:r w:rsidRPr="001569FB">
        <w:t xml:space="preserve">non- compliance and fraud, waste and abuse (FWA) in a timely and well-documented manner.  As such, CPE conditions require a customized audit approach that specifically tests correction of the issue but usually requires a lower level of effort from auditors to determine if the non-compliance has been corrected.  For this reason, we believe that it is appropriate to exclude these conditions from the threshold calculation.  Sponsoring organizations with more than five non-CPE conditions cited in their final audit report will be required to hire an independent auditing firm.  CMS will conduct the validation audits of sponsoring organizations that fall below this proposed threshold.  As a result, we estimate that the number of  sponsoring organizations that will be required to hire an independent auditing firm will decrease by approximately three percent.  </w:t>
      </w:r>
    </w:p>
    <w:p w14:paraId="7E04B6B0" w14:textId="77777777" w:rsidR="004C5B0C" w:rsidRPr="001569FB" w:rsidRDefault="004C5B0C" w:rsidP="004C5B0C">
      <w:pPr>
        <w:pStyle w:val="BodyText0"/>
      </w:pPr>
      <w:r w:rsidRPr="001569FB">
        <w:t xml:space="preserve">We also clarify that although we intend to exclude CPE conditions from the threshold calculation used in determining whether a sponsoring organization would be required to hire an independent auditing firm, the requirement to validate correction of CPE conditions would not be eliminated.  Once a sponsoring organization meets or exceeds the threshold, thus requiring an independent audit, all conditions, including CPE conditions, identified during the program audit must be validated by the independent auditor. Likewise, if the sponsoring organization audit results are below the threshold, CMS will conduct the validation of all conditions, including CPE. </w:t>
      </w:r>
    </w:p>
    <w:p w14:paraId="15E170A8" w14:textId="77777777" w:rsidR="004C5B0C" w:rsidRPr="001569FB" w:rsidRDefault="004C5B0C" w:rsidP="004C5B0C">
      <w:pPr>
        <w:pStyle w:val="Heading4"/>
      </w:pPr>
      <w:r w:rsidRPr="001569FB">
        <w:t>Conflict of Interest Limitations on Independent Auditing Firms</w:t>
      </w:r>
      <w:bookmarkEnd w:id="738"/>
      <w:bookmarkEnd w:id="739"/>
      <w:bookmarkEnd w:id="740"/>
    </w:p>
    <w:p w14:paraId="04AB941C" w14:textId="77777777" w:rsidR="004C5B0C" w:rsidRPr="001569FB" w:rsidRDefault="004C5B0C" w:rsidP="004C5B0C">
      <w:pPr>
        <w:pStyle w:val="BodyText0"/>
      </w:pPr>
      <w:r w:rsidRPr="001569FB">
        <w:t>Currently, when an independent validation audit is required, the sponsoring organization must ensure that the independent auditing firm is free of any conflicts of interest.  Examples of conflicts of interest include consultants who provide management consulting to the sponsoring organization, assist the sponsoring organizations with audit-related operations, and/or assist with the correction of the sponsoring organization’s audit conditions.  However, consultants used by the sponsoring organization to conduct “mock audits”, “pre-assessments” or prior independent audits, or those who have never provided consult or assistance with the correction of audit findings for the sponsoring organization are not considered to have a conflict of interest.</w:t>
      </w:r>
    </w:p>
    <w:p w14:paraId="455D96B1" w14:textId="77777777" w:rsidR="004C5B0C" w:rsidRPr="001569FB" w:rsidRDefault="004C5B0C" w:rsidP="004C5B0C">
      <w:pPr>
        <w:pStyle w:val="BodyText0"/>
      </w:pPr>
      <w:r w:rsidRPr="001569FB">
        <w:t xml:space="preserve">During the validation listening session, sponsoring organizations requested that CMS permit the use of the same auditing firm used for their annual external Compliance Program Effectiveness (CPE) audit for conducting the validation audit.  We want to clarify that sponsoring organizations are not precluded from selecting the same independent auditing firm that is used for their annual external CPE audit, as long as the firm has not provided consulting services or assistance with the correction of audit findings.  Sponsoring organizations with specific </w:t>
      </w:r>
      <w:r w:rsidRPr="001569FB">
        <w:lastRenderedPageBreak/>
        <w:t xml:space="preserve">questions as to whether a potential conflict of interest exists should contact their CMS validation lead for individual guidance. </w:t>
      </w:r>
    </w:p>
    <w:p w14:paraId="326AD7B2" w14:textId="77777777" w:rsidR="004C5B0C" w:rsidRPr="001569FB" w:rsidRDefault="004C5B0C" w:rsidP="004C5B0C">
      <w:pPr>
        <w:pStyle w:val="BodyText0"/>
      </w:pPr>
      <w:bookmarkStart w:id="741" w:name="_Toc493068354"/>
      <w:bookmarkStart w:id="742" w:name="_Toc493523566"/>
      <w:bookmarkStart w:id="743" w:name="_Toc495652076"/>
      <w:r w:rsidRPr="001569FB">
        <w:t xml:space="preserve">As outlined below, CMS also would begin to collect information from independent auditing firms in the validation work plan that will be helpful in assessing potential conflicts of interest.  </w:t>
      </w:r>
    </w:p>
    <w:p w14:paraId="47E1A7DF" w14:textId="77777777" w:rsidR="004C5B0C" w:rsidRPr="001569FB" w:rsidRDefault="004C5B0C" w:rsidP="004C5B0C">
      <w:pPr>
        <w:pStyle w:val="Heading4"/>
      </w:pPr>
      <w:r w:rsidRPr="001569FB">
        <w:t>Required use of CMS Validation Audit Work Plan Template</w:t>
      </w:r>
      <w:bookmarkEnd w:id="741"/>
      <w:bookmarkEnd w:id="742"/>
      <w:bookmarkEnd w:id="743"/>
    </w:p>
    <w:p w14:paraId="36F1F88B" w14:textId="77777777" w:rsidR="004C5B0C" w:rsidRPr="001569FB" w:rsidRDefault="004C5B0C" w:rsidP="004C5B0C">
      <w:pPr>
        <w:pStyle w:val="BodyText0"/>
      </w:pPr>
      <w:r w:rsidRPr="001569FB">
        <w:t xml:space="preserve">As outlined in CMS’s current guidance, essential elements must be included in validation audit work plans and reports but the format and design are left to the discretion of the independent auditing firm.  </w:t>
      </w:r>
    </w:p>
    <w:p w14:paraId="7BD8C0DD" w14:textId="77777777" w:rsidR="004C5B0C" w:rsidRPr="001569FB" w:rsidRDefault="004C5B0C" w:rsidP="004C5B0C">
      <w:pPr>
        <w:pStyle w:val="BodyText0"/>
      </w:pPr>
      <w:r w:rsidRPr="001569FB">
        <w:t>Under the current process, CMS meets with the sponsoring organization and validation auditor after reviewing the validation work plan to request clarification and discuss any required modifications.  Because independent validation audits were new in 2016, and given the individualized nature of each audit, CMS found these discussions valuable in defining sampling methods and universe periods and ensuring overall consistency across validation audits.</w:t>
      </w:r>
    </w:p>
    <w:p w14:paraId="456BCC5B" w14:textId="77777777" w:rsidR="004C5B0C" w:rsidRPr="001569FB" w:rsidRDefault="004C5B0C" w:rsidP="004C5B0C">
      <w:pPr>
        <w:pStyle w:val="BodyText0"/>
      </w:pPr>
      <w:r w:rsidRPr="001569FB">
        <w:t xml:space="preserve">During the validation listening session, sponsoring organizations indicated that bids from independent auditing firms varied.  Other commenters asserted that the reason for the price variance was that some independent auditing firms employ a minimum of two auditors per audit program area and include registered clinicians, but other firms do not.  Several commenters expressed support for a standardized audit work plan template to promote consistency and efficiency. </w:t>
      </w:r>
    </w:p>
    <w:p w14:paraId="538B9274" w14:textId="77777777" w:rsidR="004C5B0C" w:rsidRPr="001569FB" w:rsidRDefault="004C5B0C" w:rsidP="004C5B0C">
      <w:pPr>
        <w:pStyle w:val="BodyText0"/>
      </w:pPr>
      <w:r w:rsidRPr="001569FB">
        <w:t xml:space="preserve">Based on CMS’s experience in reviewing validation audit work plans and industry input, we intend to create a validation work plan template that sponsoring organizations undergoing independent validation audits in 2019 would be required to submit.  In accordance with the Paperwork Reduction Act of 1995 (the PRA), we intend to include the draft template in an upcoming Federal Register proposed information collection.  </w:t>
      </w:r>
    </w:p>
    <w:p w14:paraId="2C7E4C5A" w14:textId="77777777" w:rsidR="004C5B0C" w:rsidRPr="001569FB" w:rsidRDefault="004C5B0C" w:rsidP="004C5B0C">
      <w:pPr>
        <w:pStyle w:val="BodyText0"/>
        <w:spacing w:before="0"/>
        <w:ind w:right="1066"/>
      </w:pPr>
      <w:r w:rsidRPr="001569FB">
        <w:t xml:space="preserve">The template would include sections to capture the following information:  </w:t>
      </w:r>
    </w:p>
    <w:p w14:paraId="0443D4DE"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summary of the independent auditing firm’s prior experience with Medicare Part C and Part D auditing, including examples of the experience.  </w:t>
      </w:r>
    </w:p>
    <w:p w14:paraId="3949F6A8" w14:textId="77777777" w:rsidR="004C5B0C" w:rsidRPr="001569FB" w:rsidRDefault="004C5B0C" w:rsidP="00AC78D9">
      <w:pPr>
        <w:pStyle w:val="ListParagraph"/>
        <w:numPr>
          <w:ilvl w:val="0"/>
          <w:numId w:val="38"/>
        </w:numPr>
        <w:spacing w:after="200"/>
        <w:ind w:left="540"/>
        <w:contextualSpacing w:val="0"/>
        <w:rPr>
          <w:color w:val="000000"/>
        </w:rPr>
      </w:pPr>
      <w:r w:rsidRPr="001569FB">
        <w:t>A summary of any Medicare-related work previously performed</w:t>
      </w:r>
      <w:r w:rsidRPr="001569FB">
        <w:rPr>
          <w:color w:val="000000"/>
        </w:rPr>
        <w:t xml:space="preserve"> for the </w:t>
      </w:r>
      <w:r w:rsidRPr="001569FB">
        <w:t xml:space="preserve">sponsoring organization </w:t>
      </w:r>
      <w:r w:rsidRPr="001569FB">
        <w:rPr>
          <w:color w:val="000000"/>
        </w:rPr>
        <w:t xml:space="preserve">by the independent auditing firm.  This information is useful to CMS in assessing potential conflicts of interest.  </w:t>
      </w:r>
    </w:p>
    <w:p w14:paraId="658852BC"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A listing of all staff (including credentials) that will complete the audit.  CMS intends to clarify which sections of the audit require registered clinicians (physician, RN, pharmacist). A minimum of two auditors per program area would be required in order to satisfy the requirement that a complete and full independent review be performed.</w:t>
      </w:r>
    </w:p>
    <w:p w14:paraId="39DAEFFB"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lastRenderedPageBreak/>
        <w:t>Expectations for the timeframe of universe periods.  In general, the universe periods specified in the program audit protocols (i.e., Part D Formulary and Benefit Administration (FA), Part D Coverage Determinations, Appeals, and Grievances (CDAG), Part C Organization Determinations, Appeals, and Grievances (ODAG), Service Authorization Requests, Appeals and Grievances (SARAG)) will be maintained in the validation audit, consistent with the initial audit.  The universe periods for Special Needs Plans - Model of Care (SNP-MOC) and Medicare-Medicaid Plan Care Coordination and Quality Improvement Program Effectiveness (CCQIPE) would vary based on the applicable condition.  For example, when assessing compliance with the annual Health Risk Assessment (HRA) requirement, samples would be selected only from the identified clean period by assessing whether only those members that were due for the HRA during the clean period received them timely. Similarly, the universe period for Compliance Program Effectiveness (CPE) would also vary based on condition; however, the review should examine operations in the timeframe after CPE conditions were remediated.</w:t>
      </w:r>
    </w:p>
    <w:p w14:paraId="1F35496D"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Expectations for sampling cases for both universe integrity testing and to evaluate case compliance related to a specific condition; these expectations would be used to ensure the reliability of the independent audit findings.  Consistent with CMS’s program audit protocols, CMS would expect to see a minimum of 5 sampled cases to verify the accuracy and completeness of each CDAG, ODAG, and SARAG universe submitted for the audit.  CMS would expect to see a minimum of 10 sample cases to test the compliance outcome of a sampled case selected to test remediation of a specific condition.  CMS does not require case sampling to test compliance for outcomes related to timeliness and Independent Review Entity (IRE) forwarding because all cases in the applicable universes must be evaluated for compliance. In addition, CMS will identify in the work plan when “targeted” sampling is required, and the targeted criteria that should be applied.  </w:t>
      </w:r>
    </w:p>
    <w:p w14:paraId="5A4E9AE3"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requirement to attach the independent auditing firm’s proposed audit report template.  The validation report template should include, at a minimum, the auditing firm’s identifying information, the validation audit’s objective, scope, methodology, and summary of results.  In addition, to ensure the independent auditor can attest to performing a complete and independent review, the report should include details of any new findings (i.e., those not included in the program audit report).  For additional detail, please refer to CMS’s current guidance document “Program Audit Validation Close-Out” that is located on the webpage referenced above.  The report template must be submitted with the work plan template, for review and approval by CMS prior to submission of the final report. </w:t>
      </w:r>
    </w:p>
    <w:p w14:paraId="1498CA76" w14:textId="77777777" w:rsidR="004C5B0C" w:rsidRPr="001569FB" w:rsidRDefault="004C5B0C" w:rsidP="004C5B0C">
      <w:pPr>
        <w:pStyle w:val="BodyText0"/>
        <w:spacing w:before="0"/>
      </w:pPr>
      <w:bookmarkStart w:id="744" w:name="_Toc493068355"/>
      <w:bookmarkStart w:id="745" w:name="_Toc493523567"/>
      <w:bookmarkStart w:id="746" w:name="_Toc495652077"/>
      <w:r w:rsidRPr="001569FB">
        <w:t xml:space="preserve">We believe that a CMS specified standardized work plan template will facilitate consistency across all validation audits and may also help to standardize the cost of an independent audit and improve inter-rater reliability across independent auditors. </w:t>
      </w:r>
    </w:p>
    <w:p w14:paraId="449BDC18" w14:textId="77777777" w:rsidR="004C5B0C" w:rsidRPr="001569FB" w:rsidRDefault="004C5B0C" w:rsidP="004C5B0C">
      <w:pPr>
        <w:pStyle w:val="Heading4"/>
      </w:pPr>
      <w:r w:rsidRPr="001569FB">
        <w:lastRenderedPageBreak/>
        <w:t>Timeframe to Complete Validation Audits</w:t>
      </w:r>
      <w:bookmarkEnd w:id="744"/>
      <w:bookmarkEnd w:id="745"/>
      <w:bookmarkEnd w:id="746"/>
    </w:p>
    <w:p w14:paraId="2A576CA5" w14:textId="77777777" w:rsidR="004C5B0C" w:rsidRPr="001569FB" w:rsidRDefault="004C5B0C" w:rsidP="004C5B0C">
      <w:pPr>
        <w:pStyle w:val="BodyText0"/>
      </w:pPr>
      <w:r w:rsidRPr="001569FB">
        <w:t xml:space="preserve">Currently, sponsoring organizations have 150 calendar days from the date that all of their program audit Corrective Action Plans (CAPs) are accepted by CMS to complete a validation audit and submit the independent audit report to CMS for review. </w:t>
      </w:r>
    </w:p>
    <w:p w14:paraId="76EFCD4E" w14:textId="77777777" w:rsidR="004C5B0C" w:rsidRPr="001569FB" w:rsidRDefault="004C5B0C" w:rsidP="004C5B0C">
      <w:pPr>
        <w:pStyle w:val="BodyText0"/>
      </w:pPr>
      <w:r w:rsidRPr="001569FB">
        <w:t xml:space="preserve">During the validation listening session, commenters suggested that the current timeframe does not allow sufficient time to first remediate issues, then accumulate a sufficient “clean period” to use as the basis for validation testing.  Other commenters stated that smaller sponsoring organizations, with fewer cases from which to draw, find it hard to complete meaningful validation testing in the allotted timeframe.  Based on 2016 validation audit experience, CMS agrees with the commenters and intends to extend the timeframe by 30 days.  Sponsoring organizations would have 180 days from the date that CMS accepts their program audit CAPs to undergo a validation audit and submit the independent audit report to CMS for review. </w:t>
      </w:r>
    </w:p>
    <w:p w14:paraId="68A42198" w14:textId="77777777" w:rsidR="004C5B0C" w:rsidRPr="001569FB" w:rsidRDefault="004C5B0C" w:rsidP="004C5B0C">
      <w:pPr>
        <w:pStyle w:val="Heading4"/>
      </w:pPr>
      <w:bookmarkStart w:id="747" w:name="_Toc493068356"/>
      <w:bookmarkStart w:id="748" w:name="_Toc493523568"/>
      <w:bookmarkStart w:id="749" w:name="_Toc495652078"/>
      <w:r w:rsidRPr="001569FB">
        <w:t>Submitting Independent Audit Report to CMS</w:t>
      </w:r>
      <w:bookmarkEnd w:id="747"/>
      <w:bookmarkEnd w:id="748"/>
      <w:bookmarkEnd w:id="749"/>
    </w:p>
    <w:p w14:paraId="7BA9B296" w14:textId="77777777" w:rsidR="004C5B0C" w:rsidRPr="001569FB" w:rsidRDefault="004C5B0C" w:rsidP="004C5B0C">
      <w:pPr>
        <w:pStyle w:val="BodyText0"/>
      </w:pPr>
      <w:r w:rsidRPr="001569FB">
        <w:t xml:space="preserve">Following the validation listening session, we were asked to clarify the process for submitting validation audit reports to CMS.  CMS currently requires the sponsoring organization to submit its independent auditing firm’s validation audit report to CMS along with any additional information they would like CMS to consider. </w:t>
      </w:r>
    </w:p>
    <w:p w14:paraId="383513B0" w14:textId="77777777" w:rsidR="004C5B0C" w:rsidRPr="001569FB" w:rsidRDefault="004C5B0C" w:rsidP="004C5B0C">
      <w:pPr>
        <w:pStyle w:val="BodyText0"/>
      </w:pPr>
      <w:r w:rsidRPr="001569FB">
        <w:t xml:space="preserve">We clarify that the sponsoring organization would continue to submit its independent auditing firm’s validation report to CMS but would also be required to copy the independent auditor on the submission.  The report should be submitted to CMS as received from the independent auditing firm (i.e., without modification by the sponsoring organization).  CMS encourages sponsoring organizations to submit additional documentation addressing any concerns with, or rebuttals to, the auditor’s report. </w:t>
      </w:r>
    </w:p>
    <w:p w14:paraId="67410FB1" w14:textId="42D70E55" w:rsidR="004C5B0C" w:rsidRPr="001569FB" w:rsidRDefault="009D4953" w:rsidP="004C5B0C">
      <w:pPr>
        <w:pStyle w:val="Heading3"/>
      </w:pPr>
      <w:bookmarkStart w:id="750" w:name="_Toc493068357"/>
      <w:bookmarkStart w:id="751" w:name="_Toc493523569"/>
      <w:bookmarkStart w:id="752" w:name="_Toc495652079"/>
      <w:bookmarkStart w:id="753" w:name="_Toc505253834"/>
      <w:r>
        <w:t>Section I</w:t>
      </w:r>
      <w:r w:rsidRPr="001569FB">
        <w:t xml:space="preserve"> </w:t>
      </w:r>
      <w:r w:rsidR="004C5B0C" w:rsidRPr="001569FB">
        <w:t>Plan Finder Civil Money Penalty (CMP) Icon</w:t>
      </w:r>
      <w:bookmarkEnd w:id="750"/>
      <w:bookmarkEnd w:id="751"/>
      <w:bookmarkEnd w:id="752"/>
      <w:r w:rsidR="004C5B0C" w:rsidRPr="001569FB">
        <w:t xml:space="preserve"> or Other Type of Notice</w:t>
      </w:r>
      <w:bookmarkEnd w:id="753"/>
    </w:p>
    <w:p w14:paraId="4603E173" w14:textId="77777777" w:rsidR="004C5B0C" w:rsidRPr="001569FB" w:rsidRDefault="004C5B0C" w:rsidP="004C5B0C">
      <w:pPr>
        <w:spacing w:beforeLines="100" w:before="240"/>
        <w:rPr>
          <w:color w:val="000000"/>
        </w:rPr>
      </w:pPr>
      <w:r w:rsidRPr="001569FB">
        <w:rPr>
          <w:color w:val="000000"/>
        </w:rPr>
        <w:t>While CMS currently makes Civil Money Penalty (CMP) information public, via the CMS website, beneficiaries typically do not go to this location when evaluating plans for enrollment.  In an effort to remain transparent with enrollees when sponsoring organizations receive a CMP for violations of program requirements, starting with the 2019 Annual Election Period (AEP), CMS intends to display an icon or other type of notice on Plan Finder for sponsoring organizations that have received a CMP. CMS expects that the icon or notice would provide current enrollees and prospective enrollees with general information about a CMP, and may link to the CMP letter on the CMS website for that particular sponsoring organization.</w:t>
      </w:r>
      <w:r w:rsidRPr="001569FB">
        <w:t> </w:t>
      </w:r>
      <w:r w:rsidRPr="001569FB">
        <w:rPr>
          <w:color w:val="000000"/>
        </w:rPr>
        <w:t xml:space="preserve">This would be consistent with how CMS currently displays a sanction icon on Plan Finder for sponsoring organizations that have been subject to intermediate sanctions (CMP icon, however, will not block enrollments into the plan).  This action is consistent with CMS’s obligation under section 1851(d) of the Act to provide information to enable beneficiaries to make an informed </w:t>
      </w:r>
      <w:r w:rsidRPr="001569FB">
        <w:rPr>
          <w:color w:val="000000"/>
        </w:rPr>
        <w:lastRenderedPageBreak/>
        <w:t xml:space="preserve">enrollment decision and the requirements at 42 C.F.R. §§ 422.111(g) and 423.128(f), which allow CMS to require the disclosure of a sponsoring organization’s performance and contract compliance deficiencies to current and/or potential enrollees. </w:t>
      </w:r>
    </w:p>
    <w:p w14:paraId="1DECE50D" w14:textId="77777777" w:rsidR="004C5B0C" w:rsidRPr="001569FB" w:rsidRDefault="004C5B0C" w:rsidP="004C5B0C">
      <w:pPr>
        <w:pStyle w:val="BodyText0"/>
        <w:spacing w:beforeLines="100" w:before="240"/>
      </w:pPr>
      <w:r w:rsidRPr="001569FB">
        <w:t>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14:paraId="241BE942" w14:textId="7089304A" w:rsidR="004C5B0C" w:rsidRPr="001569FB" w:rsidRDefault="009D4953" w:rsidP="004C5B0C">
      <w:pPr>
        <w:pStyle w:val="Heading3"/>
      </w:pPr>
      <w:bookmarkStart w:id="754" w:name="_Toc493068358"/>
      <w:bookmarkStart w:id="755" w:name="_Toc493523570"/>
      <w:bookmarkStart w:id="756" w:name="_Toc495652080"/>
      <w:bookmarkStart w:id="757" w:name="_Toc505253835"/>
      <w:r>
        <w:t>Section I</w:t>
      </w:r>
      <w:r w:rsidRPr="001569FB">
        <w:t xml:space="preserve"> </w:t>
      </w:r>
      <w:r w:rsidR="004C5B0C" w:rsidRPr="001569FB">
        <w:t>Enforcement Actions for Provider Directories</w:t>
      </w:r>
      <w:bookmarkEnd w:id="754"/>
      <w:bookmarkEnd w:id="755"/>
      <w:bookmarkEnd w:id="756"/>
      <w:bookmarkEnd w:id="757"/>
    </w:p>
    <w:p w14:paraId="5DD05208" w14:textId="77777777" w:rsidR="004C5B0C" w:rsidRPr="001569FB" w:rsidRDefault="004C5B0C" w:rsidP="004C5B0C">
      <w:pPr>
        <w:pStyle w:val="BodyText0"/>
      </w:pPr>
      <w:r w:rsidRPr="001569FB">
        <w:t>In the 2017 Call Letter, CMS provided guidance on the future of provider directory requirements and best practices.  CMS stated that inaccurate provider directories can impede access to care and bring into question the adequacy and validity of the Medicare Advantage Organization’s (MAO’s) network as a whole.  In addition, CMS notified the industry that monitoring activities around provider directories could result in compliance and enforcement actions if non-compliance is detected.  Since then, CMS has received several inquiries as to when CMS would impose enforcement actions for provider directory violations.</w:t>
      </w:r>
    </w:p>
    <w:p w14:paraId="1BE7DA92" w14:textId="77777777" w:rsidR="004C5B0C" w:rsidRPr="001569FB" w:rsidRDefault="004C5B0C" w:rsidP="004C5B0C">
      <w:pPr>
        <w:pStyle w:val="BodyText0"/>
      </w:pPr>
      <w:r w:rsidRPr="001569FB">
        <w:t>As in all instances of non-compliance, Civil Money Penalties (CMPs) and other enforcement actions may be imposed against MAOs that have received a compliance notice or notices for violations that have gone uncorrected.  Also, CMS has the discretion to take enforcement actions when egregious instances of non-compliance are discovered.   If CMPs are imposed for provider directory errors, penalty amounts would initially be calculated on a per determination basis.</w:t>
      </w:r>
    </w:p>
    <w:p w14:paraId="28B8C877" w14:textId="7AEB2287" w:rsidR="004C5B0C" w:rsidRPr="001569FB" w:rsidRDefault="009D4953" w:rsidP="004C5B0C">
      <w:pPr>
        <w:pStyle w:val="Heading3"/>
      </w:pPr>
      <w:bookmarkStart w:id="758" w:name="_Toc493068359"/>
      <w:bookmarkStart w:id="759" w:name="_Toc493523571"/>
      <w:bookmarkStart w:id="760" w:name="_Toc495652081"/>
      <w:bookmarkStart w:id="761" w:name="_Toc505253836"/>
      <w:r>
        <w:t>Section I</w:t>
      </w:r>
      <w:r w:rsidRPr="001569FB">
        <w:t xml:space="preserve"> </w:t>
      </w:r>
      <w:r w:rsidR="004C5B0C" w:rsidRPr="001569FB">
        <w:t>Audit of the Sponsoring Organization’s Compliance Program Effectiveness</w:t>
      </w:r>
      <w:bookmarkEnd w:id="758"/>
      <w:bookmarkEnd w:id="759"/>
      <w:bookmarkEnd w:id="760"/>
      <w:bookmarkEnd w:id="761"/>
    </w:p>
    <w:p w14:paraId="53EF4443" w14:textId="77777777" w:rsidR="004C5B0C" w:rsidRPr="001569FB" w:rsidRDefault="004C5B0C" w:rsidP="004C5B0C">
      <w:pPr>
        <w:spacing w:beforeLines="100" w:before="240"/>
        <w:rPr>
          <w:bCs/>
          <w:color w:val="000000"/>
        </w:rPr>
      </w:pPr>
      <w:r w:rsidRPr="001569FB">
        <w:t xml:space="preserve">Pursuant to </w:t>
      </w:r>
      <w:r w:rsidRPr="001569FB">
        <w:rPr>
          <w:bCs/>
          <w:color w:val="000000"/>
        </w:rPr>
        <w:t xml:space="preserve">42 C.F.R. §§ 422.503(b)(4)(vi)(F), 423.504(b)(4)(vi)(F), sponsoring organizations are required annually to audit the effectiveness of their compliance program and share results with their governing body. These audits require extensive sponsoring organization resources and entail conducting a review of processes and outcomes, discussions with employees and first-tier, downstream and related entities (FDRs), and preparing documentation and demonstrating compliance with program requirements. CMS performs program audits of 30-40 sponsoring organizations every year, and these audits include a review of compliance program effectiveness. This includes assessing whether they are compliant with establishing and maintaining compliance programs </w:t>
      </w:r>
      <w:r w:rsidRPr="001569FB">
        <w:t xml:space="preserve">which include measures to prevent, detect, and correct Parts C or D program noncompliance and fraud, waste and abuse. </w:t>
      </w:r>
      <w:r w:rsidRPr="001569FB">
        <w:rPr>
          <w:bCs/>
          <w:color w:val="000000"/>
        </w:rPr>
        <w:t xml:space="preserve">When selected for a CMS program audit, sponsoring organizations are still required to perform an internal annual compliance program effectiveness (CPE) audit… CMS has received multiple inquiries from stakeholders expressing the burden on sponsoring organizations when they have to perform their own internal CPE audit while also being responsive to a CMS program audit in the same year. Many sponsoring organizations have adopted our CMS audit protocols to perform their own internal audits, which </w:t>
      </w:r>
      <w:r w:rsidRPr="001569FB">
        <w:rPr>
          <w:bCs/>
          <w:color w:val="000000"/>
        </w:rPr>
        <w:lastRenderedPageBreak/>
        <w:t xml:space="preserve">results in a duplication of effort.  The industry has inquired if sponsoring organizations may consider a CMS program audit as satisfying the annual audit of their compliance program. </w:t>
      </w:r>
    </w:p>
    <w:p w14:paraId="1D1A9FAD" w14:textId="77777777" w:rsidR="004C5B0C" w:rsidRPr="001569FB" w:rsidRDefault="004C5B0C" w:rsidP="004C5B0C">
      <w:pPr>
        <w:spacing w:beforeLines="100" w:before="240"/>
        <w:rPr>
          <w:bCs/>
          <w:color w:val="000000"/>
          <w:sz w:val="23"/>
          <w:szCs w:val="23"/>
        </w:rPr>
      </w:pPr>
      <w:r w:rsidRPr="001569FB">
        <w:rPr>
          <w:bCs/>
          <w:color w:val="000000"/>
        </w:rPr>
        <w:t>CMS is considering allowing sponsoring organizations that have undergone a program audit to treat the program audit as meeting the annual compliance program audit requirement in 42 C.F.R. §§ 422.503(b)(4)(vi)(F), 423.504(b)(4)(vi)(F) for one year from the date of the CMS program audit. CMS is seeking comment on this. The one year time frame would allow sponsoring organizations to complete their CMS CPE program audit process and remediation before a new CPE audit is initiated by the sponsor to evaluate compliance performance. CMS also requests comments on how this will impact burden for sponsoring organizations undergoing a program audit. CMS believes that it will reduce burden on sponsoring organizations already undergoing a CMS program audit and will eliminate the duplication of effort.  Additionally, we believe it will allow time to implement appropriate corrective actions in response to the CMS audit and monitor implementation of those corrective actions to ensure that they are effective. It should be noted that nothing in this proposal would eliminate the more significant requirements in 42 C.F.R. §§ 422.503(b)(4)(vi)(F) and 423.504(b)(4)(vi)(F), which require sponsoring organizations to conduct internal auditing and monitoring of their operations as well as the operations of their FDRs to ensure compliance with Medicare program requirements.</w:t>
      </w:r>
    </w:p>
    <w:p w14:paraId="216C6174" w14:textId="5DB682CD" w:rsidR="004C5B0C" w:rsidRPr="001569FB" w:rsidRDefault="009D4953" w:rsidP="004C5B0C">
      <w:pPr>
        <w:pStyle w:val="Heading3"/>
      </w:pPr>
      <w:bookmarkStart w:id="762" w:name="_Toc495652106"/>
      <w:bookmarkStart w:id="763" w:name="_Toc505253837"/>
      <w:bookmarkEnd w:id="716"/>
      <w:r>
        <w:t>Section I</w:t>
      </w:r>
      <w:r w:rsidRPr="001569FB">
        <w:t xml:space="preserve"> </w:t>
      </w:r>
      <w:r w:rsidR="004C5B0C" w:rsidRPr="001569FB">
        <w:t>Innovations in Health Plan Design</w:t>
      </w:r>
      <w:bookmarkEnd w:id="717"/>
      <w:bookmarkEnd w:id="762"/>
      <w:bookmarkEnd w:id="763"/>
    </w:p>
    <w:p w14:paraId="55E35C0E"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CMS Innovation Center is responsible for developing and testing new payment and service delivery models intended to lower costs while preserving or enhancing quality of care for Medicare, Medicaid, and CHIP beneficiaries. In the 2016 Call Letter, CMS indicated its intention to partner with private payers to test innovations in health plan design for CMS beneficiaries. </w:t>
      </w:r>
    </w:p>
    <w:p w14:paraId="0E4F78C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In response to these efforts, the </w:t>
      </w:r>
      <w:r w:rsidRPr="001569FB">
        <w:rPr>
          <w:rFonts w:asciiTheme="minorHAnsi" w:hAnsiTheme="minorHAnsi" w:cstheme="minorHAnsi"/>
        </w:rPr>
        <w:t xml:space="preserve">Medicare Advantage Value-Based Insurance Design (MA-VBID) and the Part D Enhanced Medication Therapy Management (MTM) model tests began operations on January 1, 2017. Each of these model tests is described below. </w:t>
      </w:r>
    </w:p>
    <w:p w14:paraId="19D92F2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Potential means of adjustment to account for the impact of these models on Star Ratings are discussed above under the section, Enhancements to </w:t>
      </w:r>
      <w:r w:rsidRPr="001569FB">
        <w:rPr>
          <w:rFonts w:asciiTheme="minorHAnsi" w:hAnsiTheme="minorHAnsi" w:cstheme="minorHAnsi"/>
          <w:color w:val="auto"/>
        </w:rPr>
        <w:t xml:space="preserve">the 2019 Star </w:t>
      </w:r>
      <w:r w:rsidRPr="001569FB">
        <w:rPr>
          <w:rFonts w:asciiTheme="minorHAnsi" w:hAnsiTheme="minorHAnsi" w:cstheme="minorHAnsi"/>
        </w:rPr>
        <w:t xml:space="preserve">Ratings and Future Measurement Concepts. </w:t>
      </w:r>
    </w:p>
    <w:p w14:paraId="3BF2C23C" w14:textId="77777777" w:rsidR="004C5B0C" w:rsidRPr="001569FB" w:rsidRDefault="004C5B0C" w:rsidP="004C5B0C">
      <w:pPr>
        <w:pStyle w:val="Heading4"/>
      </w:pPr>
      <w:bookmarkStart w:id="764" w:name="_Toc493523595"/>
      <w:bookmarkStart w:id="765" w:name="_Toc495652107"/>
      <w:r w:rsidRPr="001569FB">
        <w:t>Medicare Advantage Value-Based Insurance Design Model Test</w:t>
      </w:r>
      <w:bookmarkEnd w:id="764"/>
      <w:bookmarkEnd w:id="765"/>
      <w:r w:rsidRPr="001569FB">
        <w:t xml:space="preserve"> </w:t>
      </w:r>
    </w:p>
    <w:p w14:paraId="6B12542E" w14:textId="77777777" w:rsidR="004C5B0C" w:rsidRPr="001569FB" w:rsidRDefault="004C5B0C" w:rsidP="004C5B0C">
      <w:pPr>
        <w:pStyle w:val="Default"/>
        <w:rPr>
          <w:rFonts w:ascii="Times New Roman" w:hAnsi="Times New Roman"/>
        </w:rPr>
      </w:pPr>
      <w:r w:rsidRPr="001569FB">
        <w:rPr>
          <w:rFonts w:ascii="Times New Roman" w:hAnsi="Times New Roman"/>
        </w:rPr>
        <w:t xml:space="preserve">The MA-VBID model test is an opportunity for MAOs to offer supplemental benefits or reduced cost sharing to enrollees with </w:t>
      </w:r>
      <w:r w:rsidRPr="001569FB">
        <w:rPr>
          <w:rFonts w:ascii="Times New Roman" w:hAnsi="Times New Roman"/>
          <w:color w:val="auto"/>
        </w:rPr>
        <w:t>CMS approved chronic conditions</w:t>
      </w:r>
      <w:r w:rsidRPr="001569FB">
        <w:rPr>
          <w:rFonts w:ascii="Times New Roman" w:hAnsi="Times New Roman"/>
        </w:rPr>
        <w:t xml:space="preserve">, focused on the services that are of highest clinical value to them. Only those MAOs expressly authorized by CMS to participate in the model may do so, and only within PBPs accepted into the model test. The model is testing whether the additional flexibility provided to MAOs to develop and offer interventions can improve health outcomes and lower expenditures for Medicare Advantage enrollees. </w:t>
      </w:r>
    </w:p>
    <w:p w14:paraId="3934677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lastRenderedPageBreak/>
        <w:t xml:space="preserve">In CY 2018, CMS is testing the model in Alabama, Arizona, Indiana, Iowa, Massachusetts, Michigan, Oregon, </w:t>
      </w:r>
      <w:r w:rsidRPr="001569FB">
        <w:rPr>
          <w:rFonts w:ascii="Times New Roman" w:hAnsi="Times New Roman"/>
          <w:color w:val="auto"/>
        </w:rPr>
        <w:t>Pennsylvania, Tennessee, and Texas. Beginning in CY 2019, CMS will also test the MA-VBID model in California, Colorado, Florida, Georgia, Hawaii, Maine, Minnesota, Montana, New Jersey, New Mexico, North Carolina, North Dakota, South Dakota, Virginia, and West Virginia.</w:t>
      </w:r>
    </w:p>
    <w:p w14:paraId="2A730D23" w14:textId="77777777" w:rsidR="004C5B0C" w:rsidRPr="001569FB" w:rsidRDefault="004C5B0C" w:rsidP="004C5B0C">
      <w:pPr>
        <w:pStyle w:val="Default"/>
        <w:rPr>
          <w:rFonts w:ascii="Times New Roman" w:hAnsi="Times New Roman"/>
          <w:color w:val="auto"/>
        </w:rPr>
      </w:pPr>
      <w:r w:rsidRPr="001569FB">
        <w:rPr>
          <w:rFonts w:ascii="Times New Roman" w:hAnsi="Times New Roman"/>
          <w:color w:val="auto"/>
        </w:rPr>
        <w:t xml:space="preserve">CMS has authorized thirteen MAOs from ten parent organizations in Indiana, Massachusetts, Michigan, and Pennsylvania to participate in the model test in CY 2018, and released a Request for Applications for CY 2019 participation. The Request for Application process will be timed to allow applicants to choose to participate in the VBID model or in the Medicare Advantage uniform flexibility. </w:t>
      </w:r>
    </w:p>
    <w:p w14:paraId="1ACBD2A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t>For more information, including a description of other changes to the model test’s design for CY 2</w:t>
      </w:r>
      <w:r w:rsidRPr="001569FB">
        <w:rPr>
          <w:rFonts w:ascii="Times New Roman" w:hAnsi="Times New Roman"/>
          <w:color w:val="auto"/>
        </w:rPr>
        <w:t>019</w:t>
      </w:r>
      <w:r w:rsidRPr="001569FB">
        <w:rPr>
          <w:rFonts w:ascii="Times New Roman" w:hAnsi="Times New Roman"/>
        </w:rPr>
        <w:t xml:space="preserve">, please visit: </w:t>
      </w:r>
      <w:hyperlink r:id="rId60" w:history="1">
        <w:r w:rsidRPr="001569FB">
          <w:rPr>
            <w:rStyle w:val="Hyperlink"/>
            <w:rFonts w:ascii="Times New Roman" w:hAnsi="Times New Roman"/>
          </w:rPr>
          <w:t>https://innovation.cms.gov/initiatives/vbid/</w:t>
        </w:r>
      </w:hyperlink>
      <w:r w:rsidRPr="001569FB">
        <w:rPr>
          <w:rFonts w:ascii="Times New Roman" w:hAnsi="Times New Roman"/>
          <w:color w:val="auto"/>
        </w:rPr>
        <w:t xml:space="preserve">. </w:t>
      </w:r>
    </w:p>
    <w:p w14:paraId="185E2452" w14:textId="77777777" w:rsidR="004C5B0C" w:rsidRPr="001569FB" w:rsidRDefault="004C5B0C" w:rsidP="004C5B0C">
      <w:pPr>
        <w:pStyle w:val="Heading4"/>
      </w:pPr>
      <w:bookmarkStart w:id="766" w:name="_Toc493523596"/>
      <w:bookmarkStart w:id="767" w:name="_Toc495652108"/>
      <w:r w:rsidRPr="001569FB">
        <w:t>Part D Enhanced MTM Model</w:t>
      </w:r>
      <w:bookmarkEnd w:id="766"/>
      <w:bookmarkEnd w:id="767"/>
      <w:r w:rsidRPr="001569FB">
        <w:t xml:space="preserve"> </w:t>
      </w:r>
    </w:p>
    <w:p w14:paraId="6EA41FB9"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The Part D Enhanced MTM model tests whether providing Part D sponsors with additional payment incentives and regulatory flexibilities will engender enhancements in the MTM program, leading to improved therapeutic outcomes, while reducing net Medicare expenditures. The model is an opportunity for stand-alone basic Part D plans to right-size their investments in MTM services, identify and implement innovative strategies to optimize medication use, improve coordination of care between plans and providers, and strengthen system linkages. </w:t>
      </w:r>
    </w:p>
    <w:p w14:paraId="2961F66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Six Part D Sponsors encompassing 22 PBPs are participating in CMS’s Part D Enhanced MTM model for 2018. These plans will offer MTM programs subject to the terms and conditions of the model test in the selected regions. All other Part D plans, including any ineligible plans offered by the PDP sponsors of participating plans, will remain subject to the current regulatory requirements for MTM programs. For more information, please visit: </w:t>
      </w:r>
      <w:hyperlink r:id="rId61" w:history="1">
        <w:r w:rsidRPr="001569FB">
          <w:rPr>
            <w:rStyle w:val="Hyperlink"/>
            <w:rFonts w:asciiTheme="minorHAnsi" w:hAnsiTheme="minorHAnsi" w:cstheme="minorHAnsi"/>
          </w:rPr>
          <w:t>https://innovation.cms.gov/initiatives/enhancedmtm/</w:t>
        </w:r>
      </w:hyperlink>
      <w:r w:rsidRPr="001569FB">
        <w:rPr>
          <w:rFonts w:asciiTheme="minorHAnsi" w:hAnsiTheme="minorHAnsi" w:cstheme="minorHAnsi"/>
        </w:rPr>
        <w:t xml:space="preserve">. </w:t>
      </w:r>
    </w:p>
    <w:p w14:paraId="2E37243D" w14:textId="45516308" w:rsidR="004C5B0C" w:rsidRPr="001569FB" w:rsidRDefault="009D4953" w:rsidP="004C5B0C">
      <w:pPr>
        <w:pStyle w:val="Heading3"/>
      </w:pPr>
      <w:bookmarkStart w:id="768" w:name="_Toc493523598"/>
      <w:bookmarkStart w:id="769" w:name="_Toc495652110"/>
      <w:bookmarkStart w:id="770" w:name="_Toc505253838"/>
      <w:r>
        <w:t>Section I</w:t>
      </w:r>
      <w:r w:rsidRPr="001569FB">
        <w:t xml:space="preserve"> </w:t>
      </w:r>
      <w:r w:rsidR="004C5B0C" w:rsidRPr="001569FB">
        <w:t>New Medicare Card Project (formerly the Social Security Number Removal Initiative, SSNRI)</w:t>
      </w:r>
      <w:bookmarkEnd w:id="768"/>
      <w:bookmarkEnd w:id="769"/>
      <w:bookmarkEnd w:id="770"/>
      <w:r w:rsidR="004C5B0C" w:rsidRPr="001569FB">
        <w:t xml:space="preserve"> </w:t>
      </w:r>
    </w:p>
    <w:p w14:paraId="147608F0" w14:textId="77777777" w:rsidR="004C5B0C" w:rsidRPr="001569FB" w:rsidRDefault="004C5B0C" w:rsidP="004C5B0C">
      <w:r w:rsidRPr="001569FB">
        <w:t xml:space="preserve">The Medicare Access and CHIP Reauthorization Act (MACRA) of 2015 (PL 114-10 s.501) included a mandate to remove the current Health Insurance Claim number (HICN) from Medicare cards by April 2019.  This is a reminder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  </w:t>
      </w:r>
    </w:p>
    <w:p w14:paraId="0F418B53" w14:textId="77777777" w:rsidR="004C5B0C" w:rsidRPr="001569FB" w:rsidRDefault="004C5B0C" w:rsidP="004C5B0C">
      <w:r w:rsidRPr="001569FB">
        <w:t xml:space="preserve">During the transition period, (April 1, 2018 to December 31, 2019), Medicare plans can use either the HICN or the MBI to exchange data with CMS.  CMS will continue to disseminate information related to this change to Medicare health and drug plans as it becomes available. </w:t>
      </w:r>
      <w:r w:rsidRPr="001569FB">
        <w:lastRenderedPageBreak/>
        <w:t xml:space="preserve">More information can be found at (https://www.cms.gov/Medicare/New-Medicare-Card/index.html).  Questions can be sent to </w:t>
      </w:r>
      <w:hyperlink r:id="rId62" w:history="1">
        <w:r w:rsidRPr="001569FB">
          <w:rPr>
            <w:rStyle w:val="Hyperlink"/>
          </w:rPr>
          <w:t>NewMedicareCardSSNRemoval@cms.hhs.gov</w:t>
        </w:r>
      </w:hyperlink>
      <w:r w:rsidRPr="001569FB">
        <w:t>.</w:t>
      </w:r>
    </w:p>
    <w:p w14:paraId="608AA21A" w14:textId="77777777" w:rsidR="004C5B0C" w:rsidRPr="001569FB" w:rsidRDefault="004C5B0C" w:rsidP="004C5B0C">
      <w:pPr>
        <w:pStyle w:val="Heading2"/>
      </w:pPr>
      <w:bookmarkStart w:id="771" w:name="_Toc443480651"/>
      <w:bookmarkStart w:id="772" w:name="_Toc443633682"/>
      <w:bookmarkStart w:id="773" w:name="_Toc493523599"/>
      <w:bookmarkStart w:id="774" w:name="_Toc495652112"/>
      <w:bookmarkStart w:id="775" w:name="_Toc505253807"/>
      <w:bookmarkStart w:id="776" w:name="_Toc505253839"/>
      <w:r w:rsidRPr="001569FB">
        <w:t>Section II – Part</w:t>
      </w:r>
      <w:r w:rsidRPr="001569FB">
        <w:rPr>
          <w:spacing w:val="-4"/>
        </w:rPr>
        <w:t xml:space="preserve"> </w:t>
      </w:r>
      <w:r w:rsidRPr="001569FB">
        <w:t>C</w:t>
      </w:r>
      <w:bookmarkEnd w:id="771"/>
      <w:bookmarkEnd w:id="772"/>
      <w:bookmarkEnd w:id="773"/>
      <w:bookmarkEnd w:id="774"/>
      <w:bookmarkEnd w:id="775"/>
      <w:bookmarkEnd w:id="776"/>
    </w:p>
    <w:p w14:paraId="4179AD11" w14:textId="2536E172" w:rsidR="004C5B0C" w:rsidRPr="001569FB" w:rsidRDefault="009D4953" w:rsidP="004C5B0C">
      <w:pPr>
        <w:pStyle w:val="Heading3"/>
        <w:rPr>
          <w:rFonts w:eastAsia="Calibri"/>
        </w:rPr>
      </w:pPr>
      <w:bookmarkStart w:id="777" w:name="_Toc505253840"/>
      <w:r>
        <w:t>Section II</w:t>
      </w:r>
      <w:r w:rsidRPr="001569FB">
        <w:rPr>
          <w:rFonts w:eastAsia="Calibri"/>
        </w:rPr>
        <w:t xml:space="preserve"> </w:t>
      </w:r>
      <w:r w:rsidR="004C5B0C" w:rsidRPr="001569FB">
        <w:rPr>
          <w:rFonts w:eastAsia="Calibri"/>
        </w:rPr>
        <w:t>Special Needs Plan (SNP) Legislative Sunset Provision</w:t>
      </w:r>
      <w:bookmarkEnd w:id="777"/>
      <w:r w:rsidR="004C5B0C" w:rsidRPr="001569FB">
        <w:rPr>
          <w:rFonts w:eastAsia="Calibri"/>
        </w:rPr>
        <w:t xml:space="preserve"> </w:t>
      </w:r>
    </w:p>
    <w:p w14:paraId="73F1350C" w14:textId="77777777" w:rsidR="004C5B0C" w:rsidRPr="001569FB" w:rsidRDefault="004C5B0C" w:rsidP="004C5B0C">
      <w:pPr>
        <w:rPr>
          <w:rFonts w:eastAsia="Calibri"/>
        </w:rPr>
      </w:pPr>
      <w:bookmarkStart w:id="778" w:name="_Toc412034582"/>
      <w:bookmarkStart w:id="779" w:name="_Toc412133168"/>
      <w:bookmarkStart w:id="780" w:name="_Toc412197091"/>
      <w:bookmarkStart w:id="781" w:name="_Toc412197172"/>
      <w:bookmarkStart w:id="782" w:name="_Toc443480653"/>
      <w:bookmarkStart w:id="783" w:name="_Toc493523600"/>
      <w:bookmarkStart w:id="784" w:name="_Toc495652113"/>
      <w:r w:rsidRPr="001569FB">
        <w:rPr>
          <w:rFonts w:eastAsia="Calibri"/>
        </w:rPr>
        <w:t xml:space="preserve">Special Needs Plans (SNPs) were first authorized by Congress in 2003 for a certain period of years.  The program has been extended several times through Congressional action since that time.  Most recently, section 206 of the Medicare Access and CHIP Reauthorization Act of 2015 (MACRA) extended the SNP program through December 31, 2018.  At this time, the SNP program has not been reauthorized by Congress for contract year (CY) 2019.  CMS will continue to accept applications for SNPs, Models of Care (MOCs), and other SNP-related material for new and renewing SNPs, based on a belief that Congress will likely act in 2018 to extend the SNP program, and to be prepared in that event for SNPs to be offered without interruption.  Please note, although CMS will accept bids and may sign contracts in anticipation of action by Congress this year, CMS does not have the authority to allow SNP offerings in CY 2019 absent Congressional action this year to reauthorize SNPs for CY 2019.  </w:t>
      </w:r>
      <w:r w:rsidRPr="001569FB">
        <w:rPr>
          <w:rFonts w:eastAsia="Calibri"/>
          <w:color w:val="000000"/>
        </w:rPr>
        <w:t xml:space="preserve">If Congress does not extend the SNP program, any contracts for CY2019 SNPs will be void. </w:t>
      </w:r>
      <w:r w:rsidRPr="001569FB">
        <w:rPr>
          <w:rFonts w:eastAsia="Calibri"/>
        </w:rPr>
        <w:t>We will provide updates to the industry as needed throughout the year.</w:t>
      </w:r>
    </w:p>
    <w:p w14:paraId="078CFF54" w14:textId="4573A3B6" w:rsidR="004C5B0C" w:rsidRPr="001569FB" w:rsidRDefault="009D4953" w:rsidP="004C5B0C">
      <w:pPr>
        <w:pStyle w:val="Heading3"/>
        <w:rPr>
          <w:lang w:val="en"/>
        </w:rPr>
      </w:pPr>
      <w:bookmarkStart w:id="785" w:name="_Toc505253841"/>
      <w:r>
        <w:t>Section II</w:t>
      </w:r>
      <w:r w:rsidRPr="001569FB">
        <w:rPr>
          <w:lang w:val="en"/>
        </w:rPr>
        <w:t xml:space="preserve"> </w:t>
      </w:r>
      <w:r w:rsidR="004C5B0C" w:rsidRPr="001569FB">
        <w:rPr>
          <w:lang w:val="en"/>
        </w:rPr>
        <w:t>Overview of CY 2019 Benefits and Bid Review</w:t>
      </w:r>
      <w:bookmarkStart w:id="786" w:name="_Toc352157457"/>
      <w:bookmarkStart w:id="787" w:name="_Toc351478571"/>
      <w:bookmarkStart w:id="788" w:name="_Toc352318191"/>
      <w:bookmarkStart w:id="789" w:name="_Toc352585922"/>
      <w:bookmarkStart w:id="790" w:name="_Toc352585998"/>
      <w:bookmarkEnd w:id="778"/>
      <w:bookmarkEnd w:id="779"/>
      <w:bookmarkEnd w:id="780"/>
      <w:bookmarkEnd w:id="781"/>
      <w:bookmarkEnd w:id="782"/>
      <w:bookmarkEnd w:id="783"/>
      <w:bookmarkEnd w:id="784"/>
      <w:bookmarkEnd w:id="785"/>
    </w:p>
    <w:p w14:paraId="472BF7A2" w14:textId="77777777" w:rsidR="004C5B0C" w:rsidRPr="001569FB" w:rsidRDefault="004C5B0C" w:rsidP="004C5B0C">
      <w:pPr>
        <w:autoSpaceDE w:val="0"/>
        <w:autoSpaceDN w:val="0"/>
        <w:adjustRightInd w:val="0"/>
        <w:spacing w:before="200"/>
        <w:rPr>
          <w:b/>
          <w:color w:val="000000"/>
          <w:lang w:val="en"/>
        </w:rPr>
      </w:pPr>
      <w:r w:rsidRPr="001569FB">
        <w:rPr>
          <w:color w:val="000000"/>
        </w:rPr>
        <w:t xml:space="preserve">Portions of this guidance apply to cost-based plans and MA plans (including EGWPs, Dual-Eligible Special Needs Plans (D-SNPs), Chronic Care Special Needs Plans (C-SNPs), and Institutional Special Needs Plans (I-SNPs)).  </w:t>
      </w:r>
    </w:p>
    <w:p w14:paraId="7CC7CB94" w14:textId="77777777" w:rsidR="004C5B0C" w:rsidRPr="001569FB" w:rsidRDefault="004C5B0C" w:rsidP="004C5B0C">
      <w:pPr>
        <w:autoSpaceDE w:val="0"/>
        <w:autoSpaceDN w:val="0"/>
        <w:adjustRightInd w:val="0"/>
        <w:spacing w:before="200"/>
        <w:rPr>
          <w:color w:val="000000"/>
        </w:rPr>
      </w:pPr>
      <w:r w:rsidRPr="001569FB">
        <w:rPr>
          <w:color w:val="000000"/>
        </w:rPr>
        <w:t xml:space="preserve">Medicare-Medicaid Plans in a capitated model under the Medicare-Medicaid Financial Alignment Initiative are not subject to the review criteria summarized in the table below and benefit review guidance for these plans will be provided separately. </w:t>
      </w:r>
    </w:p>
    <w:p w14:paraId="17D9E2C8" w14:textId="77777777" w:rsidR="004C5B0C" w:rsidRPr="001569FB" w:rsidRDefault="004C5B0C" w:rsidP="004C5B0C">
      <w:pPr>
        <w:autoSpaceDE w:val="0"/>
        <w:autoSpaceDN w:val="0"/>
        <w:adjustRightInd w:val="0"/>
        <w:spacing w:before="200"/>
        <w:rPr>
          <w:color w:val="000000"/>
        </w:rPr>
      </w:pPr>
      <w:r w:rsidRPr="001569FB">
        <w:rPr>
          <w:color w:val="000000"/>
        </w:rPr>
        <w:t>CMS makes all of the necessary tools and information available to MAOs in advance of the bid submission deadline, and therefore expects all MAOs to submit their best, accurate, and complete bid(s) on or before the Monday, June 4, 2018 deadline.  Any organization whose bid fails the Part C Service Category Cost Sharing, PMPM Actuarial Equivalent Cost Sharing, Meaningful Difference (if applicable, see below), Total Beneficiary Cost (TBC), and/or Optional Supplemental Benefit requirements at any time prior to final approval will receive a compliance notice, even if the organization is allowed to correct the deficiency.  The severity of compliance notice may depend on the type and/or severity of error(s).</w:t>
      </w:r>
    </w:p>
    <w:p w14:paraId="1CDDC96E" w14:textId="77777777" w:rsidR="004C5B0C" w:rsidRPr="001569FB" w:rsidRDefault="004C5B0C" w:rsidP="004C5B0C">
      <w:pPr>
        <w:autoSpaceDE w:val="0"/>
        <w:autoSpaceDN w:val="0"/>
        <w:adjustRightInd w:val="0"/>
        <w:spacing w:before="200"/>
        <w:rPr>
          <w:color w:val="000000"/>
        </w:rPr>
      </w:pPr>
      <w:r w:rsidRPr="001569FB">
        <w:rPr>
          <w:color w:val="000000"/>
        </w:rPr>
        <w:t xml:space="preserve">The following table displays key MA bid review criteria and identifies the criteria that are used to review the bids of the various plan types identified in the column headings. </w:t>
      </w:r>
    </w:p>
    <w:p w14:paraId="03855256" w14:textId="77777777" w:rsidR="004C5B0C" w:rsidRPr="001569FB" w:rsidRDefault="004C5B0C" w:rsidP="004C5B0C">
      <w:pPr>
        <w:pStyle w:val="Caption"/>
      </w:pPr>
      <w:r w:rsidRPr="001569FB">
        <w:lastRenderedPageBreak/>
        <w:t xml:space="preserve">Table </w:t>
      </w:r>
      <w:fldSimple w:instr=" SEQ Table \* ARABIC ">
        <w:r w:rsidR="00A216EC">
          <w:rPr>
            <w:noProof/>
          </w:rPr>
          <w:t>21</w:t>
        </w:r>
      </w:fldSimple>
      <w:r w:rsidRPr="001569FB">
        <w:t>: Plan Types and Applicable Bid Review Criteria</w:t>
      </w:r>
    </w:p>
    <w:tbl>
      <w:tblPr>
        <w:tblW w:w="9340" w:type="dxa"/>
        <w:jc w:val="center"/>
        <w:tblCellMar>
          <w:left w:w="0" w:type="dxa"/>
          <w:right w:w="0" w:type="dxa"/>
        </w:tblCellMar>
        <w:tblLook w:val="04A0" w:firstRow="1" w:lastRow="0" w:firstColumn="1" w:lastColumn="0" w:noHBand="0" w:noVBand="1"/>
      </w:tblPr>
      <w:tblGrid>
        <w:gridCol w:w="2570"/>
        <w:gridCol w:w="2190"/>
        <w:gridCol w:w="2081"/>
        <w:gridCol w:w="1144"/>
        <w:gridCol w:w="1355"/>
      </w:tblGrid>
      <w:tr w:rsidR="004C5B0C" w:rsidRPr="001569FB" w14:paraId="11F7A4D1" w14:textId="77777777" w:rsidTr="004C5B0C">
        <w:trPr>
          <w:cantSplit/>
          <w:tblHeader/>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CB46AC3" w14:textId="77777777" w:rsidR="004C5B0C" w:rsidRPr="001569FB" w:rsidRDefault="004C5B0C" w:rsidP="004C5B0C">
            <w:pPr>
              <w:keepNext/>
              <w:keepLines/>
              <w:autoSpaceDE w:val="0"/>
              <w:autoSpaceDN w:val="0"/>
              <w:adjustRightInd w:val="0"/>
              <w:jc w:val="center"/>
              <w:rPr>
                <w:b/>
                <w:color w:val="000000"/>
              </w:rPr>
            </w:pPr>
            <w:r w:rsidRPr="001569FB">
              <w:rPr>
                <w:b/>
                <w:color w:val="000000"/>
              </w:rPr>
              <w:t>Bid Review Criteria</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0707330"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Plans (Excluding Dual Eligible SNPs)</w:t>
            </w:r>
          </w:p>
        </w:tc>
        <w:tc>
          <w:tcPr>
            <w:tcW w:w="20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FFC2B2"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Dual Eligible SNPs</w:t>
            </w:r>
          </w:p>
        </w:tc>
        <w:tc>
          <w:tcPr>
            <w:tcW w:w="1144" w:type="dxa"/>
            <w:tcBorders>
              <w:top w:val="single" w:sz="8" w:space="0" w:color="000000"/>
              <w:left w:val="single" w:sz="8" w:space="0" w:color="000000"/>
              <w:bottom w:val="single" w:sz="8" w:space="0" w:color="000000"/>
              <w:right w:val="single" w:sz="8" w:space="0" w:color="000000"/>
            </w:tcBorders>
            <w:vAlign w:val="center"/>
          </w:tcPr>
          <w:p w14:paraId="32DCDA5E"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1876 Cost Plans</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5DB2085C"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Employer Plans</w:t>
            </w:r>
          </w:p>
        </w:tc>
      </w:tr>
      <w:tr w:rsidR="004C5B0C" w:rsidRPr="001569FB" w14:paraId="3E99067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7A8EE9" w14:textId="77777777" w:rsidR="004C5B0C" w:rsidRPr="001569FB" w:rsidRDefault="004C5B0C" w:rsidP="004C5B0C">
            <w:pPr>
              <w:keepNext/>
              <w:keepLines/>
              <w:autoSpaceDE w:val="0"/>
              <w:autoSpaceDN w:val="0"/>
              <w:adjustRightInd w:val="0"/>
              <w:rPr>
                <w:color w:val="000000"/>
              </w:rPr>
            </w:pPr>
            <w:r w:rsidRPr="001569FB">
              <w:rPr>
                <w:color w:val="000000"/>
              </w:rPr>
              <w:t xml:space="preserve">Low Enrollment </w:t>
            </w:r>
            <w:r w:rsidRPr="001569FB">
              <w:rPr>
                <w:color w:val="000000"/>
              </w:rPr>
              <w:br/>
            </w:r>
            <w:r w:rsidRPr="001569FB">
              <w:rPr>
                <w:color w:val="000000"/>
                <w:sz w:val="20"/>
                <w:szCs w:val="20"/>
              </w:rPr>
              <w:t>42 C.F.R. §422.506(b)(1)(iv) and (b)(2)</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CC96832"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65AF210D"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A93D63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8E352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5F71BBD2"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0F999DAF"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Meaningful Difference (if applicable) </w:t>
            </w:r>
            <w:r w:rsidRPr="001569FB">
              <w:rPr>
                <w:color w:val="000000"/>
              </w:rPr>
              <w:br/>
            </w:r>
            <w:r w:rsidRPr="001569FB">
              <w:rPr>
                <w:color w:val="000000"/>
                <w:sz w:val="20"/>
                <w:szCs w:val="20"/>
              </w:rPr>
              <w:t>42 C.F.R. § 422.254(a)(4) and</w:t>
            </w:r>
            <w:r w:rsidRPr="001569FB">
              <w:t xml:space="preserve"> </w:t>
            </w:r>
            <w:r w:rsidRPr="001569FB">
              <w:rPr>
                <w:color w:val="000000"/>
                <w:sz w:val="20"/>
                <w:szCs w:val="20"/>
              </w:rPr>
              <w:t>§422.256(b)(4)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1342FAA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957A82"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0089916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89C4E39"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2E4A72F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93F47CC" w14:textId="77777777" w:rsidR="004C5B0C" w:rsidRPr="001569FB" w:rsidRDefault="004C5B0C" w:rsidP="004C5B0C">
            <w:pPr>
              <w:keepNext/>
              <w:keepLines/>
              <w:autoSpaceDE w:val="0"/>
              <w:autoSpaceDN w:val="0"/>
              <w:adjustRightInd w:val="0"/>
              <w:rPr>
                <w:color w:val="000000"/>
              </w:rPr>
            </w:pPr>
            <w:r w:rsidRPr="001569FB">
              <w:rPr>
                <w:color w:val="000000"/>
              </w:rPr>
              <w:t xml:space="preserve">Total Beneficiary Cost </w:t>
            </w:r>
            <w:r w:rsidRPr="001569FB">
              <w:rPr>
                <w:color w:val="000000"/>
                <w:sz w:val="20"/>
                <w:szCs w:val="20"/>
              </w:rPr>
              <w:t xml:space="preserve">section 1854(a)(5)(C)(ii) of the Act </w:t>
            </w:r>
            <w:r w:rsidRPr="001569FB">
              <w:rPr>
                <w:color w:val="000000"/>
                <w:sz w:val="20"/>
                <w:szCs w:val="20"/>
              </w:rPr>
              <w:br/>
              <w:t>42 C.F.R. § 422.254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BB2352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EADDD0D"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6F062B7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5ABD614B"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6586AE3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928EC61"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Maximum Out-of-Pocket (MOOP) Limits </w:t>
            </w:r>
            <w:r w:rsidRPr="001569FB">
              <w:rPr>
                <w:color w:val="000000"/>
                <w:sz w:val="20"/>
                <w:szCs w:val="20"/>
              </w:rPr>
              <w:t>42 C.F.R. §422.100(f)(4) and (5) and §422.101(d)(2) and (3)</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2013B1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44523A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1B754A8F"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DBA0CB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2FBE011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AD7010B"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PMPM Actuarial Equivalent Cost Sharing </w:t>
            </w:r>
            <w:r w:rsidRPr="001569FB">
              <w:rPr>
                <w:color w:val="000000"/>
                <w:sz w:val="20"/>
                <w:szCs w:val="20"/>
              </w:rPr>
              <w:t>42 C.F.R. § 422.254(b)(4)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5500D9E"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271B6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651F575"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142839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6100847E"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73D41D3"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Service Category Cost Sharing </w:t>
            </w:r>
            <w:r w:rsidRPr="001569FB">
              <w:rPr>
                <w:color w:val="000000"/>
              </w:rPr>
              <w:br/>
            </w:r>
            <w:r w:rsidRPr="001569FB">
              <w:rPr>
                <w:color w:val="000000"/>
                <w:sz w:val="20"/>
                <w:szCs w:val="20"/>
              </w:rPr>
              <w:t>42 C.F.R. §§417.454(e), 422.100(f) and 422.100(j)</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4130D65"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9F5E26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8FBC6C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r w:rsidRPr="001569FB">
              <w:rPr>
                <w:color w:val="000000"/>
                <w:vertAlign w:val="superscript"/>
              </w:rPr>
              <w:t>1</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E0500E7"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150A44B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BE7C929"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Part C Optional Supplemental Benefits </w:t>
            </w:r>
            <w:r w:rsidRPr="001569FB">
              <w:rPr>
                <w:color w:val="000000"/>
                <w:sz w:val="20"/>
                <w:szCs w:val="20"/>
              </w:rPr>
              <w:t>42 C.F.R. §422.100(f)</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61D1F9C"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65264F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1F706AE"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CC82398"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bl>
    <w:p w14:paraId="45FB6A7D" w14:textId="77777777" w:rsidR="004C5B0C" w:rsidRPr="001569FB" w:rsidRDefault="004C5B0C" w:rsidP="004C5B0C">
      <w:pPr>
        <w:keepLines/>
        <w:autoSpaceDE w:val="0"/>
        <w:autoSpaceDN w:val="0"/>
        <w:adjustRightInd w:val="0"/>
        <w:rPr>
          <w:color w:val="000000"/>
          <w:sz w:val="20"/>
          <w:szCs w:val="20"/>
        </w:rPr>
      </w:pPr>
      <w:r w:rsidRPr="001569FB">
        <w:rPr>
          <w:color w:val="000000"/>
          <w:sz w:val="20"/>
          <w:szCs w:val="20"/>
          <w:vertAlign w:val="superscript"/>
        </w:rPr>
        <w:t xml:space="preserve">1 </w:t>
      </w:r>
      <w:r w:rsidRPr="001569FB">
        <w:rPr>
          <w:color w:val="000000"/>
          <w:sz w:val="20"/>
          <w:szCs w:val="20"/>
        </w:rPr>
        <w:t xml:space="preserve">Section 1876 Cost Plans and MA plans may not charge enrollees higher cost sharing than is charged under Original Medicare for chemotherapy administration, skilled nursing care and renal dialysis services (42 C.F.R. §§417.454(e) and 422.100(j)). </w:t>
      </w:r>
    </w:p>
    <w:p w14:paraId="59310BDC" w14:textId="77777777" w:rsidR="004C5B0C" w:rsidRPr="001569FB" w:rsidRDefault="004C5B0C" w:rsidP="004C5B0C">
      <w:pPr>
        <w:spacing w:before="600"/>
        <w:rPr>
          <w:lang w:val="en"/>
        </w:rPr>
      </w:pPr>
      <w:r w:rsidRPr="001569FB">
        <w:rPr>
          <w:color w:val="000000"/>
        </w:rPr>
        <w:t xml:space="preserve">CMS has interpreted and applied the regulatory standards for service category cost sharing standards and amounts, PMPM Actuarial Equivalence factors, and Total Beneficiary Cost (TBC) requirements for CY 2019 and has provided guidance on these requirements in each applicable section below.  Consistent with last year, MAOs also must address other requirements in their bids, such as the medical loss ratio and health insurance providers’ fee, and are expected to do so </w:t>
      </w:r>
      <w:r w:rsidRPr="001569FB">
        <w:rPr>
          <w:color w:val="000000"/>
        </w:rPr>
        <w:lastRenderedPageBreak/>
        <w:t>independently of our requirements for benefits or bid review.  Therefore, CMS is not making specific adjustments or allowances for these changes in the benefits review requirements.</w:t>
      </w:r>
    </w:p>
    <w:p w14:paraId="49A0D794" w14:textId="1D99A9C2" w:rsidR="004C5B0C" w:rsidRPr="001569FB" w:rsidRDefault="009D4953" w:rsidP="004C5B0C">
      <w:pPr>
        <w:pStyle w:val="Heading3"/>
      </w:pPr>
      <w:bookmarkStart w:id="791" w:name="_Toc412034583"/>
      <w:bookmarkStart w:id="792" w:name="_Toc412133169"/>
      <w:bookmarkStart w:id="793" w:name="_Toc412197092"/>
      <w:bookmarkStart w:id="794" w:name="_Toc412197173"/>
      <w:bookmarkStart w:id="795" w:name="_Toc443480654"/>
      <w:bookmarkStart w:id="796" w:name="_Toc493523601"/>
      <w:bookmarkStart w:id="797" w:name="_Toc495652114"/>
      <w:bookmarkStart w:id="798" w:name="_Toc505253842"/>
      <w:r>
        <w:t>Section II</w:t>
      </w:r>
      <w:r w:rsidRPr="001569FB">
        <w:t xml:space="preserve"> </w:t>
      </w:r>
      <w:r w:rsidR="004C5B0C" w:rsidRPr="001569FB">
        <w:t>Plans with Low Enrollment</w:t>
      </w:r>
      <w:bookmarkEnd w:id="791"/>
      <w:bookmarkEnd w:id="792"/>
      <w:bookmarkEnd w:id="793"/>
      <w:bookmarkEnd w:id="794"/>
      <w:bookmarkEnd w:id="795"/>
      <w:bookmarkEnd w:id="796"/>
      <w:bookmarkEnd w:id="797"/>
      <w:bookmarkEnd w:id="798"/>
    </w:p>
    <w:p w14:paraId="3A7B2EBE" w14:textId="77777777" w:rsidR="004C5B0C" w:rsidRPr="001569FB" w:rsidRDefault="004C5B0C" w:rsidP="004C5B0C">
      <w:pPr>
        <w:autoSpaceDE w:val="0"/>
        <w:autoSpaceDN w:val="0"/>
        <w:adjustRightInd w:val="0"/>
        <w:spacing w:before="200"/>
        <w:rPr>
          <w:color w:val="000000"/>
        </w:rPr>
      </w:pPr>
      <w:r w:rsidRPr="001569FB">
        <w:rPr>
          <w:color w:val="000000"/>
        </w:rPr>
        <w:t xml:space="preserve">At the end of March, CMS will send affected MAOs a list of non-SNP plans that have fewer than 500 enrollees or of SNP plans that have fewer than 100 enrollees and that have been in existence for three or more years [as of March 2018 (three annual election periods)]. The notification represents CMS’s decision not to renew these plans under 42 C.F.R. §422.506(b)(1)(iv) and (b)(2).  Plans with low enrollment located in service areas that do not have a sufficient number of competing options of the same plan type (such that the low enrollment plan still represents a viable plan option for beneficiaries), as determined by CMS, will not receive this notification.  </w:t>
      </w:r>
      <w:r w:rsidRPr="001569FB">
        <w:t>Please note that 42 C.F.R. §422.514 is a minimum enrollment requirement that is applied at the contract level as part of the MA application process and is independent of this plan-level requirement.</w:t>
      </w:r>
    </w:p>
    <w:p w14:paraId="22BD1108" w14:textId="77777777" w:rsidR="004C5B0C" w:rsidRPr="001569FB" w:rsidRDefault="004C5B0C" w:rsidP="004C5B0C">
      <w:pPr>
        <w:autoSpaceDE w:val="0"/>
        <w:autoSpaceDN w:val="0"/>
        <w:adjustRightInd w:val="0"/>
        <w:spacing w:before="200"/>
        <w:rPr>
          <w:color w:val="000000"/>
        </w:rPr>
      </w:pPr>
      <w:r w:rsidRPr="001569FB">
        <w:rPr>
          <w:color w:val="000000"/>
        </w:rPr>
        <w:t>Through return e-mail, MAOs must either (1) confirm each of the low enrollment plans identified by CMS will be eliminated or consolidated with another of the organization’s plans for CY 2019, or (2) provide a justification for renewal. If CMS does not find a unique or compelling reason the low enrollment plan is a viable plan option for beneficiaries, CMS will instruct the organization to eliminate or consolidate the plan. Instructions and the timeframe for submitting justifications will be included with the list of low enrollment plans sent to the MAO. These requirements do not apply to Section 1876 cost plans, employer plans, or MA Medical Savings Account (MSA) plans.</w:t>
      </w:r>
    </w:p>
    <w:p w14:paraId="4A4329DC" w14:textId="77777777" w:rsidR="004C5B0C" w:rsidRPr="001569FB" w:rsidRDefault="004C5B0C" w:rsidP="004C5B0C">
      <w:pPr>
        <w:autoSpaceDE w:val="0"/>
        <w:autoSpaceDN w:val="0"/>
        <w:adjustRightInd w:val="0"/>
        <w:spacing w:before="200"/>
        <w:rPr>
          <w:snapToGrid w:val="0"/>
          <w:color w:val="000000"/>
        </w:rPr>
      </w:pPr>
      <w:r w:rsidRPr="001569FB">
        <w:rPr>
          <w:color w:val="000000"/>
        </w:rPr>
        <w:t xml:space="preserve">CMS recognizes there may be certain factors, such as the specific populations served and geographic location of the plan that led to a plan’s low enrollment. SNPs, for example, may legitimately have low enrollments because they focus on a subset of enrollees with certain medical conditions. CMS will consider this information when evaluating whether specific plans should be non-renewed based on insufficient enrollment. MAOs should follow CMS renewal/non-renewal guidance (see HPMS memo: Information about Renewal Options for 2019, to be issued in early April 2018 and/or section 50 of Chapter 16B) to determine whether a low enrollment plan may be consolidated with another plan(s). </w:t>
      </w:r>
      <w:r w:rsidRPr="001569FB">
        <w:rPr>
          <w:snapToGrid w:val="0"/>
          <w:color w:val="000000"/>
        </w:rPr>
        <w:t>CMS will continue to evaluate and implement low enrollment requirements on an annual basis.</w:t>
      </w:r>
      <w:r w:rsidRPr="001569FB">
        <w:rPr>
          <w:rFonts w:eastAsiaTheme="majorEastAsia"/>
          <w:b/>
          <w:i/>
          <w:iCs/>
          <w:color w:val="4F81BD" w:themeColor="accent1"/>
        </w:rPr>
        <w:t xml:space="preserve"> </w:t>
      </w:r>
    </w:p>
    <w:p w14:paraId="0DA9C17B" w14:textId="2B123D16" w:rsidR="004C5B0C" w:rsidRPr="001569FB" w:rsidRDefault="009D4953" w:rsidP="004C5B0C">
      <w:pPr>
        <w:pStyle w:val="Heading3"/>
      </w:pPr>
      <w:bookmarkStart w:id="799" w:name="_Toc412034584"/>
      <w:bookmarkStart w:id="800" w:name="_Toc412133170"/>
      <w:bookmarkStart w:id="801" w:name="_Toc412197093"/>
      <w:bookmarkStart w:id="802" w:name="_Toc412197174"/>
      <w:bookmarkStart w:id="803" w:name="_Toc443480655"/>
      <w:bookmarkStart w:id="804" w:name="_Toc493523602"/>
      <w:bookmarkStart w:id="805" w:name="_Toc495652115"/>
      <w:bookmarkStart w:id="806" w:name="_Toc505253843"/>
      <w:bookmarkEnd w:id="786"/>
      <w:bookmarkEnd w:id="787"/>
      <w:bookmarkEnd w:id="788"/>
      <w:bookmarkEnd w:id="789"/>
      <w:bookmarkEnd w:id="790"/>
      <w:r>
        <w:t>Section II</w:t>
      </w:r>
      <w:r w:rsidRPr="001569FB">
        <w:t xml:space="preserve"> </w:t>
      </w:r>
      <w:r w:rsidR="004C5B0C" w:rsidRPr="001569FB">
        <w:t>Meaningful Difference (Substantially Duplicative Plan Offerings)</w:t>
      </w:r>
      <w:bookmarkEnd w:id="799"/>
      <w:bookmarkEnd w:id="800"/>
      <w:bookmarkEnd w:id="801"/>
      <w:bookmarkEnd w:id="802"/>
      <w:bookmarkEnd w:id="803"/>
      <w:bookmarkEnd w:id="804"/>
      <w:bookmarkEnd w:id="805"/>
      <w:bookmarkEnd w:id="806"/>
    </w:p>
    <w:p w14:paraId="44703605" w14:textId="77777777" w:rsidR="004C5B0C" w:rsidRPr="001569FB" w:rsidRDefault="004C5B0C" w:rsidP="004C5B0C">
      <w:pPr>
        <w:autoSpaceDE w:val="0"/>
        <w:autoSpaceDN w:val="0"/>
        <w:adjustRightInd w:val="0"/>
        <w:spacing w:before="200"/>
        <w:rPr>
          <w:color w:val="000000"/>
        </w:rPr>
      </w:pPr>
      <w:bookmarkStart w:id="807" w:name="_Toc412034585"/>
      <w:bookmarkStart w:id="808" w:name="_Toc412133171"/>
      <w:bookmarkStart w:id="809" w:name="_Toc412197094"/>
      <w:bookmarkStart w:id="810" w:name="_Toc412197175"/>
      <w:bookmarkStart w:id="811" w:name="_Toc443480656"/>
      <w:bookmarkStart w:id="812" w:name="_Toc493523603"/>
      <w:bookmarkStart w:id="813" w:name="_Toc495652116"/>
      <w:r w:rsidRPr="001569FB">
        <w:rPr>
          <w:color w:val="000000"/>
        </w:rPr>
        <w:t>Pursuant to 42 C.F.R. §422.254(a)(4)</w:t>
      </w:r>
      <w:r w:rsidRPr="001569FB">
        <w:t xml:space="preserve"> </w:t>
      </w:r>
      <w:r w:rsidRPr="001569FB">
        <w:rPr>
          <w:color w:val="000000"/>
        </w:rPr>
        <w:t xml:space="preserve">and §422.256(b)(4), MAOs offering more than one plan in a given service area must ensure the plans are substantially different so that beneficiaries can easily identify the differences between those plans in order to determine which plan provides the highest value at the lowest cost to address their needs. CMS proposed to eliminate the meaningful difference requirement beginning in CY 2019 as part of the </w:t>
      </w:r>
      <w:r w:rsidRPr="001569FB">
        <w:rPr>
          <w:bCs/>
        </w:rPr>
        <w:t xml:space="preserve">Medicare Program; Contract Year 2019 Policy and Technical Changes to the Medicare Advantage, Medicare Cost </w:t>
      </w:r>
      <w:r w:rsidRPr="001569FB">
        <w:rPr>
          <w:bCs/>
        </w:rPr>
        <w:lastRenderedPageBreak/>
        <w:t>Plan, Medicare Fee-for-Service, the Medicare Prescription Drug Benefit Programs, and the PACE Program (CMS-4182-P) proposed rule, which was published in the Federal Register on November 28, 2017 (82 FR 56336)</w:t>
      </w:r>
      <w:r w:rsidRPr="001569FB">
        <w:rPr>
          <w:color w:val="000000"/>
        </w:rPr>
        <w:t xml:space="preserve"> and is reviewing comments regarding this proposal. CMS will provide instructions in the final rule and the CY 2019 Final Call Letter or a HPMS memorandum regarding the meaningful difference requirement for CY 2019.</w:t>
      </w:r>
      <w:r w:rsidRPr="001569FB" w:rsidDel="008C42AA">
        <w:rPr>
          <w:color w:val="000000"/>
        </w:rPr>
        <w:t xml:space="preserve"> </w:t>
      </w:r>
    </w:p>
    <w:p w14:paraId="1FD52959" w14:textId="75BE4503" w:rsidR="004C5B0C" w:rsidRPr="001569FB" w:rsidRDefault="009D4953" w:rsidP="004C5B0C">
      <w:pPr>
        <w:pStyle w:val="Heading3"/>
      </w:pPr>
      <w:bookmarkStart w:id="814" w:name="_Toc505253844"/>
      <w:r>
        <w:t>Section II</w:t>
      </w:r>
      <w:r w:rsidRPr="001569FB">
        <w:t xml:space="preserve"> </w:t>
      </w:r>
      <w:r w:rsidR="004C5B0C" w:rsidRPr="001569FB">
        <w:t>Total Beneficiary Cost (TBC)</w:t>
      </w:r>
      <w:bookmarkEnd w:id="807"/>
      <w:bookmarkEnd w:id="808"/>
      <w:bookmarkEnd w:id="809"/>
      <w:bookmarkEnd w:id="810"/>
      <w:bookmarkEnd w:id="811"/>
      <w:bookmarkEnd w:id="812"/>
      <w:bookmarkEnd w:id="813"/>
      <w:bookmarkEnd w:id="814"/>
    </w:p>
    <w:p w14:paraId="4F9FF267" w14:textId="77777777" w:rsidR="004C5B0C" w:rsidRPr="001569FB" w:rsidRDefault="004C5B0C" w:rsidP="004C5B0C">
      <w:pPr>
        <w:autoSpaceDE w:val="0"/>
        <w:autoSpaceDN w:val="0"/>
        <w:adjustRightInd w:val="0"/>
        <w:spacing w:before="200"/>
        <w:rPr>
          <w:color w:val="000000"/>
        </w:rPr>
      </w:pPr>
      <w:r w:rsidRPr="001569FB">
        <w:rPr>
          <w:color w:val="000000"/>
        </w:rPr>
        <w:t>CMS will exercise its authority under section 1854(a)(5)(C)(ii) of the Act to deny MAO bids, on a case-by-case basis, if it determines the bid proposes too significant an increase in cost sharing or decrease in benefits from one plan year to the next through the use of the TBC standard.  A plan’s TBC is the sum of the plan-specific Part B premium, plan premium, and estimated beneficiary out-of-pocket costs.</w:t>
      </w:r>
      <w:r w:rsidRPr="001569FB">
        <w:t xml:space="preserve"> </w:t>
      </w:r>
      <w:r w:rsidRPr="001569FB">
        <w:rPr>
          <w:color w:val="000000"/>
        </w:rPr>
        <w:t xml:space="preserve">The methodology for developing the CY 2019 out-of-pocket costs (OOPC) model is consistent with last year’s methodology. For more information, please reference the HPMS memorandum dated December 21, 2017 titled “Medicare Plan Finder (MPF) Plan Version of Out-of-Pocket Cost (OOPC) Model for CY 2019.”  Customary updates for utilization data, as well as PBP and formulary data used for CY 2019 bid submissions, are also included in the 2019 model.  </w:t>
      </w:r>
    </w:p>
    <w:p w14:paraId="462346AA" w14:textId="77777777" w:rsidR="004C5B0C" w:rsidRPr="001569FB" w:rsidRDefault="004C5B0C" w:rsidP="004C5B0C">
      <w:pPr>
        <w:autoSpaceDE w:val="0"/>
        <w:autoSpaceDN w:val="0"/>
        <w:adjustRightInd w:val="0"/>
        <w:spacing w:before="200"/>
        <w:rPr>
          <w:color w:val="000000"/>
        </w:rPr>
      </w:pPr>
      <w:r w:rsidRPr="001569FB">
        <w:rPr>
          <w:color w:val="000000"/>
        </w:rPr>
        <w:t xml:space="preserve">The change in TBC from one year to the next captures the combined financial impact of premium changes and benefit design changes (i.e., cost sharing changes) on plan enrollees; an increase in TBC is indicative of a reduction in benefits.  By limiting excessive increases in the TBC from one year to the next, CMS is able to make sure enrollees who continue enrollment in the same plan are not exposed to significant cost increases. As in past years, CMS will evaluate TBC for non-employer plans (excluding D-SNPs).  MA plans offering Part C uniformity flexibility (discussed later in this section) and/or participating in the Value-Based Insurance Design (VBID) model test will be subject to the TBC evaluation for CY 2019; however, benefits and cost sharing reductions </w:t>
      </w:r>
      <w:r w:rsidRPr="001569FB">
        <w:t xml:space="preserve">(entered in Section B-19 of the PBP) </w:t>
      </w:r>
      <w:r w:rsidRPr="001569FB">
        <w:rPr>
          <w:color w:val="000000"/>
        </w:rPr>
        <w:t xml:space="preserve">that are offered as part of Part C uniformity flexibility or the VBID model test will be excluded from the TBC calculation.  </w:t>
      </w:r>
      <w:r w:rsidRPr="001569FB">
        <w:rPr>
          <w:iCs/>
          <w:color w:val="000000" w:themeColor="text1"/>
        </w:rPr>
        <w:t xml:space="preserve"> This approach allows CMS to readily evaluate changes in cost sharing and benefits that are provided to all enrollees in a plan.</w:t>
      </w:r>
    </w:p>
    <w:p w14:paraId="525ABB27" w14:textId="77777777" w:rsidR="004C5B0C" w:rsidRPr="001569FB" w:rsidRDefault="004C5B0C" w:rsidP="004C5B0C">
      <w:pPr>
        <w:autoSpaceDE w:val="0"/>
        <w:autoSpaceDN w:val="0"/>
        <w:adjustRightInd w:val="0"/>
        <w:spacing w:before="200"/>
        <w:rPr>
          <w:color w:val="000000"/>
        </w:rPr>
      </w:pPr>
      <w:r w:rsidRPr="001569FB">
        <w:rPr>
          <w:color w:val="000000"/>
        </w:rPr>
        <w:t>Under 42 C.F.R. §422.254, CMS reserves the right to further examine and request changes to a plan bid even if a plan’s TBC is within the required amount.  This approach not only protects enrollees from significant increases in cost sharing or decreases in benefits, but also confirms enrollees have access to viable and sustainable MA plan offerings. </w:t>
      </w:r>
    </w:p>
    <w:p w14:paraId="7DCAA75F" w14:textId="77777777" w:rsidR="004C5B0C" w:rsidRPr="001569FB" w:rsidRDefault="004C5B0C" w:rsidP="004C5B0C">
      <w:pPr>
        <w:autoSpaceDE w:val="0"/>
        <w:autoSpaceDN w:val="0"/>
        <w:adjustRightInd w:val="0"/>
        <w:spacing w:before="200"/>
        <w:rPr>
          <w:color w:val="000000"/>
        </w:rPr>
      </w:pPr>
      <w:r w:rsidRPr="001569FB">
        <w:rPr>
          <w:color w:val="000000"/>
        </w:rPr>
        <w:t xml:space="preserve">CMS will continue to incorporate the technical and payment adjustments described below and expect organizations to address other factors, such as coding intensity changes, risk adjustment model changes, and payment of the health insurance providers fee independently of our TBC requirement. As such, plans are expected to anticipate and manage changes in payment and other factors to minimize changes in benefit and cost sharing over time. CMS also reminds MAOs that </w:t>
      </w:r>
      <w:r w:rsidRPr="001569FB">
        <w:rPr>
          <w:color w:val="000000"/>
        </w:rPr>
        <w:lastRenderedPageBreak/>
        <w:t>the Office of the Actuary extends flexibility on margin requirements so MAOs can satisfy the TBC requirement.</w:t>
      </w:r>
    </w:p>
    <w:p w14:paraId="6283F067" w14:textId="77777777" w:rsidR="004C5B0C" w:rsidRPr="001569FB" w:rsidRDefault="004C5B0C" w:rsidP="004C5B0C">
      <w:pPr>
        <w:autoSpaceDE w:val="0"/>
        <w:autoSpaceDN w:val="0"/>
        <w:adjustRightInd w:val="0"/>
        <w:spacing w:before="200" w:after="200"/>
        <w:rPr>
          <w:rFonts w:cstheme="majorHAnsi"/>
          <w:color w:val="000000"/>
        </w:rPr>
      </w:pPr>
      <w:r w:rsidRPr="001569FB">
        <w:rPr>
          <w:rFonts w:cstheme="majorHAnsi"/>
          <w:color w:val="000000"/>
        </w:rPr>
        <w:t xml:space="preserve">In mid-April 2018, as in past years, CMS will provide plan specific CY 2019 TBC values and incorporate the following adjustments in the TBC calculation to account for changes from one year to the next: </w:t>
      </w:r>
    </w:p>
    <w:p w14:paraId="7AAA9A39" w14:textId="77777777" w:rsidR="004C5B0C" w:rsidRPr="001569FB" w:rsidRDefault="004C5B0C" w:rsidP="00AC78D9">
      <w:pPr>
        <w:numPr>
          <w:ilvl w:val="0"/>
          <w:numId w:val="40"/>
        </w:numPr>
        <w:autoSpaceDE w:val="0"/>
        <w:autoSpaceDN w:val="0"/>
        <w:adjustRightInd w:val="0"/>
        <w:spacing w:after="267" w:line="240" w:lineRule="auto"/>
        <w:ind w:left="634"/>
        <w:rPr>
          <w:color w:val="000000"/>
        </w:rPr>
      </w:pPr>
      <w:r w:rsidRPr="001569FB">
        <w:rPr>
          <w:color w:val="000000"/>
        </w:rPr>
        <w:t xml:space="preserve">Technical Adjustments: (1) annual changes in OOPC model software and (2) maximum Part B premium buy-down amount change in the bid pricing tool (TBD for CY 2019).  </w:t>
      </w:r>
    </w:p>
    <w:p w14:paraId="7DEB71BE" w14:textId="77777777" w:rsidR="004C5B0C" w:rsidRPr="001569FB" w:rsidRDefault="004C5B0C" w:rsidP="00AC78D9">
      <w:pPr>
        <w:numPr>
          <w:ilvl w:val="0"/>
          <w:numId w:val="40"/>
        </w:numPr>
        <w:autoSpaceDE w:val="0"/>
        <w:autoSpaceDN w:val="0"/>
        <w:adjustRightInd w:val="0"/>
        <w:spacing w:line="240" w:lineRule="auto"/>
        <w:ind w:left="634"/>
        <w:rPr>
          <w:color w:val="000000"/>
        </w:rPr>
      </w:pPr>
      <w:r w:rsidRPr="001569FB">
        <w:rPr>
          <w:color w:val="000000"/>
        </w:rPr>
        <w:t xml:space="preserve">Payment Adjustments: (1) county benchmark, and (2) quality bonus payment and/or rebate percentages. </w:t>
      </w:r>
    </w:p>
    <w:p w14:paraId="4C777BBC" w14:textId="77777777" w:rsidR="004C5B0C" w:rsidRPr="001569FB" w:rsidRDefault="004C5B0C" w:rsidP="004C5B0C">
      <w:pPr>
        <w:spacing w:beforeLines="100" w:before="240"/>
      </w:pPr>
      <w:r w:rsidRPr="001569FB">
        <w:t>CMS is proposing to increase the TBC change threshold, for most plans, from $34.00 PMPM to  $36.00 PMPM in CY 2019 to provide flexibility in addressing medical and pharmacy inflation and benefit design and formulary changes. Therefore, a plan experiencing a net increase in adjustments must have an effective TBC change amount below the $36.00 PMPM threshold to avoid denial of the bid under section 1854(a)(5)(C)(ii). Conversely, a plan experiencing a net decrease in adjustments may have an effective TBC change amount above the $36.00 PMPM threshold. In an effort to support plans that received increased quality compensation and experience large payment adjustments, along with holding plans accountable for lower quality, CMS will apply the TBC evaluation as follows. CMS requests comment on whether the $36.00 PMPM threshold should be higher or lower for CY 2019.</w:t>
      </w:r>
    </w:p>
    <w:p w14:paraId="1ED2C2ED" w14:textId="77777777" w:rsidR="004C5B0C" w:rsidRPr="001569FB" w:rsidRDefault="004C5B0C" w:rsidP="004C5B0C">
      <w:pPr>
        <w:autoSpaceDE w:val="0"/>
        <w:autoSpaceDN w:val="0"/>
        <w:adjustRightInd w:val="0"/>
        <w:spacing w:beforeLines="100" w:before="240" w:after="200"/>
        <w:rPr>
          <w:color w:val="000000"/>
        </w:rPr>
      </w:pPr>
      <w:r w:rsidRPr="001569FB">
        <w:rPr>
          <w:color w:val="000000"/>
        </w:rPr>
        <w:t xml:space="preserve">For CY </w:t>
      </w:r>
      <w:r w:rsidRPr="001569FB">
        <w:rPr>
          <w:rFonts w:cstheme="majorHAnsi"/>
          <w:color w:val="000000"/>
        </w:rPr>
        <w:t>2019</w:t>
      </w:r>
      <w:r w:rsidRPr="001569FB">
        <w:rPr>
          <w:color w:val="000000"/>
        </w:rPr>
        <w:t xml:space="preserve">, the TBC change evaluation will be treated differently for the following specific situations: </w:t>
      </w:r>
    </w:p>
    <w:p w14:paraId="168CB998"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an increase in quality bonus payment and/or rebate percentage, and an overall payment adjustment amount greater than $36.00 PMPM will have a TBC change threshold of $0.00 PMPM (i.e., −1 times the TBC change limit of $36 PMPM) plus applicable technical adjustments. </w:t>
      </w:r>
    </w:p>
    <w:p w14:paraId="2FB8B83D" w14:textId="77777777" w:rsidR="004C5B0C" w:rsidRPr="001569FB" w:rsidRDefault="004C5B0C" w:rsidP="00AC78D9">
      <w:pPr>
        <w:numPr>
          <w:ilvl w:val="0"/>
          <w:numId w:val="41"/>
        </w:numPr>
        <w:autoSpaceDE w:val="0"/>
        <w:autoSpaceDN w:val="0"/>
        <w:adjustRightInd w:val="0"/>
        <w:ind w:left="630"/>
        <w:rPr>
          <w:color w:val="000000"/>
        </w:rPr>
      </w:pPr>
      <w:r w:rsidRPr="001569FB">
        <w:rPr>
          <w:color w:val="000000"/>
        </w:rPr>
        <w:t>Plans with a decrease in quality bonus payments and/or rebate percentage, and an overall payment adjustment amount less than -$36.00 PMPM will have a TBC change threshold of $72.00 PMPM (i.e., 2 times TBC change limit of $36.00 PMPM) plus applicable technical adjustments. That is, plans are not be allowed to make changes that result in greater than $</w:t>
      </w:r>
      <w:r w:rsidRPr="001569FB">
        <w:rPr>
          <w:rFonts w:cstheme="majorHAnsi"/>
          <w:color w:val="000000"/>
        </w:rPr>
        <w:t>72</w:t>
      </w:r>
      <w:r w:rsidRPr="001569FB">
        <w:rPr>
          <w:color w:val="000000"/>
        </w:rPr>
        <w:t xml:space="preserve">.00 worth of decreased benefits or increased premiums. </w:t>
      </w:r>
    </w:p>
    <w:p w14:paraId="5C80C297"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 star rating below 3.0 and an overall payment adjustment amount less than −$36.00 PMPM will have a TBC change threshold of $72.00 PMPM (i.e., 2 times TBC change limit of $36.00) plus applicable technical adjustments. </w:t>
      </w:r>
    </w:p>
    <w:p w14:paraId="52B6112B"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not accounted for in the three specific situations above are evaluated at the $36 PMPM limit, similar to CY 2018. </w:t>
      </w:r>
    </w:p>
    <w:p w14:paraId="2DBD7132" w14:textId="77777777" w:rsidR="004C5B0C" w:rsidRPr="001569FB" w:rsidRDefault="004C5B0C" w:rsidP="004C5B0C">
      <w:pPr>
        <w:autoSpaceDE w:val="0"/>
        <w:autoSpaceDN w:val="0"/>
        <w:adjustRightInd w:val="0"/>
        <w:spacing w:after="200"/>
        <w:rPr>
          <w:color w:val="000000"/>
        </w:rPr>
      </w:pPr>
      <w:r w:rsidRPr="001569FB">
        <w:rPr>
          <w:color w:val="000000"/>
        </w:rPr>
        <w:lastRenderedPageBreak/>
        <w:t>Consistent with last year, CMS will maintain the CY 2018 TBC evaluation for Special Needs Plans for End Stage Renal Disease (ESRD) but reflect the increase in the overall TBC change threshold:</w:t>
      </w:r>
    </w:p>
    <w:p w14:paraId="57AC4515" w14:textId="77777777" w:rsidR="004C5B0C" w:rsidRPr="001569FB" w:rsidRDefault="004C5B0C" w:rsidP="00AC78D9">
      <w:pPr>
        <w:numPr>
          <w:ilvl w:val="0"/>
          <w:numId w:val="41"/>
        </w:numPr>
        <w:autoSpaceDE w:val="0"/>
        <w:autoSpaceDN w:val="0"/>
        <w:adjustRightInd w:val="0"/>
        <w:spacing w:after="267"/>
        <w:ind w:left="630"/>
        <w:rPr>
          <w:rFonts w:cstheme="majorHAnsi"/>
          <w:color w:val="000000"/>
        </w:rPr>
      </w:pPr>
      <w:r w:rsidRPr="001569FB">
        <w:rPr>
          <w:rFonts w:cstheme="majorHAnsi"/>
          <w:color w:val="000000"/>
        </w:rPr>
        <w:t xml:space="preserve">ESRD SNPs with an increase in the overall payment adjustment amount greater than $36.00 PMPM will have a TBC change threshold of $0.00 PMPM (i.e., −1 times the TBC change limit of $36 PMPM) plus applicable technical adjustments. </w:t>
      </w:r>
    </w:p>
    <w:p w14:paraId="06E32022"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ESRD SNPs with a decrease in the overall payment adjustment amount less than -$36.00 PMPM will have a TBC change threshold of $72.00 PMPM (i.e., 2 times TBC change limit of $36.00 PMPM) plus applicable technical adjustments. That is, plans are not allowed to make changes that result in greater than $72.00 worth of decreased benefits or increased premiums. </w:t>
      </w:r>
    </w:p>
    <w:p w14:paraId="5254623C"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If CMS provides an opportunity to correct CY 2019 TBC issues following the submission deadline, the MAO cannot change its formulary (e.g., adding drugs  etc.) as a means to satisfy this requirement. The formulary review process has multiple stages and making changes that are unrelated to CMS identified formulary review concerns negatively affects the formulary and bid review process.  </w:t>
      </w:r>
      <w:r w:rsidRPr="001569FB">
        <w:t xml:space="preserve">For example, portions of the annual formulary review process are based on outlier analyses.  If an MAO were permitted to make substantial formulary changes after the initial reviews, these analyses could be adversely impacted.  In addition, significant formulary changes will necessitate additional CMS review, outside of the normal review stages, and may jeopardize the approval of a sponsor’s formulary and could affect approval of its contract. </w:t>
      </w:r>
      <w:r w:rsidRPr="001569FB">
        <w:rPr>
          <w:color w:val="000000"/>
        </w:rPr>
        <w:t>Detailed TBC information and examples will be provided in mid-April 2018 via the HPMS Memorandum titled “CY 2019 MA Bid Review and Operations Guidance.”</w:t>
      </w:r>
    </w:p>
    <w:p w14:paraId="0A49863F" w14:textId="77777777" w:rsidR="004C5B0C" w:rsidRPr="001569FB" w:rsidRDefault="004C5B0C" w:rsidP="004C5B0C">
      <w:pPr>
        <w:autoSpaceDE w:val="0"/>
        <w:autoSpaceDN w:val="0"/>
        <w:adjustRightInd w:val="0"/>
        <w:spacing w:beforeLines="100" w:before="240"/>
        <w:rPr>
          <w:color w:val="000000"/>
        </w:rPr>
      </w:pPr>
      <w:r w:rsidRPr="001569FB">
        <w:rPr>
          <w:color w:val="000000"/>
        </w:rPr>
        <w:t>CMS will maintain the TBC evaluation used during CY 2018 for consolidating or crosswalking plans. CMS will include the operational details of this process in the annual HPMS Memo titled “CY 2019 Medicare Advantage Bid Review and Operations Guidance,” issued in mid-April.</w:t>
      </w:r>
    </w:p>
    <w:p w14:paraId="41AFC853" w14:textId="77777777" w:rsidR="004C5B0C" w:rsidRPr="001569FB" w:rsidRDefault="004C5B0C" w:rsidP="004C5B0C">
      <w:pPr>
        <w:autoSpaceDE w:val="0"/>
        <w:autoSpaceDN w:val="0"/>
        <w:adjustRightInd w:val="0"/>
        <w:spacing w:beforeLines="100" w:before="240"/>
      </w:pPr>
      <w:bookmarkStart w:id="815" w:name="_Toc412034586"/>
      <w:bookmarkStart w:id="816" w:name="_Toc412133172"/>
      <w:bookmarkStart w:id="817" w:name="_Toc412197095"/>
      <w:bookmarkStart w:id="818" w:name="_Toc412197176"/>
      <w:bookmarkStart w:id="819" w:name="_Toc443480657"/>
      <w:bookmarkStart w:id="820" w:name="_Toc493523604"/>
      <w:bookmarkStart w:id="821" w:name="_Toc495652117"/>
      <w:r w:rsidRPr="001569FB">
        <w:rPr>
          <w:color w:val="000000"/>
        </w:rPr>
        <w:t>CMS is considering the elimination of the current TBC evaluation in future years, subject to statutory and regulatory limitations or changes. CMS requests comment on this matter and suggestions on other approaches to determine whether plan bids propose too significant an increase in cost sharing or decrease in benefits from one plan year to the next; we interpret the statutory provision as one granting authority for us to deny bids on these grounds to protect beneficiaries from significant increases in cost or decreases in benefits</w:t>
      </w:r>
      <w:r w:rsidRPr="001569FB">
        <w:rPr>
          <w:color w:val="000000" w:themeColor="text1"/>
        </w:rPr>
        <w:t>. Our goal is to improve innovation, available benefit offerings, and provide beneficiaries with affordable plans that are tailored for their unique healthcare needs and financial situation.</w:t>
      </w:r>
      <w:r w:rsidRPr="001569FB" w:rsidDel="005F4A2C">
        <w:rPr>
          <w:rStyle w:val="CommentReference"/>
          <w:color w:val="000000" w:themeColor="text1"/>
        </w:rPr>
        <w:t xml:space="preserve"> </w:t>
      </w:r>
    </w:p>
    <w:p w14:paraId="0FA4DCCA" w14:textId="1F6A83FF" w:rsidR="004C5B0C" w:rsidRPr="001569FB" w:rsidRDefault="009D4953" w:rsidP="004C5B0C">
      <w:pPr>
        <w:pStyle w:val="Heading3"/>
      </w:pPr>
      <w:bookmarkStart w:id="822" w:name="_Toc505253845"/>
      <w:r>
        <w:lastRenderedPageBreak/>
        <w:t>Section II</w:t>
      </w:r>
      <w:r w:rsidRPr="001569FB">
        <w:t xml:space="preserve"> </w:t>
      </w:r>
      <w:r w:rsidR="004C5B0C" w:rsidRPr="001569FB">
        <w:t>Maximum Out-of-Pocket (MOOP) Limits</w:t>
      </w:r>
      <w:bookmarkEnd w:id="815"/>
      <w:bookmarkEnd w:id="816"/>
      <w:bookmarkEnd w:id="817"/>
      <w:bookmarkEnd w:id="818"/>
      <w:bookmarkEnd w:id="819"/>
      <w:bookmarkEnd w:id="820"/>
      <w:bookmarkEnd w:id="821"/>
      <w:bookmarkEnd w:id="822"/>
    </w:p>
    <w:p w14:paraId="42B6F38B" w14:textId="77777777" w:rsidR="004C5B0C" w:rsidRPr="001569FB" w:rsidRDefault="004C5B0C" w:rsidP="004C5B0C">
      <w:pPr>
        <w:autoSpaceDE w:val="0"/>
        <w:autoSpaceDN w:val="0"/>
        <w:adjustRightInd w:val="0"/>
        <w:spacing w:before="200"/>
        <w:rPr>
          <w:color w:val="000000"/>
        </w:rPr>
      </w:pPr>
      <w:r w:rsidRPr="001569FB">
        <w:rPr>
          <w:color w:val="000000"/>
        </w:rPr>
        <w:t xml:space="preserve">As codified at 42 CFR §422.100(f)(4) and (5) and §422.101(d)(2) and (3), all MA plans, including employer group plans and SNPs, must establish limits on enrollee out-of-pocket spending that do not exceed the annual maximum amounts set by CMS.  Although the MOOP requirement is for Parts A and B services, an MAO can include supplemental benefits as services that are subject to the MOOP.  MA plans may establish as their MOOP any amount within the ranges shown in the table. </w:t>
      </w:r>
    </w:p>
    <w:p w14:paraId="7FAA043E" w14:textId="77777777" w:rsidR="004C5B0C" w:rsidRPr="001569FB" w:rsidRDefault="004C5B0C" w:rsidP="004C5B0C">
      <w:pPr>
        <w:autoSpaceDE w:val="0"/>
        <w:autoSpaceDN w:val="0"/>
        <w:adjustRightInd w:val="0"/>
        <w:spacing w:before="200"/>
        <w:rPr>
          <w:b/>
          <w:color w:val="000000"/>
        </w:rPr>
      </w:pPr>
      <w:r w:rsidRPr="001569FB">
        <w:rPr>
          <w:color w:val="000000"/>
        </w:rPr>
        <w:t>Table 22 below displays the CY 2019 mandatory and voluntary MOOP amounts and the combined (catastrophic) MOOP amount limits applicable to Local PPOs and Regional PPOs.  A plan’s adoption of a MOOP limit that qualifies as a voluntary MOOP ($0 - $3,400) results in greater flexibility for individual service category cost sharing.  The possible ranges of the MOOP amount within each plan type are displayed in order to illustrate that MOOP limits may be lower than the CMS-established maximum amounts and what MOOP amounts qualify as mandatory and voluntary MOOP limits. As clarified in previous Call Letters, t</w:t>
      </w:r>
      <w:r w:rsidRPr="001569FB">
        <w:rPr>
          <w:rFonts w:eastAsiaTheme="minorHAnsi"/>
          <w:color w:val="000000"/>
        </w:rPr>
        <w:t>he in-network MOOP amount dictates the combined MOOP range for PPOs (i.e., PPOs are not permitted to offer a combined MOOP amount within the mandatory range, while having an in-network MOOP amount within the voluntary range).</w:t>
      </w:r>
    </w:p>
    <w:p w14:paraId="3871BC2E" w14:textId="77777777" w:rsidR="004C5B0C" w:rsidRPr="001569FB" w:rsidRDefault="004C5B0C" w:rsidP="004C5B0C">
      <w:pPr>
        <w:pStyle w:val="Caption"/>
      </w:pPr>
      <w:r w:rsidRPr="001569FB">
        <w:t xml:space="preserve">Table </w:t>
      </w:r>
      <w:fldSimple w:instr=" SEQ Table \* ARABIC ">
        <w:r w:rsidR="00A216EC">
          <w:rPr>
            <w:noProof/>
          </w:rPr>
          <w:t>22</w:t>
        </w:r>
      </w:fldSimple>
      <w:r w:rsidRPr="001569FB">
        <w:t>: CY 2019 Voluntary and Mandatory MOOP Range Amounts by Plan Type</w:t>
      </w:r>
    </w:p>
    <w:tbl>
      <w:tblPr>
        <w:tblW w:w="4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162"/>
        <w:gridCol w:w="3077"/>
        <w:gridCol w:w="3711"/>
      </w:tblGrid>
      <w:tr w:rsidR="004C5B0C" w:rsidRPr="001569FB" w14:paraId="3F1D9035" w14:textId="77777777" w:rsidTr="004C5B0C">
        <w:trPr>
          <w:cantSplit/>
          <w:tblHeader/>
          <w:jc w:val="center"/>
        </w:trPr>
        <w:tc>
          <w:tcPr>
            <w:tcW w:w="1208" w:type="pct"/>
            <w:vAlign w:val="center"/>
          </w:tcPr>
          <w:p w14:paraId="7E4CFBB6" w14:textId="77777777" w:rsidR="004C5B0C" w:rsidRPr="001569FB" w:rsidRDefault="004C5B0C" w:rsidP="004C5B0C">
            <w:pPr>
              <w:keepNext/>
              <w:keepLines/>
              <w:autoSpaceDE w:val="0"/>
              <w:autoSpaceDN w:val="0"/>
              <w:adjustRightInd w:val="0"/>
              <w:rPr>
                <w:b/>
                <w:color w:val="000000"/>
              </w:rPr>
            </w:pPr>
            <w:r w:rsidRPr="001569FB">
              <w:rPr>
                <w:b/>
                <w:color w:val="000000"/>
              </w:rPr>
              <w:t>Plan Type</w:t>
            </w:r>
          </w:p>
        </w:tc>
        <w:tc>
          <w:tcPr>
            <w:tcW w:w="1719" w:type="pct"/>
            <w:vAlign w:val="center"/>
          </w:tcPr>
          <w:p w14:paraId="6A616E80" w14:textId="77777777" w:rsidR="004C5B0C" w:rsidRPr="001569FB" w:rsidRDefault="004C5B0C" w:rsidP="004C5B0C">
            <w:pPr>
              <w:keepNext/>
              <w:keepLines/>
              <w:autoSpaceDE w:val="0"/>
              <w:autoSpaceDN w:val="0"/>
              <w:adjustRightInd w:val="0"/>
              <w:rPr>
                <w:b/>
                <w:color w:val="000000"/>
              </w:rPr>
            </w:pPr>
            <w:r w:rsidRPr="001569FB">
              <w:rPr>
                <w:b/>
                <w:color w:val="000000"/>
              </w:rPr>
              <w:t>Voluntary</w:t>
            </w:r>
          </w:p>
        </w:tc>
        <w:tc>
          <w:tcPr>
            <w:tcW w:w="2073" w:type="pct"/>
            <w:vAlign w:val="center"/>
          </w:tcPr>
          <w:p w14:paraId="36D9083B" w14:textId="77777777" w:rsidR="004C5B0C" w:rsidRPr="001569FB" w:rsidRDefault="004C5B0C" w:rsidP="004C5B0C">
            <w:pPr>
              <w:keepNext/>
              <w:keepLines/>
              <w:autoSpaceDE w:val="0"/>
              <w:autoSpaceDN w:val="0"/>
              <w:adjustRightInd w:val="0"/>
              <w:rPr>
                <w:b/>
                <w:color w:val="000000"/>
              </w:rPr>
            </w:pPr>
            <w:r w:rsidRPr="001569FB">
              <w:rPr>
                <w:b/>
                <w:color w:val="000000"/>
              </w:rPr>
              <w:t>Mandatory</w:t>
            </w:r>
          </w:p>
        </w:tc>
      </w:tr>
      <w:tr w:rsidR="004C5B0C" w:rsidRPr="001569FB" w14:paraId="49E3CF33" w14:textId="77777777" w:rsidTr="004C5B0C">
        <w:trPr>
          <w:cantSplit/>
          <w:jc w:val="center"/>
        </w:trPr>
        <w:tc>
          <w:tcPr>
            <w:tcW w:w="1208" w:type="pct"/>
            <w:vAlign w:val="center"/>
          </w:tcPr>
          <w:p w14:paraId="6C3213BF" w14:textId="77777777" w:rsidR="004C5B0C" w:rsidRPr="001569FB" w:rsidRDefault="004C5B0C" w:rsidP="004C5B0C">
            <w:pPr>
              <w:keepNext/>
              <w:keepLines/>
              <w:autoSpaceDE w:val="0"/>
              <w:autoSpaceDN w:val="0"/>
              <w:adjustRightInd w:val="0"/>
              <w:rPr>
                <w:color w:val="000000"/>
              </w:rPr>
            </w:pPr>
            <w:r w:rsidRPr="001569FB">
              <w:rPr>
                <w:color w:val="000000"/>
              </w:rPr>
              <w:t xml:space="preserve">HMO </w:t>
            </w:r>
          </w:p>
        </w:tc>
        <w:tc>
          <w:tcPr>
            <w:tcW w:w="1719" w:type="pct"/>
            <w:vAlign w:val="center"/>
          </w:tcPr>
          <w:p w14:paraId="582C8610" w14:textId="77777777" w:rsidR="004C5B0C" w:rsidRPr="001569FB" w:rsidRDefault="004C5B0C" w:rsidP="004C5B0C">
            <w:pPr>
              <w:keepNext/>
              <w:keepLines/>
              <w:autoSpaceDE w:val="0"/>
              <w:autoSpaceDN w:val="0"/>
              <w:adjustRightInd w:val="0"/>
              <w:rPr>
                <w:color w:val="000000"/>
              </w:rPr>
            </w:pPr>
            <w:r w:rsidRPr="001569FB">
              <w:rPr>
                <w:color w:val="000000"/>
              </w:rPr>
              <w:t>$0 - $3,400</w:t>
            </w:r>
          </w:p>
        </w:tc>
        <w:tc>
          <w:tcPr>
            <w:tcW w:w="2073" w:type="pct"/>
            <w:vAlign w:val="center"/>
          </w:tcPr>
          <w:p w14:paraId="3F20016F" w14:textId="77777777" w:rsidR="004C5B0C" w:rsidRPr="001569FB" w:rsidRDefault="004C5B0C" w:rsidP="004C5B0C">
            <w:pPr>
              <w:keepNext/>
              <w:keepLines/>
              <w:autoSpaceDE w:val="0"/>
              <w:autoSpaceDN w:val="0"/>
              <w:adjustRightInd w:val="0"/>
              <w:rPr>
                <w:color w:val="000000"/>
              </w:rPr>
            </w:pPr>
            <w:r w:rsidRPr="001569FB">
              <w:rPr>
                <w:color w:val="000000"/>
              </w:rPr>
              <w:t>$3,401 - $6,700</w:t>
            </w:r>
          </w:p>
        </w:tc>
      </w:tr>
      <w:tr w:rsidR="004C5B0C" w:rsidRPr="001569FB" w14:paraId="58689BE9" w14:textId="77777777" w:rsidTr="004C5B0C">
        <w:trPr>
          <w:cantSplit/>
          <w:jc w:val="center"/>
        </w:trPr>
        <w:tc>
          <w:tcPr>
            <w:tcW w:w="1208" w:type="pct"/>
            <w:vAlign w:val="center"/>
          </w:tcPr>
          <w:p w14:paraId="4390A321" w14:textId="77777777" w:rsidR="004C5B0C" w:rsidRPr="001569FB" w:rsidRDefault="004C5B0C" w:rsidP="004C5B0C">
            <w:pPr>
              <w:keepNext/>
              <w:keepLines/>
              <w:autoSpaceDE w:val="0"/>
              <w:autoSpaceDN w:val="0"/>
              <w:adjustRightInd w:val="0"/>
              <w:rPr>
                <w:color w:val="000000"/>
              </w:rPr>
            </w:pPr>
            <w:r w:rsidRPr="001569FB">
              <w:rPr>
                <w:color w:val="000000"/>
              </w:rPr>
              <w:t>HMO POS</w:t>
            </w:r>
          </w:p>
        </w:tc>
        <w:tc>
          <w:tcPr>
            <w:tcW w:w="1719" w:type="pct"/>
            <w:vAlign w:val="center"/>
          </w:tcPr>
          <w:p w14:paraId="1ECF0D65" w14:textId="77777777" w:rsidR="004C5B0C" w:rsidRPr="001569FB" w:rsidRDefault="004C5B0C" w:rsidP="004C5B0C">
            <w:pPr>
              <w:keepNext/>
              <w:keepLines/>
              <w:autoSpaceDE w:val="0"/>
              <w:autoSpaceDN w:val="0"/>
              <w:adjustRightInd w:val="0"/>
              <w:rPr>
                <w:color w:val="000000"/>
              </w:rPr>
            </w:pPr>
            <w:r w:rsidRPr="001569FB">
              <w:rPr>
                <w:color w:val="000000"/>
              </w:rPr>
              <w:t>$0 - $3,400 In-network</w:t>
            </w:r>
          </w:p>
        </w:tc>
        <w:tc>
          <w:tcPr>
            <w:tcW w:w="2073" w:type="pct"/>
            <w:vAlign w:val="center"/>
          </w:tcPr>
          <w:p w14:paraId="08419E75" w14:textId="77777777" w:rsidR="004C5B0C" w:rsidRPr="001569FB" w:rsidRDefault="004C5B0C" w:rsidP="004C5B0C">
            <w:pPr>
              <w:keepNext/>
              <w:keepLines/>
              <w:autoSpaceDE w:val="0"/>
              <w:autoSpaceDN w:val="0"/>
              <w:adjustRightInd w:val="0"/>
              <w:rPr>
                <w:color w:val="000000"/>
              </w:rPr>
            </w:pPr>
            <w:r w:rsidRPr="001569FB">
              <w:rPr>
                <w:color w:val="000000"/>
              </w:rPr>
              <w:t>$3,401 - $6,700 In-network</w:t>
            </w:r>
          </w:p>
        </w:tc>
      </w:tr>
      <w:tr w:rsidR="004C5B0C" w:rsidRPr="001569FB" w14:paraId="12E864BB" w14:textId="77777777" w:rsidTr="004C5B0C">
        <w:trPr>
          <w:cantSplit/>
          <w:jc w:val="center"/>
        </w:trPr>
        <w:tc>
          <w:tcPr>
            <w:tcW w:w="1208" w:type="pct"/>
            <w:vAlign w:val="center"/>
          </w:tcPr>
          <w:p w14:paraId="40321655" w14:textId="77777777" w:rsidR="004C5B0C" w:rsidRPr="001569FB" w:rsidRDefault="004C5B0C" w:rsidP="004C5B0C">
            <w:pPr>
              <w:keepNext/>
              <w:keepLines/>
              <w:autoSpaceDE w:val="0"/>
              <w:autoSpaceDN w:val="0"/>
              <w:adjustRightInd w:val="0"/>
              <w:rPr>
                <w:color w:val="000000"/>
              </w:rPr>
            </w:pPr>
            <w:r w:rsidRPr="001569FB">
              <w:rPr>
                <w:color w:val="000000"/>
              </w:rPr>
              <w:t>Local PPO</w:t>
            </w:r>
          </w:p>
        </w:tc>
        <w:tc>
          <w:tcPr>
            <w:tcW w:w="1719" w:type="pct"/>
            <w:vAlign w:val="center"/>
          </w:tcPr>
          <w:p w14:paraId="5C8F88CE"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$0 -$5,100 Combined</w:t>
            </w:r>
          </w:p>
        </w:tc>
        <w:tc>
          <w:tcPr>
            <w:tcW w:w="2073" w:type="pct"/>
            <w:vAlign w:val="center"/>
          </w:tcPr>
          <w:p w14:paraId="09801D15"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5062B5A8" w14:textId="77777777" w:rsidTr="004C5B0C">
        <w:trPr>
          <w:cantSplit/>
          <w:jc w:val="center"/>
        </w:trPr>
        <w:tc>
          <w:tcPr>
            <w:tcW w:w="1208" w:type="pct"/>
            <w:vAlign w:val="center"/>
          </w:tcPr>
          <w:p w14:paraId="786D12F3" w14:textId="77777777" w:rsidR="004C5B0C" w:rsidRPr="001569FB" w:rsidRDefault="004C5B0C" w:rsidP="004C5B0C">
            <w:pPr>
              <w:keepNext/>
              <w:keepLines/>
              <w:autoSpaceDE w:val="0"/>
              <w:autoSpaceDN w:val="0"/>
              <w:adjustRightInd w:val="0"/>
              <w:rPr>
                <w:color w:val="000000"/>
              </w:rPr>
            </w:pPr>
            <w:r w:rsidRPr="001569FB">
              <w:rPr>
                <w:color w:val="000000"/>
              </w:rPr>
              <w:t>Regional PPO</w:t>
            </w:r>
          </w:p>
        </w:tc>
        <w:tc>
          <w:tcPr>
            <w:tcW w:w="1719" w:type="pct"/>
            <w:vAlign w:val="center"/>
          </w:tcPr>
          <w:p w14:paraId="0B7CFD40"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 $5,100 Combined</w:t>
            </w:r>
          </w:p>
        </w:tc>
        <w:tc>
          <w:tcPr>
            <w:tcW w:w="2073" w:type="pct"/>
            <w:vAlign w:val="center"/>
          </w:tcPr>
          <w:p w14:paraId="550C3539"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1A0DAA55" w14:textId="77777777" w:rsidTr="004C5B0C">
        <w:trPr>
          <w:cantSplit/>
          <w:jc w:val="center"/>
        </w:trPr>
        <w:tc>
          <w:tcPr>
            <w:tcW w:w="1208" w:type="pct"/>
            <w:vAlign w:val="center"/>
          </w:tcPr>
          <w:p w14:paraId="75DFC1B9" w14:textId="77777777" w:rsidR="004C5B0C" w:rsidRPr="001569FB" w:rsidRDefault="004C5B0C" w:rsidP="004C5B0C">
            <w:pPr>
              <w:keepNext/>
              <w:keepLines/>
              <w:autoSpaceDE w:val="0"/>
              <w:autoSpaceDN w:val="0"/>
              <w:adjustRightInd w:val="0"/>
              <w:rPr>
                <w:color w:val="000000"/>
              </w:rPr>
            </w:pPr>
            <w:r w:rsidRPr="001569FB">
              <w:rPr>
                <w:color w:val="000000"/>
              </w:rPr>
              <w:t>PFFS (full network)</w:t>
            </w:r>
          </w:p>
        </w:tc>
        <w:tc>
          <w:tcPr>
            <w:tcW w:w="1719" w:type="pct"/>
            <w:vAlign w:val="center"/>
          </w:tcPr>
          <w:p w14:paraId="2417D24A"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40EB32EE"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2F740001" w14:textId="77777777" w:rsidTr="004C5B0C">
        <w:trPr>
          <w:cantSplit/>
          <w:jc w:val="center"/>
        </w:trPr>
        <w:tc>
          <w:tcPr>
            <w:tcW w:w="1208" w:type="pct"/>
            <w:vAlign w:val="center"/>
          </w:tcPr>
          <w:p w14:paraId="194C3880" w14:textId="77777777" w:rsidR="004C5B0C" w:rsidRPr="001569FB" w:rsidRDefault="004C5B0C" w:rsidP="004C5B0C">
            <w:pPr>
              <w:keepNext/>
              <w:keepLines/>
              <w:autoSpaceDE w:val="0"/>
              <w:autoSpaceDN w:val="0"/>
              <w:adjustRightInd w:val="0"/>
              <w:rPr>
                <w:color w:val="000000"/>
              </w:rPr>
            </w:pPr>
            <w:r w:rsidRPr="001569FB">
              <w:rPr>
                <w:color w:val="000000"/>
              </w:rPr>
              <w:t>PFFS (partial network)</w:t>
            </w:r>
          </w:p>
        </w:tc>
        <w:tc>
          <w:tcPr>
            <w:tcW w:w="1719" w:type="pct"/>
            <w:vAlign w:val="center"/>
          </w:tcPr>
          <w:p w14:paraId="1C205421"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1F48305C"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3C3FC791" w14:textId="77777777" w:rsidTr="004C5B0C">
        <w:trPr>
          <w:cantSplit/>
          <w:jc w:val="center"/>
        </w:trPr>
        <w:tc>
          <w:tcPr>
            <w:tcW w:w="1208" w:type="pct"/>
            <w:vAlign w:val="center"/>
          </w:tcPr>
          <w:p w14:paraId="10310440" w14:textId="77777777" w:rsidR="004C5B0C" w:rsidRPr="001569FB" w:rsidRDefault="004C5B0C" w:rsidP="004C5B0C">
            <w:pPr>
              <w:autoSpaceDE w:val="0"/>
              <w:autoSpaceDN w:val="0"/>
              <w:adjustRightInd w:val="0"/>
              <w:rPr>
                <w:color w:val="000000"/>
              </w:rPr>
            </w:pPr>
            <w:r w:rsidRPr="001569FB">
              <w:rPr>
                <w:color w:val="000000"/>
              </w:rPr>
              <w:t>PFFS (non-network)</w:t>
            </w:r>
          </w:p>
        </w:tc>
        <w:tc>
          <w:tcPr>
            <w:tcW w:w="1719" w:type="pct"/>
            <w:vAlign w:val="center"/>
          </w:tcPr>
          <w:p w14:paraId="437CD594" w14:textId="77777777" w:rsidR="004C5B0C" w:rsidRPr="001569FB" w:rsidRDefault="004C5B0C" w:rsidP="004C5B0C">
            <w:pPr>
              <w:autoSpaceDE w:val="0"/>
              <w:autoSpaceDN w:val="0"/>
              <w:adjustRightInd w:val="0"/>
              <w:rPr>
                <w:color w:val="000000"/>
              </w:rPr>
            </w:pPr>
            <w:r w:rsidRPr="001569FB">
              <w:rPr>
                <w:color w:val="000000"/>
              </w:rPr>
              <w:t>$0 - $3,400</w:t>
            </w:r>
          </w:p>
        </w:tc>
        <w:tc>
          <w:tcPr>
            <w:tcW w:w="2073" w:type="pct"/>
            <w:vAlign w:val="center"/>
          </w:tcPr>
          <w:p w14:paraId="271A6FCD" w14:textId="77777777" w:rsidR="004C5B0C" w:rsidRPr="001569FB" w:rsidRDefault="004C5B0C" w:rsidP="004C5B0C">
            <w:pPr>
              <w:autoSpaceDE w:val="0"/>
              <w:autoSpaceDN w:val="0"/>
              <w:adjustRightInd w:val="0"/>
              <w:rPr>
                <w:color w:val="000000"/>
              </w:rPr>
            </w:pPr>
            <w:r w:rsidRPr="001569FB">
              <w:rPr>
                <w:color w:val="000000"/>
              </w:rPr>
              <w:t>$3,401 - $6,700</w:t>
            </w:r>
          </w:p>
        </w:tc>
      </w:tr>
    </w:tbl>
    <w:p w14:paraId="75D7D313"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As explained in the CY 2012 Call Letter, MOOP limits are currently based on a beneficiary-level distribution of Parts A and B cost sharing for individuals enrolled in Original Medicare.  </w:t>
      </w:r>
      <w:r w:rsidRPr="001569FB">
        <w:rPr>
          <w:color w:val="000000" w:themeColor="text1"/>
        </w:rPr>
        <w:t xml:space="preserve">Actual data for Parts A and B services are based on claims from the National Claims History files.  The Office of the Actuary conducts an annual analysis to help CMS determine the proposed MOOP amounts by projecting cost sharing using trend factors, such as enrollment changes and enrollment shifts between MA and Original Medicare. </w:t>
      </w:r>
      <w:r w:rsidRPr="001569FB">
        <w:rPr>
          <w:color w:val="000000"/>
        </w:rPr>
        <w:t xml:space="preserve">The mandatory MOOP amount represents </w:t>
      </w:r>
      <w:r w:rsidRPr="001569FB">
        <w:rPr>
          <w:color w:val="000000"/>
        </w:rPr>
        <w:lastRenderedPageBreak/>
        <w:t>approximately the 95th percentile of projected beneficiary out-of-pocket spending.  Stated differently, five percent of Original Medicare beneficiaries are expected to incur approximately $6,700 or more in Parts A and B deductibles, copayments and coinsurance.  The voluntary MOOP amount of $3,400 represents approximately the 85th percentile of projected Original Medicare out-of-pocket costs.</w:t>
      </w:r>
    </w:p>
    <w:p w14:paraId="73C97217"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Since the MOOP requirement was finalized in 42 C.F.R. § 422.100(f)(4) and (5), a strict application of the 95th and 85th percentile would have resulted in MOOP limits fluctuating from year-to-year.  CMS has exercised discretion to maintain stable MOOP limits from year-to-year, if the beneficiary-level distribution of Parts A and B cost sharing for individuals enrolled in Original Medicare is approximately equal to the appropriate percentile.  This approach avoids enrollee confusion, allows plans to provide stable benefit packages, and does not discourage the adoption of the lower voluntary MOOP amount if the limit increases one year and then decreases the next. </w:t>
      </w:r>
    </w:p>
    <w:p w14:paraId="122AD5AB" w14:textId="77777777" w:rsidR="004C5B0C" w:rsidRPr="001569FB" w:rsidRDefault="004C5B0C" w:rsidP="004C5B0C">
      <w:pPr>
        <w:autoSpaceDE w:val="0"/>
        <w:autoSpaceDN w:val="0"/>
        <w:adjustRightInd w:val="0"/>
        <w:spacing w:beforeLines="100" w:before="240"/>
        <w:rPr>
          <w:color w:val="000000"/>
        </w:rPr>
      </w:pPr>
      <w:bookmarkStart w:id="823" w:name="_Toc412034587"/>
      <w:bookmarkStart w:id="824" w:name="_Toc412133173"/>
      <w:bookmarkStart w:id="825" w:name="_Toc412197096"/>
      <w:bookmarkStart w:id="826" w:name="_Toc412197177"/>
      <w:bookmarkStart w:id="827" w:name="_Toc443480658"/>
      <w:bookmarkStart w:id="828" w:name="_Toc493523605"/>
      <w:r w:rsidRPr="001569FB">
        <w:rPr>
          <w:color w:val="000000"/>
        </w:rPr>
        <w:t xml:space="preserve">Although most dual-eligible enrollees are not responsible for paying cost sharing, certain D-SNPs (Medicare Non-Zero Dollar Cost Sharing Plans) enroll dual-eligible enrollees who do pay cost sharing.  Also, any dual-eligible enrollee exempted from cost sharing who loses his/her Medicaid eligibility may be responsible for cost sharing for the period they have lost Medicaid coverage, and remain enrolled in the D-SNP.  This also applies to Zero Dollar Cost Sharing Plans that apply cost sharing in their Medicare Part A and B benefit package but enroll only dual-eligible individuals who are exempt from cost sharing. </w:t>
      </w:r>
    </w:p>
    <w:p w14:paraId="1053B799" w14:textId="77777777" w:rsidR="004C5B0C" w:rsidRPr="001569FB" w:rsidRDefault="004C5B0C" w:rsidP="004C5B0C">
      <w:pPr>
        <w:autoSpaceDE w:val="0"/>
        <w:autoSpaceDN w:val="0"/>
        <w:adjustRightInd w:val="0"/>
        <w:spacing w:beforeLines="100" w:before="240"/>
        <w:rPr>
          <w:color w:val="000000"/>
        </w:rPr>
      </w:pPr>
      <w:r w:rsidRPr="001569FB">
        <w:rPr>
          <w:color w:val="000000"/>
        </w:rPr>
        <w:t>D-SNPs have the flexibility to establish $0 as the MOOP limit, thereby guaranteeing there is no cost sharing for plan enrollees, including those who are liable for Medicare cost sharing.  Otherwise, if the D-SNP does apply cost sharing for Medicare Part A and B covered benefits, then it must track enrollees’ out-of-pocket spending, and it is up to the plan to develop the process and vehicle for doing so.</w:t>
      </w:r>
    </w:p>
    <w:p w14:paraId="76B71E14" w14:textId="54568382" w:rsidR="004C5B0C" w:rsidRPr="001569FB" w:rsidRDefault="009D4953" w:rsidP="004C5B0C">
      <w:pPr>
        <w:pStyle w:val="Heading3"/>
      </w:pPr>
      <w:bookmarkStart w:id="829" w:name="_Toc495652118"/>
      <w:bookmarkStart w:id="830" w:name="_Toc505253846"/>
      <w:r>
        <w:t>Section II</w:t>
      </w:r>
      <w:r w:rsidRPr="001569FB">
        <w:t xml:space="preserve"> </w:t>
      </w:r>
      <w:r w:rsidR="004C5B0C" w:rsidRPr="001569FB">
        <w:t>Per Member Per Month (PMPM) Actuarial Equivalent (AE) Cost Sharing Limits</w:t>
      </w:r>
      <w:bookmarkEnd w:id="823"/>
      <w:bookmarkEnd w:id="824"/>
      <w:bookmarkEnd w:id="825"/>
      <w:bookmarkEnd w:id="826"/>
      <w:bookmarkEnd w:id="827"/>
      <w:bookmarkEnd w:id="828"/>
      <w:bookmarkEnd w:id="829"/>
      <w:bookmarkEnd w:id="830"/>
    </w:p>
    <w:p w14:paraId="6A09D9A1" w14:textId="77777777" w:rsidR="004C5B0C" w:rsidRPr="001569FB" w:rsidRDefault="004C5B0C" w:rsidP="004C5B0C">
      <w:pPr>
        <w:autoSpaceDE w:val="0"/>
        <w:autoSpaceDN w:val="0"/>
        <w:adjustRightInd w:val="0"/>
        <w:spacing w:before="200"/>
        <w:rPr>
          <w:color w:val="000000"/>
        </w:rPr>
      </w:pPr>
      <w:r w:rsidRPr="001569FB">
        <w:rPr>
          <w:color w:val="000000"/>
        </w:rPr>
        <w:t xml:space="preserve">Total MA cost sharing for Part A and B services must not exceed cost sharing for those services in Original Medicare on an actuarially equivalent basis and must not be discriminatory.  In order to ensure that cost sharing is consistent with both 42 C.F.R. § 422.254(b)(4) and §422.100(f)(2), CMS will evaluate actuarial equivalent cost sharing limits separately in the following service categories for CY 2019: Inpatient, Skilled Nursing Facility (SNF), Durable Medical Equipment (DME), and Part B drugs.  Please note that factors for Inpatient in Column 4 of the table below (Part B Adjustment Factor to Incorporate Part B Cost Sharing) have been updated for CY 2019.  </w:t>
      </w:r>
    </w:p>
    <w:p w14:paraId="16EED2C7" w14:textId="77777777" w:rsidR="004C5B0C" w:rsidRPr="001569FB" w:rsidRDefault="004C5B0C" w:rsidP="004C5B0C">
      <w:pPr>
        <w:autoSpaceDE w:val="0"/>
        <w:autoSpaceDN w:val="0"/>
        <w:adjustRightInd w:val="0"/>
        <w:spacing w:before="200"/>
        <w:rPr>
          <w:color w:val="000000"/>
        </w:rPr>
      </w:pPr>
      <w:r w:rsidRPr="001569FB">
        <w:rPr>
          <w:color w:val="000000"/>
        </w:rPr>
        <w:t xml:space="preserve">Whether in the aggregate, or on a service-specific basis, excess cost sharing is identified by comparing two values found in Worksheet 4 of the BPT.  Specifically, a plan’s PMPM cost </w:t>
      </w:r>
      <w:r w:rsidRPr="001569FB">
        <w:rPr>
          <w:color w:val="000000"/>
        </w:rPr>
        <w:lastRenderedPageBreak/>
        <w:t xml:space="preserve">sharing for Medicare covered services (BPT Worksheet 4, Section IIA, column l) is compared to Original Medicare Actuarially Equivalent Cost Sharing (BPT Worksheet 4, Section IIA, column n).  For Inpatient services, the AE Original Medicare cost sharing values, unlike plan cost sharing values, do not include Part B cost sharing; therefore, an adjustment factor is applied to these AE Original Medicare values to incorporate Part B cost sharing and to make the comparison valid. </w:t>
      </w:r>
    </w:p>
    <w:p w14:paraId="6318D53D" w14:textId="77777777" w:rsidR="004C5B0C" w:rsidRPr="001569FB" w:rsidRDefault="004C5B0C" w:rsidP="004C5B0C">
      <w:pPr>
        <w:autoSpaceDE w:val="0"/>
        <w:autoSpaceDN w:val="0"/>
        <w:adjustRightInd w:val="0"/>
        <w:spacing w:before="200"/>
        <w:rPr>
          <w:color w:val="000000"/>
        </w:rPr>
      </w:pPr>
      <w:r w:rsidRPr="001569FB">
        <w:rPr>
          <w:color w:val="000000"/>
        </w:rPr>
        <w:t>Once the comparison amounts have been determined, excess cost sharing can be identified. Excess cost sharing is the difference (if positive) between the plan cost sharing amount (column #1) and the comparison amount (column #5).  The table below uses illustrative values to demonstrate the mechanics of this determination.</w:t>
      </w:r>
    </w:p>
    <w:p w14:paraId="4AB960CC" w14:textId="77777777" w:rsidR="004C5B0C" w:rsidRPr="001569FB" w:rsidRDefault="004C5B0C" w:rsidP="004C5B0C">
      <w:pPr>
        <w:pStyle w:val="Caption"/>
      </w:pPr>
      <w:r w:rsidRPr="001569FB">
        <w:t xml:space="preserve">Table </w:t>
      </w:r>
      <w:fldSimple w:instr=" SEQ Table \* ARABIC ">
        <w:r w:rsidR="00A216EC">
          <w:rPr>
            <w:noProof/>
          </w:rPr>
          <w:t>23</w:t>
        </w:r>
      </w:fldSimple>
      <w:r w:rsidRPr="001569FB">
        <w:t>: Illustrative Comparison of Service-Level Actuarial Equivalent Costs to Identify Excessive Cost Sharing</w:t>
      </w:r>
    </w:p>
    <w:tbl>
      <w:tblPr>
        <w:tblW w:w="9750" w:type="dxa"/>
        <w:jc w:val="center"/>
        <w:tblCellMar>
          <w:left w:w="58" w:type="dxa"/>
          <w:right w:w="58" w:type="dxa"/>
        </w:tblCellMar>
        <w:tblLook w:val="04A0" w:firstRow="1" w:lastRow="0" w:firstColumn="1" w:lastColumn="0" w:noHBand="0" w:noVBand="1"/>
      </w:tblPr>
      <w:tblGrid>
        <w:gridCol w:w="1163"/>
        <w:gridCol w:w="1030"/>
        <w:gridCol w:w="1189"/>
        <w:gridCol w:w="1189"/>
        <w:gridCol w:w="1443"/>
        <w:gridCol w:w="1483"/>
        <w:gridCol w:w="1072"/>
        <w:gridCol w:w="1181"/>
      </w:tblGrid>
      <w:tr w:rsidR="004C5B0C" w:rsidRPr="001569FB" w14:paraId="6CA4E315" w14:textId="77777777" w:rsidTr="004C5B0C">
        <w:trPr>
          <w:cantSplit/>
          <w:trHeight w:val="330"/>
          <w:tblHeader/>
          <w:jc w:val="center"/>
        </w:trPr>
        <w:tc>
          <w:tcPr>
            <w:tcW w:w="1163" w:type="dxa"/>
            <w:tcBorders>
              <w:top w:val="nil"/>
              <w:left w:val="nil"/>
              <w:bottom w:val="single" w:sz="8" w:space="0" w:color="auto"/>
              <w:right w:val="nil"/>
            </w:tcBorders>
            <w:shd w:val="clear" w:color="000000" w:fill="FFFFFF"/>
            <w:noWrap/>
            <w:vAlign w:val="center"/>
            <w:hideMark/>
          </w:tcPr>
          <w:p w14:paraId="44C35191" w14:textId="77777777" w:rsidR="004C5B0C" w:rsidRPr="001569FB" w:rsidRDefault="004C5B0C" w:rsidP="004C5B0C">
            <w:pPr>
              <w:keepNext/>
              <w:keepLines/>
              <w:spacing w:line="240" w:lineRule="auto"/>
              <w:rPr>
                <w:b/>
                <w:color w:val="000000"/>
              </w:rPr>
            </w:pPr>
            <w:r w:rsidRPr="001569FB">
              <w:rPr>
                <w:b/>
                <w:color w:val="000000"/>
              </w:rPr>
              <w:t> </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D1141" w14:textId="77777777" w:rsidR="004C5B0C" w:rsidRPr="001569FB" w:rsidRDefault="004C5B0C" w:rsidP="004C5B0C">
            <w:pPr>
              <w:keepNext/>
              <w:keepLines/>
              <w:spacing w:line="240" w:lineRule="auto"/>
              <w:rPr>
                <w:b/>
                <w:color w:val="000000"/>
              </w:rPr>
            </w:pPr>
            <w:r w:rsidRPr="001569FB">
              <w:rPr>
                <w:b/>
                <w:color w:val="000000"/>
              </w:rPr>
              <w:t>#1</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A2B9B78" w14:textId="77777777" w:rsidR="004C5B0C" w:rsidRPr="001569FB" w:rsidRDefault="004C5B0C" w:rsidP="004C5B0C">
            <w:pPr>
              <w:keepNext/>
              <w:keepLines/>
              <w:spacing w:line="240" w:lineRule="auto"/>
              <w:rPr>
                <w:b/>
                <w:color w:val="000000"/>
              </w:rPr>
            </w:pPr>
            <w:r w:rsidRPr="001569FB">
              <w:rPr>
                <w:b/>
                <w:color w:val="000000"/>
              </w:rPr>
              <w:t>#2</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5F80E8E" w14:textId="77777777" w:rsidR="004C5B0C" w:rsidRPr="001569FB" w:rsidRDefault="004C5B0C" w:rsidP="004C5B0C">
            <w:pPr>
              <w:keepNext/>
              <w:keepLines/>
              <w:spacing w:line="240" w:lineRule="auto"/>
              <w:rPr>
                <w:b/>
                <w:color w:val="000000"/>
              </w:rPr>
            </w:pPr>
            <w:r w:rsidRPr="001569FB">
              <w:rPr>
                <w:b/>
                <w:color w:val="000000"/>
              </w:rPr>
              <w:t>#3</w:t>
            </w:r>
          </w:p>
        </w:tc>
        <w:tc>
          <w:tcPr>
            <w:tcW w:w="1443" w:type="dxa"/>
            <w:tcBorders>
              <w:top w:val="single" w:sz="8" w:space="0" w:color="auto"/>
              <w:left w:val="nil"/>
              <w:bottom w:val="single" w:sz="8" w:space="0" w:color="auto"/>
              <w:right w:val="single" w:sz="8" w:space="0" w:color="auto"/>
            </w:tcBorders>
            <w:shd w:val="clear" w:color="000000" w:fill="FFFFFF"/>
            <w:noWrap/>
            <w:vAlign w:val="center"/>
            <w:hideMark/>
          </w:tcPr>
          <w:p w14:paraId="08532DC3" w14:textId="77777777" w:rsidR="004C5B0C" w:rsidRPr="001569FB" w:rsidRDefault="004C5B0C" w:rsidP="004C5B0C">
            <w:pPr>
              <w:keepNext/>
              <w:keepLines/>
              <w:spacing w:line="240" w:lineRule="auto"/>
              <w:rPr>
                <w:b/>
                <w:color w:val="000000"/>
              </w:rPr>
            </w:pPr>
            <w:r w:rsidRPr="001569FB">
              <w:rPr>
                <w:b/>
                <w:color w:val="000000"/>
              </w:rPr>
              <w:t>#4</w:t>
            </w:r>
          </w:p>
        </w:tc>
        <w:tc>
          <w:tcPr>
            <w:tcW w:w="1483" w:type="dxa"/>
            <w:tcBorders>
              <w:top w:val="single" w:sz="8" w:space="0" w:color="auto"/>
              <w:left w:val="nil"/>
              <w:bottom w:val="single" w:sz="8" w:space="0" w:color="auto"/>
              <w:right w:val="single" w:sz="8" w:space="0" w:color="auto"/>
            </w:tcBorders>
            <w:shd w:val="clear" w:color="000000" w:fill="FFFFFF"/>
            <w:noWrap/>
            <w:vAlign w:val="center"/>
            <w:hideMark/>
          </w:tcPr>
          <w:p w14:paraId="7A0F52F3" w14:textId="77777777" w:rsidR="004C5B0C" w:rsidRPr="001569FB" w:rsidRDefault="004C5B0C" w:rsidP="004C5B0C">
            <w:pPr>
              <w:keepNext/>
              <w:keepLines/>
              <w:spacing w:line="240" w:lineRule="auto"/>
              <w:rPr>
                <w:b/>
                <w:color w:val="000000"/>
              </w:rPr>
            </w:pPr>
            <w:r w:rsidRPr="001569FB">
              <w:rPr>
                <w:b/>
                <w:color w:val="000000"/>
              </w:rPr>
              <w:t>#5</w:t>
            </w:r>
          </w:p>
        </w:tc>
        <w:tc>
          <w:tcPr>
            <w:tcW w:w="1072" w:type="dxa"/>
            <w:tcBorders>
              <w:top w:val="single" w:sz="8" w:space="0" w:color="auto"/>
              <w:left w:val="nil"/>
              <w:bottom w:val="single" w:sz="8" w:space="0" w:color="auto"/>
              <w:right w:val="single" w:sz="8" w:space="0" w:color="auto"/>
            </w:tcBorders>
            <w:shd w:val="clear" w:color="000000" w:fill="FFFFFF"/>
            <w:noWrap/>
            <w:vAlign w:val="center"/>
            <w:hideMark/>
          </w:tcPr>
          <w:p w14:paraId="38EE2E90" w14:textId="77777777" w:rsidR="004C5B0C" w:rsidRPr="001569FB" w:rsidRDefault="004C5B0C" w:rsidP="004C5B0C">
            <w:pPr>
              <w:keepNext/>
              <w:keepLines/>
              <w:spacing w:line="240" w:lineRule="auto"/>
              <w:rPr>
                <w:b/>
                <w:color w:val="000000"/>
              </w:rPr>
            </w:pPr>
            <w:r w:rsidRPr="001569FB">
              <w:rPr>
                <w:b/>
                <w:color w:val="000000"/>
              </w:rPr>
              <w:t>#6</w:t>
            </w:r>
          </w:p>
        </w:tc>
        <w:tc>
          <w:tcPr>
            <w:tcW w:w="1181" w:type="dxa"/>
            <w:tcBorders>
              <w:top w:val="single" w:sz="8" w:space="0" w:color="auto"/>
              <w:left w:val="nil"/>
              <w:bottom w:val="single" w:sz="8" w:space="0" w:color="auto"/>
              <w:right w:val="single" w:sz="8" w:space="0" w:color="auto"/>
            </w:tcBorders>
            <w:shd w:val="clear" w:color="000000" w:fill="FFFFFF"/>
            <w:noWrap/>
            <w:vAlign w:val="center"/>
            <w:hideMark/>
          </w:tcPr>
          <w:p w14:paraId="247D0E93" w14:textId="77777777" w:rsidR="004C5B0C" w:rsidRPr="001569FB" w:rsidRDefault="004C5B0C" w:rsidP="004C5B0C">
            <w:pPr>
              <w:keepNext/>
              <w:keepLines/>
              <w:spacing w:line="240" w:lineRule="auto"/>
              <w:rPr>
                <w:b/>
                <w:color w:val="000000"/>
              </w:rPr>
            </w:pPr>
            <w:r w:rsidRPr="001569FB">
              <w:rPr>
                <w:b/>
                <w:color w:val="000000"/>
              </w:rPr>
              <w:t>#7</w:t>
            </w:r>
          </w:p>
        </w:tc>
      </w:tr>
      <w:tr w:rsidR="004C5B0C" w:rsidRPr="001569FB" w14:paraId="0ED0F843" w14:textId="77777777" w:rsidTr="004C5B0C">
        <w:trPr>
          <w:cantSplit/>
          <w:tblHeader/>
          <w:jc w:val="center"/>
        </w:trPr>
        <w:tc>
          <w:tcPr>
            <w:tcW w:w="1163" w:type="dxa"/>
            <w:tcBorders>
              <w:top w:val="single" w:sz="8" w:space="0" w:color="auto"/>
              <w:left w:val="single" w:sz="8" w:space="0" w:color="auto"/>
              <w:bottom w:val="single" w:sz="8" w:space="0" w:color="auto"/>
              <w:right w:val="nil"/>
            </w:tcBorders>
            <w:shd w:val="clear" w:color="000000" w:fill="FFFFFF"/>
            <w:noWrap/>
            <w:vAlign w:val="center"/>
          </w:tcPr>
          <w:p w14:paraId="0CA899FD" w14:textId="77777777" w:rsidR="004C5B0C" w:rsidRPr="001569FB" w:rsidRDefault="004C5B0C" w:rsidP="004C5B0C">
            <w:pPr>
              <w:keepNext/>
              <w:keepLines/>
              <w:spacing w:line="240" w:lineRule="auto"/>
              <w:rPr>
                <w:b/>
                <w:color w:val="000000"/>
              </w:rPr>
            </w:pPr>
            <w:r w:rsidRPr="001569FB">
              <w:rPr>
                <w:b/>
                <w:color w:val="000000"/>
              </w:rPr>
              <w:t>BPT Benefit Category</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3B282E0A" w14:textId="77777777" w:rsidR="004C5B0C" w:rsidRPr="001569FB" w:rsidRDefault="004C5B0C" w:rsidP="004C5B0C">
            <w:pPr>
              <w:keepNext/>
              <w:keepLines/>
              <w:spacing w:after="120" w:line="240" w:lineRule="auto"/>
              <w:rPr>
                <w:b/>
                <w:color w:val="000000"/>
                <w:sz w:val="12"/>
                <w:szCs w:val="12"/>
              </w:rPr>
            </w:pPr>
            <w:r w:rsidRPr="001569FB">
              <w:rPr>
                <w:b/>
                <w:color w:val="000000"/>
              </w:rPr>
              <w:t xml:space="preserve">PMPM Plan Cost Sharing </w:t>
            </w:r>
            <w:r w:rsidRPr="001569FB">
              <w:rPr>
                <w:b/>
                <w:color w:val="000000"/>
              </w:rPr>
              <w:br/>
            </w:r>
            <w:r w:rsidRPr="001569FB">
              <w:rPr>
                <w:b/>
                <w:color w:val="000000"/>
              </w:rPr>
              <w:br/>
              <w:t xml:space="preserve">(Parts A&amp;B) </w:t>
            </w:r>
            <w:r w:rsidRPr="001569FB">
              <w:rPr>
                <w:b/>
                <w:color w:val="000000"/>
              </w:rPr>
              <w:br/>
            </w:r>
            <w:r w:rsidRPr="001569FB">
              <w:rPr>
                <w:b/>
                <w:color w:val="000000"/>
              </w:rPr>
              <w:br/>
            </w:r>
            <w:r w:rsidRPr="001569FB">
              <w:rPr>
                <w:b/>
                <w:i/>
                <w:iCs/>
                <w:color w:val="000000"/>
              </w:rPr>
              <w:t>(BPT Col. l)</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F7B1924"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Allowed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m)</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08035F3"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AE Cost sharing </w:t>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n)</w:t>
            </w:r>
            <w:r w:rsidRPr="001569FB">
              <w:rPr>
                <w:b/>
                <w:i/>
                <w:iCs/>
                <w:color w:val="000000"/>
                <w:vertAlign w:val="superscript"/>
              </w:rPr>
              <w:t xml:space="preserve"> 1</w:t>
            </w:r>
          </w:p>
        </w:tc>
        <w:tc>
          <w:tcPr>
            <w:tcW w:w="1443" w:type="dxa"/>
            <w:tcBorders>
              <w:top w:val="single" w:sz="8" w:space="0" w:color="auto"/>
              <w:left w:val="nil"/>
              <w:bottom w:val="single" w:sz="8" w:space="0" w:color="auto"/>
              <w:right w:val="single" w:sz="8" w:space="0" w:color="auto"/>
            </w:tcBorders>
            <w:shd w:val="clear" w:color="000000" w:fill="FFFFFF"/>
            <w:noWrap/>
          </w:tcPr>
          <w:p w14:paraId="51A263C6" w14:textId="77777777" w:rsidR="004C5B0C" w:rsidRPr="001569FB" w:rsidRDefault="004C5B0C" w:rsidP="004C5B0C">
            <w:pPr>
              <w:keepNext/>
              <w:keepLines/>
              <w:spacing w:line="240" w:lineRule="auto"/>
              <w:rPr>
                <w:b/>
                <w:color w:val="000000"/>
              </w:rPr>
            </w:pPr>
            <w:r w:rsidRPr="001569FB">
              <w:rPr>
                <w:b/>
                <w:color w:val="000000"/>
              </w:rPr>
              <w:t xml:space="preserve">Part B Adjustment Factor to Incorporate Part B Cost Sharing </w:t>
            </w:r>
            <w:r w:rsidRPr="001569FB">
              <w:rPr>
                <w:b/>
                <w:color w:val="000000"/>
              </w:rPr>
              <w:br/>
              <w:t>(Based on FFS data)</w:t>
            </w:r>
          </w:p>
        </w:tc>
        <w:tc>
          <w:tcPr>
            <w:tcW w:w="1483" w:type="dxa"/>
            <w:tcBorders>
              <w:top w:val="single" w:sz="8" w:space="0" w:color="auto"/>
              <w:left w:val="nil"/>
              <w:bottom w:val="single" w:sz="8" w:space="0" w:color="auto"/>
              <w:right w:val="single" w:sz="8" w:space="0" w:color="auto"/>
            </w:tcBorders>
            <w:shd w:val="clear" w:color="000000" w:fill="FFFFFF"/>
            <w:noWrap/>
            <w:vAlign w:val="center"/>
          </w:tcPr>
          <w:p w14:paraId="5DDA7B1F" w14:textId="77777777" w:rsidR="004C5B0C" w:rsidRPr="001569FB" w:rsidRDefault="004C5B0C" w:rsidP="004C5B0C">
            <w:pPr>
              <w:keepNext/>
              <w:keepLines/>
              <w:spacing w:line="240" w:lineRule="auto"/>
              <w:rPr>
                <w:b/>
                <w:color w:val="000000"/>
              </w:rPr>
            </w:pPr>
            <w:r w:rsidRPr="001569FB">
              <w:rPr>
                <w:b/>
                <w:color w:val="000000"/>
              </w:rPr>
              <w:br/>
              <w:t xml:space="preserve">Comparison Amount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(#3 × #4)</w:t>
            </w:r>
          </w:p>
        </w:tc>
        <w:tc>
          <w:tcPr>
            <w:tcW w:w="1072" w:type="dxa"/>
            <w:tcBorders>
              <w:top w:val="single" w:sz="8" w:space="0" w:color="auto"/>
              <w:left w:val="nil"/>
              <w:bottom w:val="single" w:sz="8" w:space="0" w:color="auto"/>
              <w:right w:val="single" w:sz="8" w:space="0" w:color="auto"/>
            </w:tcBorders>
            <w:shd w:val="clear" w:color="000000" w:fill="FFFFFF"/>
            <w:noWrap/>
            <w:vAlign w:val="center"/>
          </w:tcPr>
          <w:p w14:paraId="21B2318D" w14:textId="77777777" w:rsidR="004C5B0C" w:rsidRPr="001569FB" w:rsidRDefault="004C5B0C" w:rsidP="004C5B0C">
            <w:pPr>
              <w:keepNext/>
              <w:keepLines/>
              <w:spacing w:line="240" w:lineRule="auto"/>
              <w:rPr>
                <w:b/>
                <w:color w:val="000000"/>
              </w:rPr>
            </w:pPr>
            <w:r w:rsidRPr="001569FB">
              <w:rPr>
                <w:b/>
                <w:color w:val="000000"/>
              </w:rPr>
              <w:br/>
              <w:t xml:space="preserve">Excess Cost Sharing </w:t>
            </w:r>
            <w:r w:rsidRPr="001569FB">
              <w:rPr>
                <w:b/>
                <w:color w:val="000000"/>
              </w:rPr>
              <w:br/>
            </w:r>
            <w:r w:rsidRPr="001569FB">
              <w:rPr>
                <w:b/>
                <w:color w:val="000000"/>
              </w:rPr>
              <w:br/>
            </w:r>
            <w:r w:rsidRPr="001569FB">
              <w:rPr>
                <w:b/>
                <w:color w:val="000000"/>
              </w:rPr>
              <w:br/>
            </w:r>
            <w:r w:rsidRPr="001569FB">
              <w:rPr>
                <w:b/>
                <w:color w:val="000000"/>
              </w:rPr>
              <w:br/>
              <w:t>(#1 − #5, min of $0)</w:t>
            </w:r>
          </w:p>
        </w:tc>
        <w:tc>
          <w:tcPr>
            <w:tcW w:w="1181" w:type="dxa"/>
            <w:tcBorders>
              <w:top w:val="single" w:sz="8" w:space="0" w:color="auto"/>
              <w:left w:val="nil"/>
              <w:bottom w:val="single" w:sz="8" w:space="0" w:color="auto"/>
              <w:right w:val="single" w:sz="8" w:space="0" w:color="auto"/>
            </w:tcBorders>
            <w:shd w:val="clear" w:color="000000" w:fill="FFFFFF"/>
            <w:noWrap/>
            <w:vAlign w:val="center"/>
          </w:tcPr>
          <w:p w14:paraId="4C23A72B" w14:textId="77777777" w:rsidR="004C5B0C" w:rsidRPr="001569FB" w:rsidRDefault="004C5B0C" w:rsidP="004C5B0C">
            <w:pPr>
              <w:keepNext/>
              <w:keepLines/>
              <w:spacing w:line="240" w:lineRule="auto"/>
              <w:rPr>
                <w:b/>
                <w:color w:val="000000"/>
              </w:rPr>
            </w:pPr>
            <w:r w:rsidRPr="001569FB">
              <w:rPr>
                <w:b/>
                <w:color w:val="000000"/>
              </w:rPr>
              <w:t>Pass/Fail</w:t>
            </w:r>
          </w:p>
        </w:tc>
      </w:tr>
      <w:tr w:rsidR="004C5B0C" w:rsidRPr="001569FB" w14:paraId="614C23FA"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01D0DB70" w14:textId="77777777" w:rsidR="004C5B0C" w:rsidRPr="001569FB" w:rsidRDefault="004C5B0C" w:rsidP="004C5B0C">
            <w:pPr>
              <w:keepNext/>
              <w:keepLines/>
              <w:spacing w:line="240" w:lineRule="auto"/>
              <w:rPr>
                <w:color w:val="000000"/>
              </w:rPr>
            </w:pPr>
            <w:r w:rsidRPr="001569FB">
              <w:rPr>
                <w:color w:val="000000"/>
              </w:rPr>
              <w:t>Inpatient</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447F1AE6" w14:textId="77777777" w:rsidR="004C5B0C" w:rsidRPr="001569FB" w:rsidRDefault="004C5B0C" w:rsidP="004C5B0C">
            <w:pPr>
              <w:keepNext/>
              <w:keepLines/>
              <w:spacing w:line="240" w:lineRule="auto"/>
              <w:jc w:val="right"/>
              <w:rPr>
                <w:color w:val="000000"/>
              </w:rPr>
            </w:pPr>
            <w:r w:rsidRPr="001569FB">
              <w:rPr>
                <w:color w:val="000000"/>
              </w:rPr>
              <w:t>$33.49</w:t>
            </w:r>
          </w:p>
        </w:tc>
        <w:tc>
          <w:tcPr>
            <w:tcW w:w="1189" w:type="dxa"/>
            <w:tcBorders>
              <w:top w:val="nil"/>
              <w:left w:val="nil"/>
              <w:bottom w:val="single" w:sz="8" w:space="0" w:color="auto"/>
              <w:right w:val="single" w:sz="8" w:space="0" w:color="auto"/>
            </w:tcBorders>
            <w:shd w:val="clear" w:color="000000" w:fill="FFFFFF"/>
            <w:noWrap/>
            <w:vAlign w:val="center"/>
            <w:hideMark/>
          </w:tcPr>
          <w:p w14:paraId="5B37C0C6" w14:textId="77777777" w:rsidR="004C5B0C" w:rsidRPr="001569FB" w:rsidRDefault="004C5B0C" w:rsidP="004C5B0C">
            <w:pPr>
              <w:keepNext/>
              <w:keepLines/>
              <w:spacing w:line="240" w:lineRule="auto"/>
              <w:jc w:val="right"/>
              <w:rPr>
                <w:color w:val="000000"/>
              </w:rPr>
            </w:pPr>
            <w:r w:rsidRPr="001569FB">
              <w:rPr>
                <w:color w:val="000000"/>
              </w:rPr>
              <w:t>$331.06</w:t>
            </w:r>
          </w:p>
        </w:tc>
        <w:tc>
          <w:tcPr>
            <w:tcW w:w="1189" w:type="dxa"/>
            <w:tcBorders>
              <w:top w:val="nil"/>
              <w:left w:val="nil"/>
              <w:bottom w:val="single" w:sz="8" w:space="0" w:color="auto"/>
              <w:right w:val="single" w:sz="8" w:space="0" w:color="auto"/>
            </w:tcBorders>
            <w:shd w:val="clear" w:color="000000" w:fill="FFFFFF"/>
            <w:noWrap/>
            <w:vAlign w:val="center"/>
            <w:hideMark/>
          </w:tcPr>
          <w:p w14:paraId="04EB46E6" w14:textId="77777777" w:rsidR="004C5B0C" w:rsidRPr="001569FB" w:rsidRDefault="004C5B0C" w:rsidP="004C5B0C">
            <w:pPr>
              <w:keepNext/>
              <w:keepLines/>
              <w:spacing w:line="240" w:lineRule="auto"/>
              <w:jc w:val="right"/>
              <w:rPr>
                <w:color w:val="000000"/>
              </w:rPr>
            </w:pPr>
            <w:r w:rsidRPr="001569FB">
              <w:rPr>
                <w:color w:val="000000"/>
              </w:rPr>
              <w:t>$25.30</w:t>
            </w:r>
          </w:p>
        </w:tc>
        <w:tc>
          <w:tcPr>
            <w:tcW w:w="1443" w:type="dxa"/>
            <w:tcBorders>
              <w:top w:val="nil"/>
              <w:left w:val="nil"/>
              <w:bottom w:val="single" w:sz="8" w:space="0" w:color="auto"/>
              <w:right w:val="single" w:sz="8" w:space="0" w:color="auto"/>
            </w:tcBorders>
            <w:shd w:val="clear" w:color="auto" w:fill="FFFFFF" w:themeFill="background1"/>
            <w:noWrap/>
            <w:vAlign w:val="center"/>
            <w:hideMark/>
          </w:tcPr>
          <w:p w14:paraId="510B864C" w14:textId="77777777" w:rsidR="004C5B0C" w:rsidRPr="001569FB" w:rsidRDefault="004C5B0C" w:rsidP="004C5B0C">
            <w:pPr>
              <w:keepNext/>
              <w:keepLines/>
              <w:spacing w:line="240" w:lineRule="auto"/>
              <w:jc w:val="right"/>
              <w:rPr>
                <w:color w:val="000000"/>
              </w:rPr>
            </w:pPr>
            <w:r w:rsidRPr="001569FB">
              <w:rPr>
                <w:color w:val="000000"/>
              </w:rPr>
              <w:t>1.395</w:t>
            </w:r>
          </w:p>
        </w:tc>
        <w:tc>
          <w:tcPr>
            <w:tcW w:w="1483" w:type="dxa"/>
            <w:tcBorders>
              <w:top w:val="nil"/>
              <w:left w:val="nil"/>
              <w:bottom w:val="single" w:sz="8" w:space="0" w:color="auto"/>
              <w:right w:val="single" w:sz="8" w:space="0" w:color="auto"/>
            </w:tcBorders>
            <w:shd w:val="clear" w:color="auto" w:fill="FFFFFF" w:themeFill="background1"/>
            <w:noWrap/>
            <w:vAlign w:val="center"/>
            <w:hideMark/>
          </w:tcPr>
          <w:p w14:paraId="422BF9E9" w14:textId="77777777" w:rsidR="004C5B0C" w:rsidRPr="001569FB" w:rsidRDefault="004C5B0C" w:rsidP="004C5B0C">
            <w:pPr>
              <w:keepNext/>
              <w:keepLines/>
              <w:spacing w:line="240" w:lineRule="auto"/>
              <w:jc w:val="right"/>
              <w:rPr>
                <w:color w:val="000000"/>
              </w:rPr>
            </w:pPr>
            <w:r w:rsidRPr="001569FB">
              <w:rPr>
                <w:color w:val="000000"/>
              </w:rPr>
              <w:t>$35.30</w:t>
            </w:r>
          </w:p>
        </w:tc>
        <w:tc>
          <w:tcPr>
            <w:tcW w:w="1072" w:type="dxa"/>
            <w:tcBorders>
              <w:top w:val="nil"/>
              <w:left w:val="nil"/>
              <w:bottom w:val="single" w:sz="8" w:space="0" w:color="auto"/>
              <w:right w:val="single" w:sz="8" w:space="0" w:color="auto"/>
            </w:tcBorders>
            <w:shd w:val="clear" w:color="auto" w:fill="FFFFFF" w:themeFill="background1"/>
            <w:noWrap/>
            <w:vAlign w:val="center"/>
            <w:hideMark/>
          </w:tcPr>
          <w:p w14:paraId="2C1F337E"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44072611" w14:textId="77777777" w:rsidR="004C5B0C" w:rsidRPr="001569FB" w:rsidRDefault="004C5B0C" w:rsidP="004C5B0C">
            <w:pPr>
              <w:keepNext/>
              <w:keepLines/>
              <w:spacing w:line="240" w:lineRule="auto"/>
              <w:rPr>
                <w:color w:val="000000"/>
              </w:rPr>
            </w:pPr>
            <w:r w:rsidRPr="001569FB">
              <w:rPr>
                <w:color w:val="000000"/>
              </w:rPr>
              <w:t>Pass</w:t>
            </w:r>
          </w:p>
        </w:tc>
      </w:tr>
      <w:tr w:rsidR="004C5B0C" w:rsidRPr="001569FB" w14:paraId="18A52CE5"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tcPr>
          <w:p w14:paraId="410D2ACD" w14:textId="77777777" w:rsidR="004C5B0C" w:rsidRPr="001569FB" w:rsidRDefault="004C5B0C" w:rsidP="004C5B0C">
            <w:pPr>
              <w:keepNext/>
              <w:keepLines/>
              <w:spacing w:line="240" w:lineRule="auto"/>
              <w:rPr>
                <w:color w:val="000000"/>
              </w:rPr>
            </w:pPr>
            <w:r w:rsidRPr="001569FB">
              <w:rPr>
                <w:color w:val="000000"/>
              </w:rPr>
              <w:t>SNF</w:t>
            </w:r>
          </w:p>
        </w:tc>
        <w:tc>
          <w:tcPr>
            <w:tcW w:w="1030" w:type="dxa"/>
            <w:tcBorders>
              <w:top w:val="nil"/>
              <w:left w:val="single" w:sz="8" w:space="0" w:color="auto"/>
              <w:bottom w:val="single" w:sz="8" w:space="0" w:color="auto"/>
              <w:right w:val="single" w:sz="8" w:space="0" w:color="auto"/>
            </w:tcBorders>
            <w:shd w:val="clear" w:color="000000" w:fill="FFFFFF"/>
            <w:noWrap/>
            <w:vAlign w:val="center"/>
          </w:tcPr>
          <w:p w14:paraId="312FD36A" w14:textId="77777777" w:rsidR="004C5B0C" w:rsidRPr="001569FB" w:rsidRDefault="004C5B0C" w:rsidP="004C5B0C">
            <w:pPr>
              <w:keepNext/>
              <w:keepLines/>
              <w:spacing w:line="240" w:lineRule="auto"/>
              <w:jc w:val="right"/>
              <w:rPr>
                <w:color w:val="000000"/>
              </w:rPr>
            </w:pPr>
            <w:r w:rsidRPr="001569FB">
              <w:rPr>
                <w:color w:val="000000"/>
              </w:rPr>
              <w:t>$10.83</w:t>
            </w:r>
          </w:p>
        </w:tc>
        <w:tc>
          <w:tcPr>
            <w:tcW w:w="1189" w:type="dxa"/>
            <w:tcBorders>
              <w:top w:val="nil"/>
              <w:left w:val="nil"/>
              <w:bottom w:val="single" w:sz="8" w:space="0" w:color="auto"/>
              <w:right w:val="single" w:sz="8" w:space="0" w:color="auto"/>
            </w:tcBorders>
            <w:shd w:val="clear" w:color="000000" w:fill="FFFFFF"/>
            <w:noWrap/>
            <w:vAlign w:val="center"/>
          </w:tcPr>
          <w:p w14:paraId="12CE544A" w14:textId="77777777" w:rsidR="004C5B0C" w:rsidRPr="001569FB" w:rsidRDefault="004C5B0C" w:rsidP="004C5B0C">
            <w:pPr>
              <w:keepNext/>
              <w:keepLines/>
              <w:spacing w:line="240" w:lineRule="auto"/>
              <w:jc w:val="right"/>
              <w:rPr>
                <w:color w:val="000000"/>
              </w:rPr>
            </w:pPr>
            <w:r w:rsidRPr="001569FB">
              <w:rPr>
                <w:color w:val="000000"/>
              </w:rPr>
              <w:t>$58.19</w:t>
            </w:r>
          </w:p>
        </w:tc>
        <w:tc>
          <w:tcPr>
            <w:tcW w:w="1189" w:type="dxa"/>
            <w:tcBorders>
              <w:top w:val="nil"/>
              <w:left w:val="nil"/>
              <w:bottom w:val="single" w:sz="8" w:space="0" w:color="auto"/>
              <w:right w:val="single" w:sz="8" w:space="0" w:color="auto"/>
            </w:tcBorders>
            <w:shd w:val="clear" w:color="000000" w:fill="FFFFFF"/>
            <w:noWrap/>
            <w:vAlign w:val="center"/>
          </w:tcPr>
          <w:p w14:paraId="10845900" w14:textId="77777777" w:rsidR="004C5B0C" w:rsidRPr="001569FB" w:rsidRDefault="004C5B0C" w:rsidP="004C5B0C">
            <w:pPr>
              <w:keepNext/>
              <w:keepLines/>
              <w:spacing w:line="240" w:lineRule="auto"/>
              <w:jc w:val="right"/>
              <w:rPr>
                <w:color w:val="000000"/>
              </w:rPr>
            </w:pPr>
            <w:r w:rsidRPr="001569FB">
              <w:rPr>
                <w:color w:val="000000"/>
              </w:rPr>
              <w:t>$9.89</w:t>
            </w:r>
          </w:p>
        </w:tc>
        <w:tc>
          <w:tcPr>
            <w:tcW w:w="1443" w:type="dxa"/>
            <w:tcBorders>
              <w:top w:val="nil"/>
              <w:left w:val="nil"/>
              <w:bottom w:val="single" w:sz="8" w:space="0" w:color="auto"/>
              <w:right w:val="single" w:sz="8" w:space="0" w:color="auto"/>
            </w:tcBorders>
            <w:shd w:val="clear" w:color="auto" w:fill="FFFFFF" w:themeFill="background1"/>
            <w:noWrap/>
            <w:vAlign w:val="center"/>
          </w:tcPr>
          <w:p w14:paraId="40571EBB" w14:textId="77777777" w:rsidR="004C5B0C" w:rsidRPr="001569FB" w:rsidRDefault="004C5B0C" w:rsidP="004C5B0C">
            <w:pPr>
              <w:keepNext/>
              <w:keepLines/>
              <w:spacing w:line="240" w:lineRule="auto"/>
              <w:jc w:val="right"/>
              <w:rPr>
                <w:color w:val="000000"/>
              </w:rPr>
            </w:pPr>
            <w:r w:rsidRPr="001569FB">
              <w:rPr>
                <w:color w:val="000000"/>
              </w:rPr>
              <w:t>1.066</w:t>
            </w:r>
          </w:p>
        </w:tc>
        <w:tc>
          <w:tcPr>
            <w:tcW w:w="1483" w:type="dxa"/>
            <w:tcBorders>
              <w:top w:val="nil"/>
              <w:left w:val="nil"/>
              <w:bottom w:val="single" w:sz="8" w:space="0" w:color="auto"/>
              <w:right w:val="single" w:sz="8" w:space="0" w:color="auto"/>
            </w:tcBorders>
            <w:shd w:val="clear" w:color="auto" w:fill="FFFFFF" w:themeFill="background1"/>
            <w:noWrap/>
            <w:vAlign w:val="center"/>
          </w:tcPr>
          <w:p w14:paraId="6942BB95" w14:textId="77777777" w:rsidR="004C5B0C" w:rsidRPr="001569FB" w:rsidRDefault="004C5B0C" w:rsidP="004C5B0C">
            <w:pPr>
              <w:keepNext/>
              <w:keepLines/>
              <w:spacing w:line="240" w:lineRule="auto"/>
              <w:jc w:val="right"/>
              <w:rPr>
                <w:color w:val="000000"/>
              </w:rPr>
            </w:pPr>
            <w:r w:rsidRPr="001569FB">
              <w:rPr>
                <w:color w:val="000000"/>
              </w:rPr>
              <w:t>$10.54</w:t>
            </w:r>
          </w:p>
        </w:tc>
        <w:tc>
          <w:tcPr>
            <w:tcW w:w="1072" w:type="dxa"/>
            <w:tcBorders>
              <w:top w:val="nil"/>
              <w:left w:val="nil"/>
              <w:bottom w:val="single" w:sz="8" w:space="0" w:color="auto"/>
              <w:right w:val="single" w:sz="8" w:space="0" w:color="auto"/>
            </w:tcBorders>
            <w:shd w:val="clear" w:color="auto" w:fill="FFFFFF" w:themeFill="background1"/>
            <w:noWrap/>
            <w:vAlign w:val="center"/>
          </w:tcPr>
          <w:p w14:paraId="40232031" w14:textId="77777777" w:rsidR="004C5B0C" w:rsidRPr="001569FB" w:rsidRDefault="004C5B0C" w:rsidP="004C5B0C">
            <w:pPr>
              <w:keepNext/>
              <w:keepLines/>
              <w:spacing w:line="240" w:lineRule="auto"/>
              <w:jc w:val="right"/>
              <w:rPr>
                <w:color w:val="000000"/>
              </w:rPr>
            </w:pPr>
            <w:r w:rsidRPr="001569FB">
              <w:rPr>
                <w:color w:val="000000"/>
              </w:rPr>
              <w:t>$0.29</w:t>
            </w:r>
          </w:p>
        </w:tc>
        <w:tc>
          <w:tcPr>
            <w:tcW w:w="1181" w:type="dxa"/>
            <w:tcBorders>
              <w:top w:val="nil"/>
              <w:left w:val="nil"/>
              <w:bottom w:val="single" w:sz="8" w:space="0" w:color="auto"/>
              <w:right w:val="single" w:sz="8" w:space="0" w:color="auto"/>
            </w:tcBorders>
            <w:shd w:val="clear" w:color="000000" w:fill="FFFFFF"/>
            <w:noWrap/>
            <w:vAlign w:val="center"/>
          </w:tcPr>
          <w:p w14:paraId="1E96C235"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3B8C53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3B8052A" w14:textId="77777777" w:rsidR="004C5B0C" w:rsidRPr="001569FB" w:rsidRDefault="004C5B0C" w:rsidP="004C5B0C">
            <w:pPr>
              <w:keepNext/>
              <w:keepLines/>
              <w:spacing w:line="240" w:lineRule="auto"/>
              <w:rPr>
                <w:color w:val="000000"/>
              </w:rPr>
            </w:pPr>
            <w:r w:rsidRPr="001569FB">
              <w:rPr>
                <w:color w:val="000000"/>
              </w:rPr>
              <w:t>DME</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15AAEA09" w14:textId="77777777" w:rsidR="004C5B0C" w:rsidRPr="001569FB" w:rsidRDefault="004C5B0C" w:rsidP="004C5B0C">
            <w:pPr>
              <w:keepNext/>
              <w:keepLines/>
              <w:spacing w:line="240" w:lineRule="auto"/>
              <w:jc w:val="right"/>
              <w:rPr>
                <w:color w:val="000000"/>
              </w:rPr>
            </w:pPr>
            <w:r w:rsidRPr="001569FB">
              <w:rPr>
                <w:color w:val="000000"/>
              </w:rPr>
              <w:t>$3.00</w:t>
            </w:r>
          </w:p>
        </w:tc>
        <w:tc>
          <w:tcPr>
            <w:tcW w:w="1189" w:type="dxa"/>
            <w:tcBorders>
              <w:top w:val="nil"/>
              <w:left w:val="nil"/>
              <w:bottom w:val="single" w:sz="8" w:space="0" w:color="auto"/>
              <w:right w:val="single" w:sz="8" w:space="0" w:color="auto"/>
            </w:tcBorders>
            <w:shd w:val="clear" w:color="000000" w:fill="FFFFFF"/>
            <w:noWrap/>
            <w:vAlign w:val="center"/>
            <w:hideMark/>
          </w:tcPr>
          <w:p w14:paraId="58E12393" w14:textId="77777777" w:rsidR="004C5B0C" w:rsidRPr="001569FB" w:rsidRDefault="004C5B0C" w:rsidP="004C5B0C">
            <w:pPr>
              <w:keepNext/>
              <w:keepLines/>
              <w:spacing w:line="240" w:lineRule="auto"/>
              <w:jc w:val="right"/>
              <w:rPr>
                <w:color w:val="000000"/>
              </w:rPr>
            </w:pPr>
            <w:r w:rsidRPr="001569FB">
              <w:rPr>
                <w:color w:val="000000"/>
              </w:rPr>
              <w:t>$11.37</w:t>
            </w:r>
          </w:p>
        </w:tc>
        <w:tc>
          <w:tcPr>
            <w:tcW w:w="1189" w:type="dxa"/>
            <w:tcBorders>
              <w:top w:val="nil"/>
              <w:left w:val="nil"/>
              <w:bottom w:val="single" w:sz="8" w:space="0" w:color="auto"/>
              <w:right w:val="single" w:sz="8" w:space="0" w:color="auto"/>
            </w:tcBorders>
            <w:shd w:val="clear" w:color="000000" w:fill="FFFFFF"/>
            <w:noWrap/>
            <w:vAlign w:val="center"/>
            <w:hideMark/>
          </w:tcPr>
          <w:p w14:paraId="501EA31B" w14:textId="77777777" w:rsidR="004C5B0C" w:rsidRPr="001569FB" w:rsidRDefault="004C5B0C" w:rsidP="004C5B0C">
            <w:pPr>
              <w:keepNext/>
              <w:keepLines/>
              <w:spacing w:line="240" w:lineRule="auto"/>
              <w:jc w:val="right"/>
              <w:rPr>
                <w:color w:val="000000"/>
              </w:rPr>
            </w:pPr>
            <w:r w:rsidRPr="001569FB">
              <w:rPr>
                <w:color w:val="000000"/>
              </w:rPr>
              <w:t>$2.65</w:t>
            </w:r>
          </w:p>
        </w:tc>
        <w:tc>
          <w:tcPr>
            <w:tcW w:w="1443" w:type="dxa"/>
            <w:tcBorders>
              <w:top w:val="nil"/>
              <w:left w:val="nil"/>
              <w:bottom w:val="single" w:sz="8" w:space="0" w:color="auto"/>
              <w:right w:val="single" w:sz="8" w:space="0" w:color="auto"/>
            </w:tcBorders>
            <w:shd w:val="clear" w:color="000000" w:fill="FFFFFF"/>
            <w:noWrap/>
            <w:vAlign w:val="center"/>
            <w:hideMark/>
          </w:tcPr>
          <w:p w14:paraId="42642171"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663D5B4" w14:textId="77777777" w:rsidR="004C5B0C" w:rsidRPr="001569FB" w:rsidRDefault="004C5B0C" w:rsidP="004C5B0C">
            <w:pPr>
              <w:keepNext/>
              <w:keepLines/>
              <w:spacing w:line="240" w:lineRule="auto"/>
              <w:jc w:val="right"/>
              <w:rPr>
                <w:color w:val="000000"/>
              </w:rPr>
            </w:pPr>
            <w:r w:rsidRPr="001569FB">
              <w:rPr>
                <w:color w:val="000000"/>
              </w:rPr>
              <w:t>$2.65</w:t>
            </w:r>
          </w:p>
        </w:tc>
        <w:tc>
          <w:tcPr>
            <w:tcW w:w="1072" w:type="dxa"/>
            <w:tcBorders>
              <w:top w:val="nil"/>
              <w:left w:val="nil"/>
              <w:bottom w:val="single" w:sz="8" w:space="0" w:color="auto"/>
              <w:right w:val="single" w:sz="8" w:space="0" w:color="auto"/>
            </w:tcBorders>
            <w:shd w:val="clear" w:color="000000" w:fill="FFFFFF"/>
            <w:noWrap/>
            <w:vAlign w:val="center"/>
            <w:hideMark/>
          </w:tcPr>
          <w:p w14:paraId="0F0A1237" w14:textId="77777777" w:rsidR="004C5B0C" w:rsidRPr="001569FB" w:rsidRDefault="004C5B0C" w:rsidP="004C5B0C">
            <w:pPr>
              <w:keepNext/>
              <w:keepLines/>
              <w:spacing w:line="240" w:lineRule="auto"/>
              <w:jc w:val="right"/>
              <w:rPr>
                <w:color w:val="000000"/>
              </w:rPr>
            </w:pPr>
            <w:r w:rsidRPr="001569FB">
              <w:rPr>
                <w:color w:val="000000"/>
              </w:rPr>
              <w:t>$0.35</w:t>
            </w:r>
          </w:p>
        </w:tc>
        <w:tc>
          <w:tcPr>
            <w:tcW w:w="1181" w:type="dxa"/>
            <w:tcBorders>
              <w:top w:val="nil"/>
              <w:left w:val="nil"/>
              <w:bottom w:val="single" w:sz="8" w:space="0" w:color="auto"/>
              <w:right w:val="single" w:sz="8" w:space="0" w:color="auto"/>
            </w:tcBorders>
            <w:shd w:val="clear" w:color="000000" w:fill="FFFFFF"/>
            <w:noWrap/>
            <w:vAlign w:val="center"/>
            <w:hideMark/>
          </w:tcPr>
          <w:p w14:paraId="106987D3"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6CA75A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1791CB3" w14:textId="77777777" w:rsidR="004C5B0C" w:rsidRPr="001569FB" w:rsidRDefault="004C5B0C" w:rsidP="004C5B0C">
            <w:pPr>
              <w:keepNext/>
              <w:keepLines/>
              <w:spacing w:line="240" w:lineRule="auto"/>
              <w:ind w:right="-25"/>
              <w:rPr>
                <w:color w:val="000000"/>
              </w:rPr>
            </w:pPr>
            <w:r w:rsidRPr="001569FB">
              <w:rPr>
                <w:color w:val="000000"/>
              </w:rPr>
              <w:t>Part B-Rx</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6E4EBE57" w14:textId="77777777" w:rsidR="004C5B0C" w:rsidRPr="001569FB" w:rsidRDefault="004C5B0C" w:rsidP="004C5B0C">
            <w:pPr>
              <w:keepNext/>
              <w:keepLines/>
              <w:spacing w:line="240" w:lineRule="auto"/>
              <w:jc w:val="right"/>
              <w:rPr>
                <w:color w:val="000000"/>
              </w:rPr>
            </w:pPr>
            <w:r w:rsidRPr="001569FB">
              <w:rPr>
                <w:color w:val="000000"/>
              </w:rPr>
              <w:t>$0.06</w:t>
            </w:r>
          </w:p>
        </w:tc>
        <w:tc>
          <w:tcPr>
            <w:tcW w:w="1189" w:type="dxa"/>
            <w:tcBorders>
              <w:top w:val="nil"/>
              <w:left w:val="nil"/>
              <w:bottom w:val="single" w:sz="8" w:space="0" w:color="auto"/>
              <w:right w:val="single" w:sz="8" w:space="0" w:color="auto"/>
            </w:tcBorders>
            <w:shd w:val="clear" w:color="000000" w:fill="FFFFFF"/>
            <w:noWrap/>
            <w:vAlign w:val="center"/>
            <w:hideMark/>
          </w:tcPr>
          <w:p w14:paraId="5DE8FC1A" w14:textId="77777777" w:rsidR="004C5B0C" w:rsidRPr="001569FB" w:rsidRDefault="004C5B0C" w:rsidP="004C5B0C">
            <w:pPr>
              <w:keepNext/>
              <w:keepLines/>
              <w:spacing w:line="240" w:lineRule="auto"/>
              <w:jc w:val="right"/>
              <w:rPr>
                <w:color w:val="000000"/>
              </w:rPr>
            </w:pPr>
            <w:r w:rsidRPr="001569FB">
              <w:rPr>
                <w:color w:val="000000"/>
              </w:rPr>
              <w:t>$1.42</w:t>
            </w:r>
          </w:p>
        </w:tc>
        <w:tc>
          <w:tcPr>
            <w:tcW w:w="1189" w:type="dxa"/>
            <w:tcBorders>
              <w:top w:val="nil"/>
              <w:left w:val="nil"/>
              <w:bottom w:val="single" w:sz="8" w:space="0" w:color="auto"/>
              <w:right w:val="single" w:sz="8" w:space="0" w:color="auto"/>
            </w:tcBorders>
            <w:shd w:val="clear" w:color="000000" w:fill="FFFFFF"/>
            <w:noWrap/>
            <w:vAlign w:val="center"/>
            <w:hideMark/>
          </w:tcPr>
          <w:p w14:paraId="4E1C4BE2" w14:textId="77777777" w:rsidR="004C5B0C" w:rsidRPr="001569FB" w:rsidRDefault="004C5B0C" w:rsidP="004C5B0C">
            <w:pPr>
              <w:keepNext/>
              <w:keepLines/>
              <w:spacing w:line="240" w:lineRule="auto"/>
              <w:jc w:val="right"/>
              <w:rPr>
                <w:color w:val="000000"/>
              </w:rPr>
            </w:pPr>
            <w:r w:rsidRPr="001569FB">
              <w:rPr>
                <w:color w:val="000000"/>
              </w:rPr>
              <w:t>$0.33</w:t>
            </w:r>
          </w:p>
        </w:tc>
        <w:tc>
          <w:tcPr>
            <w:tcW w:w="1443" w:type="dxa"/>
            <w:tcBorders>
              <w:top w:val="nil"/>
              <w:left w:val="nil"/>
              <w:bottom w:val="single" w:sz="8" w:space="0" w:color="auto"/>
              <w:right w:val="single" w:sz="8" w:space="0" w:color="auto"/>
            </w:tcBorders>
            <w:shd w:val="clear" w:color="000000" w:fill="FFFFFF"/>
            <w:noWrap/>
            <w:vAlign w:val="center"/>
            <w:hideMark/>
          </w:tcPr>
          <w:p w14:paraId="2E980028"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84ADD51" w14:textId="77777777" w:rsidR="004C5B0C" w:rsidRPr="001569FB" w:rsidRDefault="004C5B0C" w:rsidP="004C5B0C">
            <w:pPr>
              <w:keepNext/>
              <w:keepLines/>
              <w:spacing w:line="240" w:lineRule="auto"/>
              <w:jc w:val="right"/>
              <w:rPr>
                <w:color w:val="000000"/>
              </w:rPr>
            </w:pPr>
            <w:r w:rsidRPr="001569FB">
              <w:rPr>
                <w:color w:val="000000"/>
              </w:rPr>
              <w:t>$0.33</w:t>
            </w:r>
          </w:p>
        </w:tc>
        <w:tc>
          <w:tcPr>
            <w:tcW w:w="1072" w:type="dxa"/>
            <w:tcBorders>
              <w:top w:val="nil"/>
              <w:left w:val="nil"/>
              <w:bottom w:val="single" w:sz="8" w:space="0" w:color="auto"/>
              <w:right w:val="single" w:sz="8" w:space="0" w:color="auto"/>
            </w:tcBorders>
            <w:shd w:val="clear" w:color="000000" w:fill="FFFFFF"/>
            <w:noWrap/>
            <w:vAlign w:val="center"/>
            <w:hideMark/>
          </w:tcPr>
          <w:p w14:paraId="0B193DA7"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625EDF3F" w14:textId="77777777" w:rsidR="004C5B0C" w:rsidRPr="001569FB" w:rsidRDefault="004C5B0C" w:rsidP="004C5B0C">
            <w:pPr>
              <w:keepNext/>
              <w:keepLines/>
              <w:spacing w:line="240" w:lineRule="auto"/>
              <w:rPr>
                <w:color w:val="000000"/>
              </w:rPr>
            </w:pPr>
            <w:r w:rsidRPr="001569FB">
              <w:rPr>
                <w:color w:val="000000"/>
              </w:rPr>
              <w:t>Pass</w:t>
            </w:r>
          </w:p>
        </w:tc>
      </w:tr>
    </w:tbl>
    <w:p w14:paraId="6B54B39C" w14:textId="77777777" w:rsidR="004C5B0C" w:rsidRPr="001569FB" w:rsidRDefault="004C5B0C" w:rsidP="004C5B0C">
      <w:pPr>
        <w:autoSpaceDE w:val="0"/>
        <w:autoSpaceDN w:val="0"/>
        <w:adjustRightInd w:val="0"/>
        <w:rPr>
          <w:color w:val="000000"/>
          <w:sz w:val="18"/>
          <w:szCs w:val="18"/>
        </w:rPr>
      </w:pPr>
      <w:r w:rsidRPr="001569FB">
        <w:rPr>
          <w:color w:val="000000"/>
          <w:sz w:val="18"/>
          <w:szCs w:val="18"/>
          <w:vertAlign w:val="superscript"/>
        </w:rPr>
        <w:t>1</w:t>
      </w:r>
      <w:r w:rsidRPr="001569FB">
        <w:rPr>
          <w:color w:val="000000"/>
          <w:sz w:val="18"/>
          <w:szCs w:val="18"/>
        </w:rPr>
        <w:t xml:space="preserve"> PMPM values in column 3 for Inpatient and Skilled Nursing Facility only reflect Part A fee-for-service actuarial equivalent cost sharing for that service category.</w:t>
      </w:r>
    </w:p>
    <w:p w14:paraId="2B7B48DB" w14:textId="77777777" w:rsidR="004C5B0C" w:rsidRPr="001569FB" w:rsidRDefault="004C5B0C" w:rsidP="004C5B0C">
      <w:pPr>
        <w:autoSpaceDE w:val="0"/>
        <w:autoSpaceDN w:val="0"/>
        <w:adjustRightInd w:val="0"/>
        <w:spacing w:before="200"/>
        <w:rPr>
          <w:color w:val="000000"/>
        </w:rPr>
      </w:pPr>
      <w:r w:rsidRPr="001569FB">
        <w:rPr>
          <w:color w:val="000000"/>
        </w:rPr>
        <w:t>NOTE: Beginning in CY 2017, CMS waived the requirement for MA employer plans to submit a Bid Pricing Tool (BPT), which affects our ability to evaluate the PMPM Actuarial Equivalent Cost Sharing discussed in this section. MA employer plans continue to be subject to all unwaived MA regulatory requirements regardless of whether they are affirmatively evaluated as part of bid review or in connection with other oversight.</w:t>
      </w:r>
      <w:bookmarkStart w:id="831" w:name="_Toc412034588"/>
      <w:bookmarkStart w:id="832" w:name="_Toc412133174"/>
      <w:bookmarkStart w:id="833" w:name="_Toc412197097"/>
      <w:bookmarkStart w:id="834" w:name="_Toc412197178"/>
      <w:bookmarkStart w:id="835" w:name="_Toc443480659"/>
      <w:bookmarkStart w:id="836" w:name="_Toc493523606"/>
      <w:bookmarkStart w:id="837" w:name="_Toc495652119"/>
    </w:p>
    <w:p w14:paraId="33A6C3AA" w14:textId="16000312" w:rsidR="004C5B0C" w:rsidRPr="001569FB" w:rsidRDefault="009D4953" w:rsidP="004C5B0C">
      <w:pPr>
        <w:pStyle w:val="Heading3"/>
      </w:pPr>
      <w:bookmarkStart w:id="838" w:name="_Toc505253847"/>
      <w:r>
        <w:t>Section II</w:t>
      </w:r>
      <w:r w:rsidRPr="001569FB">
        <w:t xml:space="preserve"> </w:t>
      </w:r>
      <w:r w:rsidR="004C5B0C" w:rsidRPr="001569FB">
        <w:t>Part C Cost Sharing Standards</w:t>
      </w:r>
      <w:bookmarkEnd w:id="831"/>
      <w:bookmarkEnd w:id="832"/>
      <w:bookmarkEnd w:id="833"/>
      <w:bookmarkEnd w:id="834"/>
      <w:bookmarkEnd w:id="835"/>
      <w:bookmarkEnd w:id="836"/>
      <w:bookmarkEnd w:id="837"/>
      <w:bookmarkEnd w:id="838"/>
    </w:p>
    <w:p w14:paraId="1FAD1CE3"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2019, CMS will continue the current policy of affording MA plans greater flexibility in establishing Parts A and B cost sharing by adopting a lower, voluntary MOOP limit than is available to plans that adopt the higher, mandatory MOOP limit.  Table 24 below summarizes </w:t>
      </w:r>
      <w:r w:rsidRPr="001569FB">
        <w:rPr>
          <w:color w:val="000000"/>
        </w:rPr>
        <w:lastRenderedPageBreak/>
        <w:t xml:space="preserve">the standards and cost sharing amounts by MOOP type (e.g., mandatory or voluntary) for MA plans that we will not consider discriminatory or in violation of other applicable standards.  CY 2019 bids must reflect enrollee cost sharing for in-network services no greater than the amounts displayed below.  These standards will be applied only to in-network Parts A and B services unless otherwise indicated in the table.  All standards and cost sharing are inclusive of applicable service category deductibles, copayments and coinsurance, but do not include plan level deductibles. Inpatient and Skilled Nursing Facility (Days 21 through 100) standards have been updated to reflect estimated changes in Original Medicare cost for CY 2019. </w:t>
      </w:r>
      <w:r w:rsidRPr="001569FB">
        <w:t>Per our authority at 42 C.F.R. §422.113(b)(2)(v), the Emergency Care/Post Stabilization Care limit for plans has been increased for CY 2019 to better align cost sharing with actual costs and as an incentive to use primary and specialty care services for routine care and avoid using the emergency room for non-emergent routine services. The voluntary MOOP amount increased from $100 to $120, while the mandatory MOOP amount increased from $80 to $90. CMS expects having different limits based on the plan’s MOOP amount will encourage organizations to offer benefit packages with</w:t>
      </w:r>
      <w:r w:rsidRPr="001569FB">
        <w:rPr>
          <w:b/>
        </w:rPr>
        <w:t xml:space="preserve"> </w:t>
      </w:r>
      <w:r w:rsidRPr="001569FB">
        <w:t>a lower voluntary MOOP amount, while maintaining beneficiary protection.</w:t>
      </w:r>
    </w:p>
    <w:p w14:paraId="4F39F8EB" w14:textId="77777777" w:rsidR="004C5B0C" w:rsidRPr="001569FB" w:rsidRDefault="004C5B0C" w:rsidP="004C5B0C">
      <w:pPr>
        <w:pStyle w:val="Caption"/>
      </w:pPr>
      <w:r w:rsidRPr="001569FB">
        <w:lastRenderedPageBreak/>
        <w:t xml:space="preserve">Table </w:t>
      </w:r>
      <w:fldSimple w:instr=" SEQ Table \* ARABIC ">
        <w:r w:rsidR="00A216EC">
          <w:rPr>
            <w:noProof/>
          </w:rPr>
          <w:t>24</w:t>
        </w:r>
      </w:fldSimple>
      <w:r w:rsidRPr="001569FB">
        <w:t>: CY 2019 In-Network Service Category Cost Sharing Requirements</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973"/>
        <w:gridCol w:w="1689"/>
        <w:gridCol w:w="1331"/>
        <w:gridCol w:w="1316"/>
      </w:tblGrid>
      <w:tr w:rsidR="004C5B0C" w:rsidRPr="001569FB" w14:paraId="76468ECF" w14:textId="77777777" w:rsidTr="004C5B0C">
        <w:trPr>
          <w:cantSplit/>
          <w:tblHeader/>
          <w:jc w:val="center"/>
        </w:trPr>
        <w:tc>
          <w:tcPr>
            <w:tcW w:w="2671" w:type="pct"/>
            <w:tcBorders>
              <w:right w:val="nil"/>
            </w:tcBorders>
            <w:vAlign w:val="center"/>
          </w:tcPr>
          <w:p w14:paraId="7E0F4202"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Cost Sharing Limits</w:t>
            </w:r>
          </w:p>
        </w:tc>
        <w:tc>
          <w:tcPr>
            <w:tcW w:w="907" w:type="pct"/>
            <w:tcBorders>
              <w:left w:val="nil"/>
              <w:right w:val="nil"/>
            </w:tcBorders>
          </w:tcPr>
          <w:p w14:paraId="2A64437C" w14:textId="77777777" w:rsidR="004C5B0C" w:rsidRPr="001569FB" w:rsidRDefault="004C5B0C" w:rsidP="004C5B0C">
            <w:pPr>
              <w:keepNext/>
              <w:keepLines/>
              <w:autoSpaceDE w:val="0"/>
              <w:autoSpaceDN w:val="0"/>
              <w:adjustRightInd w:val="0"/>
              <w:spacing w:before="100"/>
              <w:rPr>
                <w:b/>
                <w:color w:val="000000"/>
                <w:sz w:val="20"/>
                <w:szCs w:val="20"/>
              </w:rPr>
            </w:pPr>
          </w:p>
        </w:tc>
        <w:tc>
          <w:tcPr>
            <w:tcW w:w="715" w:type="pct"/>
            <w:tcBorders>
              <w:left w:val="nil"/>
              <w:right w:val="nil"/>
            </w:tcBorders>
            <w:vAlign w:val="center"/>
          </w:tcPr>
          <w:p w14:paraId="637DB028" w14:textId="77777777" w:rsidR="004C5B0C" w:rsidRPr="001569FB" w:rsidRDefault="004C5B0C" w:rsidP="004C5B0C">
            <w:pPr>
              <w:keepNext/>
              <w:keepLines/>
              <w:autoSpaceDE w:val="0"/>
              <w:autoSpaceDN w:val="0"/>
              <w:adjustRightInd w:val="0"/>
              <w:spacing w:before="100"/>
              <w:rPr>
                <w:b/>
                <w:color w:val="000000"/>
                <w:sz w:val="20"/>
                <w:szCs w:val="20"/>
              </w:rPr>
            </w:pPr>
          </w:p>
        </w:tc>
        <w:tc>
          <w:tcPr>
            <w:tcW w:w="707" w:type="pct"/>
            <w:tcBorders>
              <w:left w:val="nil"/>
            </w:tcBorders>
            <w:vAlign w:val="center"/>
          </w:tcPr>
          <w:p w14:paraId="67DBCCA4" w14:textId="77777777" w:rsidR="004C5B0C" w:rsidRPr="001569FB" w:rsidRDefault="004C5B0C" w:rsidP="004C5B0C">
            <w:pPr>
              <w:keepNext/>
              <w:keepLines/>
              <w:autoSpaceDE w:val="0"/>
              <w:autoSpaceDN w:val="0"/>
              <w:adjustRightInd w:val="0"/>
              <w:spacing w:before="100"/>
              <w:rPr>
                <w:b/>
                <w:color w:val="000000"/>
                <w:sz w:val="20"/>
                <w:szCs w:val="20"/>
              </w:rPr>
            </w:pPr>
          </w:p>
        </w:tc>
      </w:tr>
      <w:tr w:rsidR="004C5B0C" w:rsidRPr="001569FB" w14:paraId="1EA932CF" w14:textId="77777777" w:rsidTr="004C5B0C">
        <w:trPr>
          <w:cantSplit/>
          <w:tblHeader/>
          <w:jc w:val="center"/>
        </w:trPr>
        <w:tc>
          <w:tcPr>
            <w:tcW w:w="2671" w:type="pct"/>
            <w:vAlign w:val="center"/>
          </w:tcPr>
          <w:p w14:paraId="0BE1963C"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Service Category</w:t>
            </w:r>
          </w:p>
        </w:tc>
        <w:tc>
          <w:tcPr>
            <w:tcW w:w="907" w:type="pct"/>
          </w:tcPr>
          <w:p w14:paraId="684D3929"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PBP Section B data entry field</w:t>
            </w:r>
          </w:p>
        </w:tc>
        <w:tc>
          <w:tcPr>
            <w:tcW w:w="715" w:type="pct"/>
            <w:vAlign w:val="center"/>
          </w:tcPr>
          <w:p w14:paraId="7596D10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Voluntary MOOP</w:t>
            </w:r>
          </w:p>
        </w:tc>
        <w:tc>
          <w:tcPr>
            <w:tcW w:w="707" w:type="pct"/>
            <w:vAlign w:val="center"/>
          </w:tcPr>
          <w:p w14:paraId="35DDF26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Mandatory MOOP</w:t>
            </w:r>
          </w:p>
        </w:tc>
      </w:tr>
      <w:tr w:rsidR="004C5B0C" w:rsidRPr="001569FB" w14:paraId="681B4FAA" w14:textId="77777777" w:rsidTr="004C5B0C">
        <w:trPr>
          <w:cantSplit/>
          <w:jc w:val="center"/>
        </w:trPr>
        <w:tc>
          <w:tcPr>
            <w:tcW w:w="2671" w:type="pct"/>
            <w:vAlign w:val="center"/>
          </w:tcPr>
          <w:p w14:paraId="5C0EFD6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- 60 days</w:t>
            </w:r>
          </w:p>
        </w:tc>
        <w:tc>
          <w:tcPr>
            <w:tcW w:w="907" w:type="pct"/>
            <w:vAlign w:val="center"/>
          </w:tcPr>
          <w:p w14:paraId="461D0A5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322EAA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D91A95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$4,314</w:t>
            </w:r>
          </w:p>
        </w:tc>
      </w:tr>
      <w:tr w:rsidR="004C5B0C" w:rsidRPr="001569FB" w14:paraId="1A39B4A7" w14:textId="77777777" w:rsidTr="004C5B0C">
        <w:trPr>
          <w:cantSplit/>
          <w:jc w:val="center"/>
        </w:trPr>
        <w:tc>
          <w:tcPr>
            <w:tcW w:w="2671" w:type="pct"/>
            <w:vAlign w:val="center"/>
          </w:tcPr>
          <w:p w14:paraId="7ACC28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- 10 days</w:t>
            </w:r>
          </w:p>
        </w:tc>
        <w:tc>
          <w:tcPr>
            <w:tcW w:w="907" w:type="pct"/>
            <w:vAlign w:val="center"/>
          </w:tcPr>
          <w:p w14:paraId="0544B249"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37784E4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$2,552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D6080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$2,042 </w:t>
            </w:r>
          </w:p>
        </w:tc>
      </w:tr>
      <w:tr w:rsidR="004C5B0C" w:rsidRPr="001569FB" w14:paraId="099EF818" w14:textId="77777777" w:rsidTr="004C5B0C">
        <w:trPr>
          <w:cantSplit/>
          <w:jc w:val="center"/>
        </w:trPr>
        <w:tc>
          <w:tcPr>
            <w:tcW w:w="2671" w:type="pct"/>
            <w:vAlign w:val="center"/>
          </w:tcPr>
          <w:p w14:paraId="32D43A6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 days</w:t>
            </w:r>
          </w:p>
        </w:tc>
        <w:tc>
          <w:tcPr>
            <w:tcW w:w="907" w:type="pct"/>
            <w:vAlign w:val="center"/>
          </w:tcPr>
          <w:p w14:paraId="12D0F25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4EE79B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$2,325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BBFD6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$1,860</w:t>
            </w:r>
          </w:p>
        </w:tc>
      </w:tr>
      <w:tr w:rsidR="004C5B0C" w:rsidRPr="001569FB" w14:paraId="33A53E66" w14:textId="77777777" w:rsidTr="004C5B0C">
        <w:trPr>
          <w:cantSplit/>
          <w:jc w:val="center"/>
        </w:trPr>
        <w:tc>
          <w:tcPr>
            <w:tcW w:w="2671" w:type="pct"/>
            <w:vAlign w:val="center"/>
          </w:tcPr>
          <w:p w14:paraId="32A070E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- 60 days</w:t>
            </w:r>
          </w:p>
        </w:tc>
        <w:tc>
          <w:tcPr>
            <w:tcW w:w="907" w:type="pct"/>
            <w:vAlign w:val="center"/>
          </w:tcPr>
          <w:p w14:paraId="50194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5CC73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$2,737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F79830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$2,190</w:t>
            </w:r>
          </w:p>
        </w:tc>
      </w:tr>
      <w:tr w:rsidR="004C5B0C" w:rsidRPr="001569FB" w14:paraId="18553FCD" w14:textId="77777777" w:rsidTr="004C5B0C">
        <w:trPr>
          <w:cantSplit/>
          <w:jc w:val="center"/>
        </w:trPr>
        <w:tc>
          <w:tcPr>
            <w:tcW w:w="2671" w:type="pct"/>
            <w:vAlign w:val="center"/>
          </w:tcPr>
          <w:p w14:paraId="65579D2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- 15 days</w:t>
            </w:r>
          </w:p>
        </w:tc>
        <w:tc>
          <w:tcPr>
            <w:tcW w:w="907" w:type="pct"/>
            <w:vAlign w:val="center"/>
          </w:tcPr>
          <w:p w14:paraId="6D33DF2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A0548D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$2,075</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C8403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$1,660</w:t>
            </w:r>
          </w:p>
        </w:tc>
      </w:tr>
      <w:tr w:rsidR="004C5B0C" w:rsidRPr="001569FB" w14:paraId="6B64A0C2" w14:textId="77777777" w:rsidTr="004C5B0C">
        <w:trPr>
          <w:cantSplit/>
          <w:jc w:val="center"/>
        </w:trPr>
        <w:tc>
          <w:tcPr>
            <w:tcW w:w="2671" w:type="pct"/>
            <w:vAlign w:val="center"/>
          </w:tcPr>
          <w:p w14:paraId="197D549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First 20 Days</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7822283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16EF67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8F21D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$0/day</w:t>
            </w:r>
          </w:p>
        </w:tc>
      </w:tr>
      <w:tr w:rsidR="004C5B0C" w:rsidRPr="001569FB" w14:paraId="41906143" w14:textId="77777777" w:rsidTr="004C5B0C">
        <w:trPr>
          <w:cantSplit/>
          <w:jc w:val="center"/>
        </w:trPr>
        <w:tc>
          <w:tcPr>
            <w:tcW w:w="2671" w:type="pct"/>
            <w:vAlign w:val="center"/>
          </w:tcPr>
          <w:p w14:paraId="0E7819F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Days 21 through 100</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308879A3"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EAF2D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16F2FF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r>
      <w:tr w:rsidR="004C5B0C" w:rsidRPr="001569FB" w14:paraId="324DF775" w14:textId="77777777" w:rsidTr="004C5B0C">
        <w:trPr>
          <w:cantSplit/>
          <w:jc w:val="center"/>
        </w:trPr>
        <w:tc>
          <w:tcPr>
            <w:tcW w:w="2671" w:type="pct"/>
            <w:vAlign w:val="center"/>
          </w:tcPr>
          <w:p w14:paraId="5AF0203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Emergency Care/Post Stabilization Care</w:t>
            </w:r>
            <w:r w:rsidRPr="001569FB">
              <w:rPr>
                <w:color w:val="000000"/>
                <w:sz w:val="20"/>
                <w:szCs w:val="20"/>
                <w:vertAlign w:val="superscript"/>
              </w:rPr>
              <w:t>3</w:t>
            </w:r>
          </w:p>
        </w:tc>
        <w:tc>
          <w:tcPr>
            <w:tcW w:w="907" w:type="pct"/>
            <w:vAlign w:val="center"/>
          </w:tcPr>
          <w:p w14:paraId="4910551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29C2F6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$120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CD3BED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$90 </w:t>
            </w:r>
          </w:p>
        </w:tc>
      </w:tr>
      <w:tr w:rsidR="004C5B0C" w:rsidRPr="001569FB" w14:paraId="646275F4" w14:textId="77777777" w:rsidTr="004C5B0C">
        <w:trPr>
          <w:cantSplit/>
          <w:jc w:val="center"/>
        </w:trPr>
        <w:tc>
          <w:tcPr>
            <w:tcW w:w="2671" w:type="pct"/>
            <w:vAlign w:val="center"/>
          </w:tcPr>
          <w:p w14:paraId="741B0E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Urgently Needed Services</w:t>
            </w:r>
            <w:r w:rsidRPr="001569FB">
              <w:rPr>
                <w:color w:val="000000"/>
                <w:sz w:val="20"/>
                <w:szCs w:val="20"/>
                <w:vertAlign w:val="superscript"/>
              </w:rPr>
              <w:t>3</w:t>
            </w:r>
          </w:p>
        </w:tc>
        <w:tc>
          <w:tcPr>
            <w:tcW w:w="907" w:type="pct"/>
            <w:vAlign w:val="center"/>
          </w:tcPr>
          <w:p w14:paraId="4D13E3B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F14502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954C6F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r>
      <w:tr w:rsidR="004C5B0C" w:rsidRPr="001569FB" w14:paraId="28FEF46B" w14:textId="77777777" w:rsidTr="004C5B0C">
        <w:trPr>
          <w:cantSplit/>
          <w:jc w:val="center"/>
        </w:trPr>
        <w:tc>
          <w:tcPr>
            <w:tcW w:w="2671" w:type="pct"/>
            <w:vAlign w:val="center"/>
          </w:tcPr>
          <w:p w14:paraId="30540BA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Partial Hospitalization</w:t>
            </w:r>
          </w:p>
        </w:tc>
        <w:tc>
          <w:tcPr>
            <w:tcW w:w="907" w:type="pct"/>
            <w:vAlign w:val="center"/>
          </w:tcPr>
          <w:p w14:paraId="234EC7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056B2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90C53F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r>
      <w:tr w:rsidR="004C5B0C" w:rsidRPr="001569FB" w14:paraId="4FC7FFAF" w14:textId="77777777" w:rsidTr="004C5B0C">
        <w:trPr>
          <w:cantSplit/>
          <w:jc w:val="center"/>
        </w:trPr>
        <w:tc>
          <w:tcPr>
            <w:tcW w:w="2671" w:type="pct"/>
            <w:vAlign w:val="center"/>
          </w:tcPr>
          <w:p w14:paraId="57F368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Home Health </w:t>
            </w:r>
          </w:p>
        </w:tc>
        <w:tc>
          <w:tcPr>
            <w:tcW w:w="907" w:type="pct"/>
            <w:vAlign w:val="center"/>
          </w:tcPr>
          <w:p w14:paraId="3005F98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6a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0423B8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F1BC0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$0 </w:t>
            </w:r>
          </w:p>
        </w:tc>
      </w:tr>
      <w:tr w:rsidR="004C5B0C" w:rsidRPr="001569FB" w14:paraId="08E5AD75" w14:textId="77777777" w:rsidTr="004C5B0C">
        <w:trPr>
          <w:cantSplit/>
          <w:jc w:val="center"/>
        </w:trPr>
        <w:tc>
          <w:tcPr>
            <w:tcW w:w="2671" w:type="pct"/>
            <w:vAlign w:val="center"/>
          </w:tcPr>
          <w:p w14:paraId="46A8C8E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Primary Care Physician</w:t>
            </w:r>
          </w:p>
        </w:tc>
        <w:tc>
          <w:tcPr>
            <w:tcW w:w="907" w:type="pct"/>
            <w:vAlign w:val="center"/>
          </w:tcPr>
          <w:p w14:paraId="5430D23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FFE331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$35</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5FAFDC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$35 </w:t>
            </w:r>
          </w:p>
        </w:tc>
      </w:tr>
      <w:tr w:rsidR="004C5B0C" w:rsidRPr="001569FB" w14:paraId="6A9B4CA8" w14:textId="77777777" w:rsidTr="004C5B0C">
        <w:trPr>
          <w:cantSplit/>
          <w:jc w:val="center"/>
        </w:trPr>
        <w:tc>
          <w:tcPr>
            <w:tcW w:w="2671" w:type="pct"/>
            <w:vAlign w:val="center"/>
          </w:tcPr>
          <w:p w14:paraId="6E3C1AE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Chiropractic Care</w:t>
            </w:r>
          </w:p>
        </w:tc>
        <w:tc>
          <w:tcPr>
            <w:tcW w:w="907" w:type="pct"/>
            <w:vAlign w:val="center"/>
          </w:tcPr>
          <w:p w14:paraId="12E0C8A4"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47E026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12E5C6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r>
      <w:tr w:rsidR="004C5B0C" w:rsidRPr="001569FB" w14:paraId="087250BE" w14:textId="77777777" w:rsidTr="004C5B0C">
        <w:trPr>
          <w:cantSplit/>
          <w:jc w:val="center"/>
        </w:trPr>
        <w:tc>
          <w:tcPr>
            <w:tcW w:w="2671" w:type="pct"/>
            <w:vAlign w:val="center"/>
          </w:tcPr>
          <w:p w14:paraId="62D8AB3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Occupational Therapy</w:t>
            </w:r>
          </w:p>
        </w:tc>
        <w:tc>
          <w:tcPr>
            <w:tcW w:w="907" w:type="pct"/>
            <w:vAlign w:val="center"/>
          </w:tcPr>
          <w:p w14:paraId="2D2C33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7c</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3CBC70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B9FB1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7C424366" w14:textId="77777777" w:rsidTr="004C5B0C">
        <w:trPr>
          <w:cantSplit/>
          <w:jc w:val="center"/>
        </w:trPr>
        <w:tc>
          <w:tcPr>
            <w:tcW w:w="2671" w:type="pct"/>
            <w:vAlign w:val="center"/>
          </w:tcPr>
          <w:p w14:paraId="24903B8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Physician Specialist</w:t>
            </w:r>
          </w:p>
        </w:tc>
        <w:tc>
          <w:tcPr>
            <w:tcW w:w="907" w:type="pct"/>
            <w:vAlign w:val="center"/>
          </w:tcPr>
          <w:p w14:paraId="4C486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7d</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1AB2CC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EE25776"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r>
      <w:tr w:rsidR="004C5B0C" w:rsidRPr="001569FB" w14:paraId="645C7BEF" w14:textId="77777777" w:rsidTr="004C5B0C">
        <w:trPr>
          <w:cantSplit/>
          <w:jc w:val="center"/>
        </w:trPr>
        <w:tc>
          <w:tcPr>
            <w:tcW w:w="2671" w:type="pct"/>
            <w:vAlign w:val="center"/>
          </w:tcPr>
          <w:p w14:paraId="152091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Psychiatric and Mental Health Specialty Services </w:t>
            </w:r>
          </w:p>
        </w:tc>
        <w:tc>
          <w:tcPr>
            <w:tcW w:w="907" w:type="pct"/>
            <w:vAlign w:val="center"/>
          </w:tcPr>
          <w:p w14:paraId="1D88EE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7e and 7h</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9348F8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0742FD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$40</w:t>
            </w:r>
          </w:p>
        </w:tc>
      </w:tr>
      <w:tr w:rsidR="004C5B0C" w:rsidRPr="001569FB" w14:paraId="580D4F6C" w14:textId="77777777" w:rsidTr="004C5B0C">
        <w:trPr>
          <w:cantSplit/>
          <w:jc w:val="center"/>
        </w:trPr>
        <w:tc>
          <w:tcPr>
            <w:tcW w:w="2671" w:type="pct"/>
            <w:vAlign w:val="center"/>
          </w:tcPr>
          <w:p w14:paraId="4B0B73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Physical Therapy and Speech-language Pathology</w:t>
            </w:r>
          </w:p>
        </w:tc>
        <w:tc>
          <w:tcPr>
            <w:tcW w:w="907" w:type="pct"/>
            <w:vAlign w:val="center"/>
          </w:tcPr>
          <w:p w14:paraId="115873F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7i</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964BFB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91C91A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39AFA798" w14:textId="77777777" w:rsidTr="004C5B0C">
        <w:trPr>
          <w:cantSplit/>
          <w:jc w:val="center"/>
        </w:trPr>
        <w:tc>
          <w:tcPr>
            <w:tcW w:w="2671" w:type="pct"/>
            <w:vAlign w:val="center"/>
          </w:tcPr>
          <w:p w14:paraId="11ACB748"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Therapeutic Radiological Services</w:t>
            </w:r>
          </w:p>
        </w:tc>
        <w:tc>
          <w:tcPr>
            <w:tcW w:w="907" w:type="pct"/>
            <w:vAlign w:val="center"/>
          </w:tcPr>
          <w:p w14:paraId="29FFFE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8b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CE0C5C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610B2F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r>
      <w:tr w:rsidR="004C5B0C" w:rsidRPr="001569FB" w14:paraId="463F539A" w14:textId="77777777" w:rsidTr="004C5B0C">
        <w:trPr>
          <w:cantSplit/>
          <w:jc w:val="center"/>
        </w:trPr>
        <w:tc>
          <w:tcPr>
            <w:tcW w:w="2671" w:type="pct"/>
            <w:vAlign w:val="center"/>
          </w:tcPr>
          <w:p w14:paraId="22BD4C9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DME-Equipment </w:t>
            </w:r>
          </w:p>
        </w:tc>
        <w:tc>
          <w:tcPr>
            <w:tcW w:w="907" w:type="pct"/>
            <w:vAlign w:val="center"/>
          </w:tcPr>
          <w:p w14:paraId="532FCC3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11a</w:t>
            </w:r>
          </w:p>
        </w:tc>
        <w:tc>
          <w:tcPr>
            <w:tcW w:w="715" w:type="pct"/>
            <w:tcBorders>
              <w:top w:val="single" w:sz="8" w:space="0" w:color="000000"/>
              <w:left w:val="single" w:sz="8" w:space="0" w:color="000000"/>
              <w:bottom w:val="single" w:sz="4" w:space="0" w:color="auto"/>
              <w:right w:val="single" w:sz="8" w:space="0" w:color="000000"/>
            </w:tcBorders>
            <w:shd w:val="clear" w:color="auto" w:fill="auto"/>
            <w:vAlign w:val="center"/>
          </w:tcPr>
          <w:p w14:paraId="6BBA3CE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4" w:space="0" w:color="auto"/>
              <w:right w:val="single" w:sz="8" w:space="0" w:color="000000"/>
            </w:tcBorders>
            <w:shd w:val="clear" w:color="auto" w:fill="auto"/>
            <w:vAlign w:val="center"/>
          </w:tcPr>
          <w:p w14:paraId="62BEA15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74033A3B" w14:textId="77777777" w:rsidTr="004C5B0C">
        <w:trPr>
          <w:cantSplit/>
          <w:jc w:val="center"/>
        </w:trPr>
        <w:tc>
          <w:tcPr>
            <w:tcW w:w="2671" w:type="pct"/>
            <w:vAlign w:val="center"/>
          </w:tcPr>
          <w:p w14:paraId="0677171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DME-Prosthetics </w:t>
            </w:r>
          </w:p>
        </w:tc>
        <w:tc>
          <w:tcPr>
            <w:tcW w:w="907" w:type="pct"/>
            <w:tcBorders>
              <w:right w:val="single" w:sz="4" w:space="0" w:color="auto"/>
            </w:tcBorders>
            <w:vAlign w:val="center"/>
          </w:tcPr>
          <w:p w14:paraId="21BE50A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D2A164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2A661C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2F2F543E" w14:textId="77777777" w:rsidTr="004C5B0C">
        <w:trPr>
          <w:cantSplit/>
          <w:jc w:val="center"/>
        </w:trPr>
        <w:tc>
          <w:tcPr>
            <w:tcW w:w="2671" w:type="pct"/>
            <w:vAlign w:val="center"/>
          </w:tcPr>
          <w:p w14:paraId="3ADDE95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DME-Medical Supplies</w:t>
            </w:r>
          </w:p>
        </w:tc>
        <w:tc>
          <w:tcPr>
            <w:tcW w:w="907" w:type="pct"/>
            <w:tcBorders>
              <w:right w:val="single" w:sz="4" w:space="0" w:color="auto"/>
            </w:tcBorders>
            <w:vAlign w:val="center"/>
          </w:tcPr>
          <w:p w14:paraId="6E4D647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2A148D2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1784D0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4ACC1435" w14:textId="77777777" w:rsidTr="004C5B0C">
        <w:trPr>
          <w:cantSplit/>
          <w:jc w:val="center"/>
        </w:trPr>
        <w:tc>
          <w:tcPr>
            <w:tcW w:w="2671" w:type="pct"/>
            <w:vAlign w:val="center"/>
          </w:tcPr>
          <w:p w14:paraId="45BF949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DME-Diabetes Monitoring Supplies</w:t>
            </w:r>
          </w:p>
        </w:tc>
        <w:tc>
          <w:tcPr>
            <w:tcW w:w="907" w:type="pct"/>
            <w:tcBorders>
              <w:right w:val="single" w:sz="4" w:space="0" w:color="auto"/>
            </w:tcBorders>
            <w:vAlign w:val="center"/>
          </w:tcPr>
          <w:p w14:paraId="61B3EB9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4E6233C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86877E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$10</w:t>
            </w:r>
          </w:p>
        </w:tc>
      </w:tr>
      <w:tr w:rsidR="004C5B0C" w:rsidRPr="001569FB" w14:paraId="44BEE494" w14:textId="77777777" w:rsidTr="004C5B0C">
        <w:trPr>
          <w:cantSplit/>
          <w:jc w:val="center"/>
        </w:trPr>
        <w:tc>
          <w:tcPr>
            <w:tcW w:w="2671" w:type="pct"/>
            <w:vAlign w:val="center"/>
          </w:tcPr>
          <w:p w14:paraId="12301F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DME-Diabetic Shoes or Inserts</w:t>
            </w:r>
          </w:p>
        </w:tc>
        <w:tc>
          <w:tcPr>
            <w:tcW w:w="907" w:type="pct"/>
            <w:tcBorders>
              <w:right w:val="single" w:sz="4" w:space="0" w:color="auto"/>
            </w:tcBorders>
            <w:vAlign w:val="center"/>
          </w:tcPr>
          <w:p w14:paraId="5B40E08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62F35C5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D2A244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$10 </w:t>
            </w:r>
          </w:p>
        </w:tc>
      </w:tr>
      <w:tr w:rsidR="004C5B0C" w:rsidRPr="001569FB" w14:paraId="250B1190" w14:textId="77777777" w:rsidTr="004C5B0C">
        <w:trPr>
          <w:cantSplit/>
          <w:jc w:val="center"/>
        </w:trPr>
        <w:tc>
          <w:tcPr>
            <w:tcW w:w="2671" w:type="pct"/>
            <w:vAlign w:val="center"/>
          </w:tcPr>
          <w:p w14:paraId="6A53D6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Dialysis Services</w:t>
            </w:r>
            <w:r w:rsidRPr="001569FB">
              <w:rPr>
                <w:color w:val="000000"/>
                <w:sz w:val="20"/>
                <w:szCs w:val="20"/>
                <w:vertAlign w:val="superscript"/>
              </w:rPr>
              <w:t>1</w:t>
            </w:r>
          </w:p>
        </w:tc>
        <w:tc>
          <w:tcPr>
            <w:tcW w:w="907" w:type="pct"/>
            <w:tcBorders>
              <w:right w:val="single" w:sz="4" w:space="0" w:color="auto"/>
            </w:tcBorders>
            <w:vAlign w:val="center"/>
          </w:tcPr>
          <w:p w14:paraId="2D53640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12</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7331743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$30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4B44AF6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$30</w:t>
            </w:r>
          </w:p>
        </w:tc>
      </w:tr>
      <w:tr w:rsidR="004C5B0C" w:rsidRPr="001569FB" w14:paraId="4D103F65" w14:textId="77777777" w:rsidTr="004C5B0C">
        <w:trPr>
          <w:cantSplit/>
          <w:jc w:val="center"/>
        </w:trPr>
        <w:tc>
          <w:tcPr>
            <w:tcW w:w="2671" w:type="pct"/>
            <w:vAlign w:val="center"/>
          </w:tcPr>
          <w:p w14:paraId="34AD8B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 B Drugs-Chemotherapy</w:t>
            </w:r>
            <w:r w:rsidRPr="001569FB">
              <w:rPr>
                <w:color w:val="000000"/>
                <w:sz w:val="20"/>
                <w:szCs w:val="20"/>
                <w:vertAlign w:val="superscript"/>
              </w:rPr>
              <w:t>1,4</w:t>
            </w:r>
          </w:p>
        </w:tc>
        <w:tc>
          <w:tcPr>
            <w:tcW w:w="907" w:type="pct"/>
            <w:tcBorders>
              <w:right w:val="single" w:sz="4" w:space="0" w:color="auto"/>
            </w:tcBorders>
            <w:vAlign w:val="center"/>
          </w:tcPr>
          <w:p w14:paraId="00D8B3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4655DE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$75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0FD081C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$75</w:t>
            </w:r>
          </w:p>
        </w:tc>
      </w:tr>
      <w:tr w:rsidR="004C5B0C" w:rsidRPr="001569FB" w14:paraId="25E3C780" w14:textId="77777777" w:rsidTr="004C5B0C">
        <w:trPr>
          <w:cantSplit/>
          <w:jc w:val="center"/>
        </w:trPr>
        <w:tc>
          <w:tcPr>
            <w:tcW w:w="2671" w:type="pct"/>
            <w:vAlign w:val="center"/>
          </w:tcPr>
          <w:p w14:paraId="035CE471"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Part B Drugs-Other</w:t>
            </w:r>
          </w:p>
        </w:tc>
        <w:tc>
          <w:tcPr>
            <w:tcW w:w="907" w:type="pct"/>
            <w:tcBorders>
              <w:right w:val="single" w:sz="4" w:space="0" w:color="auto"/>
            </w:tcBorders>
            <w:vAlign w:val="center"/>
          </w:tcPr>
          <w:p w14:paraId="1DB47DA6"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3044FE6E"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61E1937B"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r>
    </w:tbl>
    <w:p w14:paraId="2E694FF8" w14:textId="77777777" w:rsidR="004C5B0C" w:rsidRPr="001569FB" w:rsidRDefault="004C5B0C" w:rsidP="004C5B0C">
      <w:pPr>
        <w:keepNext/>
        <w:keepLines/>
        <w:autoSpaceDE w:val="0"/>
        <w:autoSpaceDN w:val="0"/>
        <w:adjustRightInd w:val="0"/>
        <w:spacing w:after="120" w:line="240" w:lineRule="auto"/>
        <w:rPr>
          <w:color w:val="000000"/>
          <w:sz w:val="20"/>
          <w:szCs w:val="20"/>
        </w:rPr>
      </w:pPr>
      <w:r w:rsidRPr="001569FB">
        <w:rPr>
          <w:color w:val="000000"/>
          <w:sz w:val="20"/>
          <w:szCs w:val="20"/>
          <w:vertAlign w:val="superscript"/>
        </w:rPr>
        <w:lastRenderedPageBreak/>
        <w:t>1</w:t>
      </w:r>
      <w:r w:rsidRPr="001569FB">
        <w:rPr>
          <w:color w:val="000000"/>
          <w:sz w:val="20"/>
          <w:szCs w:val="20"/>
        </w:rPr>
        <w:t xml:space="preserve"> MA plans and 1876 Cost Plans may not charge enrollees higher cost sharing than is charged under Original Medicare for </w:t>
      </w:r>
      <w:r w:rsidRPr="001569FB">
        <w:rPr>
          <w:color w:val="000000"/>
          <w:sz w:val="20"/>
        </w:rPr>
        <w:t>chemotherapy administration</w:t>
      </w:r>
      <w:r w:rsidRPr="001569FB">
        <w:rPr>
          <w:color w:val="000000"/>
          <w:sz w:val="20"/>
          <w:szCs w:val="20"/>
        </w:rPr>
        <w:t xml:space="preserve"> including </w:t>
      </w:r>
      <w:r w:rsidRPr="001569FB">
        <w:rPr>
          <w:sz w:val="20"/>
          <w:szCs w:val="20"/>
        </w:rPr>
        <w:t>chemotherapy drugs and radiation therapy integral to the treatment regimen</w:t>
      </w:r>
      <w:r w:rsidRPr="001569FB">
        <w:rPr>
          <w:color w:val="000000"/>
          <w:sz w:val="20"/>
        </w:rPr>
        <w:t>,</w:t>
      </w:r>
      <w:r w:rsidRPr="001569FB">
        <w:rPr>
          <w:color w:val="000000"/>
          <w:sz w:val="20"/>
          <w:szCs w:val="20"/>
        </w:rPr>
        <w:t xml:space="preserve"> skilled nursing care, and renal dialysis services (42 CFR §§417.454(e) and 422.100(j)).</w:t>
      </w:r>
    </w:p>
    <w:p w14:paraId="192DA81A"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2</w:t>
      </w:r>
      <w:r w:rsidRPr="001569FB">
        <w:rPr>
          <w:color w:val="000000"/>
          <w:sz w:val="20"/>
          <w:szCs w:val="20"/>
        </w:rPr>
        <w:t xml:space="preserve"> MA plans that establish a voluntary MOOP may have cost sharing for the first 20 days of a SNF stay. The per-day cost sharing for days 21 through 100 must not be greater than the Original Medicare SNF amount. Total cost sharing for the overall SNF benefit must be no higher than the actuarially equivalent cost sharing in Original Medicare, pursuant to §1852(a)(1)(B).</w:t>
      </w:r>
    </w:p>
    <w:p w14:paraId="07969A1B"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3</w:t>
      </w:r>
      <w:r w:rsidRPr="001569FB">
        <w:rPr>
          <w:color w:val="000000"/>
          <w:sz w:val="20"/>
          <w:szCs w:val="20"/>
        </w:rPr>
        <w:t xml:space="preserve"> Emergency Care and Urgently Needed Care benefits are not subject to plan level deductible amount and/or out-of-network providers. The dollar amount included in the table represents the maximum cost sharing permitted per visit (copayment or coinsurance). </w:t>
      </w:r>
    </w:p>
    <w:p w14:paraId="37A2BB2D"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 xml:space="preserve">4 </w:t>
      </w:r>
      <w:r w:rsidRPr="001569FB">
        <w:rPr>
          <w:color w:val="000000"/>
          <w:sz w:val="20"/>
          <w:szCs w:val="20"/>
        </w:rPr>
        <w:t xml:space="preserve">Part B Drugs - Chemotherapy cost sharing displayed is for services provided on an outpatient basis and includes administration services. </w:t>
      </w:r>
    </w:p>
    <w:p w14:paraId="78F37E1E" w14:textId="77777777" w:rsidR="004C5B0C" w:rsidRPr="001569FB" w:rsidRDefault="004C5B0C" w:rsidP="004C5B0C">
      <w:pPr>
        <w:widowControl w:val="0"/>
        <w:autoSpaceDE w:val="0"/>
        <w:autoSpaceDN w:val="0"/>
        <w:adjustRightInd w:val="0"/>
        <w:spacing w:before="200"/>
        <w:rPr>
          <w:color w:val="000000"/>
        </w:rPr>
      </w:pPr>
      <w:r w:rsidRPr="001569FB">
        <w:rPr>
          <w:color w:val="000000"/>
        </w:rPr>
        <w:t xml:space="preserve">MAOs have the option to charge either coinsurance or a copayment for most service category benefits.  For example, based on the cost sharing requirements indicated above for Part B Drugs – Chemotherapy, a plan can choose to either assign up to a 20% coinsurance or $75 copayment to that particular benefit. MA plans may not charge enrollees higher cost sharing than is charged under Original Medicare for chemotherapy administration including </w:t>
      </w:r>
      <w:r w:rsidRPr="001569FB">
        <w:t>chemotherapy drugs and radiation therapy integral to the treatment regimen</w:t>
      </w:r>
      <w:r w:rsidRPr="001569FB">
        <w:rPr>
          <w:color w:val="000000"/>
        </w:rPr>
        <w:t xml:space="preserve">, skilled nursing care, and renal dialysis services (42 CFR §422.100(j)).  </w:t>
      </w:r>
      <w:r w:rsidRPr="001569FB">
        <w:rPr>
          <w:color w:val="000000"/>
          <w:lang w:val="en"/>
        </w:rPr>
        <w:t>Although CMS has not established a specific service category cost sharing limit for all possible services, CMS has a longstanding interpretation of the anti-discrimination provisions that payment of less than 50% of the contracted (or Medicare allowable) rate and use of cost sharing for services that exceeds 50% of the total MA plan financial liability for the benefit discriminates against enrollees who need those services.  If a plan uses a copayment method of cost sharing, then the copayment for an in-network Original Medicare service category cannot exceed 50% of the average contracted rate of that service (Medicare Managed Care Manual, Chapter 4, Section 50.1). For example, cardiac and pulmonary rehabilitation services are areas of concern that CMS continues to monitor and requires MA organizations provide justification for cost sharing above the following amounts for CY 2019: cardiac rehabilitation services ($50), intensive cardiac rehabilitation services ($100), and pulmonary rehabilitation services ($30).  CMS has determined that the cited amounts are non-discriminatory.</w:t>
      </w:r>
    </w:p>
    <w:p w14:paraId="303A3DC2" w14:textId="77777777" w:rsidR="004C5B0C" w:rsidRPr="001569FB" w:rsidRDefault="004C5B0C" w:rsidP="004C5B0C">
      <w:pPr>
        <w:autoSpaceDE w:val="0"/>
        <w:autoSpaceDN w:val="0"/>
        <w:adjustRightInd w:val="0"/>
        <w:spacing w:before="200"/>
        <w:rPr>
          <w:color w:val="000000"/>
        </w:rPr>
      </w:pPr>
      <w:r w:rsidRPr="001569FB">
        <w:rPr>
          <w:color w:val="000000"/>
          <w:lang w:val="en"/>
        </w:rPr>
        <w:t xml:space="preserve">Copayments are expected to reflect specific benefits identified within the PBP service category or a reasonable group of benefits or services provided.  Some PBP service categories may identify specific benefits for which a unique copayment would apply (e.g., category 3 includes specific benefits for cardiac rehabilitation, intensive cardiac rehabilitation and pulmonary rehabilitation services), while other categories include a variety of services with different levels of costs which may reasonably have a range of copayments based on groups of similar services (e.g., category 8b includes outpatient diagnostic radiological services). It is expected that organizations typically have much lower cost sharing for enrollees than our requirements due to effective managed care principles, effective negotiations between organizations and providers, and competition. </w:t>
      </w:r>
    </w:p>
    <w:p w14:paraId="456014DE" w14:textId="77777777" w:rsidR="004C5B0C" w:rsidRPr="001569FB" w:rsidRDefault="004C5B0C" w:rsidP="004C5B0C">
      <w:pPr>
        <w:autoSpaceDE w:val="0"/>
        <w:autoSpaceDN w:val="0"/>
        <w:adjustRightInd w:val="0"/>
        <w:spacing w:before="200"/>
        <w:rPr>
          <w:color w:val="000000"/>
        </w:rPr>
      </w:pPr>
      <w:r w:rsidRPr="001569FB">
        <w:rPr>
          <w:color w:val="000000"/>
        </w:rPr>
        <w:lastRenderedPageBreak/>
        <w:t xml:space="preserve">MAOs with benefit designs using a coinsurance or copayment amount for which CMS does not have an established threshold for non-discriminatory cost-sharing (e.g., coinsurance for inpatient or copayment for durable medical equipment) must submit documentation with their initial bid that clearly demonstrates how the coinsurance or copayment amount satisfies the regulatory requirements, as interpreted and implemented here, for each applicable plan. This documentation may include information for multiple plans and must be identified separately from other supporting documentation submitted as part of the BPT.  The documentation must be submitted for each plan through the supporting documentation upload section titled "Cost-Sharing Justification" in HPMS.  The upload will be available to all MA plan types (both employer and individual market), but not for stand-alone PDPs. The link for uploading cost sharing justification files will be located at Plan Bids &gt; Bid Submission &gt; CY 2019 &gt; Upload &gt; Cost-Sharing Justification. </w:t>
      </w:r>
    </w:p>
    <w:p w14:paraId="120D56E0" w14:textId="77777777" w:rsidR="004C5B0C" w:rsidRPr="001569FB" w:rsidRDefault="004C5B0C" w:rsidP="004C5B0C">
      <w:pPr>
        <w:autoSpaceDE w:val="0"/>
        <w:autoSpaceDN w:val="0"/>
        <w:adjustRightInd w:val="0"/>
        <w:spacing w:before="200"/>
        <w:rPr>
          <w:color w:val="000000"/>
        </w:rPr>
      </w:pPr>
      <w:r w:rsidRPr="001569FB">
        <w:rPr>
          <w:color w:val="000000"/>
        </w:rPr>
        <w:t>CMS annually evaluates available Medicare data and other information to apply MA requirements in accordance with applicable law.  Organizations are afforded the flexibility to design their benefits as they see fit so long as they satisfy Medicare coverage requirements.</w:t>
      </w:r>
      <w:r w:rsidRPr="001569FB" w:rsidDel="00A3251C">
        <w:rPr>
          <w:color w:val="000000"/>
        </w:rPr>
        <w:t xml:space="preserve"> </w:t>
      </w:r>
    </w:p>
    <w:p w14:paraId="24CA9B21"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2020 CMS is considering changes to its policies related to service category cost sharing limits.  For example, inpatient limits are based on Original Medicare cost data and other limits are based on at least 50% of the total MA plan financial liability for the benefit.  CMS is soliciting comments on whether CMS’s interpretation of the cost sharing limits is impacting plans’ ability to offer more flexible benefit designs that would provide beneficiaries with valuable plan options. </w:t>
      </w:r>
      <w:r w:rsidRPr="001569FB">
        <w:rPr>
          <w:color w:val="000000" w:themeColor="text1"/>
        </w:rPr>
        <w:t>Our goal is to encourage plans’ to be innnovative and offer high value, affordable plan options tailored to beneficiaries’ specific healthcare and financial needs.</w:t>
      </w:r>
    </w:p>
    <w:p w14:paraId="0BAE0CF8" w14:textId="19829226" w:rsidR="004C5B0C" w:rsidRPr="001569FB" w:rsidRDefault="004C5B0C" w:rsidP="004C5B0C">
      <w:pPr>
        <w:pStyle w:val="Heading3"/>
      </w:pPr>
      <w:r w:rsidRPr="001569FB">
        <w:tab/>
      </w:r>
      <w:bookmarkStart w:id="839" w:name="_Toc505253848"/>
      <w:r w:rsidR="009D4953">
        <w:t>Section II</w:t>
      </w:r>
      <w:r w:rsidR="009D4953" w:rsidRPr="001569FB">
        <w:t xml:space="preserve"> </w:t>
      </w:r>
      <w:r w:rsidRPr="001569FB">
        <w:t>Part C Optional Supplemental Benefits</w:t>
      </w:r>
      <w:bookmarkEnd w:id="839"/>
    </w:p>
    <w:p w14:paraId="2F34409D" w14:textId="77777777" w:rsidR="004C5B0C" w:rsidRPr="001569FB" w:rsidRDefault="004C5B0C" w:rsidP="004C5B0C">
      <w:pPr>
        <w:autoSpaceDE w:val="0"/>
        <w:autoSpaceDN w:val="0"/>
        <w:adjustRightInd w:val="0"/>
        <w:spacing w:before="200"/>
        <w:rPr>
          <w:color w:val="000000"/>
        </w:rPr>
      </w:pPr>
      <w:r w:rsidRPr="001569FB">
        <w:rPr>
          <w:color w:val="000000"/>
        </w:rPr>
        <w:t xml:space="preserve">As part of our evaluation whether the bid and benefits are not discriminatory against enrollees with specific (or high cost) health needs, CMS will continue to review non-employer bid submissions to verify enrollees electing optional supplemental benefits are receiving reasonable value.  CMS will continue to consider a plan to be non-discriminatory when the total value of all optional supplemental benefits offered to non-employer plans under each contract meets the following thresholds: (a) the enrollment-weighted contract-level projected gain/loss margin, as measured by a percent of premium, is no greater than 15% and (b) the sum of the enrollment-weighted contract-level projected gain/loss margin and non-benefit expenses, as measured by a percent of premium, is no greater than 30%. </w:t>
      </w:r>
    </w:p>
    <w:p w14:paraId="029F9B8F" w14:textId="77777777" w:rsidR="004C5B0C" w:rsidRPr="001569FB" w:rsidRDefault="004C5B0C" w:rsidP="004C5B0C">
      <w:pPr>
        <w:autoSpaceDE w:val="0"/>
        <w:autoSpaceDN w:val="0"/>
        <w:adjustRightInd w:val="0"/>
        <w:spacing w:before="200"/>
        <w:rPr>
          <w:color w:val="000000"/>
        </w:rPr>
      </w:pPr>
      <w:r w:rsidRPr="001569FB">
        <w:rPr>
          <w:color w:val="000000"/>
        </w:rPr>
        <w:t>CMS understands some supplemental benefits are based on a multi-year basis, but the plan bids submitted each year are evaluated based on that particular plan year.</w:t>
      </w:r>
    </w:p>
    <w:p w14:paraId="401F6C3B" w14:textId="412D6FA8" w:rsidR="004C5B0C" w:rsidRPr="001569FB" w:rsidRDefault="009D4953" w:rsidP="004C5B0C">
      <w:pPr>
        <w:pStyle w:val="Heading3"/>
      </w:pPr>
      <w:bookmarkStart w:id="840" w:name="_Toc493523607"/>
      <w:bookmarkStart w:id="841" w:name="_Toc495652120"/>
      <w:bookmarkStart w:id="842" w:name="_Toc505253849"/>
      <w:r>
        <w:lastRenderedPageBreak/>
        <w:t>Section II</w:t>
      </w:r>
      <w:r w:rsidRPr="001569FB">
        <w:t xml:space="preserve"> </w:t>
      </w:r>
      <w:r w:rsidR="004C5B0C" w:rsidRPr="001569FB">
        <w:t>Employer Group Waiver Plans</w:t>
      </w:r>
      <w:bookmarkEnd w:id="840"/>
      <w:bookmarkEnd w:id="841"/>
      <w:bookmarkEnd w:id="842"/>
    </w:p>
    <w:p w14:paraId="1087DE84" w14:textId="77777777" w:rsidR="004C5B0C" w:rsidRPr="001569FB" w:rsidRDefault="004C5B0C" w:rsidP="004C5B0C">
      <w:pPr>
        <w:autoSpaceDE w:val="0"/>
        <w:autoSpaceDN w:val="0"/>
        <w:adjustRightInd w:val="0"/>
        <w:spacing w:before="200" w:after="200"/>
        <w:rPr>
          <w:color w:val="000000"/>
        </w:rPr>
      </w:pPr>
      <w:r w:rsidRPr="001569FB">
        <w:rPr>
          <w:color w:val="000000"/>
        </w:rPr>
        <w:t xml:space="preserve">Beginning in CY 2017, CMS waived the requirement for MA employer plans to submit a MA or Part D Bid Pricing Tool (BPT), but employer plans must complete and submit the MA portion of the Plan Benefit Package (PBP) in accordance with CMS requirements. Organizations should make a good faith effort in projecting CY 2019 member months for each plan and place the amount in Section A-2 of the PBP.  The following question must be completed for all MA and 1876 Cost Plan organizations: “Indicate CY 2019 total </w:t>
      </w:r>
      <w:r w:rsidRPr="001569FB">
        <w:rPr>
          <w:color w:val="000000"/>
          <w:u w:val="single"/>
        </w:rPr>
        <w:t>projected member months</w:t>
      </w:r>
      <w:r w:rsidRPr="001569FB">
        <w:rPr>
          <w:color w:val="000000"/>
        </w:rPr>
        <w:t xml:space="preserve"> for this plan.” </w:t>
      </w:r>
      <w:bookmarkStart w:id="843" w:name="_Toc443480665"/>
      <w:bookmarkStart w:id="844" w:name="_Toc493523608"/>
      <w:bookmarkStart w:id="845" w:name="_Toc495652121"/>
      <w:bookmarkStart w:id="846" w:name="_Toc412034595"/>
      <w:bookmarkStart w:id="847" w:name="_Toc412133181"/>
      <w:bookmarkStart w:id="848" w:name="_Toc412197104"/>
      <w:bookmarkStart w:id="849" w:name="_Toc412197185"/>
    </w:p>
    <w:p w14:paraId="47703895" w14:textId="07214E2F" w:rsidR="004C5B0C" w:rsidRPr="001569FB" w:rsidRDefault="009D4953" w:rsidP="004C5B0C">
      <w:pPr>
        <w:pStyle w:val="Heading3"/>
        <w:spacing w:before="0"/>
        <w:ind w:left="0" w:firstLine="1170"/>
      </w:pPr>
      <w:bookmarkStart w:id="850" w:name="_Toc505253850"/>
      <w:r>
        <w:t>Section II</w:t>
      </w:r>
      <w:r w:rsidRPr="001569FB">
        <w:t xml:space="preserve"> </w:t>
      </w:r>
      <w:r w:rsidR="004C5B0C" w:rsidRPr="001569FB">
        <w:t>Tiered Cost Sharing of Medical Benefits</w:t>
      </w:r>
      <w:bookmarkEnd w:id="843"/>
      <w:bookmarkEnd w:id="844"/>
      <w:bookmarkEnd w:id="845"/>
      <w:bookmarkEnd w:id="850"/>
    </w:p>
    <w:p w14:paraId="373782AC" w14:textId="77777777" w:rsidR="004C5B0C" w:rsidRPr="001569FB" w:rsidRDefault="004C5B0C" w:rsidP="004C5B0C">
      <w:pPr>
        <w:overflowPunct w:val="0"/>
        <w:autoSpaceDE w:val="0"/>
        <w:autoSpaceDN w:val="0"/>
      </w:pPr>
      <w:r w:rsidRPr="001569FB">
        <w:t>MAOs may choose to tier cost sharing of medical benefits to encourage enrollees to seek care from providers the plan has identified based on efficiency and quality data as described in Chapter 4, §50.1 of the MMCM. The tiered cost sharing of medical benefits must be applied so all plan enrollees are charged the same cost sharing amount for any specific provider and all providers are available and accessible to all enrollees in the plan. CMS reminds organizations they may not exclude any members from being eligible to access tiered providers.</w:t>
      </w:r>
    </w:p>
    <w:p w14:paraId="679CD274" w14:textId="77777777" w:rsidR="004C5B0C" w:rsidRPr="001569FB" w:rsidRDefault="004C5B0C" w:rsidP="004C5B0C">
      <w:pPr>
        <w:overflowPunct w:val="0"/>
        <w:autoSpaceDE w:val="0"/>
        <w:autoSpaceDN w:val="0"/>
        <w:spacing w:before="238"/>
      </w:pPr>
      <w:r w:rsidRPr="001569FB">
        <w:t>For CY 2019, CMS does not expect MAOs to submit a proposal summarizing their intent to tier cost sharing of medical benefits prior to bid submission. MAOs are expected to indicate they are tiering medical benefits and the applicable service categories in Section A-6 of the PBP. MAOs must use minimum/maximum data entry and notes fields to describe tiering in each applicable section of the PBP.</w:t>
      </w:r>
    </w:p>
    <w:p w14:paraId="0642A168" w14:textId="77777777" w:rsidR="004C5B0C" w:rsidRPr="001569FB" w:rsidRDefault="004C5B0C" w:rsidP="004C5B0C">
      <w:pPr>
        <w:overflowPunct w:val="0"/>
        <w:autoSpaceDE w:val="0"/>
        <w:autoSpaceDN w:val="0"/>
        <w:spacing w:before="41"/>
        <w:ind w:left="39"/>
      </w:pPr>
      <w:r w:rsidRPr="001569FB">
        <w:t>Tiered cost sharing of medical benefits must satisfy the following standards:</w:t>
      </w:r>
    </w:p>
    <w:p w14:paraId="4536D086" w14:textId="77777777" w:rsidR="004C5B0C" w:rsidRPr="001569FB" w:rsidRDefault="004C5B0C" w:rsidP="00AC78D9">
      <w:pPr>
        <w:numPr>
          <w:ilvl w:val="0"/>
          <w:numId w:val="42"/>
        </w:numPr>
        <w:overflowPunct w:val="0"/>
        <w:autoSpaceDE w:val="0"/>
        <w:autoSpaceDN w:val="0"/>
        <w:spacing w:before="197"/>
      </w:pPr>
      <w:r w:rsidRPr="001569FB">
        <w:t>The plan fully discloses tiered cost sharing amounts and requirements to enrollees</w:t>
      </w:r>
      <w:r w:rsidRPr="001569FB">
        <w:rPr>
          <w:spacing w:val="-7"/>
        </w:rPr>
        <w:t xml:space="preserve"> </w:t>
      </w:r>
      <w:r w:rsidRPr="001569FB">
        <w:t>and plan providers;</w:t>
      </w:r>
    </w:p>
    <w:p w14:paraId="62EA71EE" w14:textId="77777777" w:rsidR="004C5B0C" w:rsidRPr="001569FB" w:rsidRDefault="004C5B0C" w:rsidP="00AC78D9">
      <w:pPr>
        <w:numPr>
          <w:ilvl w:val="0"/>
          <w:numId w:val="42"/>
        </w:numPr>
        <w:overflowPunct w:val="0"/>
        <w:autoSpaceDE w:val="0"/>
        <w:autoSpaceDN w:val="0"/>
        <w:spacing w:before="197"/>
      </w:pPr>
      <w:r w:rsidRPr="001569FB">
        <w:t>The services at each tier of cost sharing are available to all</w:t>
      </w:r>
      <w:r w:rsidRPr="001569FB">
        <w:rPr>
          <w:spacing w:val="-4"/>
        </w:rPr>
        <w:t xml:space="preserve"> </w:t>
      </w:r>
      <w:r w:rsidRPr="001569FB">
        <w:t>enrollees;</w:t>
      </w:r>
    </w:p>
    <w:p w14:paraId="57219BB7" w14:textId="77777777" w:rsidR="004C5B0C" w:rsidRPr="001569FB" w:rsidRDefault="004C5B0C" w:rsidP="00AC78D9">
      <w:pPr>
        <w:numPr>
          <w:ilvl w:val="0"/>
          <w:numId w:val="43"/>
        </w:numPr>
        <w:overflowPunct w:val="0"/>
        <w:autoSpaceDE w:val="0"/>
        <w:autoSpaceDN w:val="0"/>
        <w:spacing w:before="241"/>
        <w:ind w:right="195"/>
      </w:pPr>
      <w:r w:rsidRPr="001569FB">
        <w:t>Enrollees may not be limited to obtaining services from providers/suppliers assigned to a particular</w:t>
      </w:r>
      <w:r w:rsidRPr="001569FB">
        <w:rPr>
          <w:spacing w:val="-4"/>
        </w:rPr>
        <w:t xml:space="preserve"> </w:t>
      </w:r>
      <w:r w:rsidRPr="001569FB">
        <w:t>tier;</w:t>
      </w:r>
    </w:p>
    <w:p w14:paraId="3F5F96AB" w14:textId="77777777" w:rsidR="004C5B0C" w:rsidRPr="001569FB" w:rsidRDefault="004C5B0C" w:rsidP="00AC78D9">
      <w:pPr>
        <w:numPr>
          <w:ilvl w:val="0"/>
          <w:numId w:val="43"/>
        </w:numPr>
        <w:overflowPunct w:val="0"/>
        <w:autoSpaceDE w:val="0"/>
        <w:autoSpaceDN w:val="0"/>
        <w:spacing w:before="204"/>
        <w:ind w:right="544"/>
      </w:pPr>
      <w:r w:rsidRPr="001569FB">
        <w:t>All enrollees are charged the same amount for the same service provided by the same provider;</w:t>
      </w:r>
      <w:r w:rsidRPr="001569FB">
        <w:rPr>
          <w:spacing w:val="-3"/>
        </w:rPr>
        <w:t xml:space="preserve"> </w:t>
      </w:r>
      <w:r w:rsidRPr="001569FB">
        <w:t>and</w:t>
      </w:r>
    </w:p>
    <w:p w14:paraId="5123FA22" w14:textId="77777777" w:rsidR="004C5B0C" w:rsidRPr="001569FB" w:rsidRDefault="004C5B0C" w:rsidP="00AC78D9">
      <w:pPr>
        <w:numPr>
          <w:ilvl w:val="0"/>
          <w:numId w:val="43"/>
        </w:numPr>
        <w:overflowPunct w:val="0"/>
        <w:autoSpaceDE w:val="0"/>
        <w:autoSpaceDN w:val="0"/>
        <w:spacing w:before="204"/>
      </w:pPr>
      <w:r w:rsidRPr="001569FB">
        <w:t>Deductibles, MOOP, and out-of-network benefits are not to be tiered.</w:t>
      </w:r>
    </w:p>
    <w:p w14:paraId="6C3FC649" w14:textId="77777777" w:rsidR="004C5B0C" w:rsidRPr="001569FB" w:rsidRDefault="004C5B0C" w:rsidP="004C5B0C">
      <w:pPr>
        <w:overflowPunct w:val="0"/>
        <w:autoSpaceDE w:val="0"/>
        <w:autoSpaceDN w:val="0"/>
        <w:ind w:left="39"/>
      </w:pPr>
      <w:r w:rsidRPr="001569FB">
        <w:t>The following examples of “differential cost sharing” are allowable, and not considered to be tiering of medical benefits:</w:t>
      </w:r>
    </w:p>
    <w:p w14:paraId="65A6D9D9" w14:textId="77777777" w:rsidR="004C5B0C" w:rsidRPr="001569FB" w:rsidRDefault="004C5B0C" w:rsidP="00AC78D9">
      <w:pPr>
        <w:numPr>
          <w:ilvl w:val="0"/>
          <w:numId w:val="42"/>
        </w:numPr>
        <w:overflowPunct w:val="0"/>
        <w:autoSpaceDE w:val="0"/>
        <w:autoSpaceDN w:val="0"/>
      </w:pPr>
      <w:r w:rsidRPr="001569FB">
        <w:t>Facility settings for furnishing some services, such as diagnostic imaging services;</w:t>
      </w:r>
      <w:r w:rsidRPr="001569FB">
        <w:rPr>
          <w:spacing w:val="-11"/>
        </w:rPr>
        <w:t xml:space="preserve"> </w:t>
      </w:r>
      <w:r w:rsidRPr="001569FB">
        <w:t>and</w:t>
      </w:r>
    </w:p>
    <w:p w14:paraId="4D00596F" w14:textId="77777777" w:rsidR="004C5B0C" w:rsidRPr="001569FB" w:rsidRDefault="004C5B0C" w:rsidP="00AC78D9">
      <w:pPr>
        <w:numPr>
          <w:ilvl w:val="0"/>
          <w:numId w:val="42"/>
        </w:numPr>
        <w:overflowPunct w:val="0"/>
        <w:autoSpaceDE w:val="0"/>
        <w:autoSpaceDN w:val="0"/>
        <w:spacing w:before="240"/>
      </w:pPr>
      <w:r w:rsidRPr="001569FB">
        <w:t>In-network versus out-of-network</w:t>
      </w:r>
      <w:r w:rsidRPr="001569FB">
        <w:rPr>
          <w:spacing w:val="-2"/>
        </w:rPr>
        <w:t xml:space="preserve"> </w:t>
      </w:r>
      <w:r w:rsidRPr="001569FB">
        <w:t>services.</w:t>
      </w:r>
    </w:p>
    <w:p w14:paraId="2173DDFA" w14:textId="23C125DC" w:rsidR="004C5B0C" w:rsidRPr="001569FB" w:rsidRDefault="009D4953" w:rsidP="004C5B0C">
      <w:pPr>
        <w:pStyle w:val="Heading3"/>
      </w:pPr>
      <w:bookmarkStart w:id="851" w:name="_Toc493523609"/>
      <w:bookmarkStart w:id="852" w:name="_Toc495652123"/>
      <w:bookmarkStart w:id="853" w:name="_Toc505253851"/>
      <w:r>
        <w:lastRenderedPageBreak/>
        <w:t>Section II</w:t>
      </w:r>
      <w:r w:rsidRPr="001569FB">
        <w:t xml:space="preserve"> </w:t>
      </w:r>
      <w:r w:rsidR="004C5B0C" w:rsidRPr="001569FB">
        <w:t>Outpatient Observation Services</w:t>
      </w:r>
      <w:bookmarkEnd w:id="851"/>
      <w:bookmarkEnd w:id="852"/>
      <w:bookmarkEnd w:id="853"/>
    </w:p>
    <w:p w14:paraId="751793D0" w14:textId="77777777" w:rsidR="004C5B0C" w:rsidRPr="001569FB" w:rsidRDefault="004C5B0C" w:rsidP="004C5B0C">
      <w:pPr>
        <w:spacing w:before="200"/>
        <w:contextualSpacing/>
        <w:rPr>
          <w:bCs/>
          <w:color w:val="000000"/>
        </w:rPr>
      </w:pPr>
      <w:r w:rsidRPr="001569FB">
        <w:rPr>
          <w:bCs/>
          <w:color w:val="000000"/>
        </w:rPr>
        <w:t xml:space="preserve">The outpatient hospital services category in the PBP (B9a) includes a variety of services such as observation, outpatient palliative care, and outpatient surgical services (i.e., outpatient surgical services not provided in an Ambulatory Surgical Center as defined by Original Medicare).  </w:t>
      </w:r>
      <w:r w:rsidRPr="001569FB">
        <w:t xml:space="preserve">Observation care is a highly utilized, well-defined set of specific, clinically appropriate services, which include ongoing short-term treatment, assessment, and reassessment to support plan of care decisions such as, whether a patient needs to be admitted as inpatient or may be discharged from the hospital. </w:t>
      </w:r>
      <w:r w:rsidRPr="001569FB">
        <w:rPr>
          <w:bCs/>
          <w:color w:val="000000"/>
        </w:rPr>
        <w:t xml:space="preserve"> In an effort to make the cost sharing for observation services more transparent, CMS will distinguish the cost sharing for observation services from other outpatient hospital services by modifying PBP category B9a to include separate cost sharing data entries. </w:t>
      </w:r>
    </w:p>
    <w:p w14:paraId="248E8428" w14:textId="43D63905" w:rsidR="004C5B0C" w:rsidRPr="001569FB" w:rsidRDefault="009D4953" w:rsidP="004C5B0C">
      <w:pPr>
        <w:pStyle w:val="Heading3"/>
      </w:pPr>
      <w:bookmarkStart w:id="854" w:name="_Toc493523610"/>
      <w:bookmarkStart w:id="855" w:name="_Toc495652124"/>
      <w:bookmarkStart w:id="856" w:name="_Toc505253852"/>
      <w:r>
        <w:t>Section II</w:t>
      </w:r>
      <w:r w:rsidRPr="001569FB">
        <w:t xml:space="preserve"> </w:t>
      </w:r>
      <w:r w:rsidR="004C5B0C" w:rsidRPr="001569FB">
        <w:t>Coverage of Supervised Exercise Therapy (SET) for Symptomatic Peripheral Artery Disease (PAD)</w:t>
      </w:r>
      <w:bookmarkEnd w:id="854"/>
      <w:bookmarkEnd w:id="855"/>
      <w:bookmarkEnd w:id="856"/>
    </w:p>
    <w:p w14:paraId="0A70B419" w14:textId="77777777" w:rsidR="004C5B0C" w:rsidRPr="001569FB" w:rsidRDefault="004C5B0C" w:rsidP="004C5B0C">
      <w:pPr>
        <w:spacing w:before="200"/>
      </w:pPr>
      <w:r w:rsidRPr="001569FB">
        <w:t>CMS has determined that the National Coverage Determination (NCD) requiring coverage of supervised exercise therapy (SET) for symptomatic peripheral artery disease (PAD) is considered a significant cost under 42 C.F.R. § 422.109(a)(2).  As a result, for CY 2018 only, original fee-for-service Medicare will pay for reasonable and necessary items and services obtained by beneficiaries enrolled in MA plans.  (See HPMS email, Subject titled “MAO Coverage of Supervised Exercise Therapy (SET) for Symptomatic Peripheral Artery Disease (PAD)” sent on August, 12, 2017).  For CY 2019, MAOs should account for these items and services in their bids as a basic benefit, and should not include these Medicare-covered items and services as supplemental benefits.</w:t>
      </w:r>
    </w:p>
    <w:p w14:paraId="20B9D416" w14:textId="0B7D270D" w:rsidR="004C5B0C" w:rsidRPr="001569FB" w:rsidRDefault="009D4953" w:rsidP="004C5B0C">
      <w:pPr>
        <w:pStyle w:val="Heading3"/>
      </w:pPr>
      <w:bookmarkStart w:id="857" w:name="_Toc493523611"/>
      <w:bookmarkStart w:id="858" w:name="_Toc495652125"/>
      <w:bookmarkStart w:id="859" w:name="_Toc505253853"/>
      <w:bookmarkEnd w:id="846"/>
      <w:bookmarkEnd w:id="847"/>
      <w:bookmarkEnd w:id="848"/>
      <w:bookmarkEnd w:id="849"/>
      <w:r>
        <w:t xml:space="preserve">Section </w:t>
      </w:r>
      <w:r w:rsidR="00566713">
        <w:t>I</w:t>
      </w:r>
      <w:r>
        <w:t>I</w:t>
      </w:r>
      <w:r w:rsidRPr="001569FB">
        <w:t xml:space="preserve"> </w:t>
      </w:r>
      <w:r w:rsidR="004C5B0C" w:rsidRPr="001569FB">
        <w:t>Health Related Supplemental Benefits</w:t>
      </w:r>
      <w:bookmarkEnd w:id="857"/>
      <w:bookmarkEnd w:id="858"/>
      <w:bookmarkEnd w:id="859"/>
    </w:p>
    <w:p w14:paraId="140A21E4" w14:textId="77777777" w:rsidR="004C5B0C" w:rsidRPr="001569FB" w:rsidRDefault="004C5B0C" w:rsidP="004C5B0C">
      <w:pPr>
        <w:autoSpaceDE w:val="0"/>
        <w:autoSpaceDN w:val="0"/>
        <w:adjustRightInd w:val="0"/>
        <w:spacing w:beforeLines="100" w:before="240"/>
        <w:rPr>
          <w:color w:val="000000"/>
        </w:rPr>
      </w:pPr>
      <w:r w:rsidRPr="001569FB">
        <w:rPr>
          <w:color w:val="000000"/>
        </w:rPr>
        <w:t>CMS currently defines a supplemental health care benefit in the Medicare Managed Care Manual (section 30.1) as an item or service (1) not covered by Original Medicare, (2) that is primarily health related, and (3) for which the MA plan must incur a non-zero direct medical cost.  An item or service that meets all three conditions may be proposed as a supplemental benefit in an MA plan’s bid and submitted plan benefit package. The final determination of benefit status is made by CMS during the annual benefit package review.</w:t>
      </w:r>
    </w:p>
    <w:p w14:paraId="63C2EFC2"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An item or service is primarily health related if the primary purpose of the item or service is to prevent, cure, or diminish an illness or injury. CMS has not previously allowed an item or service to be eligible as a supplemental benefit if the primary purpose is daily maintenance.  However, medical and health care research has demonstrated the value of certain items and services that can diminish the impact of injuries or health conditions and reduce avoidable emergency and health care utilization. For example, fall prevention devices can be an effective means to assist enrollees at high risk of fall and protect against the likelihood of additional injury resulting from a fall; CMS believes provision of a fall prevention device – and similar items and </w:t>
      </w:r>
      <w:r w:rsidRPr="001569FB">
        <w:rPr>
          <w:color w:val="000000"/>
        </w:rPr>
        <w:lastRenderedPageBreak/>
        <w:t xml:space="preserve">services that diminish the impact of injuries/health conditions and reduce avoidable utilization - could be provided as a supplemental benefit for a defined period of time and in certain situations. </w:t>
      </w:r>
    </w:p>
    <w:p w14:paraId="4874CDB4" w14:textId="77777777" w:rsidR="004C5B0C" w:rsidRPr="001569FB" w:rsidRDefault="004C5B0C" w:rsidP="004C5B0C">
      <w:pPr>
        <w:autoSpaceDE w:val="0"/>
        <w:autoSpaceDN w:val="0"/>
        <w:adjustRightInd w:val="0"/>
        <w:spacing w:beforeLines="100" w:before="240"/>
        <w:rPr>
          <w:color w:val="000000"/>
        </w:rPr>
      </w:pPr>
      <w:bookmarkStart w:id="860" w:name="_Toc493523612"/>
      <w:bookmarkStart w:id="861" w:name="_Toc495652126"/>
      <w:r w:rsidRPr="001569FB">
        <w:rPr>
          <w:color w:val="000000"/>
        </w:rPr>
        <w:t>CMS intends to expand the scope of the primarily health related supplemental benefit standard.  Section 1852(a)(3) permits the offering of “healthcare benefits” as supplemental benefits but does not define the term.  We therefore have authority to interpret the term more broadly than we have in the past, to permit MA plans to offer additional benefits as “supplemental benefits” so long as they are healthcare benefits.  Under our new interpretation, in order for a service or item to be “primarily health related,”  it must diagnose, prevent, or treat an illness or injury,</w:t>
      </w:r>
      <w:r w:rsidRPr="001569FB">
        <w:t xml:space="preserve"> </w:t>
      </w:r>
      <w:r w:rsidRPr="001569FB">
        <w:rPr>
          <w:color w:val="000000"/>
        </w:rPr>
        <w:t xml:space="preserve">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enhance beneficiaries’ quality of life and improve health outcomes. </w:t>
      </w:r>
    </w:p>
    <w:p w14:paraId="44043F44" w14:textId="77777777" w:rsidR="004C5B0C" w:rsidRPr="001569FB" w:rsidRDefault="004C5B0C" w:rsidP="004C5B0C">
      <w:pPr>
        <w:spacing w:beforeLines="100" w:before="240"/>
      </w:pPr>
      <w:r w:rsidRPr="001569FB">
        <w:rPr>
          <w:color w:val="000000"/>
        </w:rPr>
        <w:t xml:space="preserve">The primary purpose of an item or service will  be determined by national typical usages of most people using the item or service and by community patterns of care. To be considered healthcare benefits, supplemental benefits must focus directly on an enrollee’s healthcare needs. Supplemental benefits under this broader interpretation must be medically appropriate and ordered by a licensed provider as part of a care plan if not directly provided by one; supplemental benefits do not include items or services solely to induce enrollment.  Prior to bid submissions, CMS will issue detailed guidance for MAOs on this issue as they consider upcoming plan offerings. </w:t>
      </w:r>
      <w:r w:rsidRPr="001569FB">
        <w:t>This guidance will be based on previous stakeholder feedback and comments in response to the draft Call Letter.</w:t>
      </w:r>
    </w:p>
    <w:p w14:paraId="71FBFB7A" w14:textId="5B4FE6ED" w:rsidR="004C5B0C" w:rsidRPr="001569FB" w:rsidRDefault="009D4953" w:rsidP="004C5B0C">
      <w:pPr>
        <w:pStyle w:val="Heading3"/>
      </w:pPr>
      <w:bookmarkStart w:id="862" w:name="_Toc505253854"/>
      <w:r>
        <w:t>Section I</w:t>
      </w:r>
      <w:r w:rsidR="00566713">
        <w:t>I</w:t>
      </w:r>
      <w:r w:rsidRPr="001569FB">
        <w:t xml:space="preserve"> </w:t>
      </w:r>
      <w:r w:rsidR="004C5B0C" w:rsidRPr="001569FB">
        <w:t>Enhanced Disease Management (EDM) for Dual Eligible Special Needs Plans (D-SNPs) and Institutional Special Needs Plans (I-SNPs)</w:t>
      </w:r>
      <w:bookmarkEnd w:id="860"/>
      <w:bookmarkEnd w:id="861"/>
      <w:bookmarkEnd w:id="862"/>
    </w:p>
    <w:p w14:paraId="6AEB671C" w14:textId="77777777" w:rsidR="004C5B0C" w:rsidRPr="001569FB" w:rsidRDefault="004C5B0C" w:rsidP="004C5B0C">
      <w:pPr>
        <w:autoSpaceDE w:val="0"/>
        <w:autoSpaceDN w:val="0"/>
        <w:adjustRightInd w:val="0"/>
        <w:spacing w:before="200"/>
        <w:rPr>
          <w:color w:val="000000"/>
        </w:rPr>
      </w:pPr>
      <w:r w:rsidRPr="001569FB">
        <w:rPr>
          <w:color w:val="000000"/>
        </w:rPr>
        <w:t xml:space="preserve">Over the past several years, CMS has sought to improve care coordination and enhance the experience of care for beneficiaries, particularly those that are a part of the SNP population. We believe that specialized, targeted care through enhanced disease management programs is one way to achieve this goal. Beginning CY 2019, D-SNPs and I-SNPs may offer the EDM supplemental benefit that is currently available to Non-SNP MA plans. </w:t>
      </w:r>
    </w:p>
    <w:p w14:paraId="63DF9DAC" w14:textId="77777777" w:rsidR="004C5B0C" w:rsidRPr="001569FB" w:rsidRDefault="004C5B0C" w:rsidP="004C5B0C">
      <w:pPr>
        <w:autoSpaceDE w:val="0"/>
        <w:autoSpaceDN w:val="0"/>
        <w:adjustRightInd w:val="0"/>
        <w:spacing w:before="200"/>
        <w:rPr>
          <w:color w:val="000000"/>
        </w:rPr>
      </w:pPr>
      <w:r w:rsidRPr="001569FB">
        <w:rPr>
          <w:color w:val="000000"/>
        </w:rPr>
        <w:t xml:space="preserve">As discussed in section 30.1 of the Medicare Managed Care Manual, services in a supplemental EDM benefit would include qualified case managers with specialized knowledge about the target disease(s)/condition(s), educational activities that are focused on the target disease(s)/condition(s), and routine monitoring applicable to the target disease(s)/condition(s). The benefit may be proposed as a supplemental benefit in an MA plan’s bid and submitted plan benefit package. </w:t>
      </w:r>
    </w:p>
    <w:p w14:paraId="14B0BD1C" w14:textId="77777777" w:rsidR="004C5B0C" w:rsidRPr="001569FB" w:rsidRDefault="004C5B0C" w:rsidP="004C5B0C">
      <w:pPr>
        <w:autoSpaceDE w:val="0"/>
        <w:autoSpaceDN w:val="0"/>
        <w:adjustRightInd w:val="0"/>
        <w:spacing w:before="200"/>
        <w:rPr>
          <w:color w:val="000000"/>
        </w:rPr>
      </w:pPr>
      <w:r w:rsidRPr="001569FB">
        <w:rPr>
          <w:color w:val="000000"/>
        </w:rPr>
        <w:lastRenderedPageBreak/>
        <w:t>The EDM supplemental benefit will not be made available to Chronic Condition SNPs (C-SNPs) as it is not necessary. C-SNPs must already have comprehensive targeted disease management elements (beyond the EDM supplemental benefit requirements) in order to receive the special C-SNP designation and marketing and enrollment accommodations.</w:t>
      </w:r>
    </w:p>
    <w:p w14:paraId="5B5384AE" w14:textId="235AFDB2" w:rsidR="004C5B0C" w:rsidRPr="001569FB" w:rsidRDefault="009D4953" w:rsidP="004C5B0C">
      <w:pPr>
        <w:pStyle w:val="Heading3"/>
      </w:pPr>
      <w:bookmarkStart w:id="863" w:name="_Toc493523613"/>
      <w:bookmarkStart w:id="864" w:name="_Toc495652127"/>
      <w:bookmarkStart w:id="865" w:name="_Toc505253855"/>
      <w:r>
        <w:t>Section I</w:t>
      </w:r>
      <w:r w:rsidR="00566713">
        <w:t>I</w:t>
      </w:r>
      <w:r w:rsidRPr="001569FB">
        <w:t xml:space="preserve"> </w:t>
      </w:r>
      <w:r w:rsidR="004C5B0C" w:rsidRPr="001569FB">
        <w:t>Medicare Advantage (MA) Uniformity Flexibility</w:t>
      </w:r>
      <w:bookmarkEnd w:id="863"/>
      <w:bookmarkEnd w:id="864"/>
      <w:bookmarkEnd w:id="865"/>
    </w:p>
    <w:p w14:paraId="2E15F92E" w14:textId="77777777" w:rsidR="004C5B0C" w:rsidRPr="001569FB" w:rsidRDefault="004C5B0C" w:rsidP="004C5B0C">
      <w:bookmarkStart w:id="866" w:name="_Toc493523614"/>
      <w:bookmarkStart w:id="867" w:name="_Toc495572407"/>
      <w:bookmarkStart w:id="868" w:name="_Toc495574060"/>
      <w:bookmarkStart w:id="869" w:name="_Toc495574190"/>
      <w:bookmarkStart w:id="870" w:name="_Toc495652033"/>
      <w:bookmarkStart w:id="871" w:name="_Toc495652128"/>
      <w:r w:rsidRPr="001569FB">
        <w:t>CMS has determined that providing access to services (or specific cost sharing and/or deductibles for services or items) that is tied to health status or disease state in a manner that ensures that similarly situated individuals are treated uniformly is consistent with the uniformity requirement in the MA regulations at §422.100(d).</w:t>
      </w:r>
      <w:bookmarkEnd w:id="866"/>
      <w:bookmarkEnd w:id="867"/>
      <w:bookmarkEnd w:id="868"/>
      <w:bookmarkEnd w:id="869"/>
      <w:bookmarkEnd w:id="870"/>
      <w:bookmarkEnd w:id="871"/>
      <w:r w:rsidRPr="001569FB">
        <w:t xml:space="preserve"> We have determined that the statutory provisions at sections 1852(d)(1) and 1854(c) and the regulation at § 422.100(d) mean that we have the authority to permit MA organizations the ability to reduce cost sharing for certain covered benefits, offer specific 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Targeted supplemental benefits can be offered through a benefit package that ensures equal treatment of enrollees with the same clinical conditions for whom such services and benefits are useful consistent with section 1852’s equal access and anti-discrimination provisions, and is priced at a uniform premium consistent with the requirement for uniform bids and premiums in section 1854(c) of the Act.  CMS believes this flexibility will help MA plans better manage healthcare services for particularly vulnerable enrollees.</w:t>
      </w:r>
    </w:p>
    <w:p w14:paraId="1C0517C1" w14:textId="77777777" w:rsidR="004C5B0C" w:rsidRPr="001569FB" w:rsidRDefault="004C5B0C" w:rsidP="004C5B0C">
      <w:r w:rsidRPr="001569FB">
        <w:t>Such flexibility is not without limits, however, as section 1852(b)(1)(A) prohibits an MA plan from denying, limiting, or conditioning the coverage or provision of a service or benefit based on health-status related factors.  MA regulations (e.g., §§422.100(f)(2) and 422.110(a)) reiterate and implement this non-discrimination requirement.  In interpreting these obligations to protect against discrimination, CMS has historically indicated that the purpose of the requirements is to protect high-acuity beneficiaries from adverse treatment on the basis of their higher cost health conditions.  (79 FR 29843; 76 FR 21432; and 74 FR 54634.)  As MA plans consider implementation of flexibility in the uniformity requirement, they must be mindful of ensuring compliance with non-discrimination responsibilities and obligations.  CMS will be concerned about potential discrimination if an MA plan is targeting cost sharing reductions and additional supplemental benefits for a large number of disease conditions, while excluding other conditions, particularly higher-cost conditions.  We will review benefit designs to make sure that the overall impact is non-discriminatory and that higher acuity, higher cost enrollees are not being excluded from these targeted benefits in favor of healthier populations.</w:t>
      </w:r>
    </w:p>
    <w:p w14:paraId="0A6D09E1" w14:textId="77777777" w:rsidR="004C5B0C" w:rsidRPr="001569FB" w:rsidRDefault="004C5B0C" w:rsidP="004C5B0C">
      <w:r w:rsidRPr="001569FB">
        <w:t xml:space="preserve">Under this proposal, for example, an MA plan could identify enrollees diagnosed with specific diseases, such as diabetes, chronic heart failure, and COPD, as medically vulnerable and in need of additional services.  In identifying eligible enrollees, the MA plan must use medical criteria that are objective and measurable, and the enrollee must be diagnosed by a plan provider. </w:t>
      </w:r>
      <w:bookmarkStart w:id="872" w:name="_Toc493523615"/>
      <w:bookmarkStart w:id="873" w:name="_Toc495652129"/>
      <w:r w:rsidRPr="001569FB">
        <w:t xml:space="preserve">If an MA plan wants to propose a targeted supplemental benefit offering but has questions as to </w:t>
      </w:r>
      <w:r w:rsidRPr="001569FB">
        <w:lastRenderedPageBreak/>
        <w:t xml:space="preserve">whether or not it is allowable, CMS will establish a special mailbox following issuance of the Final Call Letter. </w:t>
      </w:r>
    </w:p>
    <w:p w14:paraId="1420AA26" w14:textId="74C36935" w:rsidR="004C5B0C" w:rsidRPr="001569FB" w:rsidRDefault="009D4953" w:rsidP="004C5B0C">
      <w:pPr>
        <w:pStyle w:val="Heading3"/>
      </w:pPr>
      <w:bookmarkStart w:id="874" w:name="_Toc505253856"/>
      <w:r>
        <w:t>Section I</w:t>
      </w:r>
      <w:r w:rsidR="00566713">
        <w:t>I</w:t>
      </w:r>
      <w:r w:rsidRPr="001569FB">
        <w:t xml:space="preserve"> </w:t>
      </w:r>
      <w:r w:rsidR="004C5B0C" w:rsidRPr="001569FB">
        <w:t>Medicare Advantage (MA) Segmented Service Area Options</w:t>
      </w:r>
      <w:bookmarkEnd w:id="874"/>
      <w:r w:rsidR="004C5B0C" w:rsidRPr="001569FB">
        <w:t xml:space="preserve"> </w:t>
      </w:r>
      <w:bookmarkEnd w:id="872"/>
      <w:bookmarkEnd w:id="873"/>
    </w:p>
    <w:p w14:paraId="442C2A21" w14:textId="77777777" w:rsidR="004C5B0C" w:rsidRPr="001569FB" w:rsidRDefault="004C5B0C" w:rsidP="004C5B0C">
      <w:bookmarkStart w:id="875" w:name="_Toc493523616"/>
      <w:bookmarkStart w:id="876" w:name="_Toc495652130"/>
      <w:bookmarkStart w:id="877" w:name="_Toc499028238"/>
      <w:r w:rsidRPr="001569FB">
        <w:t>CMS reviewed section 1854(h) of the Social Security Act (the Act) and MA regulations governing plan segments and has determined that it has the authority to allow MA plans to vary supplemental benefits, in addition to premium and cost sharing, by segment, as long as the benefits, premium, and cost sharing are uniform within each segment of an MA plan’s service area.  CMS is revising its interpretation of the regulations to allow MA plan segments to vary by supplemental benefits, premium, and cost sharing, consistent with the MA regulatory requirements defining segments at §422.262(c)(2).  Segments are defined in the MA regulations at §422.262(c)(2). MA plans can segment Part C benefits however if an MA plan offers Part D it must offer the Part D benefit uniformly within the plans service area including any segments the MA plan may have.</w:t>
      </w:r>
    </w:p>
    <w:p w14:paraId="6D5901E9" w14:textId="07A80467" w:rsidR="004C5B0C" w:rsidRPr="001569FB" w:rsidRDefault="009D4953" w:rsidP="004C5B0C">
      <w:pPr>
        <w:pStyle w:val="Heading3"/>
        <w:rPr>
          <w:rFonts w:eastAsia="Calibri"/>
        </w:rPr>
      </w:pPr>
      <w:bookmarkStart w:id="878" w:name="_Toc505253857"/>
      <w:r>
        <w:t>Section I</w:t>
      </w:r>
      <w:r w:rsidR="00566713">
        <w:t>I</w:t>
      </w:r>
      <w:r w:rsidRPr="001569FB">
        <w:rPr>
          <w:rFonts w:eastAsia="Calibri"/>
        </w:rPr>
        <w:t xml:space="preserve"> </w:t>
      </w:r>
      <w:r w:rsidR="004C5B0C" w:rsidRPr="001569FB">
        <w:rPr>
          <w:rFonts w:eastAsia="Calibri"/>
        </w:rPr>
        <w:t>Medicare Diabetes Prevention Program (MDPP) Services Clarification</w:t>
      </w:r>
      <w:bookmarkEnd w:id="875"/>
      <w:bookmarkEnd w:id="876"/>
      <w:bookmarkEnd w:id="877"/>
      <w:bookmarkEnd w:id="878"/>
    </w:p>
    <w:p w14:paraId="0AAB44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the CY 2017 Physician Fee Schedule (PFS), we finalized the nationwide expansion of the MDPP model and defined the parameters of MDPP services. The model was further defined in the CY 2018 PFS final rule. The MDPP expanded model is effective April 1, 2018. </w:t>
      </w:r>
      <w:r w:rsidRPr="001569FB">
        <w:rPr>
          <w:rFonts w:ascii="Times New Roman" w:hAnsi="Times New Roman"/>
          <w:color w:val="auto"/>
        </w:rPr>
        <w:t>The services provided under this expanded model function as</w:t>
      </w:r>
      <w:r w:rsidRPr="001569FB">
        <w:rPr>
          <w:rFonts w:ascii="Times New Roman" w:hAnsi="Times New Roman"/>
          <w:color w:val="FF0000"/>
        </w:rPr>
        <w:t xml:space="preserve"> </w:t>
      </w:r>
      <w:r w:rsidRPr="001569FB">
        <w:rPr>
          <w:rFonts w:asciiTheme="minorHAnsi" w:hAnsiTheme="minorHAnsi" w:cstheme="minorHAnsi"/>
        </w:rPr>
        <w:t>Medicare Part B covered services.</w:t>
      </w:r>
    </w:p>
    <w:p w14:paraId="676627C9" w14:textId="77777777" w:rsidR="004C5B0C" w:rsidRPr="001569FB" w:rsidRDefault="004C5B0C" w:rsidP="004C5B0C">
      <w:pPr>
        <w:spacing w:after="160"/>
        <w:rPr>
          <w:rFonts w:eastAsia="Calibri"/>
        </w:rPr>
      </w:pPr>
      <w:bookmarkStart w:id="879" w:name="_Toc493523617"/>
      <w:bookmarkStart w:id="880" w:name="_Toc495652131"/>
      <w:r w:rsidRPr="001569FB">
        <w:rPr>
          <w:rFonts w:eastAsia="Calibri"/>
        </w:rPr>
        <w:t xml:space="preserve">MDPP services consist of structured health behavior change sessions that are furnished under the MDPP expanded model with the goal of preventing diabetes among Medicare beneficiaries with prediabetes, and that follow a CDC-approved curriculum. The goal of the MDPP expanded model is to prevent the onset of type 2 diabetes in individuals with an indication of prediabetes.   Like preventive benefits and under §422.100(k), eligible Medicare beneficiaries must be covered at zero cost sharing, if in-network.  We want to ensure that MA plans are aware that while they must cover MDPP services in accordance with the MDPP regulations, they may also offer additional MDPP-like services as a supplemental benefit.  For example, although  MDPP services cannot be provided only remotely or in a 100% virtual format under current regulations as a basic benefit under Part B,  an MA plan may offer similar services in a virtual format as a supplemental benefit through the Remote Access Technology supplemental benefit.  The similar supplemental benefit does not count as the Part B covered service, but may still be offered by the plan.  </w:t>
      </w:r>
    </w:p>
    <w:p w14:paraId="5511305F" w14:textId="53BD977E" w:rsidR="004C5B0C" w:rsidRPr="001569FB" w:rsidRDefault="009D4953" w:rsidP="004C5B0C">
      <w:pPr>
        <w:pStyle w:val="Heading3"/>
      </w:pPr>
      <w:bookmarkStart w:id="881" w:name="_Toc505253858"/>
      <w:r>
        <w:t>Section I</w:t>
      </w:r>
      <w:r w:rsidR="00566713">
        <w:t>I</w:t>
      </w:r>
      <w:r w:rsidRPr="001569FB">
        <w:t xml:space="preserve"> </w:t>
      </w:r>
      <w:r w:rsidR="004C5B0C" w:rsidRPr="001569FB">
        <w:t>Special Needs Plan (SNP)-Specific Networks Research and Development</w:t>
      </w:r>
      <w:bookmarkEnd w:id="879"/>
      <w:bookmarkEnd w:id="880"/>
      <w:bookmarkEnd w:id="881"/>
    </w:p>
    <w:p w14:paraId="0F798B00" w14:textId="77777777" w:rsidR="004C5B0C" w:rsidRPr="001569FB" w:rsidRDefault="004C5B0C" w:rsidP="004C5B0C">
      <w:r w:rsidRPr="001569FB">
        <w:t>In the CY 2018 Final Call Letter, CMS announced plans to move forward on developing SNP-specific network adequacy evaluations.  CMS believes that the current network adequacy criteria and exception request process account for the unique healthcare needs and delivery patterns for Medicare Advantage (MA) beneficiaries enrolled in SNPs, including chronic condition SNPs (C-</w:t>
      </w:r>
      <w:r w:rsidRPr="001569FB">
        <w:lastRenderedPageBreak/>
        <w:t>SNPs), dual eligible SNPs (D-SNPs), and institutional SNPs (I-SNPs).  We continue to examine the need for SNP-specific network adequacy evaluations and welcome continued stakeholder feedback.</w:t>
      </w:r>
    </w:p>
    <w:p w14:paraId="44D63459" w14:textId="2B699FD5" w:rsidR="004C5B0C" w:rsidRPr="001569FB" w:rsidRDefault="009D4953" w:rsidP="004C5B0C">
      <w:pPr>
        <w:pStyle w:val="Heading3"/>
      </w:pPr>
      <w:bookmarkStart w:id="882" w:name="_Toc493523618"/>
      <w:bookmarkStart w:id="883" w:name="_Toc495652132"/>
      <w:bookmarkStart w:id="884" w:name="_Toc505253859"/>
      <w:r>
        <w:t>Section I</w:t>
      </w:r>
      <w:r w:rsidR="00566713">
        <w:t>I</w:t>
      </w:r>
      <w:r w:rsidRPr="001569FB">
        <w:t xml:space="preserve"> </w:t>
      </w:r>
      <w:r w:rsidR="004C5B0C" w:rsidRPr="001569FB">
        <w:t>Rewards and Incentives for Completion of a Health Risk Assessment (HRA)</w:t>
      </w:r>
      <w:bookmarkEnd w:id="882"/>
      <w:bookmarkEnd w:id="883"/>
      <w:bookmarkEnd w:id="884"/>
    </w:p>
    <w:p w14:paraId="68A320C2" w14:textId="77777777" w:rsidR="004C5B0C" w:rsidRPr="001569FB" w:rsidRDefault="004C5B0C" w:rsidP="004C5B0C">
      <w:pPr>
        <w:spacing w:before="200"/>
        <w:rPr>
          <w:rFonts w:eastAsia="Calibri"/>
        </w:rPr>
      </w:pPr>
      <w:r w:rsidRPr="001569FB">
        <w:rPr>
          <w:rFonts w:eastAsia="Calibri"/>
        </w:rPr>
        <w:t xml:space="preserve">Regulations at </w:t>
      </w:r>
      <w:r w:rsidRPr="001569FB">
        <w:t>§</w:t>
      </w:r>
      <w:r w:rsidRPr="001569FB">
        <w:rPr>
          <w:rFonts w:eastAsia="Calibri"/>
        </w:rPr>
        <w:t xml:space="preserve">422.134 allow MA plans to create Rewards and Incentives (RI) Programs that provide rewards and incentives to enrollees for participation in activities that focus on promoting improved health, preventing injuries and illness, and promoting efficient use of healthcare resources. Under §422.112(b)(4)(i), all MA plans musts make a best effort to conduct an initial assessment of each enrollee’s healthcare needs within 90 days of the effective date of enrollment. Finally, regulations at </w:t>
      </w:r>
      <w:r w:rsidRPr="001569FB">
        <w:t>§</w:t>
      </w:r>
      <w:r w:rsidRPr="001569FB">
        <w:rPr>
          <w:rFonts w:eastAsia="Calibri"/>
        </w:rPr>
        <w:t xml:space="preserve">422.101(f)(1)(i) require all SNPs to perform a comprehensive initial HRA within the first 90 days of enrollment and conduct reassessments annually thereafter. </w:t>
      </w:r>
    </w:p>
    <w:p w14:paraId="552C97EE" w14:textId="77777777" w:rsidR="004C5B0C" w:rsidRPr="001569FB" w:rsidRDefault="004C5B0C" w:rsidP="004C5B0C">
      <w:pPr>
        <w:spacing w:before="200"/>
        <w:rPr>
          <w:rFonts w:eastAsia="Calibri"/>
        </w:rPr>
      </w:pPr>
      <w:r w:rsidRPr="001569FB">
        <w:rPr>
          <w:rFonts w:eastAsia="Calibri"/>
        </w:rPr>
        <w:t>Completion of a federally mandated survey, though arguably a health-related activity, may not be included in an RI Program because of the potential for biased responses due to the influence of rewards and incentives. CMS has previously included HRAs in this exclusion because of §§422.112 and 422.101. However, CMS also believes a completed HRA is vital to proper care management, improved health, and promotes the efficient use of healthcare resources – so much so that, beginning in CY 2014, CMS included SNPs’ HRA timeliness and completion rates as factors in the Star Ratings methodology. CMS now also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w:t>
      </w:r>
    </w:p>
    <w:p w14:paraId="2ACD5D0E" w14:textId="77777777" w:rsidR="004C5B0C" w:rsidRPr="001569FB" w:rsidRDefault="004C5B0C" w:rsidP="004C5B0C">
      <w:pPr>
        <w:spacing w:before="200"/>
        <w:rPr>
          <w:rFonts w:eastAsia="Calibri"/>
        </w:rPr>
      </w:pPr>
      <w:bookmarkStart w:id="885" w:name="_Toc493523619"/>
      <w:bookmarkStart w:id="886" w:name="_Toc495652133"/>
      <w:r w:rsidRPr="001569FB">
        <w:rPr>
          <w:rFonts w:eastAsia="Calibri"/>
        </w:rPr>
        <w:t xml:space="preserve">Therefore, beginning CY 2019, MA plans may include the completion of an HRA as a permitted health-related activity in an RI Program.  An RI Program is not a benefit but it must be included in the bid as a non-benefit expense. See section 100 of Chapter 4 of the Medicare Managed Care Manual for more information about rewards and incentives. </w:t>
      </w:r>
    </w:p>
    <w:p w14:paraId="2377A287" w14:textId="0E2566CE" w:rsidR="004C5B0C" w:rsidRPr="001569FB" w:rsidRDefault="009D4953" w:rsidP="004C5B0C">
      <w:pPr>
        <w:pStyle w:val="Heading3"/>
      </w:pPr>
      <w:bookmarkStart w:id="887" w:name="_Toc505253860"/>
      <w:r>
        <w:t>Section I</w:t>
      </w:r>
      <w:r w:rsidR="00566713">
        <w:t>I</w:t>
      </w:r>
      <w:r w:rsidRPr="001569FB">
        <w:t xml:space="preserve"> </w:t>
      </w:r>
      <w:r w:rsidR="004C5B0C" w:rsidRPr="001569FB">
        <w:t>Cost Plan Transition to MA under MACRA</w:t>
      </w:r>
      <w:bookmarkEnd w:id="885"/>
      <w:bookmarkEnd w:id="886"/>
      <w:bookmarkEnd w:id="887"/>
    </w:p>
    <w:p w14:paraId="3FA2D09C" w14:textId="77777777" w:rsidR="004C5B0C" w:rsidRPr="001569FB" w:rsidRDefault="004C5B0C" w:rsidP="004C5B0C">
      <w:pPr>
        <w:spacing w:before="200"/>
        <w:rPr>
          <w:rFonts w:eastAsia="Calibri"/>
        </w:rPr>
      </w:pPr>
      <w:r w:rsidRPr="001569FB">
        <w:rPr>
          <w:rFonts w:eastAsia="Calibri"/>
        </w:rPr>
        <w:t xml:space="preserve">CMS wants to remind cost plan entities that they must complete the transition to MA by contract year 2019 in order to deem their cost enrollees into an affiliated MA plan offered by the organization under the Medicare Access and CHIP Reauthorization Act of 2015 (MACRA) cost transition requirements.  In connection with the transition of cost to MA, MACRA also delayed the implementation of the cost plan competition requirements through contract year 2018.  </w:t>
      </w:r>
    </w:p>
    <w:p w14:paraId="6429DA05" w14:textId="77777777" w:rsidR="004C5B0C" w:rsidRPr="001569FB" w:rsidRDefault="004C5B0C" w:rsidP="004C5B0C">
      <w:pPr>
        <w:spacing w:before="200"/>
        <w:rPr>
          <w:rFonts w:eastAsia="Calibri"/>
        </w:rPr>
      </w:pPr>
      <w:bookmarkStart w:id="888" w:name="_Toc493523620"/>
      <w:bookmarkStart w:id="889" w:name="_Toc495652134"/>
      <w:r w:rsidRPr="001569FB">
        <w:rPr>
          <w:rFonts w:eastAsia="Calibri"/>
        </w:rPr>
        <w:t>MACRA specifies notification, enrollment, and benefit  requirements that transitioning cost plans must follow in order to be eligible for deeming enrollees, which are generally codified as amendments to section 1876(h) of the Act.  In addition, the transitioning cost plan (if it is to receive the deemed enrollment instead of an existing affiliated MA plan) must meet all contracting requirements necessary to become an MA plan.</w:t>
      </w:r>
    </w:p>
    <w:p w14:paraId="349DDA7E" w14:textId="77777777" w:rsidR="004C5B0C" w:rsidRPr="001569FB" w:rsidRDefault="004C5B0C" w:rsidP="004C5B0C">
      <w:pPr>
        <w:spacing w:before="200"/>
        <w:rPr>
          <w:rFonts w:eastAsia="Calibri"/>
        </w:rPr>
      </w:pPr>
      <w:r w:rsidRPr="001569FB">
        <w:rPr>
          <w:rFonts w:eastAsia="Calibri"/>
        </w:rPr>
        <w:lastRenderedPageBreak/>
        <w:t>Any plan wishing to deem enrollees from its cost plan to one of its MA plans under the MACRA provisions must notify CMS of that intention via the HPMS crosswalk process.  This may be completed as early as May of 2018 for enrollments in 2019, the final contract year for deeming enrollment from a non-renewing cost plan to an affiliated MA plan.  All crosswalks must be completed by the time the bid is due, unless a plan qualifies to submit a crosswalk during the exceptions window.  Plans are responsible for following all contracting, enrollment, and other transition guidance released by CMS.</w:t>
      </w:r>
    </w:p>
    <w:p w14:paraId="26D3E419" w14:textId="77777777" w:rsidR="004C5B0C" w:rsidRPr="001569FB" w:rsidRDefault="004C5B0C" w:rsidP="004C5B0C">
      <w:pPr>
        <w:spacing w:before="200"/>
        <w:rPr>
          <w:rFonts w:eastAsia="Calibri"/>
        </w:rPr>
      </w:pPr>
      <w:r w:rsidRPr="001569FB">
        <w:rPr>
          <w:rFonts w:eastAsia="Calibri"/>
        </w:rPr>
        <w:t xml:space="preserve">CMS has released guidance on the requirements of the cost plan transition which is available at the following link: </w:t>
      </w:r>
      <w:hyperlink r:id="rId63" w:history="1">
        <w:r w:rsidRPr="001569FB">
          <w:rPr>
            <w:rFonts w:eastAsia="Calibri"/>
            <w:color w:val="0000FF"/>
            <w:u w:val="single"/>
          </w:rPr>
          <w:t>https://www.cms.gov/Medicare/Health-Plans/MedicareCostPlans/index.html</w:t>
        </w:r>
      </w:hyperlink>
      <w:r w:rsidRPr="001569FB">
        <w:rPr>
          <w:rFonts w:eastAsia="Calibri"/>
        </w:rPr>
        <w:t xml:space="preserve"> </w:t>
      </w:r>
    </w:p>
    <w:p w14:paraId="29E26222" w14:textId="4BE597B2" w:rsidR="004C5B0C" w:rsidRPr="001569FB" w:rsidRDefault="009D4953" w:rsidP="004C5B0C">
      <w:pPr>
        <w:pStyle w:val="Heading3"/>
      </w:pPr>
      <w:bookmarkStart w:id="890" w:name="_Toc505253861"/>
      <w:r>
        <w:t>Section I</w:t>
      </w:r>
      <w:r w:rsidR="00566713">
        <w:t>I</w:t>
      </w:r>
      <w:r w:rsidRPr="001569FB">
        <w:t xml:space="preserve"> </w:t>
      </w:r>
      <w:r w:rsidR="004C5B0C" w:rsidRPr="001569FB">
        <w:t>Cost Plan Competition Requirements</w:t>
      </w:r>
      <w:bookmarkEnd w:id="888"/>
      <w:bookmarkEnd w:id="889"/>
      <w:bookmarkEnd w:id="890"/>
    </w:p>
    <w:p w14:paraId="6CDB7E07" w14:textId="77777777" w:rsidR="004C5B0C" w:rsidRPr="001569FB" w:rsidRDefault="004C5B0C" w:rsidP="004C5B0C">
      <w:pPr>
        <w:spacing w:before="200"/>
        <w:rPr>
          <w:rFonts w:eastAsia="Calibri"/>
        </w:rPr>
      </w:pPr>
      <w:bookmarkStart w:id="891" w:name="_Toc493523621"/>
      <w:bookmarkStart w:id="892" w:name="_Toc495652135"/>
      <w:r w:rsidRPr="001569FB">
        <w:rPr>
          <w:rFonts w:eastAsia="Calibri"/>
        </w:rPr>
        <w:t xml:space="preserve">CMS wants to remind MAOs that the cost plan competition requirements will first be effective in 2019, that is, cost plans affected by these requirements will first be unable to offer a cost plan in a service area or portion of a service area in contract year 2019.  Under amendments to section 1876(h)(5)(C) of the Act, implementation of the cost plan competition requirements was delayed until the end of contract year 2018 by MACRA.  </w:t>
      </w:r>
    </w:p>
    <w:p w14:paraId="3B7EBDEA" w14:textId="77777777" w:rsidR="004C5B0C" w:rsidRPr="001569FB" w:rsidRDefault="004C5B0C" w:rsidP="004C5B0C">
      <w:pPr>
        <w:spacing w:before="200"/>
        <w:rPr>
          <w:rFonts w:eastAsia="Calibri"/>
        </w:rPr>
      </w:pPr>
      <w:r w:rsidRPr="001569FB">
        <w:rPr>
          <w:rFonts w:eastAsia="Calibri"/>
        </w:rPr>
        <w:t>CMS will non-renew any portion of a cost plan’s service area if there are at least two competing MA local or two MA regional coordinated care plans with a minimum of 5,000 enrollees (urban areas) or 1,500 enrollees (non-urban areas) for the entire year prior to the non-renewal. We used 2017 enrollment data to determine the cost plans subject to non-renewal pursuant to section 1876(h)(5)(C). CMS provided the results of the competition analysis to each cost contract in December, 2017.</w:t>
      </w:r>
    </w:p>
    <w:p w14:paraId="08489F17" w14:textId="41F95D9B" w:rsidR="004C5B0C" w:rsidRPr="001569FB" w:rsidRDefault="009D4953" w:rsidP="004C5B0C">
      <w:pPr>
        <w:pStyle w:val="Heading3"/>
      </w:pPr>
      <w:bookmarkStart w:id="893" w:name="_Toc505253862"/>
      <w:r>
        <w:t>Section I</w:t>
      </w:r>
      <w:r w:rsidR="00566713">
        <w:t>I</w:t>
      </w:r>
      <w:r w:rsidRPr="001569FB">
        <w:t xml:space="preserve"> </w:t>
      </w:r>
      <w:r w:rsidR="004C5B0C" w:rsidRPr="001569FB">
        <w:t>Improving Beneficiary Communications and Reducing Burden for Integrated D</w:t>
      </w:r>
      <w:r w:rsidR="004C5B0C" w:rsidRPr="001569FB">
        <w:noBreakHyphen/>
        <w:t>SNPs</w:t>
      </w:r>
      <w:bookmarkEnd w:id="891"/>
      <w:bookmarkEnd w:id="892"/>
      <w:bookmarkEnd w:id="893"/>
    </w:p>
    <w:p w14:paraId="650BEA1A" w14:textId="77777777" w:rsidR="004C5B0C" w:rsidRPr="001569FB" w:rsidRDefault="004C5B0C" w:rsidP="004C5B0C">
      <w:r w:rsidRPr="001569FB">
        <w:t xml:space="preserve">CMS continues to seek opportunities to maximize the potential for D-SNPs to align benefits and improve coordination for Medicare-Medicaid enrollees.  In previous Call Letter cycles, we sought stakeholder input on a variety of opportunities for greater integration and coordination.  Based on that feedback, CMS has identified certain priority areas for further integration for interested states and plans.  We have begun to work on some of these priorities – including with regard to oversight, integrated model materials, non-renewals, and models of care – with certain states and welcome the opportunity to expand this work and to partner with additional states in which there are integrated D-SNP products available to Medicare-Medicaid enrollees.  </w:t>
      </w:r>
    </w:p>
    <w:p w14:paraId="1520E2DB" w14:textId="77777777" w:rsidR="004C5B0C" w:rsidRPr="001569FB" w:rsidRDefault="004C5B0C" w:rsidP="004C5B0C">
      <w:r w:rsidRPr="001569FB">
        <w:t>We have identified the following specific areas in which administrative alignment for integrated D-SNPs is currently feasible within existing statutory, regulatory,  and operational constraints:</w:t>
      </w:r>
    </w:p>
    <w:p w14:paraId="29ABA541" w14:textId="77777777" w:rsidR="004C5B0C" w:rsidRPr="001569FB" w:rsidRDefault="004C5B0C" w:rsidP="00AC78D9">
      <w:pPr>
        <w:pStyle w:val="ListParagraph"/>
        <w:numPr>
          <w:ilvl w:val="0"/>
          <w:numId w:val="37"/>
        </w:numPr>
        <w:spacing w:before="199"/>
        <w:contextualSpacing w:val="0"/>
      </w:pPr>
      <w:r w:rsidRPr="001569FB">
        <w:rPr>
          <w:b/>
        </w:rPr>
        <w:t>Oversight</w:t>
      </w:r>
      <w:r w:rsidRPr="001569FB">
        <w:t>:  Improving CMS-state communication and information sharing as permitted by applicable law to improve oversight and administration of D-SNP contracts.</w:t>
      </w:r>
    </w:p>
    <w:p w14:paraId="38EF8335" w14:textId="77777777" w:rsidR="004C5B0C" w:rsidRPr="001569FB" w:rsidRDefault="004C5B0C" w:rsidP="00AC78D9">
      <w:pPr>
        <w:pStyle w:val="ListParagraph"/>
        <w:numPr>
          <w:ilvl w:val="0"/>
          <w:numId w:val="37"/>
        </w:numPr>
        <w:spacing w:before="199"/>
        <w:contextualSpacing w:val="0"/>
      </w:pPr>
      <w:r w:rsidRPr="001569FB">
        <w:rPr>
          <w:b/>
        </w:rPr>
        <w:lastRenderedPageBreak/>
        <w:t>Integrated model materials</w:t>
      </w:r>
      <w:r w:rsidRPr="001569FB">
        <w:t>: Collaborating with states to develop a set of model materials with integrated benefit information for use by integrated D-SNPs.  In response to previous stakeholder comments on this topic we have prioritized the following materials:</w:t>
      </w:r>
    </w:p>
    <w:p w14:paraId="578964DD" w14:textId="77777777" w:rsidR="004C5B0C" w:rsidRPr="001569FB" w:rsidRDefault="004C5B0C" w:rsidP="00AC78D9">
      <w:pPr>
        <w:pStyle w:val="ListParagraph"/>
        <w:numPr>
          <w:ilvl w:val="1"/>
          <w:numId w:val="37"/>
        </w:numPr>
        <w:spacing w:before="199"/>
        <w:ind w:left="1170"/>
        <w:contextualSpacing w:val="0"/>
      </w:pPr>
      <w:r w:rsidRPr="001569FB">
        <w:rPr>
          <w:b/>
          <w:i/>
        </w:rPr>
        <w:t>Summary of Benefits</w:t>
      </w:r>
      <w:r w:rsidRPr="001569FB">
        <w:t>.  The Summary of Benefits (SB) is a brief summary of plan benefits and cost-sharing which, as described in sections 30.6, 100.1, and 100.2.2 of the Medicare Marketing Guidelines (MMG) (interpreting §422.111), must be posted on MA plan websites by September 30 each year, provided with any enrollment form, and available upon request to members. Starting with the CY 2017 cycle, integrated D-SNPs have had flexibility to display integrated Medicare and Medicaid benefits, as applicable, in their SBs.</w:t>
      </w:r>
      <w:r w:rsidRPr="001569FB">
        <w:rPr>
          <w:rStyle w:val="FootnoteReference"/>
        </w:rPr>
        <w:footnoteReference w:id="26"/>
      </w:r>
      <w:r w:rsidRPr="001569FB">
        <w:t xml:space="preserve"> CMS worked with Minnesota to  develop model SB language for integrated D-SNPs to use there in CY 2018 and, based on that work, is working with Massachusetts to develop similar model language for integrated D-SNPs to use in that state for CY 2019.  </w:t>
      </w:r>
    </w:p>
    <w:p w14:paraId="4CEF5F9B" w14:textId="77777777" w:rsidR="004C5B0C" w:rsidRPr="001569FB" w:rsidRDefault="004C5B0C" w:rsidP="00AC78D9">
      <w:pPr>
        <w:pStyle w:val="ListParagraph"/>
        <w:numPr>
          <w:ilvl w:val="1"/>
          <w:numId w:val="37"/>
        </w:numPr>
        <w:spacing w:before="199"/>
        <w:ind w:left="1170"/>
        <w:contextualSpacing w:val="0"/>
      </w:pPr>
      <w:r w:rsidRPr="001569FB">
        <w:rPr>
          <w:b/>
          <w:i/>
        </w:rPr>
        <w:t>Annual Notice of Change (ANOC)/Evidence of Coverage (EOC)</w:t>
      </w:r>
      <w:r w:rsidRPr="001569FB">
        <w:t>.  Plans must send an ANOC summarizing changes to plan benefits for the upcoming contract year to current enrollees for receipt by September 30 each year under §422.111.  In addition, plans must provide – at the time of enrollment and annually thereafter – an EOC containing detailed plan and benefits information..  Starting with the CY 2018 cycle, the standardized ANOC and EOC models for D-SNPs include new opportunities for integrating Medicare and Medicaid benefit descriptions similar to those available in the SB guidance.</w:t>
      </w:r>
    </w:p>
    <w:p w14:paraId="163397AD" w14:textId="77777777" w:rsidR="004C5B0C" w:rsidRPr="001569FB" w:rsidRDefault="004C5B0C" w:rsidP="00AC78D9">
      <w:pPr>
        <w:pStyle w:val="ListParagraph"/>
        <w:numPr>
          <w:ilvl w:val="1"/>
          <w:numId w:val="37"/>
        </w:numPr>
        <w:spacing w:before="199"/>
        <w:ind w:left="1170"/>
        <w:contextualSpacing w:val="0"/>
      </w:pPr>
      <w:r w:rsidRPr="001569FB">
        <w:rPr>
          <w:b/>
          <w:i/>
        </w:rPr>
        <w:t>Provider and Pharmacy Directory</w:t>
      </w:r>
      <w:r w:rsidRPr="001569FB">
        <w:t xml:space="preserve">.  Plans must make network provider and pharmacy information available at the time of enrollment and annually thereafter (by posting on the plan website by September 30 and making hard copies available).  Based on our work with Medicare-Medicaid Plans and with D-SNPs in the Minnesota Demonstration to Align Administrative Functions for Improvements in Beneficiary Experience, we believe that inclusion of all available providers – including those offering services only covered through Medicaid – in one document will facilitate beneficiary understanding of both their Medicare and Medicaid provider choices and streamline health plan processes. For the last several contract years, CMS has worked with Minnesota to develop model language, based on MMP templates that would allow health plans to integrate this information into one document for use in that state that satisfies both Medicare and Medicaid regulatory </w:t>
      </w:r>
      <w:r w:rsidRPr="001569FB">
        <w:lastRenderedPageBreak/>
        <w:t>requirements. Based on that work, we are working with Massachusetts to develop similar model language for integrated D-SNPs to use in that state for CY 2019.</w:t>
      </w:r>
    </w:p>
    <w:p w14:paraId="544E7D92" w14:textId="77777777" w:rsidR="004C5B0C" w:rsidRPr="001569FB" w:rsidRDefault="004C5B0C" w:rsidP="00AC78D9">
      <w:pPr>
        <w:pStyle w:val="ListParagraph"/>
        <w:numPr>
          <w:ilvl w:val="1"/>
          <w:numId w:val="37"/>
        </w:numPr>
        <w:spacing w:before="199"/>
        <w:ind w:left="1170"/>
        <w:contextualSpacing w:val="0"/>
      </w:pPr>
      <w:r w:rsidRPr="001569FB">
        <w:rPr>
          <w:b/>
          <w:i/>
        </w:rPr>
        <w:t>Formulary.</w:t>
      </w:r>
      <w:r w:rsidRPr="001569FB">
        <w:t xml:space="preserve">  Plans must make a formulary available at the time of enrollment and annually thereafter (by posting on the plan website by September 30 and making hard copies available).  Similar to directories, we believe integration of Part D and Medicaid-covered prescription and over-the-counter drug/product information in one document is beneficial to both plan enrollees and to health plans.  As with the SB and directory, CMS has some experience developing model materials for integrated D-SNPs in Minnesota and is working with Massachusetts to develop integrated formulary model language for integrated D-SNPs to use in that state for CY 2019.</w:t>
      </w:r>
    </w:p>
    <w:p w14:paraId="62342CF1" w14:textId="77777777" w:rsidR="004C5B0C" w:rsidRPr="001569FB" w:rsidRDefault="004C5B0C" w:rsidP="00AC78D9">
      <w:pPr>
        <w:pStyle w:val="ListParagraph"/>
        <w:numPr>
          <w:ilvl w:val="0"/>
          <w:numId w:val="37"/>
        </w:numPr>
        <w:spacing w:before="199"/>
        <w:contextualSpacing w:val="0"/>
      </w:pPr>
      <w:bookmarkStart w:id="894" w:name="_Toc493523622"/>
      <w:bookmarkStart w:id="895" w:name="_Toc495652136"/>
      <w:r w:rsidRPr="001569FB">
        <w:rPr>
          <w:b/>
        </w:rPr>
        <w:t>D-SNP Non-Renewals</w:t>
      </w:r>
      <w:r w:rsidRPr="001569FB">
        <w:t xml:space="preserve">: Coordinating state and CMS communications and processes for D-SNP non-renewals, including working with states and plans to develop state-specific integrated non-renewal notices that include information about changes in the delivery of Medicaid benefits that will accompany the non-renewal of an integrated D-SNP. </w:t>
      </w:r>
    </w:p>
    <w:p w14:paraId="06AD10C4" w14:textId="77777777" w:rsidR="004C5B0C" w:rsidRPr="001569FB" w:rsidRDefault="004C5B0C" w:rsidP="00AC78D9">
      <w:pPr>
        <w:pStyle w:val="ListParagraph"/>
        <w:numPr>
          <w:ilvl w:val="0"/>
          <w:numId w:val="37"/>
        </w:numPr>
        <w:spacing w:before="199" w:after="200"/>
        <w:contextualSpacing w:val="0"/>
      </w:pPr>
      <w:r w:rsidRPr="001569FB">
        <w:rPr>
          <w:b/>
        </w:rPr>
        <w:t>Model of Care:</w:t>
      </w:r>
      <w:r w:rsidRPr="001569FB">
        <w:t xml:space="preserve">  Providing technical assistance to states on the implementation of more robust D-SNP model of care (MOC) submissions that incorporate information about the integration of Medicare and Medicaid Managed Long Term Services and Supports (MLTSS). States interested in requiring their contracted D-SNPs to include additional information in their Model of Care (MOC) submissions about the provision of MLTSS and their integration with the medical and prescription drug benefits the plans provide under their Medicare contract may do so via their State Medicaid Agency contracts (which are required for all D-SNPs under 42 CFR §422.107). CMS offers interested states with integrated D-SNPs the opportunity to work with such contracted D-SNPs to include additional information in MOC submissions and to review the integrated MOC submissions concurrent with the review of the plans’ MOCs by the National Committee for Quality Assurance pursuant to 42 CFR §422.152(g).  </w:t>
      </w:r>
    </w:p>
    <w:p w14:paraId="3868E24E" w14:textId="77777777" w:rsidR="004C5B0C" w:rsidRPr="001569FB" w:rsidRDefault="004C5B0C" w:rsidP="00CB7A65">
      <w:pPr>
        <w:pStyle w:val="ListParagraph"/>
        <w:spacing w:after="200"/>
        <w:contextualSpacing w:val="0"/>
      </w:pPr>
      <w:r w:rsidRPr="001569FB">
        <w:t xml:space="preserve">We have successfully implemented an integrated MOC submission and review process with MMPs under the Financial Alignment Initiative, as well as with the D-SNPs participating in the Minnesota Demonstration to Align Administrative Functions for Improvements in Beneficiary Experience since 2014. As part of that effort, Minnesota has required plans to add information to their MOC submissions about how the training for care coordinators incorporates the state’s MLTSS requirements; how the state MLTSS assessment and level of care tools are coordinated with the Health Risk Assessment process; and how the Individualized Care Plan (ICP) integrates Medicare and Medicaid services, including MLTSS, addresses the process for coordinating medical and social services identified in the ICP, and addresses state-required MLTSS care plan elements. Minnesota also requires that the MOC include information about Medicare and Medicaid services, including MLTSS, are communicated from the MLTSS care </w:t>
      </w:r>
      <w:r w:rsidRPr="001569FB">
        <w:lastRenderedPageBreak/>
        <w:t xml:space="preserve">coordinator to primary care or home health providers; how clinical practice guidelines are appropriate for and tailored to differences in frailty levels, including for members receiving MLTSS; and the measures the D-SNP uses that are tailored to the frail elderly, including those receiving MLTSS, and how these measures account for differences in care delivery models.  </w:t>
      </w:r>
    </w:p>
    <w:p w14:paraId="2ABE9F88" w14:textId="77777777" w:rsidR="004C5B0C" w:rsidRPr="001569FB" w:rsidRDefault="004C5B0C" w:rsidP="00CB7A65">
      <w:pPr>
        <w:pStyle w:val="ListParagraph"/>
        <w:spacing w:after="200"/>
        <w:contextualSpacing w:val="0"/>
      </w:pPr>
      <w:r w:rsidRPr="001569FB">
        <w:t xml:space="preserve">We emphasize that any collaboration between CMS and states in this area will maintain the integrity of the CMS MOC requirements and of NCQA’s review of MOCs under 42 CFR §422.152(g). </w:t>
      </w:r>
    </w:p>
    <w:p w14:paraId="6DFAEC09" w14:textId="77777777" w:rsidR="004C5B0C" w:rsidRPr="001569FB" w:rsidRDefault="004C5B0C" w:rsidP="00CB7A65">
      <w:pPr>
        <w:spacing w:after="200"/>
        <w:ind w:left="720"/>
      </w:pPr>
      <w:r w:rsidRPr="001569FB">
        <w:t xml:space="preserve">CMS is interested in working with additional states to pursue similar efforts via additional requirements in the State Medicaid Agency Contracts and in providing technical assistance to such states. We welcome comments about the opportunities identified above, as well as any others.  We are particularly interested in hearing from states interested in working with CMS to develop comprehensive administrative alignment work plans that include some or all of the options identified above.  </w:t>
      </w:r>
    </w:p>
    <w:p w14:paraId="4E3E07FC" w14:textId="77777777" w:rsidR="004C5B0C" w:rsidRPr="001569FB" w:rsidRDefault="004C5B0C" w:rsidP="00CB7A65">
      <w:pPr>
        <w:spacing w:after="200"/>
        <w:ind w:left="720"/>
      </w:pPr>
      <w:r w:rsidRPr="001569FB">
        <w:t xml:space="preserve">We remind states that we are happy to discuss these and other opportunities to promote integration and better beneficiary experiences. We are also available to work with states on issues related to the required contracting between states and D-SNPs. Interested state Medicaid officials should contact the Medicare-Medicaid Coordination Office at: </w:t>
      </w:r>
      <w:hyperlink r:id="rId64" w:history="1">
        <w:r w:rsidRPr="001569FB">
          <w:rPr>
            <w:rStyle w:val="Hyperlink"/>
          </w:rPr>
          <w:t>mmcocapsmodel@cms.hhs.gov</w:t>
        </w:r>
      </w:hyperlink>
      <w:r w:rsidRPr="001569FB">
        <w:t xml:space="preserve">.  </w:t>
      </w:r>
    </w:p>
    <w:p w14:paraId="3CC52BFC" w14:textId="1688EA43" w:rsidR="004C5B0C" w:rsidRPr="001569FB" w:rsidRDefault="009D4953" w:rsidP="004C5B0C">
      <w:pPr>
        <w:pStyle w:val="Heading3"/>
      </w:pPr>
      <w:bookmarkStart w:id="896" w:name="_Toc493523623"/>
      <w:bookmarkStart w:id="897" w:name="_Toc495652137"/>
      <w:bookmarkStart w:id="898" w:name="_Toc505253863"/>
      <w:bookmarkEnd w:id="894"/>
      <w:bookmarkEnd w:id="895"/>
      <w:r>
        <w:t xml:space="preserve">Section </w:t>
      </w:r>
      <w:r w:rsidR="00566713">
        <w:t>I</w:t>
      </w:r>
      <w:r>
        <w:t>I</w:t>
      </w:r>
      <w:r w:rsidRPr="001569FB">
        <w:t xml:space="preserve"> </w:t>
      </w:r>
      <w:r w:rsidR="004C5B0C" w:rsidRPr="001569FB">
        <w:t>Parts A and B Cost-sharing for Individuals Enrolled in the Qualified Medicare Beneficiary (QMB) Program</w:t>
      </w:r>
      <w:bookmarkEnd w:id="896"/>
      <w:bookmarkEnd w:id="897"/>
      <w:bookmarkEnd w:id="898"/>
    </w:p>
    <w:p w14:paraId="7335296D" w14:textId="77777777" w:rsidR="004C5B0C" w:rsidRPr="001569FB" w:rsidRDefault="004C5B0C" w:rsidP="00CB7A65">
      <w:pPr>
        <w:spacing w:after="200"/>
      </w:pPr>
      <w:r w:rsidRPr="001569FB">
        <w:t>In the 2016 Call Letter, CMS reminded plans of their obligations under 42 CFR §422.504(g)(1)(iii) to educate network providers about QMB billing rules and to maintain procedures that ensure network providers do not discriminate against enrollees based on their payment status, e.g., QMB.</w:t>
      </w:r>
      <w:r w:rsidRPr="001569FB">
        <w:rPr>
          <w:rStyle w:val="FootnoteReference"/>
        </w:rPr>
        <w:footnoteReference w:id="27"/>
      </w:r>
      <w:r w:rsidRPr="001569FB">
        <w:t xml:space="preserve">  During summer 2016, </w:t>
      </w:r>
      <w:r w:rsidRPr="001569FB">
        <w:rPr>
          <w:sz w:val="22"/>
        </w:rPr>
        <w:t>CMS</w:t>
      </w:r>
      <w:r w:rsidRPr="001569FB">
        <w:t xml:space="preserve"> engaged in strategic conversations with MA organizations to discover their technical assistance needs and learn about concrete strategies to promote compliance. During this process and in follow-up, MA organizations have asked for CMS help to identify the QMB status of enrollees and to recommend promising practices regarding QMB billing.  </w:t>
      </w:r>
    </w:p>
    <w:p w14:paraId="5983345B" w14:textId="77777777" w:rsidR="004C5B0C" w:rsidRPr="001569FB" w:rsidRDefault="004C5B0C" w:rsidP="00CB7A65">
      <w:pPr>
        <w:spacing w:after="200"/>
        <w:rPr>
          <w:i/>
        </w:rPr>
      </w:pPr>
      <w:r w:rsidRPr="001569FB">
        <w:t xml:space="preserve">The QMB Program is a Medicaid benefit that pays Medicare premiums and cost sharing for certain low-income Medicare beneficiaries.  Federal law prohibits Medicare providers from collecting Medicare Part A and Part B coinsurance, copayments, and deductibles from those enrolled in the QMB Program, including those enrolled in Medicare Advantage and other Part C plans.  Timely access to enrollees’ QMB status is critical to inform, monitor, and promote </w:t>
      </w:r>
      <w:r w:rsidRPr="001569FB">
        <w:lastRenderedPageBreak/>
        <w:t>provider compliance with these requirements. In June 2017, CMS informed plans about CMS sources of QMB information, including the Medicare Advantage Medicaid Status Data File, which</w:t>
      </w:r>
      <w:r w:rsidRPr="001569FB">
        <w:rPr>
          <w:color w:val="000000"/>
        </w:rPr>
        <w:t xml:space="preserve"> provides the most current information about monthly dual status, including QMB, and corresponding dual status codes.</w:t>
      </w:r>
      <w:r w:rsidRPr="001569FB">
        <w:rPr>
          <w:rStyle w:val="FootnoteReference"/>
        </w:rPr>
        <w:footnoteReference w:id="28"/>
      </w:r>
      <w:r w:rsidRPr="001569FB">
        <w:t xml:space="preserve"> As a reminder, for Medicare-Medicaid Plans (MMPs) in the capitated model of the Financial Alignment Initiative and for Program of All-Inclusive Care for the Elderly (PACE) organizations, coinsurance, copays, and deductibles are zero for all Medicare Parts A/B services. </w:t>
      </w:r>
    </w:p>
    <w:p w14:paraId="197C6758" w14:textId="77777777" w:rsidR="004C5B0C" w:rsidRPr="001569FB" w:rsidRDefault="004C5B0C" w:rsidP="00CB7A65">
      <w:pPr>
        <w:spacing w:after="200"/>
      </w:pPr>
      <w:r w:rsidRPr="001569FB">
        <w:t>To reinforce billing requirements, simplify compliance, and prevent instances of improper billing, CMS encourages plans to affirmatively inform providers about enrollee QMB status and exemption from cost-sharing liability. Plans can provide real-time QMB status information and indicators through online provider portals and phone query mechanisms and clearly indicate the QMB patient owes $0 directly on the Explanations of Payment document that they send to providers and on member identification cards. MMPs should make clear that all enrollees – regardless of whether they have QMB status or not – have zero Medicare Parts A/B coinsurance, copayments, and deductibles.  In addition, plans can highlight that for any providers who are enrolled in Medicare, Medicare’s HETS eligibility query system will identify those who are QMB.</w:t>
      </w:r>
    </w:p>
    <w:p w14:paraId="54955E1B" w14:textId="77777777" w:rsidR="004C5B0C" w:rsidRPr="001569FB" w:rsidRDefault="004C5B0C" w:rsidP="00CB7A65">
      <w:pPr>
        <w:spacing w:after="200"/>
      </w:pPr>
      <w:r w:rsidRPr="001569FB">
        <w:t>CMS also encourages plans to educate providers about the QMB billing requirements for Medicare Parts A/B deductibles and coinsurance.  Potential strategies include holding recurring trainings, conducting targeted education to providers that improperly bill members, and adding language to provider-focused websites, provider newsletters, and/or provider manuals.</w:t>
      </w:r>
    </w:p>
    <w:p w14:paraId="01480210" w14:textId="77777777" w:rsidR="004C5B0C" w:rsidRPr="001569FB" w:rsidRDefault="004C5B0C" w:rsidP="00CB7A65">
      <w:pPr>
        <w:spacing w:after="200"/>
      </w:pPr>
      <w:r w:rsidRPr="001569FB">
        <w:t xml:space="preserve">Plans may want to leverage CMS information for providers and plans on CMS’s QMB webpage at </w:t>
      </w:r>
      <w:hyperlink r:id="rId65" w:history="1">
        <w:r w:rsidRPr="001569FB">
          <w:rPr>
            <w:rStyle w:val="Hyperlink"/>
          </w:rPr>
          <w:t>https://www.cms.gov/Medicare-Medicaid-Coordination/Medicare-and-Medicaid-Coordination/Medicare-Medicaid-Coordination-Office/QMB.html</w:t>
        </w:r>
      </w:hyperlink>
    </w:p>
    <w:p w14:paraId="4283C188" w14:textId="77777777" w:rsidR="004C5B0C" w:rsidRPr="001569FB" w:rsidRDefault="004C5B0C" w:rsidP="00CB7A65">
      <w:pPr>
        <w:spacing w:after="200"/>
      </w:pPr>
      <w:r w:rsidRPr="001569FB">
        <w:t xml:space="preserve">Moreover, starting in March 2017, the Complaints Tracking Module (CTM) began distinguishing QMB complaints from other complaints.  When appropriate, CMS encourages plans to use this source of information, alongside grievance and plan call center data, to identify further opportunities to strengthen provider education activities, improve internal call center messaging, and reduce future CTM complaints regarding QMB billing. </w:t>
      </w:r>
    </w:p>
    <w:p w14:paraId="53A44E35" w14:textId="1D8FD5D9" w:rsidR="004C5B0C" w:rsidRPr="001569FB" w:rsidRDefault="009D4953" w:rsidP="004C5B0C">
      <w:pPr>
        <w:pStyle w:val="Heading3"/>
      </w:pPr>
      <w:bookmarkStart w:id="899" w:name="_Toc505253864"/>
      <w:r>
        <w:t>Section I</w:t>
      </w:r>
      <w:r w:rsidR="00566713">
        <w:t>I</w:t>
      </w:r>
      <w:r w:rsidRPr="001569FB">
        <w:t xml:space="preserve"> </w:t>
      </w:r>
      <w:r w:rsidR="004C5B0C" w:rsidRPr="001569FB">
        <w:t>Encounter Data Listening Forums, Monitoring and Compliance Activities</w:t>
      </w:r>
      <w:bookmarkEnd w:id="899"/>
    </w:p>
    <w:p w14:paraId="6159175A" w14:textId="77777777" w:rsidR="004C5B0C" w:rsidRPr="001569FB" w:rsidRDefault="004C5B0C" w:rsidP="004C5B0C">
      <w:r w:rsidRPr="001569FB">
        <w:t>Under 42 C.F.R. § 422.310, MA organizations are required to submit encounter data records for each item and service provided to an MA plan enrollee. The Medicare Advantage Encounter Data System (EDS) was implemented to receive encounter data beginning in 2012 and has collected over 3 billion encounter data records to date. PACE organizations are also required to submit encounter data.</w:t>
      </w:r>
    </w:p>
    <w:p w14:paraId="31E1B834" w14:textId="77777777" w:rsidR="004C5B0C" w:rsidRPr="001569FB" w:rsidRDefault="004C5B0C" w:rsidP="00CB7A65">
      <w:pPr>
        <w:spacing w:after="200"/>
      </w:pPr>
      <w:r w:rsidRPr="001569FB">
        <w:lastRenderedPageBreak/>
        <w:t>In order to assist organizations in meeting requirements for submitting complete and accurate data, CMS conducts a range of activities aimed at providing feedback and technical assistance to, and soliciting input from, stakeholders.  These efforts include distribution of quarterly report cards, site visits with submitters, one-to-one communication with plans, and monthly user group calls which provide updates,  training, and an open-mic question and answer period.</w:t>
      </w:r>
    </w:p>
    <w:p w14:paraId="3B647AEF" w14:textId="77777777" w:rsidR="004C5B0C" w:rsidRPr="001569FB" w:rsidRDefault="004C5B0C" w:rsidP="004C5B0C">
      <w:r w:rsidRPr="001569FB">
        <w:rPr>
          <w:i/>
        </w:rPr>
        <w:t>Listening Forums.</w:t>
      </w:r>
      <w:r w:rsidRPr="001569FB">
        <w:t xml:space="preserve">  CMS has also initiated a series of listening forums with MA organizations, and MA organizations have expressed appreciation for the opportunity to participate in these forums.  CMS has viewed them as successful and has gained important insight into submitters’ experiences with the submission of encounter data.  In light of the positive feedback received in response to these listening forums, CMS expects to continue holding listening forums in 2018 and will again be reaching out to plans to participate. </w:t>
      </w:r>
    </w:p>
    <w:p w14:paraId="18CCE6B6" w14:textId="77777777" w:rsidR="004C5B0C" w:rsidRPr="001569FB" w:rsidRDefault="004C5B0C" w:rsidP="004C5B0C">
      <w:r w:rsidRPr="001569FB">
        <w:t>The listening forums have helped to highlight areas in the submission process where both plans and CMS can make improvements. A priority for CMS continues to be to ensure the completeness and accuracy of submissions and to seek feedback from stakeholders. CMS presented an approach to monitoring and compliance of encounter data in the 2018 Call Letter.   CMS’s framework for monitoring and compliance activity was categorized into three performance areas:</w:t>
      </w:r>
    </w:p>
    <w:p w14:paraId="07BB9D53" w14:textId="77777777" w:rsidR="004C5B0C" w:rsidRPr="001569FB" w:rsidRDefault="004C5B0C" w:rsidP="00AC78D9">
      <w:pPr>
        <w:pStyle w:val="ListParagraph"/>
        <w:numPr>
          <w:ilvl w:val="0"/>
          <w:numId w:val="67"/>
        </w:numPr>
        <w:spacing w:before="199" w:line="240" w:lineRule="auto"/>
        <w:ind w:left="360"/>
        <w:contextualSpacing w:val="0"/>
      </w:pPr>
      <w:r w:rsidRPr="001569FB">
        <w:t>Operational Performance: Refers to submitters’ performance related to encounter data submission requirements such as certification to submit, non-submission, and frequency of submission.</w:t>
      </w:r>
    </w:p>
    <w:p w14:paraId="438F3E63" w14:textId="77777777" w:rsidR="004C5B0C" w:rsidRPr="001569FB" w:rsidRDefault="004C5B0C" w:rsidP="00AC78D9">
      <w:pPr>
        <w:pStyle w:val="ListParagraph"/>
        <w:numPr>
          <w:ilvl w:val="0"/>
          <w:numId w:val="67"/>
        </w:numPr>
        <w:spacing w:before="199" w:line="240" w:lineRule="auto"/>
        <w:ind w:left="360"/>
        <w:contextualSpacing w:val="0"/>
      </w:pPr>
      <w:r w:rsidRPr="001569FB">
        <w:t>Completeness Performance: Refers to both the overall volume of encounter data records (e.g., whether encounter data records are being submitted for all services rendered) as well as to the completeness of data within an encounter data record (e.g., whether key fields are populated as expected).</w:t>
      </w:r>
    </w:p>
    <w:p w14:paraId="69592F82" w14:textId="77777777" w:rsidR="004C5B0C" w:rsidRPr="001569FB" w:rsidRDefault="004C5B0C" w:rsidP="00AC78D9">
      <w:pPr>
        <w:pStyle w:val="ListParagraph"/>
        <w:numPr>
          <w:ilvl w:val="0"/>
          <w:numId w:val="67"/>
        </w:numPr>
        <w:spacing w:before="199" w:line="240" w:lineRule="auto"/>
        <w:ind w:left="360"/>
        <w:contextualSpacing w:val="0"/>
      </w:pPr>
      <w:r w:rsidRPr="001569FB">
        <w:t>Accuracy Performance: Refers to the reasonableness of ED patterns. Measures addressing the reasonableness of specific data elements or reasonable patterns in submitted data would be considered under the area of accuracy (e.g., reasonable patterns of HCPCs and diagnosis codes).</w:t>
      </w:r>
    </w:p>
    <w:p w14:paraId="1D807C60" w14:textId="77777777" w:rsidR="004C5B0C" w:rsidRPr="001569FB" w:rsidRDefault="004C5B0C" w:rsidP="004C5B0C">
      <w:pPr>
        <w:pStyle w:val="BodyText0"/>
        <w:rPr>
          <w:color w:val="auto"/>
        </w:rPr>
      </w:pPr>
      <w:r w:rsidRPr="001569FB">
        <w:rPr>
          <w:color w:val="auto"/>
        </w:rPr>
        <w:t>Stakeholder feedback indicated support of this activity to ensure the completeness and accuracy of encounter data, but also suggested that CMS adopt an incremental approach and continue to seek out stakeholder feedback on monitoring and compliance.</w:t>
      </w:r>
    </w:p>
    <w:p w14:paraId="653022CC" w14:textId="77777777" w:rsidR="004C5B0C" w:rsidRPr="001569FB" w:rsidRDefault="004C5B0C" w:rsidP="004C5B0C">
      <w:r w:rsidRPr="001569FB">
        <w:t>CMS issued an HPMS memo entitled “CMS Monitoring and Compliance of Encounter Data, Performance Metrics and Thresholds – For Comment” on November 1, 2017 and requested feedback from stakeholders. CMS will review comments and finalize the performance and monitoring metrics and thresholds in an HPMS memo that will be distributed in early 2018.</w:t>
      </w:r>
    </w:p>
    <w:p w14:paraId="02B3E798" w14:textId="4BBD0C59" w:rsidR="004C5B0C" w:rsidRPr="001569FB" w:rsidRDefault="00566713" w:rsidP="004C5B0C">
      <w:pPr>
        <w:pStyle w:val="Heading3"/>
      </w:pPr>
      <w:bookmarkStart w:id="900" w:name="_Toc505253865"/>
      <w:r>
        <w:lastRenderedPageBreak/>
        <w:t>Section II</w:t>
      </w:r>
      <w:r w:rsidRPr="001569FB">
        <w:t xml:space="preserve"> </w:t>
      </w:r>
      <w:r w:rsidR="004C5B0C" w:rsidRPr="001569FB">
        <w:t>Transparency &amp; Timeliness with Prior Authorization Processes</w:t>
      </w:r>
      <w:bookmarkEnd w:id="900"/>
    </w:p>
    <w:p w14:paraId="4AC872E2" w14:textId="77777777" w:rsidR="004C5B0C" w:rsidRPr="001569FB" w:rsidRDefault="004C5B0C" w:rsidP="004C5B0C">
      <w:r w:rsidRPr="001569FB">
        <w:t xml:space="preserve">CMS is aware of stakeholder concerns about the burdens imposed by coverage restrictions such as prior authorizations (PA) in the Part C program.  </w:t>
      </w:r>
    </w:p>
    <w:p w14:paraId="06EC1895" w14:textId="77777777" w:rsidR="004C5B0C" w:rsidRPr="001569FB" w:rsidRDefault="004C5B0C" w:rsidP="004C5B0C">
      <w:r w:rsidRPr="001569FB">
        <w:t xml:space="preserve">MAOs receive a capitated payment from CMS and are accountable for furnishing all medically necessary Part A and B services through a network of contracted providers.  They are permitted to manage the delivery of benefits within their provider networks using utilization management tools such as prior authorization (PA). </w:t>
      </w:r>
    </w:p>
    <w:p w14:paraId="2A77B365" w14:textId="77777777" w:rsidR="004C5B0C" w:rsidRPr="001569FB" w:rsidRDefault="004C5B0C" w:rsidP="004C5B0C">
      <w:r w:rsidRPr="001569FB">
        <w:t xml:space="preserve">CMS would like to remind MAOs that they should be transparent and provide adequate notice of any coverage restrictions, such as PA requirements, to providers and enrollees.  Plans should specify the existence of any coverage restrictions, including what information is needed when submitting a PA request, in the plan’s Evidence of Coverage (EOC), their contracts with providers and additional provider communications/materials (e.g., provider manuals). Where an enrollee or provider is attempting to satisfy a PA requirement and the plan requires or has a PA request form, the plan should make PA request forms available and easily accessible. </w:t>
      </w:r>
    </w:p>
    <w:p w14:paraId="4D29E40F" w14:textId="77777777" w:rsidR="004C5B0C" w:rsidRPr="001569FB" w:rsidRDefault="004C5B0C" w:rsidP="004C5B0C">
      <w:pPr>
        <w:pStyle w:val="CommentText"/>
        <w:spacing w:after="600"/>
      </w:pPr>
      <w:r w:rsidRPr="001569FB">
        <w:t>MAOs should ensure they are delivering timely decisions on PA requests.  CMS reminds MAOs that requests for PA for a service (whether by an enrollee directly or by a provider on behalf of an enrollee) are requests for a pre-service organization determination.  Therefore, these requests are subject to applicable pre-service organization determination adjudication timeframes and notice requirements under the MA regulations. See 42 CFR §§422.568 and 422.572.</w:t>
      </w:r>
    </w:p>
    <w:p w14:paraId="5B1F0065" w14:textId="77777777" w:rsidR="004C5B0C" w:rsidRPr="001569FB" w:rsidRDefault="004C5B0C" w:rsidP="004C5B0C">
      <w:pPr>
        <w:pStyle w:val="Heading2"/>
      </w:pPr>
      <w:bookmarkStart w:id="901" w:name="_Toc443480676"/>
      <w:bookmarkStart w:id="902" w:name="_Toc443633683"/>
      <w:bookmarkStart w:id="903" w:name="_Toc493523624"/>
      <w:bookmarkStart w:id="904" w:name="_Toc495652138"/>
      <w:bookmarkStart w:id="905" w:name="_Toc505253808"/>
      <w:bookmarkStart w:id="906" w:name="_Toc505253866"/>
      <w:r w:rsidRPr="001569FB">
        <w:t>Section III – Part D</w:t>
      </w:r>
      <w:bookmarkEnd w:id="901"/>
      <w:bookmarkEnd w:id="902"/>
      <w:bookmarkEnd w:id="903"/>
      <w:bookmarkEnd w:id="904"/>
      <w:bookmarkEnd w:id="905"/>
      <w:bookmarkEnd w:id="906"/>
    </w:p>
    <w:p w14:paraId="4F5F0093" w14:textId="77777777" w:rsidR="004C5B0C" w:rsidRPr="001569FB" w:rsidRDefault="004C5B0C" w:rsidP="004C5B0C">
      <w:pPr>
        <w:pStyle w:val="Heading3"/>
      </w:pPr>
      <w:bookmarkStart w:id="907" w:name="_Toc443480677"/>
      <w:bookmarkStart w:id="908" w:name="_Toc493523625"/>
      <w:bookmarkStart w:id="909" w:name="_Toc495652139"/>
      <w:bookmarkStart w:id="910" w:name="_Toc505253867"/>
      <w:r w:rsidRPr="001569FB">
        <w:t>Formulary</w:t>
      </w:r>
      <w:r w:rsidRPr="001569FB">
        <w:rPr>
          <w:spacing w:val="-6"/>
        </w:rPr>
        <w:t xml:space="preserve"> </w:t>
      </w:r>
      <w:r w:rsidRPr="001569FB">
        <w:t>Submissions</w:t>
      </w:r>
      <w:bookmarkEnd w:id="907"/>
      <w:bookmarkEnd w:id="908"/>
      <w:bookmarkEnd w:id="909"/>
      <w:bookmarkEnd w:id="910"/>
    </w:p>
    <w:p w14:paraId="0AA5F819" w14:textId="0515FC1E" w:rsidR="004C5B0C" w:rsidRPr="001569FB" w:rsidRDefault="00566713" w:rsidP="004C5B0C">
      <w:pPr>
        <w:pStyle w:val="Heading4"/>
      </w:pPr>
      <w:bookmarkStart w:id="911" w:name="_Toc443480678"/>
      <w:bookmarkStart w:id="912" w:name="_Toc493523626"/>
      <w:bookmarkStart w:id="913" w:name="_Toc495652140"/>
      <w:r>
        <w:t>Section III</w:t>
      </w:r>
      <w:r w:rsidRPr="001569FB">
        <w:t xml:space="preserve"> </w:t>
      </w:r>
      <w:r w:rsidR="004C5B0C" w:rsidRPr="001569FB">
        <w:t>CY 2019 Formulary Submission Window</w:t>
      </w:r>
      <w:bookmarkEnd w:id="911"/>
      <w:bookmarkEnd w:id="912"/>
      <w:bookmarkEnd w:id="913"/>
    </w:p>
    <w:p w14:paraId="1C2B91C1" w14:textId="77777777" w:rsidR="004C5B0C" w:rsidRPr="001569FB" w:rsidRDefault="004C5B0C" w:rsidP="004C5B0C">
      <w:r w:rsidRPr="001569FB">
        <w:t xml:space="preserve">The CY 2019 HPMS formulary submission window will open this year on May 14, 2018 and close at 11:59 PM PDT on June 4, 2018. CMS must be in receipt of a successfully submitted and validated formulary submission by the deadline of June 4, 2018 in order for the formulary to be considered for review. The Part D formulary is part of the plan’s complete bid and therefore a failure to submit and link a formulary to each plan that uses a formulary by the June 4 deadline will result in denial of that bid submission. </w:t>
      </w:r>
    </w:p>
    <w:p w14:paraId="4E835535" w14:textId="77777777" w:rsidR="004C5B0C" w:rsidRPr="001569FB" w:rsidRDefault="004C5B0C" w:rsidP="004C5B0C">
      <w:pPr>
        <w:pStyle w:val="Heading4"/>
      </w:pPr>
      <w:bookmarkStart w:id="914" w:name="_Toc443480679"/>
      <w:bookmarkStart w:id="915" w:name="_Toc493523627"/>
      <w:bookmarkStart w:id="916" w:name="_Toc495652141"/>
      <w:r w:rsidRPr="001569FB">
        <w:t>CY 2019 Formulary Reference File</w:t>
      </w:r>
      <w:bookmarkEnd w:id="914"/>
      <w:bookmarkEnd w:id="915"/>
      <w:bookmarkEnd w:id="916"/>
    </w:p>
    <w:p w14:paraId="1F689FA8" w14:textId="77777777" w:rsidR="004C5B0C" w:rsidRPr="001569FB" w:rsidRDefault="004C5B0C" w:rsidP="00CB7A65">
      <w:pPr>
        <w:spacing w:after="200"/>
      </w:pPr>
      <w:r w:rsidRPr="001569FB">
        <w:t xml:space="preserve">CMS publishes the Formulary Reference File (FRF) which is utilized by Part D sponsors for the purpose of submitting Part D formulary files into HPMS. The FRF is not intended to be a comprehensive list of Part D drugs – the presence on or absence from the FRF does not indicate whether a particular drug is eligible for Part D coverage. However, we do recognize that the FRF has expanded and now includes several drugs for which utilization under Part D would be extremely rare. We also understand that the inclusion of some of these drugs within the Medicare </w:t>
      </w:r>
      <w:r w:rsidRPr="001569FB">
        <w:lastRenderedPageBreak/>
        <w:t xml:space="preserve">Plan Finder may lead to beneficiary confusion when the drug is more commonly covered under Medicare Part B, for example. To that end, CMS is analyzing the Part D utilization of current FRF drugs and will be removing drugs from the FRF based on these results. We again emphasize that the removal from the FRF does not mean that the drug is not eligible for Part D coverage. The deletion of such drugs would be based on very infrequent utilization under Part D due to their indication, dosage and administration, and usual administration setting. For example, an intravenous antihypertensive with very little or no Part D utilization, that is only indicated for the short-term treatment of hypertension when the oral route is not feasible, potentially would be deleted from the FRF. </w:t>
      </w:r>
    </w:p>
    <w:p w14:paraId="0BC1BBDD" w14:textId="77777777" w:rsidR="004C5B0C" w:rsidRPr="001569FB" w:rsidRDefault="004C5B0C" w:rsidP="00CB7A65">
      <w:pPr>
        <w:spacing w:after="200"/>
      </w:pPr>
      <w:r w:rsidRPr="001569FB">
        <w:t xml:space="preserve">CMS will release a draft FRF that reflects these changes in February of 2018, and will provide Part D sponsors and other stakeholders the opportunity to comment on the FRF changes. A subsequent CY 2019 Formulary Reference File (FRF) will be published in March 2018. The March FRF release will be used in the production of the Out-of-Pocket Cost (OOPC) model tool, scheduled to be released in April 2018, in order to assist plan sponsors in preparing their bid submissions. Sponsors should note that the OOPC model released in April will not be modified to incorporate any subsequent FRF updates, as described below. </w:t>
      </w:r>
    </w:p>
    <w:p w14:paraId="2250B9DF" w14:textId="77777777" w:rsidR="004C5B0C" w:rsidRPr="001569FB" w:rsidRDefault="004C5B0C" w:rsidP="00CB7A65">
      <w:pPr>
        <w:spacing w:after="200"/>
      </w:pPr>
      <w:r w:rsidRPr="001569FB">
        <w:t xml:space="preserve">CMS will update the 2019 FRF in mid to late May, prior to the June 4 formulary submission deadline. Since the OOPC model incorporates Medicare Current Beneficiary Survey (MCBS) data from 2012 and 2013, new Part D drugs cannot be included in the OOPC model since they would not have appeared in the survey. Further, given the limited timeframe between the May release of the 2019 FRF and the June 4 deadline, CMS is unable to accommodate an updated version of the 2019 OOPC model to incorporate the new generics that may be added to the May FRF. Therefore, CMS cautions plan sponsors that any newly added drugs on the May release of the 2019 FRF will not be included in the 2019 OOPC model. </w:t>
      </w:r>
    </w:p>
    <w:p w14:paraId="0DF7566A" w14:textId="77777777" w:rsidR="004C5B0C" w:rsidRPr="001569FB" w:rsidRDefault="004C5B0C" w:rsidP="00CB7A65">
      <w:pPr>
        <w:spacing w:after="200"/>
      </w:pPr>
      <w:r w:rsidRPr="001569FB">
        <w:t xml:space="preserve">CMS will offer a summer formulary update window and will publish an update to the FRF in advance of the window. The summer formulary update window will allow for the following formulary changes: 1) the addition of drugs that are new to the summer release of the FRF, and 2) the submission of negative changes on brand drugs, only if an equivalent generic or therapeutically similar drug is added to the summer FRF and corresponding formulary file within the same category and class, at the same tier or lower, and with no more restrictive utilization management than what was applied to the existing brand. Thus, plan sponsors need to carefully consider any newly added drugs to the May release of the 2019 FRF when they submit their formularies by the June 4 deadline since these additional restrictions will be imposed on the summer formulary update window. </w:t>
      </w:r>
    </w:p>
    <w:p w14:paraId="64BACF09" w14:textId="77777777" w:rsidR="004C5B0C" w:rsidRPr="001569FB" w:rsidRDefault="004C5B0C" w:rsidP="00CB7A65">
      <w:pPr>
        <w:spacing w:after="200"/>
      </w:pPr>
      <w:r w:rsidRPr="001569FB">
        <w:t xml:space="preserve">In 2017, for the 2018 plan year, the update window was held from July 27 to July 31. Since the summer update window is the final opportunity for plan sponsors to remove drugs from their formularies prior to the start of the plan year, CMS intends to move this window later into the summer, with the goal being the inclusion of newly approved brands and generics that occur in </w:t>
      </w:r>
      <w:r w:rsidRPr="001569FB">
        <w:lastRenderedPageBreak/>
        <w:t>July and into August. We recognize, however, that Part D sponsors must finalize their formulary submissions for CY 2019 with enough time to meet printing deadlines. We thus seek stakeholder comment regarding the optimal submission window that balances the opportunity for additional formulary substitution versus the need to finalize formulary documents for printing.</w:t>
      </w:r>
    </w:p>
    <w:p w14:paraId="6DA584C0" w14:textId="77777777" w:rsidR="004C5B0C" w:rsidRPr="001569FB" w:rsidRDefault="004C5B0C" w:rsidP="00CB7A65">
      <w:pPr>
        <w:spacing w:after="200"/>
      </w:pPr>
      <w:bookmarkStart w:id="917" w:name="_Toc493523628"/>
      <w:bookmarkStart w:id="918" w:name="_Toc495652142"/>
      <w:r w:rsidRPr="001569FB">
        <w:t>Part D sponsors are reminded that they may enhance their formularies at any time, including prior to the start of the plan year, regardless of whether the new drugs have been added yet to the FRF. Such enhancements may entail adding Part D drugs (with or without utilization management restrictions), reducing beneficiary cost-sharing, or removing utilization management edits. These enhancements must be included in the Part D sponsor’s marketing materials and must be submitted during the next available HPMS formulary submission window. Under the current formulary submission process, HPMS formulary files are not updated between the aforementioned summer update window and the first HPMS submission window during the plan year. Since the HPMS formulary files feed into the Medicare Plan Finder (MPF), MPF formulary information will not reflect any enhancements the Part D sponsor has made to its formulary files after the summer update. In an effort to provide more up-to-date information within the MPF, CMS will add an enhancement-only window that will occur in late fall. Likewise, we also intend to add a January 2019 formulary update window.</w:t>
      </w:r>
    </w:p>
    <w:p w14:paraId="01E2BCF4" w14:textId="77777777" w:rsidR="004C5B0C" w:rsidRPr="001569FB" w:rsidRDefault="004C5B0C" w:rsidP="004C5B0C">
      <w:pPr>
        <w:pStyle w:val="Heading4"/>
      </w:pPr>
      <w:bookmarkStart w:id="919" w:name="_Toc499028251"/>
      <w:bookmarkEnd w:id="917"/>
      <w:bookmarkEnd w:id="918"/>
      <w:r w:rsidRPr="001569FB">
        <w:t>Changes for CY 2019 Formulary Submissions</w:t>
      </w:r>
      <w:bookmarkEnd w:id="919"/>
    </w:p>
    <w:p w14:paraId="72779236" w14:textId="77777777" w:rsidR="004C5B0C" w:rsidRPr="001569FB" w:rsidRDefault="004C5B0C" w:rsidP="004C5B0C">
      <w:pPr>
        <w:pStyle w:val="Default"/>
        <w:spacing w:line="480" w:lineRule="auto"/>
        <w:rPr>
          <w:rFonts w:asciiTheme="minorHAnsi" w:hAnsiTheme="minorHAnsi" w:cstheme="minorHAnsi"/>
        </w:rPr>
      </w:pPr>
      <w:r w:rsidRPr="001569FB">
        <w:rPr>
          <w:rFonts w:asciiTheme="minorHAnsi" w:hAnsiTheme="minorHAnsi" w:cstheme="minorHAnsi"/>
        </w:rPr>
        <w:t xml:space="preserve">For the CY 2019 plan year, CMS is proposing changes to the following formulary-related files: </w:t>
      </w:r>
    </w:p>
    <w:p w14:paraId="70311CF3" w14:textId="77777777" w:rsidR="004C5B0C" w:rsidRPr="001569FB" w:rsidRDefault="004C5B0C" w:rsidP="004C5B0C">
      <w:pPr>
        <w:pStyle w:val="Default"/>
        <w:spacing w:line="480" w:lineRule="auto"/>
        <w:rPr>
          <w:rFonts w:asciiTheme="minorHAnsi" w:hAnsiTheme="minorHAnsi" w:cstheme="minorHAnsi"/>
          <w:i/>
          <w:u w:val="single"/>
        </w:rPr>
      </w:pPr>
      <w:r w:rsidRPr="001569FB">
        <w:rPr>
          <w:rFonts w:asciiTheme="minorHAnsi" w:hAnsiTheme="minorHAnsi" w:cstheme="minorHAnsi"/>
          <w:i/>
          <w:u w:val="single"/>
        </w:rPr>
        <w:t>Additional Demonstration Drug (ADD) File</w:t>
      </w:r>
    </w:p>
    <w:p w14:paraId="2730867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Additional Demonstration Drug (ADD) file is a supplemental formulary file submitted by Medicare-Medicaid Plans, which contains all non-Part D drugs required by the State. In an effort to streamline the submission process for Part D sponsors offering a Medicare-Medicaid Plan, CMS will make the ADD Validation File available via HPMS in advance of the ADD File submission deadline. </w:t>
      </w:r>
    </w:p>
    <w:p w14:paraId="0BA29A1C" w14:textId="77777777" w:rsidR="004C5B0C" w:rsidRPr="001569FB" w:rsidRDefault="004C5B0C" w:rsidP="004C5B0C">
      <w:pPr>
        <w:spacing w:line="480" w:lineRule="auto"/>
        <w:rPr>
          <w:i/>
          <w:u w:val="single"/>
        </w:rPr>
      </w:pPr>
      <w:bookmarkStart w:id="920" w:name="_Toc443480681"/>
      <w:bookmarkStart w:id="921" w:name="_Toc473639438"/>
      <w:bookmarkStart w:id="922" w:name="_Toc493523629"/>
      <w:r w:rsidRPr="001569FB">
        <w:rPr>
          <w:i/>
          <w:u w:val="single"/>
        </w:rPr>
        <w:t>Non-Extended Day Supply (NDS) File</w:t>
      </w:r>
    </w:p>
    <w:p w14:paraId="77FEDDB7" w14:textId="77777777" w:rsidR="004C5B0C" w:rsidRPr="001569FB" w:rsidRDefault="004C5B0C" w:rsidP="004C5B0C">
      <w:r w:rsidRPr="001569FB">
        <w:t xml:space="preserve">The Non-Extended Day Supply (NDS) file is a supplemental file for formularies that offer partial extended day supply coverage for at least one tier. Based on feedback from Part D sponsors, we understand that the maintenance of this supplemental file has been operationally challenging. Current systems logic has prohibited sponsors from having the flexibility to make some positive enhancements that would otherwise be allowed. Further, CMS’s review of the CY 2017 NDC files have not identified any discriminatory activities or causes for concerns. We have concluded the burden of maintaining this supplemental file outweighs any benefit, as such, CMS is eliminating this supplemental file for CY 2019.  Part D Sponsors will continue to identify in the </w:t>
      </w:r>
      <w:r w:rsidRPr="001569FB">
        <w:lastRenderedPageBreak/>
        <w:t xml:space="preserve">plan benefit package (PBP) if there are any drugs for which the plan imposes a limit of a one month supply, if the drugs are included on a tier that is otherwise available at an extended day supply.  </w:t>
      </w:r>
    </w:p>
    <w:p w14:paraId="078CA281" w14:textId="77777777" w:rsidR="004C5B0C" w:rsidRPr="001569FB" w:rsidRDefault="004C5B0C" w:rsidP="004C5B0C">
      <w:pPr>
        <w:spacing w:line="480" w:lineRule="auto"/>
        <w:rPr>
          <w:i/>
          <w:u w:val="single"/>
        </w:rPr>
      </w:pPr>
      <w:bookmarkStart w:id="923" w:name="_Toc498606815"/>
      <w:bookmarkStart w:id="924" w:name="_Toc495652143"/>
      <w:r w:rsidRPr="001569FB">
        <w:rPr>
          <w:i/>
          <w:u w:val="single"/>
        </w:rPr>
        <w:t>Over-the-Counter (OTC) Validation File</w:t>
      </w:r>
    </w:p>
    <w:p w14:paraId="3942ED6E" w14:textId="77777777" w:rsidR="004C5B0C" w:rsidRPr="001569FB" w:rsidRDefault="004C5B0C" w:rsidP="004C5B0C">
      <w:r w:rsidRPr="001569FB">
        <w:t xml:space="preserve">Part D sponsors wishing to offer over-the-counter drug products (OTCs) as part of step therapy or as a utilization management strategy are required to submit an OTC supplemental file. The current file format is National Drug Codes (NDCs) submitted by Part D sponsors. The submitted files are validated against an internal CMS file that contains a universe of OTC NDCs that CMS believes could be offered as part of the sponsor’s step therapy or utilization management strategy, consistent with the Chapter 7 of the Medicare Prescription Drug Benefit Manual. NDCs not contained within the CMS validation file are rejected, which necessitates a subsequent submission of a revised file by the Part D sponsor. 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Providing the file of acceptable OTCs, via proxy code, in advance to plan sponsors will enable them to prepare their files based on known CMS acceptable OTCs, significantly reduce the size of the OTC files, and simplify the submission and review process. For example, the current OTC validation file contains nearly 100 rows representing various products for ranitidine 75 mg oral tablets. These would be condensed to one row for CY 2019. We will provide Part D sponsors an opportunity to review a draft OTC reference file well in advance of the supplemental file submission deadline.  </w:t>
      </w:r>
    </w:p>
    <w:p w14:paraId="579B6223" w14:textId="7FB79601" w:rsidR="004C5B0C" w:rsidRPr="001569FB" w:rsidRDefault="00566713" w:rsidP="004C5B0C">
      <w:pPr>
        <w:pStyle w:val="Heading3"/>
      </w:pPr>
      <w:bookmarkStart w:id="925" w:name="_Toc505253868"/>
      <w:bookmarkStart w:id="926" w:name="OLE_LINK1"/>
      <w:bookmarkEnd w:id="923"/>
      <w:r>
        <w:t>Section III</w:t>
      </w:r>
      <w:r w:rsidRPr="001569FB">
        <w:t xml:space="preserve"> </w:t>
      </w:r>
      <w:r w:rsidR="004C5B0C" w:rsidRPr="001569FB">
        <w:t>Expanding the Part D OTC Program</w:t>
      </w:r>
      <w:bookmarkEnd w:id="925"/>
    </w:p>
    <w:bookmarkEnd w:id="926"/>
    <w:p w14:paraId="7F10B5FF" w14:textId="77777777" w:rsidR="004C5B0C" w:rsidRPr="001569FB" w:rsidRDefault="004C5B0C" w:rsidP="00CB7A65">
      <w:pPr>
        <w:spacing w:after="200"/>
      </w:pPr>
      <w:r w:rsidRPr="001569FB">
        <w:t xml:space="preserve">The definition of a Part D drug does not include over-the-counter drug products (OTCs). Therefore, Part D sponsors cannot cover OTCs under their basic prescription drug benefit or as a supplemental benefit under enhanced alternative coverage. However, given that OTCs may offer a significantly less expensive alternative to prescription medications, CMS allows Part D sponsors the option to provide OTCs as a utilization management strategy within their administrative cost structure, with the expectation that the use of the OTC medication will offset the use of a more costly Part D drug. </w:t>
      </w:r>
    </w:p>
    <w:p w14:paraId="3F22FD4F" w14:textId="77777777" w:rsidR="004C5B0C" w:rsidRPr="001569FB" w:rsidRDefault="004C5B0C" w:rsidP="00CB7A65">
      <w:pPr>
        <w:spacing w:after="200"/>
      </w:pPr>
      <w:r w:rsidRPr="001569FB">
        <w:t>For those sponsors who elect to do so, OTCs offered through a Part D utilization management strategy are a component of the Part D plan premium and result in OTCs provided to the enrollee without any direct cost-sharing at the point-of-sale. The OTCs must be available for the full duration of the contract year and cannot be limited to certain benefit phases. Under this policy, OTCs do not have the same beneficiary protections, such as coverage determinations or temporary fills, required to ensure appropriate access to Part D drugs.</w:t>
      </w:r>
    </w:p>
    <w:p w14:paraId="3C5C9B56" w14:textId="77777777" w:rsidR="004C5B0C" w:rsidRPr="001569FB" w:rsidRDefault="004C5B0C" w:rsidP="00CB7A65">
      <w:pPr>
        <w:spacing w:after="200"/>
      </w:pPr>
      <w:r w:rsidRPr="001569FB">
        <w:lastRenderedPageBreak/>
        <w:t xml:space="preserve">Currently, no standalone PDPs and only a very few MA-PDs offer OTCs under existing Part D policies, but there has been plan interest to broaden what could be provided. Consequently, 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  </w:t>
      </w:r>
    </w:p>
    <w:p w14:paraId="47C011B3" w14:textId="77777777" w:rsidR="004C5B0C" w:rsidRPr="001569FB" w:rsidRDefault="004C5B0C" w:rsidP="00CB7A65">
      <w:pPr>
        <w:spacing w:after="200"/>
      </w:pPr>
      <w:r w:rsidRPr="001569FB">
        <w:t xml:space="preserve">We recognize that any such expansion of the current policy could potentially increase program costs. Plan sponsors should note that the beneficiary inducement laws still apply.  We are thus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particulary premiums, as a result.  </w:t>
      </w:r>
    </w:p>
    <w:p w14:paraId="2E73E99A" w14:textId="41029B20" w:rsidR="004C5B0C" w:rsidRPr="001569FB" w:rsidRDefault="00566713" w:rsidP="004C5B0C">
      <w:pPr>
        <w:pStyle w:val="Heading3"/>
        <w:rPr>
          <w:b w:val="0"/>
        </w:rPr>
      </w:pPr>
      <w:bookmarkStart w:id="927" w:name="_Toc505253869"/>
      <w:r>
        <w:t>Section III</w:t>
      </w:r>
      <w:r w:rsidRPr="001569FB">
        <w:t xml:space="preserve"> </w:t>
      </w:r>
      <w:r w:rsidR="004C5B0C" w:rsidRPr="001569FB">
        <w:t>Medication Therapy Management (MTM)</w:t>
      </w:r>
      <w:bookmarkEnd w:id="920"/>
      <w:r w:rsidR="004C5B0C" w:rsidRPr="001569FB">
        <w:t xml:space="preserve"> Annual Cost Threshold</w:t>
      </w:r>
      <w:bookmarkEnd w:id="921"/>
      <w:bookmarkEnd w:id="922"/>
      <w:bookmarkEnd w:id="924"/>
      <w:bookmarkEnd w:id="927"/>
    </w:p>
    <w:p w14:paraId="2FD5902A" w14:textId="77777777" w:rsidR="004C5B0C" w:rsidRPr="001569FB" w:rsidRDefault="004C5B0C" w:rsidP="004C5B0C">
      <w:pPr>
        <w:pStyle w:val="BodyText0"/>
      </w:pPr>
      <w:r w:rsidRPr="001569FB">
        <w:t>Targeted beneficiaries for a Part D plan’s MTM program, in general, are enrollees who meet all of the following criteria: have multiple chronic diseases, are taking multiple Part D drugs, and are likely to incur annual Part D drug costs that meet or exceed a certain threshold. Per 42 C.F.R. § 423.153(d), for 2012 and subsequent years, the annual cost threshold for targeting beneficiaries is specified as costs for covered Part D drugs in an amount greater than or equal to $3,000 increased by the annual percentage increase (API) in Part D drug expenditures, specified in 42 C.F.R. § 423.104(d)(5)(iv). The 2018 MTM program annual cost threshold is $3,967.  The 2019 MTM program annual cost threshold will be the 2018 annual cost threshold adjusted based on the API and will be finalized in the 2019 Call Letter.</w:t>
      </w:r>
    </w:p>
    <w:p w14:paraId="2F085F38" w14:textId="568EC399" w:rsidR="004C5B0C" w:rsidRPr="001569FB" w:rsidRDefault="00566713" w:rsidP="004C5B0C">
      <w:pPr>
        <w:pStyle w:val="Heading3"/>
      </w:pPr>
      <w:bookmarkStart w:id="928" w:name="_Toc493523630"/>
      <w:bookmarkStart w:id="929" w:name="_Toc495652144"/>
      <w:bookmarkStart w:id="930" w:name="_Toc500841339"/>
      <w:bookmarkStart w:id="931" w:name="_Toc505253870"/>
      <w:bookmarkStart w:id="932" w:name="_Toc443480690"/>
      <w:r>
        <w:t>Section III</w:t>
      </w:r>
      <w:r w:rsidRPr="001569FB">
        <w:t xml:space="preserve"> </w:t>
      </w:r>
      <w:r w:rsidR="004C5B0C" w:rsidRPr="001569FB">
        <w:t>Part D Benefit Parameters for Non-Defined Standard Plans</w:t>
      </w:r>
      <w:bookmarkEnd w:id="928"/>
      <w:bookmarkEnd w:id="929"/>
      <w:bookmarkEnd w:id="930"/>
      <w:bookmarkEnd w:id="931"/>
    </w:p>
    <w:p w14:paraId="6F39B784"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Each year, we set forth certain benefit parameters, which are based on updated data analysis, and therefore, are subject to change from year to year. Specifically, pursuant to §423.272(b)(3)(i), CMS will only approve a bid submitted by a Part D sponsor if its plan benefit package (other than defined standard) or plan cost structure is substantially different from those of other plan offerings by the sponsor in the service area with respect to key characteristics such as premiums, cost-sharing, formulary structure, or benefits offered; and, pursuant to 42 C.F.R. §423.104(d)(2)(iii), tiered cost-sharing for non-defined standard benefit designs may not exceed levels annually determined by CMS to be discriminatory. The benefit parameters for CY 2019 are set forth in Table 25 below. </w:t>
      </w:r>
    </w:p>
    <w:p w14:paraId="14422A6F" w14:textId="77777777" w:rsidR="004C5B0C" w:rsidRPr="001569FB" w:rsidRDefault="004C5B0C" w:rsidP="00CB7A65">
      <w:pPr>
        <w:spacing w:after="200"/>
      </w:pPr>
      <w:r w:rsidRPr="001569FB">
        <w:t xml:space="preserve">CMS has included a proposal in the </w:t>
      </w:r>
      <w:r w:rsidRPr="001569FB">
        <w:rPr>
          <w:bCs/>
        </w:rPr>
        <w:t xml:space="preserve">CMS-4182-P; Medicare Program; Contract Year 2019 Policy and Technical Changes to the Medicare Advantage and the Medicare Prescription Drug Benefit Programs NPRM, </w:t>
      </w:r>
      <w:r w:rsidRPr="001569FB">
        <w:t xml:space="preserve">published November 28, 2017, to eliminate the PDP enhanced alternative (EA) to EA meaningful difference requirement, while maintaining the requirement that enhanced plans be meaningfully different from the basic plan offered by a plan sponsor in a </w:t>
      </w:r>
      <w:r w:rsidRPr="001569FB">
        <w:lastRenderedPageBreak/>
        <w:t>service area. We also announced our intent to reexamine how we define the meaningful difference between basic and enhanced plans, and sought stakeholder input.  For CY 2019, we intend to follow the same methodology that was utilized to determine the CY 2017 and CY 2018 basic to enhanced meaningful difference threshold. We propose a minimum monthly cost-sharing out-of-pocket-costs (OOPC) difference between basic to enhanced PDP offerings of $22. This value is based on the 50</w:t>
      </w:r>
      <w:r w:rsidRPr="001569FB">
        <w:rPr>
          <w:vertAlign w:val="superscript"/>
        </w:rPr>
        <w:t>th</w:t>
      </w:r>
      <w:r w:rsidRPr="001569FB">
        <w:t xml:space="preserve"> percentile of the November CY 2018 Bid data run through the updated CY 2018 OOPC MPF model that incorporates CY 2018 Formulary Data, 2012/13 MCBS Data, and FDA Application Type for applicable/non-applicable determinations related to coverage gap cost-sharing estimates.  Specific guidance related to the EA to EA PDP meaningful difference will be included as part of the Final Rule.  </w:t>
      </w:r>
    </w:p>
    <w:p w14:paraId="496291F5" w14:textId="77777777" w:rsidR="004C5B0C" w:rsidRPr="001569FB" w:rsidRDefault="004C5B0C" w:rsidP="004C5B0C">
      <w:r w:rsidRPr="001569FB">
        <w:t xml:space="preserve">For purposes of determining whether coverage gap cost-sharing thresholds specified in Table 25 have been met, we will continue to rely on the FDA Application Type to identify formulary drugs as applicable or non-applicable. The maximum coinsurance of 50% applies to tiers that contain only applicable drugs. If only non-applicable drugs or a combination of both non-applicable and applicable drugs are on a tier, then the maximum coinsurance of 17% applies. We remind sponsors that when cost-sharing reductions beyond the standard benefit are offered through a supplemental Part D benefit, the plan liability is applied to applicable drugs for applicable beneficiaries before the manufacturer discount. </w:t>
      </w:r>
    </w:p>
    <w:p w14:paraId="65862F3B" w14:textId="3DF2B307" w:rsidR="004C5B0C" w:rsidRPr="001569FB" w:rsidRDefault="00566713" w:rsidP="004C5B0C">
      <w:pPr>
        <w:pStyle w:val="Heading3"/>
      </w:pPr>
      <w:bookmarkStart w:id="933" w:name="_Toc493523631"/>
      <w:bookmarkStart w:id="934" w:name="_Toc495652145"/>
      <w:bookmarkStart w:id="935" w:name="_Toc505253871"/>
      <w:r>
        <w:t>Section III</w:t>
      </w:r>
      <w:r w:rsidRPr="001569FB">
        <w:t xml:space="preserve"> </w:t>
      </w:r>
      <w:r w:rsidR="004C5B0C" w:rsidRPr="001569FB">
        <w:t>Benefit Review</w:t>
      </w:r>
      <w:bookmarkEnd w:id="933"/>
      <w:bookmarkEnd w:id="934"/>
      <w:bookmarkEnd w:id="935"/>
      <w:r w:rsidR="004C5B0C" w:rsidRPr="001569FB">
        <w:t xml:space="preserve"> </w:t>
      </w:r>
    </w:p>
    <w:p w14:paraId="67CED25B"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rPr>
        <w:t xml:space="preserve">We will continue to scrutinize the expected cost-sharing amounts incurred by beneficiaries under coinsurance tiers in order to more consistently compare copay and coinsurance cost-sharing impacts. If a sponsor submits coinsurance values (instead of copayment values) for its non-specialty tiers that are greater than the standard benefit of 25%, we will compare the average </w:t>
      </w:r>
      <w:r w:rsidRPr="001569FB">
        <w:rPr>
          <w:rFonts w:asciiTheme="minorHAnsi" w:hAnsiTheme="minorHAnsi" w:cstheme="minorHAnsi"/>
          <w:color w:val="auto"/>
        </w:rPr>
        <w:t xml:space="preserve">expected cost-sharing amounts submitted by sponsors in the PBP to the established copay thresholds, as noted in Table 25 below, to determine whether the coinsurance values are discriminatory. Similarly, we will evaluate the drug composition of copay tiers in order to assess whether the formulary and benefit structure is providing a meaningful benefit. </w:t>
      </w:r>
    </w:p>
    <w:p w14:paraId="0468EACB" w14:textId="22CAE358" w:rsidR="004C5B0C" w:rsidRPr="001569FB" w:rsidRDefault="00566713" w:rsidP="004C5B0C">
      <w:pPr>
        <w:pStyle w:val="Heading3"/>
      </w:pPr>
      <w:bookmarkStart w:id="936" w:name="_Toc493523632"/>
      <w:bookmarkStart w:id="937" w:name="_Toc495652146"/>
      <w:bookmarkStart w:id="938" w:name="_Toc505253872"/>
      <w:r>
        <w:t>Section III</w:t>
      </w:r>
      <w:r w:rsidRPr="001569FB">
        <w:t xml:space="preserve"> </w:t>
      </w:r>
      <w:r w:rsidR="004C5B0C" w:rsidRPr="001569FB">
        <w:t>Tier Composition</w:t>
      </w:r>
      <w:bookmarkEnd w:id="936"/>
      <w:bookmarkEnd w:id="937"/>
      <w:bookmarkEnd w:id="938"/>
    </w:p>
    <w:p w14:paraId="48041947"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We expect Drug Tier Labels to be representative of the drugs that make up that tier. Sponsors will continue to have the option of selecting a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or non-preferred </w:t>
      </w:r>
      <w:r w:rsidRPr="001569FB">
        <w:rPr>
          <w:rFonts w:asciiTheme="minorHAnsi" w:hAnsiTheme="minorHAnsi" w:cstheme="minorHAnsi"/>
          <w:iCs/>
          <w:color w:val="auto"/>
        </w:rPr>
        <w:t xml:space="preserve">drug </w:t>
      </w:r>
      <w:r w:rsidRPr="001569FB">
        <w:rPr>
          <w:rFonts w:asciiTheme="minorHAnsi" w:hAnsiTheme="minorHAnsi" w:cstheme="minorHAnsi"/>
          <w:color w:val="auto"/>
        </w:rPr>
        <w:t xml:space="preserve">tier, but not both. CMS will continue to evaluate the brand/generic composition of the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as part of the bid review process. In recent years, we have communicated concerns based on an outlier analysis. Based on an analysis of CY 2018 formulary and benefits data, we propose a maximum threshold of 25% generic composition for the non-preferred brand tier for CY 2019. This threshold is based on the mean generic composition, submitted at the plan level, of the non-preferred brand tier for CY 2018. Since Part D sponsors have the option to choose between the non-preferred brand and non-preferred drug tier labels, the inclusion of a significant </w:t>
      </w:r>
      <w:r w:rsidRPr="001569FB">
        <w:rPr>
          <w:rFonts w:asciiTheme="minorHAnsi" w:hAnsiTheme="minorHAnsi" w:cstheme="minorHAnsi"/>
          <w:color w:val="auto"/>
        </w:rPr>
        <w:lastRenderedPageBreak/>
        <w:t xml:space="preserve">number of generic drugs on a tier that is labeled as brand is unnecessary and may lead to confusion. While we continue to believe a coinsurance structure is the preferable cost-sharing structure for the non-preferred drug tier, CMS will continue to afford Part D sponsors the flexibility to determine the cost-sharing structure that is most appropriate for their benefit design, with the goal of maintaining transparency and a meaningful benefit offering for enrollees in a plan with non-preferred drug tiers that also balances a sponsor’s ability to mix brand and generic drugs within the tier. We intend to conduct outlier tests for those Part D sponsors who choose a copay structure for the non-preferred drug tier. In order to demonstrate that the cost-sharing structure chosen provides a value for beneficiaries, we expect sponsors to evaluate and be prepared to provide written justification upon request. We expect the justification to include detailed information about the generic drugs on the non-preferred drug tier, such as expected utilization, the formulary alternatives represented on lower tiers, and any tier placement strategy with respect to utilization management. Sponsors may be asked to make modifications to their benefit structure or formulary tiering if the submitted justification is not accepted. </w:t>
      </w:r>
    </w:p>
    <w:p w14:paraId="604AA716" w14:textId="5C806B9A" w:rsidR="004C5B0C" w:rsidRPr="001569FB" w:rsidRDefault="00566713" w:rsidP="004C5B0C">
      <w:pPr>
        <w:pStyle w:val="Heading3"/>
      </w:pPr>
      <w:bookmarkStart w:id="939" w:name="_Toc493523633"/>
      <w:bookmarkStart w:id="940" w:name="_Toc495652147"/>
      <w:bookmarkStart w:id="941" w:name="_Toc505253873"/>
      <w:r>
        <w:t>Section III</w:t>
      </w:r>
      <w:r w:rsidRPr="001569FB">
        <w:t xml:space="preserve"> </w:t>
      </w:r>
      <w:r w:rsidR="004C5B0C" w:rsidRPr="001569FB">
        <w:t>Improving Access to Part D Vaccines</w:t>
      </w:r>
      <w:bookmarkEnd w:id="939"/>
      <w:bookmarkEnd w:id="940"/>
      <w:bookmarkEnd w:id="941"/>
    </w:p>
    <w:p w14:paraId="2AF8DF38"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According to the Center for Disease Control and Prevention’s (CDC) Surveillance of Vaccination Coverage among Adult Populations — United States, 2015, vaccination rates remain low for tetanus and diphtheria with acellular pertussis (Tdap)</w:t>
      </w:r>
      <w:r w:rsidRPr="001569FB">
        <w:rPr>
          <w:rStyle w:val="FootnoteReference"/>
          <w:rFonts w:asciiTheme="minorHAnsi" w:hAnsiTheme="minorHAnsi" w:cstheme="minorHAnsi"/>
          <w:color w:val="auto"/>
        </w:rPr>
        <w:footnoteReference w:id="29"/>
      </w:r>
      <w:r w:rsidRPr="001569FB">
        <w:rPr>
          <w:rFonts w:asciiTheme="minorHAnsi" w:hAnsiTheme="minorHAnsi" w:cstheme="minorHAnsi"/>
          <w:color w:val="auto"/>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 cost-sharing.</w:t>
      </w:r>
    </w:p>
    <w:p w14:paraId="28983439" w14:textId="77777777" w:rsidR="004C5B0C" w:rsidRPr="001569FB" w:rsidRDefault="004C5B0C" w:rsidP="004C5B0C">
      <w:pPr>
        <w:pStyle w:val="Caption"/>
      </w:pPr>
      <w:r w:rsidRPr="001569FB">
        <w:t xml:space="preserve">Table </w:t>
      </w:r>
      <w:fldSimple w:instr=" SEQ Table \* ARABIC ">
        <w:r w:rsidR="00A216EC">
          <w:rPr>
            <w:noProof/>
          </w:rPr>
          <w:t>25</w:t>
        </w:r>
      </w:fldSimple>
      <w:r w:rsidRPr="001569FB">
        <w:t>: Benefit Parameters for CY 2019 Threshold Values</w:t>
      </w:r>
    </w:p>
    <w:tbl>
      <w:tblPr>
        <w:tblW w:w="0" w:type="auto"/>
        <w:jc w:val="center"/>
        <w:tblBorders>
          <w:top w:val="nil"/>
          <w:left w:val="nil"/>
          <w:bottom w:val="nil"/>
          <w:right w:val="nil"/>
        </w:tblBorders>
        <w:tblLayout w:type="fixed"/>
        <w:tblLook w:val="0000" w:firstRow="0" w:lastRow="0" w:firstColumn="0" w:lastColumn="0" w:noHBand="0" w:noVBand="0"/>
      </w:tblPr>
      <w:tblGrid>
        <w:gridCol w:w="6385"/>
        <w:gridCol w:w="2858"/>
      </w:tblGrid>
      <w:tr w:rsidR="004C5B0C" w:rsidRPr="001569FB" w14:paraId="473E0670" w14:textId="77777777" w:rsidTr="004C5B0C">
        <w:trPr>
          <w:cantSplit/>
          <w:trHeight w:val="332"/>
          <w:tblHeader/>
          <w:jc w:val="center"/>
        </w:trPr>
        <w:tc>
          <w:tcPr>
            <w:tcW w:w="63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218301E" w14:textId="77777777" w:rsidR="004C5B0C" w:rsidRPr="001569FB" w:rsidRDefault="004C5B0C" w:rsidP="004C5B0C">
            <w:pPr>
              <w:pStyle w:val="Default"/>
              <w:keepNext/>
              <w:keepLines/>
              <w:rPr>
                <w:rFonts w:asciiTheme="minorHAnsi" w:hAnsiTheme="minorHAnsi" w:cstheme="minorHAnsi"/>
                <w:sz w:val="23"/>
                <w:szCs w:val="23"/>
              </w:rPr>
            </w:pPr>
          </w:p>
        </w:tc>
        <w:tc>
          <w:tcPr>
            <w:tcW w:w="28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4FADEB2" w14:textId="77777777" w:rsidR="004C5B0C" w:rsidRPr="001569FB" w:rsidRDefault="004C5B0C" w:rsidP="004C5B0C">
            <w:pPr>
              <w:pStyle w:val="Default"/>
              <w:keepNext/>
              <w:keepLines/>
              <w:rPr>
                <w:rFonts w:asciiTheme="minorHAnsi" w:hAnsiTheme="minorHAnsi" w:cstheme="minorHAnsi"/>
                <w:sz w:val="23"/>
                <w:szCs w:val="23"/>
              </w:rPr>
            </w:pPr>
            <w:r w:rsidRPr="001569FB">
              <w:rPr>
                <w:rFonts w:asciiTheme="minorHAnsi" w:hAnsiTheme="minorHAnsi" w:cstheme="minorHAnsi"/>
                <w:b/>
                <w:bCs/>
                <w:sz w:val="23"/>
                <w:szCs w:val="23"/>
              </w:rPr>
              <w:t xml:space="preserve">CY 2019 Threshold Values </w:t>
            </w:r>
          </w:p>
        </w:tc>
      </w:tr>
      <w:tr w:rsidR="004C5B0C" w:rsidRPr="001569FB" w14:paraId="7C0CBB1C"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89E43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Meaningful Differences (PDP Cost-Sharing OOPC)</w:t>
            </w:r>
            <w:r w:rsidRPr="001569FB">
              <w:rPr>
                <w:rFonts w:asciiTheme="minorHAnsi" w:hAnsiTheme="minorHAnsi" w:cstheme="minorHAnsi"/>
                <w:sz w:val="23"/>
                <w:szCs w:val="23"/>
                <w:vertAlign w:val="superscript"/>
              </w:rPr>
              <w:t>1</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059AB5" w14:textId="77777777" w:rsidR="004C5B0C" w:rsidRPr="001569FB" w:rsidRDefault="004C5B0C" w:rsidP="00980C81">
            <w:pPr>
              <w:pStyle w:val="Default"/>
              <w:keepLines/>
              <w:rPr>
                <w:rFonts w:asciiTheme="minorHAnsi" w:hAnsiTheme="minorHAnsi" w:cstheme="minorHAnsi"/>
                <w:sz w:val="23"/>
                <w:szCs w:val="23"/>
              </w:rPr>
            </w:pPr>
          </w:p>
        </w:tc>
      </w:tr>
      <w:tr w:rsidR="004C5B0C" w:rsidRPr="001569FB" w14:paraId="52E8C240"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auto"/>
          </w:tcPr>
          <w:p w14:paraId="0F732B9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Enhanced Alternative Plan vs. Basic Plan</w:t>
            </w:r>
          </w:p>
        </w:tc>
        <w:tc>
          <w:tcPr>
            <w:tcW w:w="2858" w:type="dxa"/>
            <w:tcBorders>
              <w:top w:val="single" w:sz="4" w:space="0" w:color="auto"/>
              <w:left w:val="single" w:sz="4" w:space="0" w:color="auto"/>
              <w:bottom w:val="single" w:sz="4" w:space="0" w:color="auto"/>
              <w:right w:val="single" w:sz="4" w:space="0" w:color="auto"/>
            </w:tcBorders>
            <w:shd w:val="clear" w:color="auto" w:fill="auto"/>
            <w:vAlign w:val="center"/>
          </w:tcPr>
          <w:p w14:paraId="505B2008"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$22</w:t>
            </w:r>
          </w:p>
        </w:tc>
      </w:tr>
      <w:tr w:rsidR="004C5B0C" w:rsidRPr="001569FB" w14:paraId="43A8BD86"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0E7F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Maximum Copay: Pre-ICL and Additional Cost-Sharing Reductions in the Gap (3 or more tiers)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7EE875"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2EABED1E" w14:textId="77777777" w:rsidTr="004C5B0C">
        <w:trPr>
          <w:trHeight w:val="128"/>
          <w:jc w:val="center"/>
        </w:trPr>
        <w:tc>
          <w:tcPr>
            <w:tcW w:w="6385" w:type="dxa"/>
            <w:tcBorders>
              <w:top w:val="single" w:sz="4" w:space="0" w:color="auto"/>
              <w:left w:val="single" w:sz="4" w:space="0" w:color="auto"/>
              <w:bottom w:val="single" w:sz="4" w:space="0" w:color="auto"/>
              <w:right w:val="single" w:sz="4" w:space="0" w:color="auto"/>
            </w:tcBorders>
          </w:tcPr>
          <w:p w14:paraId="3B7BA29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111A07D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&lt;$20</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4</w:t>
            </w:r>
          </w:p>
        </w:tc>
      </w:tr>
      <w:tr w:rsidR="004C5B0C" w:rsidRPr="001569FB" w14:paraId="4E91954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4B4773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A4E07E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$20</w:t>
            </w:r>
          </w:p>
        </w:tc>
      </w:tr>
      <w:tr w:rsidR="004C5B0C" w:rsidRPr="001569FB" w14:paraId="7C8F2125"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218FB18"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53659EEF"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$47</w:t>
            </w:r>
          </w:p>
        </w:tc>
      </w:tr>
      <w:tr w:rsidR="004C5B0C" w:rsidRPr="001569FB" w14:paraId="13B60B4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9F77EFB"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46CF2472"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06BE999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9DB387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7A115A35"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57F5E40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916225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412F8B0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32BC3D31" w14:textId="77777777" w:rsidTr="004C5B0C">
        <w:trPr>
          <w:trHeight w:val="139"/>
          <w:jc w:val="center"/>
        </w:trPr>
        <w:tc>
          <w:tcPr>
            <w:tcW w:w="6385" w:type="dxa"/>
            <w:tcBorders>
              <w:top w:val="single" w:sz="4" w:space="0" w:color="auto"/>
              <w:left w:val="single" w:sz="4" w:space="0" w:color="auto"/>
              <w:bottom w:val="single" w:sz="4" w:space="0" w:color="auto"/>
              <w:right w:val="single" w:sz="4" w:space="0" w:color="auto"/>
            </w:tcBorders>
          </w:tcPr>
          <w:p w14:paraId="0F3917B7"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1C4F8C0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$11</w:t>
            </w:r>
          </w:p>
        </w:tc>
      </w:tr>
      <w:tr w:rsidR="004C5B0C" w:rsidRPr="001569FB" w14:paraId="701013D9" w14:textId="77777777" w:rsidTr="004C5B0C">
        <w:trPr>
          <w:trHeight w:val="121"/>
          <w:jc w:val="center"/>
        </w:trPr>
        <w:tc>
          <w:tcPr>
            <w:tcW w:w="6385" w:type="dxa"/>
            <w:tcBorders>
              <w:top w:val="single" w:sz="4" w:space="0" w:color="auto"/>
              <w:left w:val="single" w:sz="4" w:space="0" w:color="auto"/>
              <w:bottom w:val="single" w:sz="4" w:space="0" w:color="auto"/>
              <w:right w:val="single" w:sz="4" w:space="0" w:color="auto"/>
            </w:tcBorders>
          </w:tcPr>
          <w:p w14:paraId="7A84474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FB0789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44E2A0B6" w14:textId="77777777" w:rsidTr="004C5B0C">
        <w:trPr>
          <w:trHeight w:val="45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D64C7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Maximum Coinsurance: Pre-ICL (3 or more tiers)</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413D8A" w14:textId="77777777" w:rsidR="004C5B0C" w:rsidRPr="001569FB" w:rsidRDefault="004C5B0C" w:rsidP="00980C81">
            <w:pPr>
              <w:pStyle w:val="Default"/>
              <w:keepLines/>
              <w:tabs>
                <w:tab w:val="decimal" w:pos="88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06683C7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53C4E3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590931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1E86BF0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E469E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40BFF0D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4B05431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5BF48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0CC05EE6"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38BBCB0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23EBC9A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27A3247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5D42D54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769339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39ED3CD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73791527"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FDA75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090A841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33%</w:t>
            </w:r>
          </w:p>
        </w:tc>
      </w:tr>
      <w:tr w:rsidR="004C5B0C" w:rsidRPr="001569FB" w14:paraId="703A1334"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072D73FB"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75C70C91"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15%</w:t>
            </w:r>
          </w:p>
        </w:tc>
      </w:tr>
      <w:tr w:rsidR="004C5B0C" w:rsidRPr="001569FB" w14:paraId="0B96CFC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7EFFADE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1BF1BB5" w14:textId="77777777" w:rsidR="004C5B0C" w:rsidRPr="001569FB" w:rsidRDefault="004C5B0C" w:rsidP="00980C81">
            <w:pPr>
              <w:pStyle w:val="Default"/>
              <w:keepLines/>
              <w:tabs>
                <w:tab w:val="decimal" w:pos="70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0EBBFA0A" w14:textId="77777777" w:rsidTr="004C5B0C">
        <w:trPr>
          <w:trHeight w:val="24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AE347A"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 xml:space="preserve">Maximum Coinsurance: Additional Cost-Sharing Reductions in the Gap for Applicable Beneficiaries (all tier designs)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1FF9B9"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6</w:t>
            </w:r>
          </w:p>
        </w:tc>
      </w:tr>
      <w:tr w:rsidR="004C5B0C" w:rsidRPr="001569FB" w14:paraId="4F482DE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C73FE37"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8EC60BD"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38CD348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F16627F"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8CD589C"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60AB05A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36539C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D6617C7"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0E26AB3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C03F79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5F3EFAC1"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15D57A0"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7C82FC13"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80D4D5A"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613FA72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4F77E7A"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15BBD0A2"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97D2D4E"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61FD3865"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4A696CB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3344C5E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623FEE5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49A753C0"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367142BA" w14:textId="77777777" w:rsidTr="004C5B0C">
        <w:trPr>
          <w:trHeight w:val="118"/>
          <w:jc w:val="center"/>
        </w:trPr>
        <w:tc>
          <w:tcPr>
            <w:tcW w:w="6385" w:type="dxa"/>
            <w:tcBorders>
              <w:top w:val="single" w:sz="4" w:space="0" w:color="auto"/>
              <w:left w:val="single" w:sz="4" w:space="0" w:color="auto"/>
              <w:bottom w:val="single" w:sz="4" w:space="0" w:color="auto"/>
              <w:right w:val="nil"/>
            </w:tcBorders>
            <w:shd w:val="clear" w:color="auto" w:fill="D9D9D9" w:themeFill="background1" w:themeFillShade="D9"/>
          </w:tcPr>
          <w:p w14:paraId="706981B0"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Specialty Tier Eligibility</w:t>
            </w:r>
          </w:p>
        </w:tc>
        <w:tc>
          <w:tcPr>
            <w:tcW w:w="2858"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AA13B6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p>
        </w:tc>
      </w:tr>
      <w:tr w:rsidR="004C5B0C" w:rsidRPr="001569FB" w14:paraId="3B9D5B9A"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199EA8" w14:textId="77777777" w:rsidR="004C5B0C" w:rsidRPr="001569FB" w:rsidRDefault="004C5B0C" w:rsidP="004C5B0C">
            <w:pPr>
              <w:pStyle w:val="Default"/>
              <w:rPr>
                <w:rFonts w:asciiTheme="minorHAnsi" w:hAnsiTheme="minorHAnsi" w:cstheme="minorHAnsi"/>
                <w:sz w:val="23"/>
                <w:szCs w:val="23"/>
              </w:rPr>
            </w:pPr>
            <w:r w:rsidRPr="001569FB">
              <w:rPr>
                <w:rFonts w:asciiTheme="minorHAnsi" w:hAnsiTheme="minorHAnsi" w:cstheme="minorHAnsi"/>
                <w:sz w:val="23"/>
                <w:szCs w:val="23"/>
              </w:rPr>
              <w:t xml:space="preserve">1-month supply at in-network retail pharmacy </w:t>
            </w:r>
          </w:p>
        </w:tc>
        <w:tc>
          <w:tcPr>
            <w:tcW w:w="2858" w:type="dxa"/>
            <w:tcBorders>
              <w:top w:val="single" w:sz="4" w:space="0" w:color="auto"/>
              <w:left w:val="single" w:sz="4" w:space="0" w:color="auto"/>
              <w:bottom w:val="single" w:sz="4" w:space="0" w:color="auto"/>
              <w:right w:val="single" w:sz="4" w:space="0" w:color="auto"/>
            </w:tcBorders>
            <w:vAlign w:val="center"/>
          </w:tcPr>
          <w:p w14:paraId="1BE858A4" w14:textId="77777777" w:rsidR="004C5B0C" w:rsidRPr="001569FB" w:rsidRDefault="004C5B0C" w:rsidP="004C5B0C">
            <w:pPr>
              <w:pStyle w:val="Default"/>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$670</w:t>
            </w:r>
          </w:p>
        </w:tc>
      </w:tr>
    </w:tbl>
    <w:p w14:paraId="1ECFFC7D"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1</w:t>
      </w:r>
      <w:r w:rsidRPr="001569FB">
        <w:rPr>
          <w:rFonts w:asciiTheme="minorHAnsi" w:hAnsiTheme="minorHAnsi" w:cstheme="minorHAnsi"/>
          <w:color w:val="auto"/>
          <w:sz w:val="20"/>
          <w:szCs w:val="20"/>
        </w:rPr>
        <w:t xml:space="preserve"> The Enhanced Alternative Plan to Basic Plan meaningful difference minimum threshold is based on the 50th percentile of the November CY 2018 Bid Data run through the CY 2018 OOPC MPF model which incorporates CY 2018 Formulary Data, 2012/13 MCBS Data, and FDA Application Type for applicable/non-applicable determinations related to coverage gap cost-sharing estimates. This threshold excludes plans that were waived of the meaningful difference requirements due to the transition period afforded during consolidation. For each parent organization, any cost-sharing OOPC comparison between a basic plan and EA plan in the same region must meet the minimum Enhanced Alternative Plan vs. Basic Plan threshold. </w:t>
      </w:r>
    </w:p>
    <w:p w14:paraId="2C15FD3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2</w:t>
      </w:r>
      <w:r w:rsidRPr="001569FB">
        <w:rPr>
          <w:rFonts w:asciiTheme="minorHAnsi" w:hAnsiTheme="minorHAnsi" w:cstheme="minorHAnsi"/>
          <w:color w:val="auto"/>
          <w:sz w:val="20"/>
          <w:szCs w:val="20"/>
        </w:rPr>
        <w:t xml:space="preserve"> These thresholds are based on the 95th percentile of the CY 2018 Bid Data. As in previous years, we will also set similar thresholds for plans with atypical tiering structures, such as a two tier formulary. </w:t>
      </w:r>
    </w:p>
    <w:p w14:paraId="629FC420"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3</w:t>
      </w:r>
      <w:r w:rsidRPr="001569FB">
        <w:rPr>
          <w:rFonts w:asciiTheme="minorHAnsi" w:hAnsiTheme="minorHAnsi" w:cstheme="minorHAnsi"/>
          <w:color w:val="auto"/>
          <w:sz w:val="20"/>
          <w:szCs w:val="20"/>
        </w:rPr>
        <w:t xml:space="preserve"> “S” in the above chart refers to “standard retail cost-sharing” at a network pharmacy. Standard retail cost-sharing (S) is cost-sharing other than preferred retail cost-sharing offered at a network pharmacy. </w:t>
      </w:r>
    </w:p>
    <w:p w14:paraId="2633F2B7"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4</w:t>
      </w:r>
      <w:r w:rsidRPr="001569FB">
        <w:rPr>
          <w:rFonts w:asciiTheme="minorHAnsi" w:hAnsiTheme="minorHAnsi" w:cstheme="minorHAnsi"/>
          <w:color w:val="auto"/>
          <w:sz w:val="20"/>
          <w:szCs w:val="20"/>
        </w:rPr>
        <w:t xml:space="preserve"> A separate maximum cost-share threshold for the Preferred Generic Tier has not been established. Cost-sharing for the Preferred Generic Tier need only be lower than that for the cost-sharing of the Generic Tier. Equivalent cost-sharing for the Preferred Generic and Generic tiers will not be accepted, except in the case when a sponsor buys down the cost-sharing to $0 for both generic tiers. </w:t>
      </w:r>
    </w:p>
    <w:p w14:paraId="31F33052"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5</w:t>
      </w:r>
      <w:r w:rsidRPr="001569FB">
        <w:rPr>
          <w:rFonts w:asciiTheme="minorHAnsi" w:hAnsiTheme="minorHAnsi" w:cstheme="minorHAnsi"/>
          <w:color w:val="auto"/>
          <w:sz w:val="20"/>
          <w:szCs w:val="20"/>
        </w:rPr>
        <w:t xml:space="preserve"> The Select Care Drug and Select Diabetic Drug Tiers must provide a meaningful benefit offering with low or $0 beneficiary cost-sharing for drugs targeting specific conditions (e.g., $0 tier for drugs related to diabetes and/or smoking cessation). We continue to expect cost-sharing for the Vaccine tier, or Select Care/Select Diabetes tiers that contain vaccines, to be $0. </w:t>
      </w:r>
    </w:p>
    <w:p w14:paraId="59918B7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6</w:t>
      </w:r>
      <w:r w:rsidRPr="001569FB">
        <w:rPr>
          <w:rFonts w:asciiTheme="minorHAnsi" w:hAnsiTheme="minorHAnsi" w:cstheme="minorHAnsi"/>
          <w:color w:val="auto"/>
          <w:sz w:val="20"/>
          <w:szCs w:val="20"/>
        </w:rPr>
        <w:t xml:space="preserve"> Additional gap cost-sharing reductions for applicable beneficiaries are communicated in the PBP at the tier level and sponsors may elect to provide this gap benefit for all drugs on a tier (full tier coverage) or a subset of drugs on a tier (partial tier coverage). If the additional gap cost-sharing reduction benefit for a brand labeled tier applies to only non-applicable (i.e., generic) drugs or both generic and applicable drugs on that tier, then the generic drug beneficiary coinsurance maximum of 17% applies. Injectable, Specialty, Select Care and Select Diabetic Drug labeled tiers for which additional gap coverage is offered, if any, will be analyzed in the same manner as brand labeled tiers with respect to beneficiary coinsurance maximums. Note, the beneficiary coinsurance maximums for the coverage gap reflect the plan liability, but exclude the 50% manufacturer discount for applicable drugs. </w:t>
      </w:r>
    </w:p>
    <w:p w14:paraId="3FA00742" w14:textId="45ACDB78" w:rsidR="004C5B0C" w:rsidRPr="001569FB" w:rsidRDefault="00566713" w:rsidP="004C5B0C">
      <w:pPr>
        <w:pStyle w:val="Heading3"/>
        <w:spacing w:before="600"/>
      </w:pPr>
      <w:bookmarkStart w:id="942" w:name="_Toc505253874"/>
      <w:bookmarkStart w:id="943" w:name="_Toc493523634"/>
      <w:bookmarkStart w:id="944" w:name="_Toc495652148"/>
      <w:bookmarkStart w:id="945" w:name="_Toc493523635"/>
      <w:bookmarkStart w:id="946" w:name="_Toc495652149"/>
      <w:r>
        <w:t>Section III</w:t>
      </w:r>
      <w:r w:rsidRPr="001569FB">
        <w:t xml:space="preserve"> </w:t>
      </w:r>
      <w:r w:rsidR="004C5B0C" w:rsidRPr="001569FB">
        <w:t>Specialty Tiers</w:t>
      </w:r>
      <w:bookmarkEnd w:id="942"/>
      <w:r w:rsidR="004C5B0C" w:rsidRPr="001569FB">
        <w:t xml:space="preserve"> </w:t>
      </w:r>
      <w:bookmarkEnd w:id="943"/>
      <w:bookmarkEnd w:id="944"/>
    </w:p>
    <w:p w14:paraId="79433D33"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Per 42 C.F.R. §423.578 (a)(7), a Part D sponsor may exempt a formulary tier in which it places very high cost and unique items from its tiering exception process. In order for a Part D drug to be placed on this specialty tier, the sponsor-negotiated price must exceed an established dollar-per-month threshold. Similar to past years, an analysis was performed utilizing CY 2017 </w:t>
      </w:r>
      <w:r w:rsidRPr="001569FB">
        <w:rPr>
          <w:rFonts w:asciiTheme="minorHAnsi" w:hAnsiTheme="minorHAnsi" w:cstheme="minorHAnsi"/>
          <w:color w:val="auto"/>
        </w:rPr>
        <w:lastRenderedPageBreak/>
        <w:t xml:space="preserve">prescription drug event (PDE) data to identify monthly fills that exceed the current specialty tier threshold of $670. This analysis showed that just around 1% of 30 day-equivalent fills exceeded $670 and as a result, CMS will maintain the $670 threshold for CY 2019. We will continue to monitor this trend in future years to determine if specialty tier threshold increases are necessary. </w:t>
      </w:r>
    </w:p>
    <w:p w14:paraId="238FBFA5" w14:textId="136C7359" w:rsidR="004C5B0C" w:rsidRPr="001569FB" w:rsidRDefault="00566713" w:rsidP="004C5B0C">
      <w:pPr>
        <w:pStyle w:val="Heading3"/>
      </w:pPr>
      <w:bookmarkStart w:id="947" w:name="_Toc505253875"/>
      <w:r>
        <w:t>Section III</w:t>
      </w:r>
      <w:r w:rsidRPr="001569FB">
        <w:t xml:space="preserve"> </w:t>
      </w:r>
      <w:r w:rsidR="004C5B0C" w:rsidRPr="001569FB">
        <w:t>Low Enrollment Plans (Stand-alone PDPs only)</w:t>
      </w:r>
      <w:bookmarkEnd w:id="945"/>
      <w:bookmarkEnd w:id="946"/>
      <w:bookmarkEnd w:id="947"/>
      <w:r w:rsidR="004C5B0C" w:rsidRPr="001569FB">
        <w:t xml:space="preserve"> </w:t>
      </w:r>
    </w:p>
    <w:p w14:paraId="5CB7E8FE" w14:textId="77777777" w:rsidR="004C5B0C" w:rsidRPr="001569FB" w:rsidRDefault="004C5B0C" w:rsidP="004C5B0C">
      <w:pPr>
        <w:ind w:left="-90"/>
      </w:pPr>
      <w:bookmarkStart w:id="948" w:name="_Toc443480694"/>
      <w:bookmarkStart w:id="949" w:name="_Toc493523636"/>
      <w:bookmarkEnd w:id="932"/>
      <w:r w:rsidRPr="001569FB">
        <w:t xml:space="preserve">CMS has the authority under 42 CFR §423.507(b)(1)(iii) to non-renew Part D plans (at the benefit package level) that do not have a sufficient number of enrollees to establish that they are viable plan options. CMS evaluates plan enrollment at the PDP region level. Consistent with the methodology outlined in the CY 2012 Call Letter, plans are deemed as low enrollment plans if both of the following are true: 1) the plan enrollment is below 1,000 and 2) the plan is in the lowest quintile of enrollment within the specific PDP region. Prior to taking additional action on a low enrollment plan, CMS considers relevant factors such as: (1) whether the plan is a basic plan that is satisfying requirements set forth at 42 CFR § 423.104(f)(2), and the organization’s enhanced plan does not have low enrollment in the same region; (2) whether the plan was a new plan and if it has been in existence for three or more years; (3) whether the plan is offered nationally; (4) the total number of plan offerings in the applicable region; and (5) if the plan’s premium currently falls at or below the low income benchmark premium amount. </w:t>
      </w:r>
      <w:bookmarkStart w:id="950" w:name="_Toc495652150"/>
      <w:r w:rsidRPr="001569FB">
        <w:t>When a plan is deemed to have low enrollment, the Part D sponsor will be provided the opportunity to provide a strategic plan that describes how enrollment will be increased for the upcoming plan year. Alternatively, the sponsor will have the option to consolidate or non-renew the plan. However, CMS proposes that if the plan is identified as a low enrollment plan for two consecutive years using the above criteria, CMS can exercise its authority to non-renew the plan. By April 2018, we will notify affected low enrollment plans with less than 1,000 enrollees of available options for consolidation/withdrawal options.</w:t>
      </w:r>
    </w:p>
    <w:p w14:paraId="16724020" w14:textId="4291CE43" w:rsidR="004C5B0C" w:rsidRPr="001569FB" w:rsidRDefault="00566713" w:rsidP="004C5B0C">
      <w:pPr>
        <w:pStyle w:val="Heading3"/>
      </w:pPr>
      <w:bookmarkStart w:id="951" w:name="_Toc505253876"/>
      <w:bookmarkEnd w:id="948"/>
      <w:bookmarkEnd w:id="949"/>
      <w:bookmarkEnd w:id="950"/>
      <w:r>
        <w:t>Section III</w:t>
      </w:r>
      <w:r w:rsidRPr="001569FB">
        <w:t xml:space="preserve"> </w:t>
      </w:r>
      <w:r w:rsidR="004C5B0C" w:rsidRPr="001569FB">
        <w:t>Improving Drug Utilization Review Controls in Medicare Part</w:t>
      </w:r>
      <w:r w:rsidR="004C5B0C" w:rsidRPr="001569FB">
        <w:rPr>
          <w:spacing w:val="-16"/>
        </w:rPr>
        <w:t xml:space="preserve"> </w:t>
      </w:r>
      <w:r w:rsidR="004C5B0C" w:rsidRPr="001569FB">
        <w:t>D</w:t>
      </w:r>
      <w:bookmarkEnd w:id="951"/>
    </w:p>
    <w:p w14:paraId="3812DC06" w14:textId="77777777" w:rsidR="004C5B0C" w:rsidRPr="001569FB" w:rsidRDefault="004C5B0C" w:rsidP="004C5B0C">
      <w:pPr>
        <w:pStyle w:val="Heading4"/>
      </w:pPr>
      <w:bookmarkStart w:id="952" w:name="_Toc493523637"/>
      <w:bookmarkStart w:id="953" w:name="_Toc495652151"/>
      <w:r w:rsidRPr="001569FB">
        <w:t>Part D Opioid Overutilization Policy</w:t>
      </w:r>
      <w:bookmarkEnd w:id="952"/>
      <w:bookmarkEnd w:id="953"/>
      <w:r w:rsidRPr="001569FB">
        <w:t xml:space="preserve"> </w:t>
      </w:r>
    </w:p>
    <w:p w14:paraId="468FA833" w14:textId="77777777" w:rsidR="004C5B0C" w:rsidRPr="001569FB" w:rsidRDefault="004C5B0C" w:rsidP="004C5B0C">
      <w:pPr>
        <w:pStyle w:val="Default"/>
        <w:rPr>
          <w:rFonts w:asciiTheme="minorHAnsi" w:hAnsiTheme="minorHAnsi" w:cstheme="minorHAnsi"/>
        </w:rPr>
      </w:pPr>
      <w:bookmarkStart w:id="954" w:name="_Toc493523638"/>
      <w:bookmarkStart w:id="955" w:name="_Toc495652152"/>
      <w:r w:rsidRPr="001569FB">
        <w:rPr>
          <w:rFonts w:asciiTheme="minorHAnsi" w:hAnsiTheme="minorHAnsi" w:cstheme="minorHAnsi"/>
        </w:rPr>
        <w:t xml:space="preserve">Opioid medications (“opioids”) have serious risks such as addiction, overdose, and death. In response to the growing national opioid epidemic, CMS’s Medicare Part D opioid overutilization policy has evolved incrementally to address prescription opioid overuse in Medicare Part D from a medication safety perspective while preserving beneficiary access to medically necessary drug regimens. Currently, in addition to improved formulary management, we expect sponsors to:  </w:t>
      </w:r>
    </w:p>
    <w:p w14:paraId="10347416" w14:textId="77777777" w:rsidR="004C5B0C" w:rsidRPr="001569FB" w:rsidRDefault="004C5B0C" w:rsidP="00AC78D9">
      <w:pPr>
        <w:pStyle w:val="Default"/>
        <w:numPr>
          <w:ilvl w:val="0"/>
          <w:numId w:val="45"/>
        </w:numPr>
        <w:spacing w:before="199" w:after="0"/>
        <w:ind w:left="900"/>
        <w:rPr>
          <w:rFonts w:asciiTheme="minorHAnsi" w:hAnsiTheme="minorHAnsi" w:cstheme="minorHAnsi"/>
        </w:rPr>
      </w:pPr>
      <w:r w:rsidRPr="001569FB">
        <w:rPr>
          <w:rFonts w:asciiTheme="minorHAnsi" w:hAnsiTheme="minorHAnsi" w:cstheme="minorHAnsi"/>
        </w:rPr>
        <w:t xml:space="preserve">Retrospectively perform enhanced drug utilization review (DUR) to identify potential opioid overutilizers and provide appropriate case management aimed at coordinated care. </w:t>
      </w:r>
    </w:p>
    <w:p w14:paraId="47563560" w14:textId="77777777" w:rsidR="004C5B0C" w:rsidRPr="001569FB" w:rsidRDefault="004C5B0C" w:rsidP="00AC78D9">
      <w:pPr>
        <w:pStyle w:val="Default"/>
        <w:numPr>
          <w:ilvl w:val="0"/>
          <w:numId w:val="45"/>
        </w:numPr>
        <w:spacing w:before="199"/>
        <w:ind w:left="907"/>
        <w:rPr>
          <w:rFonts w:asciiTheme="minorHAnsi" w:hAnsiTheme="minorHAnsi" w:cstheme="minorHAnsi"/>
        </w:rPr>
      </w:pPr>
      <w:r w:rsidRPr="001569FB">
        <w:rPr>
          <w:rFonts w:asciiTheme="minorHAnsi" w:hAnsiTheme="minorHAnsi" w:cstheme="minorHAnsi"/>
        </w:rPr>
        <w:t xml:space="preserve">Prospectively manage drug utilization by implementing real-time safety alerts at the time of dispensing as a preventive step to ensure prescribers are aware that potentially </w:t>
      </w:r>
      <w:r w:rsidRPr="001569FB">
        <w:rPr>
          <w:rFonts w:asciiTheme="minorHAnsi" w:hAnsiTheme="minorHAnsi" w:cstheme="minorHAnsi"/>
        </w:rPr>
        <w:lastRenderedPageBreak/>
        <w:t xml:space="preserve">high risk levels of prescription opioids will be dispensed to their patients (concurrent DUR). </w:t>
      </w:r>
    </w:p>
    <w:p w14:paraId="514A855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In the CY 2013 Call Letter and supplemental guidance, CMS described the enhanced DUR policy that focuses on cases that have the highest risk of adverse events.</w:t>
      </w:r>
      <w:r w:rsidRPr="001569FB">
        <w:rPr>
          <w:rStyle w:val="FootnoteReference"/>
          <w:rFonts w:asciiTheme="minorHAnsi" w:hAnsiTheme="minorHAnsi" w:cstheme="minorHAnsi"/>
        </w:rPr>
        <w:footnoteReference w:id="30"/>
      </w:r>
      <w:r w:rsidRPr="001569FB">
        <w:rPr>
          <w:rFonts w:asciiTheme="minorHAnsi" w:hAnsiTheme="minorHAnsi" w:cstheme="minorHAnsi"/>
        </w:rPr>
        <w:t xml:space="preserve"> Part D sponsors should identify potential opioid overutilizers and conduct retrospective reviews and case management. This approach can help identify beneficiaries at risk of adverse events due to prescription opioids. These efforts do not include beneficiaries with cancer or in hospice. Under our current policy, if sponsors cannot establish medical necessity due to unresponsive prescriber(s), or if misuse is verified with prescribers, with the prescribers’ agreement, sponsors may implement a beneficiary-specific claim edit at all network pharmacies that will result in the rejection of claims or quantities in excess of the opioid dosing deemed medically necessary.  </w:t>
      </w:r>
    </w:p>
    <w:p w14:paraId="32EAD9F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To facilitate compliance with this policy, CMS developed the Overutilization Management System (OMS) in July 2013. This system identifies those beneficiaries we consider at significant risk (high levels of opioids with potential coordination of care issues due to obtaining opioids from multiple prescribers and pharmacies). CMS expects plans to report back to us their results of implementing the review and case management policies through the OMS. Over time, CMS has modified the OMS opioid overutilization criteria based on stakeholder feedback and on the CDC Guideline for Prescribing Opioids for Chronic Pain.</w:t>
      </w:r>
      <w:r w:rsidRPr="001569FB">
        <w:rPr>
          <w:rStyle w:val="FootnoteReference"/>
          <w:rFonts w:asciiTheme="minorHAnsi" w:hAnsiTheme="minorHAnsi" w:cstheme="minorHAnsi"/>
        </w:rPr>
        <w:footnoteReference w:id="31"/>
      </w:r>
      <w:r w:rsidRPr="001569FB">
        <w:rPr>
          <w:rFonts w:asciiTheme="minorHAnsi" w:hAnsiTheme="minorHAnsi" w:cstheme="minorHAnsi"/>
        </w:rPr>
        <w:t xml:space="preserve"> With regard to the latter, the OMS criteria incorporate a 90 morphine milligram equivalent (MME) threshold cited in the CDC Guideline, which was developed by experts as the level that prescribers should generally avoid reaching with their patients. CMS considers plan and provider burden along with beneficiary impact in developing the OMS criteria. We have also continued to modify OMS in other ways as relevant information and guidelines have become available. For example, in October 2016, we added a flag to OMS indicating potential opioid overutilizers who have also been prescribed a benzodiazepine, which is known to increase risk of overdose when taken together.</w:t>
      </w:r>
    </w:p>
    <w:p w14:paraId="76B88D6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Although these efforts have reduced very high risk overutilization of prescription opioids in the Part D program, given the urgency and scope of the national opioid epidemic</w:t>
      </w:r>
      <w:r w:rsidRPr="001569FB">
        <w:rPr>
          <w:rStyle w:val="FootnoteReference"/>
          <w:rFonts w:asciiTheme="minorHAnsi" w:hAnsiTheme="minorHAnsi" w:cstheme="minorHAnsi"/>
        </w:rPr>
        <w:footnoteReference w:id="32"/>
      </w:r>
      <w:r w:rsidRPr="001569FB">
        <w:rPr>
          <w:rFonts w:asciiTheme="minorHAnsi" w:hAnsiTheme="minorHAnsi" w:cstheme="minorHAnsi"/>
        </w:rPr>
        <w:t xml:space="preserve">, we will propose new strategies to more effectively address this issue in Part D. Most notably, these efforts will better manage chronic overuse among beneficiaries who are taking high levels of prescription opioids (e.g., beneficiaries with 90 MME or more without multiple prescribers and pharmacies </w:t>
      </w:r>
      <w:r w:rsidRPr="001569FB">
        <w:rPr>
          <w:rFonts w:asciiTheme="minorHAnsi" w:hAnsiTheme="minorHAnsi" w:cstheme="minorHAnsi"/>
        </w:rPr>
        <w:lastRenderedPageBreak/>
        <w:t xml:space="preserve">who may not be addressed through the OMS) as well as opioid naïve patients. The proposals include: </w:t>
      </w:r>
    </w:p>
    <w:p w14:paraId="21159CDC"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Enhancing the OMS by adding additional flags for high risk beneficiaries who use “potentiator” drugs (such as gabapentin and pregabalin) in combination with prescription opioids. OMS already flags concurrent benzodiazepine use. </w:t>
      </w:r>
    </w:p>
    <w:p w14:paraId="552F61E3"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Implementing revisions to the PQA opioid quality measures used by CMS, and consideration of a new PQA measure, Concurrent Use of Opioids and Benzodiazepines. [See the Enhancements to the 2019 Star Ratings and Future Measurement Concepts section of the draft 2019 Call Letter]</w:t>
      </w:r>
    </w:p>
    <w:p w14:paraId="15CB23A0"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Expecting all sponsors to implement hard formulary-level cumulative opioid safety edits at point-of-sale (POS) at the pharmacy (which can only be overridden by the sponsor) at a dosage level of 90 MME per day</w:t>
      </w:r>
      <w:r w:rsidRPr="001569FB">
        <w:rPr>
          <w:rStyle w:val="FootnoteReference"/>
          <w:rFonts w:asciiTheme="minorHAnsi" w:hAnsiTheme="minorHAnsi" w:cstheme="minorHAnsi"/>
        </w:rPr>
        <w:footnoteReference w:id="33"/>
      </w:r>
      <w:r w:rsidRPr="001569FB">
        <w:rPr>
          <w:rFonts w:asciiTheme="minorHAnsi" w:hAnsiTheme="minorHAnsi" w:cstheme="minorHAnsi"/>
        </w:rPr>
        <w:t>, with a 7 days supply allowance.</w:t>
      </w:r>
    </w:p>
    <w:p w14:paraId="2D2262A7"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Implementing a days supply limit for initial fills of prescription opioids (e.g., 7 days) for the treatment of acute pain with or without a daily dose maximum (e.g., 50 MME per day). </w:t>
      </w:r>
    </w:p>
    <w:p w14:paraId="1B2F7CFB" w14:textId="77777777" w:rsidR="004C5B0C" w:rsidRPr="001569FB" w:rsidRDefault="004C5B0C" w:rsidP="00AC78D9">
      <w:pPr>
        <w:pStyle w:val="Default"/>
        <w:numPr>
          <w:ilvl w:val="0"/>
          <w:numId w:val="76"/>
        </w:numPr>
        <w:spacing w:before="199"/>
        <w:rPr>
          <w:rFonts w:asciiTheme="minorHAnsi" w:hAnsiTheme="minorHAnsi" w:cstheme="minorHAnsi"/>
        </w:rPr>
      </w:pPr>
      <w:r w:rsidRPr="001569FB">
        <w:rPr>
          <w:rFonts w:asciiTheme="minorHAnsi" w:hAnsiTheme="minorHAnsi" w:cstheme="minorHAnsi"/>
        </w:rPr>
        <w:t>Expecting all sponsors to implement soft POS safety edits (which can be overridden by a pharmacist) based on duplicative therapy of multiple long-acting opioids, and request feedback on concurrent prescription opioid and benzodiazepine soft edits.</w:t>
      </w:r>
    </w:p>
    <w:p w14:paraId="07DA7AA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We welcome feedback on this important topic. All Part D sponsors are expected to have a documented, written strategy for addressing overutilization of prescription opioids given the public health crisis.</w:t>
      </w:r>
    </w:p>
    <w:p w14:paraId="639F5D56" w14:textId="77777777" w:rsidR="004C5B0C" w:rsidRPr="001569FB" w:rsidRDefault="004C5B0C" w:rsidP="004C5B0C">
      <w:pPr>
        <w:pStyle w:val="Heading4"/>
      </w:pPr>
      <w:r w:rsidRPr="001569FB">
        <w:t>Retrospective DUR</w:t>
      </w:r>
      <w:bookmarkEnd w:id="954"/>
      <w:bookmarkEnd w:id="955"/>
      <w:r w:rsidRPr="001569FB">
        <w:t xml:space="preserve"> </w:t>
      </w:r>
    </w:p>
    <w:p w14:paraId="73CC86D4" w14:textId="77777777" w:rsidR="004C5B0C" w:rsidRPr="001569FB" w:rsidRDefault="004C5B0C" w:rsidP="004C5B0C">
      <w:pPr>
        <w:pStyle w:val="SectionTitle"/>
        <w:numPr>
          <w:ilvl w:val="0"/>
          <w:numId w:val="0"/>
        </w:numPr>
        <w:ind w:left="720"/>
        <w:rPr>
          <w:b w:val="0"/>
        </w:rPr>
      </w:pPr>
      <w:r w:rsidRPr="001569FB">
        <w:rPr>
          <w:b w:val="0"/>
        </w:rPr>
        <w:t>Comprehensive Addiction and Recovery Act of 2016 and the Overutilization Monitoring System (OMS)</w:t>
      </w:r>
    </w:p>
    <w:p w14:paraId="085D640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Section 704 of the Comprehensive Addiction and Recovery Act of 2016 (CARA) (Pub. L. 114-198) includes provisions that permit Part D sponsors to establish drug management programs for at-risk beneficiaries under which Part D sponsors may limit such beneficiaries’ access to coverage for frequently abused drugs to certain prescribers and pharmacies.  </w:t>
      </w:r>
    </w:p>
    <w:p w14:paraId="01D2774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a recently published proposed rule (82 FR 56336), CMS included provisions to implement Section 704 for plan year 2019. As part of these provisions, we also proposed to codify the </w:t>
      </w:r>
      <w:r w:rsidRPr="001569FB">
        <w:rPr>
          <w:rFonts w:asciiTheme="minorHAnsi" w:hAnsiTheme="minorHAnsi" w:cstheme="minorHAnsi"/>
        </w:rPr>
        <w:lastRenderedPageBreak/>
        <w:t xml:space="preserve">current Part D retrospective opioid overutilization policy and OMS reporting. We will consider the comments we received that were submitted in response to the notice of proposed rulemaking. We plan to publish a final rule with sufficient time for Part D sponsors to consider it in preparing their 2019 bid proposals.  </w:t>
      </w:r>
    </w:p>
    <w:p w14:paraId="0236640B" w14:textId="77777777" w:rsidR="004C5B0C" w:rsidRPr="001569FB" w:rsidRDefault="004C5B0C" w:rsidP="004C5B0C">
      <w:pPr>
        <w:keepNext/>
        <w:keepLines/>
        <w:tabs>
          <w:tab w:val="left" w:pos="360"/>
        </w:tabs>
        <w:kinsoku w:val="0"/>
        <w:overflowPunct w:val="0"/>
        <w:autoSpaceDE w:val="0"/>
        <w:autoSpaceDN w:val="0"/>
        <w:adjustRightInd w:val="0"/>
        <w:ind w:right="115"/>
        <w:rPr>
          <w:i/>
        </w:rPr>
      </w:pPr>
      <w:r w:rsidRPr="001569FB">
        <w:rPr>
          <w:i/>
        </w:rPr>
        <w:t>OMS Metrics</w:t>
      </w:r>
    </w:p>
    <w:p w14:paraId="7BA8A28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The Opioid Daily Dose metric was added to the quarterly OMS reports in 2016 for informational purposes:</w:t>
      </w:r>
    </w:p>
    <w:p w14:paraId="0F703683"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12 months.</w:t>
      </w:r>
    </w:p>
    <w:p w14:paraId="5EE7FC35"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Since the January 2016 OMS report, we have observed a 10% decrease in the Opioid Daily Dose rate across all Part D contracts, from 122.4 to 109.7 per 1,000 opioid utilization days. </w:t>
      </w:r>
    </w:p>
    <w:p w14:paraId="04C3551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Beginning with the 2018 OMS reports, we propose to change the Opioid Daily Dose measurement period from 12 months to 6 months to align with the revised OMS criteria measurement period.  In addition, we propose to report a second Opioid Daily Dose rate with a 90 MME threshold to further align with the revised 2018 OMS criteria.  Therefore, in the April 2018 OMS reports, CMS will report:</w:t>
      </w:r>
    </w:p>
    <w:p w14:paraId="54A368E2"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90 MME Opioid Daily Dose rate: # opioid days &gt; 90 MME/1000 Opioid utilization days during the last 6 months.</w:t>
      </w:r>
    </w:p>
    <w:p w14:paraId="1BFB7BAC"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6 months.</w:t>
      </w:r>
    </w:p>
    <w:p w14:paraId="19C4399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We propose to discontinue reporting the 120 MME Opioid Daily Dose rate in the 2019 OMS reports.  </w:t>
      </w:r>
    </w:p>
    <w:p w14:paraId="17E25A55" w14:textId="77777777" w:rsidR="004C5B0C" w:rsidRPr="001569FB" w:rsidRDefault="004C5B0C" w:rsidP="00CB7A65">
      <w:pPr>
        <w:keepNext/>
        <w:keepLines/>
        <w:tabs>
          <w:tab w:val="left" w:pos="360"/>
        </w:tabs>
        <w:kinsoku w:val="0"/>
        <w:overflowPunct w:val="0"/>
        <w:autoSpaceDE w:val="0"/>
        <w:autoSpaceDN w:val="0"/>
        <w:adjustRightInd w:val="0"/>
        <w:spacing w:after="200"/>
        <w:ind w:right="115"/>
        <w:rPr>
          <w:i/>
        </w:rPr>
      </w:pPr>
      <w:r w:rsidRPr="001569FB">
        <w:rPr>
          <w:i/>
        </w:rPr>
        <w:t>Opioid Potentiator Drugs</w:t>
      </w:r>
    </w:p>
    <w:p w14:paraId="61B027BF"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As previously mentioned, </w:t>
      </w:r>
      <w:r w:rsidRPr="001569FB">
        <w:rPr>
          <w:rFonts w:eastAsiaTheme="minorHAnsi"/>
        </w:rPr>
        <w:t xml:space="preserve">we added a concurrent benzodiazepine-opioid flag to OMS to alert Part D sponsors that concurrent use may be an issue that should be addressed during case management. </w:t>
      </w:r>
      <w:r w:rsidRPr="001569FB">
        <w:t xml:space="preserve">In October 2016, when CMS began reporting the concurrent use of benzodiazepines among potential opioid overutilizers to Part D sponsors through OMS, we found that 64% of potential opioid overutilizers had a claim(s) for a benzodiazepine. A year later the percent dropped to 62%. Although the trend is going in the right direction, we find that the continued high use of benzodiazepines within this high risk population to be of concern and will continue to flag this use. </w:t>
      </w:r>
    </w:p>
    <w:p w14:paraId="3DF1C56B" w14:textId="77777777" w:rsidR="004C5B0C" w:rsidRPr="001569FB" w:rsidRDefault="004C5B0C" w:rsidP="00CB7A65">
      <w:pPr>
        <w:tabs>
          <w:tab w:val="left" w:pos="360"/>
        </w:tabs>
        <w:kinsoku w:val="0"/>
        <w:overflowPunct w:val="0"/>
        <w:autoSpaceDE w:val="0"/>
        <w:autoSpaceDN w:val="0"/>
        <w:adjustRightInd w:val="0"/>
        <w:spacing w:after="200"/>
        <w:ind w:right="115"/>
      </w:pPr>
      <w:r w:rsidRPr="001569FB">
        <w:rPr>
          <w:rFonts w:eastAsiaTheme="minorHAnsi"/>
        </w:rPr>
        <w:t>We have been working with the Office of the Inspector General (OIG) to identify other non-opioid potentiator</w:t>
      </w:r>
      <w:r w:rsidRPr="001569FB">
        <w:rPr>
          <w:rStyle w:val="FootnoteReference"/>
          <w:rFonts w:eastAsiaTheme="minorHAnsi"/>
        </w:rPr>
        <w:footnoteReference w:id="34"/>
      </w:r>
      <w:r w:rsidRPr="001569FB">
        <w:rPr>
          <w:rFonts w:eastAsiaTheme="minorHAnsi"/>
        </w:rPr>
        <w:t xml:space="preserve"> drugs that may pose safety risks when misused with opioids. </w:t>
      </w:r>
      <w:r w:rsidRPr="001569FB">
        <w:t xml:space="preserve">Gabapentin, a </w:t>
      </w:r>
      <w:r w:rsidRPr="001569FB">
        <w:lastRenderedPageBreak/>
        <w:t>gapapentinoid, has been identified as an independent risk factor for opioid-related deaths and is reportedly misused due to the euphoria associated with use at high doses.</w:t>
      </w:r>
      <w:r w:rsidRPr="001569FB">
        <w:rPr>
          <w:rStyle w:val="FootnoteReference"/>
        </w:rPr>
        <w:footnoteReference w:id="35"/>
      </w:r>
      <w:r w:rsidRPr="001569FB">
        <w:rPr>
          <w:vertAlign w:val="superscript"/>
        </w:rPr>
        <w:t>,</w:t>
      </w:r>
      <w:r w:rsidRPr="001569FB">
        <w:rPr>
          <w:rStyle w:val="FootnoteReference"/>
        </w:rPr>
        <w:footnoteReference w:id="36"/>
      </w:r>
      <w:r w:rsidRPr="001569FB">
        <w:t xml:space="preserve"> The increasing use of gabapentin for off-label indications, despite the lack of evidence from clinical trials, has been documented in the literature.</w:t>
      </w:r>
      <w:r w:rsidRPr="001569FB">
        <w:rPr>
          <w:rStyle w:val="FootnoteReference"/>
        </w:rPr>
        <w:footnoteReference w:id="37"/>
      </w:r>
      <w:r w:rsidRPr="001569FB">
        <w:rPr>
          <w:vertAlign w:val="superscript"/>
        </w:rPr>
        <w:t>,</w:t>
      </w:r>
      <w:r w:rsidRPr="001569FB">
        <w:rPr>
          <w:rStyle w:val="FootnoteReference"/>
        </w:rPr>
        <w:footnoteReference w:id="38"/>
      </w:r>
      <w:r w:rsidRPr="001569FB">
        <w:t xml:space="preserve"> One such off label indication is non-specific chronic lower back pain, which is on the rise.</w:t>
      </w:r>
      <w:r w:rsidRPr="001569FB">
        <w:rPr>
          <w:rStyle w:val="FootnoteReference"/>
        </w:rPr>
        <w:footnoteReference w:id="39"/>
      </w:r>
      <w:r w:rsidRPr="001569FB">
        <w:t xml:space="preserve"> As the focus on opioid use is intensifying, clinicians and patients may be looking for alternatives for their pain treatment.</w:t>
      </w:r>
      <w:r w:rsidRPr="001569FB">
        <w:rPr>
          <w:rStyle w:val="FootnoteReference"/>
        </w:rPr>
        <w:footnoteReference w:id="40"/>
      </w:r>
      <w:r w:rsidRPr="001569FB">
        <w:t xml:space="preserve"> Currently, gabapentin is FDA-approved for the treatment of postherpetic neuralgia in adults and the treatment of partial onset seizures.</w:t>
      </w:r>
    </w:p>
    <w:p w14:paraId="7F2F7D72" w14:textId="77777777" w:rsidR="004C5B0C" w:rsidRPr="001569FB" w:rsidRDefault="004C5B0C" w:rsidP="004C5B0C">
      <w:pPr>
        <w:tabs>
          <w:tab w:val="left" w:pos="360"/>
        </w:tabs>
        <w:kinsoku w:val="0"/>
        <w:overflowPunct w:val="0"/>
        <w:autoSpaceDE w:val="0"/>
        <w:autoSpaceDN w:val="0"/>
        <w:adjustRightInd w:val="0"/>
        <w:ind w:right="115"/>
      </w:pPr>
      <w:r w:rsidRPr="001569FB">
        <w:t>From 2015 to 2017, the rate of gabapentin users increased by 14% from 93 to 108 users per 1,000 Medicare Part enrollees based on 6-month measurement periods. Higher gabapentin use was observed among opioid users. From January to June 2017, there were 308 gabapentin users per 1,000 Part D chronic opioid users</w:t>
      </w:r>
      <w:r w:rsidRPr="001569FB">
        <w:rPr>
          <w:rStyle w:val="FootnoteReference"/>
        </w:rPr>
        <w:footnoteReference w:id="41"/>
      </w:r>
      <w:r w:rsidRPr="001569FB">
        <w:t>, and 452 gabapentin users per 1,000 OMS potential opioid overutilizers.</w:t>
      </w:r>
      <w:r w:rsidRPr="001569FB">
        <w:rPr>
          <w:rStyle w:val="FootnoteReference"/>
        </w:rPr>
        <w:footnoteReference w:id="42"/>
      </w:r>
      <w:r w:rsidRPr="001569FB">
        <w:t xml:space="preserve"> From January - June 2015 to January - June 2017, we observed a change in the percent of gabapentin users receiving very high (&gt; 2,400 mg) doses among opioid users and chronic opioid users of 7.5% and 8.5%, respectively. CMS is concerned that the increase in gabapentin use and higher doses among opioid users may place beneficiaries at a higher risk for adverse events. These safety concerns extend to pregabalin, which is also a gapapentinoid. </w:t>
      </w:r>
    </w:p>
    <w:p w14:paraId="5BEC8DFA"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We propose to add a concurrent opioid-gabapentin/pregabalin flag to OMS. We are requesting feedback from stakeholders about what their experience has been with the potential overuse of gabapentin and pregabalin with opioids, whether this additional flag would be useful for Part D sponsors, and how the case management approach could help with gabapentin/pregabalin-opioid misuse and also with other potentiators. Furthermore, we seek comment on other potentiator drugs that should be added to the OMS and the utility of adding such drugs that may increase the risk for overdose when used with opioids. As with concurrent benzodiazepine and opioid use, we expect that when sponsors perform case management, they would include the </w:t>
      </w:r>
      <w:r w:rsidRPr="001569FB">
        <w:lastRenderedPageBreak/>
        <w:t xml:space="preserve">use of other drugs (e.g., gabapentin and pregabalin) that can potentiate the risk of overdose within the case management. </w:t>
      </w:r>
    </w:p>
    <w:p w14:paraId="1D0F8A90" w14:textId="77777777" w:rsidR="004C5B0C" w:rsidRPr="001569FB" w:rsidRDefault="004C5B0C" w:rsidP="00980C81">
      <w:pPr>
        <w:pStyle w:val="SectionTitle"/>
        <w:keepNext/>
        <w:numPr>
          <w:ilvl w:val="0"/>
          <w:numId w:val="0"/>
        </w:numPr>
        <w:spacing w:before="200"/>
        <w:ind w:left="720"/>
        <w:rPr>
          <w:b w:val="0"/>
        </w:rPr>
      </w:pPr>
      <w:r w:rsidRPr="001569FB">
        <w:rPr>
          <w:b w:val="0"/>
        </w:rPr>
        <w:t xml:space="preserve">Patient Safety Reporting </w:t>
      </w:r>
    </w:p>
    <w:p w14:paraId="7843688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CMS also uses quality measures developed by the PQA to track trends in opioid overuse across the Medicare Part D program. The Enhancements to the 2019 Star Ratings and Future Measurement Concepts section of the draft 2019 Call Letter discusses the implementation of changes to the PQA-endorsed opioid overutilization measures in the Patient Safety reports and proposals for the display page, and consideration of a new PQA measure, Concurrent Use of Opioids and Benzodiazepines. </w:t>
      </w:r>
    </w:p>
    <w:p w14:paraId="4D0D5E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Since 2016, sponsors have received monthly Patient Safety reports based on the PQA opioid measures. We communicate with plans about their performance on these quality measures, including sharing information about specific beneficiaries identified, and plan sponsors with the lowest rating on each measure should report actions they will take to improve performance.</w:t>
      </w:r>
    </w:p>
    <w:p w14:paraId="14E5B66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Sponsors may use the reports to supplement their DUR programs to address overutilization of opioids across a population broader than OMS. CMS expects sponsors to routinely monitor these data to compare their performance to overall averages and assess their progress in reducing the number of beneficiaries using high doses of opioids, with or without multiple providers and pharmacies. </w:t>
      </w:r>
    </w:p>
    <w:p w14:paraId="4B93A8F8" w14:textId="77777777" w:rsidR="004C5B0C" w:rsidRPr="001569FB" w:rsidRDefault="004C5B0C" w:rsidP="004C5B0C">
      <w:pPr>
        <w:pStyle w:val="Heading4"/>
      </w:pPr>
      <w:bookmarkStart w:id="956" w:name="_Toc493523639"/>
      <w:bookmarkStart w:id="957" w:name="_Toc495652153"/>
      <w:bookmarkStart w:id="958" w:name="_Toc500841348"/>
      <w:r w:rsidRPr="001569FB">
        <w:t>Concurrent DUR</w:t>
      </w:r>
      <w:bookmarkEnd w:id="956"/>
      <w:bookmarkEnd w:id="957"/>
      <w:bookmarkEnd w:id="958"/>
    </w:p>
    <w:p w14:paraId="7AC60F3A" w14:textId="77777777" w:rsidR="004C5B0C" w:rsidRPr="001569FB" w:rsidRDefault="004C5B0C" w:rsidP="00C27EFC">
      <w:pPr>
        <w:spacing w:after="200"/>
      </w:pPr>
      <w:r w:rsidRPr="001569FB">
        <w:t>Part D sponsors commonly implement safety edits to prevent the unsafe dosing of drugs at the time of dispensing as part of their concurrent DUR requirements for all Part D drugs, such as drug-drug interactions, therapeutic duplication, or an incorrect drug dosage (e.g., doses above the FDA-approved maximum dosing). We wish to strengthen this aspect of the current Part D opioid overutilization policy, as follows. We note that PACE organizations are expected to comply with these policies unless they do not adjudicate claims at POS.</w:t>
      </w:r>
    </w:p>
    <w:p w14:paraId="1B431BCF" w14:textId="77777777" w:rsidR="004C5B0C" w:rsidRPr="001569FB" w:rsidRDefault="004C5B0C" w:rsidP="004C5B0C">
      <w:pPr>
        <w:pStyle w:val="SectionTitle"/>
        <w:numPr>
          <w:ilvl w:val="0"/>
          <w:numId w:val="0"/>
        </w:numPr>
        <w:ind w:left="720"/>
        <w:rPr>
          <w:b w:val="0"/>
        </w:rPr>
      </w:pPr>
      <w:r w:rsidRPr="001569FB">
        <w:rPr>
          <w:b w:val="0"/>
        </w:rPr>
        <w:t>Cumulative Morphine Milligram Equivalent Daily Dose (MME) Safety Edits for High, Chronic Prescription Opioid Users</w:t>
      </w:r>
    </w:p>
    <w:p w14:paraId="788E91DD" w14:textId="77777777" w:rsidR="004C5B0C" w:rsidRPr="001569FB" w:rsidRDefault="004C5B0C" w:rsidP="00C27EFC">
      <w:pPr>
        <w:spacing w:after="200"/>
      </w:pPr>
      <w:r w:rsidRPr="001569FB">
        <w:t>Sponsors are currently expected to implement either soft and/or hard formulary-level safety edits for opioids based on a cumulative MME at POS to prevent potentially unsafe opioid dosing, as outlined and finalized in the 2017 and 2018 Call Letters. Plans may set any soft cumulative opioid claim edit MME threshold at or above 90 mg per day and any hard cumulative opioid claim edit at or above 200 mg per day.</w:t>
      </w:r>
    </w:p>
    <w:p w14:paraId="107EB7EF" w14:textId="77777777" w:rsidR="004C5B0C" w:rsidRPr="001569FB" w:rsidRDefault="004C5B0C" w:rsidP="00C27EFC">
      <w:pPr>
        <w:spacing w:after="200"/>
      </w:pPr>
      <w:r w:rsidRPr="001569FB">
        <w:t xml:space="preserve">These POS edits provide real-time information to help ensure providers are aware that potentially high risk levels of opioids will be dispensed to their patients, and to promote care coordination. Specifically, the POS edits are triggered at the pharmacy when a patient’s total </w:t>
      </w:r>
      <w:r w:rsidRPr="001569FB">
        <w:lastRenderedPageBreak/>
        <w:t xml:space="preserve">opioid dose across all of their adjudicated prescriptions reaches a certain MME level per day. The pharmacist receives an alert and then action must be taken before the prescription can be covered. We also encourage pharmacists to review the patient’s records in their State’s Prescription Drug Monitoring Program (PDMP) system (See </w:t>
      </w:r>
      <w:r w:rsidRPr="001569FB">
        <w:rPr>
          <w:bCs/>
        </w:rPr>
        <w:t xml:space="preserve">Medicare Learning Network (MLN) Matters® </w:t>
      </w:r>
      <w:r w:rsidRPr="001569FB">
        <w:t xml:space="preserve">Article SE1250: Prescription Drug Monitoring Programs: A Resource to Help Address Prescription Drug Abuse and Diversion: https://www.cms.gov/outreach-and-education/medicare-learning-network-mln/mlnmattersarticles/downloads/se1250.pdf). </w:t>
      </w:r>
    </w:p>
    <w:p w14:paraId="68630DFC" w14:textId="77777777" w:rsidR="004C5B0C" w:rsidRPr="001569FB" w:rsidRDefault="004C5B0C" w:rsidP="004C5B0C">
      <w:r w:rsidRPr="001569FB">
        <w:t>As shown in Table 26, in 2017, the first year that sponsors were expected to have either a soft and/or hard edit, 51% of contracts (320 contracts) utilized a hard edit. In 2018, 50% of contracts (341 contracts) implemented a hard edit.</w:t>
      </w:r>
    </w:p>
    <w:p w14:paraId="3B1C654C" w14:textId="77777777" w:rsidR="004C5B0C" w:rsidRPr="001569FB" w:rsidRDefault="004C5B0C" w:rsidP="004C5B0C">
      <w:pPr>
        <w:pStyle w:val="Caption"/>
      </w:pPr>
      <w:r w:rsidRPr="001569FB">
        <w:t xml:space="preserve">Table </w:t>
      </w:r>
      <w:fldSimple w:instr=" SEQ Table \* ARABIC ">
        <w:r w:rsidR="00A216EC">
          <w:rPr>
            <w:noProof/>
          </w:rPr>
          <w:t>26</w:t>
        </w:r>
      </w:fldSimple>
      <w:r w:rsidRPr="001569FB">
        <w:t>: Counts of Part D contracts with soft and/or hard MME edits</w:t>
      </w:r>
    </w:p>
    <w:tbl>
      <w:tblPr>
        <w:tblW w:w="9540" w:type="dxa"/>
        <w:tblInd w:w="-10" w:type="dxa"/>
        <w:tblLayout w:type="fixed"/>
        <w:tblLook w:val="04A0" w:firstRow="1" w:lastRow="0" w:firstColumn="1" w:lastColumn="0" w:noHBand="0" w:noVBand="1"/>
      </w:tblPr>
      <w:tblGrid>
        <w:gridCol w:w="1136"/>
        <w:gridCol w:w="1204"/>
        <w:gridCol w:w="1260"/>
        <w:gridCol w:w="1080"/>
        <w:gridCol w:w="1260"/>
        <w:gridCol w:w="1350"/>
        <w:gridCol w:w="1080"/>
        <w:gridCol w:w="1170"/>
      </w:tblGrid>
      <w:tr w:rsidR="004C5B0C" w:rsidRPr="001569FB" w14:paraId="6A5846A6" w14:textId="77777777" w:rsidTr="004C5B0C">
        <w:trPr>
          <w:cantSplit/>
          <w:trHeight w:val="948"/>
          <w:tblHeader/>
        </w:trPr>
        <w:tc>
          <w:tcPr>
            <w:tcW w:w="11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66EBE7" w14:textId="77777777" w:rsidR="004C5B0C" w:rsidRPr="001569FB" w:rsidRDefault="004C5B0C" w:rsidP="004C5B0C">
            <w:pPr>
              <w:keepNext/>
              <w:keepLines/>
              <w:spacing w:line="240" w:lineRule="auto"/>
              <w:rPr>
                <w:b/>
                <w:bCs/>
                <w:color w:val="000000"/>
              </w:rPr>
            </w:pPr>
            <w:r w:rsidRPr="001569FB">
              <w:rPr>
                <w:b/>
                <w:bCs/>
                <w:color w:val="000000"/>
              </w:rPr>
              <w:t>Contract</w:t>
            </w:r>
          </w:p>
        </w:tc>
        <w:tc>
          <w:tcPr>
            <w:tcW w:w="2464" w:type="dxa"/>
            <w:gridSpan w:val="2"/>
            <w:tcBorders>
              <w:top w:val="single" w:sz="8" w:space="0" w:color="auto"/>
              <w:left w:val="nil"/>
              <w:bottom w:val="single" w:sz="8" w:space="0" w:color="auto"/>
              <w:right w:val="single" w:sz="8" w:space="0" w:color="000000"/>
            </w:tcBorders>
            <w:shd w:val="clear" w:color="auto" w:fill="auto"/>
            <w:vAlign w:val="center"/>
            <w:hideMark/>
          </w:tcPr>
          <w:p w14:paraId="4674C7D9" w14:textId="77777777" w:rsidR="004C5B0C" w:rsidRPr="001569FB" w:rsidRDefault="004C5B0C" w:rsidP="004C5B0C">
            <w:pPr>
              <w:keepNext/>
              <w:keepLines/>
              <w:spacing w:line="240" w:lineRule="auto"/>
              <w:jc w:val="center"/>
              <w:rPr>
                <w:b/>
                <w:bCs/>
                <w:color w:val="000000"/>
              </w:rPr>
            </w:pPr>
            <w:r w:rsidRPr="001569FB">
              <w:rPr>
                <w:b/>
                <w:bCs/>
                <w:color w:val="000000"/>
              </w:rPr>
              <w:t>Contracts with Hard Edit only</w:t>
            </w:r>
          </w:p>
        </w:tc>
        <w:tc>
          <w:tcPr>
            <w:tcW w:w="2340" w:type="dxa"/>
            <w:gridSpan w:val="2"/>
            <w:tcBorders>
              <w:top w:val="single" w:sz="8" w:space="0" w:color="auto"/>
              <w:left w:val="nil"/>
              <w:bottom w:val="single" w:sz="8" w:space="0" w:color="auto"/>
              <w:right w:val="single" w:sz="8" w:space="0" w:color="000000"/>
            </w:tcBorders>
            <w:shd w:val="clear" w:color="auto" w:fill="auto"/>
            <w:vAlign w:val="center"/>
            <w:hideMark/>
          </w:tcPr>
          <w:p w14:paraId="09239BE3" w14:textId="77777777" w:rsidR="004C5B0C" w:rsidRPr="001569FB" w:rsidRDefault="004C5B0C" w:rsidP="004C5B0C">
            <w:pPr>
              <w:keepNext/>
              <w:keepLines/>
              <w:spacing w:line="240" w:lineRule="auto"/>
              <w:jc w:val="center"/>
              <w:rPr>
                <w:b/>
                <w:bCs/>
                <w:color w:val="000000"/>
              </w:rPr>
            </w:pPr>
            <w:r w:rsidRPr="001569FB">
              <w:rPr>
                <w:b/>
                <w:bCs/>
                <w:color w:val="000000"/>
              </w:rPr>
              <w:t>Contracts with Soft Edit only</w:t>
            </w:r>
          </w:p>
        </w:tc>
        <w:tc>
          <w:tcPr>
            <w:tcW w:w="2430" w:type="dxa"/>
            <w:gridSpan w:val="2"/>
            <w:tcBorders>
              <w:top w:val="single" w:sz="8" w:space="0" w:color="auto"/>
              <w:left w:val="nil"/>
              <w:bottom w:val="single" w:sz="8" w:space="0" w:color="auto"/>
              <w:right w:val="single" w:sz="8" w:space="0" w:color="000000"/>
            </w:tcBorders>
            <w:shd w:val="clear" w:color="auto" w:fill="auto"/>
            <w:vAlign w:val="center"/>
            <w:hideMark/>
          </w:tcPr>
          <w:p w14:paraId="362014F4" w14:textId="77777777" w:rsidR="004C5B0C" w:rsidRPr="001569FB" w:rsidRDefault="004C5B0C" w:rsidP="004C5B0C">
            <w:pPr>
              <w:keepNext/>
              <w:keepLines/>
              <w:spacing w:line="240" w:lineRule="auto"/>
              <w:jc w:val="center"/>
              <w:rPr>
                <w:b/>
                <w:bCs/>
                <w:color w:val="000000"/>
              </w:rPr>
            </w:pPr>
            <w:r w:rsidRPr="001569FB">
              <w:rPr>
                <w:b/>
                <w:bCs/>
                <w:color w:val="000000"/>
              </w:rPr>
              <w:t>Contracts with both Hard and Soft edits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07D0A50B" w14:textId="77777777" w:rsidR="004C5B0C" w:rsidRPr="001569FB" w:rsidRDefault="004C5B0C" w:rsidP="004C5B0C">
            <w:pPr>
              <w:keepNext/>
              <w:keepLines/>
              <w:spacing w:line="240" w:lineRule="auto"/>
              <w:rPr>
                <w:b/>
                <w:bCs/>
                <w:color w:val="000000"/>
              </w:rPr>
            </w:pPr>
            <w:r w:rsidRPr="001569FB">
              <w:rPr>
                <w:b/>
                <w:bCs/>
                <w:color w:val="000000"/>
              </w:rPr>
              <w:t>Total contracts</w:t>
            </w:r>
          </w:p>
        </w:tc>
      </w:tr>
      <w:tr w:rsidR="004C5B0C" w:rsidRPr="001569FB" w14:paraId="2A02107F" w14:textId="77777777" w:rsidTr="004C5B0C">
        <w:trPr>
          <w:cantSplit/>
          <w:trHeight w:val="636"/>
          <w:tblHeader/>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579B3C39" w14:textId="77777777" w:rsidR="004C5B0C" w:rsidRPr="001569FB" w:rsidRDefault="004C5B0C" w:rsidP="004C5B0C">
            <w:pPr>
              <w:keepNext/>
              <w:keepLines/>
              <w:spacing w:line="240" w:lineRule="auto"/>
              <w:rPr>
                <w:b/>
                <w:bCs/>
                <w:color w:val="000000"/>
              </w:rPr>
            </w:pPr>
            <w:r w:rsidRPr="001569FB">
              <w:rPr>
                <w:b/>
                <w:bCs/>
                <w:color w:val="000000"/>
              </w:rPr>
              <w:t>Year</w:t>
            </w:r>
          </w:p>
        </w:tc>
        <w:tc>
          <w:tcPr>
            <w:tcW w:w="1204" w:type="dxa"/>
            <w:tcBorders>
              <w:top w:val="nil"/>
              <w:left w:val="nil"/>
              <w:bottom w:val="single" w:sz="8" w:space="0" w:color="auto"/>
              <w:right w:val="single" w:sz="8" w:space="0" w:color="auto"/>
            </w:tcBorders>
            <w:shd w:val="clear" w:color="auto" w:fill="auto"/>
            <w:vAlign w:val="center"/>
            <w:hideMark/>
          </w:tcPr>
          <w:p w14:paraId="7962427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499C3D9F"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080" w:type="dxa"/>
            <w:tcBorders>
              <w:top w:val="nil"/>
              <w:left w:val="nil"/>
              <w:bottom w:val="single" w:sz="8" w:space="0" w:color="auto"/>
              <w:right w:val="single" w:sz="8" w:space="0" w:color="auto"/>
            </w:tcBorders>
            <w:shd w:val="clear" w:color="auto" w:fill="auto"/>
            <w:vAlign w:val="center"/>
            <w:hideMark/>
          </w:tcPr>
          <w:p w14:paraId="09F4E2BE"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12AB4EAB"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350" w:type="dxa"/>
            <w:tcBorders>
              <w:top w:val="nil"/>
              <w:left w:val="nil"/>
              <w:bottom w:val="single" w:sz="8" w:space="0" w:color="auto"/>
              <w:right w:val="single" w:sz="8" w:space="0" w:color="auto"/>
            </w:tcBorders>
            <w:shd w:val="clear" w:color="auto" w:fill="auto"/>
            <w:vAlign w:val="center"/>
            <w:hideMark/>
          </w:tcPr>
          <w:p w14:paraId="50F5C01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080" w:type="dxa"/>
            <w:tcBorders>
              <w:top w:val="nil"/>
              <w:left w:val="nil"/>
              <w:bottom w:val="single" w:sz="8" w:space="0" w:color="auto"/>
              <w:right w:val="single" w:sz="8" w:space="0" w:color="auto"/>
            </w:tcBorders>
            <w:shd w:val="clear" w:color="auto" w:fill="auto"/>
            <w:vAlign w:val="center"/>
            <w:hideMark/>
          </w:tcPr>
          <w:p w14:paraId="7ED67D74"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170" w:type="dxa"/>
            <w:tcBorders>
              <w:top w:val="nil"/>
              <w:left w:val="nil"/>
              <w:bottom w:val="single" w:sz="8" w:space="0" w:color="auto"/>
              <w:right w:val="single" w:sz="8" w:space="0" w:color="auto"/>
            </w:tcBorders>
            <w:shd w:val="clear" w:color="auto" w:fill="auto"/>
            <w:vAlign w:val="center"/>
            <w:hideMark/>
          </w:tcPr>
          <w:p w14:paraId="0597C235"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r>
      <w:tr w:rsidR="004C5B0C" w:rsidRPr="001569FB" w14:paraId="5E2E732C"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2C3F962E" w14:textId="77777777" w:rsidR="004C5B0C" w:rsidRPr="001569FB" w:rsidRDefault="004C5B0C" w:rsidP="004C5B0C">
            <w:pPr>
              <w:keepNext/>
              <w:keepLines/>
              <w:spacing w:line="240" w:lineRule="auto"/>
              <w:rPr>
                <w:color w:val="000000"/>
              </w:rPr>
            </w:pPr>
            <w:r w:rsidRPr="001569FB">
              <w:rPr>
                <w:color w:val="000000"/>
              </w:rPr>
              <w:t>2018</w:t>
            </w:r>
          </w:p>
        </w:tc>
        <w:tc>
          <w:tcPr>
            <w:tcW w:w="1204" w:type="dxa"/>
            <w:tcBorders>
              <w:top w:val="nil"/>
              <w:left w:val="nil"/>
              <w:bottom w:val="single" w:sz="8" w:space="0" w:color="auto"/>
              <w:right w:val="single" w:sz="8" w:space="0" w:color="auto"/>
            </w:tcBorders>
            <w:shd w:val="clear" w:color="auto" w:fill="auto"/>
            <w:vAlign w:val="center"/>
            <w:hideMark/>
          </w:tcPr>
          <w:p w14:paraId="1E712579" w14:textId="77777777" w:rsidR="004C5B0C" w:rsidRPr="001569FB" w:rsidRDefault="004C5B0C" w:rsidP="004C5B0C">
            <w:pPr>
              <w:keepNext/>
              <w:keepLines/>
              <w:spacing w:line="240" w:lineRule="auto"/>
              <w:jc w:val="right"/>
              <w:rPr>
                <w:color w:val="000000"/>
              </w:rPr>
            </w:pPr>
            <w:r w:rsidRPr="001569FB">
              <w:rPr>
                <w:color w:val="000000"/>
              </w:rPr>
              <w:t>160</w:t>
            </w:r>
          </w:p>
        </w:tc>
        <w:tc>
          <w:tcPr>
            <w:tcW w:w="1260" w:type="dxa"/>
            <w:tcBorders>
              <w:top w:val="nil"/>
              <w:left w:val="nil"/>
              <w:bottom w:val="single" w:sz="8" w:space="0" w:color="auto"/>
              <w:right w:val="single" w:sz="8" w:space="0" w:color="auto"/>
            </w:tcBorders>
            <w:shd w:val="clear" w:color="auto" w:fill="auto"/>
            <w:vAlign w:val="center"/>
            <w:hideMark/>
          </w:tcPr>
          <w:p w14:paraId="75B766B9" w14:textId="77777777" w:rsidR="004C5B0C" w:rsidRPr="001569FB" w:rsidRDefault="004C5B0C" w:rsidP="004C5B0C">
            <w:pPr>
              <w:keepNext/>
              <w:keepLines/>
              <w:spacing w:line="240" w:lineRule="auto"/>
              <w:jc w:val="right"/>
              <w:rPr>
                <w:color w:val="000000"/>
              </w:rPr>
            </w:pPr>
            <w:r w:rsidRPr="001569FB">
              <w:rPr>
                <w:color w:val="000000"/>
              </w:rPr>
              <w:t>23.5%</w:t>
            </w:r>
          </w:p>
        </w:tc>
        <w:tc>
          <w:tcPr>
            <w:tcW w:w="1080" w:type="dxa"/>
            <w:tcBorders>
              <w:top w:val="nil"/>
              <w:left w:val="nil"/>
              <w:bottom w:val="single" w:sz="8" w:space="0" w:color="auto"/>
              <w:right w:val="single" w:sz="8" w:space="0" w:color="auto"/>
            </w:tcBorders>
            <w:shd w:val="clear" w:color="auto" w:fill="auto"/>
            <w:vAlign w:val="center"/>
            <w:hideMark/>
          </w:tcPr>
          <w:p w14:paraId="17ECCA42" w14:textId="77777777" w:rsidR="004C5B0C" w:rsidRPr="001569FB" w:rsidRDefault="004C5B0C" w:rsidP="004C5B0C">
            <w:pPr>
              <w:keepNext/>
              <w:keepLines/>
              <w:spacing w:line="240" w:lineRule="auto"/>
              <w:jc w:val="right"/>
              <w:rPr>
                <w:color w:val="000000"/>
              </w:rPr>
            </w:pPr>
            <w:r w:rsidRPr="001569FB">
              <w:rPr>
                <w:color w:val="000000"/>
              </w:rPr>
              <w:t>340</w:t>
            </w:r>
          </w:p>
        </w:tc>
        <w:tc>
          <w:tcPr>
            <w:tcW w:w="1260" w:type="dxa"/>
            <w:tcBorders>
              <w:top w:val="nil"/>
              <w:left w:val="nil"/>
              <w:bottom w:val="single" w:sz="8" w:space="0" w:color="auto"/>
              <w:right w:val="single" w:sz="8" w:space="0" w:color="auto"/>
            </w:tcBorders>
            <w:shd w:val="clear" w:color="auto" w:fill="auto"/>
            <w:vAlign w:val="center"/>
            <w:hideMark/>
          </w:tcPr>
          <w:p w14:paraId="721813F9" w14:textId="77777777" w:rsidR="004C5B0C" w:rsidRPr="001569FB" w:rsidRDefault="004C5B0C" w:rsidP="004C5B0C">
            <w:pPr>
              <w:keepNext/>
              <w:keepLines/>
              <w:spacing w:line="240" w:lineRule="auto"/>
              <w:jc w:val="right"/>
              <w:rPr>
                <w:color w:val="000000"/>
              </w:rPr>
            </w:pPr>
            <w:r w:rsidRPr="001569FB">
              <w:rPr>
                <w:color w:val="000000"/>
              </w:rPr>
              <w:t>49.9%</w:t>
            </w:r>
          </w:p>
        </w:tc>
        <w:tc>
          <w:tcPr>
            <w:tcW w:w="1350" w:type="dxa"/>
            <w:tcBorders>
              <w:top w:val="nil"/>
              <w:left w:val="nil"/>
              <w:bottom w:val="single" w:sz="8" w:space="0" w:color="auto"/>
              <w:right w:val="single" w:sz="8" w:space="0" w:color="auto"/>
            </w:tcBorders>
            <w:shd w:val="clear" w:color="auto" w:fill="auto"/>
            <w:vAlign w:val="center"/>
            <w:hideMark/>
          </w:tcPr>
          <w:p w14:paraId="20C33B09" w14:textId="77777777" w:rsidR="004C5B0C" w:rsidRPr="001569FB" w:rsidRDefault="004C5B0C" w:rsidP="004C5B0C">
            <w:pPr>
              <w:keepNext/>
              <w:keepLines/>
              <w:spacing w:line="240" w:lineRule="auto"/>
              <w:jc w:val="right"/>
              <w:rPr>
                <w:color w:val="000000"/>
              </w:rPr>
            </w:pPr>
            <w:r w:rsidRPr="001569FB">
              <w:rPr>
                <w:color w:val="000000"/>
              </w:rPr>
              <w:t>181</w:t>
            </w:r>
          </w:p>
        </w:tc>
        <w:tc>
          <w:tcPr>
            <w:tcW w:w="1080" w:type="dxa"/>
            <w:tcBorders>
              <w:top w:val="nil"/>
              <w:left w:val="nil"/>
              <w:bottom w:val="single" w:sz="8" w:space="0" w:color="auto"/>
              <w:right w:val="single" w:sz="8" w:space="0" w:color="auto"/>
            </w:tcBorders>
            <w:shd w:val="clear" w:color="auto" w:fill="auto"/>
            <w:vAlign w:val="center"/>
            <w:hideMark/>
          </w:tcPr>
          <w:p w14:paraId="7CBC7A3E" w14:textId="77777777" w:rsidR="004C5B0C" w:rsidRPr="001569FB" w:rsidRDefault="004C5B0C" w:rsidP="004C5B0C">
            <w:pPr>
              <w:keepNext/>
              <w:keepLines/>
              <w:spacing w:line="240" w:lineRule="auto"/>
              <w:jc w:val="right"/>
              <w:rPr>
                <w:color w:val="000000"/>
              </w:rPr>
            </w:pPr>
            <w:r w:rsidRPr="001569FB">
              <w:rPr>
                <w:color w:val="000000"/>
              </w:rPr>
              <w:t>26.6%</w:t>
            </w:r>
          </w:p>
        </w:tc>
        <w:tc>
          <w:tcPr>
            <w:tcW w:w="1170" w:type="dxa"/>
            <w:tcBorders>
              <w:top w:val="nil"/>
              <w:left w:val="nil"/>
              <w:bottom w:val="single" w:sz="8" w:space="0" w:color="auto"/>
              <w:right w:val="single" w:sz="8" w:space="0" w:color="auto"/>
            </w:tcBorders>
            <w:shd w:val="clear" w:color="auto" w:fill="auto"/>
            <w:vAlign w:val="center"/>
            <w:hideMark/>
          </w:tcPr>
          <w:p w14:paraId="65AAA2A5" w14:textId="77777777" w:rsidR="004C5B0C" w:rsidRPr="001569FB" w:rsidRDefault="004C5B0C" w:rsidP="004C5B0C">
            <w:pPr>
              <w:keepNext/>
              <w:keepLines/>
              <w:spacing w:line="240" w:lineRule="auto"/>
              <w:jc w:val="right"/>
              <w:rPr>
                <w:color w:val="000000"/>
              </w:rPr>
            </w:pPr>
            <w:r w:rsidRPr="001569FB">
              <w:rPr>
                <w:color w:val="000000"/>
              </w:rPr>
              <w:t>681</w:t>
            </w:r>
          </w:p>
        </w:tc>
      </w:tr>
      <w:tr w:rsidR="004C5B0C" w:rsidRPr="001569FB" w14:paraId="6DFAD20A"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37055A04" w14:textId="77777777" w:rsidR="004C5B0C" w:rsidRPr="001569FB" w:rsidRDefault="004C5B0C" w:rsidP="004C5B0C">
            <w:pPr>
              <w:spacing w:line="240" w:lineRule="auto"/>
              <w:rPr>
                <w:color w:val="000000"/>
              </w:rPr>
            </w:pPr>
            <w:r w:rsidRPr="001569FB">
              <w:rPr>
                <w:color w:val="000000"/>
              </w:rPr>
              <w:t>2017</w:t>
            </w:r>
          </w:p>
        </w:tc>
        <w:tc>
          <w:tcPr>
            <w:tcW w:w="1204" w:type="dxa"/>
            <w:tcBorders>
              <w:top w:val="nil"/>
              <w:left w:val="nil"/>
              <w:bottom w:val="single" w:sz="8" w:space="0" w:color="auto"/>
              <w:right w:val="single" w:sz="8" w:space="0" w:color="auto"/>
            </w:tcBorders>
            <w:shd w:val="clear" w:color="auto" w:fill="auto"/>
            <w:vAlign w:val="center"/>
            <w:hideMark/>
          </w:tcPr>
          <w:p w14:paraId="635B2F08" w14:textId="77777777" w:rsidR="004C5B0C" w:rsidRPr="001569FB" w:rsidRDefault="004C5B0C" w:rsidP="004C5B0C">
            <w:pPr>
              <w:spacing w:line="240" w:lineRule="auto"/>
              <w:jc w:val="right"/>
              <w:rPr>
                <w:color w:val="000000"/>
              </w:rPr>
            </w:pPr>
            <w:r w:rsidRPr="001569FB">
              <w:rPr>
                <w:color w:val="000000"/>
              </w:rPr>
              <w:t>172</w:t>
            </w:r>
          </w:p>
        </w:tc>
        <w:tc>
          <w:tcPr>
            <w:tcW w:w="1260" w:type="dxa"/>
            <w:tcBorders>
              <w:top w:val="nil"/>
              <w:left w:val="nil"/>
              <w:bottom w:val="single" w:sz="8" w:space="0" w:color="auto"/>
              <w:right w:val="single" w:sz="8" w:space="0" w:color="auto"/>
            </w:tcBorders>
            <w:shd w:val="clear" w:color="auto" w:fill="auto"/>
            <w:vAlign w:val="center"/>
            <w:hideMark/>
          </w:tcPr>
          <w:p w14:paraId="3C282F1B" w14:textId="77777777" w:rsidR="004C5B0C" w:rsidRPr="001569FB" w:rsidRDefault="004C5B0C" w:rsidP="004C5B0C">
            <w:pPr>
              <w:spacing w:line="240" w:lineRule="auto"/>
              <w:jc w:val="right"/>
              <w:rPr>
                <w:color w:val="000000"/>
              </w:rPr>
            </w:pPr>
            <w:r w:rsidRPr="001569FB">
              <w:rPr>
                <w:color w:val="000000"/>
              </w:rPr>
              <w:t>27.3%</w:t>
            </w:r>
          </w:p>
        </w:tc>
        <w:tc>
          <w:tcPr>
            <w:tcW w:w="1080" w:type="dxa"/>
            <w:tcBorders>
              <w:top w:val="nil"/>
              <w:left w:val="nil"/>
              <w:bottom w:val="single" w:sz="8" w:space="0" w:color="auto"/>
              <w:right w:val="single" w:sz="8" w:space="0" w:color="auto"/>
            </w:tcBorders>
            <w:shd w:val="clear" w:color="auto" w:fill="auto"/>
            <w:vAlign w:val="center"/>
            <w:hideMark/>
          </w:tcPr>
          <w:p w14:paraId="6CA3F98B" w14:textId="77777777" w:rsidR="004C5B0C" w:rsidRPr="001569FB" w:rsidRDefault="004C5B0C" w:rsidP="004C5B0C">
            <w:pPr>
              <w:spacing w:line="240" w:lineRule="auto"/>
              <w:jc w:val="right"/>
              <w:rPr>
                <w:color w:val="000000"/>
              </w:rPr>
            </w:pPr>
            <w:r w:rsidRPr="001569FB">
              <w:rPr>
                <w:color w:val="000000"/>
              </w:rPr>
              <w:t>310</w:t>
            </w:r>
          </w:p>
        </w:tc>
        <w:tc>
          <w:tcPr>
            <w:tcW w:w="1260" w:type="dxa"/>
            <w:tcBorders>
              <w:top w:val="nil"/>
              <w:left w:val="nil"/>
              <w:bottom w:val="single" w:sz="8" w:space="0" w:color="auto"/>
              <w:right w:val="single" w:sz="8" w:space="0" w:color="auto"/>
            </w:tcBorders>
            <w:shd w:val="clear" w:color="auto" w:fill="auto"/>
            <w:vAlign w:val="center"/>
            <w:hideMark/>
          </w:tcPr>
          <w:p w14:paraId="69A9486C" w14:textId="77777777" w:rsidR="004C5B0C" w:rsidRPr="001569FB" w:rsidRDefault="004C5B0C" w:rsidP="004C5B0C">
            <w:pPr>
              <w:spacing w:line="240" w:lineRule="auto"/>
              <w:jc w:val="right"/>
              <w:rPr>
                <w:color w:val="000000"/>
              </w:rPr>
            </w:pPr>
            <w:r w:rsidRPr="001569FB">
              <w:rPr>
                <w:color w:val="000000"/>
              </w:rPr>
              <w:t>49.2%</w:t>
            </w:r>
          </w:p>
        </w:tc>
        <w:tc>
          <w:tcPr>
            <w:tcW w:w="1350" w:type="dxa"/>
            <w:tcBorders>
              <w:top w:val="nil"/>
              <w:left w:val="nil"/>
              <w:bottom w:val="single" w:sz="8" w:space="0" w:color="auto"/>
              <w:right w:val="single" w:sz="8" w:space="0" w:color="auto"/>
            </w:tcBorders>
            <w:shd w:val="clear" w:color="auto" w:fill="auto"/>
            <w:vAlign w:val="center"/>
            <w:hideMark/>
          </w:tcPr>
          <w:p w14:paraId="1E4C4C0D" w14:textId="77777777" w:rsidR="004C5B0C" w:rsidRPr="001569FB" w:rsidRDefault="004C5B0C" w:rsidP="004C5B0C">
            <w:pPr>
              <w:spacing w:line="240" w:lineRule="auto"/>
              <w:jc w:val="right"/>
              <w:rPr>
                <w:color w:val="000000"/>
              </w:rPr>
            </w:pPr>
            <w:r w:rsidRPr="001569FB">
              <w:rPr>
                <w:color w:val="000000"/>
              </w:rPr>
              <w:t>148</w:t>
            </w:r>
          </w:p>
        </w:tc>
        <w:tc>
          <w:tcPr>
            <w:tcW w:w="1080" w:type="dxa"/>
            <w:tcBorders>
              <w:top w:val="nil"/>
              <w:left w:val="nil"/>
              <w:bottom w:val="single" w:sz="8" w:space="0" w:color="auto"/>
              <w:right w:val="single" w:sz="8" w:space="0" w:color="auto"/>
            </w:tcBorders>
            <w:shd w:val="clear" w:color="auto" w:fill="auto"/>
            <w:vAlign w:val="center"/>
            <w:hideMark/>
          </w:tcPr>
          <w:p w14:paraId="700E4904" w14:textId="77777777" w:rsidR="004C5B0C" w:rsidRPr="001569FB" w:rsidRDefault="004C5B0C" w:rsidP="004C5B0C">
            <w:pPr>
              <w:spacing w:line="240" w:lineRule="auto"/>
              <w:jc w:val="right"/>
              <w:rPr>
                <w:color w:val="000000"/>
              </w:rPr>
            </w:pPr>
            <w:r w:rsidRPr="001569FB">
              <w:rPr>
                <w:color w:val="000000"/>
              </w:rPr>
              <w:t>23.5%</w:t>
            </w:r>
          </w:p>
        </w:tc>
        <w:tc>
          <w:tcPr>
            <w:tcW w:w="1170" w:type="dxa"/>
            <w:tcBorders>
              <w:top w:val="nil"/>
              <w:left w:val="nil"/>
              <w:bottom w:val="single" w:sz="8" w:space="0" w:color="auto"/>
              <w:right w:val="single" w:sz="8" w:space="0" w:color="auto"/>
            </w:tcBorders>
            <w:shd w:val="clear" w:color="auto" w:fill="auto"/>
            <w:vAlign w:val="center"/>
            <w:hideMark/>
          </w:tcPr>
          <w:p w14:paraId="6F14046E" w14:textId="77777777" w:rsidR="004C5B0C" w:rsidRPr="001569FB" w:rsidRDefault="004C5B0C" w:rsidP="004C5B0C">
            <w:pPr>
              <w:spacing w:line="240" w:lineRule="auto"/>
              <w:jc w:val="right"/>
              <w:rPr>
                <w:color w:val="000000"/>
              </w:rPr>
            </w:pPr>
            <w:r w:rsidRPr="001569FB">
              <w:rPr>
                <w:color w:val="000000"/>
              </w:rPr>
              <w:t>630</w:t>
            </w:r>
          </w:p>
        </w:tc>
      </w:tr>
    </w:tbl>
    <w:p w14:paraId="4A58C0FE" w14:textId="705D0564" w:rsidR="004C5B0C" w:rsidRPr="001569FB" w:rsidRDefault="004C5B0C" w:rsidP="00C27EFC">
      <w:pPr>
        <w:spacing w:before="200"/>
        <w:rPr>
          <w:bCs/>
        </w:rPr>
      </w:pPr>
      <w:r w:rsidRPr="001569FB">
        <w:rPr>
          <w:bCs/>
        </w:rPr>
        <w:t xml:space="preserve">Most contracts have implemented soft edits at 90 MME and hard edits at 200 MME, which are the “floor” of CMS’s guidance. </w:t>
      </w:r>
      <w:r w:rsidRPr="001569FB">
        <w:t>Of those contracts with hard edits, 76% in 2017 and 67% in 2018 set a threshold at the minimum recommended MME of 200 mg. Furthermore, 95% of contracts with a soft edit set an MME threshold from 90 – 120 MME in 2017 and 2018. In 2018, the proportion of contracts with 90 MME thresholds increased from 3% in 2017 to 40% in 2018.</w:t>
      </w:r>
    </w:p>
    <w:p w14:paraId="49F0B7C0" w14:textId="77777777" w:rsidR="004C5B0C" w:rsidRPr="001569FB" w:rsidRDefault="004C5B0C" w:rsidP="004C5B0C">
      <w:pPr>
        <w:pStyle w:val="Caption"/>
      </w:pPr>
      <w:r w:rsidRPr="001569FB">
        <w:t xml:space="preserve">Table </w:t>
      </w:r>
      <w:fldSimple w:instr=" SEQ Table \* ARABIC ">
        <w:r w:rsidR="00A216EC">
          <w:rPr>
            <w:noProof/>
          </w:rPr>
          <w:t>27</w:t>
        </w:r>
      </w:fldSimple>
      <w:r w:rsidRPr="001569FB">
        <w:t>: Counts of Part D contracts with soft edits by MME level</w:t>
      </w:r>
    </w:p>
    <w:tbl>
      <w:tblPr>
        <w:tblStyle w:val="TableGrid"/>
        <w:tblW w:w="0" w:type="auto"/>
        <w:jc w:val="center"/>
        <w:tblLook w:val="04A0" w:firstRow="1" w:lastRow="0" w:firstColumn="1" w:lastColumn="0" w:noHBand="0" w:noVBand="1"/>
      </w:tblPr>
      <w:tblGrid>
        <w:gridCol w:w="1455"/>
        <w:gridCol w:w="1321"/>
        <w:gridCol w:w="1321"/>
        <w:gridCol w:w="1321"/>
        <w:gridCol w:w="1341"/>
        <w:gridCol w:w="1355"/>
        <w:gridCol w:w="1236"/>
      </w:tblGrid>
      <w:tr w:rsidR="004C5B0C" w:rsidRPr="001569FB" w14:paraId="0450469C" w14:textId="77777777" w:rsidTr="004C5B0C">
        <w:trPr>
          <w:cantSplit/>
          <w:tblHeader/>
          <w:jc w:val="center"/>
        </w:trPr>
        <w:tc>
          <w:tcPr>
            <w:tcW w:w="1455" w:type="dxa"/>
            <w:vAlign w:val="center"/>
          </w:tcPr>
          <w:p w14:paraId="32C614AC" w14:textId="77777777" w:rsidR="004C5B0C" w:rsidRPr="001569FB" w:rsidRDefault="004C5B0C" w:rsidP="004C5B0C">
            <w:pPr>
              <w:keepNext/>
              <w:keepLines/>
              <w:rPr>
                <w:b/>
                <w:bCs/>
              </w:rPr>
            </w:pPr>
            <w:r w:rsidRPr="001569FB">
              <w:rPr>
                <w:b/>
                <w:bCs/>
                <w:color w:val="000000"/>
              </w:rPr>
              <w:t>Contract Year</w:t>
            </w:r>
          </w:p>
        </w:tc>
        <w:tc>
          <w:tcPr>
            <w:tcW w:w="1321" w:type="dxa"/>
            <w:vAlign w:val="center"/>
          </w:tcPr>
          <w:p w14:paraId="7413CEBE" w14:textId="77777777" w:rsidR="004C5B0C" w:rsidRPr="001569FB" w:rsidRDefault="004C5B0C" w:rsidP="004C5B0C">
            <w:pPr>
              <w:keepNext/>
              <w:keepLines/>
              <w:rPr>
                <w:b/>
                <w:bCs/>
              </w:rPr>
            </w:pPr>
            <w:r w:rsidRPr="001569FB">
              <w:rPr>
                <w:b/>
                <w:bCs/>
                <w:color w:val="000000"/>
              </w:rPr>
              <w:t>90</w:t>
            </w:r>
          </w:p>
        </w:tc>
        <w:tc>
          <w:tcPr>
            <w:tcW w:w="1321" w:type="dxa"/>
            <w:vAlign w:val="center"/>
          </w:tcPr>
          <w:p w14:paraId="36EF3B12" w14:textId="77777777" w:rsidR="004C5B0C" w:rsidRPr="001569FB" w:rsidRDefault="004C5B0C" w:rsidP="004C5B0C">
            <w:pPr>
              <w:keepNext/>
              <w:keepLines/>
              <w:rPr>
                <w:b/>
                <w:bCs/>
              </w:rPr>
            </w:pPr>
            <w:r w:rsidRPr="001569FB">
              <w:rPr>
                <w:b/>
                <w:bCs/>
                <w:color w:val="000000"/>
              </w:rPr>
              <w:t>100</w:t>
            </w:r>
          </w:p>
        </w:tc>
        <w:tc>
          <w:tcPr>
            <w:tcW w:w="1321" w:type="dxa"/>
            <w:vAlign w:val="center"/>
          </w:tcPr>
          <w:p w14:paraId="12B9F8AF" w14:textId="77777777" w:rsidR="004C5B0C" w:rsidRPr="001569FB" w:rsidRDefault="004C5B0C" w:rsidP="004C5B0C">
            <w:pPr>
              <w:keepNext/>
              <w:keepLines/>
              <w:rPr>
                <w:b/>
                <w:bCs/>
              </w:rPr>
            </w:pPr>
            <w:r w:rsidRPr="001569FB">
              <w:rPr>
                <w:b/>
                <w:bCs/>
                <w:color w:val="000000"/>
              </w:rPr>
              <w:t>120</w:t>
            </w:r>
          </w:p>
        </w:tc>
        <w:tc>
          <w:tcPr>
            <w:tcW w:w="1341" w:type="dxa"/>
            <w:vAlign w:val="center"/>
          </w:tcPr>
          <w:p w14:paraId="03860E92" w14:textId="77777777" w:rsidR="004C5B0C" w:rsidRPr="001569FB" w:rsidRDefault="004C5B0C" w:rsidP="004C5B0C">
            <w:pPr>
              <w:keepNext/>
              <w:keepLines/>
              <w:rPr>
                <w:b/>
                <w:bCs/>
              </w:rPr>
            </w:pPr>
            <w:r w:rsidRPr="001569FB">
              <w:rPr>
                <w:b/>
                <w:bCs/>
                <w:color w:val="000000"/>
              </w:rPr>
              <w:t>200-300</w:t>
            </w:r>
          </w:p>
        </w:tc>
        <w:tc>
          <w:tcPr>
            <w:tcW w:w="1355" w:type="dxa"/>
            <w:vAlign w:val="center"/>
          </w:tcPr>
          <w:p w14:paraId="48E9A4F8" w14:textId="77777777" w:rsidR="004C5B0C" w:rsidRPr="001569FB" w:rsidRDefault="004C5B0C" w:rsidP="004C5B0C">
            <w:pPr>
              <w:keepNext/>
              <w:keepLines/>
              <w:rPr>
                <w:b/>
                <w:bCs/>
              </w:rPr>
            </w:pPr>
            <w:r w:rsidRPr="001569FB">
              <w:rPr>
                <w:b/>
                <w:bCs/>
                <w:color w:val="000000"/>
              </w:rPr>
              <w:t>&gt;300</w:t>
            </w:r>
          </w:p>
        </w:tc>
        <w:tc>
          <w:tcPr>
            <w:tcW w:w="1236" w:type="dxa"/>
          </w:tcPr>
          <w:p w14:paraId="466AA532" w14:textId="77777777" w:rsidR="004C5B0C" w:rsidRPr="001569FB" w:rsidRDefault="004C5B0C" w:rsidP="004C5B0C">
            <w:pPr>
              <w:keepNext/>
              <w:keepLines/>
              <w:rPr>
                <w:b/>
                <w:bCs/>
                <w:color w:val="000000"/>
              </w:rPr>
            </w:pPr>
            <w:r w:rsidRPr="001569FB">
              <w:rPr>
                <w:b/>
                <w:bCs/>
                <w:color w:val="000000"/>
              </w:rPr>
              <w:t>Total contracts with soft edits</w:t>
            </w:r>
          </w:p>
        </w:tc>
      </w:tr>
      <w:tr w:rsidR="004C5B0C" w:rsidRPr="001569FB" w14:paraId="5A2A1CB9" w14:textId="77777777" w:rsidTr="004C5B0C">
        <w:trPr>
          <w:cantSplit/>
          <w:jc w:val="center"/>
        </w:trPr>
        <w:tc>
          <w:tcPr>
            <w:tcW w:w="1455" w:type="dxa"/>
          </w:tcPr>
          <w:p w14:paraId="16B1812D" w14:textId="77777777" w:rsidR="004C5B0C" w:rsidRPr="001569FB" w:rsidRDefault="004C5B0C" w:rsidP="004C5B0C">
            <w:pPr>
              <w:keepNext/>
              <w:keepLines/>
              <w:rPr>
                <w:b/>
                <w:bCs/>
              </w:rPr>
            </w:pPr>
            <w:r w:rsidRPr="001569FB">
              <w:rPr>
                <w:color w:val="000000"/>
              </w:rPr>
              <w:t>2018</w:t>
            </w:r>
          </w:p>
        </w:tc>
        <w:tc>
          <w:tcPr>
            <w:tcW w:w="1321" w:type="dxa"/>
          </w:tcPr>
          <w:p w14:paraId="32B55F29" w14:textId="77777777" w:rsidR="004C5B0C" w:rsidRPr="001569FB" w:rsidRDefault="004C5B0C" w:rsidP="004C5B0C">
            <w:pPr>
              <w:keepNext/>
              <w:keepLines/>
              <w:rPr>
                <w:b/>
                <w:bCs/>
              </w:rPr>
            </w:pPr>
            <w:r w:rsidRPr="001569FB">
              <w:rPr>
                <w:color w:val="000000"/>
              </w:rPr>
              <w:t xml:space="preserve">209 </w:t>
            </w:r>
            <w:r w:rsidRPr="001569FB">
              <w:rPr>
                <w:color w:val="000000"/>
              </w:rPr>
              <w:br/>
              <w:t>(40%)</w:t>
            </w:r>
          </w:p>
        </w:tc>
        <w:tc>
          <w:tcPr>
            <w:tcW w:w="1321" w:type="dxa"/>
          </w:tcPr>
          <w:p w14:paraId="73106A21" w14:textId="77777777" w:rsidR="004C5B0C" w:rsidRPr="001569FB" w:rsidRDefault="004C5B0C" w:rsidP="004C5B0C">
            <w:pPr>
              <w:keepNext/>
              <w:keepLines/>
              <w:rPr>
                <w:b/>
                <w:bCs/>
              </w:rPr>
            </w:pPr>
            <w:r w:rsidRPr="001569FB">
              <w:rPr>
                <w:color w:val="000000"/>
              </w:rPr>
              <w:t xml:space="preserve">119 </w:t>
            </w:r>
            <w:r w:rsidRPr="001569FB">
              <w:rPr>
                <w:color w:val="000000"/>
              </w:rPr>
              <w:br/>
              <w:t>(23%)</w:t>
            </w:r>
          </w:p>
        </w:tc>
        <w:tc>
          <w:tcPr>
            <w:tcW w:w="1321" w:type="dxa"/>
          </w:tcPr>
          <w:p w14:paraId="57C463B5" w14:textId="77777777" w:rsidR="004C5B0C" w:rsidRPr="001569FB" w:rsidRDefault="004C5B0C" w:rsidP="004C5B0C">
            <w:pPr>
              <w:keepNext/>
              <w:keepLines/>
              <w:rPr>
                <w:b/>
                <w:bCs/>
              </w:rPr>
            </w:pPr>
            <w:r w:rsidRPr="001569FB">
              <w:rPr>
                <w:color w:val="000000"/>
              </w:rPr>
              <w:t xml:space="preserve">166 </w:t>
            </w:r>
            <w:r w:rsidRPr="001569FB">
              <w:rPr>
                <w:color w:val="000000"/>
              </w:rPr>
              <w:br/>
              <w:t>(32%)</w:t>
            </w:r>
          </w:p>
        </w:tc>
        <w:tc>
          <w:tcPr>
            <w:tcW w:w="1341" w:type="dxa"/>
          </w:tcPr>
          <w:p w14:paraId="2431EA00" w14:textId="77777777" w:rsidR="004C5B0C" w:rsidRPr="001569FB" w:rsidRDefault="004C5B0C" w:rsidP="004C5B0C">
            <w:pPr>
              <w:keepNext/>
              <w:keepLines/>
              <w:rPr>
                <w:b/>
                <w:bCs/>
              </w:rPr>
            </w:pPr>
            <w:r w:rsidRPr="001569FB">
              <w:rPr>
                <w:color w:val="000000"/>
              </w:rPr>
              <w:t xml:space="preserve">26 </w:t>
            </w:r>
            <w:r w:rsidRPr="001569FB">
              <w:rPr>
                <w:color w:val="000000"/>
              </w:rPr>
              <w:br/>
              <w:t>(5%)</w:t>
            </w:r>
          </w:p>
        </w:tc>
        <w:tc>
          <w:tcPr>
            <w:tcW w:w="1355" w:type="dxa"/>
          </w:tcPr>
          <w:p w14:paraId="29EAD446" w14:textId="77777777" w:rsidR="004C5B0C" w:rsidRPr="001569FB" w:rsidRDefault="004C5B0C" w:rsidP="004C5B0C">
            <w:pPr>
              <w:keepNext/>
              <w:keepLines/>
              <w:rPr>
                <w:b/>
                <w:bCs/>
              </w:rPr>
            </w:pPr>
            <w:r w:rsidRPr="001569FB">
              <w:rPr>
                <w:color w:val="000000"/>
              </w:rPr>
              <w:t xml:space="preserve">1 </w:t>
            </w:r>
            <w:r w:rsidRPr="001569FB">
              <w:rPr>
                <w:color w:val="000000"/>
              </w:rPr>
              <w:br/>
              <w:t>(0%)</w:t>
            </w:r>
          </w:p>
        </w:tc>
        <w:tc>
          <w:tcPr>
            <w:tcW w:w="1236" w:type="dxa"/>
          </w:tcPr>
          <w:p w14:paraId="30DE45D7" w14:textId="77777777" w:rsidR="004C5B0C" w:rsidRPr="001569FB" w:rsidRDefault="004C5B0C" w:rsidP="004C5B0C">
            <w:pPr>
              <w:keepNext/>
              <w:keepLines/>
              <w:rPr>
                <w:color w:val="000000"/>
              </w:rPr>
            </w:pPr>
            <w:r w:rsidRPr="001569FB">
              <w:rPr>
                <w:color w:val="000000"/>
              </w:rPr>
              <w:t>521</w:t>
            </w:r>
          </w:p>
        </w:tc>
      </w:tr>
      <w:tr w:rsidR="004C5B0C" w:rsidRPr="001569FB" w14:paraId="3E0A78DD" w14:textId="77777777" w:rsidTr="004C5B0C">
        <w:trPr>
          <w:cantSplit/>
          <w:jc w:val="center"/>
        </w:trPr>
        <w:tc>
          <w:tcPr>
            <w:tcW w:w="1455" w:type="dxa"/>
          </w:tcPr>
          <w:p w14:paraId="1C9CDA53" w14:textId="77777777" w:rsidR="004C5B0C" w:rsidRPr="001569FB" w:rsidRDefault="004C5B0C" w:rsidP="004C5B0C">
            <w:pPr>
              <w:rPr>
                <w:b/>
                <w:bCs/>
              </w:rPr>
            </w:pPr>
            <w:r w:rsidRPr="001569FB">
              <w:rPr>
                <w:color w:val="000000"/>
              </w:rPr>
              <w:t>2017</w:t>
            </w:r>
          </w:p>
        </w:tc>
        <w:tc>
          <w:tcPr>
            <w:tcW w:w="1321" w:type="dxa"/>
          </w:tcPr>
          <w:p w14:paraId="487051F5" w14:textId="77777777" w:rsidR="004C5B0C" w:rsidRPr="001569FB" w:rsidRDefault="004C5B0C" w:rsidP="004C5B0C">
            <w:pPr>
              <w:rPr>
                <w:b/>
                <w:bCs/>
              </w:rPr>
            </w:pPr>
            <w:r w:rsidRPr="001569FB">
              <w:rPr>
                <w:color w:val="000000"/>
              </w:rPr>
              <w:t xml:space="preserve">16 </w:t>
            </w:r>
            <w:r w:rsidRPr="001569FB">
              <w:rPr>
                <w:color w:val="000000"/>
              </w:rPr>
              <w:br/>
              <w:t>(3%)</w:t>
            </w:r>
          </w:p>
        </w:tc>
        <w:tc>
          <w:tcPr>
            <w:tcW w:w="1321" w:type="dxa"/>
          </w:tcPr>
          <w:p w14:paraId="1804F980" w14:textId="77777777" w:rsidR="004C5B0C" w:rsidRPr="001569FB" w:rsidRDefault="004C5B0C" w:rsidP="004C5B0C">
            <w:pPr>
              <w:rPr>
                <w:b/>
                <w:bCs/>
              </w:rPr>
            </w:pPr>
            <w:r w:rsidRPr="001569FB">
              <w:rPr>
                <w:color w:val="000000"/>
              </w:rPr>
              <w:t xml:space="preserve">92 </w:t>
            </w:r>
            <w:r w:rsidRPr="001569FB">
              <w:rPr>
                <w:color w:val="000000"/>
              </w:rPr>
              <w:br/>
              <w:t>(20%)</w:t>
            </w:r>
          </w:p>
        </w:tc>
        <w:tc>
          <w:tcPr>
            <w:tcW w:w="1321" w:type="dxa"/>
          </w:tcPr>
          <w:p w14:paraId="11E460A5" w14:textId="77777777" w:rsidR="004C5B0C" w:rsidRPr="001569FB" w:rsidRDefault="004C5B0C" w:rsidP="004C5B0C">
            <w:pPr>
              <w:rPr>
                <w:b/>
                <w:bCs/>
              </w:rPr>
            </w:pPr>
            <w:r w:rsidRPr="001569FB">
              <w:rPr>
                <w:color w:val="000000"/>
              </w:rPr>
              <w:t xml:space="preserve">326 </w:t>
            </w:r>
            <w:r w:rsidRPr="001569FB">
              <w:rPr>
                <w:color w:val="000000"/>
              </w:rPr>
              <w:br/>
              <w:t>(71%)</w:t>
            </w:r>
          </w:p>
        </w:tc>
        <w:tc>
          <w:tcPr>
            <w:tcW w:w="1341" w:type="dxa"/>
          </w:tcPr>
          <w:p w14:paraId="015C55D0" w14:textId="77777777" w:rsidR="004C5B0C" w:rsidRPr="001569FB" w:rsidRDefault="004C5B0C" w:rsidP="004C5B0C">
            <w:pPr>
              <w:rPr>
                <w:b/>
                <w:bCs/>
              </w:rPr>
            </w:pPr>
            <w:r w:rsidRPr="001569FB">
              <w:rPr>
                <w:color w:val="000000"/>
              </w:rPr>
              <w:t xml:space="preserve">2 </w:t>
            </w:r>
            <w:r w:rsidRPr="001569FB">
              <w:rPr>
                <w:color w:val="000000"/>
              </w:rPr>
              <w:br/>
              <w:t>(0%)</w:t>
            </w:r>
          </w:p>
        </w:tc>
        <w:tc>
          <w:tcPr>
            <w:tcW w:w="1355" w:type="dxa"/>
          </w:tcPr>
          <w:p w14:paraId="4E54C50F" w14:textId="77777777" w:rsidR="004C5B0C" w:rsidRPr="001569FB" w:rsidRDefault="004C5B0C" w:rsidP="004C5B0C">
            <w:pPr>
              <w:rPr>
                <w:b/>
                <w:bCs/>
              </w:rPr>
            </w:pPr>
            <w:r w:rsidRPr="001569FB">
              <w:rPr>
                <w:color w:val="000000"/>
              </w:rPr>
              <w:t xml:space="preserve">22 </w:t>
            </w:r>
            <w:r w:rsidRPr="001569FB">
              <w:rPr>
                <w:color w:val="000000"/>
              </w:rPr>
              <w:br/>
              <w:t>(5%)</w:t>
            </w:r>
          </w:p>
        </w:tc>
        <w:tc>
          <w:tcPr>
            <w:tcW w:w="1236" w:type="dxa"/>
          </w:tcPr>
          <w:p w14:paraId="2518A8A5" w14:textId="77777777" w:rsidR="004C5B0C" w:rsidRPr="001569FB" w:rsidRDefault="004C5B0C" w:rsidP="004C5B0C">
            <w:pPr>
              <w:rPr>
                <w:color w:val="000000"/>
              </w:rPr>
            </w:pPr>
            <w:r w:rsidRPr="001569FB">
              <w:rPr>
                <w:color w:val="000000"/>
              </w:rPr>
              <w:t>458</w:t>
            </w:r>
          </w:p>
        </w:tc>
      </w:tr>
    </w:tbl>
    <w:p w14:paraId="32CB9598" w14:textId="77777777" w:rsidR="004C5B0C" w:rsidRPr="001569FB" w:rsidRDefault="004C5B0C" w:rsidP="004C5B0C">
      <w:pPr>
        <w:pStyle w:val="Caption"/>
        <w:spacing w:before="600"/>
      </w:pPr>
      <w:r w:rsidRPr="001569FB">
        <w:lastRenderedPageBreak/>
        <w:t xml:space="preserve">Table </w:t>
      </w:r>
      <w:fldSimple w:instr=" SEQ Table \* ARABIC ">
        <w:r w:rsidR="00A216EC">
          <w:rPr>
            <w:noProof/>
          </w:rPr>
          <w:t>28</w:t>
        </w:r>
      </w:fldSimple>
      <w:r w:rsidRPr="001569FB">
        <w:t>: Counts of Part D contracts with hard edits by MME level</w:t>
      </w:r>
    </w:p>
    <w:tbl>
      <w:tblPr>
        <w:tblStyle w:val="TableGrid"/>
        <w:tblW w:w="0" w:type="auto"/>
        <w:jc w:val="center"/>
        <w:tblLook w:val="04A0" w:firstRow="1" w:lastRow="0" w:firstColumn="1" w:lastColumn="0" w:noHBand="0" w:noVBand="1"/>
      </w:tblPr>
      <w:tblGrid>
        <w:gridCol w:w="1680"/>
        <w:gridCol w:w="1534"/>
        <w:gridCol w:w="1590"/>
        <w:gridCol w:w="1534"/>
        <w:gridCol w:w="1570"/>
        <w:gridCol w:w="1442"/>
      </w:tblGrid>
      <w:tr w:rsidR="004C5B0C" w:rsidRPr="001569FB" w14:paraId="6D980F49" w14:textId="77777777" w:rsidTr="004C5B0C">
        <w:trPr>
          <w:cantSplit/>
          <w:tblHeader/>
          <w:jc w:val="center"/>
        </w:trPr>
        <w:tc>
          <w:tcPr>
            <w:tcW w:w="1680" w:type="dxa"/>
            <w:vAlign w:val="center"/>
          </w:tcPr>
          <w:p w14:paraId="4736C3DB" w14:textId="77777777" w:rsidR="004C5B0C" w:rsidRPr="001569FB" w:rsidRDefault="004C5B0C" w:rsidP="004C5B0C">
            <w:pPr>
              <w:keepNext/>
              <w:keepLines/>
              <w:rPr>
                <w:b/>
                <w:bCs/>
              </w:rPr>
            </w:pPr>
            <w:r w:rsidRPr="001569FB">
              <w:rPr>
                <w:b/>
                <w:bCs/>
                <w:color w:val="000000"/>
              </w:rPr>
              <w:t>Contract Year</w:t>
            </w:r>
          </w:p>
        </w:tc>
        <w:tc>
          <w:tcPr>
            <w:tcW w:w="1534" w:type="dxa"/>
            <w:vAlign w:val="center"/>
          </w:tcPr>
          <w:p w14:paraId="1B048805" w14:textId="77777777" w:rsidR="004C5B0C" w:rsidRPr="001569FB" w:rsidRDefault="004C5B0C" w:rsidP="004C5B0C">
            <w:pPr>
              <w:keepNext/>
              <w:keepLines/>
              <w:rPr>
                <w:b/>
                <w:bCs/>
              </w:rPr>
            </w:pPr>
            <w:r w:rsidRPr="001569FB">
              <w:rPr>
                <w:b/>
                <w:bCs/>
                <w:color w:val="000000"/>
              </w:rPr>
              <w:t>200</w:t>
            </w:r>
          </w:p>
        </w:tc>
        <w:tc>
          <w:tcPr>
            <w:tcW w:w="1590" w:type="dxa"/>
            <w:vAlign w:val="center"/>
          </w:tcPr>
          <w:p w14:paraId="17E2EB08" w14:textId="77777777" w:rsidR="004C5B0C" w:rsidRPr="001569FB" w:rsidRDefault="004C5B0C" w:rsidP="004C5B0C">
            <w:pPr>
              <w:keepNext/>
              <w:keepLines/>
              <w:rPr>
                <w:b/>
                <w:bCs/>
              </w:rPr>
            </w:pPr>
            <w:r w:rsidRPr="001569FB">
              <w:rPr>
                <w:b/>
                <w:bCs/>
                <w:color w:val="000000"/>
              </w:rPr>
              <w:t>&gt;200-300</w:t>
            </w:r>
          </w:p>
        </w:tc>
        <w:tc>
          <w:tcPr>
            <w:tcW w:w="1534" w:type="dxa"/>
            <w:vAlign w:val="center"/>
          </w:tcPr>
          <w:p w14:paraId="775F42C2" w14:textId="77777777" w:rsidR="004C5B0C" w:rsidRPr="001569FB" w:rsidRDefault="004C5B0C" w:rsidP="004C5B0C">
            <w:pPr>
              <w:keepNext/>
              <w:keepLines/>
              <w:rPr>
                <w:b/>
                <w:bCs/>
              </w:rPr>
            </w:pPr>
            <w:r w:rsidRPr="001569FB">
              <w:rPr>
                <w:b/>
                <w:bCs/>
                <w:color w:val="000000"/>
              </w:rPr>
              <w:t>360</w:t>
            </w:r>
          </w:p>
        </w:tc>
        <w:tc>
          <w:tcPr>
            <w:tcW w:w="1570" w:type="dxa"/>
            <w:vAlign w:val="center"/>
          </w:tcPr>
          <w:p w14:paraId="1C90F6CD" w14:textId="77777777" w:rsidR="004C5B0C" w:rsidRPr="001569FB" w:rsidRDefault="004C5B0C" w:rsidP="004C5B0C">
            <w:pPr>
              <w:keepNext/>
              <w:keepLines/>
              <w:rPr>
                <w:b/>
                <w:bCs/>
              </w:rPr>
            </w:pPr>
            <w:r w:rsidRPr="001569FB">
              <w:rPr>
                <w:b/>
                <w:bCs/>
                <w:color w:val="000000"/>
              </w:rPr>
              <w:t>&gt;360</w:t>
            </w:r>
          </w:p>
        </w:tc>
        <w:tc>
          <w:tcPr>
            <w:tcW w:w="1442" w:type="dxa"/>
          </w:tcPr>
          <w:p w14:paraId="0058E6BA" w14:textId="77777777" w:rsidR="004C5B0C" w:rsidRPr="001569FB" w:rsidRDefault="004C5B0C" w:rsidP="004C5B0C">
            <w:pPr>
              <w:keepNext/>
              <w:keepLines/>
              <w:rPr>
                <w:b/>
                <w:bCs/>
                <w:color w:val="000000"/>
              </w:rPr>
            </w:pPr>
            <w:r w:rsidRPr="001569FB">
              <w:rPr>
                <w:b/>
                <w:bCs/>
                <w:color w:val="000000"/>
              </w:rPr>
              <w:t>Total contracts with hard edits</w:t>
            </w:r>
          </w:p>
        </w:tc>
      </w:tr>
      <w:tr w:rsidR="004C5B0C" w:rsidRPr="001569FB" w14:paraId="5D201934" w14:textId="77777777" w:rsidTr="004C5B0C">
        <w:trPr>
          <w:cantSplit/>
          <w:jc w:val="center"/>
        </w:trPr>
        <w:tc>
          <w:tcPr>
            <w:tcW w:w="1680" w:type="dxa"/>
          </w:tcPr>
          <w:p w14:paraId="7D8F59AE" w14:textId="77777777" w:rsidR="004C5B0C" w:rsidRPr="001569FB" w:rsidRDefault="004C5B0C" w:rsidP="004C5B0C">
            <w:pPr>
              <w:keepNext/>
              <w:keepLines/>
              <w:rPr>
                <w:b/>
                <w:bCs/>
              </w:rPr>
            </w:pPr>
            <w:r w:rsidRPr="001569FB">
              <w:rPr>
                <w:color w:val="000000"/>
              </w:rPr>
              <w:t>2018</w:t>
            </w:r>
          </w:p>
        </w:tc>
        <w:tc>
          <w:tcPr>
            <w:tcW w:w="1534" w:type="dxa"/>
          </w:tcPr>
          <w:p w14:paraId="7F7061AB" w14:textId="77777777" w:rsidR="004C5B0C" w:rsidRPr="001569FB" w:rsidRDefault="004C5B0C" w:rsidP="004C5B0C">
            <w:pPr>
              <w:keepNext/>
              <w:keepLines/>
              <w:rPr>
                <w:b/>
                <w:bCs/>
              </w:rPr>
            </w:pPr>
            <w:r w:rsidRPr="001569FB">
              <w:rPr>
                <w:color w:val="000000"/>
              </w:rPr>
              <w:t xml:space="preserve">227 </w:t>
            </w:r>
            <w:r w:rsidRPr="001569FB">
              <w:rPr>
                <w:color w:val="000000"/>
              </w:rPr>
              <w:br/>
              <w:t>(67%)</w:t>
            </w:r>
          </w:p>
        </w:tc>
        <w:tc>
          <w:tcPr>
            <w:tcW w:w="1590" w:type="dxa"/>
          </w:tcPr>
          <w:p w14:paraId="155FC7E6" w14:textId="77777777" w:rsidR="004C5B0C" w:rsidRPr="001569FB" w:rsidRDefault="004C5B0C" w:rsidP="004C5B0C">
            <w:pPr>
              <w:keepNext/>
              <w:keepLines/>
              <w:rPr>
                <w:b/>
                <w:bCs/>
              </w:rPr>
            </w:pPr>
            <w:r w:rsidRPr="001569FB">
              <w:rPr>
                <w:color w:val="000000"/>
              </w:rPr>
              <w:t xml:space="preserve">49 </w:t>
            </w:r>
            <w:r w:rsidRPr="001569FB">
              <w:rPr>
                <w:color w:val="000000"/>
              </w:rPr>
              <w:br/>
              <w:t>(14%)</w:t>
            </w:r>
          </w:p>
        </w:tc>
        <w:tc>
          <w:tcPr>
            <w:tcW w:w="1534" w:type="dxa"/>
          </w:tcPr>
          <w:p w14:paraId="16846FE4" w14:textId="77777777" w:rsidR="004C5B0C" w:rsidRPr="001569FB" w:rsidRDefault="004C5B0C" w:rsidP="004C5B0C">
            <w:pPr>
              <w:keepNext/>
              <w:keepLines/>
              <w:rPr>
                <w:b/>
                <w:bCs/>
              </w:rPr>
            </w:pPr>
            <w:r w:rsidRPr="001569FB">
              <w:rPr>
                <w:color w:val="000000"/>
              </w:rPr>
              <w:t xml:space="preserve">61 </w:t>
            </w:r>
            <w:r w:rsidRPr="001569FB">
              <w:rPr>
                <w:color w:val="000000"/>
              </w:rPr>
              <w:br/>
              <w:t>(18%)</w:t>
            </w:r>
          </w:p>
        </w:tc>
        <w:tc>
          <w:tcPr>
            <w:tcW w:w="1570" w:type="dxa"/>
          </w:tcPr>
          <w:p w14:paraId="71C52D2E" w14:textId="77777777" w:rsidR="004C5B0C" w:rsidRPr="001569FB" w:rsidRDefault="004C5B0C" w:rsidP="004C5B0C">
            <w:pPr>
              <w:keepNext/>
              <w:keepLines/>
              <w:rPr>
                <w:b/>
                <w:bCs/>
              </w:rPr>
            </w:pPr>
            <w:r w:rsidRPr="001569FB">
              <w:rPr>
                <w:color w:val="000000"/>
              </w:rPr>
              <w:t xml:space="preserve">4 </w:t>
            </w:r>
            <w:r w:rsidRPr="001569FB">
              <w:rPr>
                <w:color w:val="000000"/>
              </w:rPr>
              <w:br/>
              <w:t>(1%)</w:t>
            </w:r>
          </w:p>
        </w:tc>
        <w:tc>
          <w:tcPr>
            <w:tcW w:w="1442" w:type="dxa"/>
          </w:tcPr>
          <w:p w14:paraId="3463361F" w14:textId="77777777" w:rsidR="004C5B0C" w:rsidRPr="001569FB" w:rsidRDefault="004C5B0C" w:rsidP="004C5B0C">
            <w:pPr>
              <w:keepNext/>
              <w:keepLines/>
              <w:rPr>
                <w:color w:val="000000"/>
              </w:rPr>
            </w:pPr>
            <w:r w:rsidRPr="001569FB">
              <w:rPr>
                <w:color w:val="000000"/>
              </w:rPr>
              <w:t>341</w:t>
            </w:r>
          </w:p>
        </w:tc>
      </w:tr>
      <w:tr w:rsidR="004C5B0C" w:rsidRPr="001569FB" w14:paraId="5E5E7689" w14:textId="77777777" w:rsidTr="004C5B0C">
        <w:trPr>
          <w:cantSplit/>
          <w:jc w:val="center"/>
        </w:trPr>
        <w:tc>
          <w:tcPr>
            <w:tcW w:w="1680" w:type="dxa"/>
          </w:tcPr>
          <w:p w14:paraId="3373C6D8" w14:textId="77777777" w:rsidR="004C5B0C" w:rsidRPr="001569FB" w:rsidRDefault="004C5B0C" w:rsidP="004C5B0C">
            <w:pPr>
              <w:rPr>
                <w:b/>
                <w:bCs/>
              </w:rPr>
            </w:pPr>
            <w:r w:rsidRPr="001569FB">
              <w:rPr>
                <w:color w:val="000000"/>
              </w:rPr>
              <w:t>2017</w:t>
            </w:r>
          </w:p>
        </w:tc>
        <w:tc>
          <w:tcPr>
            <w:tcW w:w="1534" w:type="dxa"/>
          </w:tcPr>
          <w:p w14:paraId="7BA015F8" w14:textId="77777777" w:rsidR="004C5B0C" w:rsidRPr="001569FB" w:rsidRDefault="004C5B0C" w:rsidP="004C5B0C">
            <w:pPr>
              <w:rPr>
                <w:b/>
                <w:bCs/>
              </w:rPr>
            </w:pPr>
            <w:r w:rsidRPr="001569FB">
              <w:rPr>
                <w:color w:val="000000"/>
              </w:rPr>
              <w:t xml:space="preserve">244 </w:t>
            </w:r>
            <w:r w:rsidRPr="001569FB">
              <w:rPr>
                <w:color w:val="000000"/>
              </w:rPr>
              <w:br/>
              <w:t>(76%)</w:t>
            </w:r>
          </w:p>
        </w:tc>
        <w:tc>
          <w:tcPr>
            <w:tcW w:w="1590" w:type="dxa"/>
          </w:tcPr>
          <w:p w14:paraId="4777D290" w14:textId="77777777" w:rsidR="004C5B0C" w:rsidRPr="001569FB" w:rsidRDefault="004C5B0C" w:rsidP="004C5B0C">
            <w:pPr>
              <w:rPr>
                <w:b/>
                <w:bCs/>
              </w:rPr>
            </w:pPr>
            <w:r w:rsidRPr="001569FB">
              <w:rPr>
                <w:color w:val="000000"/>
              </w:rPr>
              <w:t xml:space="preserve">10 </w:t>
            </w:r>
            <w:r w:rsidRPr="001569FB">
              <w:rPr>
                <w:color w:val="000000"/>
              </w:rPr>
              <w:br/>
              <w:t>(3%)</w:t>
            </w:r>
          </w:p>
        </w:tc>
        <w:tc>
          <w:tcPr>
            <w:tcW w:w="1534" w:type="dxa"/>
          </w:tcPr>
          <w:p w14:paraId="5AD5C7BC" w14:textId="77777777" w:rsidR="004C5B0C" w:rsidRPr="001569FB" w:rsidRDefault="004C5B0C" w:rsidP="004C5B0C">
            <w:pPr>
              <w:rPr>
                <w:b/>
                <w:bCs/>
              </w:rPr>
            </w:pPr>
            <w:r w:rsidRPr="001569FB">
              <w:rPr>
                <w:color w:val="000000"/>
              </w:rPr>
              <w:t xml:space="preserve">50 </w:t>
            </w:r>
            <w:r w:rsidRPr="001569FB">
              <w:rPr>
                <w:color w:val="000000"/>
              </w:rPr>
              <w:br/>
              <w:t>(16%)</w:t>
            </w:r>
          </w:p>
        </w:tc>
        <w:tc>
          <w:tcPr>
            <w:tcW w:w="1570" w:type="dxa"/>
          </w:tcPr>
          <w:p w14:paraId="565C66F0" w14:textId="77777777" w:rsidR="004C5B0C" w:rsidRPr="001569FB" w:rsidRDefault="004C5B0C" w:rsidP="004C5B0C">
            <w:pPr>
              <w:rPr>
                <w:b/>
                <w:bCs/>
              </w:rPr>
            </w:pPr>
            <w:r w:rsidRPr="001569FB">
              <w:rPr>
                <w:color w:val="000000"/>
              </w:rPr>
              <w:t xml:space="preserve">16 </w:t>
            </w:r>
            <w:r w:rsidRPr="001569FB">
              <w:rPr>
                <w:color w:val="000000"/>
              </w:rPr>
              <w:br/>
              <w:t>(5%)</w:t>
            </w:r>
          </w:p>
        </w:tc>
        <w:tc>
          <w:tcPr>
            <w:tcW w:w="1442" w:type="dxa"/>
          </w:tcPr>
          <w:p w14:paraId="31E5F7C1" w14:textId="77777777" w:rsidR="004C5B0C" w:rsidRPr="001569FB" w:rsidRDefault="004C5B0C" w:rsidP="004C5B0C">
            <w:pPr>
              <w:rPr>
                <w:color w:val="000000"/>
              </w:rPr>
            </w:pPr>
            <w:r w:rsidRPr="001569FB">
              <w:rPr>
                <w:color w:val="000000"/>
              </w:rPr>
              <w:t>320</w:t>
            </w:r>
          </w:p>
        </w:tc>
      </w:tr>
    </w:tbl>
    <w:p w14:paraId="68F65449" w14:textId="77777777" w:rsidR="004C5B0C" w:rsidRPr="001569FB" w:rsidRDefault="004C5B0C" w:rsidP="00C27EFC">
      <w:pPr>
        <w:spacing w:before="200" w:after="200"/>
      </w:pPr>
      <w:r w:rsidRPr="001569FB">
        <w:t>In 2017, we provided additional guidance to sponsors regarding appropriate use of these edits.</w:t>
      </w:r>
      <w:r w:rsidRPr="001569FB">
        <w:rPr>
          <w:rStyle w:val="FootnoteReference"/>
        </w:rPr>
        <w:footnoteReference w:id="43"/>
      </w:r>
      <w:r w:rsidRPr="001569FB">
        <w:t xml:space="preserve">  As we stated in the memo, through review of complaints received via the CMS Complaint Tracking Module (CTM) during the first months of 2017, discussions with Part D sponsors, and receipt of questions from other stakeholders, we believed that some sponsors implemented these edits beyond their intended use as a safety edit. For example, the edits are not intended as a means to implement a prescribing limit or apply additional clinical criteria for the use of opioids, but instead to give physicians important additional information about their patients’ opioid use. Since that time, we have observed few complaints per month in the CTM related to these edits.</w:t>
      </w:r>
    </w:p>
    <w:p w14:paraId="4D0C71A6" w14:textId="77777777" w:rsidR="004C5B0C" w:rsidRPr="001569FB" w:rsidRDefault="004C5B0C" w:rsidP="001569FB">
      <w:pPr>
        <w:spacing w:after="200"/>
      </w:pPr>
      <w:r w:rsidRPr="001569FB">
        <w:t>Given the public health emergency and the fact that half of sponsors are already implementing hard MME edits, sponsors can and should do more to address chronic, high prescription opioid overuse. Therefore, we propose that all sponsors should implement a hard edit in 2019 that is triggered when a beneficiary’s cumulative daily MME reaches or exceeds 90 mg (meaning the MME threshold should only be set at 90 MME). This value aligns with the CDC Guideline, which recommends to generally avoid increasing the daily dosage of opioids to 90 MME.</w:t>
      </w:r>
    </w:p>
    <w:p w14:paraId="7170D42E" w14:textId="77777777" w:rsidR="004C5B0C" w:rsidRPr="001569FB" w:rsidRDefault="004C5B0C" w:rsidP="001569FB">
      <w:pPr>
        <w:spacing w:after="200"/>
      </w:pPr>
      <w:r w:rsidRPr="001569FB">
        <w:t>Sponsors should not include multiple prescriber or multiple pharmacy criteria in these edits so that all beneficiaries using 90 MME per day or more regardless of the number of providers are identified. Sponsors should continue to apply specifications to account for known exceptions, such as hospice care; cancer diagnoses; reasonable overlapping dispensing dates for prescription refills</w:t>
      </w:r>
      <w:r w:rsidRPr="001569FB">
        <w:rPr>
          <w:rStyle w:val="FootnoteReference"/>
        </w:rPr>
        <w:footnoteReference w:id="44"/>
      </w:r>
      <w:r w:rsidRPr="001569FB">
        <w:t xml:space="preserve"> or new prescription orders for continuing fills; and high-dose opioid usage previously determined to be medically necessary such as through coverage determinations, prior authorization, case management, or appeals processes. It is also very important that sponsors </w:t>
      </w:r>
      <w:r w:rsidRPr="001569FB">
        <w:lastRenderedPageBreak/>
        <w:t>implement these edits in a way that beneficiaries’ access to medication-assisted treatment (MAT), such as buprenorphine, is not impacted. Sponsors should not include buprenorphine products in this edit.</w:t>
      </w:r>
      <w:r w:rsidRPr="001569FB">
        <w:rPr>
          <w:rStyle w:val="FootnoteReference"/>
        </w:rPr>
        <w:footnoteReference w:id="45"/>
      </w:r>
    </w:p>
    <w:p w14:paraId="1088D19D" w14:textId="77777777" w:rsidR="004C5B0C" w:rsidRPr="001569FB" w:rsidRDefault="004C5B0C" w:rsidP="001569FB">
      <w:pPr>
        <w:spacing w:after="200"/>
      </w:pPr>
      <w:r w:rsidRPr="001569FB">
        <w:t>To balance beneficiary access to medically necessary drug regimens and reduce the potential for any unintended consequences for patients already on higher doses of opioids such as withdrawal symptoms, we propose that sponsors should implement these edits in 2019 to allow beneficiaries to receive a 7 days supply of the prescription that triggered the hard edit as written. This would provide a short term supply to patients to allow time to pursue coverage through the exceptions process. However, if the exception request is approved, the patient may need to obtain a new prescription from their prescriber for amounts beyond the 7 days supply. Alternatively,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we are not aware of any State laws or labeling that would prohibit prescription opioids from being dispensed in a smaller quantity.</w:t>
      </w:r>
    </w:p>
    <w:p w14:paraId="6BDE32E6" w14:textId="77777777" w:rsidR="004C5B0C" w:rsidRPr="001569FB" w:rsidRDefault="004C5B0C" w:rsidP="001569FB">
      <w:pPr>
        <w:spacing w:after="200"/>
      </w:pPr>
      <w:r w:rsidRPr="001569FB">
        <w:t>We additionally propose to only allow the 7 days supply once. That is, if the beneficiary attempts to fill a prescription for another opioid that triggers the MME hard edit, another 7 days supply would not be allowed. We request comment on this concept and stakeholder feedback on its operational feasibility. Should we finalize a policy whereby the 7 days supply is only available once after the 90 MME hard edit is triggered during a specific time period, if a patient presents at the pharmacy with multiple opioid prescriptions on the same day, if only one 7 days supply was allowed, the pharmacist would help assess the immediate needs of the patient to help determine which prescription should be filled for a 7 days supply. We further seek comment on when and how to best communicate to beneficiaries that the one-time 7 days supply would not be available for future prescriptions should the MME level remain at 90 mg or higher.</w:t>
      </w:r>
    </w:p>
    <w:p w14:paraId="46538A9B" w14:textId="77777777" w:rsidR="004C5B0C" w:rsidRPr="001569FB" w:rsidRDefault="004C5B0C" w:rsidP="001569FB">
      <w:pPr>
        <w:spacing w:after="200"/>
      </w:pPr>
      <w:r w:rsidRPr="001569FB">
        <w:t>To estimate the number of beneficiaries who may be impacted by a cumulative MME edit at 90 MME per day, we analyzed 2016 PDE data across all Part D sponsors. In 2016, almost 1.6 million beneficiaries (3.8% of Part D enrollees) met or exceeded 90 MME for at least one day</w:t>
      </w:r>
      <w:r w:rsidRPr="001569FB">
        <w:rPr>
          <w:vertAlign w:val="superscript"/>
        </w:rPr>
        <w:footnoteReference w:id="46"/>
      </w:r>
      <w:r w:rsidRPr="001569FB">
        <w:t xml:space="preserve">, excluding those with cancer, in hospice care, or with overlapping dispensing dates for timely </w:t>
      </w:r>
      <w:r w:rsidRPr="001569FB">
        <w:lastRenderedPageBreak/>
        <w:t>continued fills for the same opioid (e.g., false positives). We seek feedback on whether all sponsors have the capacity to implement hard edits at 90 MME as well as the 7 days allowance proposal for 2019. We also request comment on other solutions to address prescription opioid overuse while balancing access to medically necessary drug regimens and reducing the potential for unintended consequences.</w:t>
      </w:r>
    </w:p>
    <w:p w14:paraId="0DF92943" w14:textId="77777777" w:rsidR="004C5B0C" w:rsidRPr="001569FB" w:rsidRDefault="004C5B0C" w:rsidP="001569FB">
      <w:pPr>
        <w:spacing w:after="200"/>
      </w:pPr>
      <w:r w:rsidRPr="001569FB">
        <w:t>Furthermore, we reiterate that when the MME edit is triggered and cannot be resolved at the pharmacy, consistent with Section 40.3.1 of Chapter 18 of the Medicare Prescription Drug Benefit Manual, the sponsor is required to notify their network pharmacy to distribute a written copy of the standardized CMS pharmacy notice to the enrollee (“Medicare Prescription Drug Coverage and Your Rights”, CMS-10147, OMB Approval No. 0938-0975). This notice instructs enrollees on how to contact their plan and explains their right to obtain a coverage determination from their plan, including information about the exceptions process.</w:t>
      </w:r>
    </w:p>
    <w:p w14:paraId="2AB0B7B9" w14:textId="77777777" w:rsidR="004C5B0C" w:rsidRPr="001569FB" w:rsidRDefault="004C5B0C" w:rsidP="001569FB">
      <w:pPr>
        <w:spacing w:after="200"/>
      </w:pPr>
      <w:r w:rsidRPr="001569FB">
        <w:t>Sponsors are reminded that an enrollee, the enrollee’s representative, or the enrollee’s prescriber has the right to request a coverage determination for a drug or drugs subject to the MME edit, including the right to request an expedited coverage determination. The timeframe for expedited coverage determination requests applies when the prescriber indicates, or the plan decides, that applying the standard timeframe may seriously jeopardize the enrollee’s life, health, or ability to regain maximum function. We generally expect coverage determination requests seeking exceptions to the MME edit to meet the criteria for expedited review, which means the plan sponsor must issue a decision within 24 hours of receipt of the prescriber’s supporting statement (attestation).</w:t>
      </w:r>
    </w:p>
    <w:p w14:paraId="5884F984" w14:textId="77777777" w:rsidR="004C5B0C" w:rsidRPr="001569FB" w:rsidRDefault="004C5B0C" w:rsidP="001569FB">
      <w:pPr>
        <w:spacing w:after="200"/>
      </w:pPr>
      <w:r w:rsidRPr="001569FB">
        <w:t>Consistent with current guidance, if the only issue in dispute is the MME, CMS expects the Part D sponsor to only rely on prescriber attestation that the higher MME is medically necessary to approve dosing that is higher than the hard edit when a coverage determination is requested. The authorization of the higher MME level should be considered an approved exception and be valid through the remainder of the plan year. The exception should apply to the cumulative MME level for the beneficiary, not just one specific drug, or one prescriber. In order to minimize unnecessary disruptions in therapy, Part D sponsors should consult with the prescriber(s) to determine whether dose escalation for the beneficiary is imminent, and authorize an increased MME accordingly. The sponsor should also remove the edit if it is determined that the beneficiary meets their established criteria for known exceptions (such as cancer or hospice).</w:t>
      </w:r>
    </w:p>
    <w:p w14:paraId="00651779" w14:textId="77777777" w:rsidR="004C5B0C" w:rsidRPr="001569FB" w:rsidRDefault="004C5B0C" w:rsidP="001569FB">
      <w:pPr>
        <w:spacing w:after="200"/>
      </w:pPr>
      <w:r w:rsidRPr="001569FB">
        <w:t xml:space="preserve">As outlined in 42 CFR § 423.120(b)(7), a Part D sponsor that uses a formulary under its qualified prescription drug coverage must establish policies and procedures to educate and inform health care providers and enrollees concerning its formulary. Accordingly, CMS expects sponsors’ network pharmacies and customer service representatives to be adequately trained with regard to these edits to ensure affected beneficiaries are given timely and appropriate information and instruction. It is important that these edits be implemented in a manner that minimizes disruption to beneficiaries. It is integral that sponsors have the ability to efficiently process associated </w:t>
      </w:r>
      <w:r w:rsidRPr="001569FB">
        <w:lastRenderedPageBreak/>
        <w:t>exceptions and appeals, including expedited requests. CMS expects sponsors to ensure that their staff are trained to appropriately identify enrollee requests for a coverage determination, including verbal requests made by enrollees affected by hard MME edits. Plans are not permitted to instruct an enrollee who is requesting coverage that only their prescriber can initiate the request.</w:t>
      </w:r>
    </w:p>
    <w:p w14:paraId="41421A41" w14:textId="77777777" w:rsidR="004C5B0C" w:rsidRPr="001569FB" w:rsidRDefault="004C5B0C" w:rsidP="001569FB">
      <w:pPr>
        <w:spacing w:after="200"/>
      </w:pPr>
      <w:r w:rsidRPr="001569FB">
        <w:t>Part D sponsors will continue to submit information on their cumulative MME safety edits using a template through HPMS. We will monitor implementation of these edits including complaints data. In addition, Part D sponsors report implementation outcomes of their MME POS edits, such as number of claims rejected due to edits, number of beneficiaries impacted, and number of rejected claims overridden or processed through the Part D reporting requirements. CMS will analyze these data once reported and validated. The first data collection will be in February 2018 for 2017 reporting requirements data and validated data by September 2018.</w:t>
      </w:r>
      <w:r w:rsidRPr="001569FB">
        <w:rPr>
          <w:vertAlign w:val="superscript"/>
        </w:rPr>
        <w:footnoteReference w:id="47"/>
      </w:r>
    </w:p>
    <w:p w14:paraId="1FF60A48" w14:textId="77777777" w:rsidR="004C5B0C" w:rsidRPr="001569FB" w:rsidRDefault="004C5B0C" w:rsidP="001569FB">
      <w:pPr>
        <w:tabs>
          <w:tab w:val="left" w:pos="360"/>
        </w:tabs>
        <w:kinsoku w:val="0"/>
        <w:overflowPunct w:val="0"/>
        <w:autoSpaceDE w:val="0"/>
        <w:autoSpaceDN w:val="0"/>
        <w:adjustRightInd w:val="0"/>
        <w:spacing w:after="200"/>
        <w:ind w:right="115"/>
        <w:rPr>
          <w:rFonts w:eastAsiaTheme="minorHAnsi"/>
          <w:i/>
        </w:rPr>
      </w:pPr>
      <w:r w:rsidRPr="001569FB">
        <w:rPr>
          <w:rFonts w:eastAsiaTheme="minorHAnsi"/>
          <w:i/>
        </w:rPr>
        <w:t>Days Supply Limits for Opioid Naïve Patients</w:t>
      </w:r>
    </w:p>
    <w:p w14:paraId="3CF525C7" w14:textId="77777777" w:rsidR="004C5B0C" w:rsidRPr="001569FB" w:rsidRDefault="004C5B0C" w:rsidP="001569FB">
      <w:pPr>
        <w:spacing w:after="200"/>
      </w:pPr>
      <w:r w:rsidRPr="001569FB">
        <w:t>The sixth recommendation of the CDC Guideline states that opioids prescribed for acute pain should be limited to three days or fewer, and that seven days are rarely necessary. Clinical evidence cited by the CDC review found that opioid use for acute pain is associated with long-term opioid use, and that a greater amount of early opioid exposure is associated with greater risk for long-term use. Because the amount of opioid prescribed can often be in excess of the amount needed to treat an acute event, leftover supplies of opioids can become the source for misuse and diversion.</w:t>
      </w:r>
      <w:r w:rsidRPr="001569FB">
        <w:rPr>
          <w:rStyle w:val="FootnoteReference"/>
        </w:rPr>
        <w:footnoteReference w:id="48"/>
      </w:r>
      <w:r w:rsidRPr="001569FB">
        <w:t xml:space="preserve"> Limiting the initial amount of prescription opioids dispensed may reduce the risk that patients develop an affinity for these drugs and transition to chronic use or misuse.</w:t>
      </w:r>
      <w:r w:rsidRPr="001569FB">
        <w:rPr>
          <w:rStyle w:val="FootnoteReference"/>
        </w:rPr>
        <w:footnoteReference w:id="49"/>
      </w:r>
      <w:r w:rsidRPr="001569FB">
        <w:t xml:space="preserve">  Currently, at least sixteen States have or plan to add by statute or agency rule days supply (e.g., 5 or 7 days) and/or daily dose limits on the initial amount of opioids that clinicians can prescribe for ‘acute’ pain.</w:t>
      </w:r>
      <w:r w:rsidRPr="001569FB">
        <w:rPr>
          <w:rStyle w:val="FootnoteReference"/>
        </w:rPr>
        <w:footnoteReference w:id="50"/>
      </w:r>
      <w:r w:rsidRPr="001569FB">
        <w:t xml:space="preserve"> In addition, several large prescription benefit plans are implementing similar restrictions within their commercial, health plan, employer, and Medicaid clients.</w:t>
      </w:r>
      <w:r w:rsidRPr="001569FB">
        <w:rPr>
          <w:rStyle w:val="FootnoteReference"/>
        </w:rPr>
        <w:footnoteReference w:id="51"/>
      </w:r>
      <w:r w:rsidRPr="001569FB">
        <w:rPr>
          <w:vertAlign w:val="superscript"/>
        </w:rPr>
        <w:t>,</w:t>
      </w:r>
      <w:r w:rsidRPr="001569FB">
        <w:rPr>
          <w:rStyle w:val="FootnoteReference"/>
        </w:rPr>
        <w:footnoteReference w:id="52"/>
      </w:r>
      <w:r w:rsidRPr="001569FB">
        <w:t xml:space="preserve"> </w:t>
      </w:r>
    </w:p>
    <w:p w14:paraId="23B710EC" w14:textId="77777777" w:rsidR="004C5B0C" w:rsidRPr="001569FB" w:rsidRDefault="004C5B0C" w:rsidP="001569FB">
      <w:pPr>
        <w:spacing w:after="200"/>
      </w:pPr>
      <w:r w:rsidRPr="001569FB">
        <w:t xml:space="preserve">In addition to the strategies described above to help better manage high, chronic prescription opioid use, CMS intends to establish a days supply limitation policy for opioid naïve patients in this year’s final 2019 Call Letter that balances reducing the harm posed by opioids with an </w:t>
      </w:r>
      <w:r w:rsidRPr="001569FB">
        <w:lastRenderedPageBreak/>
        <w:t xml:space="preserve">individual’s need for access to appropriate pain relief. Ultimately, we seek to align our policy with other Government programs. For example, the FDA is seeking stakeholder input (82 FR 58572) on how the FDA might, under its Risk Evaluation and Mitigation Strategy (REMS) authority, improve the safe use of opioid analgesics by curbing overprescribing to decrease the occurrence of new addictions and limit misuse and abuse of opioid analgesics. </w:t>
      </w:r>
    </w:p>
    <w:p w14:paraId="4110E81B" w14:textId="77777777" w:rsidR="004C5B0C" w:rsidRPr="001569FB" w:rsidRDefault="004C5B0C" w:rsidP="001569FB">
      <w:pPr>
        <w:spacing w:after="200"/>
      </w:pPr>
      <w:r w:rsidRPr="001569FB">
        <w:t>We expect all Part D sponsors to implement a hard safety edit for initial opioid prescription fills that exceed 7 days for the treatment of acute pain. CMS understands that implementing such restrictions may create important challenges. Any restrictions should not compromise appropriate pain treatment or result in an excessive burden on clinicians and their patients. 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 We also solicit comment on whether a days supply limit with or without a daily dose maximum (e.g., 50 MME per day) would be more effective. In particular, we request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14:paraId="40A51A64" w14:textId="77777777" w:rsidR="004C5B0C" w:rsidRPr="001569FB" w:rsidRDefault="004C5B0C" w:rsidP="001569FB">
      <w:pPr>
        <w:keepNext/>
        <w:keepLines/>
        <w:spacing w:after="200"/>
        <w:ind w:firstLine="720"/>
        <w:rPr>
          <w:i/>
        </w:rPr>
      </w:pPr>
      <w:r w:rsidRPr="001569FB">
        <w:rPr>
          <w:i/>
        </w:rPr>
        <w:t>Opioid Duplicative Therapy Safety Edits</w:t>
      </w:r>
    </w:p>
    <w:p w14:paraId="18F24C37" w14:textId="77777777" w:rsidR="004C5B0C" w:rsidRPr="001569FB" w:rsidRDefault="004C5B0C" w:rsidP="001569FB">
      <w:pPr>
        <w:spacing w:after="200"/>
        <w:rPr>
          <w:i/>
        </w:rPr>
      </w:pPr>
      <w:r w:rsidRPr="001569FB">
        <w:t>Both the use of long-acting (LA) opioids and the number of opioid prescriptions are associated with a higher risk of mortality.</w:t>
      </w:r>
      <w:r w:rsidRPr="001569FB">
        <w:rPr>
          <w:vertAlign w:val="superscript"/>
        </w:rPr>
        <w:footnoteReference w:id="53"/>
      </w:r>
      <w:r w:rsidRPr="001569FB">
        <w:rPr>
          <w:vertAlign w:val="superscript"/>
        </w:rPr>
        <w:t>,</w:t>
      </w:r>
      <w:r w:rsidRPr="001569FB">
        <w:rPr>
          <w:vertAlign w:val="superscript"/>
        </w:rPr>
        <w:footnoteReference w:id="54"/>
      </w:r>
      <w:r w:rsidRPr="001569FB">
        <w:rPr>
          <w:vertAlign w:val="superscript"/>
        </w:rPr>
        <w:t xml:space="preserve"> </w:t>
      </w:r>
      <w:r w:rsidRPr="001569FB">
        <w:t>Clinically, there is little support for maintaining a patient on multiple different opioids and such use creates other health care issues. First, the use of multiple opioids that compete for similar pain receptors may provide little improvement in analgesia while increasing the risk of adverse events. In addition, prescriptions for multiple opioids (whether LA or short-acting (SA)) and/or multiple strengths increases the supply of opioids available for diversion and abuse, as well as the opportunity for self-medication and dose escalation.</w:t>
      </w:r>
      <w:r w:rsidRPr="001569FB">
        <w:rPr>
          <w:vertAlign w:val="superscript"/>
        </w:rPr>
        <w:footnoteReference w:id="55"/>
      </w:r>
      <w:r w:rsidRPr="001569FB">
        <w:t xml:space="preserve"> Therefore, additional DUR controls at the POS like a soft edit may help reduce excess opioid supplies and reduce adverse events.</w:t>
      </w:r>
    </w:p>
    <w:p w14:paraId="2262A450" w14:textId="77777777" w:rsidR="004C5B0C" w:rsidRPr="001569FB" w:rsidRDefault="004C5B0C" w:rsidP="001569FB">
      <w:pPr>
        <w:spacing w:after="200"/>
      </w:pPr>
      <w:r w:rsidRPr="001569FB">
        <w:t xml:space="preserve">Beneficiaries who receive multiple LA and/or multiple SA opioids may lack coordinated care and be at higher risk of opioid overdose. Some plans and PBMs already implement therapeutic duplication edits that check for opioid prescriptions whose days supply overlap before a certain percent has expired or overlap for a minimum number of days. If the prescription overlap criteria </w:t>
      </w:r>
      <w:r w:rsidRPr="001569FB">
        <w:lastRenderedPageBreak/>
        <w:t>are met, the plan sends an alert to a pharmacy at POS. However, many of these edits are message only and may not cause a pharmacist to check a patient profile or his/her State’s PDMP.</w:t>
      </w:r>
    </w:p>
    <w:p w14:paraId="3D464BBB" w14:textId="77777777" w:rsidR="004C5B0C" w:rsidRPr="001569FB" w:rsidRDefault="004C5B0C" w:rsidP="001569FB">
      <w:pPr>
        <w:spacing w:after="200"/>
      </w:pPr>
      <w:r w:rsidRPr="001569FB">
        <w:t>As a result of these concerns, CMS designed an analysis to investigate duplicate opioid use in Medicare Part D. In this context, we defined “duplicate” or “multiple” as more than one LA or more than one SA opioid prescription with overlapping days supply. This does not, however, mean a combination of LA and SA opioids with each other. Duplicate LA use was defined as a second prescription for an LA that occurred before 75% of a prior LA opioid’s days supply expires. We defined duplicative therapy as fills for different LA opioids unique at the generic entity, dosage form, and strength. For example, methadone 10mg and methadone 5mg tablets would trigger the opioid duplicative edit. We used 2016 prescription drug event (PDE) claims for LA opioids to generate beneficiary counts. For purposes of this analysis, LA opioids are defined</w:t>
      </w:r>
      <w:r w:rsidRPr="001569FB">
        <w:rPr>
          <w:vertAlign w:val="superscript"/>
        </w:rPr>
        <w:footnoteReference w:id="56"/>
      </w:r>
      <w:r w:rsidRPr="001569FB">
        <w:t xml:space="preserve"> as oral /buccal formulations that can be taken every 8 hours or greater, or are transdermal. </w:t>
      </w:r>
    </w:p>
    <w:p w14:paraId="4CD42764" w14:textId="77777777" w:rsidR="004C5B0C" w:rsidRPr="001569FB" w:rsidRDefault="004C5B0C" w:rsidP="001569FB">
      <w:pPr>
        <w:spacing w:after="200"/>
      </w:pPr>
      <w:r w:rsidRPr="001569FB">
        <w:t>In 2016, 12.9 million out of 43.6 million Part D enrollees had at least one claim for an opioid.</w:t>
      </w:r>
      <w:r w:rsidRPr="001569FB">
        <w:rPr>
          <w:rStyle w:val="FootnoteReference"/>
        </w:rPr>
        <w:footnoteReference w:id="57"/>
      </w:r>
      <w:r w:rsidRPr="001569FB">
        <w:t xml:space="preserve">  The results of the analysis are outlined in Table 29 below. We found that over 1.3 million enrollees used LA opioids.  </w:t>
      </w:r>
    </w:p>
    <w:p w14:paraId="01F7F4BC" w14:textId="77777777" w:rsidR="004C5B0C" w:rsidRPr="001569FB" w:rsidRDefault="004C5B0C" w:rsidP="004C5B0C">
      <w:pPr>
        <w:pStyle w:val="Caption"/>
      </w:pPr>
      <w:r w:rsidRPr="001569FB">
        <w:t xml:space="preserve">Table </w:t>
      </w:r>
      <w:fldSimple w:instr=" SEQ Table \* ARABIC ">
        <w:r w:rsidR="00A216EC">
          <w:rPr>
            <w:noProof/>
          </w:rPr>
          <w:t>29</w:t>
        </w:r>
      </w:fldSimple>
      <w:r w:rsidRPr="001569FB">
        <w:t>: Annual Count and Rate of Unique Beneficiaries with Duplicative LA Opioid Use, 2016</w:t>
      </w:r>
    </w:p>
    <w:tbl>
      <w:tblPr>
        <w:tblStyle w:val="TableGrid"/>
        <w:tblW w:w="9468" w:type="dxa"/>
        <w:jc w:val="center"/>
        <w:tblLook w:val="04A0" w:firstRow="1" w:lastRow="0" w:firstColumn="1" w:lastColumn="0" w:noHBand="0" w:noVBand="1"/>
      </w:tblPr>
      <w:tblGrid>
        <w:gridCol w:w="1536"/>
        <w:gridCol w:w="3949"/>
        <w:gridCol w:w="2340"/>
        <w:gridCol w:w="1643"/>
      </w:tblGrid>
      <w:tr w:rsidR="004C5B0C" w:rsidRPr="001569FB" w14:paraId="532C37C7" w14:textId="77777777" w:rsidTr="004C5B0C">
        <w:trPr>
          <w:cantSplit/>
          <w:trHeight w:val="924"/>
          <w:tblHeader/>
          <w:jc w:val="center"/>
        </w:trPr>
        <w:tc>
          <w:tcPr>
            <w:tcW w:w="1536" w:type="dxa"/>
            <w:vAlign w:val="center"/>
          </w:tcPr>
          <w:p w14:paraId="207475C3" w14:textId="77777777" w:rsidR="004C5B0C" w:rsidRPr="001569FB" w:rsidRDefault="004C5B0C" w:rsidP="004C5B0C">
            <w:pPr>
              <w:keepNext/>
              <w:keepLines/>
              <w:ind w:left="-203"/>
              <w:jc w:val="center"/>
              <w:rPr>
                <w:b/>
                <w:sz w:val="22"/>
              </w:rPr>
            </w:pPr>
            <w:r w:rsidRPr="001569FB">
              <w:rPr>
                <w:b/>
                <w:sz w:val="22"/>
              </w:rPr>
              <w:t>Criterion number</w:t>
            </w:r>
          </w:p>
        </w:tc>
        <w:tc>
          <w:tcPr>
            <w:tcW w:w="3949" w:type="dxa"/>
            <w:vAlign w:val="center"/>
          </w:tcPr>
          <w:p w14:paraId="2ED68CCA" w14:textId="77777777" w:rsidR="004C5B0C" w:rsidRPr="001569FB" w:rsidRDefault="004C5B0C" w:rsidP="004C5B0C">
            <w:pPr>
              <w:keepNext/>
              <w:keepLines/>
              <w:jc w:val="center"/>
              <w:rPr>
                <w:b/>
                <w:sz w:val="22"/>
              </w:rPr>
            </w:pPr>
            <w:r w:rsidRPr="001569FB">
              <w:rPr>
                <w:b/>
                <w:sz w:val="22"/>
              </w:rPr>
              <w:t>Criterion</w:t>
            </w:r>
          </w:p>
        </w:tc>
        <w:tc>
          <w:tcPr>
            <w:tcW w:w="2340" w:type="dxa"/>
            <w:vAlign w:val="center"/>
          </w:tcPr>
          <w:p w14:paraId="77E3EEC8" w14:textId="77777777" w:rsidR="004C5B0C" w:rsidRPr="001569FB" w:rsidRDefault="004C5B0C" w:rsidP="004C5B0C">
            <w:pPr>
              <w:keepNext/>
              <w:keepLines/>
              <w:ind w:left="-108"/>
              <w:jc w:val="center"/>
              <w:rPr>
                <w:b/>
                <w:sz w:val="22"/>
              </w:rPr>
            </w:pPr>
            <w:r w:rsidRPr="001569FB">
              <w:rPr>
                <w:b/>
                <w:sz w:val="22"/>
              </w:rPr>
              <w:t>Number Part D Enrollees Meeting Criterion</w:t>
            </w:r>
          </w:p>
        </w:tc>
        <w:tc>
          <w:tcPr>
            <w:tcW w:w="1643" w:type="dxa"/>
            <w:vAlign w:val="center"/>
          </w:tcPr>
          <w:p w14:paraId="7E4C60D8" w14:textId="77777777" w:rsidR="004C5B0C" w:rsidRPr="001569FB" w:rsidRDefault="004C5B0C" w:rsidP="004C5B0C">
            <w:pPr>
              <w:keepNext/>
              <w:keepLines/>
              <w:ind w:left="-94"/>
              <w:jc w:val="center"/>
              <w:rPr>
                <w:b/>
                <w:sz w:val="22"/>
              </w:rPr>
            </w:pPr>
            <w:r w:rsidRPr="001569FB">
              <w:rPr>
                <w:b/>
                <w:sz w:val="22"/>
              </w:rPr>
              <w:t>Percent of LA Opioid Users</w:t>
            </w:r>
          </w:p>
        </w:tc>
      </w:tr>
      <w:tr w:rsidR="004C5B0C" w:rsidRPr="001569FB" w14:paraId="22211638" w14:textId="77777777" w:rsidTr="004C5B0C">
        <w:trPr>
          <w:trHeight w:val="308"/>
          <w:jc w:val="center"/>
        </w:trPr>
        <w:tc>
          <w:tcPr>
            <w:tcW w:w="1536" w:type="dxa"/>
            <w:vAlign w:val="center"/>
          </w:tcPr>
          <w:p w14:paraId="6264AA21" w14:textId="77777777" w:rsidR="004C5B0C" w:rsidRPr="001569FB" w:rsidRDefault="004C5B0C" w:rsidP="004C5B0C">
            <w:pPr>
              <w:keepNext/>
              <w:keepLines/>
              <w:ind w:left="-113"/>
              <w:jc w:val="center"/>
              <w:rPr>
                <w:color w:val="000000"/>
                <w:sz w:val="22"/>
              </w:rPr>
            </w:pPr>
            <w:r w:rsidRPr="001569FB">
              <w:rPr>
                <w:color w:val="000000"/>
                <w:sz w:val="22"/>
              </w:rPr>
              <w:t>Criterion 1</w:t>
            </w:r>
          </w:p>
        </w:tc>
        <w:tc>
          <w:tcPr>
            <w:tcW w:w="3949" w:type="dxa"/>
            <w:vAlign w:val="center"/>
          </w:tcPr>
          <w:p w14:paraId="4ADF8FDA" w14:textId="77777777" w:rsidR="004C5B0C" w:rsidRPr="001569FB" w:rsidRDefault="004C5B0C" w:rsidP="004C5B0C">
            <w:pPr>
              <w:keepNext/>
              <w:keepLines/>
              <w:ind w:left="-119"/>
              <w:jc w:val="center"/>
              <w:rPr>
                <w:sz w:val="22"/>
              </w:rPr>
            </w:pPr>
            <w:r w:rsidRPr="001569FB">
              <w:rPr>
                <w:color w:val="000000"/>
                <w:sz w:val="22"/>
              </w:rPr>
              <w:t>LA opioid usage</w:t>
            </w:r>
          </w:p>
        </w:tc>
        <w:tc>
          <w:tcPr>
            <w:tcW w:w="2340" w:type="dxa"/>
            <w:vAlign w:val="center"/>
          </w:tcPr>
          <w:p w14:paraId="7D9E6C31" w14:textId="77777777" w:rsidR="004C5B0C" w:rsidRPr="001569FB" w:rsidRDefault="004C5B0C" w:rsidP="004C5B0C">
            <w:pPr>
              <w:keepNext/>
              <w:keepLines/>
              <w:ind w:left="-108"/>
              <w:jc w:val="center"/>
              <w:rPr>
                <w:sz w:val="22"/>
              </w:rPr>
            </w:pPr>
            <w:r w:rsidRPr="001569FB">
              <w:rPr>
                <w:bCs/>
                <w:color w:val="000000"/>
                <w:sz w:val="22"/>
              </w:rPr>
              <w:t>1,305,469</w:t>
            </w:r>
          </w:p>
        </w:tc>
        <w:tc>
          <w:tcPr>
            <w:tcW w:w="1643" w:type="dxa"/>
            <w:vAlign w:val="center"/>
          </w:tcPr>
          <w:p w14:paraId="41A99760" w14:textId="77777777" w:rsidR="004C5B0C" w:rsidRPr="001569FB" w:rsidRDefault="004C5B0C" w:rsidP="004C5B0C">
            <w:pPr>
              <w:keepNext/>
              <w:keepLines/>
              <w:ind w:left="-94"/>
              <w:jc w:val="center"/>
              <w:rPr>
                <w:sz w:val="22"/>
              </w:rPr>
            </w:pPr>
            <w:r w:rsidRPr="001569FB">
              <w:rPr>
                <w:sz w:val="22"/>
              </w:rPr>
              <w:t>100%</w:t>
            </w:r>
          </w:p>
        </w:tc>
      </w:tr>
      <w:tr w:rsidR="004C5B0C" w:rsidRPr="001569FB" w14:paraId="30CE134C" w14:textId="77777777" w:rsidTr="004C5B0C">
        <w:trPr>
          <w:trHeight w:val="911"/>
          <w:jc w:val="center"/>
        </w:trPr>
        <w:tc>
          <w:tcPr>
            <w:tcW w:w="1536" w:type="dxa"/>
            <w:vAlign w:val="center"/>
          </w:tcPr>
          <w:p w14:paraId="6A5E1BBD" w14:textId="77777777" w:rsidR="004C5B0C" w:rsidRPr="001569FB" w:rsidRDefault="004C5B0C" w:rsidP="004C5B0C">
            <w:pPr>
              <w:keepNext/>
              <w:keepLines/>
              <w:ind w:left="-113"/>
              <w:jc w:val="center"/>
              <w:rPr>
                <w:sz w:val="22"/>
              </w:rPr>
            </w:pPr>
            <w:r w:rsidRPr="001569FB">
              <w:rPr>
                <w:sz w:val="22"/>
              </w:rPr>
              <w:t>Criterion 2</w:t>
            </w:r>
          </w:p>
        </w:tc>
        <w:tc>
          <w:tcPr>
            <w:tcW w:w="3949" w:type="dxa"/>
            <w:vAlign w:val="center"/>
          </w:tcPr>
          <w:p w14:paraId="375B00BF" w14:textId="77777777" w:rsidR="004C5B0C" w:rsidRPr="001569FB" w:rsidRDefault="004C5B0C" w:rsidP="004C5B0C">
            <w:pPr>
              <w:keepNext/>
              <w:keepLines/>
              <w:ind w:left="-119"/>
              <w:jc w:val="center"/>
              <w:rPr>
                <w:sz w:val="22"/>
              </w:rPr>
            </w:pPr>
            <w:r w:rsidRPr="001569FB">
              <w:rPr>
                <w:sz w:val="22"/>
              </w:rPr>
              <w:t>Duplicate LA use: Criterion #1 and at least 1 fill of an LA opioid before 75% of prior claim's days supply expired</w:t>
            </w:r>
          </w:p>
        </w:tc>
        <w:tc>
          <w:tcPr>
            <w:tcW w:w="2340" w:type="dxa"/>
            <w:vAlign w:val="center"/>
          </w:tcPr>
          <w:p w14:paraId="3938661F" w14:textId="77777777" w:rsidR="004C5B0C" w:rsidRPr="001569FB" w:rsidRDefault="004C5B0C" w:rsidP="004C5B0C">
            <w:pPr>
              <w:keepNext/>
              <w:keepLines/>
              <w:ind w:left="-108"/>
              <w:jc w:val="center"/>
              <w:rPr>
                <w:sz w:val="22"/>
              </w:rPr>
            </w:pPr>
            <w:r w:rsidRPr="001569FB">
              <w:rPr>
                <w:sz w:val="22"/>
              </w:rPr>
              <w:t>253,056</w:t>
            </w:r>
          </w:p>
        </w:tc>
        <w:tc>
          <w:tcPr>
            <w:tcW w:w="1643" w:type="dxa"/>
            <w:vAlign w:val="center"/>
          </w:tcPr>
          <w:p w14:paraId="43B278B8" w14:textId="77777777" w:rsidR="004C5B0C" w:rsidRPr="001569FB" w:rsidRDefault="004C5B0C" w:rsidP="004C5B0C">
            <w:pPr>
              <w:keepNext/>
              <w:keepLines/>
              <w:ind w:left="-94"/>
              <w:jc w:val="center"/>
              <w:rPr>
                <w:sz w:val="22"/>
              </w:rPr>
            </w:pPr>
            <w:r w:rsidRPr="001569FB">
              <w:rPr>
                <w:sz w:val="22"/>
              </w:rPr>
              <w:t>19.4%</w:t>
            </w:r>
          </w:p>
        </w:tc>
      </w:tr>
      <w:tr w:rsidR="004C5B0C" w:rsidRPr="001569FB" w14:paraId="1B5DC5C6" w14:textId="77777777" w:rsidTr="004C5B0C">
        <w:trPr>
          <w:trHeight w:val="924"/>
          <w:jc w:val="center"/>
        </w:trPr>
        <w:tc>
          <w:tcPr>
            <w:tcW w:w="1536" w:type="dxa"/>
            <w:vAlign w:val="center"/>
          </w:tcPr>
          <w:p w14:paraId="6CC70606" w14:textId="77777777" w:rsidR="004C5B0C" w:rsidRPr="001569FB" w:rsidRDefault="004C5B0C" w:rsidP="004C5B0C">
            <w:pPr>
              <w:keepNext/>
              <w:keepLines/>
              <w:ind w:left="-113"/>
              <w:jc w:val="center"/>
              <w:rPr>
                <w:sz w:val="22"/>
              </w:rPr>
            </w:pPr>
            <w:r w:rsidRPr="001569FB">
              <w:rPr>
                <w:sz w:val="22"/>
              </w:rPr>
              <w:t>Criterion 3</w:t>
            </w:r>
          </w:p>
        </w:tc>
        <w:tc>
          <w:tcPr>
            <w:tcW w:w="3949" w:type="dxa"/>
            <w:vAlign w:val="center"/>
          </w:tcPr>
          <w:p w14:paraId="2A3F15F5" w14:textId="77777777" w:rsidR="004C5B0C" w:rsidRPr="001569FB" w:rsidRDefault="004C5B0C" w:rsidP="004C5B0C">
            <w:pPr>
              <w:keepNext/>
              <w:keepLines/>
              <w:ind w:left="-119"/>
              <w:jc w:val="center"/>
              <w:rPr>
                <w:sz w:val="22"/>
              </w:rPr>
            </w:pPr>
            <w:r w:rsidRPr="001569FB">
              <w:rPr>
                <w:sz w:val="22"/>
              </w:rPr>
              <w:t>Duplicative therapy: Criterion #2 and different LA opioids at the generic entity, dosage form, and strength</w:t>
            </w:r>
          </w:p>
        </w:tc>
        <w:tc>
          <w:tcPr>
            <w:tcW w:w="2340" w:type="dxa"/>
            <w:vAlign w:val="center"/>
          </w:tcPr>
          <w:p w14:paraId="513A228F" w14:textId="77777777" w:rsidR="004C5B0C" w:rsidRPr="001569FB" w:rsidRDefault="004C5B0C" w:rsidP="004C5B0C">
            <w:pPr>
              <w:keepNext/>
              <w:keepLines/>
              <w:ind w:left="-108"/>
              <w:jc w:val="center"/>
              <w:rPr>
                <w:sz w:val="22"/>
              </w:rPr>
            </w:pPr>
            <w:r w:rsidRPr="001569FB">
              <w:rPr>
                <w:sz w:val="22"/>
              </w:rPr>
              <w:t>203,828</w:t>
            </w:r>
          </w:p>
        </w:tc>
        <w:tc>
          <w:tcPr>
            <w:tcW w:w="1643" w:type="dxa"/>
            <w:vAlign w:val="center"/>
          </w:tcPr>
          <w:p w14:paraId="3E4C9786" w14:textId="77777777" w:rsidR="004C5B0C" w:rsidRPr="001569FB" w:rsidRDefault="004C5B0C" w:rsidP="004C5B0C">
            <w:pPr>
              <w:keepNext/>
              <w:keepLines/>
              <w:ind w:left="-94"/>
              <w:jc w:val="center"/>
              <w:rPr>
                <w:sz w:val="22"/>
              </w:rPr>
            </w:pPr>
            <w:r w:rsidRPr="001569FB">
              <w:rPr>
                <w:sz w:val="22"/>
              </w:rPr>
              <w:t>15.6%</w:t>
            </w:r>
          </w:p>
        </w:tc>
      </w:tr>
      <w:tr w:rsidR="004C5B0C" w:rsidRPr="001569FB" w14:paraId="1AE36993" w14:textId="77777777" w:rsidTr="004C5B0C">
        <w:trPr>
          <w:trHeight w:val="308"/>
          <w:jc w:val="center"/>
        </w:trPr>
        <w:tc>
          <w:tcPr>
            <w:tcW w:w="1536" w:type="dxa"/>
            <w:vAlign w:val="center"/>
          </w:tcPr>
          <w:p w14:paraId="77790B74" w14:textId="77777777" w:rsidR="004C5B0C" w:rsidRPr="001569FB" w:rsidRDefault="004C5B0C" w:rsidP="004C5B0C">
            <w:pPr>
              <w:ind w:left="-113"/>
              <w:jc w:val="center"/>
              <w:rPr>
                <w:sz w:val="22"/>
              </w:rPr>
            </w:pPr>
            <w:r w:rsidRPr="001569FB">
              <w:rPr>
                <w:sz w:val="22"/>
              </w:rPr>
              <w:t>Criterion 4</w:t>
            </w:r>
          </w:p>
        </w:tc>
        <w:tc>
          <w:tcPr>
            <w:tcW w:w="3949" w:type="dxa"/>
            <w:vAlign w:val="center"/>
          </w:tcPr>
          <w:p w14:paraId="79B948C3" w14:textId="77777777" w:rsidR="004C5B0C" w:rsidRPr="001569FB" w:rsidRDefault="004C5B0C" w:rsidP="004C5B0C">
            <w:pPr>
              <w:ind w:left="-119"/>
              <w:jc w:val="center"/>
              <w:rPr>
                <w:sz w:val="22"/>
              </w:rPr>
            </w:pPr>
            <w:r w:rsidRPr="001569FB">
              <w:rPr>
                <w:sz w:val="22"/>
              </w:rPr>
              <w:t>Multiple providers: Criterion #3 with different prescribers</w:t>
            </w:r>
          </w:p>
        </w:tc>
        <w:tc>
          <w:tcPr>
            <w:tcW w:w="2340" w:type="dxa"/>
            <w:vAlign w:val="center"/>
          </w:tcPr>
          <w:p w14:paraId="54296922" w14:textId="77777777" w:rsidR="004C5B0C" w:rsidRPr="001569FB" w:rsidRDefault="004C5B0C" w:rsidP="004C5B0C">
            <w:pPr>
              <w:ind w:left="-108"/>
              <w:jc w:val="center"/>
              <w:rPr>
                <w:sz w:val="22"/>
              </w:rPr>
            </w:pPr>
            <w:r w:rsidRPr="001569FB">
              <w:rPr>
                <w:sz w:val="22"/>
              </w:rPr>
              <w:t>66,360</w:t>
            </w:r>
          </w:p>
        </w:tc>
        <w:tc>
          <w:tcPr>
            <w:tcW w:w="1643" w:type="dxa"/>
            <w:vAlign w:val="center"/>
          </w:tcPr>
          <w:p w14:paraId="53B326C6" w14:textId="77777777" w:rsidR="004C5B0C" w:rsidRPr="001569FB" w:rsidRDefault="004C5B0C" w:rsidP="004C5B0C">
            <w:pPr>
              <w:ind w:left="-94"/>
              <w:jc w:val="center"/>
              <w:rPr>
                <w:sz w:val="22"/>
              </w:rPr>
            </w:pPr>
            <w:r w:rsidRPr="001569FB">
              <w:rPr>
                <w:sz w:val="22"/>
              </w:rPr>
              <w:t>5.1%</w:t>
            </w:r>
          </w:p>
        </w:tc>
      </w:tr>
    </w:tbl>
    <w:p w14:paraId="2155F89B" w14:textId="77777777" w:rsidR="004C5B0C" w:rsidRPr="001569FB" w:rsidRDefault="004C5B0C" w:rsidP="001569FB">
      <w:pPr>
        <w:spacing w:before="200" w:after="200"/>
      </w:pPr>
      <w:r w:rsidRPr="001569FB">
        <w:t xml:space="preserve">Of the beneficiaries who used LA opioids in 2016, over 250,000 (or almost 20% of LA opioid users) had at least one fill of an LA opioid before 75% of prior claims’ days supply expired (criteria #2). Next, we identified how many of these beneficiaries had duplicative LA opioid </w:t>
      </w:r>
      <w:r w:rsidRPr="001569FB">
        <w:lastRenderedPageBreak/>
        <w:t>therapy, meaning fills for different LA opioids at the generic entity, dosage form, and strength (criteria #3). This yielded over 200,000 beneficiaries (15.6%). Lastly, we recognize that multiple LA opioid prescriptions of different strengths can be clinically appropriate so we examined the impact of requiring different opioid prescribers (criteria #4). Of those beneficiaries with duplicative LA opioid therapy, over 66,000 (5.1%) were from different prescribers.</w:t>
      </w:r>
    </w:p>
    <w:p w14:paraId="7A2F21BB" w14:textId="77777777" w:rsidR="004C5B0C" w:rsidRPr="001569FB" w:rsidRDefault="004C5B0C" w:rsidP="001569FB">
      <w:pPr>
        <w:spacing w:before="200" w:after="200"/>
      </w:pPr>
      <w:r w:rsidRPr="001569FB">
        <w:t>Some additional key findings from the analysis included: (1) more than half of MA-PD contracts and more than 70% of PDP contracts had greater than 100 beneficiaries with duplicative LA opioid therapy (criteria #3), and (2) adding different prescribers to the overlapping criteria (criteria #4) decreased the number of contracts with greater than 100 beneficiaries identified to less than 10% of MA-PD contracts and less than 40% of PDP contracts.</w:t>
      </w:r>
    </w:p>
    <w:p w14:paraId="7D2DF173" w14:textId="77777777" w:rsidR="004C5B0C" w:rsidRPr="001569FB" w:rsidRDefault="004C5B0C" w:rsidP="001569FB">
      <w:pPr>
        <w:spacing w:before="200" w:after="200"/>
      </w:pPr>
      <w:r w:rsidRPr="001569FB">
        <w:t xml:space="preserve">Based on these findings, we expect all Part D plan sponsors to implement a soft POS edit for duplicative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 </w:t>
      </w:r>
    </w:p>
    <w:p w14:paraId="6694C5FB" w14:textId="77777777" w:rsidR="004C5B0C" w:rsidRPr="001569FB" w:rsidRDefault="004C5B0C" w:rsidP="001569FB">
      <w:pPr>
        <w:spacing w:before="200" w:after="200"/>
      </w:pPr>
      <w:r w:rsidRPr="001569FB">
        <w:t>Ultimately, such safety edits may proactively address potentially unsafe cumulative opioid regimens at the time of dispensing to promote care coordination, and before beneficiaries are identified by the OMS. We also recognize that multiple opioid POS edits could potentially generate a combination of messages and soft or hard rejects that may cause confusion. Therefore, we recommend that contracts create a hierarchy for the opioid POS edit messaging in an effort to reduce confusion.</w:t>
      </w:r>
    </w:p>
    <w:p w14:paraId="747C1C1A" w14:textId="77777777" w:rsidR="004C5B0C" w:rsidRPr="001569FB" w:rsidRDefault="004C5B0C" w:rsidP="00C27EFC">
      <w:pPr>
        <w:kinsoku w:val="0"/>
        <w:overflowPunct w:val="0"/>
        <w:autoSpaceDE w:val="0"/>
        <w:autoSpaceDN w:val="0"/>
        <w:adjustRightInd w:val="0"/>
        <w:spacing w:before="200" w:after="200"/>
        <w:ind w:right="115"/>
      </w:pPr>
      <w:r w:rsidRPr="001569FB">
        <w:t>We are requesting feedback from stakeholders, especially Part D sponsors and PBMs, on the proposed expectation that sponsors to implement a soft duplicative LA opioid therapy POS edit (e.g., current experience in implementing such edits or concerns with the complexity or capacity to be able to implement for 2019) and recommendations on the most effective edit specifications (e.g., the specifications used in CMS’s analysis or other specifications). We also seek feedback on how best to manage multiple opioid POS edits that a single prescription may trigger, for instance, a duplicative therapy and cumulative MME POS edit. In addition, we request feedback on extending the specifications in the future to include SA opioids and defining duplicative therapy as previously described for LA opioids (i.e., generic entity, dosage form, strength and/or differing prescribers) or another unique drug classification scheme (e.g., removing strength). We will delay specifying the parameters for the duplicate SA opioid POS edit until additional testing can be completed and we have a better idea of the feasibility and operational considerations for such edits.</w:t>
      </w:r>
    </w:p>
    <w:p w14:paraId="584EFD31" w14:textId="77777777" w:rsidR="004C5B0C" w:rsidRPr="001569FB" w:rsidRDefault="004C5B0C" w:rsidP="001569FB">
      <w:pPr>
        <w:keepNext/>
        <w:keepLines/>
        <w:tabs>
          <w:tab w:val="left" w:pos="360"/>
        </w:tabs>
        <w:kinsoku w:val="0"/>
        <w:overflowPunct w:val="0"/>
        <w:autoSpaceDE w:val="0"/>
        <w:autoSpaceDN w:val="0"/>
        <w:adjustRightInd w:val="0"/>
        <w:spacing w:before="200" w:after="200"/>
        <w:ind w:right="115"/>
      </w:pPr>
      <w:r w:rsidRPr="001569FB">
        <w:rPr>
          <w:rFonts w:eastAsiaTheme="minorHAnsi"/>
          <w:i/>
        </w:rPr>
        <w:lastRenderedPageBreak/>
        <w:t>Concurrent Use of Opioids and Benzodiazepines</w:t>
      </w:r>
      <w:r w:rsidRPr="001569FB">
        <w:t xml:space="preserve">  </w:t>
      </w:r>
    </w:p>
    <w:p w14:paraId="6954226E"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the Enhancements to the 2019 Star Ratings and Future Measurement Concepts section of this draft 2019 Call Letter, CMS requests feedback on the Concurrent Use of Opioids and Benzodiazepines measure.</w:t>
      </w:r>
    </w:p>
    <w:p w14:paraId="5BB9C9CC"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2016, the FDA added a boxed warning to prescription opioid analgesics, opioid-containing cough products, and benzodiazepines with information about the serious risks associated with using these medications concurrently.</w:t>
      </w:r>
      <w:r w:rsidRPr="001569FB">
        <w:rPr>
          <w:rStyle w:val="FootnoteReference"/>
        </w:rPr>
        <w:footnoteReference w:id="58"/>
      </w:r>
      <w:r w:rsidRPr="001569FB">
        <w:t xml:space="preserve"> Sponsors can reduce the concurrent use of opioids and benzodiazepines, as well as other potentially problematic concurrent medication use at POS. Prospective drug use review can identify and evaluate the appropriateness of concurrent use prior to dispensing. We propose that Part D sponsors implement a concurrent opioid and benzodiazepine soft POS safety edit. We are requesting feedback from stakeholders, especially Part D sponsors and PBMs, on their experience with concurrent or duplicative soft POS edits including an opioid and benzodiazepine and other drug combinations.</w:t>
      </w:r>
    </w:p>
    <w:p w14:paraId="017F9046" w14:textId="77777777" w:rsidR="004C5B0C" w:rsidRPr="001569FB" w:rsidRDefault="004C5B0C" w:rsidP="004C5B0C">
      <w:pPr>
        <w:pStyle w:val="Heading4"/>
      </w:pPr>
      <w:bookmarkStart w:id="959" w:name="_Toc493523640"/>
      <w:bookmarkStart w:id="960" w:name="_Toc495652155"/>
      <w:r w:rsidRPr="001569FB">
        <w:t>Access to Medication-Assisted Treatment</w:t>
      </w:r>
    </w:p>
    <w:p w14:paraId="15CE75E5" w14:textId="77777777" w:rsidR="004C5B0C" w:rsidRPr="001569FB" w:rsidRDefault="004C5B0C" w:rsidP="001569FB">
      <w:pPr>
        <w:spacing w:after="200"/>
      </w:pPr>
      <w:r w:rsidRPr="001569FB">
        <w:t xml:space="preserve">While CMS continues to work closely with Part D sponsors and other stakeholders to help combat inappropriate opioid utilization, it is imperative to also ensure that Medicare beneficiaries have appropriate access to medication-assisted treatment (MAT). As noted in previous Call Letter guidance, CMS will closely scrutinize formulary and benefit submissions with respect to formulary inclusion, utilization management criteria, and cost-sharing of Part D drugs indicated for MAT. Benefit designs that would substantially discourage enrollment by beneficiaries who need these therapies will not be approved. We continue to expect Part D sponsors to include products in preferred formulary tiers, and to avoid placing generic drugs indicated for MAT in brand tiers. As noted in previous Call Letter guidance, PA criteria that duplicates those requirements already set forth in the FDA Risk Evaluation and Mitigation Strategies and Drug Addiction Treatment Act of 2000 for applicable MAT products will not be approved. </w:t>
      </w:r>
    </w:p>
    <w:p w14:paraId="2C8D88F7" w14:textId="77777777" w:rsidR="004C5B0C" w:rsidRPr="001569FB" w:rsidRDefault="004C5B0C" w:rsidP="001569FB">
      <w:pPr>
        <w:spacing w:after="200"/>
      </w:pPr>
      <w:r w:rsidRPr="001569FB">
        <w:t xml:space="preserve">On September 20, 2017, FDA announced that they recently had strengthened labeling requirements for buprenorphine MAT products to emphasize that treatment may be required indefinitely, as long as the use contributes to the intended treatment goals (https://www.fda.gov/NewsEvents/Newsroom/PressAnnouncements/ucm576752.htm). Consistent with FDA’s position, CMS will not approve PA criteria that requires a beneficiary to need an authorization any more frequently than once during a plan year. Further, when a sponsor has authorized MAT for a beneficiary in the prior plan year, we expect that the sponsor would carry that authorization through to the next plan year. </w:t>
      </w:r>
    </w:p>
    <w:p w14:paraId="4CCC489B" w14:textId="6EA2AB44" w:rsidR="004C5B0C" w:rsidRPr="001569FB" w:rsidRDefault="00566713" w:rsidP="004C5B0C">
      <w:pPr>
        <w:pStyle w:val="Heading3"/>
      </w:pPr>
      <w:bookmarkStart w:id="961" w:name="_Toc505253877"/>
      <w:r>
        <w:lastRenderedPageBreak/>
        <w:t>Section III</w:t>
      </w:r>
      <w:r w:rsidRPr="001569FB">
        <w:t xml:space="preserve"> </w:t>
      </w:r>
      <w:r w:rsidR="004C5B0C" w:rsidRPr="001569FB">
        <w:t>Coordination of Benefits (COB) User Fee</w:t>
      </w:r>
      <w:bookmarkEnd w:id="959"/>
      <w:bookmarkEnd w:id="960"/>
      <w:bookmarkEnd w:id="961"/>
    </w:p>
    <w:p w14:paraId="540A2E79" w14:textId="77777777" w:rsidR="004C5B0C" w:rsidRPr="001569FB" w:rsidRDefault="004C5B0C" w:rsidP="004C5B0C">
      <w:r w:rsidRPr="001569FB">
        <w:t>CMS is authorized to impose user fees on Part D sponsors for the transmittal of information necessary for benefit coordination between sponsors and other entities providing prescription drug coverage. We review and update this user fee annually to reflect the costs associated with COB activities for the specific year. The 2019 COB user fee will be collected at a monthly rate of $0.XX for the first 9 months of the coverage year (for an annual rate of $0.0XX per enrollee per month) for a total user fee of $x.xx per enrollee per year. Part D sponsors should account for this COB user fee when developing their 2019 bids.</w:t>
      </w:r>
    </w:p>
    <w:p w14:paraId="25A5B71E" w14:textId="77777777" w:rsidR="004C5B0C" w:rsidRPr="001569FB" w:rsidRDefault="004C5B0C" w:rsidP="001569FB">
      <w:pPr>
        <w:spacing w:after="200"/>
      </w:pPr>
      <w:r w:rsidRPr="001569FB">
        <w:t>In contract year 2019, we will use the COB user fees for activities including:</w:t>
      </w:r>
    </w:p>
    <w:p w14:paraId="616EC799" w14:textId="77777777" w:rsidR="004C5B0C" w:rsidRPr="001569FB" w:rsidRDefault="004C5B0C" w:rsidP="00AC78D9">
      <w:pPr>
        <w:numPr>
          <w:ilvl w:val="0"/>
          <w:numId w:val="39"/>
        </w:numPr>
        <w:contextualSpacing/>
      </w:pPr>
      <w:r w:rsidRPr="001569FB">
        <w:t>Part D Transaction Facilitator operation and maintenance;</w:t>
      </w:r>
    </w:p>
    <w:p w14:paraId="71EC2048" w14:textId="77777777" w:rsidR="004C5B0C" w:rsidRPr="001569FB" w:rsidRDefault="004C5B0C" w:rsidP="00AC78D9">
      <w:pPr>
        <w:numPr>
          <w:ilvl w:val="0"/>
          <w:numId w:val="39"/>
        </w:numPr>
        <w:contextualSpacing/>
      </w:pPr>
      <w:r w:rsidRPr="001569FB">
        <w:t>The Benefit Coordination and Recovery Center (BCRC) operation and maintenance;</w:t>
      </w:r>
    </w:p>
    <w:p w14:paraId="0A9F52FC" w14:textId="77777777" w:rsidR="004C5B0C" w:rsidRPr="001569FB" w:rsidRDefault="004C5B0C" w:rsidP="00AC78D9">
      <w:pPr>
        <w:numPr>
          <w:ilvl w:val="0"/>
          <w:numId w:val="39"/>
        </w:numPr>
        <w:contextualSpacing/>
      </w:pPr>
      <w:r w:rsidRPr="001569FB">
        <w:t>Drug data processing system management, which is used to collect prescription drug event (PDE) data for Part D payment purposes and to produce invoices for the coverage gap discount program;</w:t>
      </w:r>
    </w:p>
    <w:p w14:paraId="1D3F4585" w14:textId="77777777" w:rsidR="004C5B0C" w:rsidRPr="001569FB" w:rsidRDefault="004C5B0C" w:rsidP="00AC78D9">
      <w:pPr>
        <w:numPr>
          <w:ilvl w:val="0"/>
          <w:numId w:val="39"/>
        </w:numPr>
        <w:contextualSpacing/>
      </w:pPr>
      <w:r w:rsidRPr="001569FB">
        <w:t>Medicare Advantage and Prescription Drug (MARx) system management of COB data; and</w:t>
      </w:r>
    </w:p>
    <w:p w14:paraId="1F5ACD18" w14:textId="77777777" w:rsidR="004C5B0C" w:rsidRPr="001569FB" w:rsidRDefault="004C5B0C" w:rsidP="00AC78D9">
      <w:pPr>
        <w:numPr>
          <w:ilvl w:val="0"/>
          <w:numId w:val="39"/>
        </w:numPr>
        <w:contextualSpacing/>
      </w:pPr>
      <w:r w:rsidRPr="001569FB">
        <w:t>Review of Workers’ Compensation settlement set-aside</w:t>
      </w:r>
    </w:p>
    <w:p w14:paraId="797ADA05" w14:textId="7191421E" w:rsidR="004C5B0C" w:rsidRPr="001569FB" w:rsidRDefault="00566713" w:rsidP="004C5B0C">
      <w:pPr>
        <w:pStyle w:val="Heading3"/>
        <w:spacing w:before="600"/>
      </w:pPr>
      <w:bookmarkStart w:id="962" w:name="_Toc493523641"/>
      <w:bookmarkStart w:id="963" w:name="_Toc495652156"/>
      <w:bookmarkStart w:id="964" w:name="_Toc505253878"/>
      <w:r>
        <w:t>Section III</w:t>
      </w:r>
      <w:r w:rsidRPr="001569FB">
        <w:t xml:space="preserve"> </w:t>
      </w:r>
      <w:r w:rsidR="004C5B0C" w:rsidRPr="001569FB">
        <w:t>LIS Enrollee Cost-sharing for Out-of-Network Part D Drugs</w:t>
      </w:r>
      <w:bookmarkEnd w:id="962"/>
      <w:bookmarkEnd w:id="963"/>
      <w:bookmarkEnd w:id="964"/>
    </w:p>
    <w:p w14:paraId="790AFCE1" w14:textId="77777777" w:rsidR="004C5B0C" w:rsidRPr="001569FB" w:rsidRDefault="004C5B0C" w:rsidP="004C5B0C">
      <w:r w:rsidRPr="001569FB">
        <w:t>Current regulations require that Part D enrollees will be afforded adequate access to covered Part D drugs dispensed at out-of-network (OON) when those enrollees cannot reasonably be expected to obtain covered Part D drugs at a network pharmacy, and when such access is not routine.  This includes situations in which Part D enrollees are provided covered Part D drugs dispensed by an OON institution-based pharmacy while they are patients in an emergency department, provider-based clinic, outpatient surgery, or other outpatient setting, and as a result cannot get their prescriptions filled at a network pharmacy.  Part D enrollees must pay (or be billed) the institution-based pharmacy’s usual and customary price at the point-of-sale, submit a paper claim to the Part D sponsor, and wait for reimbursement from the sponsor.</w:t>
      </w:r>
    </w:p>
    <w:p w14:paraId="359448BD" w14:textId="77777777" w:rsidR="004C5B0C" w:rsidRPr="001569FB" w:rsidRDefault="004C5B0C" w:rsidP="004C5B0C">
      <w:r w:rsidRPr="001569FB">
        <w:t xml:space="preserve">Beneficiary advocates have raised concerns about the disproportionate financial impact of paper claim-based reimbursement for low income beneficiaries receiving outpatient services in hospitals.  We remind Part D sponsors that they cannot bill enrollees receiving LIS for any differential between the plan’s negotiated price for a drug and the pharmacy’s U&amp;C cost – that is, LIS enrollees must be reimbursed the entire amount of the claim minus their applicable LIS cost-sharing amount. </w:t>
      </w:r>
    </w:p>
    <w:p w14:paraId="14B73E06" w14:textId="77777777" w:rsidR="004C5B0C" w:rsidRPr="001569FB" w:rsidRDefault="004C5B0C" w:rsidP="004C5B0C">
      <w:r w:rsidRPr="001569FB">
        <w:t xml:space="preserve">We also remind Part D sponsors of their obligation to process direct member reimbursements (DMRs) from all enrollees timely.  Delays in DMRs can have serious adverse consequences on enrollees, especially for those with limited financial resources. DMRs are coverage </w:t>
      </w:r>
      <w:r w:rsidRPr="001569FB">
        <w:lastRenderedPageBreak/>
        <w:t xml:space="preserve">determinations as provided under § 423.566(b).  For reimbursement requests, Part D sponsors must issue a decision and reimbursement, if applicable, no later than 14 days from receipt of the request for the coverage determination (both the decision and the actual check, if applicable).  The timeframe for plan and IRE appeals (levels 1 and 2) are 7 days for a decision (and up to 30 days to make payment). </w:t>
      </w:r>
    </w:p>
    <w:p w14:paraId="54D32AF8" w14:textId="6CA260D2" w:rsidR="004C5B0C" w:rsidRPr="001569FB" w:rsidRDefault="00566713" w:rsidP="004C5B0C">
      <w:pPr>
        <w:pStyle w:val="Heading3"/>
      </w:pPr>
      <w:bookmarkStart w:id="965" w:name="_Toc493523642"/>
      <w:bookmarkStart w:id="966" w:name="_Toc495652157"/>
      <w:bookmarkStart w:id="967" w:name="_Toc505253879"/>
      <w:r>
        <w:t>Section III</w:t>
      </w:r>
      <w:r w:rsidRPr="001569FB">
        <w:t xml:space="preserve"> </w:t>
      </w:r>
      <w:r w:rsidR="004C5B0C" w:rsidRPr="001569FB">
        <w:t>Timely Updates to LIS Status Based on Best Available Evidence</w:t>
      </w:r>
      <w:bookmarkEnd w:id="965"/>
      <w:bookmarkEnd w:id="966"/>
      <w:bookmarkEnd w:id="967"/>
    </w:p>
    <w:p w14:paraId="44244E2D" w14:textId="77777777" w:rsidR="004C5B0C" w:rsidRPr="001569FB" w:rsidRDefault="004C5B0C" w:rsidP="004C5B0C">
      <w:bookmarkStart w:id="968" w:name="_Toc499028268"/>
      <w:bookmarkStart w:id="969" w:name="_Toc493523643"/>
      <w:bookmarkStart w:id="970" w:name="_Toc495652158"/>
      <w:bookmarkStart w:id="971" w:name="_Toc443480710"/>
      <w:bookmarkStart w:id="972" w:name="_Toc443633684"/>
      <w:r w:rsidRPr="001569FB">
        <w:t>Part D sponsors are obligated to use best available evidence when determining the cost-sharing levels for Part-D covered prescriptions.  When situations arise  that result in incorrect LIS cost-sharing data at the point-of-sale, Part D sponsors must comply with the “Best Available Evidence” (BAE) policy (see 42 CFR 423.800(d), Section 70.5 of Chapter 13 of the Medicare Prescription Drug Benefit Manual).  This policy requires sponsors to update their systems to reflect the appropriate cost-sharing subsidy for Part D eligible individuals who are full or partial benefit Medicare/Medicaid dual eligible individuals, or receiving SSI-only, when presented with evidence that cost-sharing levels in their systems are incorrect.  Sponsors should also ensure that key staff have needed resources to apply the policy quickly, as well as transmit any updates to CMS so we can update the status in our records on a timely basis.</w:t>
      </w:r>
    </w:p>
    <w:p w14:paraId="3FD7E545" w14:textId="2C695618" w:rsidR="004C5B0C" w:rsidRPr="001569FB" w:rsidRDefault="00566713" w:rsidP="004C5B0C">
      <w:pPr>
        <w:pStyle w:val="Heading3"/>
      </w:pPr>
      <w:bookmarkStart w:id="973" w:name="_Toc505253880"/>
      <w:bookmarkEnd w:id="968"/>
      <w:r>
        <w:t>Section III</w:t>
      </w:r>
      <w:r w:rsidRPr="001569FB">
        <w:t xml:space="preserve"> </w:t>
      </w:r>
      <w:r w:rsidR="004C5B0C" w:rsidRPr="001569FB">
        <w:t>Using the Best Available Information when making B vs D Coverage Determinations for Immunosuppressants and Inhalation Durable Medical Equipment (DME) Supply Drugs</w:t>
      </w:r>
      <w:bookmarkEnd w:id="969"/>
      <w:bookmarkEnd w:id="970"/>
      <w:bookmarkEnd w:id="973"/>
    </w:p>
    <w:p w14:paraId="5883687F" w14:textId="77777777" w:rsidR="004C5B0C" w:rsidRPr="001569FB" w:rsidRDefault="004C5B0C" w:rsidP="00AC78D9">
      <w:pPr>
        <w:numPr>
          <w:ilvl w:val="0"/>
          <w:numId w:val="65"/>
        </w:numPr>
        <w:spacing w:before="199" w:line="240" w:lineRule="auto"/>
        <w:ind w:left="360"/>
      </w:pPr>
      <w:r w:rsidRPr="001569FB">
        <w:t>Immunosuppressants Used to Prevent Transplant Rejection</w:t>
      </w:r>
    </w:p>
    <w:p w14:paraId="444CC793" w14:textId="77777777" w:rsidR="004C5B0C" w:rsidRPr="001569FB" w:rsidRDefault="004C5B0C" w:rsidP="00C27EFC">
      <w:pPr>
        <w:spacing w:after="200"/>
      </w:pPr>
      <w:r w:rsidRPr="001569FB">
        <w:t>Part D sponsors are responsible for determining whether immunosuppressants that are being used to prevent transplant rejections are coverable under Part D because immunosuppressants that are used for Medicare covered transplants are covered under Part B. To make these determinations, sponsors generally have relied on either information from the prescriber or, in the case of renal transplants, information in MARx that confirms that Medicare covered the transplant (i.e. paid for in whole or in part).</w:t>
      </w:r>
      <w:r w:rsidRPr="001569FB">
        <w:rPr>
          <w:vertAlign w:val="superscript"/>
        </w:rPr>
        <w:footnoteReference w:id="59"/>
      </w:r>
      <w:r w:rsidRPr="001569FB">
        <w:t xml:space="preserve"> However, as a result of CMS Program Integrity audits, we have learned that information obtained directly from prescribers often times is not reliable or conflicts with CMS information that is provided later. </w:t>
      </w:r>
    </w:p>
    <w:p w14:paraId="50911A68" w14:textId="77777777" w:rsidR="004C5B0C" w:rsidRPr="001569FB" w:rsidRDefault="004C5B0C" w:rsidP="004C5B0C">
      <w:pPr>
        <w:spacing w:after="600"/>
      </w:pPr>
      <w:r w:rsidRPr="001569FB">
        <w:t xml:space="preserve">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Though it is well established that Part D plans may not pay for drugs that would otherwise be paid under Part B, this proposal establishes CMS’ expectations around how Part D plans perform due diligence to ensure that this does not occur.  In all cases Part D sponsors </w:t>
      </w:r>
      <w:r w:rsidRPr="001569FB">
        <w:lastRenderedPageBreak/>
        <w:t xml:space="preserve">should document the basis for their determinations to cover immunosuppressants and make such documentation available upon audit. </w:t>
      </w:r>
    </w:p>
    <w:p w14:paraId="69AEF6F9" w14:textId="77777777" w:rsidR="004C5B0C" w:rsidRPr="001569FB" w:rsidRDefault="004C5B0C" w:rsidP="00AC78D9">
      <w:pPr>
        <w:keepNext/>
        <w:keepLines/>
        <w:numPr>
          <w:ilvl w:val="0"/>
          <w:numId w:val="72"/>
        </w:numPr>
        <w:spacing w:before="199" w:after="120" w:line="240" w:lineRule="auto"/>
        <w:ind w:left="720"/>
        <w:rPr>
          <w:u w:val="single"/>
        </w:rPr>
      </w:pPr>
      <w:r w:rsidRPr="001569FB">
        <w:rPr>
          <w:u w:val="single"/>
        </w:rPr>
        <w:t>No Prior Part D Claims History for Immunosuppressants</w:t>
      </w:r>
    </w:p>
    <w:p w14:paraId="78459D93" w14:textId="77777777" w:rsidR="004C5B0C" w:rsidRPr="001569FB" w:rsidRDefault="004C5B0C" w:rsidP="004C5B0C">
      <w:pPr>
        <w:tabs>
          <w:tab w:val="left" w:pos="1170"/>
        </w:tabs>
        <w:spacing w:after="120"/>
      </w:pPr>
      <w:r w:rsidRPr="001569FB">
        <w:t xml:space="preserve">a) The plan has received information from CMS (e.g. via MARx) indicating that Medicare covered the enrollee’s transplant or, in the case of a Medicare Advantage enrollee, the MA Plan has medical claims history of a covered transplant regardless of previously received information from a prescriber on whether or not the transplant was covered by Medicare.  </w:t>
      </w:r>
    </w:p>
    <w:p w14:paraId="21BAF88E" w14:textId="77777777" w:rsidR="004C5B0C" w:rsidRPr="001569FB" w:rsidRDefault="004C5B0C" w:rsidP="004C5B0C">
      <w:pPr>
        <w:tabs>
          <w:tab w:val="left" w:pos="1170"/>
        </w:tabs>
        <w:spacing w:after="120"/>
        <w:ind w:left="810"/>
      </w:pPr>
      <w:r w:rsidRPr="001569FB">
        <w:t xml:space="preserve">In this situation, plans are expected to rely on the CMS information (or in the case of an MA plan, its own medical claims history) and cannot cover immunosuppressants under Part D even if information is also provided by the prescriber that indicates that the transplant was not Medicare covered.  </w:t>
      </w:r>
    </w:p>
    <w:p w14:paraId="1CDE25A5" w14:textId="77777777" w:rsidR="004C5B0C" w:rsidRPr="001569FB" w:rsidRDefault="004C5B0C" w:rsidP="004C5B0C">
      <w:pPr>
        <w:tabs>
          <w:tab w:val="left" w:pos="1170"/>
        </w:tabs>
        <w:spacing w:after="120"/>
      </w:pPr>
      <w:r w:rsidRPr="001569FB">
        <w:t>b) The plan has NOT received information from CMS (via MARx or otherwise) indicating that Medicare covered the transplant for the enrollee; in the case of a Medicare Advantage enrollee, the MA Plan does not have medical claims showing a history of a covered transplant; and the plan has not previously received information from a prescriber that the transplant was covered by Medicare.</w:t>
      </w:r>
    </w:p>
    <w:p w14:paraId="1156FE6A" w14:textId="77777777" w:rsidR="004C5B0C" w:rsidRPr="001569FB" w:rsidRDefault="004C5B0C" w:rsidP="004C5B0C">
      <w:pPr>
        <w:tabs>
          <w:tab w:val="left" w:pos="1170"/>
        </w:tabs>
        <w:spacing w:after="120"/>
        <w:ind w:left="810"/>
      </w:pPr>
      <w:r w:rsidRPr="001569FB">
        <w:t xml:space="preserve">In this situation, CMS expects plans to default to covering the immunosuppressants under Part D and no longer expects 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that the transplant was covered by Medicare (in full or in part), the Part D plan may not cover immunosuprressants under D. </w:t>
      </w:r>
    </w:p>
    <w:p w14:paraId="516AE952" w14:textId="77777777" w:rsidR="004C5B0C" w:rsidRPr="001569FB" w:rsidRDefault="004C5B0C" w:rsidP="00AC78D9">
      <w:pPr>
        <w:numPr>
          <w:ilvl w:val="0"/>
          <w:numId w:val="72"/>
        </w:numPr>
        <w:spacing w:before="199" w:after="120" w:line="240" w:lineRule="auto"/>
        <w:ind w:left="720"/>
        <w:rPr>
          <w:u w:val="single"/>
        </w:rPr>
      </w:pPr>
      <w:r w:rsidRPr="001569FB">
        <w:rPr>
          <w:u w:val="single"/>
        </w:rPr>
        <w:t>Prior Part D Claims History AND MARx currently indicates that Medicare covered the transplant:</w:t>
      </w:r>
    </w:p>
    <w:p w14:paraId="0D85CD34" w14:textId="77777777" w:rsidR="004C5B0C" w:rsidRPr="001569FB" w:rsidRDefault="004C5B0C" w:rsidP="004C5B0C">
      <w:pPr>
        <w:spacing w:after="120" w:line="240" w:lineRule="auto"/>
      </w:pPr>
      <w:r w:rsidRPr="001569FB">
        <w:tab/>
        <w:t xml:space="preserve">A plan might have covered the drugs under Part D previously because either: </w:t>
      </w:r>
    </w:p>
    <w:p w14:paraId="611DF245" w14:textId="77777777" w:rsidR="004C5B0C" w:rsidRPr="001569FB" w:rsidRDefault="004C5B0C" w:rsidP="00AC78D9">
      <w:pPr>
        <w:numPr>
          <w:ilvl w:val="0"/>
          <w:numId w:val="75"/>
        </w:numPr>
        <w:spacing w:before="199" w:after="120" w:line="240" w:lineRule="auto"/>
        <w:ind w:left="1170"/>
        <w:contextualSpacing/>
      </w:pPr>
      <w:r w:rsidRPr="001569FB">
        <w:t>MARx information was updated after the Part D sponsor relied on prior information from the prescriber that the transplant was NOT covered/ paid by Medicare; or</w:t>
      </w:r>
    </w:p>
    <w:p w14:paraId="54E42B9D" w14:textId="77777777" w:rsidR="004C5B0C" w:rsidRPr="001569FB" w:rsidRDefault="004C5B0C" w:rsidP="00AC78D9">
      <w:pPr>
        <w:numPr>
          <w:ilvl w:val="0"/>
          <w:numId w:val="44"/>
        </w:numPr>
        <w:spacing w:before="199" w:after="120" w:line="240" w:lineRule="auto"/>
        <w:ind w:left="1170"/>
      </w:pPr>
      <w:r w:rsidRPr="001569FB">
        <w:t xml:space="preserve">The Part D sponsor had relied solely on information from the prescriber that the transplant was NOT covered/paid by Medicare without regard to MARx. </w:t>
      </w:r>
    </w:p>
    <w:p w14:paraId="506A0B1D" w14:textId="77777777" w:rsidR="004C5B0C" w:rsidRPr="001569FB" w:rsidRDefault="004C5B0C" w:rsidP="004C5B0C">
      <w:pPr>
        <w:spacing w:after="120"/>
        <w:ind w:left="720"/>
      </w:pPr>
      <w:r w:rsidRPr="001569FB">
        <w:t xml:space="preserve">Under either scenario, the Part D sponsor must now rely on the MARx information </w:t>
      </w:r>
      <w:r w:rsidRPr="001569FB">
        <w:rPr>
          <w:b/>
        </w:rPr>
        <w:t xml:space="preserve">going forward </w:t>
      </w:r>
      <w:r w:rsidRPr="001569FB">
        <w:t xml:space="preserve">and notify the enrollee that the plan can no longer cover the immunosuppressant(s) because it is covered under Medicare Part B. No changes need to be made to prior Part D claims. </w:t>
      </w:r>
    </w:p>
    <w:p w14:paraId="0F3932A7" w14:textId="77777777" w:rsidR="004C5B0C" w:rsidRPr="001569FB" w:rsidRDefault="004C5B0C" w:rsidP="004C5B0C">
      <w:pPr>
        <w:tabs>
          <w:tab w:val="left" w:pos="1170"/>
        </w:tabs>
        <w:spacing w:after="120"/>
        <w:ind w:left="720" w:hanging="360"/>
      </w:pPr>
      <w:r w:rsidRPr="001569FB">
        <w:lastRenderedPageBreak/>
        <w:t xml:space="preserve">3. </w:t>
      </w:r>
      <w:r w:rsidRPr="001569FB">
        <w:tab/>
      </w:r>
      <w:r w:rsidRPr="001569FB">
        <w:rPr>
          <w:u w:val="single"/>
        </w:rPr>
        <w:t>Prior Part D Claims History ,  no MARx indicator or MA plan medical claims history of a covered transplant BUT the Part D sponsor receives information from CMS that the transplant was covered by Medicare (e.g. Part D sponsor receives the information from CMS as part of a CMS Program Integrity audit or otherwise).</w:t>
      </w:r>
      <w:r w:rsidRPr="001569FB">
        <w:t xml:space="preserve"> </w:t>
      </w:r>
    </w:p>
    <w:p w14:paraId="2058DF5A" w14:textId="77777777" w:rsidR="004C5B0C" w:rsidRPr="001569FB" w:rsidRDefault="004C5B0C" w:rsidP="004C5B0C">
      <w:pPr>
        <w:spacing w:after="120"/>
        <w:ind w:left="720"/>
      </w:pPr>
      <w:r w:rsidRPr="001569FB">
        <w:t xml:space="preserve">Under this scenario, the Part D sponsor must now rely on the CMS information </w:t>
      </w:r>
      <w:r w:rsidRPr="001569FB">
        <w:rPr>
          <w:b/>
        </w:rPr>
        <w:t xml:space="preserve">going forward </w:t>
      </w:r>
      <w:r w:rsidRPr="001569FB">
        <w:t>and provide notice to the enrollee that the plan will no longer cover the immunosuppressant(s) under Part D because it is covered under Medicare Part B.  No changes need to be made to prior Part D claims.</w:t>
      </w:r>
    </w:p>
    <w:p w14:paraId="0C7D3965" w14:textId="77777777" w:rsidR="004C5B0C" w:rsidRPr="001569FB" w:rsidRDefault="004C5B0C" w:rsidP="00AC78D9">
      <w:pPr>
        <w:pStyle w:val="ListParagraph"/>
        <w:numPr>
          <w:ilvl w:val="0"/>
          <w:numId w:val="65"/>
        </w:numPr>
        <w:spacing w:after="200" w:line="240" w:lineRule="auto"/>
        <w:ind w:left="360"/>
        <w:contextualSpacing w:val="0"/>
      </w:pPr>
      <w:r w:rsidRPr="001569FB">
        <w:t>Inhalation Durable Medical Equipment (DME) Supply Drugs</w:t>
      </w:r>
    </w:p>
    <w:p w14:paraId="3B0F85EC" w14:textId="77777777" w:rsidR="004C5B0C" w:rsidRPr="001569FB" w:rsidRDefault="004C5B0C" w:rsidP="00C27EFC">
      <w:pPr>
        <w:spacing w:after="200"/>
        <w:ind w:left="720"/>
      </w:pPr>
      <w:r w:rsidRPr="001569FB">
        <w:t>Previous guidance documents indicate that inhalation drugs administered in a long term care setting where the stay is not covered under Medicare Part A can be covered under Part D.  We are now clarifying how Part D plans can determine that a beneficiary is residing in a long term care facility.</w:t>
      </w:r>
    </w:p>
    <w:p w14:paraId="5D918B58" w14:textId="77777777" w:rsidR="004C5B0C" w:rsidRPr="001569FB" w:rsidRDefault="004C5B0C" w:rsidP="004C5B0C">
      <w:pPr>
        <w:ind w:left="720"/>
      </w:pPr>
      <w:r w:rsidRPr="001569FB">
        <w:t>Medicare Part B covers certain inhalation drugs, such as Albuterol and Levalbuterol nebulizer solutions, as supplies under the DME benefit. The DME benefit, however, is not available to beneficiaries residing in long-term care facilities (i.e. Nursing Facilities and Intermediate Care Facilities for Individuals with Intellectual Disabilities). Consequently, if the beneficiary is not on a Part A stay in one of these facilities, these inhalation drugs can be covered under Medicare Part D.  While Part D sponsors generally have relied on the prescriber’s statement that the beneficiary resides in long-term care facility to authorize Part D coverage, since 2013 CMS has required sponsors to report the patient residence code on prescription drug events (PDEs). We expect that patient residence codes submitted to CMS are accurate and because they represent a recent dispensing event; the residence codes offer a more timely view of patient’s location than previous information communicated by the prescriber. Therefore, CMS permits Part D sponsors to rely on a patient residence code of “3” or “9” on a pharmacy claim for determining when such inhalation drugs may be covered under Part D. Moreover, we expect that sponsors will only pay claims for these products when the pharmacy claim includes these specified patient residence codes regardless of any prior coverage determination based upon a prescriber statement indicating that the beneficiary resides in a long-term care facility (i.e. the prescriber statement and patient residence code must be aligned).</w:t>
      </w:r>
    </w:p>
    <w:p w14:paraId="339B9C4A" w14:textId="6018AFA8" w:rsidR="004C5B0C" w:rsidRPr="001569FB" w:rsidRDefault="00566713" w:rsidP="004C5B0C">
      <w:pPr>
        <w:pStyle w:val="Heading3"/>
      </w:pPr>
      <w:bookmarkStart w:id="974" w:name="_Toc495652159"/>
      <w:bookmarkStart w:id="975" w:name="_Toc505253881"/>
      <w:r>
        <w:t>Section III</w:t>
      </w:r>
      <w:r w:rsidRPr="001569FB">
        <w:t xml:space="preserve"> </w:t>
      </w:r>
      <w:r w:rsidR="004C5B0C" w:rsidRPr="001569FB">
        <w:t>Part D Mail-Order Refill Consent Policy– Solicitation for Comments</w:t>
      </w:r>
      <w:bookmarkEnd w:id="974"/>
      <w:bookmarkEnd w:id="975"/>
    </w:p>
    <w:p w14:paraId="73C79D3E" w14:textId="77777777" w:rsidR="004C5B0C" w:rsidRPr="001569FB" w:rsidRDefault="004C5B0C" w:rsidP="00C27EFC">
      <w:pPr>
        <w:spacing w:after="200"/>
      </w:pPr>
      <w:r w:rsidRPr="001569FB">
        <w:t xml:space="preserve">In the 2014 Call Letter, we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Subsequently, we modified this policy to permit exceptions, </w:t>
      </w:r>
      <w:r w:rsidRPr="001569FB">
        <w:lastRenderedPageBreak/>
        <w:t>subject to certain conditions, that allow Employer Group Waiver Plan (EGWP) mail-order auto-ship programs that do not obtain patient consent prior to delivery for both new prescriptions and refills. We also modified the policy for all Part D plans with respect to automatic shipments of new prescription orders received directly from the prescriber, regardless of whether prior patient consent was received.</w:t>
      </w:r>
    </w:p>
    <w:p w14:paraId="4BE855F9" w14:textId="77777777" w:rsidR="004C5B0C" w:rsidRPr="001569FB" w:rsidRDefault="004C5B0C" w:rsidP="00C27EFC">
      <w:pPr>
        <w:spacing w:after="200"/>
      </w:pPr>
      <w:r w:rsidRPr="001569FB">
        <w:t xml:space="preserve">Consequently, since January 1, 2014, Part D sponsors of non-EGWP plans have obtained consent from beneficiaries prior to shipping refills of mail-order prescriptions. We have received requests to further modify or eliminate this policy.  Some stakeholders suggest that the current policy creates an unnecessary burden and interferes with improving medication adherence via automatic refill shipments. However, we remain concerned that auto shipments of refills not specifically requested by beneficiaries increase shipments of unnecessary or unwanted prescription refills, leading to increased waste and potentially inappropriate drug therapy when a discontinued medication is shipped.  </w:t>
      </w:r>
    </w:p>
    <w:p w14:paraId="2B371470" w14:textId="77777777" w:rsidR="004C5B0C" w:rsidRPr="001569FB" w:rsidRDefault="004C5B0C" w:rsidP="00C27EFC">
      <w:pPr>
        <w:spacing w:after="200"/>
      </w:pPr>
      <w:r w:rsidRPr="001569FB">
        <w:t xml:space="preserve">We are therefore interested in any information and data associated with mail-order auto-ship programs (other than those detailing on-time refills, medication possession ratio, or proportion of days covered) that indicate actual improved adherence by patients resulting from automatic (not patient-initiated) refills. We also are interested in any information or data that rebuts concerns that such programs increase waste (to include unwanted or unneeded medications that go unused, as well as additional cost to the beneficiary or Part D program).  </w:t>
      </w:r>
    </w:p>
    <w:p w14:paraId="7B17E480" w14:textId="77777777" w:rsidR="004C5B0C" w:rsidRPr="001569FB" w:rsidRDefault="004C5B0C" w:rsidP="00C27EFC">
      <w:pPr>
        <w:spacing w:after="200"/>
      </w:pPr>
      <w:r w:rsidRPr="001569FB">
        <w:t xml:space="preserve">Finally, we are specifically interested in receiving feedback on possible modifications to the current policy if we determine that a change is warranted. For example: </w:t>
      </w:r>
    </w:p>
    <w:p w14:paraId="5EA5FE34" w14:textId="77777777" w:rsidR="004C5B0C" w:rsidRPr="001569FB" w:rsidRDefault="004C5B0C" w:rsidP="00AC78D9">
      <w:pPr>
        <w:pStyle w:val="ListParagraph"/>
        <w:numPr>
          <w:ilvl w:val="0"/>
          <w:numId w:val="68"/>
        </w:numPr>
        <w:spacing w:after="200"/>
        <w:contextualSpacing w:val="0"/>
      </w:pPr>
      <w:r w:rsidRPr="001569FB">
        <w:t>Replacing affirmative prior consent for refills with a refill shipping reminder, prior to shipping, which provides sufficient time for a beneficiary to cancel an order.</w:t>
      </w:r>
    </w:p>
    <w:p w14:paraId="21160CE6" w14:textId="77777777" w:rsidR="004C5B0C" w:rsidRPr="001569FB" w:rsidRDefault="004C5B0C" w:rsidP="00AC78D9">
      <w:pPr>
        <w:pStyle w:val="ListParagraph"/>
        <w:numPr>
          <w:ilvl w:val="0"/>
          <w:numId w:val="68"/>
        </w:numPr>
        <w:spacing w:after="200"/>
        <w:contextualSpacing w:val="0"/>
      </w:pPr>
      <w:r w:rsidRPr="001569FB">
        <w:t>Eliminating affirmative prior consent for refills but expecting plans to implement a full refund policy for any refills auto shipped that a beneficiary reports or returns as unneeded or otherwise unwanted.  We welcome feedback on possible approaches to confirm medications reported as unwanted were partially or fully unused.</w:t>
      </w:r>
    </w:p>
    <w:p w14:paraId="65F99EA1"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to be more frequent, such as bi-annual.</w:t>
      </w:r>
    </w:p>
    <w:p w14:paraId="344786D7"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but with an opt-in on a per drug basis.</w:t>
      </w:r>
    </w:p>
    <w:p w14:paraId="370CC5B7" w14:textId="77777777" w:rsidR="004C5B0C" w:rsidRPr="001569FB" w:rsidRDefault="004C5B0C" w:rsidP="004C5B0C">
      <w:pPr>
        <w:pStyle w:val="Heading2"/>
      </w:pPr>
      <w:bookmarkStart w:id="976" w:name="_Toc493523644"/>
      <w:bookmarkStart w:id="977" w:name="_Toc495652160"/>
      <w:bookmarkStart w:id="978" w:name="_Toc505253809"/>
      <w:bookmarkStart w:id="979" w:name="_Toc505253882"/>
      <w:r w:rsidRPr="001569FB">
        <w:lastRenderedPageBreak/>
        <w:t>Section IV – Medicare-Medicaid Plans</w:t>
      </w:r>
      <w:bookmarkEnd w:id="971"/>
      <w:bookmarkEnd w:id="972"/>
      <w:bookmarkEnd w:id="976"/>
      <w:bookmarkEnd w:id="977"/>
      <w:bookmarkEnd w:id="978"/>
      <w:bookmarkEnd w:id="979"/>
    </w:p>
    <w:p w14:paraId="0009CEA2" w14:textId="77777777" w:rsidR="004C5B0C" w:rsidRPr="001569FB" w:rsidRDefault="004C5B0C" w:rsidP="004C5B0C">
      <w:pPr>
        <w:pStyle w:val="Heading3"/>
      </w:pPr>
      <w:bookmarkStart w:id="980" w:name="_Toc443480711"/>
      <w:bookmarkStart w:id="981" w:name="_Toc493523645"/>
      <w:bookmarkStart w:id="982" w:name="_Toc495652161"/>
      <w:bookmarkStart w:id="983" w:name="_Toc505253883"/>
      <w:r w:rsidRPr="001569FB">
        <w:t xml:space="preserve">Medicare-Medicaid Plan Annual Requirements and Timeline for CY </w:t>
      </w:r>
      <w:bookmarkEnd w:id="980"/>
      <w:r w:rsidRPr="001569FB">
        <w:t>2019</w:t>
      </w:r>
      <w:bookmarkEnd w:id="981"/>
      <w:bookmarkEnd w:id="982"/>
      <w:bookmarkEnd w:id="983"/>
    </w:p>
    <w:p w14:paraId="1348C577" w14:textId="77777777" w:rsidR="004C5B0C" w:rsidRPr="001569FB" w:rsidRDefault="004C5B0C" w:rsidP="004C5B0C">
      <w:pPr>
        <w:pStyle w:val="BodyText0"/>
        <w:rPr>
          <w:rFonts w:asciiTheme="minorHAnsi" w:hAnsiTheme="minorHAnsi"/>
          <w:color w:val="111111"/>
          <w:sz w:val="22"/>
          <w:szCs w:val="22"/>
        </w:rPr>
      </w:pPr>
      <w:r w:rsidRPr="001569FB">
        <w:t>Contract Year (CY) 2019 will be the sixth contract year since the implementation of the first capitated model under the Medicare-Medicaid Financial Alignment Initiative.  Since that time, CMS – in collaboration with our state partners – has implemented eleven capitated model demonstrations in ten states.  While most initial implementation challenges and many opportunities have been addressed, we will continue to build on the strong partnerships both CMS and the states have developed with participating Medicare-Medicaid Plans (MMPs) to provide high-quality, seamless and integrated care to individuals dually eligible for Medicare and Medicaid in CY 2019 and beyond.</w:t>
      </w:r>
    </w:p>
    <w:p w14:paraId="69CC2AF0" w14:textId="77777777" w:rsidR="004C5B0C" w:rsidRPr="001569FB" w:rsidRDefault="004C5B0C" w:rsidP="004C5B0C">
      <w:pPr>
        <w:pStyle w:val="BodyText0"/>
      </w:pPr>
      <w:r w:rsidRPr="001569FB">
        <w:t xml:space="preserve">Prior to each contract year, CMS provides information about the Medicare requirements and timeframes for renewal of MMP contracts.  This section of the Call Letter reminds MMPs of those requirements and their timeframes. We will also provide guidance shortly after the issuance of the CY 2019 Final Call Letter about the applicability of the provisions in other sections of the Call Letter to MMPs. </w:t>
      </w:r>
    </w:p>
    <w:p w14:paraId="58983656" w14:textId="77777777" w:rsidR="004C5B0C" w:rsidRPr="001569FB" w:rsidRDefault="004C5B0C" w:rsidP="004C5B0C">
      <w:pPr>
        <w:pStyle w:val="BodyText0"/>
        <w:widowControl w:val="0"/>
      </w:pPr>
      <w:r w:rsidRPr="001569FB">
        <w:t xml:space="preserve">As is the case for other Medicare Advantage (MA) and Part D plans, MMPs must submit a formulary, medication therapy management (MTM) program, and plan benefit package (PBP) each contract year, and annual submission timelines for MMPs are aligned with the standard MA and Part D schedule. </w:t>
      </w:r>
    </w:p>
    <w:p w14:paraId="62696040" w14:textId="77777777" w:rsidR="004C5B0C" w:rsidRPr="001569FB" w:rsidRDefault="004C5B0C" w:rsidP="004C5B0C">
      <w:pPr>
        <w:pStyle w:val="BodyText0"/>
        <w:widowControl w:val="0"/>
        <w:spacing w:line="240" w:lineRule="auto"/>
      </w:pPr>
      <w:r w:rsidRPr="001569FB">
        <w:t>In addition to the requirements for MA and Part D plans, MMPs must also submit:</w:t>
      </w:r>
    </w:p>
    <w:p w14:paraId="7F9E5D60" w14:textId="77777777" w:rsidR="004C5B0C" w:rsidRPr="001569FB" w:rsidRDefault="004C5B0C" w:rsidP="00AC78D9">
      <w:pPr>
        <w:pStyle w:val="BodyText0"/>
        <w:widowControl w:val="0"/>
        <w:numPr>
          <w:ilvl w:val="0"/>
          <w:numId w:val="35"/>
        </w:numPr>
        <w:spacing w:before="0"/>
      </w:pPr>
      <w:r w:rsidRPr="001569FB">
        <w:t xml:space="preserve">On an annual basis, information to ensure the plan has a network adequate to provide enrollees with timely and reliable access to providers and pharmacies for Medicare drug and medical benefits based on requirements in the Medicare Parts C and D programs.  In addition, states will evaluate networks for Medicaid service providers, including long-term supports and services. </w:t>
      </w:r>
    </w:p>
    <w:p w14:paraId="79711BD1" w14:textId="77777777" w:rsidR="004C5B0C" w:rsidRPr="001569FB" w:rsidRDefault="004C5B0C" w:rsidP="00AC78D9">
      <w:pPr>
        <w:pStyle w:val="BodyText0"/>
        <w:numPr>
          <w:ilvl w:val="0"/>
          <w:numId w:val="35"/>
        </w:numPr>
        <w:spacing w:before="0" w:after="0"/>
      </w:pPr>
      <w:r w:rsidRPr="001569FB">
        <w:t xml:space="preserve">The Additional Demonstration Drug (ADD) file to supplement the Part D formulary submission. </w:t>
      </w:r>
    </w:p>
    <w:p w14:paraId="03450928" w14:textId="77777777" w:rsidR="004C5B0C" w:rsidRPr="001569FB" w:rsidRDefault="004C5B0C" w:rsidP="004C5B0C">
      <w:pPr>
        <w:pStyle w:val="BodyText0"/>
      </w:pPr>
      <w:r w:rsidRPr="001569FB">
        <w:t xml:space="preserve">Table 30 below catalogues previously released guidance for MMPs or guidance that may be of particular interest to MMPs.  CMS will release updated or new guidance as necessary; where more recent guidance exists or is released for topics that appear in previously released documents, MMPs should use the most recent document. </w:t>
      </w:r>
    </w:p>
    <w:p w14:paraId="0A7CEA1F" w14:textId="77777777" w:rsidR="004C5B0C" w:rsidRPr="001569FB" w:rsidRDefault="004C5B0C" w:rsidP="004C5B0C">
      <w:pPr>
        <w:pStyle w:val="Caption"/>
      </w:pPr>
      <w:r w:rsidRPr="001569FB">
        <w:lastRenderedPageBreak/>
        <w:t>Table 30: Previously Released MMP Guidance</w:t>
      </w:r>
    </w:p>
    <w:tbl>
      <w:tblPr>
        <w:tblStyle w:val="TableContemporary"/>
        <w:tblW w:w="9787" w:type="dxa"/>
        <w:jc w:val="center"/>
        <w:tblLayout w:type="fixed"/>
        <w:tblLook w:val="04A0" w:firstRow="1" w:lastRow="0" w:firstColumn="1" w:lastColumn="0" w:noHBand="0" w:noVBand="1"/>
      </w:tblPr>
      <w:tblGrid>
        <w:gridCol w:w="2824"/>
        <w:gridCol w:w="6963"/>
      </w:tblGrid>
      <w:tr w:rsidR="004C5B0C" w:rsidRPr="001569FB" w14:paraId="2669D833" w14:textId="77777777" w:rsidTr="004C5B0C">
        <w:trPr>
          <w:cnfStyle w:val="100000000000" w:firstRow="1" w:lastRow="0" w:firstColumn="0" w:lastColumn="0" w:oddVBand="0" w:evenVBand="0" w:oddHBand="0" w:evenHBand="0" w:firstRowFirstColumn="0" w:firstRowLastColumn="0" w:lastRowFirstColumn="0" w:lastRowLastColumn="0"/>
          <w:cantSplit/>
          <w:tblHeader/>
          <w:jc w:val="center"/>
        </w:trPr>
        <w:tc>
          <w:tcPr>
            <w:tcW w:w="2824" w:type="dxa"/>
          </w:tcPr>
          <w:p w14:paraId="752E6FA4" w14:textId="77777777" w:rsidR="004C5B0C" w:rsidRPr="001569FB" w:rsidRDefault="004C5B0C" w:rsidP="004C5B0C">
            <w:pPr>
              <w:pStyle w:val="BodyText0"/>
              <w:keepNext/>
              <w:keepLines/>
              <w:spacing w:after="100" w:afterAutospacing="1"/>
              <w:rPr>
                <w:color w:val="111111"/>
              </w:rPr>
            </w:pPr>
            <w:r w:rsidRPr="001569FB">
              <w:rPr>
                <w:color w:val="111111"/>
              </w:rPr>
              <w:t>Topic</w:t>
            </w:r>
          </w:p>
        </w:tc>
        <w:tc>
          <w:tcPr>
            <w:tcW w:w="6963" w:type="dxa"/>
          </w:tcPr>
          <w:p w14:paraId="117DE93F" w14:textId="77777777" w:rsidR="004C5B0C" w:rsidRPr="001569FB" w:rsidRDefault="004C5B0C" w:rsidP="004C5B0C">
            <w:pPr>
              <w:pStyle w:val="BodyText0"/>
              <w:keepNext/>
              <w:keepLines/>
              <w:spacing w:after="100" w:afterAutospacing="1"/>
            </w:pPr>
            <w:r w:rsidRPr="001569FB">
              <w:rPr>
                <w:color w:val="111111"/>
              </w:rPr>
              <w:t>Link to document</w:t>
            </w:r>
          </w:p>
        </w:tc>
      </w:tr>
      <w:tr w:rsidR="004C5B0C" w:rsidRPr="001569FB" w14:paraId="1C3BDA91"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597ECDA" w14:textId="77777777" w:rsidR="004C5B0C" w:rsidRPr="001569FB" w:rsidRDefault="004C5B0C" w:rsidP="004C5B0C">
            <w:pPr>
              <w:pStyle w:val="BodyText0"/>
              <w:keepNext/>
              <w:keepLines/>
              <w:spacing w:after="100" w:afterAutospacing="1"/>
              <w:rPr>
                <w:color w:val="111111"/>
              </w:rPr>
            </w:pPr>
            <w:r w:rsidRPr="001569FB">
              <w:rPr>
                <w:color w:val="111111"/>
              </w:rPr>
              <w:t>MMP Enrollment and Disenrollment Guidance</w:t>
            </w:r>
          </w:p>
        </w:tc>
        <w:tc>
          <w:tcPr>
            <w:tcW w:w="6963" w:type="dxa"/>
            <w:vAlign w:val="center"/>
          </w:tcPr>
          <w:p w14:paraId="7066363E" w14:textId="77777777" w:rsidR="004C5B0C" w:rsidRPr="001569FB" w:rsidRDefault="006B65AC" w:rsidP="004C5B0C">
            <w:pPr>
              <w:pStyle w:val="BodyText0"/>
              <w:keepNext/>
              <w:keepLines/>
              <w:spacing w:after="100" w:afterAutospacing="1"/>
            </w:pPr>
            <w:hyperlink r:id="rId66" w:history="1">
              <w:r w:rsidR="004C5B0C" w:rsidRPr="001569FB">
                <w:rPr>
                  <w:rStyle w:val="Hyperlink"/>
                </w:rPr>
                <w:t>https://www.cms.gov/Medicare-Medicaid-Coordination/Medicare-and-Medicaid-Coordination/Medicare-Medicaid-Coordination-Office/FinancialAlignmentInitiative/Downloads/MMPEnrollmentManual090216.pdf</w:t>
              </w:r>
            </w:hyperlink>
            <w:r w:rsidR="004C5B0C" w:rsidRPr="001569FB">
              <w:t xml:space="preserve"> </w:t>
            </w:r>
          </w:p>
        </w:tc>
      </w:tr>
      <w:tr w:rsidR="004C5B0C" w:rsidRPr="001569FB" w14:paraId="27ADB4B1"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3F3CB1D6" w14:textId="77777777" w:rsidR="004C5B0C" w:rsidRPr="001569FB" w:rsidRDefault="004C5B0C" w:rsidP="004C5B0C">
            <w:pPr>
              <w:pStyle w:val="BodyText0"/>
              <w:keepNext/>
              <w:keepLines/>
              <w:spacing w:after="100" w:afterAutospacing="1"/>
              <w:rPr>
                <w:color w:val="111111"/>
              </w:rPr>
            </w:pPr>
            <w:r w:rsidRPr="001569FB">
              <w:rPr>
                <w:color w:val="111111"/>
              </w:rPr>
              <w:t>Additional State-specific Enrollment Guidance</w:t>
            </w:r>
          </w:p>
        </w:tc>
        <w:tc>
          <w:tcPr>
            <w:tcW w:w="6963" w:type="dxa"/>
            <w:vAlign w:val="center"/>
          </w:tcPr>
          <w:p w14:paraId="167F2B52" w14:textId="77777777" w:rsidR="004C5B0C" w:rsidRPr="001569FB" w:rsidRDefault="006B65AC" w:rsidP="004C5B0C">
            <w:pPr>
              <w:pStyle w:val="BodyText0"/>
              <w:keepNext/>
              <w:keepLines/>
              <w:spacing w:after="100" w:afterAutospacing="1"/>
            </w:pPr>
            <w:hyperlink r:id="rId67" w:history="1">
              <w:r w:rsidR="004C5B0C" w:rsidRPr="001569FB">
                <w:rPr>
                  <w:rStyle w:val="Hyperlink"/>
                </w:rPr>
                <w:t>https://www.cms.gov/Medicare-Medicaid-Coordination/Medicare-and-Medicaid-Coordination/Medicare-Medicaid-Coordination-Office/FinancialAlignmentInitiative/InformationandGuidanceforPlans.html</w:t>
              </w:r>
            </w:hyperlink>
            <w:r w:rsidR="004C5B0C" w:rsidRPr="001569FB">
              <w:rPr>
                <w:rFonts w:eastAsia="Times New Roman"/>
              </w:rPr>
              <w:t xml:space="preserve">  </w:t>
            </w:r>
          </w:p>
        </w:tc>
      </w:tr>
      <w:tr w:rsidR="004C5B0C" w:rsidRPr="001569FB" w14:paraId="6DE08B07"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DF9C437" w14:textId="77777777" w:rsidR="004C5B0C" w:rsidRPr="001569FB" w:rsidRDefault="004C5B0C" w:rsidP="004C5B0C">
            <w:pPr>
              <w:pStyle w:val="BodyText0"/>
              <w:keepNext/>
              <w:keepLines/>
              <w:spacing w:after="100" w:afterAutospacing="1"/>
              <w:rPr>
                <w:color w:val="111111"/>
              </w:rPr>
            </w:pPr>
            <w:r w:rsidRPr="001569FB">
              <w:rPr>
                <w:color w:val="111111"/>
              </w:rPr>
              <w:t>State-specific Marketing Guidance</w:t>
            </w:r>
          </w:p>
        </w:tc>
        <w:tc>
          <w:tcPr>
            <w:tcW w:w="6963" w:type="dxa"/>
            <w:vAlign w:val="center"/>
          </w:tcPr>
          <w:p w14:paraId="01E94AA0" w14:textId="77777777" w:rsidR="004C5B0C" w:rsidRPr="001569FB" w:rsidRDefault="006B65AC" w:rsidP="004C5B0C">
            <w:pPr>
              <w:pStyle w:val="BodyText0"/>
              <w:keepNext/>
              <w:keepLines/>
              <w:spacing w:after="100" w:afterAutospacing="1"/>
            </w:pPr>
            <w:hyperlink r:id="rId68" w:history="1">
              <w:r w:rsidR="004C5B0C" w:rsidRPr="001569FB">
                <w:rPr>
                  <w:rStyle w:val="Hyperlink"/>
                </w:rPr>
                <w:t>https://www.cms.gov/Medicare-Medicaid-Coordination/Medicare-and-Medicaid-Coordination/Medicare-Medicaid-Coordination-Office/FinancialAlignmentInitiative/InformationandGuidanceforPlans.html</w:t>
              </w:r>
            </w:hyperlink>
            <w:r w:rsidR="004C5B0C" w:rsidRPr="001569FB">
              <w:rPr>
                <w:rFonts w:eastAsia="Times New Roman"/>
              </w:rPr>
              <w:t xml:space="preserve"> </w:t>
            </w:r>
          </w:p>
        </w:tc>
      </w:tr>
      <w:tr w:rsidR="004C5B0C" w:rsidRPr="001569FB" w14:paraId="39F1B589"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5A428082" w14:textId="77777777" w:rsidR="004C5B0C" w:rsidRPr="001569FB" w:rsidRDefault="004C5B0C" w:rsidP="004C5B0C">
            <w:pPr>
              <w:pStyle w:val="BodyText0"/>
              <w:keepLines/>
              <w:spacing w:after="100" w:afterAutospacing="1"/>
              <w:rPr>
                <w:color w:val="111111"/>
              </w:rPr>
            </w:pPr>
            <w:r w:rsidRPr="001569FB">
              <w:rPr>
                <w:color w:val="111111"/>
              </w:rPr>
              <w:t>Waiver of Part D LIS Cost-Sharing Amounts</w:t>
            </w:r>
          </w:p>
        </w:tc>
        <w:tc>
          <w:tcPr>
            <w:tcW w:w="6963" w:type="dxa"/>
            <w:vAlign w:val="center"/>
          </w:tcPr>
          <w:p w14:paraId="4448DA76" w14:textId="77777777" w:rsidR="004C5B0C" w:rsidRPr="001569FB" w:rsidRDefault="006B65AC" w:rsidP="004C5B0C">
            <w:pPr>
              <w:pStyle w:val="BodyText0"/>
              <w:keepLines/>
              <w:spacing w:after="100" w:afterAutospacing="1"/>
              <w:rPr>
                <w:color w:val="111111"/>
              </w:rPr>
            </w:pPr>
            <w:hyperlink r:id="rId69" w:history="1">
              <w:r w:rsidR="004C5B0C" w:rsidRPr="001569FB">
                <w:rPr>
                  <w:rStyle w:val="Hyperlink"/>
                </w:rPr>
                <w:t>https://www.cms.gov/Medicare-Medicaid-Coordination/Medicare-and-Medicaid-Coordination/Medicare-Medicaid-Coordination-Office/Downloads/Part_D_Cost_Sharing_Guidance.pdf</w:t>
              </w:r>
            </w:hyperlink>
            <w:r w:rsidR="004C5B0C" w:rsidRPr="001569FB">
              <w:rPr>
                <w:rFonts w:eastAsia="Times New Roman"/>
              </w:rPr>
              <w:t xml:space="preserve"> </w:t>
            </w:r>
          </w:p>
        </w:tc>
      </w:tr>
    </w:tbl>
    <w:p w14:paraId="08CE2C5A" w14:textId="77777777" w:rsidR="004C5B0C" w:rsidRPr="001569FB" w:rsidRDefault="004C5B0C" w:rsidP="004C5B0C">
      <w:pPr>
        <w:pStyle w:val="Heading4"/>
        <w:spacing w:before="600"/>
      </w:pPr>
      <w:bookmarkStart w:id="984" w:name="_Toc336259421"/>
      <w:bookmarkStart w:id="985" w:name="_Toc443480712"/>
      <w:bookmarkStart w:id="986" w:name="_Toc493523646"/>
      <w:bookmarkStart w:id="987" w:name="_Toc495652162"/>
      <w:r w:rsidRPr="001569FB">
        <w:t>Network Adequacy Determinations</w:t>
      </w:r>
      <w:bookmarkEnd w:id="984"/>
      <w:bookmarkEnd w:id="985"/>
      <w:bookmarkEnd w:id="986"/>
      <w:r w:rsidRPr="001569FB">
        <w:t xml:space="preserve"> and Provider Directory Best Practices</w:t>
      </w:r>
      <w:bookmarkEnd w:id="987"/>
    </w:p>
    <w:p w14:paraId="68883B87" w14:textId="77777777" w:rsidR="004C5B0C" w:rsidRPr="001569FB" w:rsidRDefault="004C5B0C" w:rsidP="001569FB">
      <w:pPr>
        <w:spacing w:after="200"/>
      </w:pPr>
      <w:r w:rsidRPr="001569FB">
        <w:t xml:space="preserve">The Medicare medical provider and facility portion of MMPs’ network information will be due to CMS on the third Tuesday in September 2018.  This submission will ensure that each MMP continues to maintain a network of providers that is sufficient in number, variety, and geographic distribution to meet the needs of the enrollees in its service area.  MMPs may assess the Medicare portion of their networks at any time using the organization initiated upload functionality in the HPMS Network Management Module (NMM).  The current reference file, as referenced in the three-way contracts, that provides the MMP standards is available at: </w:t>
      </w:r>
      <w:hyperlink r:id="rId70" w:history="1">
        <w:r w:rsidRPr="001569FB">
          <w:rPr>
            <w:rStyle w:val="Hyperlink"/>
          </w:rPr>
          <w:t>https://www.cms.gov/Medicare-Medicaid-Coordination/Medicare-and-Medicaid-Coordination/​Medicare-Medicaid-Coordination-Office/FinancialAlignmentInitiative/​InformationandGuidanceforPlans.html</w:t>
        </w:r>
      </w:hyperlink>
      <w:r w:rsidRPr="001569FB">
        <w:t xml:space="preserve"> as well as on the reference page within the NMM.  CMS will release additional guidance on the submission process, including how MMPs will be able to submit exception requests, in the summer of 2018. </w:t>
      </w:r>
    </w:p>
    <w:p w14:paraId="4D60AB25" w14:textId="77777777" w:rsidR="004C5B0C" w:rsidRPr="001569FB" w:rsidRDefault="004C5B0C" w:rsidP="001569FB">
      <w:pPr>
        <w:spacing w:after="200"/>
      </w:pPr>
      <w:r w:rsidRPr="001569FB">
        <w:t xml:space="preserve">CMS remains committed to working with MMPs to improve their directories to ensure that enrollees and prospective enrollees have the information they need to make informed decisions about their healthcare choices. CMS interviewed a sample of Medicare-Medicaid enrollees in </w:t>
      </w:r>
      <w:r w:rsidRPr="001569FB">
        <w:lastRenderedPageBreak/>
        <w:t xml:space="preserve">two states in March and April 2017 to get their feedback on MMP directories. CMS also completed its monitoring study of CY 2017 MMP provider and pharmacy directories and hosted a webinar for all MMPs in June 2017 to focus on best practices and lessons learned, recognize areas where MMPs have made improvements since the CY 2016 monitoring study, and discuss how to address remaining gaps. Resources from the webinar and the Frequently Asked Questions (FAQ) document released in July 2017 are available under the </w:t>
      </w:r>
      <w:r w:rsidRPr="001569FB">
        <w:rPr>
          <w:i/>
        </w:rPr>
        <w:t xml:space="preserve">General Marketing Guidance </w:t>
      </w:r>
      <w:r w:rsidRPr="001569FB">
        <w:t xml:space="preserve">heading at: </w:t>
      </w:r>
      <w:hyperlink r:id="rId71" w:history="1">
        <w:r w:rsidRPr="001569FB">
          <w:rPr>
            <w:rStyle w:val="Hyperlink"/>
          </w:rPr>
          <w:t>https://www.cms.gov/Medicare-Medicaid-Coordination/Medicare-and-Medicaid-Coordination/Medicare-Medicaid-Coordination-Office/‌FinancialAlignmentInitiative/‌InformationandGuidanceforPlans.html</w:t>
        </w:r>
      </w:hyperlink>
      <w:r w:rsidRPr="001569FB">
        <w:t>. CMS will continue to provide assistance in this area and collaborate with states and MMPs to make additional improvements to MMP directories in CY 2019.</w:t>
      </w:r>
    </w:p>
    <w:p w14:paraId="10928303" w14:textId="77777777" w:rsidR="004C5B0C" w:rsidRPr="001569FB" w:rsidRDefault="004C5B0C" w:rsidP="004C5B0C">
      <w:pPr>
        <w:pStyle w:val="Heading4"/>
      </w:pPr>
      <w:bookmarkStart w:id="988" w:name="_Toc336259426"/>
      <w:bookmarkStart w:id="989" w:name="_Toc443480714"/>
      <w:bookmarkStart w:id="990" w:name="_Toc493523647"/>
      <w:bookmarkStart w:id="991" w:name="_Toc495652163"/>
      <w:r w:rsidRPr="001569FB">
        <w:t>Formula</w:t>
      </w:r>
      <w:bookmarkEnd w:id="988"/>
      <w:r w:rsidRPr="001569FB">
        <w:t>ry and Supplemental Drug Files</w:t>
      </w:r>
      <w:bookmarkEnd w:id="989"/>
      <w:bookmarkEnd w:id="990"/>
      <w:bookmarkEnd w:id="991"/>
    </w:p>
    <w:p w14:paraId="5FB8B206" w14:textId="77777777" w:rsidR="004C5B0C" w:rsidRPr="001569FB" w:rsidRDefault="004C5B0C" w:rsidP="004C5B0C">
      <w:pPr>
        <w:pStyle w:val="BodyText0"/>
        <w:spacing w:before="0"/>
      </w:pPr>
      <w:r w:rsidRPr="001569FB">
        <w:t xml:space="preserve">Each contract year, MMPs must submit and be approved to offer a demonstration-specific, integrated formulary that meets both Medicare Part D and Medicaid requirements.  The required submissions for the integrated formulary are: (1) an updated base Part D formulary and supplemental Part D formulary files, as applicable, consistent with CY 2019 Part D formulary guidance; and (2) an updated Additional Demonstration Drug (ADD) file containing non-Part D drugs.  Base formularies are due no later than June 4, 2018.  Supplemental formulary files are due in HPMS on June 8, 2018 at 11:59 a.m. EDT. </w:t>
      </w:r>
    </w:p>
    <w:p w14:paraId="4B928943" w14:textId="77777777" w:rsidR="004C5B0C" w:rsidRPr="001569FB" w:rsidRDefault="004C5B0C" w:rsidP="004C5B0C">
      <w:pPr>
        <w:pStyle w:val="BodyText0"/>
        <w:spacing w:before="0"/>
      </w:pPr>
      <w:r w:rsidRPr="001569FB">
        <w:t>MMPs must also submit an ADD file that includes non-Part D drugs. Non-Part D drugs include drugs in Medicare Part D excluded categories, over-the-counter drugs, and other products required by the state to be included on the integrated formulary.  CMS will work with states to provide ADD file guidance to MMPs by May 2018.  State guidance should include a list of the drugs the MMPs are required to include on the ADD file (by NDC and/or UPC).  It is at the states’ discretion whether to require MMPs to include one proxy NDC or multiple NDCs on the ADD file for each covered product.</w:t>
      </w:r>
    </w:p>
    <w:p w14:paraId="4FA8BD8F" w14:textId="77777777" w:rsidR="004C5B0C" w:rsidRPr="001569FB" w:rsidRDefault="004C5B0C" w:rsidP="004C5B0C">
      <w:pPr>
        <w:pStyle w:val="BodyText0"/>
        <w:spacing w:before="0"/>
      </w:pPr>
      <w:r w:rsidRPr="001569FB">
        <w:t>As follow-up to feedback received on the CY 2018 Draft Call Letter, CMS is also working on options to facilitate more direct access of the ADD validation file for MMPs starting for CY 2019.  In an effort to streamline the submission process, CMS is proposing to make the ADD validation file available via HPMS in advance of the ADD File submission deadline. We are also continuing to evaluate whether additional efficiencies are possible with respect to the timing of the file’s completion.</w:t>
      </w:r>
    </w:p>
    <w:p w14:paraId="177CF835" w14:textId="77777777" w:rsidR="004C5B0C" w:rsidRPr="001569FB" w:rsidRDefault="004C5B0C" w:rsidP="004C5B0C">
      <w:pPr>
        <w:pStyle w:val="BodyText0"/>
        <w:spacing w:before="0"/>
      </w:pPr>
      <w:r w:rsidRPr="001569FB">
        <w:t xml:space="preserve">State reviewers are solely responsible for reviewing and approving the ADD file.  CMS will approve all other submitted formulary files.  Reviews will begin immediately after the submission deadlines and will continue until all deficiencies have been resolved. </w:t>
      </w:r>
    </w:p>
    <w:p w14:paraId="304ADA41" w14:textId="77777777" w:rsidR="004C5B0C" w:rsidRPr="001569FB" w:rsidRDefault="004C5B0C" w:rsidP="004C5B0C">
      <w:pPr>
        <w:pStyle w:val="BodyText0"/>
        <w:spacing w:before="0"/>
      </w:pPr>
      <w:r w:rsidRPr="001569FB">
        <w:t xml:space="preserve">In the draft Call Letter, we clarified that mid-year ADD file change submissions – that is, changes to the ADD file after the contract year has begun – are at the discretion of each state.  </w:t>
      </w:r>
      <w:r w:rsidRPr="001569FB">
        <w:lastRenderedPageBreak/>
        <w:t xml:space="preserve">CMS will work with states to open HPMS gates for ad hoc and/or regular ADD file resubmissions as necessary.  </w:t>
      </w:r>
      <w:r w:rsidRPr="001569FB">
        <w:rPr>
          <w:rFonts w:cstheme="majorHAnsi"/>
        </w:rPr>
        <w:t xml:space="preserve">We further clarify that an MMP requesting a mid-year ADD file update can contact either the state or CMS by sending an email to </w:t>
      </w:r>
      <w:hyperlink r:id="rId72" w:history="1">
        <w:r w:rsidRPr="001569FB">
          <w:rPr>
            <w:rStyle w:val="Hyperlink"/>
            <w:rFonts w:cstheme="majorHAnsi"/>
          </w:rPr>
          <w:t>mmcocapmodel@cms.hhs.gov</w:t>
        </w:r>
      </w:hyperlink>
      <w:r w:rsidRPr="001569FB">
        <w:rPr>
          <w:rFonts w:cstheme="majorHAnsi"/>
        </w:rPr>
        <w:t>.  CMS coordinates with each state to consider the request and open ADD file gates for mid-year changes as necessary.</w:t>
      </w:r>
    </w:p>
    <w:p w14:paraId="42A3B0A7" w14:textId="77777777" w:rsidR="004C5B0C" w:rsidRPr="001569FB" w:rsidRDefault="004C5B0C" w:rsidP="004C5B0C">
      <w:pPr>
        <w:pStyle w:val="Heading4"/>
      </w:pPr>
      <w:bookmarkStart w:id="992" w:name="_Toc443480715"/>
      <w:bookmarkStart w:id="993" w:name="_Toc493523648"/>
      <w:bookmarkStart w:id="994" w:name="_Toc495652164"/>
      <w:r w:rsidRPr="001569FB">
        <w:t>Plan Benefit Package (PBP)</w:t>
      </w:r>
      <w:bookmarkEnd w:id="992"/>
      <w:bookmarkEnd w:id="993"/>
      <w:bookmarkEnd w:id="994"/>
    </w:p>
    <w:p w14:paraId="1CBCC39F" w14:textId="77777777" w:rsidR="004C5B0C" w:rsidRPr="001569FB" w:rsidRDefault="004C5B0C" w:rsidP="004C5B0C">
      <w:pPr>
        <w:pStyle w:val="BodyText0"/>
        <w:widowControl w:val="0"/>
      </w:pPr>
      <w:r w:rsidRPr="001569FB">
        <w:t xml:space="preserve">MMPs’ plan benefit packages (PBPs) are reviewed annually to ensure that MMPs accurately describe the coverage details and cost-sharing for all Medicare, Medicaid, and demonstration-specific benefits.  CMS will launch the HPMS PBP module on April 6, 2018, and we expect to provide further guidance at that time on MMP-specific updates to the PBP software for CY 2019.  In addition, CMS will release an online training module on the CY 2019 PBP software for plans on April 6, 2018. </w:t>
      </w:r>
    </w:p>
    <w:p w14:paraId="10A97325" w14:textId="77777777" w:rsidR="004C5B0C" w:rsidRPr="001569FB" w:rsidRDefault="004C5B0C" w:rsidP="004C5B0C">
      <w:pPr>
        <w:pStyle w:val="BodyText0"/>
        <w:widowControl w:val="0"/>
      </w:pPr>
      <w:r w:rsidRPr="001569FB">
        <w:t>MMPs must submit their integrated PBPs to CMS no later than June 4, 2018 (11:59 p.m. PDT).  Non-timely submission of a PBP is considered a plan notice of non-renewal.  In addition, to the PBP, MMPs are required to submit the following as part of a complete bid submission:</w:t>
      </w:r>
    </w:p>
    <w:p w14:paraId="4FB317C0" w14:textId="77777777" w:rsidR="004C5B0C" w:rsidRPr="001569FB" w:rsidRDefault="004C5B0C" w:rsidP="00AC78D9">
      <w:pPr>
        <w:pStyle w:val="BodyText0"/>
        <w:widowControl w:val="0"/>
        <w:numPr>
          <w:ilvl w:val="0"/>
          <w:numId w:val="36"/>
        </w:numPr>
        <w:spacing w:before="199" w:after="0"/>
      </w:pPr>
      <w:r w:rsidRPr="001569FB">
        <w:t>Service Area Verification</w:t>
      </w:r>
    </w:p>
    <w:p w14:paraId="24A2FB44" w14:textId="77777777" w:rsidR="004C5B0C" w:rsidRPr="001569FB" w:rsidRDefault="004C5B0C" w:rsidP="00AC78D9">
      <w:pPr>
        <w:pStyle w:val="BodyText0"/>
        <w:widowControl w:val="0"/>
        <w:numPr>
          <w:ilvl w:val="0"/>
          <w:numId w:val="36"/>
        </w:numPr>
        <w:spacing w:before="199" w:after="0"/>
      </w:pPr>
      <w:r w:rsidRPr="001569FB">
        <w:t>Plan Crosswalk (NOTE: This is only for renewing contracts in CY 2019)</w:t>
      </w:r>
    </w:p>
    <w:p w14:paraId="1B8E235E" w14:textId="77777777" w:rsidR="004C5B0C" w:rsidRPr="001569FB" w:rsidRDefault="004C5B0C" w:rsidP="00AC78D9">
      <w:pPr>
        <w:pStyle w:val="BodyText0"/>
        <w:widowControl w:val="0"/>
        <w:numPr>
          <w:ilvl w:val="0"/>
          <w:numId w:val="36"/>
        </w:numPr>
        <w:spacing w:before="199" w:after="0"/>
      </w:pPr>
      <w:r w:rsidRPr="001569FB">
        <w:t>Formulary Crosswalk</w:t>
      </w:r>
    </w:p>
    <w:p w14:paraId="36EF8173" w14:textId="77777777" w:rsidR="004C5B0C" w:rsidRPr="001569FB" w:rsidRDefault="004C5B0C" w:rsidP="004C5B0C">
      <w:pPr>
        <w:pStyle w:val="BodyText0"/>
        <w:widowControl w:val="0"/>
      </w:pPr>
      <w:r w:rsidRPr="001569FB">
        <w:t xml:space="preserve">CMS will work with states to issue PBP guidance that clearly defines the state-required Medicaid benefits and supplemental demonstration benefits by the time the PBP module is launched in April 2018.  The PBP review is conducted jointly between CMS and states to ensure the data entry is consistent with minimum coverage and cost-sharing requirements under Medicaid, Medicare Parts A, B, and D, and each state’s demonstration. </w:t>
      </w:r>
    </w:p>
    <w:p w14:paraId="1D45EA60" w14:textId="77777777" w:rsidR="004C5B0C" w:rsidRPr="001569FB" w:rsidRDefault="004C5B0C" w:rsidP="004C5B0C">
      <w:pPr>
        <w:pStyle w:val="BodyText0"/>
        <w:widowControl w:val="0"/>
      </w:pPr>
      <w:r w:rsidRPr="001569FB">
        <w:t xml:space="preserve">MMPs are provided some degree of flexibility with respect to PBP revisions after the time of final PBP approval.  This flexibility is necessary to accommodate certain mid-year changes unique to MMPs, including but not limited to mid-year legislative changes to Medicaid benefits, as well as the timing of payment rate finalization. </w:t>
      </w:r>
    </w:p>
    <w:p w14:paraId="1E3D374C" w14:textId="77777777" w:rsidR="004C5B0C" w:rsidRPr="001569FB" w:rsidRDefault="004C5B0C" w:rsidP="004C5B0C">
      <w:pPr>
        <w:pStyle w:val="BodyText0"/>
        <w:widowControl w:val="0"/>
      </w:pPr>
      <w:r w:rsidRPr="001569FB">
        <w:t>CMS applies the following criteria to MMP requests to change or correct PBPs:</w:t>
      </w:r>
    </w:p>
    <w:p w14:paraId="2D7F30F5" w14:textId="77777777" w:rsidR="004C5B0C" w:rsidRPr="001569FB" w:rsidRDefault="004C5B0C" w:rsidP="00AC78D9">
      <w:pPr>
        <w:pStyle w:val="BodyText0"/>
        <w:widowControl w:val="0"/>
        <w:numPr>
          <w:ilvl w:val="0"/>
          <w:numId w:val="74"/>
        </w:numPr>
        <w:spacing w:before="199" w:after="0"/>
      </w:pPr>
      <w:r w:rsidRPr="001569FB">
        <w:t xml:space="preserve">PBP revisions to add or remove plan-offered supplemental benefits between the time of the release of the National Average Monthly Bid Amount in early August and sign-off of PBPs in HPMS in late August 2018 are permissible.  This timeframe allows plans to accommodate any approved benefit changes in their required documents (including the Annual Notice of Change, Evidence of Coverage/Member Handbook, and Summary of Benefits) during the Annual Election Period. </w:t>
      </w:r>
    </w:p>
    <w:p w14:paraId="0385F263" w14:textId="77777777" w:rsidR="004C5B0C" w:rsidRPr="001569FB" w:rsidRDefault="004C5B0C" w:rsidP="00AC78D9">
      <w:pPr>
        <w:pStyle w:val="BodyText0"/>
        <w:widowControl w:val="0"/>
        <w:numPr>
          <w:ilvl w:val="0"/>
          <w:numId w:val="74"/>
        </w:numPr>
        <w:spacing w:before="199" w:after="0"/>
      </w:pPr>
      <w:r w:rsidRPr="001569FB">
        <w:lastRenderedPageBreak/>
        <w:t xml:space="preserve">Rate-related PBP corrections are permissible during the Center for Medicare’s annual correction window in September 2018 (see the calendar in this Call Letter for more information), but only for purposes of adding supplemental benefits to PBPs.  MMPs that elect to correct their PBPs must work with their contract management team on an appropriate member communication strategy (e.g., issuance of corrected or revised information for materials that have already been mailed to members; corrections or updates of hard copy and online versions of other materials for prospective members).  We clarify that there will be no compliance penalty for a PBP correction provided an MMP meets these conditions. </w:t>
      </w:r>
    </w:p>
    <w:p w14:paraId="44B0691A" w14:textId="77777777" w:rsidR="004C5B0C" w:rsidRPr="001569FB" w:rsidRDefault="004C5B0C" w:rsidP="00AC78D9">
      <w:pPr>
        <w:pStyle w:val="BodyText0"/>
        <w:widowControl w:val="0"/>
        <w:numPr>
          <w:ilvl w:val="0"/>
          <w:numId w:val="74"/>
        </w:numPr>
        <w:spacing w:before="199" w:after="0"/>
      </w:pPr>
      <w:r w:rsidRPr="001569FB">
        <w:t xml:space="preserve">PBP corrections unrelated to rates and supplemental benefits that are requested during the Center for Medicare’s annual correction window in September 2018 (see the calendar in this Call Letter for more information) will be considered changes due to plan error.  As such, these PBP corrections (or any resultant corrections to MMPs’ Annual Notice of Change and/or Evidence of Coverage/Member Handbook, which must be submitted in HPMS through the errata submission process in the Marketing Module) may be subject to compliance action, regardless of whether they are positive or negative changes.  </w:t>
      </w:r>
    </w:p>
    <w:p w14:paraId="3EBCD992" w14:textId="77777777" w:rsidR="004C5B0C" w:rsidRPr="001569FB" w:rsidRDefault="004C5B0C" w:rsidP="00AC78D9">
      <w:pPr>
        <w:pStyle w:val="BodyText0"/>
        <w:widowControl w:val="0"/>
        <w:numPr>
          <w:ilvl w:val="0"/>
          <w:numId w:val="74"/>
        </w:numPr>
        <w:spacing w:before="199" w:after="0"/>
      </w:pPr>
      <w:r w:rsidRPr="001569FB">
        <w:t>Any PBP corrections after the Center for Medicare’s annual correction window in September 2018 will be considered on a case-by-case basis.  In cases where a PBP correction is due to a midyear legislative change to Medicaid benefits (or a benefit change made in a three-way contract amendment) and an MMP’s previously approved PBP submission included a more generous supplemental benefit than the new Medicaid or demonstration benefit, the MMP will be required to continue to provide the more generous supplemental benefit for the remainder of the contract year.  PBP corrections (or any resultant corrections to MMPs’ Annual Notice of Change and/or Evidence of Coverage/Member Handbook, which must be submitted in HPMS through the errata submission process in the Marketing Module) due to plan error maybe subject to compliance action, regardless of whether they are positive or negative changes.</w:t>
      </w:r>
      <w:bookmarkStart w:id="995" w:name="_Toc445974088"/>
    </w:p>
    <w:p w14:paraId="6DF388AF" w14:textId="77777777" w:rsidR="004C5B0C" w:rsidRPr="001569FB" w:rsidRDefault="004C5B0C" w:rsidP="004C5B0C">
      <w:pPr>
        <w:pStyle w:val="Heading1"/>
        <w:rPr>
          <w:color w:val="000000"/>
        </w:rPr>
      </w:pPr>
      <w:r w:rsidRPr="001569FB">
        <w:br w:type="page"/>
      </w:r>
      <w:bookmarkStart w:id="996" w:name="_Toc505253810"/>
      <w:bookmarkStart w:id="997" w:name="_Toc505253884"/>
      <w:r w:rsidRPr="001569FB">
        <w:lastRenderedPageBreak/>
        <w:t>Appendix 1: Methodology for Plan Finder (PF) Composite Price Accuracy Display Measure</w:t>
      </w:r>
      <w:bookmarkEnd w:id="995"/>
      <w:bookmarkEnd w:id="996"/>
      <w:bookmarkEnd w:id="997"/>
    </w:p>
    <w:p w14:paraId="32CF88D4" w14:textId="77777777" w:rsidR="004C5B0C" w:rsidRPr="001569FB" w:rsidRDefault="004C5B0C" w:rsidP="004C5B0C">
      <w:r w:rsidRPr="001569FB">
        <w:t xml:space="preserve">CMS’s drug pricing performance measure evaluates the accuracy of prices displayed on Medicare Plan Finder (PF) for beneficiaries’ comparison of plan options.  The accuracy score is calculated by comparing the PF price to the PDE price and determining the magnitude and frequency of differences found when the latter exceeds the former.  This document summarizes the methods currently used to construct each contract’s accuracy index. </w:t>
      </w:r>
    </w:p>
    <w:p w14:paraId="5EC0EC2E" w14:textId="77777777" w:rsidR="004C5B0C" w:rsidRPr="001569FB" w:rsidRDefault="004C5B0C" w:rsidP="004C5B0C">
      <w:pPr>
        <w:pStyle w:val="Heading2"/>
      </w:pPr>
      <w:bookmarkStart w:id="998" w:name="_Toc445974089"/>
      <w:bookmarkStart w:id="999" w:name="_Toc505253811"/>
      <w:bookmarkStart w:id="1000" w:name="_Toc505253885"/>
      <w:r w:rsidRPr="001569FB">
        <w:t>Contract Selection</w:t>
      </w:r>
      <w:bookmarkEnd w:id="998"/>
      <w:bookmarkEnd w:id="999"/>
      <w:bookmarkEnd w:id="1000"/>
    </w:p>
    <w:p w14:paraId="2A317F46" w14:textId="77777777" w:rsidR="004C5B0C" w:rsidRPr="001569FB" w:rsidRDefault="004C5B0C" w:rsidP="004C5B0C">
      <w:r w:rsidRPr="001569FB">
        <w:t>This measure relies in part on the submission of pricing data to PF.  Therefore, only contracts with at least one plan meeting all of the following criteria are included in the analysis:</w:t>
      </w:r>
    </w:p>
    <w:p w14:paraId="47EC5CBF"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 PACE plan</w:t>
      </w:r>
    </w:p>
    <w:p w14:paraId="51AEEDB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an employer plan</w:t>
      </w:r>
    </w:p>
    <w:p w14:paraId="3EE1852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Part D plan</w:t>
      </w:r>
    </w:p>
    <w:p w14:paraId="6CBD170E"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Plan not terminated during the contract year</w:t>
      </w:r>
    </w:p>
    <w:p w14:paraId="2D2A6CA6" w14:textId="77777777" w:rsidR="004C5B0C" w:rsidRPr="001569FB" w:rsidRDefault="004C5B0C" w:rsidP="004C5B0C">
      <w:r w:rsidRPr="001569FB">
        <w:t>Only contracts with at least 30 claims throughout the year are included in the accuracy measure.  This ensures that the sample size of PDEs is large enough to produce a reliable accuracy score.</w:t>
      </w:r>
    </w:p>
    <w:p w14:paraId="4F96D9D2" w14:textId="77777777" w:rsidR="004C5B0C" w:rsidRPr="001569FB" w:rsidRDefault="004C5B0C" w:rsidP="004C5B0C">
      <w:pPr>
        <w:pStyle w:val="Heading2"/>
      </w:pPr>
      <w:bookmarkStart w:id="1001" w:name="_Toc505253812"/>
      <w:bookmarkStart w:id="1002" w:name="_Toc505253886"/>
      <w:bookmarkStart w:id="1003" w:name="_Toc445974090"/>
      <w:r w:rsidRPr="001569FB">
        <w:t>PF Composite Price Accuracy Score</w:t>
      </w:r>
      <w:bookmarkEnd w:id="1001"/>
      <w:bookmarkEnd w:id="1002"/>
      <w:r w:rsidRPr="001569FB">
        <w:t xml:space="preserve"> </w:t>
      </w:r>
    </w:p>
    <w:bookmarkEnd w:id="1003"/>
    <w:p w14:paraId="692F2BFF" w14:textId="77777777" w:rsidR="004C5B0C" w:rsidRPr="001569FB" w:rsidRDefault="004C5B0C" w:rsidP="004C5B0C">
      <w:r w:rsidRPr="001569FB">
        <w:t>To calculate the PF Composite Price Accuracy Score, the point-of-sale cost (ingredient costs plus dispensing fee) reported on each PDE claim is compared to the cost resulting from using the unit price reported on Plan Finder.</w:t>
      </w:r>
      <w:r w:rsidRPr="001569FB">
        <w:rPr>
          <w:rStyle w:val="FootnoteReference"/>
        </w:rPr>
        <w:footnoteReference w:id="60"/>
      </w:r>
      <w:r w:rsidRPr="001569FB">
        <w:t xml:space="preserve">  This comparison includes only PDEs for which a PF cost can be assigned.  In particular, a PDE must meet seven conditions to be included in the analysis: </w:t>
      </w:r>
    </w:p>
    <w:p w14:paraId="51B7C641" w14:textId="77777777" w:rsidR="004C5B0C" w:rsidRPr="001569FB" w:rsidRDefault="004C5B0C" w:rsidP="00AC78D9">
      <w:pPr>
        <w:pStyle w:val="ListParagraph"/>
        <w:numPr>
          <w:ilvl w:val="0"/>
          <w:numId w:val="71"/>
        </w:numPr>
        <w:spacing w:before="180" w:after="120" w:line="300" w:lineRule="auto"/>
        <w:contextualSpacing w:val="0"/>
      </w:pPr>
      <w:r w:rsidRPr="001569FB">
        <w:t>The NPI number for the pharmacy on the PDE claim must appear in the pharmacy cost file as either a retail only pharmacy or a retail and limited access only pharmacy, regardless of pharmacy service type reported on PDE.  Claims for pharmacies that are listed as retail in the pharmacy cost file and also have a pharmacy service type on the PDE of either Community/Retail or Managed Care Organization (MCO) are included as well.  NCPDP numbers are mapped to their corresponding NPI numbers. The corcorresponding reference NDC must appear under the relevant price ID for the pharmacy in the pricing file.</w:t>
      </w:r>
      <w:r w:rsidRPr="001569FB">
        <w:rPr>
          <w:rStyle w:val="FootnoteReference"/>
        </w:rPr>
        <w:footnoteReference w:id="61"/>
      </w:r>
    </w:p>
    <w:p w14:paraId="123D85AE" w14:textId="77777777" w:rsidR="004C5B0C" w:rsidRPr="001569FB" w:rsidRDefault="004C5B0C" w:rsidP="00AC78D9">
      <w:pPr>
        <w:pStyle w:val="ListParagraph"/>
        <w:numPr>
          <w:ilvl w:val="0"/>
          <w:numId w:val="71"/>
        </w:numPr>
        <w:spacing w:before="180" w:after="120" w:line="300" w:lineRule="auto"/>
        <w:contextualSpacing w:val="0"/>
      </w:pPr>
      <w:r w:rsidRPr="001569FB">
        <w:lastRenderedPageBreak/>
        <w:t xml:space="preserve">The reference NDC must be on the plan’s formulary. </w:t>
      </w:r>
    </w:p>
    <w:p w14:paraId="5D3E246C" w14:textId="77777777" w:rsidR="004C5B0C" w:rsidRPr="001569FB" w:rsidRDefault="004C5B0C" w:rsidP="00AC78D9">
      <w:pPr>
        <w:pStyle w:val="NormalBullet"/>
        <w:numPr>
          <w:ilvl w:val="0"/>
          <w:numId w:val="71"/>
        </w:numPr>
        <w:spacing w:before="0"/>
        <w:rPr>
          <w:rFonts w:ascii="Times New Roman" w:hAnsi="Times New Roman" w:cs="Times New Roman"/>
          <w:sz w:val="24"/>
          <w:szCs w:val="24"/>
        </w:rPr>
      </w:pPr>
      <w:r w:rsidRPr="001569FB">
        <w:rPr>
          <w:rFonts w:ascii="Times New Roman" w:hAnsi="Times New Roman" w:cs="Times New Roman"/>
          <w:sz w:val="24"/>
          <w:szCs w:val="24"/>
        </w:rPr>
        <w:t>Because the retail unit cost reported on Plan Finder is intended to apply to a 1, 2, or 3-month supply of a drug, only claims with a Days Supply of 28-34, 60-62, or 90-93 are included.</w:t>
      </w:r>
      <w:r w:rsidRPr="001569FB">
        <w:rPr>
          <w:rStyle w:val="FootnoteReference"/>
          <w:rFonts w:ascii="Times New Roman" w:hAnsi="Times New Roman"/>
          <w:sz w:val="24"/>
          <w:szCs w:val="24"/>
        </w:rPr>
        <w:footnoteReference w:id="62"/>
      </w:r>
      <w:r w:rsidRPr="001569FB">
        <w:rPr>
          <w:rFonts w:ascii="Times New Roman" w:hAnsi="Times New Roman" w:cs="Times New Roman"/>
          <w:sz w:val="24"/>
          <w:szCs w:val="24"/>
        </w:rPr>
        <w:t xml:space="preserve">  Claims reporting a different day supply value are excluded.</w:t>
      </w:r>
    </w:p>
    <w:p w14:paraId="340836A0"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dates of service during which the plan was suppressed from Plan Finder or where the relevant pharmacy or drug was not reported in Plan Finder are not included since no Plan Finder cost can be assigned.</w:t>
      </w:r>
      <w:r w:rsidRPr="001569FB">
        <w:rPr>
          <w:rStyle w:val="FootnoteReference"/>
          <w:rFonts w:ascii="Times New Roman" w:hAnsi="Times New Roman"/>
          <w:sz w:val="24"/>
          <w:szCs w:val="24"/>
        </w:rPr>
        <w:footnoteReference w:id="63"/>
      </w:r>
      <w:r w:rsidRPr="001569FB">
        <w:rPr>
          <w:rFonts w:ascii="Times New Roman" w:hAnsi="Times New Roman" w:cs="Times New Roman"/>
          <w:sz w:val="24"/>
          <w:szCs w:val="24"/>
        </w:rPr>
        <w:t xml:space="preserve"> </w:t>
      </w:r>
    </w:p>
    <w:p w14:paraId="3A24677A"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compound drugs or non-covered drugs are not included.</w:t>
      </w:r>
    </w:p>
    <w:p w14:paraId="21A27483"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 xml:space="preserve">The PDE must occur in Quarter 1 through 3 of the year. Quarter 4 PDEs are not included because PF prices are not updated during this last quarter. </w:t>
      </w:r>
    </w:p>
    <w:p w14:paraId="705C7A1D" w14:textId="77777777" w:rsidR="004C5B0C" w:rsidRPr="001569FB" w:rsidRDefault="004C5B0C" w:rsidP="004C5B0C">
      <w:r w:rsidRPr="001569FB">
        <w:t>The PF Composite Price Accuracy Measure factors in both how much and how often PDE prices exceeded the prices reflected on the PF.  The contract’s PF Composite Price Accuracy score is the average of the Price Accuracy Score, which measures the difference between PDE total cost and PF total cost</w:t>
      </w:r>
      <w:r w:rsidRPr="001569FB">
        <w:rPr>
          <w:rStyle w:val="FootnoteReference"/>
        </w:rPr>
        <w:t xml:space="preserve"> </w:t>
      </w:r>
      <w:r w:rsidRPr="001569FB">
        <w:rPr>
          <w:rStyle w:val="FootnoteReference"/>
        </w:rPr>
        <w:footnoteReference w:id="64"/>
      </w:r>
      <w:r w:rsidRPr="001569FB">
        <w:t xml:space="preserve">, and the Claim Percentage Score, which measures the share of claims where PDE prices are less than or equal to PF prices. </w:t>
      </w:r>
    </w:p>
    <w:p w14:paraId="26C5910A" w14:textId="77777777" w:rsidR="004C5B0C" w:rsidRPr="001569FB" w:rsidRDefault="004C5B0C" w:rsidP="004C5B0C">
      <w:pPr>
        <w:widowControl w:val="0"/>
      </w:pPr>
      <w:r w:rsidRPr="001569FB">
        <w:t>Once PF unit ingredient costs are assigned, the PF ingredient cost is calculated by multiplying the unit costs reported on PF by the quantity listed on the PDE.  The PDE cost (TC) is the sum of the PDE ingredient cost paid and the PDE dispensing fee.  Likewise, the PF TC is the sum of the PF ingredient cost and the PF dispensing fee that corresponds to the same pharmacy, plan, and days of supply as that observed in the PDE.  Each claim is then given a score based on the difference between the PDE TC and the PF TC.  If the PDE TC is lower than the PF TC, the claim receives a score equal to zero. In other words, contracts are not penalized when point-of-sale costs are lower than the advertised costs.  However, if the PDE TC is higher than the PF TC, then the claim receives a score equal to the difference between the PDE TC and the PF TC.</w:t>
      </w:r>
      <w:r w:rsidRPr="001569FB">
        <w:rPr>
          <w:vertAlign w:val="superscript"/>
        </w:rPr>
        <w:footnoteReference w:id="65"/>
      </w:r>
      <w:r w:rsidRPr="001569FB">
        <w:rPr>
          <w:vertAlign w:val="superscript"/>
        </w:rPr>
        <w:t>,</w:t>
      </w:r>
      <w:r w:rsidRPr="001569FB">
        <w:rPr>
          <w:vertAlign w:val="superscript"/>
        </w:rPr>
        <w:footnoteReference w:id="66"/>
      </w:r>
      <w:r w:rsidRPr="001569FB">
        <w:t xml:space="preserve">  </w:t>
      </w:r>
      <w:r w:rsidRPr="001569FB">
        <w:lastRenderedPageBreak/>
        <w:t xml:space="preserve">The contract level PF Price Accuracy Index is the sum of the claim level scores and PDE TC across all PDEs that meet the inclusion criteria, divided by the PDE TC for those same claims. </w:t>
      </w:r>
    </w:p>
    <w:p w14:paraId="0459F2B2" w14:textId="77777777" w:rsidR="004C5B0C" w:rsidRPr="001569FB" w:rsidRDefault="004C5B0C" w:rsidP="004C5B0C">
      <w:pPr>
        <w:spacing w:after="600"/>
      </w:pPr>
      <w:r w:rsidRPr="001569FB">
        <w:t>The PF Claim Percentage Index is the percent of all PDEs that meet the inclusion criteria with a PDE TC higher than the PF TC.  Note that the best possible PF Price Accuracy Index is 1, and the best possible PF Claim Percentage Index is 0.  This occurs when the PF TC is never lower than the PDE TC.  The formulas below illustrates the calculation of the contract level PF Price Accuracy Index and PF Claim Percentage Index:</w:t>
      </w:r>
    </w:p>
    <w:p w14:paraId="09C043C6" w14:textId="77777777" w:rsidR="004C5B0C" w:rsidRPr="001569FB" w:rsidRDefault="004C5B0C" w:rsidP="004C5B0C">
      <w:pPr>
        <w:pStyle w:val="NormalBullet"/>
        <w:numPr>
          <w:ilvl w:val="0"/>
          <w:numId w:val="0"/>
        </w:numPr>
        <w:rPr>
          <w:rFonts w:ascii="Times New Roman" w:hAnsi="Times New Roman" w:cs="Times New Roman"/>
          <w:sz w:val="24"/>
          <w:szCs w:val="24"/>
        </w:rPr>
      </w:pPr>
      <m:oMathPara>
        <m:oMathParaPr>
          <m:jc m:val="center"/>
        </m:oMathParaPr>
        <m:oMath>
          <m:r>
            <m:rPr>
              <m:nor/>
            </m:rPr>
            <w:rPr>
              <w:rFonts w:ascii="Times New Roman" w:hAnsi="Times New Roman" w:cs="Times New Roman"/>
              <w:sz w:val="24"/>
              <w:szCs w:val="24"/>
            </w:rPr>
            <m:t xml:space="preserve">Price Accuracy Index = </m:t>
          </m:r>
          <m:d>
            <m:dPr>
              <m:ctrlPr>
                <w:rPr>
                  <w:rFonts w:ascii="Cambria Math" w:hAnsi="Cambria Math" w:cs="Times New Roman"/>
                  <w:i/>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func>
                    <m:funcPr>
                      <m:ctrlPr>
                        <w:rPr>
                          <w:rFonts w:ascii="Cambria Math" w:hAnsi="Cambria Math" w:cs="Times New Roman"/>
                          <w:sz w:val="24"/>
                          <w:szCs w:val="24"/>
                        </w:rPr>
                      </m:ctrlPr>
                    </m:funcPr>
                    <m:fName>
                      <m:r>
                        <m:rPr>
                          <m:nor/>
                        </m:rPr>
                        <w:rPr>
                          <w:rFonts w:ascii="Times New Roman" w:hAnsi="Times New Roman" w:cs="Times New Roman"/>
                          <w:sz w:val="24"/>
                          <w:szCs w:val="24"/>
                        </w:rPr>
                        <m:t>max</m:t>
                      </m:r>
                    </m:fName>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w:rPr>
                              <w:rFonts w:ascii="Cambria Math" w:hAnsi="Cambria Math" w:cs="Times New Roman"/>
                              <w:sz w:val="24"/>
                              <w:szCs w:val="24"/>
                            </w:rPr>
                            <m:t xml:space="preserve"> </m:t>
                          </m:r>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iPF</m:t>
                              </m:r>
                            </m:sub>
                          </m:sSub>
                          <m:r>
                            <m:rPr>
                              <m:nor/>
                            </m:rPr>
                            <w:rPr>
                              <w:rFonts w:ascii="Times New Roman" w:hAnsi="Times New Roman" w:cs="Times New Roman"/>
                              <w:sz w:val="24"/>
                              <w:szCs w:val="24"/>
                            </w:rPr>
                            <m:t>, 0</m:t>
                          </m:r>
                        </m:e>
                      </m:d>
                    </m:e>
                  </m:func>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num>
                <m:den>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m:rPr>
                      <m:nor/>
                    </m:rPr>
                    <w:rPr>
                      <w:rFonts w:ascii="Times New Roman" w:hAnsi="Times New Roman" w:cs="Times New Roman"/>
                      <w:sz w:val="24"/>
                      <w:szCs w:val="24"/>
                    </w:rPr>
                    <m:t xml:space="preserve"> </m:t>
                  </m:r>
                </m:den>
              </m:f>
            </m:e>
          </m:d>
        </m:oMath>
      </m:oMathPara>
    </w:p>
    <w:p w14:paraId="2FF4C3BE" w14:textId="77777777" w:rsidR="004C5B0C" w:rsidRPr="001569FB" w:rsidRDefault="004C5B0C" w:rsidP="004C5B0C">
      <w:r w:rsidRPr="001569FB">
        <w:t xml:space="preserve">where </w:t>
      </w:r>
    </w:p>
    <w:p w14:paraId="5C062E6F" w14:textId="77777777" w:rsidR="004C5B0C" w:rsidRPr="001569FB" w:rsidRDefault="004C5B0C" w:rsidP="004C5B0C">
      <w:pPr>
        <w:spacing w:after="600"/>
        <w:ind w:left="720" w:firstLine="360"/>
      </w:pPr>
      <w:r w:rsidRPr="001569FB">
        <w:t>TC</w:t>
      </w:r>
      <w:r w:rsidRPr="001569FB">
        <w:rPr>
          <w:i/>
          <w:vertAlign w:val="subscript"/>
        </w:rPr>
        <w:t>iPDE</w:t>
      </w:r>
      <w:r w:rsidRPr="001569FB">
        <w:t xml:space="preserve"> is the ingredient cost plus dispensing fee reported in PDE</w:t>
      </w:r>
      <w:r w:rsidRPr="001569FB">
        <w:rPr>
          <w:i/>
          <w:vertAlign w:val="subscript"/>
        </w:rPr>
        <w:t>i</w:t>
      </w:r>
      <w:r w:rsidRPr="001569FB">
        <w:t xml:space="preserve">, and </w:t>
      </w:r>
      <w:r w:rsidRPr="001569FB">
        <w:br/>
        <w:t>TC</w:t>
      </w:r>
      <w:r w:rsidRPr="001569FB">
        <w:rPr>
          <w:i/>
          <w:vertAlign w:val="subscript"/>
        </w:rPr>
        <w:t>iPF</w:t>
      </w:r>
      <w:r w:rsidRPr="001569FB">
        <w:t xml:space="preserve"> is the ingredient cost plus dispensing fee calculated from PF data, based on the PDE</w:t>
      </w:r>
      <w:r w:rsidRPr="001569FB">
        <w:rPr>
          <w:i/>
          <w:vertAlign w:val="subscript"/>
        </w:rPr>
        <w:t>i</w:t>
      </w:r>
      <w:r w:rsidRPr="001569FB">
        <w:t xml:space="preserve"> reported NDC, days of supply, and pharmacy, then rounded to the nearest cent. </w:t>
      </w:r>
    </w:p>
    <w:p w14:paraId="74302D11" w14:textId="77777777" w:rsidR="004C5B0C" w:rsidRPr="001569FB" w:rsidRDefault="004C5B0C" w:rsidP="004C5B0C">
      <m:oMathPara>
        <m:oMathParaPr>
          <m:jc m:val="center"/>
        </m:oMathParaPr>
        <m:oMath>
          <m:r>
            <m:rPr>
              <m:nor/>
            </m:rPr>
            <m:t>Claim Percentage Index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iPDE&gt;PF</m:t>
                      </m:r>
                    </m:sub>
                  </m:sSub>
                </m:num>
                <m:den>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iTotal</m:t>
                      </m:r>
                    </m:sub>
                  </m:sSub>
                  <m:r>
                    <m:rPr>
                      <m:nor/>
                    </m:rPr>
                    <m:t xml:space="preserve"> </m:t>
                  </m:r>
                </m:den>
              </m:f>
            </m:e>
          </m:d>
        </m:oMath>
      </m:oMathPara>
    </w:p>
    <w:p w14:paraId="773DCFB9" w14:textId="77777777" w:rsidR="004C5B0C" w:rsidRPr="001569FB" w:rsidRDefault="004C5B0C" w:rsidP="004C5B0C">
      <w:r w:rsidRPr="001569FB">
        <w:t>where</w:t>
      </w:r>
    </w:p>
    <w:p w14:paraId="1956D170" w14:textId="77777777" w:rsidR="004C5B0C" w:rsidRPr="001569FB" w:rsidRDefault="004C5B0C" w:rsidP="004C5B0C">
      <w:pPr>
        <w:ind w:firstLine="720"/>
      </w:pPr>
      <w:r w:rsidRPr="001569FB">
        <w:t>Claims</w:t>
      </w:r>
      <w:r w:rsidRPr="001569FB">
        <w:rPr>
          <w:i/>
          <w:vertAlign w:val="subscript"/>
        </w:rPr>
        <w:t xml:space="preserve">iPDE&gt;PF </w:t>
      </w:r>
      <w:r w:rsidRPr="001569FB">
        <w:t>is the total number of claims where the PDE price is greater than the rounded PF price</w:t>
      </w:r>
    </w:p>
    <w:p w14:paraId="32AD7873" w14:textId="77777777" w:rsidR="004C5B0C" w:rsidRPr="001569FB" w:rsidRDefault="004C5B0C" w:rsidP="004C5B0C">
      <w:pPr>
        <w:ind w:firstLine="720"/>
      </w:pPr>
      <w:r w:rsidRPr="001569FB">
        <w:t>Claims</w:t>
      </w:r>
      <w:r w:rsidRPr="001569FB">
        <w:rPr>
          <w:i/>
          <w:vertAlign w:val="subscript"/>
        </w:rPr>
        <w:t>iTotal</w:t>
      </w:r>
      <w:r w:rsidRPr="001569FB">
        <w:t xml:space="preserve"> is the total number of claims</w:t>
      </w:r>
    </w:p>
    <w:p w14:paraId="43F2A78C" w14:textId="77777777" w:rsidR="004C5B0C" w:rsidRPr="001569FB" w:rsidRDefault="004C5B0C" w:rsidP="004C5B0C">
      <w:r w:rsidRPr="001569FB">
        <w:t xml:space="preserve">We use the following formulas to convert the Claim Percentage Index and Price Accuracy Index into the PF Composite Price Accuracy score: </w:t>
      </w:r>
    </w:p>
    <w:p w14:paraId="4F12828C" w14:textId="77777777" w:rsidR="004C5B0C" w:rsidRPr="001569FB" w:rsidRDefault="004C5B0C" w:rsidP="004C5B0C">
      <w:pPr>
        <w:rPr>
          <w:i/>
        </w:rPr>
      </w:pPr>
      <m:oMathPara>
        <m:oMathParaPr>
          <m:jc m:val="center"/>
        </m:oMathParaPr>
        <m:oMath>
          <m:r>
            <m:rPr>
              <m:nor/>
            </m:rPr>
            <m:t xml:space="preserve">Claim Percentage Score = </m:t>
          </m:r>
          <m:d>
            <m:dPr>
              <m:ctrlPr>
                <w:rPr>
                  <w:rFonts w:ascii="Cambria Math" w:hAnsi="Cambria Math"/>
                </w:rPr>
              </m:ctrlPr>
            </m:dPr>
            <m:e>
              <m:r>
                <m:rPr>
                  <m:nor/>
                </m:rPr>
                <m:t>1 - Claim Percentage Index</m:t>
              </m:r>
            </m:e>
          </m:d>
          <m:r>
            <m:rPr>
              <m:nor/>
            </m:rPr>
            <m:t xml:space="preserve"> </m:t>
          </m:r>
          <m:r>
            <m:rPr>
              <m:nor/>
            </m:rPr>
            <w:rPr>
              <w:rFonts w:ascii="Cambria Math"/>
            </w:rPr>
            <m:t>×</m:t>
          </m:r>
          <m:r>
            <m:rPr>
              <m:nor/>
            </m:rPr>
            <m:t xml:space="preserve"> 100</m:t>
          </m:r>
        </m:oMath>
      </m:oMathPara>
    </w:p>
    <w:p w14:paraId="142702CA" w14:textId="77777777" w:rsidR="004C5B0C" w:rsidRPr="001569FB" w:rsidRDefault="004C5B0C" w:rsidP="004C5B0C">
      <m:oMathPara>
        <m:oMathParaPr>
          <m:jc m:val="center"/>
        </m:oMathParaPr>
        <m:oMath>
          <m:r>
            <m:rPr>
              <m:nor/>
            </m:rPr>
            <m:t xml:space="preserve">Price Accuracy Score = 100 - </m:t>
          </m:r>
          <m: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nor/>
                    </m:rPr>
                    <m:t>Price Accuracy Index - 1</m:t>
                  </m:r>
                </m:e>
              </m:d>
              <m:r>
                <m:rPr>
                  <m:nor/>
                </m:rPr>
                <m:t xml:space="preserve"> </m:t>
              </m:r>
              <m:r>
                <m:rPr>
                  <m:nor/>
                </m:rPr>
                <w:rPr>
                  <w:rFonts w:ascii="Cambria Math"/>
                </w:rPr>
                <m:t>×</m:t>
              </m:r>
              <m:r>
                <m:rPr>
                  <m:nor/>
                </m:rPr>
                <m:t xml:space="preserve"> 100</m:t>
              </m:r>
            </m:e>
          </m:d>
        </m:oMath>
      </m:oMathPara>
    </w:p>
    <w:p w14:paraId="37A2AF43" w14:textId="77777777" w:rsidR="004C5B0C" w:rsidRPr="001569FB" w:rsidRDefault="004C5B0C" w:rsidP="004C5B0C">
      <w:pPr>
        <w:rPr>
          <w:i/>
        </w:rPr>
      </w:pPr>
      <m:oMathPara>
        <m:oMath>
          <m:r>
            <m:rPr>
              <m:nor/>
            </m:rPr>
            <m:t xml:space="preserve">PF Composite Price Accuracy Score = </m:t>
          </m:r>
          <m:d>
            <m:dPr>
              <m:ctrlPr>
                <w:rPr>
                  <w:rFonts w:ascii="Cambria Math" w:hAnsi="Cambria Math"/>
                  <w:i/>
                </w:rPr>
              </m:ctrlPr>
            </m:dPr>
            <m:e>
              <m:r>
                <m:rPr>
                  <m:nor/>
                </m:rPr>
                <m:t xml:space="preserve">0.5 </m:t>
              </m:r>
              <m:r>
                <m:rPr>
                  <m:nor/>
                </m:rPr>
                <w:rPr>
                  <w:rFonts w:ascii="Cambria Math"/>
                </w:rPr>
                <m:t>×</m:t>
              </m:r>
              <m:r>
                <m:rPr>
                  <m:nor/>
                </m:rPr>
                <m:t xml:space="preserve"> Claim Percentage Score </m:t>
              </m:r>
            </m:e>
          </m:d>
          <m:r>
            <w:rPr>
              <w:rFonts w:ascii="Cambria Math" w:hAnsi="Cambria Math"/>
            </w:rPr>
            <m:t xml:space="preserve">+ </m:t>
          </m:r>
          <m:d>
            <m:dPr>
              <m:ctrlPr>
                <w:rPr>
                  <w:rFonts w:ascii="Cambria Math" w:hAnsi="Cambria Math"/>
                  <w:i/>
                </w:rPr>
              </m:ctrlPr>
            </m:dPr>
            <m:e>
              <m:r>
                <m:rPr>
                  <m:nor/>
                </m:rPr>
                <m:t xml:space="preserve">0.5 </m:t>
              </m:r>
              <m:r>
                <m:rPr>
                  <m:nor/>
                </m:rPr>
                <w:rPr>
                  <w:rFonts w:ascii="Cambria Math"/>
                </w:rPr>
                <m:t>×</m:t>
              </m:r>
              <m:r>
                <m:rPr>
                  <m:nor/>
                </m:rPr>
                <m:t xml:space="preserve"> Price Accuracy Score</m:t>
              </m:r>
            </m:e>
          </m:d>
        </m:oMath>
      </m:oMathPara>
    </w:p>
    <w:p w14:paraId="772A79CC" w14:textId="77777777" w:rsidR="004C5B0C" w:rsidRPr="001569FB" w:rsidRDefault="004C5B0C" w:rsidP="004C5B0C">
      <w:pPr>
        <w:pStyle w:val="BodyText0"/>
        <w:keepNext/>
        <w:keepLines/>
        <w:spacing w:before="600" w:after="600"/>
      </w:pPr>
      <w:r w:rsidRPr="001569FB">
        <w:lastRenderedPageBreak/>
        <w:t xml:space="preserve">The score is rounded to the nearest whole number. </w:t>
      </w:r>
    </w:p>
    <w:p w14:paraId="338F8CDC" w14:textId="77777777" w:rsidR="004C5B0C" w:rsidRPr="001569FB" w:rsidRDefault="004C5B0C" w:rsidP="004C5B0C">
      <w:pPr>
        <w:pStyle w:val="BodyText0"/>
        <w:keepNext/>
        <w:keepLines/>
        <w:rPr>
          <w:i/>
        </w:rPr>
      </w:pPr>
      <w:bookmarkStart w:id="1004" w:name="_Toc445974091"/>
      <w:r w:rsidRPr="001569FB">
        <w:rPr>
          <w:rStyle w:val="IntenseEmphasis"/>
        </w:rPr>
        <w:t xml:space="preserve">Example of PF </w:t>
      </w:r>
      <w:r w:rsidRPr="001569FB">
        <w:t xml:space="preserve">Composite Price Accuracy Score </w:t>
      </w:r>
      <w:r w:rsidRPr="001569FB">
        <w:rPr>
          <w:rStyle w:val="IntenseEmphasis"/>
        </w:rPr>
        <w:t>Calculation</w:t>
      </w:r>
      <w:bookmarkEnd w:id="1004"/>
    </w:p>
    <w:p w14:paraId="251B903E" w14:textId="77777777" w:rsidR="004C5B0C" w:rsidRPr="001569FB" w:rsidRDefault="004C5B0C" w:rsidP="004C5B0C">
      <w:pPr>
        <w:pStyle w:val="BodyText0"/>
        <w:keepNext/>
        <w:keepLines/>
        <w:rPr>
          <w:i/>
        </w:rPr>
      </w:pPr>
      <w:r w:rsidRPr="001569FB">
        <w:t>Example of PF CTable M-1 shows an example of the PF Composite Price Accuracy Score calculation.  This contract has 4 claims, for 4 different NDCs and 4 different pharmacies.  This is an abbreviated example for illustrative purposes only; in the actual accuracy index, a contract must have 30 claims to be evaluated. From each of the 4 claims, the PDE ingredient cost, dispensing fee, and quantity dispensed are obtained.  Additionally, the plan ID, days of supply, date of service, and pharmacy number are collected from each PDE to identify the PF data that had been submitted by the contract and posted on Medicare.gov on the PDE dates of service.  The NDC on the claim is first assigned the appropriate reference NDC, based on the brand name, generic name, strength and dosage form.  Using the reference NDC, the following PF data are obtained: brand/generic dispensing fee (as assigned by the pharmacy cost file) and unit cost (as assigned by the Price File corresponding to that pharmacy and days of supply on the date of service).  The PDE cost is the sum of the PDE ingredient cost and dispensing fee.  The PF cost is computed as the quantity dispensed from PDE multiplied by the PF unit cost plus the PF brand/generic dispensing fee (brand or generic status is assigned based on the NDC), and then rounded to the nearest cent. The last column shows the amount by which the PDE cost is higher than the rounded PF cost.  When the PDE cost is less than the rounded PF cost, this value is zero.  The Price Accuracy Index is the sum of the last column plus the sum of PDE costs divided by the sum of PDE cost.  The Claim Percentage Index is the number of rows where the last column is greater than zero divided by the total number of rows.</w:t>
      </w:r>
    </w:p>
    <w:p w14:paraId="2D795678" w14:textId="77777777" w:rsidR="004C5B0C" w:rsidRPr="001569FB" w:rsidRDefault="004C5B0C" w:rsidP="004C5B0C">
      <w:pPr>
        <w:sectPr w:rsidR="004C5B0C" w:rsidRPr="001569FB" w:rsidSect="004C5B0C">
          <w:headerReference w:type="even" r:id="rId73"/>
          <w:headerReference w:type="default" r:id="rId74"/>
          <w:footerReference w:type="default" r:id="rId75"/>
          <w:headerReference w:type="first" r:id="rId76"/>
          <w:pgSz w:w="12240" w:h="15840"/>
          <w:pgMar w:top="1440" w:right="1440" w:bottom="1440" w:left="1440" w:header="745" w:footer="356" w:gutter="0"/>
          <w:cols w:space="720"/>
          <w:docGrid w:linePitch="326"/>
        </w:sectPr>
      </w:pPr>
    </w:p>
    <w:p w14:paraId="22F6F90F" w14:textId="77777777" w:rsidR="004C5B0C" w:rsidRPr="001569FB" w:rsidRDefault="004C5B0C" w:rsidP="004C5B0C">
      <w:pPr>
        <w:spacing w:after="320"/>
        <w:ind w:firstLine="720"/>
        <w:jc w:val="center"/>
        <w:rPr>
          <w:b/>
          <w:bCs/>
        </w:rPr>
      </w:pPr>
      <w:r w:rsidRPr="001569FB">
        <w:rPr>
          <w:b/>
          <w:bCs/>
        </w:rPr>
        <w:lastRenderedPageBreak/>
        <w:t>Table M-1: Example of PF Composite Price Accuracy Score Calculation</w:t>
      </w:r>
    </w:p>
    <w:tbl>
      <w:tblPr>
        <w:tblW w:w="15115" w:type="dxa"/>
        <w:jc w:val="center"/>
        <w:tblLayout w:type="fixed"/>
        <w:tblLook w:val="04A0" w:firstRow="1" w:lastRow="0" w:firstColumn="1" w:lastColumn="0" w:noHBand="0" w:noVBand="1"/>
      </w:tblPr>
      <w:tblGrid>
        <w:gridCol w:w="715"/>
        <w:gridCol w:w="1091"/>
        <w:gridCol w:w="1042"/>
        <w:gridCol w:w="1093"/>
        <w:gridCol w:w="1194"/>
        <w:gridCol w:w="1155"/>
        <w:gridCol w:w="995"/>
        <w:gridCol w:w="1530"/>
        <w:gridCol w:w="900"/>
        <w:gridCol w:w="810"/>
        <w:gridCol w:w="900"/>
        <w:gridCol w:w="990"/>
        <w:gridCol w:w="900"/>
        <w:gridCol w:w="720"/>
        <w:gridCol w:w="1080"/>
      </w:tblGrid>
      <w:tr w:rsidR="004C5B0C" w:rsidRPr="001569FB" w14:paraId="292D37EC" w14:textId="77777777" w:rsidTr="004C5B0C">
        <w:trPr>
          <w:cantSplit/>
          <w:trHeight w:val="300"/>
          <w:tblHeader/>
          <w:jc w:val="center"/>
        </w:trPr>
        <w:tc>
          <w:tcPr>
            <w:tcW w:w="715"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77BD8884"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NDC</w:t>
            </w:r>
          </w:p>
        </w:tc>
        <w:tc>
          <w:tcPr>
            <w:tcW w:w="1091"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3D2B2883"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Pharmacy Number</w:t>
            </w:r>
          </w:p>
        </w:tc>
        <w:tc>
          <w:tcPr>
            <w:tcW w:w="5479" w:type="dxa"/>
            <w:gridSpan w:val="5"/>
            <w:tcBorders>
              <w:top w:val="single" w:sz="4" w:space="0" w:color="auto"/>
              <w:left w:val="nil"/>
              <w:bottom w:val="single" w:sz="4" w:space="0" w:color="auto"/>
              <w:right w:val="single" w:sz="4" w:space="0" w:color="auto"/>
            </w:tcBorders>
            <w:shd w:val="clear" w:color="000000" w:fill="DBE5F1"/>
            <w:noWrap/>
            <w:vAlign w:val="center"/>
            <w:hideMark/>
          </w:tcPr>
          <w:p w14:paraId="3BBE0D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 Data</w:t>
            </w:r>
          </w:p>
        </w:tc>
        <w:tc>
          <w:tcPr>
            <w:tcW w:w="4140" w:type="dxa"/>
            <w:gridSpan w:val="4"/>
            <w:tcBorders>
              <w:top w:val="single" w:sz="4" w:space="0" w:color="auto"/>
              <w:left w:val="nil"/>
              <w:bottom w:val="single" w:sz="4" w:space="0" w:color="auto"/>
              <w:right w:val="single" w:sz="4" w:space="0" w:color="auto"/>
            </w:tcBorders>
            <w:shd w:val="clear" w:color="000000" w:fill="DBE5F1"/>
            <w:noWrap/>
            <w:vAlign w:val="center"/>
            <w:hideMark/>
          </w:tcPr>
          <w:p w14:paraId="0517934F"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Plan Finder Data</w:t>
            </w:r>
          </w:p>
        </w:tc>
        <w:tc>
          <w:tcPr>
            <w:tcW w:w="3690" w:type="dxa"/>
            <w:gridSpan w:val="4"/>
            <w:tcBorders>
              <w:top w:val="single" w:sz="4" w:space="0" w:color="auto"/>
              <w:left w:val="nil"/>
              <w:bottom w:val="single" w:sz="4" w:space="0" w:color="auto"/>
              <w:right w:val="single" w:sz="4" w:space="0" w:color="auto"/>
            </w:tcBorders>
            <w:shd w:val="clear" w:color="000000" w:fill="DBE5F1"/>
            <w:vAlign w:val="center"/>
          </w:tcPr>
          <w:p w14:paraId="747AE196"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Calculated Values</w:t>
            </w:r>
          </w:p>
        </w:tc>
      </w:tr>
      <w:tr w:rsidR="004C5B0C" w:rsidRPr="001569FB" w14:paraId="6126C77A" w14:textId="77777777" w:rsidTr="004C5B0C">
        <w:trPr>
          <w:cantSplit/>
          <w:trHeight w:val="300"/>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46C71919"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5F1AAF0B"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val="restart"/>
            <w:tcBorders>
              <w:top w:val="nil"/>
              <w:left w:val="single" w:sz="4" w:space="0" w:color="auto"/>
              <w:bottom w:val="single" w:sz="4" w:space="0" w:color="auto"/>
              <w:right w:val="single" w:sz="4" w:space="0" w:color="auto"/>
            </w:tcBorders>
            <w:shd w:val="clear" w:color="000000" w:fill="DBE5F1"/>
            <w:vAlign w:val="center"/>
            <w:hideMark/>
          </w:tcPr>
          <w:p w14:paraId="1DBA26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DOS</w:t>
            </w:r>
          </w:p>
        </w:tc>
        <w:tc>
          <w:tcPr>
            <w:tcW w:w="1093" w:type="dxa"/>
            <w:vMerge w:val="restart"/>
            <w:tcBorders>
              <w:top w:val="nil"/>
              <w:left w:val="single" w:sz="4" w:space="0" w:color="auto"/>
              <w:bottom w:val="single" w:sz="4" w:space="0" w:color="auto"/>
              <w:right w:val="single" w:sz="4" w:space="0" w:color="auto"/>
            </w:tcBorders>
            <w:shd w:val="clear" w:color="000000" w:fill="DBE5F1"/>
            <w:vAlign w:val="center"/>
            <w:hideMark/>
          </w:tcPr>
          <w:p w14:paraId="09628B8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Ingredient Cost</w:t>
            </w:r>
          </w:p>
        </w:tc>
        <w:tc>
          <w:tcPr>
            <w:tcW w:w="1194" w:type="dxa"/>
            <w:vMerge w:val="restart"/>
            <w:tcBorders>
              <w:top w:val="nil"/>
              <w:left w:val="single" w:sz="4" w:space="0" w:color="auto"/>
              <w:bottom w:val="single" w:sz="4" w:space="0" w:color="auto"/>
              <w:right w:val="single" w:sz="4" w:space="0" w:color="auto"/>
            </w:tcBorders>
            <w:shd w:val="clear" w:color="000000" w:fill="DBE5F1"/>
            <w:vAlign w:val="center"/>
            <w:hideMark/>
          </w:tcPr>
          <w:p w14:paraId="248FB44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1155" w:type="dxa"/>
            <w:vMerge w:val="restart"/>
            <w:tcBorders>
              <w:top w:val="nil"/>
              <w:left w:val="single" w:sz="4" w:space="0" w:color="auto"/>
              <w:bottom w:val="single" w:sz="4" w:space="0" w:color="auto"/>
              <w:right w:val="single" w:sz="4" w:space="0" w:color="auto"/>
            </w:tcBorders>
            <w:shd w:val="clear" w:color="000000" w:fill="DBE5F1"/>
            <w:vAlign w:val="center"/>
            <w:hideMark/>
          </w:tcPr>
          <w:p w14:paraId="3802DEE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Quantity Dispensed</w:t>
            </w:r>
          </w:p>
        </w:tc>
        <w:tc>
          <w:tcPr>
            <w:tcW w:w="995" w:type="dxa"/>
            <w:vMerge w:val="restart"/>
            <w:tcBorders>
              <w:top w:val="nil"/>
              <w:left w:val="single" w:sz="4" w:space="0" w:color="auto"/>
              <w:right w:val="single" w:sz="4" w:space="0" w:color="auto"/>
            </w:tcBorders>
            <w:shd w:val="clear" w:color="000000" w:fill="DBE5F1"/>
            <w:vAlign w:val="center"/>
          </w:tcPr>
          <w:p w14:paraId="612E3415"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Days’ Supply</w:t>
            </w:r>
          </w:p>
        </w:tc>
        <w:tc>
          <w:tcPr>
            <w:tcW w:w="1530" w:type="dxa"/>
            <w:vMerge w:val="restart"/>
            <w:tcBorders>
              <w:top w:val="nil"/>
              <w:left w:val="single" w:sz="4" w:space="0" w:color="auto"/>
              <w:bottom w:val="single" w:sz="4" w:space="0" w:color="auto"/>
              <w:right w:val="single" w:sz="4" w:space="0" w:color="auto"/>
            </w:tcBorders>
            <w:shd w:val="clear" w:color="000000" w:fill="DBE5F1"/>
            <w:vAlign w:val="center"/>
            <w:hideMark/>
          </w:tcPr>
          <w:p w14:paraId="4491069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Biweekly Posting Period</w:t>
            </w:r>
          </w:p>
        </w:tc>
        <w:tc>
          <w:tcPr>
            <w:tcW w:w="90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AB7679E"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 xml:space="preserve">Unit Cost </w:t>
            </w:r>
          </w:p>
        </w:tc>
        <w:tc>
          <w:tcPr>
            <w:tcW w:w="1710" w:type="dxa"/>
            <w:gridSpan w:val="2"/>
            <w:tcBorders>
              <w:top w:val="single" w:sz="4" w:space="0" w:color="auto"/>
              <w:left w:val="nil"/>
              <w:bottom w:val="single" w:sz="4" w:space="0" w:color="auto"/>
              <w:right w:val="single" w:sz="4" w:space="0" w:color="auto"/>
            </w:tcBorders>
            <w:shd w:val="clear" w:color="000000" w:fill="DBE5F1"/>
            <w:noWrap/>
            <w:vAlign w:val="center"/>
            <w:hideMark/>
          </w:tcPr>
          <w:p w14:paraId="390EBCD0"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99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56E5C0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 or Generic Status</w:t>
            </w:r>
          </w:p>
        </w:tc>
        <w:tc>
          <w:tcPr>
            <w:tcW w:w="1620" w:type="dxa"/>
            <w:gridSpan w:val="2"/>
            <w:tcBorders>
              <w:top w:val="single" w:sz="4" w:space="0" w:color="auto"/>
              <w:left w:val="nil"/>
              <w:bottom w:val="single" w:sz="4" w:space="0" w:color="auto"/>
              <w:right w:val="single" w:sz="4" w:space="0" w:color="auto"/>
            </w:tcBorders>
            <w:shd w:val="clear" w:color="000000" w:fill="DBE5F1"/>
            <w:vAlign w:val="center"/>
            <w:hideMark/>
          </w:tcPr>
          <w:p w14:paraId="75CDDBB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Total Cost</w:t>
            </w:r>
          </w:p>
        </w:tc>
        <w:tc>
          <w:tcPr>
            <w:tcW w:w="1080" w:type="dxa"/>
            <w:vMerge w:val="restart"/>
            <w:tcBorders>
              <w:top w:val="nil"/>
              <w:left w:val="single" w:sz="4" w:space="0" w:color="auto"/>
              <w:right w:val="single" w:sz="4" w:space="0" w:color="auto"/>
            </w:tcBorders>
            <w:shd w:val="clear" w:color="000000" w:fill="DBE5F1"/>
            <w:vAlign w:val="center"/>
            <w:hideMark/>
          </w:tcPr>
          <w:p w14:paraId="75733E37"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Amount that PDE &gt; PF</w:t>
            </w:r>
          </w:p>
        </w:tc>
      </w:tr>
      <w:tr w:rsidR="004C5B0C" w:rsidRPr="001569FB" w14:paraId="01E71810" w14:textId="77777777" w:rsidTr="004C5B0C">
        <w:trPr>
          <w:cantSplit/>
          <w:trHeight w:val="215"/>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27BF8B22"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7A495BD5"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tcBorders>
              <w:top w:val="nil"/>
              <w:left w:val="single" w:sz="4" w:space="0" w:color="auto"/>
              <w:bottom w:val="single" w:sz="4" w:space="0" w:color="auto"/>
              <w:right w:val="single" w:sz="4" w:space="0" w:color="auto"/>
            </w:tcBorders>
            <w:vAlign w:val="center"/>
            <w:hideMark/>
          </w:tcPr>
          <w:p w14:paraId="6B54FB54" w14:textId="77777777" w:rsidR="004C5B0C" w:rsidRPr="001569FB" w:rsidRDefault="004C5B0C" w:rsidP="004C5B0C">
            <w:pPr>
              <w:spacing w:line="240" w:lineRule="auto"/>
              <w:jc w:val="center"/>
              <w:rPr>
                <w:rFonts w:ascii="Arial" w:eastAsia="Calibri" w:hAnsi="Arial" w:cs="Arial"/>
                <w:b/>
                <w:bCs/>
                <w:sz w:val="18"/>
                <w:szCs w:val="18"/>
              </w:rPr>
            </w:pPr>
          </w:p>
        </w:tc>
        <w:tc>
          <w:tcPr>
            <w:tcW w:w="1093" w:type="dxa"/>
            <w:vMerge/>
            <w:tcBorders>
              <w:top w:val="nil"/>
              <w:left w:val="single" w:sz="4" w:space="0" w:color="auto"/>
              <w:bottom w:val="single" w:sz="4" w:space="0" w:color="auto"/>
              <w:right w:val="single" w:sz="4" w:space="0" w:color="auto"/>
            </w:tcBorders>
            <w:vAlign w:val="center"/>
            <w:hideMark/>
          </w:tcPr>
          <w:p w14:paraId="363AB695" w14:textId="77777777" w:rsidR="004C5B0C" w:rsidRPr="001569FB" w:rsidRDefault="004C5B0C" w:rsidP="004C5B0C">
            <w:pPr>
              <w:spacing w:line="240" w:lineRule="auto"/>
              <w:jc w:val="center"/>
              <w:rPr>
                <w:rFonts w:ascii="Arial" w:eastAsia="Calibri" w:hAnsi="Arial" w:cs="Arial"/>
                <w:b/>
                <w:bCs/>
                <w:sz w:val="18"/>
                <w:szCs w:val="18"/>
              </w:rPr>
            </w:pPr>
          </w:p>
        </w:tc>
        <w:tc>
          <w:tcPr>
            <w:tcW w:w="1194" w:type="dxa"/>
            <w:vMerge/>
            <w:tcBorders>
              <w:top w:val="nil"/>
              <w:left w:val="single" w:sz="4" w:space="0" w:color="auto"/>
              <w:bottom w:val="single" w:sz="4" w:space="0" w:color="auto"/>
              <w:right w:val="single" w:sz="4" w:space="0" w:color="auto"/>
            </w:tcBorders>
            <w:vAlign w:val="center"/>
            <w:hideMark/>
          </w:tcPr>
          <w:p w14:paraId="057B4FB8" w14:textId="77777777" w:rsidR="004C5B0C" w:rsidRPr="001569FB" w:rsidRDefault="004C5B0C" w:rsidP="004C5B0C">
            <w:pPr>
              <w:spacing w:line="240" w:lineRule="auto"/>
              <w:jc w:val="center"/>
              <w:rPr>
                <w:rFonts w:ascii="Arial" w:eastAsia="Calibri" w:hAnsi="Arial" w:cs="Arial"/>
                <w:b/>
                <w:bCs/>
                <w:sz w:val="18"/>
                <w:szCs w:val="18"/>
              </w:rPr>
            </w:pPr>
          </w:p>
        </w:tc>
        <w:tc>
          <w:tcPr>
            <w:tcW w:w="1155" w:type="dxa"/>
            <w:vMerge/>
            <w:tcBorders>
              <w:top w:val="nil"/>
              <w:left w:val="single" w:sz="4" w:space="0" w:color="auto"/>
              <w:bottom w:val="single" w:sz="4" w:space="0" w:color="auto"/>
              <w:right w:val="single" w:sz="4" w:space="0" w:color="auto"/>
            </w:tcBorders>
            <w:vAlign w:val="center"/>
            <w:hideMark/>
          </w:tcPr>
          <w:p w14:paraId="66ADF44C" w14:textId="77777777" w:rsidR="004C5B0C" w:rsidRPr="001569FB" w:rsidRDefault="004C5B0C" w:rsidP="004C5B0C">
            <w:pPr>
              <w:spacing w:line="240" w:lineRule="auto"/>
              <w:jc w:val="center"/>
              <w:rPr>
                <w:rFonts w:ascii="Arial" w:eastAsia="Calibri" w:hAnsi="Arial" w:cs="Arial"/>
                <w:b/>
                <w:bCs/>
                <w:sz w:val="18"/>
                <w:szCs w:val="18"/>
              </w:rPr>
            </w:pPr>
          </w:p>
        </w:tc>
        <w:tc>
          <w:tcPr>
            <w:tcW w:w="995" w:type="dxa"/>
            <w:vMerge/>
            <w:tcBorders>
              <w:left w:val="single" w:sz="4" w:space="0" w:color="auto"/>
              <w:bottom w:val="single" w:sz="4" w:space="0" w:color="auto"/>
              <w:right w:val="single" w:sz="4" w:space="0" w:color="auto"/>
            </w:tcBorders>
          </w:tcPr>
          <w:p w14:paraId="3A81F920" w14:textId="77777777" w:rsidR="004C5B0C" w:rsidRPr="001569FB" w:rsidRDefault="004C5B0C" w:rsidP="004C5B0C">
            <w:pPr>
              <w:spacing w:line="240" w:lineRule="auto"/>
              <w:jc w:val="center"/>
              <w:rPr>
                <w:rFonts w:ascii="Arial" w:eastAsia="Calibri" w:hAnsi="Arial" w:cs="Arial"/>
                <w:b/>
                <w:bCs/>
                <w:sz w:val="18"/>
                <w:szCs w:val="18"/>
              </w:rPr>
            </w:pPr>
          </w:p>
        </w:tc>
        <w:tc>
          <w:tcPr>
            <w:tcW w:w="1530" w:type="dxa"/>
            <w:vMerge/>
            <w:tcBorders>
              <w:top w:val="nil"/>
              <w:left w:val="single" w:sz="4" w:space="0" w:color="auto"/>
              <w:bottom w:val="single" w:sz="4" w:space="0" w:color="auto"/>
              <w:right w:val="single" w:sz="4" w:space="0" w:color="auto"/>
            </w:tcBorders>
            <w:vAlign w:val="center"/>
            <w:hideMark/>
          </w:tcPr>
          <w:p w14:paraId="273F2196"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vMerge/>
            <w:tcBorders>
              <w:top w:val="nil"/>
              <w:left w:val="single" w:sz="4" w:space="0" w:color="auto"/>
              <w:bottom w:val="single" w:sz="4" w:space="0" w:color="auto"/>
              <w:right w:val="single" w:sz="4" w:space="0" w:color="auto"/>
            </w:tcBorders>
            <w:vAlign w:val="center"/>
            <w:hideMark/>
          </w:tcPr>
          <w:p w14:paraId="3BF82C9E" w14:textId="77777777" w:rsidR="004C5B0C" w:rsidRPr="001569FB" w:rsidRDefault="004C5B0C" w:rsidP="004C5B0C">
            <w:pPr>
              <w:spacing w:line="240" w:lineRule="auto"/>
              <w:jc w:val="center"/>
              <w:rPr>
                <w:rFonts w:ascii="Arial" w:eastAsia="Calibri" w:hAnsi="Arial" w:cs="Arial"/>
                <w:b/>
                <w:bCs/>
                <w:sz w:val="18"/>
                <w:szCs w:val="18"/>
              </w:rPr>
            </w:pPr>
          </w:p>
        </w:tc>
        <w:tc>
          <w:tcPr>
            <w:tcW w:w="810" w:type="dxa"/>
            <w:tcBorders>
              <w:top w:val="nil"/>
              <w:left w:val="nil"/>
              <w:bottom w:val="single" w:sz="4" w:space="0" w:color="auto"/>
              <w:right w:val="single" w:sz="4" w:space="0" w:color="auto"/>
            </w:tcBorders>
            <w:shd w:val="clear" w:color="000000" w:fill="DBE5F1"/>
            <w:vAlign w:val="center"/>
            <w:hideMark/>
          </w:tcPr>
          <w:p w14:paraId="3AD47AE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w:t>
            </w:r>
          </w:p>
        </w:tc>
        <w:tc>
          <w:tcPr>
            <w:tcW w:w="900" w:type="dxa"/>
            <w:tcBorders>
              <w:top w:val="nil"/>
              <w:left w:val="nil"/>
              <w:bottom w:val="single" w:sz="4" w:space="0" w:color="auto"/>
              <w:right w:val="single" w:sz="4" w:space="0" w:color="auto"/>
            </w:tcBorders>
            <w:shd w:val="clear" w:color="000000" w:fill="DBE5F1"/>
            <w:vAlign w:val="center"/>
            <w:hideMark/>
          </w:tcPr>
          <w:p w14:paraId="047C7B3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Generic</w:t>
            </w:r>
          </w:p>
        </w:tc>
        <w:tc>
          <w:tcPr>
            <w:tcW w:w="990" w:type="dxa"/>
            <w:vMerge/>
            <w:tcBorders>
              <w:top w:val="nil"/>
              <w:left w:val="single" w:sz="4" w:space="0" w:color="auto"/>
              <w:bottom w:val="single" w:sz="4" w:space="0" w:color="auto"/>
              <w:right w:val="single" w:sz="4" w:space="0" w:color="auto"/>
            </w:tcBorders>
            <w:vAlign w:val="center"/>
            <w:hideMark/>
          </w:tcPr>
          <w:p w14:paraId="368EB6E8"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tcBorders>
              <w:top w:val="nil"/>
              <w:left w:val="nil"/>
              <w:bottom w:val="single" w:sz="4" w:space="0" w:color="auto"/>
              <w:right w:val="single" w:sz="4" w:space="0" w:color="auto"/>
            </w:tcBorders>
            <w:shd w:val="clear" w:color="000000" w:fill="DBE5F1"/>
            <w:vAlign w:val="center"/>
            <w:hideMark/>
          </w:tcPr>
          <w:p w14:paraId="1C0BAD4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w:t>
            </w:r>
          </w:p>
        </w:tc>
        <w:tc>
          <w:tcPr>
            <w:tcW w:w="720" w:type="dxa"/>
            <w:tcBorders>
              <w:top w:val="nil"/>
              <w:left w:val="nil"/>
              <w:bottom w:val="single" w:sz="4" w:space="0" w:color="auto"/>
              <w:right w:val="single" w:sz="4" w:space="0" w:color="auto"/>
            </w:tcBorders>
            <w:shd w:val="clear" w:color="000000" w:fill="DBE5F1"/>
            <w:vAlign w:val="center"/>
            <w:hideMark/>
          </w:tcPr>
          <w:p w14:paraId="07039C8B"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PF</w:t>
            </w:r>
          </w:p>
        </w:tc>
        <w:tc>
          <w:tcPr>
            <w:tcW w:w="1080" w:type="dxa"/>
            <w:vMerge/>
            <w:tcBorders>
              <w:left w:val="single" w:sz="4" w:space="0" w:color="auto"/>
              <w:bottom w:val="single" w:sz="4" w:space="0" w:color="auto"/>
              <w:right w:val="single" w:sz="4" w:space="0" w:color="auto"/>
            </w:tcBorders>
            <w:vAlign w:val="center"/>
            <w:hideMark/>
          </w:tcPr>
          <w:p w14:paraId="30993DDD" w14:textId="77777777" w:rsidR="004C5B0C" w:rsidRPr="001569FB" w:rsidRDefault="004C5B0C" w:rsidP="004C5B0C">
            <w:pPr>
              <w:spacing w:line="240" w:lineRule="auto"/>
              <w:jc w:val="center"/>
              <w:rPr>
                <w:rFonts w:ascii="Arial" w:eastAsia="Calibri" w:hAnsi="Arial" w:cs="Arial"/>
                <w:b/>
                <w:bCs/>
                <w:sz w:val="18"/>
                <w:szCs w:val="18"/>
              </w:rPr>
            </w:pPr>
          </w:p>
        </w:tc>
      </w:tr>
      <w:tr w:rsidR="004C5B0C" w:rsidRPr="001569FB" w14:paraId="723B330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992C9F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A</w:t>
            </w:r>
          </w:p>
        </w:tc>
        <w:tc>
          <w:tcPr>
            <w:tcW w:w="1091" w:type="dxa"/>
            <w:tcBorders>
              <w:top w:val="nil"/>
              <w:left w:val="nil"/>
              <w:bottom w:val="single" w:sz="4" w:space="0" w:color="auto"/>
              <w:right w:val="single" w:sz="4" w:space="0" w:color="auto"/>
            </w:tcBorders>
            <w:shd w:val="clear" w:color="auto" w:fill="auto"/>
            <w:noWrap/>
            <w:vAlign w:val="center"/>
            <w:hideMark/>
          </w:tcPr>
          <w:p w14:paraId="2F5A223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111</w:t>
            </w:r>
          </w:p>
        </w:tc>
        <w:tc>
          <w:tcPr>
            <w:tcW w:w="1042" w:type="dxa"/>
            <w:tcBorders>
              <w:top w:val="nil"/>
              <w:left w:val="nil"/>
              <w:bottom w:val="single" w:sz="4" w:space="0" w:color="auto"/>
              <w:right w:val="single" w:sz="4" w:space="0" w:color="auto"/>
            </w:tcBorders>
            <w:shd w:val="clear" w:color="auto" w:fill="auto"/>
            <w:noWrap/>
            <w:vAlign w:val="center"/>
            <w:hideMark/>
          </w:tcPr>
          <w:p w14:paraId="2FE00FB2"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1/8/2016</w:t>
            </w:r>
          </w:p>
        </w:tc>
        <w:tc>
          <w:tcPr>
            <w:tcW w:w="1093" w:type="dxa"/>
            <w:tcBorders>
              <w:top w:val="nil"/>
              <w:left w:val="nil"/>
              <w:bottom w:val="single" w:sz="4" w:space="0" w:color="auto"/>
              <w:right w:val="single" w:sz="4" w:space="0" w:color="auto"/>
            </w:tcBorders>
            <w:shd w:val="clear" w:color="auto" w:fill="auto"/>
            <w:noWrap/>
            <w:vAlign w:val="center"/>
            <w:hideMark/>
          </w:tcPr>
          <w:p w14:paraId="41C6E679"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3.82</w:t>
            </w:r>
          </w:p>
        </w:tc>
        <w:tc>
          <w:tcPr>
            <w:tcW w:w="1194" w:type="dxa"/>
            <w:tcBorders>
              <w:top w:val="nil"/>
              <w:left w:val="nil"/>
              <w:bottom w:val="single" w:sz="4" w:space="0" w:color="auto"/>
              <w:right w:val="single" w:sz="4" w:space="0" w:color="auto"/>
            </w:tcBorders>
            <w:shd w:val="clear" w:color="auto" w:fill="auto"/>
            <w:noWrap/>
            <w:vAlign w:val="center"/>
            <w:hideMark/>
          </w:tcPr>
          <w:p w14:paraId="06847C6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23A49FE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995" w:type="dxa"/>
            <w:tcBorders>
              <w:top w:val="nil"/>
              <w:left w:val="nil"/>
              <w:bottom w:val="single" w:sz="4" w:space="0" w:color="auto"/>
              <w:right w:val="single" w:sz="4" w:space="0" w:color="auto"/>
            </w:tcBorders>
            <w:vAlign w:val="center"/>
          </w:tcPr>
          <w:p w14:paraId="7D984F9D"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733384A"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1/4/16-1/17/16</w:t>
            </w:r>
          </w:p>
        </w:tc>
        <w:tc>
          <w:tcPr>
            <w:tcW w:w="900" w:type="dxa"/>
            <w:tcBorders>
              <w:top w:val="nil"/>
              <w:left w:val="nil"/>
              <w:bottom w:val="single" w:sz="4" w:space="0" w:color="auto"/>
              <w:right w:val="single" w:sz="4" w:space="0" w:color="auto"/>
            </w:tcBorders>
            <w:shd w:val="clear" w:color="auto" w:fill="auto"/>
            <w:noWrap/>
            <w:vAlign w:val="center"/>
            <w:hideMark/>
          </w:tcPr>
          <w:p w14:paraId="63034B45"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0.014</w:t>
            </w:r>
          </w:p>
        </w:tc>
        <w:tc>
          <w:tcPr>
            <w:tcW w:w="810" w:type="dxa"/>
            <w:tcBorders>
              <w:top w:val="nil"/>
              <w:left w:val="nil"/>
              <w:bottom w:val="single" w:sz="4" w:space="0" w:color="auto"/>
              <w:right w:val="single" w:sz="4" w:space="0" w:color="auto"/>
            </w:tcBorders>
            <w:shd w:val="clear" w:color="auto" w:fill="auto"/>
            <w:noWrap/>
            <w:vAlign w:val="center"/>
            <w:hideMark/>
          </w:tcPr>
          <w:p w14:paraId="106B6E7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00" w:type="dxa"/>
            <w:tcBorders>
              <w:top w:val="nil"/>
              <w:left w:val="nil"/>
              <w:bottom w:val="single" w:sz="4" w:space="0" w:color="auto"/>
              <w:right w:val="single" w:sz="4" w:space="0" w:color="auto"/>
            </w:tcBorders>
            <w:shd w:val="clear" w:color="auto" w:fill="auto"/>
            <w:noWrap/>
            <w:vAlign w:val="center"/>
            <w:hideMark/>
          </w:tcPr>
          <w:p w14:paraId="047A4B6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2.75</w:t>
            </w:r>
          </w:p>
        </w:tc>
        <w:tc>
          <w:tcPr>
            <w:tcW w:w="990" w:type="dxa"/>
            <w:tcBorders>
              <w:top w:val="nil"/>
              <w:left w:val="nil"/>
              <w:bottom w:val="single" w:sz="4" w:space="0" w:color="auto"/>
              <w:right w:val="single" w:sz="4" w:space="0" w:color="auto"/>
            </w:tcBorders>
            <w:shd w:val="clear" w:color="auto" w:fill="auto"/>
            <w:noWrap/>
            <w:vAlign w:val="center"/>
            <w:hideMark/>
          </w:tcPr>
          <w:p w14:paraId="62ABD61B"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7541B747"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5.82</w:t>
            </w:r>
          </w:p>
        </w:tc>
        <w:tc>
          <w:tcPr>
            <w:tcW w:w="720" w:type="dxa"/>
            <w:tcBorders>
              <w:top w:val="nil"/>
              <w:left w:val="nil"/>
              <w:bottom w:val="single" w:sz="4" w:space="0" w:color="auto"/>
              <w:right w:val="single" w:sz="4" w:space="0" w:color="auto"/>
            </w:tcBorders>
            <w:shd w:val="clear" w:color="auto" w:fill="auto"/>
            <w:noWrap/>
            <w:vAlign w:val="center"/>
            <w:hideMark/>
          </w:tcPr>
          <w:p w14:paraId="75210717"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3.09</w:t>
            </w:r>
          </w:p>
        </w:tc>
        <w:tc>
          <w:tcPr>
            <w:tcW w:w="1080" w:type="dxa"/>
            <w:tcBorders>
              <w:top w:val="nil"/>
              <w:left w:val="nil"/>
              <w:bottom w:val="single" w:sz="4" w:space="0" w:color="auto"/>
              <w:right w:val="single" w:sz="4" w:space="0" w:color="auto"/>
            </w:tcBorders>
            <w:shd w:val="clear" w:color="auto" w:fill="auto"/>
            <w:noWrap/>
            <w:vAlign w:val="center"/>
            <w:hideMark/>
          </w:tcPr>
          <w:p w14:paraId="0F19F79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2.73</w:t>
            </w:r>
          </w:p>
        </w:tc>
      </w:tr>
      <w:tr w:rsidR="004C5B0C" w:rsidRPr="001569FB" w14:paraId="29E81F6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421FDC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B</w:t>
            </w:r>
          </w:p>
        </w:tc>
        <w:tc>
          <w:tcPr>
            <w:tcW w:w="1091" w:type="dxa"/>
            <w:tcBorders>
              <w:top w:val="nil"/>
              <w:left w:val="nil"/>
              <w:bottom w:val="single" w:sz="4" w:space="0" w:color="auto"/>
              <w:right w:val="single" w:sz="4" w:space="0" w:color="auto"/>
            </w:tcBorders>
            <w:shd w:val="clear" w:color="auto" w:fill="auto"/>
            <w:noWrap/>
            <w:vAlign w:val="center"/>
            <w:hideMark/>
          </w:tcPr>
          <w:p w14:paraId="07114137"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222</w:t>
            </w:r>
          </w:p>
        </w:tc>
        <w:tc>
          <w:tcPr>
            <w:tcW w:w="1042" w:type="dxa"/>
            <w:tcBorders>
              <w:top w:val="nil"/>
              <w:left w:val="nil"/>
              <w:bottom w:val="single" w:sz="4" w:space="0" w:color="auto"/>
              <w:right w:val="single" w:sz="4" w:space="0" w:color="auto"/>
            </w:tcBorders>
            <w:shd w:val="clear" w:color="auto" w:fill="auto"/>
            <w:noWrap/>
            <w:vAlign w:val="center"/>
            <w:hideMark/>
          </w:tcPr>
          <w:p w14:paraId="3BFF9BD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1/24/2016</w:t>
            </w:r>
          </w:p>
        </w:tc>
        <w:tc>
          <w:tcPr>
            <w:tcW w:w="1093" w:type="dxa"/>
            <w:tcBorders>
              <w:top w:val="nil"/>
              <w:left w:val="nil"/>
              <w:bottom w:val="single" w:sz="4" w:space="0" w:color="auto"/>
              <w:right w:val="single" w:sz="4" w:space="0" w:color="auto"/>
            </w:tcBorders>
            <w:shd w:val="clear" w:color="auto" w:fill="auto"/>
            <w:noWrap/>
            <w:vAlign w:val="center"/>
            <w:hideMark/>
          </w:tcPr>
          <w:p w14:paraId="580B790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0.98</w:t>
            </w:r>
          </w:p>
        </w:tc>
        <w:tc>
          <w:tcPr>
            <w:tcW w:w="1194" w:type="dxa"/>
            <w:tcBorders>
              <w:top w:val="nil"/>
              <w:left w:val="nil"/>
              <w:bottom w:val="single" w:sz="4" w:space="0" w:color="auto"/>
              <w:right w:val="single" w:sz="4" w:space="0" w:color="auto"/>
            </w:tcBorders>
            <w:shd w:val="clear" w:color="auto" w:fill="auto"/>
            <w:noWrap/>
            <w:vAlign w:val="center"/>
            <w:hideMark/>
          </w:tcPr>
          <w:p w14:paraId="4B2ED22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5E41802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995" w:type="dxa"/>
            <w:tcBorders>
              <w:top w:val="nil"/>
              <w:left w:val="nil"/>
              <w:bottom w:val="single" w:sz="4" w:space="0" w:color="auto"/>
              <w:right w:val="single" w:sz="4" w:space="0" w:color="auto"/>
            </w:tcBorders>
            <w:vAlign w:val="center"/>
          </w:tcPr>
          <w:p w14:paraId="11DF46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D978B9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1/18/16-1/31/16</w:t>
            </w:r>
          </w:p>
        </w:tc>
        <w:tc>
          <w:tcPr>
            <w:tcW w:w="900" w:type="dxa"/>
            <w:tcBorders>
              <w:top w:val="nil"/>
              <w:left w:val="nil"/>
              <w:bottom w:val="single" w:sz="4" w:space="0" w:color="auto"/>
              <w:right w:val="single" w:sz="4" w:space="0" w:color="auto"/>
            </w:tcBorders>
            <w:shd w:val="clear" w:color="auto" w:fill="auto"/>
            <w:noWrap/>
            <w:vAlign w:val="center"/>
            <w:hideMark/>
          </w:tcPr>
          <w:p w14:paraId="79D25D51"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0.83</w:t>
            </w:r>
          </w:p>
        </w:tc>
        <w:tc>
          <w:tcPr>
            <w:tcW w:w="810" w:type="dxa"/>
            <w:tcBorders>
              <w:top w:val="nil"/>
              <w:left w:val="nil"/>
              <w:bottom w:val="single" w:sz="4" w:space="0" w:color="auto"/>
              <w:right w:val="single" w:sz="4" w:space="0" w:color="auto"/>
            </w:tcBorders>
            <w:shd w:val="clear" w:color="auto" w:fill="auto"/>
            <w:noWrap/>
            <w:vAlign w:val="center"/>
            <w:hideMark/>
          </w:tcPr>
          <w:p w14:paraId="1652E13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1.75</w:t>
            </w:r>
          </w:p>
        </w:tc>
        <w:tc>
          <w:tcPr>
            <w:tcW w:w="900" w:type="dxa"/>
            <w:tcBorders>
              <w:top w:val="nil"/>
              <w:left w:val="nil"/>
              <w:bottom w:val="single" w:sz="4" w:space="0" w:color="auto"/>
              <w:right w:val="single" w:sz="4" w:space="0" w:color="auto"/>
            </w:tcBorders>
            <w:shd w:val="clear" w:color="auto" w:fill="auto"/>
            <w:noWrap/>
            <w:vAlign w:val="center"/>
            <w:hideMark/>
          </w:tcPr>
          <w:p w14:paraId="0497C1E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4CF634C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C536DD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2.98</w:t>
            </w:r>
          </w:p>
        </w:tc>
        <w:tc>
          <w:tcPr>
            <w:tcW w:w="720" w:type="dxa"/>
            <w:tcBorders>
              <w:top w:val="nil"/>
              <w:left w:val="nil"/>
              <w:bottom w:val="single" w:sz="4" w:space="0" w:color="auto"/>
              <w:right w:val="single" w:sz="4" w:space="0" w:color="auto"/>
            </w:tcBorders>
            <w:shd w:val="clear" w:color="auto" w:fill="auto"/>
            <w:noWrap/>
            <w:vAlign w:val="center"/>
            <w:hideMark/>
          </w:tcPr>
          <w:p w14:paraId="47A8B541"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27.40</w:t>
            </w:r>
          </w:p>
        </w:tc>
        <w:tc>
          <w:tcPr>
            <w:tcW w:w="1080" w:type="dxa"/>
            <w:tcBorders>
              <w:top w:val="nil"/>
              <w:left w:val="nil"/>
              <w:bottom w:val="single" w:sz="4" w:space="0" w:color="auto"/>
              <w:right w:val="single" w:sz="4" w:space="0" w:color="auto"/>
            </w:tcBorders>
            <w:shd w:val="clear" w:color="auto" w:fill="auto"/>
            <w:noWrap/>
            <w:vAlign w:val="center"/>
            <w:hideMark/>
          </w:tcPr>
          <w:p w14:paraId="2E3E5FA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008026A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909597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C</w:t>
            </w:r>
          </w:p>
        </w:tc>
        <w:tc>
          <w:tcPr>
            <w:tcW w:w="1091" w:type="dxa"/>
            <w:tcBorders>
              <w:top w:val="nil"/>
              <w:left w:val="nil"/>
              <w:bottom w:val="single" w:sz="4" w:space="0" w:color="auto"/>
              <w:right w:val="single" w:sz="4" w:space="0" w:color="auto"/>
            </w:tcBorders>
            <w:shd w:val="clear" w:color="auto" w:fill="auto"/>
            <w:noWrap/>
            <w:vAlign w:val="center"/>
            <w:hideMark/>
          </w:tcPr>
          <w:p w14:paraId="06B9A95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333</w:t>
            </w:r>
          </w:p>
        </w:tc>
        <w:tc>
          <w:tcPr>
            <w:tcW w:w="1042" w:type="dxa"/>
            <w:tcBorders>
              <w:top w:val="nil"/>
              <w:left w:val="nil"/>
              <w:bottom w:val="single" w:sz="4" w:space="0" w:color="auto"/>
              <w:right w:val="single" w:sz="4" w:space="0" w:color="auto"/>
            </w:tcBorders>
            <w:shd w:val="clear" w:color="auto" w:fill="auto"/>
            <w:noWrap/>
            <w:vAlign w:val="center"/>
            <w:hideMark/>
          </w:tcPr>
          <w:p w14:paraId="1BA1F4D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2/11/2016</w:t>
            </w:r>
          </w:p>
        </w:tc>
        <w:tc>
          <w:tcPr>
            <w:tcW w:w="1093" w:type="dxa"/>
            <w:tcBorders>
              <w:top w:val="nil"/>
              <w:left w:val="nil"/>
              <w:bottom w:val="single" w:sz="4" w:space="0" w:color="auto"/>
              <w:right w:val="single" w:sz="4" w:space="0" w:color="auto"/>
            </w:tcBorders>
            <w:shd w:val="clear" w:color="auto" w:fill="auto"/>
            <w:noWrap/>
            <w:vAlign w:val="center"/>
            <w:hideMark/>
          </w:tcPr>
          <w:p w14:paraId="2F3A1F6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10.48</w:t>
            </w:r>
          </w:p>
        </w:tc>
        <w:tc>
          <w:tcPr>
            <w:tcW w:w="1194" w:type="dxa"/>
            <w:tcBorders>
              <w:top w:val="nil"/>
              <w:left w:val="nil"/>
              <w:bottom w:val="single" w:sz="4" w:space="0" w:color="auto"/>
              <w:right w:val="single" w:sz="4" w:space="0" w:color="auto"/>
            </w:tcBorders>
            <w:shd w:val="clear" w:color="auto" w:fill="auto"/>
            <w:noWrap/>
            <w:vAlign w:val="center"/>
            <w:hideMark/>
          </w:tcPr>
          <w:p w14:paraId="63D3FA6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563A138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24</w:t>
            </w:r>
          </w:p>
        </w:tc>
        <w:tc>
          <w:tcPr>
            <w:tcW w:w="995" w:type="dxa"/>
            <w:tcBorders>
              <w:top w:val="nil"/>
              <w:left w:val="nil"/>
              <w:bottom w:val="single" w:sz="4" w:space="0" w:color="auto"/>
              <w:right w:val="single" w:sz="4" w:space="0" w:color="auto"/>
            </w:tcBorders>
            <w:vAlign w:val="center"/>
          </w:tcPr>
          <w:p w14:paraId="0D0C71F9"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28</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17D12F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2/1/16-2/14/16</w:t>
            </w:r>
          </w:p>
        </w:tc>
        <w:tc>
          <w:tcPr>
            <w:tcW w:w="900" w:type="dxa"/>
            <w:tcBorders>
              <w:top w:val="nil"/>
              <w:left w:val="nil"/>
              <w:bottom w:val="single" w:sz="4" w:space="0" w:color="auto"/>
              <w:right w:val="single" w:sz="4" w:space="0" w:color="auto"/>
            </w:tcBorders>
            <w:shd w:val="clear" w:color="auto" w:fill="auto"/>
            <w:noWrap/>
            <w:vAlign w:val="center"/>
            <w:hideMark/>
          </w:tcPr>
          <w:p w14:paraId="264D0F02"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0.483</w:t>
            </w:r>
          </w:p>
        </w:tc>
        <w:tc>
          <w:tcPr>
            <w:tcW w:w="810" w:type="dxa"/>
            <w:tcBorders>
              <w:top w:val="nil"/>
              <w:left w:val="nil"/>
              <w:bottom w:val="single" w:sz="4" w:space="0" w:color="auto"/>
              <w:right w:val="single" w:sz="4" w:space="0" w:color="auto"/>
            </w:tcBorders>
            <w:shd w:val="clear" w:color="auto" w:fill="auto"/>
            <w:noWrap/>
            <w:vAlign w:val="center"/>
            <w:hideMark/>
          </w:tcPr>
          <w:p w14:paraId="7545769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00" w:type="dxa"/>
            <w:tcBorders>
              <w:top w:val="nil"/>
              <w:left w:val="nil"/>
              <w:bottom w:val="single" w:sz="4" w:space="0" w:color="auto"/>
              <w:right w:val="single" w:sz="4" w:space="0" w:color="auto"/>
            </w:tcBorders>
            <w:shd w:val="clear" w:color="auto" w:fill="auto"/>
            <w:noWrap/>
            <w:vAlign w:val="center"/>
            <w:hideMark/>
          </w:tcPr>
          <w:p w14:paraId="04E2BDB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099601D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5AD2149C"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11.98</w:t>
            </w:r>
          </w:p>
        </w:tc>
        <w:tc>
          <w:tcPr>
            <w:tcW w:w="720" w:type="dxa"/>
            <w:tcBorders>
              <w:top w:val="nil"/>
              <w:left w:val="nil"/>
              <w:bottom w:val="single" w:sz="4" w:space="0" w:color="auto"/>
              <w:right w:val="single" w:sz="4" w:space="0" w:color="auto"/>
            </w:tcBorders>
            <w:shd w:val="clear" w:color="auto" w:fill="auto"/>
            <w:noWrap/>
            <w:vAlign w:val="center"/>
            <w:hideMark/>
          </w:tcPr>
          <w:p w14:paraId="486D8DA5"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14.09</w:t>
            </w:r>
          </w:p>
        </w:tc>
        <w:tc>
          <w:tcPr>
            <w:tcW w:w="1080" w:type="dxa"/>
            <w:tcBorders>
              <w:top w:val="nil"/>
              <w:left w:val="nil"/>
              <w:bottom w:val="single" w:sz="4" w:space="0" w:color="auto"/>
              <w:right w:val="single" w:sz="4" w:space="0" w:color="auto"/>
            </w:tcBorders>
            <w:shd w:val="clear" w:color="auto" w:fill="auto"/>
            <w:noWrap/>
            <w:vAlign w:val="center"/>
            <w:hideMark/>
          </w:tcPr>
          <w:p w14:paraId="2DDFDF24"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7B06F03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F57551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D</w:t>
            </w:r>
          </w:p>
        </w:tc>
        <w:tc>
          <w:tcPr>
            <w:tcW w:w="1091" w:type="dxa"/>
            <w:tcBorders>
              <w:top w:val="nil"/>
              <w:left w:val="nil"/>
              <w:bottom w:val="single" w:sz="4" w:space="0" w:color="auto"/>
              <w:right w:val="single" w:sz="4" w:space="0" w:color="auto"/>
            </w:tcBorders>
            <w:shd w:val="clear" w:color="auto" w:fill="auto"/>
            <w:noWrap/>
            <w:vAlign w:val="center"/>
            <w:hideMark/>
          </w:tcPr>
          <w:p w14:paraId="64693D2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444</w:t>
            </w:r>
          </w:p>
        </w:tc>
        <w:tc>
          <w:tcPr>
            <w:tcW w:w="1042" w:type="dxa"/>
            <w:tcBorders>
              <w:top w:val="nil"/>
              <w:left w:val="nil"/>
              <w:bottom w:val="single" w:sz="4" w:space="0" w:color="auto"/>
              <w:right w:val="single" w:sz="4" w:space="0" w:color="auto"/>
            </w:tcBorders>
            <w:shd w:val="clear" w:color="auto" w:fill="auto"/>
            <w:noWrap/>
            <w:vAlign w:val="center"/>
            <w:hideMark/>
          </w:tcPr>
          <w:p w14:paraId="345D1ED9"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2/21/2016</w:t>
            </w:r>
          </w:p>
        </w:tc>
        <w:tc>
          <w:tcPr>
            <w:tcW w:w="1093" w:type="dxa"/>
            <w:tcBorders>
              <w:top w:val="nil"/>
              <w:left w:val="nil"/>
              <w:bottom w:val="single" w:sz="4" w:space="0" w:color="auto"/>
              <w:right w:val="single" w:sz="4" w:space="0" w:color="auto"/>
            </w:tcBorders>
            <w:shd w:val="clear" w:color="auto" w:fill="auto"/>
            <w:noWrap/>
            <w:vAlign w:val="center"/>
            <w:hideMark/>
          </w:tcPr>
          <w:p w14:paraId="73753E7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47.00</w:t>
            </w:r>
          </w:p>
        </w:tc>
        <w:tc>
          <w:tcPr>
            <w:tcW w:w="1194" w:type="dxa"/>
            <w:tcBorders>
              <w:top w:val="nil"/>
              <w:left w:val="nil"/>
              <w:bottom w:val="single" w:sz="4" w:space="0" w:color="auto"/>
              <w:right w:val="single" w:sz="4" w:space="0" w:color="auto"/>
            </w:tcBorders>
            <w:shd w:val="clear" w:color="auto" w:fill="auto"/>
            <w:noWrap/>
            <w:vAlign w:val="center"/>
            <w:hideMark/>
          </w:tcPr>
          <w:p w14:paraId="73E9B6E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681A1F1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90</w:t>
            </w:r>
          </w:p>
        </w:tc>
        <w:tc>
          <w:tcPr>
            <w:tcW w:w="995" w:type="dxa"/>
            <w:tcBorders>
              <w:top w:val="nil"/>
              <w:left w:val="nil"/>
              <w:bottom w:val="single" w:sz="4" w:space="0" w:color="auto"/>
              <w:right w:val="single" w:sz="4" w:space="0" w:color="auto"/>
            </w:tcBorders>
            <w:vAlign w:val="center"/>
          </w:tcPr>
          <w:p w14:paraId="4D26D213"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5560941"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2/15/16-2/28/16</w:t>
            </w:r>
          </w:p>
        </w:tc>
        <w:tc>
          <w:tcPr>
            <w:tcW w:w="900" w:type="dxa"/>
            <w:tcBorders>
              <w:top w:val="nil"/>
              <w:left w:val="nil"/>
              <w:bottom w:val="single" w:sz="4" w:space="0" w:color="auto"/>
              <w:right w:val="single" w:sz="4" w:space="0" w:color="auto"/>
            </w:tcBorders>
            <w:shd w:val="clear" w:color="auto" w:fill="auto"/>
            <w:noWrap/>
            <w:vAlign w:val="center"/>
            <w:hideMark/>
          </w:tcPr>
          <w:p w14:paraId="30ADE119"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w:t>
            </w:r>
          </w:p>
        </w:tc>
        <w:tc>
          <w:tcPr>
            <w:tcW w:w="810" w:type="dxa"/>
            <w:tcBorders>
              <w:top w:val="nil"/>
              <w:left w:val="nil"/>
              <w:bottom w:val="single" w:sz="4" w:space="0" w:color="auto"/>
              <w:right w:val="single" w:sz="4" w:space="0" w:color="auto"/>
            </w:tcBorders>
            <w:shd w:val="clear" w:color="auto" w:fill="auto"/>
            <w:noWrap/>
            <w:vAlign w:val="center"/>
            <w:hideMark/>
          </w:tcPr>
          <w:p w14:paraId="19A157C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1.50</w:t>
            </w:r>
          </w:p>
        </w:tc>
        <w:tc>
          <w:tcPr>
            <w:tcW w:w="900" w:type="dxa"/>
            <w:tcBorders>
              <w:top w:val="nil"/>
              <w:left w:val="nil"/>
              <w:bottom w:val="single" w:sz="4" w:space="0" w:color="auto"/>
              <w:right w:val="single" w:sz="4" w:space="0" w:color="auto"/>
            </w:tcBorders>
            <w:shd w:val="clear" w:color="auto" w:fill="auto"/>
            <w:noWrap/>
            <w:vAlign w:val="center"/>
            <w:hideMark/>
          </w:tcPr>
          <w:p w14:paraId="5DB1ED2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90" w:type="dxa"/>
            <w:tcBorders>
              <w:top w:val="nil"/>
              <w:left w:val="nil"/>
              <w:bottom w:val="single" w:sz="4" w:space="0" w:color="auto"/>
              <w:right w:val="single" w:sz="4" w:space="0" w:color="auto"/>
            </w:tcBorders>
            <w:shd w:val="clear" w:color="auto" w:fill="auto"/>
            <w:noWrap/>
            <w:vAlign w:val="center"/>
            <w:hideMark/>
          </w:tcPr>
          <w:p w14:paraId="0DE49671"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56C1E48"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48.50</w:t>
            </w:r>
          </w:p>
        </w:tc>
        <w:tc>
          <w:tcPr>
            <w:tcW w:w="720" w:type="dxa"/>
            <w:tcBorders>
              <w:top w:val="nil"/>
              <w:left w:val="nil"/>
              <w:bottom w:val="single" w:sz="4" w:space="0" w:color="auto"/>
              <w:right w:val="single" w:sz="4" w:space="0" w:color="auto"/>
            </w:tcBorders>
            <w:shd w:val="clear" w:color="auto" w:fill="auto"/>
            <w:noWrap/>
            <w:vAlign w:val="center"/>
            <w:hideMark/>
          </w:tcPr>
          <w:p w14:paraId="6FD27098"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45.45</w:t>
            </w:r>
          </w:p>
        </w:tc>
        <w:tc>
          <w:tcPr>
            <w:tcW w:w="1080" w:type="dxa"/>
            <w:tcBorders>
              <w:top w:val="nil"/>
              <w:left w:val="nil"/>
              <w:bottom w:val="single" w:sz="4" w:space="0" w:color="auto"/>
              <w:right w:val="single" w:sz="4" w:space="0" w:color="auto"/>
            </w:tcBorders>
            <w:shd w:val="clear" w:color="auto" w:fill="auto"/>
            <w:noWrap/>
            <w:vAlign w:val="center"/>
            <w:hideMark/>
          </w:tcPr>
          <w:p w14:paraId="7736592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3.05</w:t>
            </w:r>
          </w:p>
        </w:tc>
      </w:tr>
      <w:tr w:rsidR="004C5B0C" w:rsidRPr="001569FB" w14:paraId="5D1F37E8" w14:textId="77777777" w:rsidTr="004C5B0C">
        <w:trPr>
          <w:cantSplit/>
          <w:trHeight w:val="288"/>
          <w:jc w:val="center"/>
        </w:trPr>
        <w:tc>
          <w:tcPr>
            <w:tcW w:w="715" w:type="dxa"/>
            <w:tcBorders>
              <w:top w:val="single" w:sz="4" w:space="0" w:color="auto"/>
            </w:tcBorders>
            <w:shd w:val="clear" w:color="auto" w:fill="auto"/>
            <w:noWrap/>
          </w:tcPr>
          <w:p w14:paraId="543AD0CA"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single" w:sz="4" w:space="0" w:color="auto"/>
            </w:tcBorders>
            <w:shd w:val="clear" w:color="auto" w:fill="auto"/>
            <w:noWrap/>
          </w:tcPr>
          <w:p w14:paraId="6F68A8A0"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single" w:sz="4" w:space="0" w:color="auto"/>
            </w:tcBorders>
            <w:shd w:val="clear" w:color="auto" w:fill="auto"/>
            <w:noWrap/>
          </w:tcPr>
          <w:p w14:paraId="1D19FAC3"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single" w:sz="4" w:space="0" w:color="auto"/>
            </w:tcBorders>
            <w:shd w:val="clear" w:color="auto" w:fill="auto"/>
            <w:noWrap/>
          </w:tcPr>
          <w:p w14:paraId="08B5CF6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single" w:sz="4" w:space="0" w:color="auto"/>
            </w:tcBorders>
            <w:shd w:val="clear" w:color="auto" w:fill="auto"/>
            <w:noWrap/>
          </w:tcPr>
          <w:p w14:paraId="41E25D9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single" w:sz="4" w:space="0" w:color="auto"/>
            </w:tcBorders>
            <w:shd w:val="clear" w:color="auto" w:fill="auto"/>
            <w:noWrap/>
          </w:tcPr>
          <w:p w14:paraId="242E168B"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single" w:sz="4" w:space="0" w:color="auto"/>
            </w:tcBorders>
          </w:tcPr>
          <w:p w14:paraId="1723A96A"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single" w:sz="4" w:space="0" w:color="auto"/>
            </w:tcBorders>
            <w:shd w:val="clear" w:color="auto" w:fill="auto"/>
            <w:noWrap/>
          </w:tcPr>
          <w:p w14:paraId="4E2715F5" w14:textId="77777777" w:rsidR="004C5B0C" w:rsidRPr="001569FB" w:rsidRDefault="004C5B0C" w:rsidP="004C5B0C">
            <w:pPr>
              <w:spacing w:line="240" w:lineRule="auto"/>
              <w:rPr>
                <w:rFonts w:ascii="Arial" w:eastAsia="Calibri" w:hAnsi="Arial" w:cs="Arial"/>
                <w:sz w:val="18"/>
                <w:szCs w:val="18"/>
              </w:rPr>
            </w:pPr>
          </w:p>
        </w:tc>
        <w:tc>
          <w:tcPr>
            <w:tcW w:w="900" w:type="dxa"/>
            <w:tcBorders>
              <w:top w:val="single" w:sz="4" w:space="0" w:color="auto"/>
            </w:tcBorders>
            <w:shd w:val="clear" w:color="auto" w:fill="auto"/>
            <w:noWrap/>
          </w:tcPr>
          <w:p w14:paraId="4C8238A9"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single" w:sz="4" w:space="0" w:color="auto"/>
            </w:tcBorders>
            <w:shd w:val="clear" w:color="auto" w:fill="auto"/>
            <w:noWrap/>
          </w:tcPr>
          <w:p w14:paraId="3AC4915F"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single" w:sz="4" w:space="0" w:color="auto"/>
              <w:right w:val="single" w:sz="4" w:space="0" w:color="auto"/>
            </w:tcBorders>
            <w:shd w:val="clear" w:color="auto" w:fill="auto"/>
            <w:noWrap/>
          </w:tcPr>
          <w:p w14:paraId="2209CB85" w14:textId="77777777" w:rsidR="004C5B0C" w:rsidRPr="001569FB" w:rsidRDefault="004C5B0C" w:rsidP="004C5B0C">
            <w:pPr>
              <w:spacing w:line="240" w:lineRule="auto"/>
              <w:jc w:val="center"/>
              <w:rPr>
                <w:rFonts w:ascii="Arial" w:eastAsia="Calibri" w:hAnsi="Arial" w:cs="Arial"/>
                <w:sz w:val="18"/>
                <w:szCs w:val="18"/>
              </w:rPr>
            </w:pPr>
          </w:p>
        </w:tc>
        <w:tc>
          <w:tcPr>
            <w:tcW w:w="990" w:type="dxa"/>
            <w:tcBorders>
              <w:top w:val="nil"/>
              <w:left w:val="nil"/>
              <w:bottom w:val="single" w:sz="4" w:space="0" w:color="auto"/>
              <w:right w:val="single" w:sz="4" w:space="0" w:color="auto"/>
            </w:tcBorders>
            <w:shd w:val="clear" w:color="auto" w:fill="auto"/>
            <w:noWrap/>
            <w:vAlign w:val="center"/>
          </w:tcPr>
          <w:p w14:paraId="6CD177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b/>
                <w:bCs/>
                <w:sz w:val="18"/>
                <w:szCs w:val="18"/>
              </w:rPr>
              <w:t>Totals</w:t>
            </w:r>
          </w:p>
        </w:tc>
        <w:tc>
          <w:tcPr>
            <w:tcW w:w="900" w:type="dxa"/>
            <w:tcBorders>
              <w:top w:val="nil"/>
              <w:left w:val="nil"/>
              <w:bottom w:val="single" w:sz="4" w:space="0" w:color="auto"/>
              <w:right w:val="single" w:sz="4" w:space="0" w:color="auto"/>
            </w:tcBorders>
            <w:shd w:val="clear" w:color="auto" w:fill="auto"/>
            <w:noWrap/>
            <w:vAlign w:val="center"/>
          </w:tcPr>
          <w:p w14:paraId="3AD9769F"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69.28</w:t>
            </w:r>
          </w:p>
        </w:tc>
        <w:tc>
          <w:tcPr>
            <w:tcW w:w="720" w:type="dxa"/>
            <w:tcBorders>
              <w:top w:val="nil"/>
              <w:left w:val="nil"/>
              <w:bottom w:val="single" w:sz="4" w:space="0" w:color="auto"/>
              <w:right w:val="single" w:sz="4" w:space="0" w:color="auto"/>
            </w:tcBorders>
            <w:shd w:val="clear" w:color="auto" w:fill="auto"/>
            <w:noWrap/>
            <w:vAlign w:val="center"/>
          </w:tcPr>
          <w:p w14:paraId="43A8829C"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32A77423"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5.78</w:t>
            </w:r>
          </w:p>
        </w:tc>
      </w:tr>
      <w:tr w:rsidR="004C5B0C" w:rsidRPr="001569FB" w14:paraId="6CA6F8E2" w14:textId="77777777" w:rsidTr="004C5B0C">
        <w:trPr>
          <w:cantSplit/>
          <w:trHeight w:val="288"/>
          <w:jc w:val="center"/>
        </w:trPr>
        <w:tc>
          <w:tcPr>
            <w:tcW w:w="715" w:type="dxa"/>
            <w:tcBorders>
              <w:top w:val="nil"/>
            </w:tcBorders>
            <w:shd w:val="clear" w:color="auto" w:fill="auto"/>
            <w:noWrap/>
          </w:tcPr>
          <w:p w14:paraId="11B0AD47"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41F44925"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53A6EDCD"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45FDB7C0"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7F1844"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73D2C889"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786415D2"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2A6026A"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25B7705B"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095E105B"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78A6167F"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6BA031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szCs w:val="18"/>
              </w:rPr>
              <w:t>Price Accuracy Index</w:t>
            </w: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79166ED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1.08343</w:t>
            </w:r>
          </w:p>
        </w:tc>
      </w:tr>
      <w:tr w:rsidR="004C5B0C" w:rsidRPr="001569FB" w14:paraId="425A30C2" w14:textId="77777777" w:rsidTr="004C5B0C">
        <w:trPr>
          <w:cantSplit/>
          <w:trHeight w:val="288"/>
          <w:jc w:val="center"/>
        </w:trPr>
        <w:tc>
          <w:tcPr>
            <w:tcW w:w="715" w:type="dxa"/>
            <w:tcBorders>
              <w:top w:val="nil"/>
            </w:tcBorders>
            <w:shd w:val="clear" w:color="auto" w:fill="auto"/>
            <w:noWrap/>
          </w:tcPr>
          <w:p w14:paraId="5CA6DAB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08220FAE"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1DC02E3A"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70BA1A65"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2E937ECB"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6B73ED03"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59587FEE"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330A068"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6B86928A"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24B0B364"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29DED587"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64B2597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Claim Percentage Index</w:t>
            </w:r>
          </w:p>
        </w:tc>
        <w:tc>
          <w:tcPr>
            <w:tcW w:w="1080" w:type="dxa"/>
            <w:tcBorders>
              <w:top w:val="nil"/>
              <w:left w:val="nil"/>
              <w:bottom w:val="single" w:sz="4" w:space="0" w:color="auto"/>
              <w:right w:val="single" w:sz="4" w:space="0" w:color="auto"/>
            </w:tcBorders>
            <w:shd w:val="clear" w:color="auto" w:fill="auto"/>
            <w:noWrap/>
            <w:vAlign w:val="center"/>
          </w:tcPr>
          <w:p w14:paraId="291FC1CA"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0.5</w:t>
            </w:r>
          </w:p>
        </w:tc>
      </w:tr>
      <w:tr w:rsidR="004C5B0C" w:rsidRPr="0031704E" w14:paraId="3B5A458A" w14:textId="77777777" w:rsidTr="004C5B0C">
        <w:trPr>
          <w:cantSplit/>
          <w:trHeight w:val="288"/>
          <w:jc w:val="center"/>
        </w:trPr>
        <w:tc>
          <w:tcPr>
            <w:tcW w:w="715" w:type="dxa"/>
            <w:tcBorders>
              <w:top w:val="nil"/>
            </w:tcBorders>
            <w:shd w:val="clear" w:color="auto" w:fill="auto"/>
            <w:noWrap/>
          </w:tcPr>
          <w:p w14:paraId="190D5C2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3095A15C"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775C01B0"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1FB9B0C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BF953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1DCD21EC"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619B2FA0"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197F059D"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39070E82"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5EC46D16"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3099D95B"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934554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PF Price Accuracy Score</w:t>
            </w:r>
          </w:p>
        </w:tc>
        <w:tc>
          <w:tcPr>
            <w:tcW w:w="1080" w:type="dxa"/>
            <w:tcBorders>
              <w:top w:val="nil"/>
              <w:left w:val="nil"/>
              <w:bottom w:val="single" w:sz="4" w:space="0" w:color="auto"/>
              <w:right w:val="single" w:sz="4" w:space="0" w:color="auto"/>
            </w:tcBorders>
            <w:shd w:val="clear" w:color="auto" w:fill="auto"/>
            <w:noWrap/>
            <w:vAlign w:val="center"/>
          </w:tcPr>
          <w:p w14:paraId="07B81069" w14:textId="77777777" w:rsidR="004C5B0C" w:rsidRPr="0031704E"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71</w:t>
            </w:r>
          </w:p>
        </w:tc>
      </w:tr>
      <w:bookmarkEnd w:id="616"/>
    </w:tbl>
    <w:p w14:paraId="7484A52B" w14:textId="77777777" w:rsidR="004C5B0C" w:rsidRPr="00E5152E" w:rsidRDefault="004C5B0C" w:rsidP="002707EC">
      <w:pPr>
        <w:spacing w:before="60" w:line="240" w:lineRule="auto"/>
        <w:rPr>
          <w:sz w:val="18"/>
          <w:szCs w:val="20"/>
        </w:rPr>
      </w:pPr>
    </w:p>
    <w:sectPr w:rsidR="004C5B0C" w:rsidRPr="00E5152E" w:rsidSect="004C5B0C">
      <w:headerReference w:type="default" r:id="rId77"/>
      <w:pgSz w:w="15840" w:h="12240" w:orient="landscape"/>
      <w:pgMar w:top="994" w:right="1440" w:bottom="1440" w:left="1440" w:header="7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B06D3" w14:textId="77777777" w:rsidR="006B65AC" w:rsidRDefault="006B65AC">
      <w:r>
        <w:separator/>
      </w:r>
    </w:p>
  </w:endnote>
  <w:endnote w:type="continuationSeparator" w:id="0">
    <w:p w14:paraId="1D635273" w14:textId="77777777" w:rsidR="006B65AC" w:rsidRDefault="006B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ヒラギノ角ゴ Pro W3">
    <w:altName w:val="MS Mincho"/>
    <w:charset w:val="80"/>
    <w:family w:val="auto"/>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KodchiangUPC">
    <w:panose1 w:val="02020603050405020304"/>
    <w:charset w:val="00"/>
    <w:family w:val="roman"/>
    <w:pitch w:val="variable"/>
    <w:sig w:usb0="01000007" w:usb1="00000002" w:usb2="00000000" w:usb3="00000000" w:csb0="00010001" w:csb1="00000000"/>
  </w:font>
  <w:font w:name="Times New Roman Bold">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PBII D+ Avenir LT Std">
    <w:altName w:val="Times New Roman"/>
    <w:charset w:val="00"/>
    <w:family w:val="auto"/>
    <w:pitch w:val="default"/>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56D6F" w14:textId="77777777" w:rsidR="009D4953" w:rsidRPr="00BF085B" w:rsidRDefault="009D4953" w:rsidP="00BF08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3C6B" w14:textId="77777777" w:rsidR="009D4953" w:rsidRDefault="009D4953" w:rsidP="004C5B0C">
    <w:pPr>
      <w:pStyle w:val="Footer"/>
      <w:spacing w:before="1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431067"/>
      <w:docPartObj>
        <w:docPartGallery w:val="Page Numbers (Top of Page)"/>
        <w:docPartUnique/>
      </w:docPartObj>
    </w:sdtPr>
    <w:sdtEndPr/>
    <w:sdtContent>
      <w:p w14:paraId="2A1B265D" w14:textId="77777777" w:rsidR="009D4953" w:rsidRPr="0099601F" w:rsidRDefault="006B65AC" w:rsidP="004C5B0C">
        <w:pPr>
          <w:spacing w:before="120" w:line="240" w:lineRule="auto"/>
          <w:rPr>
            <w:sz w:val="16"/>
            <w:szCs w:val="16"/>
          </w:rP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17305" w14:textId="77777777" w:rsidR="009D4953" w:rsidRDefault="009D4953" w:rsidP="004C5B0C">
    <w:pPr>
      <w:pStyle w:val="Footer"/>
      <w:spacing w:before="120"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377B7" w14:textId="77777777" w:rsidR="009D4953" w:rsidRPr="002964DB" w:rsidRDefault="009D4953" w:rsidP="004C5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16CAF" w14:textId="77777777" w:rsidR="006B65AC" w:rsidRDefault="006B65AC">
      <w:r>
        <w:separator/>
      </w:r>
    </w:p>
  </w:footnote>
  <w:footnote w:type="continuationSeparator" w:id="0">
    <w:p w14:paraId="3ACD7290" w14:textId="77777777" w:rsidR="006B65AC" w:rsidRDefault="006B65AC">
      <w:r>
        <w:continuationSeparator/>
      </w:r>
    </w:p>
  </w:footnote>
  <w:footnote w:id="1">
    <w:p w14:paraId="3319B113" w14:textId="77777777" w:rsidR="009D4953" w:rsidRDefault="009D4953" w:rsidP="00477E82">
      <w:pPr>
        <w:pStyle w:val="FootnoteText"/>
      </w:pPr>
      <w:r>
        <w:rPr>
          <w:rStyle w:val="FootnoteReference"/>
        </w:rPr>
        <w:footnoteRef/>
      </w:r>
      <w:r>
        <w:t xml:space="preserve"> </w:t>
      </w:r>
      <w:r w:rsidRPr="00FB3419">
        <w:rPr>
          <w:sz w:val="20"/>
          <w:szCs w:val="20"/>
        </w:rPr>
        <w:t>All regulatory cites are to Title 42 of the Code of Federal Regulations unless otherwise noted.</w:t>
      </w:r>
      <w:r>
        <w:rPr>
          <w:sz w:val="20"/>
          <w:szCs w:val="20"/>
        </w:rPr>
        <w:t xml:space="preserve"> </w:t>
      </w:r>
    </w:p>
  </w:footnote>
  <w:footnote w:id="2">
    <w:p w14:paraId="7BAAF5D9" w14:textId="16C24AD9" w:rsidR="009D4953" w:rsidRDefault="009D4953">
      <w:pPr>
        <w:pStyle w:val="FootnoteText"/>
      </w:pPr>
      <w:r>
        <w:rPr>
          <w:rStyle w:val="FootnoteReference"/>
        </w:rPr>
        <w:footnoteRef/>
      </w:r>
      <w:r>
        <w:t xml:space="preserve"> Information about the various innovation models is available in the Report to Congress, available at</w:t>
      </w:r>
      <w:r w:rsidRPr="00123139">
        <w:t xml:space="preserve">:  </w:t>
      </w:r>
      <w:hyperlink r:id="rId1" w:tooltip="Hyperlink to access the Center for Medicare &amp; Medicaid Innovation Report to Congress" w:history="1">
        <w:r w:rsidRPr="00B34BF8">
          <w:rPr>
            <w:rStyle w:val="Hyperlink"/>
          </w:rPr>
          <w:t>https://innovation.cms.gov/Files/reports/rtc-2016.pdf</w:t>
        </w:r>
      </w:hyperlink>
      <w:r w:rsidRPr="00A13001">
        <w:t>.</w:t>
      </w:r>
    </w:p>
  </w:footnote>
  <w:footnote w:id="3">
    <w:p w14:paraId="365BC0E9" w14:textId="032194BD" w:rsidR="009D4953" w:rsidRDefault="009D4953">
      <w:pPr>
        <w:pStyle w:val="FootnoteText"/>
      </w:pPr>
      <w:r>
        <w:rPr>
          <w:rStyle w:val="FootnoteReference"/>
        </w:rPr>
        <w:footnoteRef/>
      </w:r>
      <w:r>
        <w:t xml:space="preserve"> Territories will not be included in the weighted average B2B ratio, but will be assigned the weighted average of the quartile within which their counties fall.  To determine the CY 2019 applicable percentages, CMS ranks counties from highest to lowest based upon their 2018 average per capita FFS costs and places the rates into four quartiles.  When calculating the 2018 B2B ratios, CMS would group counties by the 2018 unblended quartiles and these B2B ratios would then be applied to the 2019 unblended quartiles.</w:t>
      </w:r>
    </w:p>
  </w:footnote>
  <w:footnote w:id="4">
    <w:p w14:paraId="650A28AC" w14:textId="7F89BAD0" w:rsidR="009D4953" w:rsidRDefault="009D4953">
      <w:pPr>
        <w:pStyle w:val="FootnoteText"/>
      </w:pPr>
      <w:r>
        <w:rPr>
          <w:rStyle w:val="FootnoteReference"/>
        </w:rPr>
        <w:footnoteRef/>
      </w:r>
      <w:r>
        <w:t xml:space="preserve"> </w:t>
      </w:r>
      <w:r w:rsidRPr="00533A89">
        <w:t xml:space="preserve"> “HMO” Health Maintenance Organization, “HMOPOS” Health Maintenance Organization Point of Service, “PPO” Preferred Provider Organization, “LPPO” Local Preferred Provider Organization  “RPPO” Regional Preferred Provider Organization.</w:t>
      </w:r>
    </w:p>
  </w:footnote>
  <w:footnote w:id="5">
    <w:p w14:paraId="1FF01B3F" w14:textId="574E924D" w:rsidR="009D4953" w:rsidRDefault="009D4953">
      <w:pPr>
        <w:pStyle w:val="FootnoteText"/>
      </w:pPr>
      <w:r>
        <w:rPr>
          <w:rStyle w:val="FootnoteReference"/>
        </w:rPr>
        <w:footnoteRef/>
      </w:r>
      <w:r>
        <w:t xml:space="preserve"> </w:t>
      </w:r>
      <w:r w:rsidRPr="00533A89">
        <w:t>These calculations will use the same exclusions and methods out</w:t>
      </w:r>
      <w:r>
        <w:t>lined in the footnote to the First step in the proposed methodology</w:t>
      </w:r>
      <w:r w:rsidRPr="00533A89">
        <w:t>, except “PFFS” Private Fee For Service individual market plans would be excluded from these calculations.</w:t>
      </w:r>
    </w:p>
  </w:footnote>
  <w:footnote w:id="6">
    <w:p w14:paraId="4915CDD9" w14:textId="65A15CD2" w:rsidR="009D4953" w:rsidRDefault="009D4953">
      <w:pPr>
        <w:pStyle w:val="FootnoteText"/>
      </w:pPr>
      <w:r>
        <w:rPr>
          <w:rStyle w:val="FootnoteReference"/>
        </w:rPr>
        <w:footnoteRef/>
      </w:r>
      <w:r>
        <w:t xml:space="preserve"> </w:t>
      </w:r>
      <w:r w:rsidRPr="00C778A9">
        <w:t>For purposes of this calculation, HMO and HMOPOS 2016 bids are combined for the HMO plan type portion of the weighting methodology, and LPPO, RPPO and PFFS 2016 bids are combined for the PPO plan type portion of the weighting methodology.</w:t>
      </w:r>
    </w:p>
  </w:footnote>
  <w:footnote w:id="7">
    <w:p w14:paraId="317C60A9" w14:textId="01C17E98" w:rsidR="009D4953" w:rsidRDefault="009D4953" w:rsidP="006E5268">
      <w:pPr>
        <w:pStyle w:val="FootnoteText"/>
      </w:pPr>
      <w:r>
        <w:rPr>
          <w:rStyle w:val="FootnoteReference"/>
        </w:rPr>
        <w:footnoteRef/>
      </w:r>
      <w:r>
        <w:t xml:space="preserve"> See </w:t>
      </w:r>
      <w:r>
        <w:rPr>
          <w:szCs w:val="24"/>
        </w:rPr>
        <w:t xml:space="preserve">the Social Security Act at </w:t>
      </w:r>
      <w:r w:rsidRPr="00C861D0">
        <w:rPr>
          <w:color w:val="222222"/>
          <w:shd w:val="clear" w:color="auto" w:fill="FFFFFF"/>
        </w:rPr>
        <w:t>§1853(a)(1)(C)(ii)(I)</w:t>
      </w:r>
      <w:r>
        <w:rPr>
          <w:color w:val="222222"/>
          <w:shd w:val="clear" w:color="auto" w:fill="FFFFFF"/>
        </w:rPr>
        <w:t>.</w:t>
      </w:r>
    </w:p>
  </w:footnote>
  <w:footnote w:id="8">
    <w:p w14:paraId="0B94FC27" w14:textId="77777777" w:rsidR="009D4953" w:rsidRDefault="009D4953">
      <w:pPr>
        <w:pStyle w:val="FootnoteText"/>
      </w:pPr>
      <w:r>
        <w:rPr>
          <w:rStyle w:val="FootnoteReference"/>
        </w:rPr>
        <w:footnoteRef/>
      </w:r>
      <w:r>
        <w:t xml:space="preserve"> According to section 1860D-2(b)(4)(B)(i)(IV), for years 2016 through 2019, the out-of-pocket threshold is updated from the previous year by the lesser of (a) the API or (b) two percentage points plus the annual percentage increase in the consumer price index.</w:t>
      </w:r>
    </w:p>
  </w:footnote>
  <w:footnote w:id="9">
    <w:p w14:paraId="6D9A25F4" w14:textId="77777777" w:rsidR="009D4953" w:rsidRDefault="009D4953">
      <w:pPr>
        <w:pStyle w:val="FootnoteText"/>
      </w:pPr>
      <w:r>
        <w:rPr>
          <w:rStyle w:val="FootnoteReference"/>
        </w:rPr>
        <w:footnoteRef/>
      </w:r>
      <w:r>
        <w:t xml:space="preserve"> The law authorized a coverage gap rebate payment of $250 to any Part D beneficiary who reached the initial coverage phase in 2010. The rebate was not required to be spent on drugs.</w:t>
      </w:r>
    </w:p>
  </w:footnote>
  <w:footnote w:id="10">
    <w:p w14:paraId="4DAEEDE9" w14:textId="77777777" w:rsidR="009D4953" w:rsidRPr="00CA6B88" w:rsidRDefault="009D4953">
      <w:pPr>
        <w:pStyle w:val="FootnoteText"/>
        <w:rPr>
          <w:szCs w:val="24"/>
        </w:rPr>
      </w:pPr>
      <w:r w:rsidRPr="00AF76D9">
        <w:rPr>
          <w:rStyle w:val="FootnoteReference"/>
        </w:rPr>
        <w:footnoteRef/>
      </w:r>
      <w:r w:rsidRPr="00AF76D9">
        <w:t xml:space="preserve"> </w:t>
      </w:r>
      <w:r>
        <w:t>Per</w:t>
      </w:r>
      <w:r w:rsidRPr="00AF76D9">
        <w:t xml:space="preserve"> </w:t>
      </w:r>
      <w:r>
        <w:t xml:space="preserve">section </w:t>
      </w:r>
      <w:r w:rsidRPr="00AF76D9">
        <w:t>1860D-14(a)(4)(B) of the Act</w:t>
      </w:r>
      <w:r w:rsidRPr="00CA6B88">
        <w:rPr>
          <w:szCs w:val="24"/>
        </w:rPr>
        <w:t xml:space="preserve">, the update for the deductible for partial low income subsidy eligible enrollees is applied to the unrounded 2018 value of </w:t>
      </w:r>
      <w:r w:rsidRPr="009719C4">
        <w:rPr>
          <w:szCs w:val="24"/>
        </w:rPr>
        <w:t>$8</w:t>
      </w:r>
      <w:r w:rsidRPr="00F938A9">
        <w:rPr>
          <w:szCs w:val="24"/>
        </w:rPr>
        <w:t>3.46</w:t>
      </w:r>
      <w:r w:rsidRPr="00CA6B88">
        <w:rPr>
          <w:szCs w:val="24"/>
        </w:rPr>
        <w:t>.</w:t>
      </w:r>
    </w:p>
  </w:footnote>
  <w:footnote w:id="11">
    <w:p w14:paraId="4AE9EF9E" w14:textId="77777777" w:rsidR="009D4953" w:rsidRDefault="009D4953">
      <w:pPr>
        <w:pStyle w:val="FootnoteText"/>
      </w:pPr>
      <w:r w:rsidRPr="00CA6B88">
        <w:rPr>
          <w:rStyle w:val="FootnoteReference"/>
          <w:szCs w:val="24"/>
        </w:rPr>
        <w:footnoteRef/>
      </w:r>
      <w:r w:rsidRPr="00CA6B88">
        <w:rPr>
          <w:szCs w:val="24"/>
        </w:rPr>
        <w:t xml:space="preserve"> Per section 1860D-14(a)(4)(A) of the Act, the </w:t>
      </w:r>
      <w:r w:rsidRPr="00CA6B88">
        <w:rPr>
          <w:rFonts w:cs="Arial"/>
          <w:szCs w:val="24"/>
        </w:rPr>
        <w:t>copayments are increased from the unrounded 2018 values of $</w:t>
      </w:r>
      <w:r w:rsidRPr="00F938A9">
        <w:rPr>
          <w:rFonts w:cs="Arial"/>
          <w:szCs w:val="24"/>
        </w:rPr>
        <w:t>1.24</w:t>
      </w:r>
      <w:r>
        <w:rPr>
          <w:rFonts w:cs="Arial"/>
          <w:szCs w:val="24"/>
        </w:rPr>
        <w:t xml:space="preserve"> </w:t>
      </w:r>
      <w:r w:rsidRPr="00CA6B88">
        <w:rPr>
          <w:rFonts w:cs="Arial"/>
          <w:szCs w:val="24"/>
        </w:rPr>
        <w:t>for multi-source generic or preferred drugs, and $</w:t>
      </w:r>
      <w:r w:rsidRPr="00F938A9">
        <w:rPr>
          <w:rFonts w:cs="Arial"/>
          <w:szCs w:val="24"/>
        </w:rPr>
        <w:t>3.73</w:t>
      </w:r>
      <w:r>
        <w:rPr>
          <w:rFonts w:cs="Arial"/>
          <w:szCs w:val="24"/>
        </w:rPr>
        <w:t xml:space="preserve"> </w:t>
      </w:r>
      <w:r w:rsidRPr="00CA6B88">
        <w:rPr>
          <w:rFonts w:cs="Arial"/>
          <w:szCs w:val="24"/>
        </w:rPr>
        <w:t>for all other</w:t>
      </w:r>
      <w:r w:rsidRPr="00AF76D9">
        <w:rPr>
          <w:rFonts w:cs="Arial"/>
        </w:rPr>
        <w:t xml:space="preserve"> drugs.</w:t>
      </w:r>
    </w:p>
  </w:footnote>
  <w:footnote w:id="12">
    <w:p w14:paraId="112A9E38" w14:textId="77777777" w:rsidR="009D4953" w:rsidRDefault="009D4953" w:rsidP="004C5B0C">
      <w:pPr>
        <w:pStyle w:val="Default"/>
        <w:ind w:left="360"/>
      </w:pPr>
      <w:r>
        <w:rPr>
          <w:rStyle w:val="FootnoteReference"/>
        </w:rPr>
        <w:footnoteRef/>
      </w:r>
      <w:r>
        <w:t xml:space="preserve"> </w:t>
      </w:r>
      <w:r w:rsidRPr="00C54EA3">
        <w:rPr>
          <w:rFonts w:ascii="Times New Roman" w:hAnsi="Times New Roman"/>
          <w:sz w:val="20"/>
          <w:szCs w:val="20"/>
        </w:rPr>
        <w:t xml:space="preserve">Please see the HPMS memo released on August 9, 2017, “First Plan Preview of 2018 Star Ratings Data” </w:t>
      </w:r>
      <w:hyperlink r:id="rId2" w:history="1">
        <w:r w:rsidRPr="00105DF0">
          <w:rPr>
            <w:rStyle w:val="Hyperlink"/>
            <w:rFonts w:ascii="Times New Roman" w:hAnsi="Times New Roman"/>
            <w:sz w:val="20"/>
            <w:szCs w:val="20"/>
          </w:rPr>
          <w:t>https://www.cms.gov/Medicare/Prescription-Drug-Coverage/PrescriptionDrugCovGenIn/Downloads/Preview-2018-Star-Ratings-Data.pdf</w:t>
        </w:r>
      </w:hyperlink>
    </w:p>
  </w:footnote>
  <w:footnote w:id="13">
    <w:p w14:paraId="2B049114" w14:textId="77777777" w:rsidR="009D4953" w:rsidRPr="00214143" w:rsidRDefault="009D4953" w:rsidP="004C5B0C">
      <w:pPr>
        <w:pStyle w:val="FootnoteText"/>
        <w:ind w:left="360"/>
        <w:rPr>
          <w:sz w:val="20"/>
          <w:szCs w:val="20"/>
        </w:rPr>
      </w:pPr>
      <w:r w:rsidRPr="00214143">
        <w:rPr>
          <w:rStyle w:val="FootnoteReference"/>
          <w:sz w:val="20"/>
          <w:szCs w:val="20"/>
        </w:rPr>
        <w:footnoteRef/>
      </w:r>
      <w:r w:rsidRPr="00214143">
        <w:rPr>
          <w:sz w:val="20"/>
          <w:szCs w:val="20"/>
        </w:rPr>
        <w:t xml:space="preserve"> Please refer to the CY2018 Advance Notice and CY2018 Rate Announcement for a summary of the history and comments received before the CY2018 Advance Notice proposal.</w:t>
      </w:r>
    </w:p>
  </w:footnote>
  <w:footnote w:id="14">
    <w:p w14:paraId="693E71B9" w14:textId="77777777" w:rsidR="009D4953" w:rsidRPr="00F32648" w:rsidRDefault="009D4953" w:rsidP="001569FB">
      <w:pPr>
        <w:keepLines/>
        <w:autoSpaceDE w:val="0"/>
        <w:autoSpaceDN w:val="0"/>
        <w:ind w:left="360"/>
        <w:rPr>
          <w:sz w:val="20"/>
          <w:szCs w:val="20"/>
        </w:rPr>
      </w:pPr>
      <w:r w:rsidRPr="00F32648">
        <w:rPr>
          <w:rStyle w:val="FootnoteReference"/>
          <w:sz w:val="20"/>
          <w:szCs w:val="20"/>
        </w:rPr>
        <w:footnoteRef/>
      </w:r>
      <w:r w:rsidRPr="00F32648">
        <w:rPr>
          <w:sz w:val="20"/>
          <w:szCs w:val="20"/>
        </w:rPr>
        <w:t xml:space="preserve"> This project was discussed in the November 28, 2016 HPMS memo, “</w:t>
      </w:r>
      <w:r w:rsidRPr="00F32648">
        <w:rPr>
          <w:spacing w:val="1"/>
          <w:sz w:val="20"/>
          <w:szCs w:val="20"/>
        </w:rPr>
        <w:t>Industry-wide Appeals Timeliness Monitoring”</w:t>
      </w:r>
      <w:r>
        <w:rPr>
          <w:spacing w:val="1"/>
          <w:sz w:val="20"/>
          <w:szCs w:val="20"/>
        </w:rPr>
        <w:t xml:space="preserve"> </w:t>
      </w:r>
      <w:r w:rsidRPr="0004001E">
        <w:rPr>
          <w:sz w:val="20"/>
          <w:szCs w:val="20"/>
        </w:rPr>
        <w:t>as well as the December 02, 2016 follow-up email.</w:t>
      </w:r>
      <w:r w:rsidRPr="00F32648">
        <w:rPr>
          <w:spacing w:val="1"/>
          <w:sz w:val="20"/>
          <w:szCs w:val="20"/>
        </w:rPr>
        <w:t xml:space="preserve"> </w:t>
      </w:r>
      <w:hyperlink r:id="rId3" w:history="1">
        <w:r w:rsidRPr="00F32648">
          <w:rPr>
            <w:rStyle w:val="Hyperlink"/>
            <w:sz w:val="20"/>
            <w:szCs w:val="20"/>
          </w:rPr>
          <w:t>https://www.cms.gov/Medicare/Prescription-Drug-Coverage/PrescriptionDrugCovGenIn/Downloads/Industry-wide-Timeliness-Monitoring.pdf</w:t>
        </w:r>
      </w:hyperlink>
      <w:r>
        <w:rPr>
          <w:rStyle w:val="Hyperlink"/>
          <w:sz w:val="20"/>
          <w:szCs w:val="20"/>
        </w:rPr>
        <w:t xml:space="preserve"> </w:t>
      </w:r>
      <w:r>
        <w:rPr>
          <w:rStyle w:val="Hyperlink"/>
          <w:sz w:val="20"/>
          <w:szCs w:val="20"/>
        </w:rPr>
        <w:br/>
      </w:r>
      <w:hyperlink r:id="rId4" w:history="1">
        <w:r w:rsidRPr="00F32648">
          <w:rPr>
            <w:rStyle w:val="Hyperlink"/>
            <w:sz w:val="20"/>
            <w:szCs w:val="20"/>
          </w:rPr>
          <w:t>https://www.cms.gov/Medicare/Prescription-Drug-Coverage/PrescriptionDrugCovGenIn/Downloads/Industry-wide-Appeals-Timeliness-Monitoring-Memo-November-28-2016.pdf</w:t>
        </w:r>
      </w:hyperlink>
      <w:r w:rsidRPr="00F32648">
        <w:rPr>
          <w:sz w:val="20"/>
          <w:szCs w:val="20"/>
        </w:rPr>
        <w:t xml:space="preserve">. </w:t>
      </w:r>
    </w:p>
  </w:footnote>
  <w:footnote w:id="15">
    <w:p w14:paraId="1B9DAEA9" w14:textId="77777777" w:rsidR="009D4953" w:rsidRPr="00224296" w:rsidRDefault="009D4953" w:rsidP="004C5B0C">
      <w:pPr>
        <w:pStyle w:val="FootnoteText"/>
        <w:ind w:left="360"/>
        <w:rPr>
          <w:sz w:val="20"/>
        </w:rPr>
      </w:pPr>
      <w:r w:rsidRPr="00F32648">
        <w:rPr>
          <w:rStyle w:val="FootnoteReference"/>
          <w:sz w:val="20"/>
          <w:szCs w:val="20"/>
        </w:rPr>
        <w:footnoteRef/>
      </w:r>
      <w:r w:rsidRPr="00F32648">
        <w:rPr>
          <w:sz w:val="20"/>
          <w:szCs w:val="20"/>
        </w:rPr>
        <w:t xml:space="preserve"> Contracts with a mean annual enrollment of less than 50,000 are required to submit data for a three-month time period.  Contracts with a mean enrollment of at least 50,000 but, at most 250,000 are required to submit data for a two-month time period.  Contracts with a mean enrollment greater than 250,000 are required to submit data for a one-month period.</w:t>
      </w:r>
    </w:p>
  </w:footnote>
  <w:footnote w:id="16">
    <w:p w14:paraId="0B4244D1" w14:textId="77777777" w:rsidR="009D4953" w:rsidRPr="00224296" w:rsidRDefault="009D4953" w:rsidP="004C5B0C">
      <w:pPr>
        <w:pStyle w:val="FootnoteText"/>
        <w:ind w:left="360"/>
        <w:rPr>
          <w:sz w:val="20"/>
          <w:szCs w:val="16"/>
        </w:rPr>
      </w:pPr>
      <w:r w:rsidRPr="00224296">
        <w:rPr>
          <w:rStyle w:val="FootnoteReference"/>
          <w:sz w:val="20"/>
        </w:rPr>
        <w:footnoteRef/>
      </w:r>
      <w:r w:rsidRPr="00224296">
        <w:rPr>
          <w:sz w:val="20"/>
          <w:szCs w:val="16"/>
        </w:rPr>
        <w:t xml:space="preserve"> NQF’s Final Report can be assessed using the following link: </w:t>
      </w:r>
      <w:hyperlink r:id="rId5" w:history="1">
        <w:r w:rsidRPr="00224296">
          <w:rPr>
            <w:rStyle w:val="Hyperlink"/>
            <w:sz w:val="20"/>
            <w:szCs w:val="16"/>
          </w:rPr>
          <w:t>http://www.qualityforum.org/Publications/2017/07/Social_Risk_Trial_Final_Report.aspx</w:t>
        </w:r>
      </w:hyperlink>
    </w:p>
  </w:footnote>
  <w:footnote w:id="17">
    <w:p w14:paraId="0856BAFB" w14:textId="77777777" w:rsidR="009D4953" w:rsidRDefault="009D4953" w:rsidP="004C5B0C">
      <w:pPr>
        <w:pStyle w:val="FootnoteText"/>
        <w:ind w:firstLine="360"/>
      </w:pPr>
      <w:r w:rsidRPr="00563383">
        <w:rPr>
          <w:rStyle w:val="FootnoteReference"/>
          <w:sz w:val="20"/>
          <w:szCs w:val="20"/>
        </w:rPr>
        <w:footnoteRef/>
      </w:r>
      <w:r>
        <w:rPr>
          <w:sz w:val="20"/>
          <w:szCs w:val="20"/>
        </w:rPr>
        <w:t xml:space="preserve"> The PQA summary can be accessed at: </w:t>
      </w:r>
      <w:hyperlink r:id="rId6" w:history="1">
        <w:r>
          <w:rPr>
            <w:rStyle w:val="Hyperlink"/>
            <w:sz w:val="20"/>
            <w:szCs w:val="20"/>
          </w:rPr>
          <w:t>SDS Risk Adjustment PQA PDC CMS Part D Stars</w:t>
        </w:r>
      </w:hyperlink>
    </w:p>
  </w:footnote>
  <w:footnote w:id="18">
    <w:p w14:paraId="024FD361" w14:textId="77777777" w:rsidR="009D4953" w:rsidRPr="00EB4B90" w:rsidRDefault="009D4953" w:rsidP="004C5B0C">
      <w:pPr>
        <w:pStyle w:val="FootnoteText"/>
        <w:ind w:left="360"/>
        <w:rPr>
          <w:sz w:val="20"/>
          <w:szCs w:val="20"/>
        </w:rPr>
      </w:pPr>
      <w:r w:rsidRPr="002318CF">
        <w:rPr>
          <w:rStyle w:val="FootnoteReference"/>
          <w:sz w:val="20"/>
          <w:szCs w:val="20"/>
        </w:rPr>
        <w:footnoteRef/>
      </w:r>
      <w:r w:rsidRPr="002318CF">
        <w:rPr>
          <w:sz w:val="20"/>
          <w:szCs w:val="20"/>
        </w:rPr>
        <w:t xml:space="preserve"> </w:t>
      </w:r>
      <w:r w:rsidRPr="00C54EA3">
        <w:rPr>
          <w:sz w:val="20"/>
          <w:szCs w:val="20"/>
        </w:rPr>
        <w:t xml:space="preserve">A summary of the </w:t>
      </w:r>
      <w:r>
        <w:rPr>
          <w:sz w:val="20"/>
          <w:szCs w:val="20"/>
        </w:rPr>
        <w:t xml:space="preserve">NCQA analysis </w:t>
      </w:r>
      <w:r w:rsidRPr="00C54EA3">
        <w:rPr>
          <w:sz w:val="20"/>
          <w:szCs w:val="20"/>
        </w:rPr>
        <w:t>and reco</w:t>
      </w:r>
      <w:r>
        <w:rPr>
          <w:sz w:val="20"/>
          <w:szCs w:val="20"/>
        </w:rPr>
        <w:t>m</w:t>
      </w:r>
      <w:r w:rsidRPr="00C54EA3">
        <w:rPr>
          <w:sz w:val="20"/>
          <w:szCs w:val="20"/>
        </w:rPr>
        <w:t>mendation</w:t>
      </w:r>
      <w:r>
        <w:rPr>
          <w:sz w:val="20"/>
          <w:szCs w:val="20"/>
        </w:rPr>
        <w:t>s</w:t>
      </w:r>
      <w:r w:rsidRPr="00C54EA3">
        <w:rPr>
          <w:sz w:val="20"/>
          <w:szCs w:val="20"/>
        </w:rPr>
        <w:t xml:space="preserve"> can be accessed using the</w:t>
      </w:r>
      <w:r>
        <w:rPr>
          <w:sz w:val="20"/>
          <w:szCs w:val="20"/>
        </w:rPr>
        <w:t xml:space="preserve"> </w:t>
      </w:r>
      <w:r w:rsidRPr="00C54EA3">
        <w:rPr>
          <w:sz w:val="20"/>
          <w:szCs w:val="20"/>
        </w:rPr>
        <w:t xml:space="preserve">link that follows: </w:t>
      </w:r>
      <w:hyperlink r:id="rId7" w:history="1">
        <w:r w:rsidRPr="00953552">
          <w:rPr>
            <w:rStyle w:val="Hyperlink"/>
            <w:sz w:val="20"/>
            <w:szCs w:val="20"/>
          </w:rPr>
          <w:t>http://www.ncqa.org/hedis-quality-measurement/research/hedis-and-the-impact-act</w:t>
        </w:r>
      </w:hyperlink>
    </w:p>
  </w:footnote>
  <w:footnote w:id="19">
    <w:p w14:paraId="4B6CD973" w14:textId="77777777" w:rsidR="009D4953" w:rsidRPr="00224296" w:rsidRDefault="009D4953" w:rsidP="004C5B0C">
      <w:pPr>
        <w:pStyle w:val="FootnoteText"/>
        <w:ind w:left="360"/>
        <w:rPr>
          <w:sz w:val="20"/>
        </w:rPr>
      </w:pPr>
      <w:r w:rsidRPr="00224296">
        <w:rPr>
          <w:rStyle w:val="FootnoteReference"/>
          <w:sz w:val="20"/>
        </w:rPr>
        <w:footnoteRef/>
      </w:r>
      <w:r w:rsidRPr="00224296">
        <w:rPr>
          <w:sz w:val="20"/>
          <w:szCs w:val="16"/>
        </w:rPr>
        <w:t xml:space="preserve"> ASPE’s first Report to Congress: Social Risk Factors and Performance under Medicare's Value-Based Purchasing Programs can be</w:t>
      </w:r>
      <w:r w:rsidRPr="00224296">
        <w:rPr>
          <w:sz w:val="20"/>
          <w:szCs w:val="18"/>
        </w:rPr>
        <w:t xml:space="preserve"> accessed using the link that follows: </w:t>
      </w:r>
      <w:hyperlink r:id="rId8" w:history="1">
        <w:r w:rsidRPr="00224296">
          <w:rPr>
            <w:color w:val="0000FF"/>
            <w:sz w:val="20"/>
            <w:szCs w:val="18"/>
            <w:u w:val="single"/>
          </w:rPr>
          <w:t>https://aspe.hhs.gov/pdf-report/report-congress-social-risk-factors-and-performance-</w:t>
        </w:r>
      </w:hyperlink>
      <w:r w:rsidRPr="00224296">
        <w:rPr>
          <w:color w:val="0000FF"/>
          <w:sz w:val="20"/>
          <w:szCs w:val="18"/>
          <w:u w:val="single"/>
        </w:rPr>
        <w:t xml:space="preserve"> </w:t>
      </w:r>
      <w:hyperlink r:id="rId9" w:history="1">
        <w:r w:rsidRPr="00224296">
          <w:rPr>
            <w:color w:val="0000FF"/>
            <w:sz w:val="20"/>
            <w:szCs w:val="18"/>
            <w:u w:val="single"/>
          </w:rPr>
          <w:t>under-medicares-value-based-purchasing-programs</w:t>
        </w:r>
        <w:r w:rsidRPr="00224296">
          <w:rPr>
            <w:color w:val="000000"/>
            <w:sz w:val="20"/>
            <w:szCs w:val="18"/>
            <w:u w:val="single"/>
          </w:rPr>
          <w:t>.</w:t>
        </w:r>
      </w:hyperlink>
    </w:p>
  </w:footnote>
  <w:footnote w:id="20">
    <w:p w14:paraId="29DEE6E0" w14:textId="77777777" w:rsidR="009D4953" w:rsidRPr="000F1452" w:rsidRDefault="009D4953" w:rsidP="004C5B0C">
      <w:pPr>
        <w:pStyle w:val="FootnoteText"/>
        <w:ind w:left="360"/>
        <w:contextualSpacing/>
        <w:rPr>
          <w:sz w:val="20"/>
          <w:szCs w:val="20"/>
        </w:rPr>
      </w:pPr>
      <w:r w:rsidRPr="000F1452">
        <w:rPr>
          <w:rStyle w:val="FootnoteReference"/>
          <w:sz w:val="20"/>
          <w:szCs w:val="20"/>
        </w:rPr>
        <w:footnoteRef/>
      </w:r>
      <w:r w:rsidRPr="000F1452">
        <w:rPr>
          <w:sz w:val="20"/>
          <w:szCs w:val="20"/>
        </w:rPr>
        <w:t xml:space="preserve"> The 18 clinical quality measures that comprised the subset of the Star Ratings measures examined for the 2019 CAI included: adult BMI assessment, annual flu vaccine, breast cancer screening, colorectal cancer screening, controlling blood pressure, diabetes care – blood sugar controlled, diabetes care – eye exam, diabetes care – kidney disease monitoring, improving bladder control, medication reconciliation post-discharge, MTM Program Completion Rate for CMR, osteoporosis management in women who had a fracture, plan all-cause readmissions, monitoring physical activity, rheumatoid arthritis management, medication adherence for diabetes medications, medication adherence for hypertension, medication adherence for cholesterol.</w:t>
      </w:r>
    </w:p>
  </w:footnote>
  <w:footnote w:id="21">
    <w:p w14:paraId="674BDE8A" w14:textId="77777777" w:rsidR="009D4953" w:rsidRPr="000F1452" w:rsidRDefault="009D4953" w:rsidP="004C5B0C">
      <w:pPr>
        <w:ind w:left="360"/>
        <w:contextualSpacing/>
        <w:rPr>
          <w:sz w:val="20"/>
          <w:szCs w:val="20"/>
        </w:rPr>
      </w:pPr>
      <w:r w:rsidRPr="000F1452">
        <w:rPr>
          <w:rStyle w:val="FootnoteReference"/>
          <w:sz w:val="20"/>
          <w:szCs w:val="20"/>
        </w:rPr>
        <w:footnoteRef/>
      </w:r>
      <w:r w:rsidRPr="000F1452">
        <w:rPr>
          <w:sz w:val="20"/>
          <w:szCs w:val="20"/>
        </w:rPr>
        <w:t xml:space="preserve"> Using the adjusted measure s</w:t>
      </w:r>
      <w:r>
        <w:rPr>
          <w:sz w:val="20"/>
          <w:szCs w:val="20"/>
        </w:rPr>
        <w:t>election</w:t>
      </w:r>
      <w:r w:rsidRPr="000F1452">
        <w:rPr>
          <w:sz w:val="20"/>
          <w:szCs w:val="20"/>
        </w:rPr>
        <w:t xml:space="preserve"> criteria, </w:t>
      </w:r>
      <w:r>
        <w:rPr>
          <w:sz w:val="20"/>
          <w:szCs w:val="20"/>
        </w:rPr>
        <w:t>p</w:t>
      </w:r>
      <w:r w:rsidRPr="000F1452">
        <w:rPr>
          <w:sz w:val="20"/>
          <w:szCs w:val="20"/>
        </w:rPr>
        <w:t xml:space="preserve">lan </w:t>
      </w:r>
      <w:r>
        <w:rPr>
          <w:sz w:val="20"/>
          <w:szCs w:val="20"/>
        </w:rPr>
        <w:t>a</w:t>
      </w:r>
      <w:r w:rsidRPr="000F1452">
        <w:rPr>
          <w:sz w:val="20"/>
          <w:szCs w:val="20"/>
        </w:rPr>
        <w:t>ll-</w:t>
      </w:r>
      <w:r>
        <w:rPr>
          <w:sz w:val="20"/>
          <w:szCs w:val="20"/>
        </w:rPr>
        <w:t>c</w:t>
      </w:r>
      <w:r w:rsidRPr="000F1452">
        <w:rPr>
          <w:sz w:val="20"/>
          <w:szCs w:val="20"/>
        </w:rPr>
        <w:t xml:space="preserve">ause </w:t>
      </w:r>
      <w:r>
        <w:rPr>
          <w:sz w:val="20"/>
          <w:szCs w:val="20"/>
        </w:rPr>
        <w:t>r</w:t>
      </w:r>
      <w:r w:rsidRPr="000F1452">
        <w:rPr>
          <w:sz w:val="20"/>
          <w:szCs w:val="20"/>
        </w:rPr>
        <w:t>eadmissions was selected for adju</w:t>
      </w:r>
      <w:r>
        <w:rPr>
          <w:sz w:val="20"/>
          <w:szCs w:val="20"/>
        </w:rPr>
        <w:t>s</w:t>
      </w:r>
      <w:r w:rsidRPr="000F1452">
        <w:rPr>
          <w:sz w:val="20"/>
          <w:szCs w:val="20"/>
        </w:rPr>
        <w:t xml:space="preserve">tment for the 2019 Star </w:t>
      </w:r>
      <w:r>
        <w:rPr>
          <w:sz w:val="20"/>
          <w:szCs w:val="20"/>
        </w:rPr>
        <w:t>R</w:t>
      </w:r>
      <w:r w:rsidRPr="000F1452">
        <w:rPr>
          <w:sz w:val="20"/>
          <w:szCs w:val="20"/>
        </w:rPr>
        <w:t xml:space="preserve">atings. </w:t>
      </w:r>
      <w:r w:rsidRPr="00C54EA3">
        <w:rPr>
          <w:iCs/>
          <w:sz w:val="20"/>
          <w:szCs w:val="20"/>
        </w:rPr>
        <w:t>The adjustment of the plan</w:t>
      </w:r>
      <w:r>
        <w:rPr>
          <w:iCs/>
          <w:sz w:val="20"/>
          <w:szCs w:val="20"/>
        </w:rPr>
        <w:t xml:space="preserve"> </w:t>
      </w:r>
      <w:r w:rsidRPr="00C54EA3">
        <w:rPr>
          <w:iCs/>
          <w:sz w:val="20"/>
          <w:szCs w:val="20"/>
        </w:rPr>
        <w:t>all-ca</w:t>
      </w:r>
      <w:r>
        <w:rPr>
          <w:iCs/>
          <w:sz w:val="20"/>
          <w:szCs w:val="20"/>
        </w:rPr>
        <w:t>u</w:t>
      </w:r>
      <w:r w:rsidRPr="00C54EA3">
        <w:rPr>
          <w:iCs/>
          <w:sz w:val="20"/>
          <w:szCs w:val="20"/>
        </w:rPr>
        <w:t xml:space="preserve">se readmissions measure scores for LIS/DE and disabled included </w:t>
      </w:r>
      <w:r w:rsidRPr="00045659">
        <w:rPr>
          <w:iCs/>
          <w:sz w:val="20"/>
          <w:szCs w:val="20"/>
        </w:rPr>
        <w:t>case</w:t>
      </w:r>
      <w:r>
        <w:rPr>
          <w:iCs/>
          <w:sz w:val="20"/>
          <w:szCs w:val="20"/>
        </w:rPr>
        <w:t>-</w:t>
      </w:r>
      <w:r w:rsidRPr="00045659">
        <w:rPr>
          <w:iCs/>
          <w:sz w:val="20"/>
          <w:szCs w:val="20"/>
        </w:rPr>
        <w:t xml:space="preserve">mix weights that are part of the HEDIS measure specification and </w:t>
      </w:r>
      <w:r w:rsidRPr="00C54EA3">
        <w:rPr>
          <w:iCs/>
          <w:sz w:val="20"/>
          <w:szCs w:val="20"/>
        </w:rPr>
        <w:t>weighted effects coding to account for the different numbers of LIS/DE and non-LIS/DE beneficiaries per contract as well as, the unequal numbers of disabled and non-disabled beneficiaries in the data.</w:t>
      </w:r>
      <w:r>
        <w:rPr>
          <w:iCs/>
          <w:sz w:val="20"/>
          <w:szCs w:val="20"/>
        </w:rPr>
        <w:t xml:space="preserve"> </w:t>
      </w:r>
    </w:p>
  </w:footnote>
  <w:footnote w:id="22">
    <w:p w14:paraId="64A532B1" w14:textId="77777777" w:rsidR="009D4953" w:rsidRPr="00224296" w:rsidRDefault="009D4953" w:rsidP="004C5B0C">
      <w:pPr>
        <w:pStyle w:val="FootnoteText"/>
        <w:ind w:left="547" w:hanging="187"/>
        <w:rPr>
          <w:sz w:val="20"/>
          <w:szCs w:val="20"/>
        </w:rPr>
      </w:pPr>
      <w:r w:rsidRPr="00224296">
        <w:rPr>
          <w:rStyle w:val="FootnoteReference"/>
          <w:sz w:val="20"/>
        </w:rPr>
        <w:footnoteRef/>
      </w:r>
      <w:r w:rsidRPr="00224296">
        <w:rPr>
          <w:sz w:val="20"/>
        </w:rPr>
        <w:t xml:space="preserve"> </w:t>
      </w:r>
      <w:r w:rsidRPr="00224296">
        <w:rPr>
          <w:sz w:val="20"/>
          <w:szCs w:val="20"/>
        </w:rPr>
        <w:t>The data to develop the model is limited to the 10 states, drawn from the 50 states plus the District of Columbia, with the highest proportion of people living below the FPL as identified by the 1</w:t>
      </w:r>
      <w:r w:rsidRPr="00224296">
        <w:rPr>
          <w:sz w:val="20"/>
          <w:szCs w:val="20"/>
        </w:rPr>
        <w:noBreakHyphen/>
        <w:t>year ACS estimates.</w:t>
      </w:r>
    </w:p>
  </w:footnote>
  <w:footnote w:id="23">
    <w:p w14:paraId="309692FC" w14:textId="77777777" w:rsidR="009D4953" w:rsidRPr="000F1452" w:rsidRDefault="009D4953" w:rsidP="004C5B0C">
      <w:pPr>
        <w:pStyle w:val="FootnoteText"/>
        <w:ind w:left="360"/>
        <w:rPr>
          <w:sz w:val="20"/>
          <w:szCs w:val="20"/>
        </w:rPr>
      </w:pPr>
      <w:r w:rsidRPr="000F1452">
        <w:rPr>
          <w:rStyle w:val="FootnoteReference"/>
          <w:sz w:val="20"/>
          <w:szCs w:val="20"/>
        </w:rPr>
        <w:footnoteRef/>
      </w:r>
      <w:r w:rsidRPr="000F1452">
        <w:rPr>
          <w:sz w:val="20"/>
          <w:szCs w:val="20"/>
        </w:rPr>
        <w:t xml:space="preserve"> See </w:t>
      </w:r>
      <w:hyperlink r:id="rId10" w:history="1">
        <w:r w:rsidRPr="00105DF0">
          <w:rPr>
            <w:rStyle w:val="Hyperlink"/>
            <w:sz w:val="20"/>
            <w:szCs w:val="20"/>
          </w:rPr>
          <w:t>https://www.cdc.gov/drugoverdose/prescribing/guideline.html</w:t>
        </w:r>
      </w:hyperlink>
      <w:r w:rsidRPr="000F1452">
        <w:rPr>
          <w:sz w:val="20"/>
          <w:szCs w:val="20"/>
        </w:rPr>
        <w:t>.</w:t>
      </w:r>
    </w:p>
  </w:footnote>
  <w:footnote w:id="24">
    <w:p w14:paraId="1B91897E"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The days of concurrent use is the sum of the number of days with overlapping days supply of the target medications. Concurrent use is defined as overlapping days for 30 or more (cumulative) days for both polypharmacy measures. </w:t>
      </w:r>
    </w:p>
  </w:footnote>
  <w:footnote w:id="25">
    <w:p w14:paraId="3954663D"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Concurrent use is defined as an overlapping supply for an opioid and a benzodiazepine for 30 or more cumulative days.</w:t>
      </w:r>
      <w:r w:rsidRPr="00224296">
        <w:rPr>
          <w:sz w:val="20"/>
        </w:rPr>
        <w:t xml:space="preserve"> </w:t>
      </w:r>
    </w:p>
  </w:footnote>
  <w:footnote w:id="26">
    <w:p w14:paraId="75E3063A" w14:textId="77777777" w:rsidR="009D4953" w:rsidRDefault="009D4953" w:rsidP="004C5B0C">
      <w:pPr>
        <w:pStyle w:val="FootnoteText"/>
        <w:ind w:left="360"/>
      </w:pPr>
      <w:r>
        <w:rPr>
          <w:rStyle w:val="FootnoteReference"/>
        </w:rPr>
        <w:footnoteRef/>
      </w:r>
      <w:r>
        <w:t xml:space="preserve"> </w:t>
      </w:r>
      <w:r w:rsidRPr="002014D7">
        <w:rPr>
          <w:sz w:val="20"/>
          <w:szCs w:val="20"/>
        </w:rPr>
        <w:t xml:space="preserve">Guidance for CY 2017 was issued in the April 15, 2016 HPMS memo, “Summary of Benefits Guidance for Contract Year 2017.”  Guidance for CY 2018 was included in Appendix 4 of the Medicare Marketing Guidelines, issued July 20, 2017.  </w:t>
      </w:r>
    </w:p>
  </w:footnote>
  <w:footnote w:id="27">
    <w:p w14:paraId="2172D7A2" w14:textId="77777777" w:rsidR="009D4953" w:rsidRPr="00224296" w:rsidRDefault="009D4953" w:rsidP="004C5B0C">
      <w:pPr>
        <w:pStyle w:val="FootnoteText"/>
        <w:ind w:left="360"/>
        <w:rPr>
          <w:sz w:val="20"/>
          <w:szCs w:val="20"/>
        </w:rPr>
      </w:pPr>
      <w:r w:rsidRPr="00224296">
        <w:rPr>
          <w:rStyle w:val="FootnoteReference"/>
          <w:sz w:val="20"/>
          <w:szCs w:val="20"/>
        </w:rPr>
        <w:footnoteRef/>
      </w:r>
      <w:r w:rsidRPr="00224296">
        <w:rPr>
          <w:sz w:val="20"/>
          <w:szCs w:val="20"/>
        </w:rPr>
        <w:t xml:space="preserve"> See Calendar Year (CY) 2017 Medicare Advantage Capitation Rates and Medicare Advantage and Part D Payment Policies and Final Call Letter; Medicare Managed Care Manual, Ch. 4, Section 10.5.2. </w:t>
      </w:r>
    </w:p>
  </w:footnote>
  <w:footnote w:id="28">
    <w:p w14:paraId="4DC71F5E" w14:textId="77777777" w:rsidR="009D4953" w:rsidRPr="00224296" w:rsidRDefault="009D4953" w:rsidP="004C5B0C">
      <w:pPr>
        <w:pStyle w:val="FootnoteText"/>
        <w:ind w:left="360"/>
        <w:rPr>
          <w:sz w:val="20"/>
        </w:rPr>
      </w:pPr>
      <w:r w:rsidRPr="00224296">
        <w:rPr>
          <w:rStyle w:val="FootnoteReference"/>
          <w:sz w:val="20"/>
          <w:szCs w:val="20"/>
        </w:rPr>
        <w:footnoteRef/>
      </w:r>
      <w:r w:rsidRPr="00224296">
        <w:rPr>
          <w:sz w:val="20"/>
          <w:szCs w:val="20"/>
        </w:rPr>
        <w:t xml:space="preserve"> See HPMS memo, “Qualified Medicare Beneficiary Program Enrollee Status Resources” June 21, 2017.</w:t>
      </w:r>
      <w:r w:rsidRPr="00224296">
        <w:rPr>
          <w:sz w:val="20"/>
        </w:rPr>
        <w:t xml:space="preserve"> </w:t>
      </w:r>
    </w:p>
  </w:footnote>
  <w:footnote w:id="29">
    <w:p w14:paraId="6B0B37DB"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w:t>
      </w:r>
      <w:r w:rsidRPr="00224296">
        <w:rPr>
          <w:color w:val="333333"/>
          <w:sz w:val="20"/>
          <w:szCs w:val="18"/>
        </w:rPr>
        <w:t xml:space="preserve">Williams WW, Lu P, O’Halloran A, et al. Surveillance of Vaccination Coverage among Adult Populations — United States, 2015. MMWR Surveill Summ 2017;66(No. SS-11):1–28. DOI: </w:t>
      </w:r>
      <w:hyperlink r:id="rId11" w:tgtFrame="_self" w:history="1">
        <w:r w:rsidRPr="00543A7E">
          <w:rPr>
            <w:color w:val="0000FF"/>
            <w:sz w:val="20"/>
            <w:szCs w:val="18"/>
            <w:u w:val="single"/>
          </w:rPr>
          <w:t>http://dx.doi.org/10.15585/mmwr.ss6611a1</w:t>
        </w:r>
      </w:hyperlink>
    </w:p>
  </w:footnote>
  <w:footnote w:id="30">
    <w:p w14:paraId="286ABD2D" w14:textId="77777777" w:rsidR="009D4953" w:rsidRPr="000F1452" w:rsidRDefault="009D4953" w:rsidP="004C5B0C">
      <w:pPr>
        <w:pStyle w:val="FootnoteText"/>
        <w:ind w:left="360"/>
        <w:rPr>
          <w:sz w:val="20"/>
          <w:szCs w:val="20"/>
        </w:rPr>
      </w:pPr>
      <w:r w:rsidRPr="000F1452">
        <w:rPr>
          <w:rStyle w:val="FootnoteReference"/>
          <w:sz w:val="20"/>
          <w:szCs w:val="20"/>
        </w:rPr>
        <w:footnoteRef/>
      </w:r>
      <w:r w:rsidRPr="000F1452">
        <w:rPr>
          <w:sz w:val="20"/>
          <w:szCs w:val="20"/>
        </w:rPr>
        <w:t xml:space="preserve"> An excerpt from the Final 2013 Call Letter, the supplemental guidance and additional information about the OMS are available on the CMS webpage, Improving Drug Utilization Controls in Part D (</w:t>
      </w:r>
      <w:hyperlink r:id="rId12" w:history="1">
        <w:r w:rsidRPr="00DD0D81">
          <w:rPr>
            <w:rStyle w:val="Hyperlink"/>
            <w:sz w:val="20"/>
            <w:szCs w:val="20"/>
          </w:rPr>
          <w:t>https://www.cms.gov/Medicare/Prescription-Drug-Coverage/PrescriptionDrugCovContra/RxUtilization.html</w:t>
        </w:r>
      </w:hyperlink>
      <w:r w:rsidRPr="000F1452">
        <w:rPr>
          <w:sz w:val="20"/>
          <w:szCs w:val="20"/>
        </w:rPr>
        <w:t xml:space="preserve">).  </w:t>
      </w:r>
    </w:p>
  </w:footnote>
  <w:footnote w:id="31">
    <w:p w14:paraId="21E8417D" w14:textId="77777777" w:rsidR="009D4953" w:rsidRPr="00FD6414" w:rsidRDefault="009D4953" w:rsidP="004C5B0C">
      <w:pPr>
        <w:pStyle w:val="FootnoteText"/>
        <w:ind w:left="360"/>
        <w:rPr>
          <w:sz w:val="20"/>
          <w:szCs w:val="20"/>
        </w:rPr>
      </w:pPr>
      <w:r w:rsidRPr="00FD6414">
        <w:rPr>
          <w:rStyle w:val="FootnoteReference"/>
          <w:sz w:val="20"/>
          <w:szCs w:val="20"/>
        </w:rPr>
        <w:footnoteRef/>
      </w:r>
      <w:r w:rsidRPr="00FD6414">
        <w:rPr>
          <w:sz w:val="20"/>
          <w:szCs w:val="20"/>
        </w:rPr>
        <w:t xml:space="preserve"> See https://www.cdc.gov/drugoverdose/prescribing/guideline.html.</w:t>
      </w:r>
    </w:p>
  </w:footnote>
  <w:footnote w:id="32">
    <w:p w14:paraId="66251F97" w14:textId="77777777" w:rsidR="009D4953" w:rsidRPr="0064431E" w:rsidRDefault="009D4953" w:rsidP="004C5B0C">
      <w:pPr>
        <w:autoSpaceDE w:val="0"/>
        <w:autoSpaceDN w:val="0"/>
        <w:ind w:left="360"/>
        <w:rPr>
          <w:sz w:val="20"/>
          <w:szCs w:val="20"/>
        </w:rPr>
      </w:pPr>
      <w:r w:rsidRPr="00FD6414">
        <w:rPr>
          <w:rStyle w:val="FootnoteReference"/>
          <w:sz w:val="20"/>
          <w:szCs w:val="20"/>
        </w:rPr>
        <w:footnoteRef/>
      </w:r>
      <w:r w:rsidRPr="00FD6414">
        <w:rPr>
          <w:sz w:val="20"/>
          <w:szCs w:val="20"/>
        </w:rPr>
        <w:t xml:space="preserve"> </w:t>
      </w:r>
      <w:r w:rsidRPr="00FD6414">
        <w:rPr>
          <w:color w:val="000000"/>
          <w:sz w:val="20"/>
          <w:szCs w:val="20"/>
        </w:rPr>
        <w:t xml:space="preserve">See </w:t>
      </w:r>
      <w:r>
        <w:rPr>
          <w:sz w:val="20"/>
          <w:szCs w:val="20"/>
        </w:rPr>
        <w:t xml:space="preserve">White House website </w:t>
      </w:r>
      <w:hyperlink r:id="rId13" w:history="1">
        <w:r>
          <w:rPr>
            <w:rStyle w:val="Hyperlink"/>
            <w:sz w:val="20"/>
            <w:szCs w:val="20"/>
          </w:rPr>
          <w:t>https://www.whitehouse.gov/presidential-actions/presidential-memorandum-heads-executive-departments-agencies/</w:t>
        </w:r>
      </w:hyperlink>
      <w:r>
        <w:rPr>
          <w:sz w:val="20"/>
          <w:szCs w:val="20"/>
        </w:rPr>
        <w:t xml:space="preserve"> and </w:t>
      </w:r>
      <w:hyperlink r:id="rId14" w:history="1">
        <w:r>
          <w:rPr>
            <w:rStyle w:val="Hyperlink"/>
            <w:sz w:val="20"/>
            <w:szCs w:val="20"/>
          </w:rPr>
          <w:t>https://www.whitehouse.gov/briefings-statements/president-donald-j-trump-taking-action-drug-addiction-opioid-crisis/</w:t>
        </w:r>
      </w:hyperlink>
      <w:r>
        <w:rPr>
          <w:sz w:val="20"/>
          <w:szCs w:val="20"/>
        </w:rPr>
        <w:t xml:space="preserve">; and HHS website </w:t>
      </w:r>
      <w:hyperlink r:id="rId15" w:history="1">
        <w:r>
          <w:rPr>
            <w:rStyle w:val="Hyperlink"/>
            <w:sz w:val="20"/>
            <w:szCs w:val="20"/>
          </w:rPr>
          <w:t>https://www.hhs.gov/about/news/‌2017/10/26/‌hhs-acting-secretary-declares-public-health-emergency-address-national-opioid-crisis.html</w:t>
        </w:r>
      </w:hyperlink>
      <w:r>
        <w:rPr>
          <w:sz w:val="20"/>
          <w:szCs w:val="20"/>
        </w:rPr>
        <w:t>.</w:t>
      </w:r>
    </w:p>
  </w:footnote>
  <w:footnote w:id="33">
    <w:p w14:paraId="3939D320" w14:textId="77777777" w:rsidR="009D4953" w:rsidRDefault="009D4953" w:rsidP="004C5B0C">
      <w:pPr>
        <w:pStyle w:val="FootnoteText"/>
        <w:ind w:left="360"/>
      </w:pPr>
      <w:r w:rsidRPr="00FD6414">
        <w:rPr>
          <w:rStyle w:val="FootnoteReference"/>
          <w:sz w:val="20"/>
          <w:szCs w:val="20"/>
        </w:rPr>
        <w:footnoteRef/>
      </w:r>
      <w:r w:rsidRPr="00FD6414">
        <w:rPr>
          <w:sz w:val="20"/>
          <w:szCs w:val="20"/>
        </w:rPr>
        <w:t xml:space="preserve"> Please note that CMS will use the term “MME” going forward instead of morphine equivalent dose (MED), which CMS has used to date. CMS used the term MED in a manner that was equivalent to MME. We will update CMS documents that currently refer to MED as soon as practicable.</w:t>
      </w:r>
    </w:p>
  </w:footnote>
  <w:footnote w:id="34">
    <w:p w14:paraId="7A65425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A drug potentiator is defined as a chemical, herb, or other drug that is used to increase the effects of a substance and consequently, increasing both the substance and the potentiators abuse potential.</w:t>
      </w:r>
    </w:p>
  </w:footnote>
  <w:footnote w:id="35">
    <w:p w14:paraId="19AF345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Gomes T, Juurlink DN, Antoniou T, Mamdani MM, Paterson JM, van den Brink W. “Gabapentin, opioids, and the risk of opioid-related death: A population-based nested case–control study.” PLoS Med 14(10): e1002396.</w:t>
      </w:r>
    </w:p>
  </w:footnote>
  <w:footnote w:id="36">
    <w:p w14:paraId="71789A24"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Evoy KE, Morrison MD, Saklad SR. Abuse and misuse of pregabalin and gabapentin. Drugs 2017;77:403-26.</w:t>
      </w:r>
    </w:p>
  </w:footnote>
  <w:footnote w:id="37">
    <w:p w14:paraId="3ABE466C"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Mack, A. “Examination of the Evidence for Off-Label Use of Gabapentin” J Manag Care Spec Pharm, 2003 Nov;9(6):559-568.</w:t>
      </w:r>
    </w:p>
  </w:footnote>
  <w:footnote w:id="38">
    <w:p w14:paraId="30A07414"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Fukada, Christine et al. “Prescribing Gabapentin off Label: Perspectives from Psychiatry, Pain and Neurology Specialists.” Canadian Pharmacists Journal : CPJ 145.6 (2012): 280–284.e1. PMC. Web. 17 Nov. 2017.</w:t>
      </w:r>
    </w:p>
  </w:footnote>
  <w:footnote w:id="39">
    <w:p w14:paraId="1691EAC0"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Shanthanna, Harsha et al. “Benefits and Safety of Gabapentinoids in Chronic Low Back Pain: A Systematic Review and Meta-Analysis of Randomized Controlled Trials.” Ed. Alexander C. Tsai. PLoS Medicine 14.8 (2017): e1002369. PMC. Web. 3 Nov. 2017.</w:t>
      </w:r>
    </w:p>
  </w:footnote>
  <w:footnote w:id="40">
    <w:p w14:paraId="76E7862A" w14:textId="77777777" w:rsidR="009D4953" w:rsidRPr="00DF2280" w:rsidRDefault="009D4953" w:rsidP="004C5B0C">
      <w:pPr>
        <w:pStyle w:val="FootnoteText"/>
        <w:ind w:left="360"/>
        <w:rPr>
          <w:sz w:val="18"/>
          <w:szCs w:val="18"/>
        </w:rPr>
      </w:pPr>
      <w:r w:rsidRPr="005870E5">
        <w:rPr>
          <w:rStyle w:val="FootnoteReference"/>
          <w:sz w:val="20"/>
          <w:szCs w:val="20"/>
        </w:rPr>
        <w:footnoteRef/>
      </w:r>
      <w:r w:rsidRPr="005870E5">
        <w:rPr>
          <w:sz w:val="20"/>
          <w:szCs w:val="20"/>
        </w:rPr>
        <w:t xml:space="preserve"> Goodman, CW, Brett, AS. “Gabapentin and Pregabalin for Pain — Is Increased Prescribing a Cause for Concern?” DOI: 10.1056/NEJMp1704633.</w:t>
      </w:r>
    </w:p>
  </w:footnote>
  <w:footnote w:id="41">
    <w:p w14:paraId="2B12DED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users are beneficiaries with at least one opioid claim; chronic opioid users are beneficiaries with an opioid episode of 90 days or more.</w:t>
      </w:r>
    </w:p>
  </w:footnote>
  <w:footnote w:id="42">
    <w:p w14:paraId="0DFC8374" w14:textId="77777777" w:rsidR="009D4953" w:rsidRDefault="009D4953" w:rsidP="004C5B0C">
      <w:pPr>
        <w:pStyle w:val="FootnoteText"/>
        <w:ind w:left="360"/>
      </w:pPr>
      <w:r w:rsidRPr="005870E5">
        <w:rPr>
          <w:rStyle w:val="FootnoteReference"/>
          <w:sz w:val="20"/>
          <w:szCs w:val="20"/>
        </w:rPr>
        <w:footnoteRef/>
      </w:r>
      <w:r w:rsidRPr="005870E5">
        <w:rPr>
          <w:sz w:val="20"/>
          <w:szCs w:val="20"/>
        </w:rPr>
        <w:t xml:space="preserve"> Based on analysis using the revised 2018 OMS criteria (e.g., beneficiaries with average MME &gt; = 90 mg, 4 or more prescribers and pharmacies, or 6 or more prescribers).</w:t>
      </w:r>
    </w:p>
  </w:footnote>
  <w:footnote w:id="43">
    <w:p w14:paraId="2B4BB157"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HPMS memo, July 7, 2017, Additional Guidance on CY 2017 Formulary-Level Cumulative Morphine Equivalent Dose (MED) Opioid Point-of-Sale (POS) Edit. </w:t>
      </w:r>
    </w:p>
  </w:footnote>
  <w:footnote w:id="44">
    <w:p w14:paraId="11DF12ED" w14:textId="77777777" w:rsidR="009D4953" w:rsidRDefault="009D4953" w:rsidP="004C5B0C">
      <w:pPr>
        <w:pStyle w:val="FootnoteText"/>
        <w:keepLines/>
        <w:ind w:left="360"/>
      </w:pPr>
      <w:r>
        <w:rPr>
          <w:rStyle w:val="FootnoteReference"/>
        </w:rPr>
        <w:footnoteRef/>
      </w:r>
      <w:r>
        <w:t xml:space="preserve"> </w:t>
      </w:r>
      <w:r w:rsidRPr="00116938">
        <w:rPr>
          <w:sz w:val="20"/>
          <w:szCs w:val="20"/>
        </w:rPr>
        <w:t>Prescription opioids are controlled substances under the Controlled Substances Act (CSA) and are assigned to Schedule II through V. Schedules are assigned based on the abuse potential and the severity of the psychological or physical dependence of the prescription opioid. A complete list of the schedules is published annually in Title 21 Code of Federal Regulations (C.F.R.) §§ 1308.11 through 1308.15. Schedule II opioids require a new prescription for each fill while prescriptions for schedule III through V do not and therefore, can include refills.</w:t>
      </w:r>
      <w:r>
        <w:rPr>
          <w:sz w:val="20"/>
          <w:szCs w:val="20"/>
        </w:rPr>
        <w:t xml:space="preserve"> </w:t>
      </w:r>
    </w:p>
  </w:footnote>
  <w:footnote w:id="45">
    <w:p w14:paraId="35E5CA0B" w14:textId="77777777" w:rsidR="009D4953" w:rsidRDefault="009D4953" w:rsidP="004C5B0C">
      <w:pPr>
        <w:pStyle w:val="FootnoteText"/>
        <w:ind w:left="360"/>
      </w:pPr>
      <w:r>
        <w:rPr>
          <w:rStyle w:val="FootnoteReference"/>
        </w:rPr>
        <w:footnoteRef/>
      </w:r>
      <w:r>
        <w:t xml:space="preserve"> </w:t>
      </w:r>
      <w:r w:rsidRPr="009336BD">
        <w:rPr>
          <w:sz w:val="20"/>
          <w:szCs w:val="20"/>
        </w:rPr>
        <w:t xml:space="preserve">All formulations of buprenorphine, including those for pain, have been removed from the most recent CDC MME conversion factor file. https://www.cdc.gov/drugoverdose/data-files/CDC_Oral_Morphine_Milligram_Equivalents_Sept_2017.xlsx </w:t>
      </w:r>
      <w:r w:rsidRPr="00FD6414">
        <w:t xml:space="preserve"> </w:t>
      </w:r>
    </w:p>
  </w:footnote>
  <w:footnote w:id="46">
    <w:p w14:paraId="4B84C776" w14:textId="77777777" w:rsidR="009D4953" w:rsidRDefault="009D4953" w:rsidP="004C5B0C">
      <w:pPr>
        <w:pStyle w:val="FootnoteText"/>
        <w:ind w:left="360"/>
      </w:pPr>
      <w:r w:rsidRPr="005870E5">
        <w:rPr>
          <w:rStyle w:val="FootnoteReference"/>
          <w:sz w:val="20"/>
          <w:szCs w:val="20"/>
        </w:rPr>
        <w:footnoteRef/>
      </w:r>
      <w:r w:rsidRPr="005870E5">
        <w:rPr>
          <w:sz w:val="20"/>
          <w:szCs w:val="20"/>
        </w:rPr>
        <w:t xml:space="preserve"> The estimate is based on the MME daily dose calculated per opioid prescription. The daily dose is assigned to the prescription’s covered days and calculated from the dispensing date and the days supply, and summed per day across all overlapping opioid fills. Methodology differs from the OMS average MME calculated from all opioid prescriptions dispensed during the measurement period.</w:t>
      </w:r>
    </w:p>
  </w:footnote>
  <w:footnote w:id="47">
    <w:p w14:paraId="3FE4CDF0"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See Part D reporting requirements: https://www.cms.gov/Medicare/Prescription-Drug-Coverage/PrescriptionDrugCovContra/RxContracting_ReportingOversight.html</w:t>
      </w:r>
    </w:p>
  </w:footnote>
  <w:footnote w:id="48">
    <w:p w14:paraId="47BD4262"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Centers for Disease Control and Prevention (CDC).  Adult use of prescription opioid pain medications—Utah, 2008.  MMWR Morb Mortal Wkly Rep. 2010;59(6):153-157.</w:t>
      </w:r>
    </w:p>
  </w:footnote>
  <w:footnote w:id="49">
    <w:p w14:paraId="42A88D6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Bateman, BT, Choudhry, NK. Limiting the Duration of Opioid Prescriptions: Balancing Excessive Prescribing and the Effective Treatment of Pain. JAMA Intern Med. 2016;176(5):583-584. doi:10.1001/jamainternmed.2016.0544</w:t>
      </w:r>
    </w:p>
  </w:footnote>
  <w:footnote w:id="50">
    <w:p w14:paraId="5745A685"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6" w:history="1">
        <w:r w:rsidRPr="00DD0D81">
          <w:rPr>
            <w:rStyle w:val="Hyperlink"/>
            <w:sz w:val="20"/>
            <w:szCs w:val="20"/>
          </w:rPr>
          <w:t>http://www.astho.org/StatePublicHealth/A-Look-at-State-Legislation-Limiting-Opioid-Prescriptions/2-23-17/</w:t>
        </w:r>
      </w:hyperlink>
    </w:p>
  </w:footnote>
  <w:footnote w:id="51">
    <w:p w14:paraId="2612310E"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7" w:history="1">
        <w:r w:rsidRPr="00DD0D81">
          <w:rPr>
            <w:rStyle w:val="Hyperlink"/>
            <w:sz w:val="20"/>
            <w:szCs w:val="20"/>
          </w:rPr>
          <w:t>https://cvshealth.com/thought-leadership/fighting-opioid-abuse-our-pbms-approach</w:t>
        </w:r>
      </w:hyperlink>
    </w:p>
  </w:footnote>
  <w:footnote w:id="52">
    <w:p w14:paraId="22F0BFC7" w14:textId="77777777" w:rsidR="009D4953" w:rsidRPr="00A00FE9" w:rsidRDefault="009D4953" w:rsidP="004C5B0C">
      <w:pPr>
        <w:pStyle w:val="FootnoteText"/>
        <w:ind w:left="360"/>
        <w:rPr>
          <w:sz w:val="18"/>
          <w:szCs w:val="18"/>
        </w:rPr>
      </w:pPr>
      <w:r w:rsidRPr="005870E5">
        <w:rPr>
          <w:rStyle w:val="FootnoteReference"/>
          <w:sz w:val="20"/>
          <w:szCs w:val="20"/>
        </w:rPr>
        <w:footnoteRef/>
      </w:r>
      <w:r w:rsidRPr="005870E5">
        <w:rPr>
          <w:sz w:val="20"/>
          <w:szCs w:val="20"/>
        </w:rPr>
        <w:t xml:space="preserve"> </w:t>
      </w:r>
      <w:hyperlink r:id="rId18" w:history="1">
        <w:r w:rsidRPr="00DD0D81">
          <w:rPr>
            <w:rStyle w:val="Hyperlink"/>
            <w:sz w:val="20"/>
            <w:szCs w:val="20"/>
          </w:rPr>
          <w:t>http://drugtopics.modernmedicine.com/drug-topics/news/express-scripts-limits-opioid-prescriptions</w:t>
        </w:r>
      </w:hyperlink>
    </w:p>
  </w:footnote>
  <w:footnote w:id="53">
    <w:p w14:paraId="08F9F908"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Ray WA, Chung CP, Murray KT, Hall K, Stein CM. Prescription of Long-Acting Opioids and Mortality in Patients with Chronic Noncancer Pain. JAMA. 2016 Jun 14;315(22):2415-23.</w:t>
      </w:r>
    </w:p>
  </w:footnote>
  <w:footnote w:id="54">
    <w:p w14:paraId="78D3632C"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Baumlatt JA, Wiedeman C, Dunn JR, Schaffner W, et al. High-risk use by patients prescribed opioids for pain and its role in overdose deaths. JAMA Intern Med. 2014 May; 174(5):796-801.</w:t>
      </w:r>
    </w:p>
  </w:footnote>
  <w:footnote w:id="55">
    <w:p w14:paraId="609082D2" w14:textId="77777777" w:rsidR="009D4953" w:rsidRPr="00224296" w:rsidRDefault="009D4953" w:rsidP="004C5B0C">
      <w:pPr>
        <w:pStyle w:val="FootnoteText"/>
        <w:ind w:left="360"/>
        <w:rPr>
          <w:sz w:val="20"/>
        </w:rPr>
      </w:pPr>
      <w:r w:rsidRPr="004B33A3">
        <w:rPr>
          <w:rStyle w:val="FootnoteReference"/>
          <w:sz w:val="20"/>
          <w:szCs w:val="20"/>
        </w:rPr>
        <w:footnoteRef/>
      </w:r>
      <w:r w:rsidRPr="004B33A3">
        <w:rPr>
          <w:sz w:val="20"/>
          <w:szCs w:val="20"/>
        </w:rPr>
        <w:t xml:space="preserve"> Manchikanti, L. Helm II, S, Fellows, B. Janata, J.W.  Pampati,V., Grider, J.S. Boswell, M.V. Opioid Epidemic in the United States. Pain Physician 2012; 15:ES9-ES38</w:t>
      </w:r>
    </w:p>
  </w:footnote>
  <w:footnote w:id="56">
    <w:p w14:paraId="22F7AB9A"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Analgesics, Long-acting USP class from USP Medicare Model Guidelines v7.0</w:t>
      </w:r>
    </w:p>
  </w:footnote>
  <w:footnote w:id="57">
    <w:p w14:paraId="127EE959" w14:textId="77777777" w:rsidR="009D4953" w:rsidRPr="006274F1" w:rsidRDefault="009D4953" w:rsidP="004C5B0C">
      <w:pPr>
        <w:pStyle w:val="FootnoteText"/>
        <w:ind w:left="360"/>
        <w:rPr>
          <w:sz w:val="20"/>
          <w:szCs w:val="18"/>
        </w:rPr>
      </w:pPr>
      <w:r w:rsidRPr="005870E5">
        <w:rPr>
          <w:rStyle w:val="FootnoteReference"/>
          <w:sz w:val="20"/>
          <w:szCs w:val="20"/>
        </w:rPr>
        <w:footnoteRef/>
      </w:r>
      <w:r w:rsidRPr="005870E5">
        <w:rPr>
          <w:sz w:val="20"/>
          <w:szCs w:val="20"/>
        </w:rPr>
        <w:t xml:space="preserve"> Reported in 2018 Call Letter available at: </w:t>
      </w:r>
      <w:hyperlink r:id="rId19" w:history="1">
        <w:r w:rsidRPr="005870E5">
          <w:rPr>
            <w:rStyle w:val="Hyperlink"/>
            <w:sz w:val="20"/>
            <w:szCs w:val="20"/>
          </w:rPr>
          <w:t>https://www.cms.gov/Medicare/Health-Plans/</w:t>
        </w:r>
        <w:r>
          <w:rPr>
            <w:rStyle w:val="Hyperlink"/>
            <w:sz w:val="20"/>
            <w:szCs w:val="20"/>
          </w:rPr>
          <w:t>‌</w:t>
        </w:r>
        <w:r w:rsidRPr="005870E5">
          <w:rPr>
            <w:rStyle w:val="Hyperlink"/>
            <w:sz w:val="20"/>
            <w:szCs w:val="20"/>
          </w:rPr>
          <w:t>MedicareAdvtgSpecRateStats/</w:t>
        </w:r>
        <w:r>
          <w:rPr>
            <w:rStyle w:val="Hyperlink"/>
            <w:sz w:val="20"/>
            <w:szCs w:val="20"/>
          </w:rPr>
          <w:t>‌</w:t>
        </w:r>
        <w:r w:rsidRPr="005870E5">
          <w:rPr>
            <w:rStyle w:val="Hyperlink"/>
            <w:sz w:val="20"/>
            <w:szCs w:val="20"/>
          </w:rPr>
          <w:t>Downloads/Announcement2018.pdf</w:t>
        </w:r>
      </w:hyperlink>
      <w:r w:rsidRPr="005870E5">
        <w:rPr>
          <w:sz w:val="20"/>
          <w:szCs w:val="20"/>
        </w:rPr>
        <w:t>.  Hospice and cancer patients were excluded from opioid user counts.</w:t>
      </w:r>
      <w:r w:rsidRPr="00224296">
        <w:rPr>
          <w:sz w:val="20"/>
          <w:szCs w:val="18"/>
        </w:rPr>
        <w:t xml:space="preserve"> </w:t>
      </w:r>
    </w:p>
  </w:footnote>
  <w:footnote w:id="58">
    <w:p w14:paraId="29CAA9D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20" w:history="1">
        <w:r w:rsidRPr="00DD0D81">
          <w:rPr>
            <w:rStyle w:val="Hyperlink"/>
            <w:sz w:val="20"/>
            <w:szCs w:val="20"/>
          </w:rPr>
          <w:t>https://www.fda.gov/NewsEvents/Newsroom/PressAnnouncements/ucm518697.htm</w:t>
        </w:r>
      </w:hyperlink>
    </w:p>
  </w:footnote>
  <w:footnote w:id="59">
    <w:p w14:paraId="5EE3556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MARx currently provides information on renal transplants only.</w:t>
      </w:r>
    </w:p>
  </w:footnote>
  <w:footnote w:id="60">
    <w:p w14:paraId="5250539E" w14:textId="77777777" w:rsidR="009D4953" w:rsidRPr="00224296" w:rsidRDefault="009D4953" w:rsidP="004C5B0C">
      <w:pPr>
        <w:pStyle w:val="FootnoteText"/>
        <w:ind w:left="360"/>
        <w:jc w:val="both"/>
        <w:rPr>
          <w:sz w:val="20"/>
          <w:szCs w:val="20"/>
        </w:rPr>
      </w:pPr>
      <w:r w:rsidRPr="00224296">
        <w:rPr>
          <w:rStyle w:val="FootnoteReference"/>
          <w:sz w:val="20"/>
          <w:szCs w:val="20"/>
        </w:rPr>
        <w:footnoteRef/>
      </w:r>
      <w:r w:rsidRPr="00224296">
        <w:rPr>
          <w:sz w:val="20"/>
          <w:szCs w:val="20"/>
        </w:rPr>
        <w:t xml:space="preserve"> Plan Finder unit costs are reported by plan, drug, days of supply, and pharmacy.  The plan, drug, days of supply, and pharmacy from the PDE are used to assign the corresponding Plan Finder unit cost posted on medicare.gov on the date of the PDE. </w:t>
      </w:r>
    </w:p>
  </w:footnote>
  <w:footnote w:id="61">
    <w:p w14:paraId="6EA4B042"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Plan Finder prices are reported at the reference NDC level.  A reference NDC is a representative NDC of drugs with the same brand name, generic name, strength, and dosage form.  To map NDCs on PDEs to a reference NDC, we use First Data Bank (FDB) and Medi-Span to create an expanded list of NDCs for each reference NDC, consisting of NDCs with the same brand name, generic name, strength, and dosage form as the reference NDC.  This expanded NDC list allows us to map PDE NDCs to PF reference NDCs.</w:t>
      </w:r>
    </w:p>
  </w:footnote>
  <w:footnote w:id="62">
    <w:p w14:paraId="3F0AC857"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If a plan’s bid indicates a 1, 2, or 3 month retail days supply amount outside of the 28-34, 60-62, or 90-93 windows, then additional days supply values may be included in the accuracy measure for the plan.  For example, a plan that submits a 3 month retail supply of 100 days in their bid will have claims with a days supply of 90-100 included in their accuracy measure calculation.</w:t>
      </w:r>
    </w:p>
  </w:footnote>
  <w:footnote w:id="63">
    <w:p w14:paraId="1BB48EE5"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Because sanctioned plans typically are not suppressed on MPF and display data to the plan’s current enrollees only, non-suppressed sanctioned plans will have their data during the sanction counted towards the measure.</w:t>
      </w:r>
    </w:p>
  </w:footnote>
  <w:footnote w:id="64">
    <w:p w14:paraId="78DAA022"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PF total costs are rounded to the nearest cent. For example, if the PF total cost is $10.237, then it is rounded to $10.24. PF unit costs are not rounded.</w:t>
      </w:r>
    </w:p>
  </w:footnote>
  <w:footnote w:id="65">
    <w:p w14:paraId="763E3A59"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To account for potential rounding errors, this analysis requires that the PDE cost exceed the rounded PF cost by at least a cent ($0.01) in order to be counted towards the accuracy score.  For example, if the PDE cost is $10.25 and the rounded PF cost is $10.24, the 1-cent difference would be counted towards plan’s accuracy score.  However, if the rounded PF cost is higher than $10.24, the difference would not be considered problematic, and it would not count towards the plan’s accuracy score.</w:t>
      </w:r>
    </w:p>
  </w:footnote>
  <w:footnote w:id="66">
    <w:p w14:paraId="4C516E3A"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The PF data includes floor pricing.  For plan-pharmacy drugs with a floor price, if the PF price is lower than the floor price, the PDE price will be compared against the floor price.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005047"/>
      <w:docPartObj>
        <w:docPartGallery w:val="Page Numbers (Top of Page)"/>
        <w:docPartUnique/>
      </w:docPartObj>
    </w:sdtPr>
    <w:sdtEndPr>
      <w:rPr>
        <w:noProof/>
      </w:rPr>
    </w:sdtEndPr>
    <w:sdtContent>
      <w:p w14:paraId="50832A5F" w14:textId="1438233A" w:rsidR="009D4953" w:rsidRDefault="009D4953" w:rsidP="002707EC">
        <w:pPr>
          <w:pStyle w:val="Header"/>
          <w:jc w:val="right"/>
        </w:pPr>
        <w:r>
          <w:fldChar w:fldCharType="begin"/>
        </w:r>
        <w:r>
          <w:instrText xml:space="preserve"> PAGE   \* MERGEFORMAT </w:instrText>
        </w:r>
        <w:r>
          <w:fldChar w:fldCharType="separate"/>
        </w:r>
        <w:r w:rsidR="00AF04CB">
          <w:rPr>
            <w:noProof/>
          </w:rPr>
          <w:t>39</w:t>
        </w:r>
        <w:r>
          <w:rPr>
            <w:noProof/>
          </w:rPr>
          <w:fldChar w:fldCharType="end"/>
        </w: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926A2" w14:textId="77777777" w:rsidR="009D4953" w:rsidRDefault="006B65AC" w:rsidP="004C5B0C">
    <w:pPr>
      <w:pStyle w:val="Header"/>
      <w:jc w:val="right"/>
      <w:rPr>
        <w:b/>
        <w:noProof/>
      </w:rPr>
    </w:pPr>
    <w:sdt>
      <w:sdtPr>
        <w:rPr>
          <w:b/>
        </w:rPr>
        <w:id w:val="501397692"/>
        <w:docPartObj>
          <w:docPartGallery w:val="Page Numbers (Top of Page)"/>
          <w:docPartUnique/>
        </w:docPartObj>
      </w:sdtPr>
      <w:sdtEndPr>
        <w:rPr>
          <w:noProof/>
        </w:rPr>
      </w:sdtEndPr>
      <w:sdtContent>
        <w:r w:rsidR="009D4953" w:rsidRPr="009802B6">
          <w:rPr>
            <w:b/>
          </w:rPr>
          <w:fldChar w:fldCharType="begin"/>
        </w:r>
        <w:r w:rsidR="009D4953" w:rsidRPr="009802B6">
          <w:rPr>
            <w:b/>
          </w:rPr>
          <w:instrText xml:space="preserve"> PAGE   \* MERGEFORMAT </w:instrText>
        </w:r>
        <w:r w:rsidR="009D4953" w:rsidRPr="009802B6">
          <w:rPr>
            <w:b/>
          </w:rPr>
          <w:fldChar w:fldCharType="separate"/>
        </w:r>
        <w:r w:rsidR="00AF04CB">
          <w:rPr>
            <w:b/>
            <w:noProof/>
          </w:rPr>
          <w:t>152</w:t>
        </w:r>
        <w:r w:rsidR="009D4953" w:rsidRPr="009802B6">
          <w:rPr>
            <w:b/>
            <w:noProof/>
          </w:rPr>
          <w:fldChar w:fldCharType="end"/>
        </w:r>
      </w:sdtContent>
    </w:sdt>
  </w:p>
  <w:p w14:paraId="5FABB538" w14:textId="77777777" w:rsidR="009D4953" w:rsidRPr="00E31043" w:rsidRDefault="009D4953" w:rsidP="004C5B0C">
    <w:pPr>
      <w:pStyle w:val="Header"/>
      <w:rPr>
        <w:b/>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1C9E" w14:textId="77777777" w:rsidR="009D4953" w:rsidRDefault="006B65AC">
    <w:pPr>
      <w:pStyle w:val="Header"/>
    </w:pPr>
    <w:r>
      <w:rPr>
        <w:noProof/>
      </w:rPr>
      <w:pict w14:anchorId="440E15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4" o:spid="_x0000_s2061" type="#_x0000_t136" style="position:absolute;margin-left:0;margin-top:0;width:615.7pt;height:43.95pt;rotation:315;z-index:-251646976;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AD69E" w14:textId="77777777" w:rsidR="009D4953" w:rsidRDefault="006B65AC" w:rsidP="004C5B0C">
    <w:pPr>
      <w:pStyle w:val="Header"/>
      <w:ind w:right="-1080"/>
      <w:jc w:val="right"/>
      <w:rPr>
        <w:b/>
        <w:noProof/>
      </w:rPr>
    </w:pPr>
    <w:sdt>
      <w:sdtPr>
        <w:rPr>
          <w:b/>
        </w:rPr>
        <w:id w:val="-1665550126"/>
        <w:docPartObj>
          <w:docPartGallery w:val="Page Numbers (Top of Page)"/>
          <w:docPartUnique/>
        </w:docPartObj>
      </w:sdtPr>
      <w:sdtEndPr>
        <w:rPr>
          <w:noProof/>
        </w:rPr>
      </w:sdtEndPr>
      <w:sdtContent>
        <w:r w:rsidR="009D4953" w:rsidRPr="009802B6">
          <w:rPr>
            <w:b/>
          </w:rPr>
          <w:fldChar w:fldCharType="begin"/>
        </w:r>
        <w:r w:rsidR="009D4953" w:rsidRPr="009802B6">
          <w:rPr>
            <w:b/>
          </w:rPr>
          <w:instrText xml:space="preserve"> PAGE   \* MERGEFORMAT </w:instrText>
        </w:r>
        <w:r w:rsidR="009D4953" w:rsidRPr="009802B6">
          <w:rPr>
            <w:b/>
          </w:rPr>
          <w:fldChar w:fldCharType="separate"/>
        </w:r>
        <w:r w:rsidR="00AF04CB">
          <w:rPr>
            <w:b/>
            <w:noProof/>
          </w:rPr>
          <w:t>226</w:t>
        </w:r>
        <w:r w:rsidR="009D4953" w:rsidRPr="009802B6">
          <w:rPr>
            <w:b/>
            <w:noProof/>
          </w:rPr>
          <w:fldChar w:fldCharType="end"/>
        </w:r>
      </w:sdtContent>
    </w:sdt>
  </w:p>
  <w:p w14:paraId="15385BA5" w14:textId="77777777" w:rsidR="009D4953" w:rsidRPr="00E31043" w:rsidRDefault="009D4953" w:rsidP="004C5B0C">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303643"/>
      <w:docPartObj>
        <w:docPartGallery w:val="Page Numbers (Top of Page)"/>
        <w:docPartUnique/>
      </w:docPartObj>
    </w:sdtPr>
    <w:sdtEndPr>
      <w:rPr>
        <w:noProof/>
      </w:rPr>
    </w:sdtEndPr>
    <w:sdtContent>
      <w:p w14:paraId="421424E2" w14:textId="06258189" w:rsidR="009D4953" w:rsidRDefault="009D4953" w:rsidP="00677981">
        <w:pPr>
          <w:pStyle w:val="Header"/>
          <w:jc w:val="right"/>
        </w:pPr>
        <w:r>
          <w:fldChar w:fldCharType="begin"/>
        </w:r>
        <w:r>
          <w:instrText xml:space="preserve"> PAGE   \* MERGEFORMAT </w:instrText>
        </w:r>
        <w:r>
          <w:fldChar w:fldCharType="separate"/>
        </w:r>
        <w:r w:rsidR="00AF04CB">
          <w:rPr>
            <w:noProof/>
          </w:rPr>
          <w:t>51</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721863"/>
      <w:docPartObj>
        <w:docPartGallery w:val="Page Numbers (Top of Page)"/>
        <w:docPartUnique/>
      </w:docPartObj>
    </w:sdtPr>
    <w:sdtEndPr>
      <w:rPr>
        <w:noProof/>
      </w:rPr>
    </w:sdtEndPr>
    <w:sdtContent>
      <w:p w14:paraId="48E8F2D2" w14:textId="5FD05D85" w:rsidR="009D4953" w:rsidRDefault="009D4953" w:rsidP="001F65FB">
        <w:pPr>
          <w:pStyle w:val="Header"/>
          <w:jc w:val="right"/>
        </w:pPr>
        <w:r>
          <w:fldChar w:fldCharType="begin"/>
        </w:r>
        <w:r>
          <w:instrText xml:space="preserve"> PAGE   \* MERGEFORMAT </w:instrText>
        </w:r>
        <w:r>
          <w:fldChar w:fldCharType="separate"/>
        </w:r>
        <w:r w:rsidR="00AF04CB">
          <w:rPr>
            <w:noProof/>
          </w:rPr>
          <w:t>68</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E21C9" w14:textId="77777777" w:rsidR="009D4953" w:rsidRDefault="006B65AC">
    <w:pPr>
      <w:pStyle w:val="Header"/>
    </w:pPr>
    <w:r>
      <w:rPr>
        <w:noProof/>
      </w:rPr>
      <w:pict w14:anchorId="512CC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9" o:spid="_x0000_s2059" type="#_x0000_t136" style="position:absolute;margin-left:0;margin-top:0;width:626.7pt;height:32.95pt;rotation:315;z-index:-251649024;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C7DCF" w14:textId="03D9849A" w:rsidR="009D4953" w:rsidRPr="00E31043" w:rsidRDefault="006B65AC" w:rsidP="00E31043">
    <w:pPr>
      <w:pStyle w:val="Header"/>
      <w:jc w:val="right"/>
      <w:rPr>
        <w:b/>
      </w:rPr>
    </w:pPr>
    <w:sdt>
      <w:sdtPr>
        <w:rPr>
          <w:b/>
        </w:rPr>
        <w:id w:val="1156266852"/>
        <w:docPartObj>
          <w:docPartGallery w:val="Page Numbers (Top of Page)"/>
          <w:docPartUnique/>
        </w:docPartObj>
      </w:sdtPr>
      <w:sdtEndPr>
        <w:rPr>
          <w:noProof/>
        </w:rPr>
      </w:sdtEndPr>
      <w:sdtContent>
        <w:r w:rsidR="009D4953" w:rsidRPr="009802B6">
          <w:rPr>
            <w:b/>
          </w:rPr>
          <w:fldChar w:fldCharType="begin"/>
        </w:r>
        <w:r w:rsidR="009D4953" w:rsidRPr="009802B6">
          <w:rPr>
            <w:b/>
          </w:rPr>
          <w:instrText xml:space="preserve"> PAGE   \* MERGEFORMAT </w:instrText>
        </w:r>
        <w:r w:rsidR="009D4953" w:rsidRPr="009802B6">
          <w:rPr>
            <w:b/>
          </w:rPr>
          <w:fldChar w:fldCharType="separate"/>
        </w:r>
        <w:r w:rsidR="00AF04CB">
          <w:rPr>
            <w:b/>
            <w:noProof/>
          </w:rPr>
          <w:t>76</w:t>
        </w:r>
        <w:r w:rsidR="009D4953" w:rsidRPr="009802B6">
          <w:rPr>
            <w:b/>
            <w:noProof/>
          </w:rPr>
          <w:fldChar w:fldCharType="end"/>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DDC0B" w14:textId="77777777" w:rsidR="009D4953" w:rsidRDefault="006B65AC">
    <w:pPr>
      <w:pStyle w:val="Header"/>
    </w:pPr>
    <w:r>
      <w:rPr>
        <w:noProof/>
      </w:rPr>
      <w:pict w14:anchorId="6DE63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8" o:spid="_x0000_s2058" type="#_x0000_t136" style="position:absolute;margin-left:0;margin-top:0;width:626.7pt;height:32.95pt;rotation:315;z-index:-251651072;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612657"/>
      <w:docPartObj>
        <w:docPartGallery w:val="Page Numbers (Top of Page)"/>
        <w:docPartUnique/>
      </w:docPartObj>
    </w:sdtPr>
    <w:sdtEndPr>
      <w:rPr>
        <w:noProof/>
      </w:rPr>
    </w:sdtEndPr>
    <w:sdtContent>
      <w:p w14:paraId="6B4887B9" w14:textId="77777777" w:rsidR="009D4953" w:rsidRDefault="009D4953" w:rsidP="004C5B0C">
        <w:pPr>
          <w:pStyle w:val="Header"/>
          <w:jc w:val="right"/>
        </w:pPr>
        <w:r>
          <w:fldChar w:fldCharType="begin"/>
        </w:r>
        <w:r>
          <w:instrText xml:space="preserve"> PAGE   \* MERGEFORMAT </w:instrText>
        </w:r>
        <w:r>
          <w:fldChar w:fldCharType="separate"/>
        </w:r>
        <w:r w:rsidR="00AF04CB">
          <w:rPr>
            <w:noProof/>
          </w:rPr>
          <w:t>94</w:t>
        </w:r>
        <w:r>
          <w:rPr>
            <w:noProof/>
          </w:rPr>
          <w:fldChar w:fldCharType="end"/>
        </w:r>
      </w:p>
    </w:sdtContent>
  </w:sdt>
  <w:p w14:paraId="588BC588" w14:textId="77777777" w:rsidR="009D4953" w:rsidRDefault="009D4953" w:rsidP="004C5B0C">
    <w:pPr>
      <w:pStyle w:val="Header"/>
      <w:spacing w:before="120" w:line="240" w:lineRule="aut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F4EA1" w14:textId="77777777" w:rsidR="009D4953" w:rsidRDefault="009D4953" w:rsidP="004C5B0C">
    <w:pPr>
      <w:pStyle w:val="Header"/>
      <w:spacing w:before="120" w:line="240" w:lineRule="aut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0F55B" w14:textId="77777777" w:rsidR="009D4953" w:rsidRDefault="006B65AC" w:rsidP="004C5B0C">
    <w:pPr>
      <w:pStyle w:val="Header"/>
      <w:spacing w:before="100" w:beforeAutospacing="1" w:after="100" w:afterAutospacing="1"/>
    </w:pPr>
    <w:r>
      <w:rPr>
        <w:noProof/>
      </w:rPr>
      <w:pict w14:anchorId="6AFE97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5" o:spid="_x0000_s2062" type="#_x0000_t136" style="position:absolute;margin-left:0;margin-top:0;width:615.7pt;height:43.95pt;rotation:315;z-index:-251645952;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p w14:paraId="22A1560A" w14:textId="77777777" w:rsidR="009D4953" w:rsidRDefault="009D4953" w:rsidP="004C5B0C">
    <w:pPr>
      <w:spacing w:before="100" w:beforeAutospacing="1" w:after="100" w:afterAutospac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1" w15:restartNumberingAfterBreak="0">
    <w:nsid w:val="00000403"/>
    <w:multiLevelType w:val="multilevel"/>
    <w:tmpl w:val="00000886"/>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2" w15:restartNumberingAfterBreak="0">
    <w:nsid w:val="00000405"/>
    <w:multiLevelType w:val="multilevel"/>
    <w:tmpl w:val="00000888"/>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16" w:hanging="360"/>
      </w:pPr>
    </w:lvl>
    <w:lvl w:ilvl="2">
      <w:numFmt w:val="bullet"/>
      <w:lvlText w:val="•"/>
      <w:lvlJc w:val="left"/>
      <w:pPr>
        <w:ind w:left="2592" w:hanging="360"/>
      </w:pPr>
    </w:lvl>
    <w:lvl w:ilvl="3">
      <w:numFmt w:val="bullet"/>
      <w:lvlText w:val="•"/>
      <w:lvlJc w:val="left"/>
      <w:pPr>
        <w:ind w:left="3468" w:hanging="360"/>
      </w:pPr>
    </w:lvl>
    <w:lvl w:ilvl="4">
      <w:numFmt w:val="bullet"/>
      <w:lvlText w:val="•"/>
      <w:lvlJc w:val="left"/>
      <w:pPr>
        <w:ind w:left="4344" w:hanging="360"/>
      </w:pPr>
    </w:lvl>
    <w:lvl w:ilvl="5">
      <w:numFmt w:val="bullet"/>
      <w:lvlText w:val="•"/>
      <w:lvlJc w:val="left"/>
      <w:pPr>
        <w:ind w:left="5220" w:hanging="360"/>
      </w:pPr>
    </w:lvl>
    <w:lvl w:ilvl="6">
      <w:numFmt w:val="bullet"/>
      <w:lvlText w:val="•"/>
      <w:lvlJc w:val="left"/>
      <w:pPr>
        <w:ind w:left="6096" w:hanging="360"/>
      </w:pPr>
    </w:lvl>
    <w:lvl w:ilvl="7">
      <w:numFmt w:val="bullet"/>
      <w:lvlText w:val="•"/>
      <w:lvlJc w:val="left"/>
      <w:pPr>
        <w:ind w:left="6972" w:hanging="360"/>
      </w:pPr>
    </w:lvl>
    <w:lvl w:ilvl="8">
      <w:numFmt w:val="bullet"/>
      <w:lvlText w:val="•"/>
      <w:lvlJc w:val="left"/>
      <w:pPr>
        <w:ind w:left="7848" w:hanging="360"/>
      </w:pPr>
    </w:lvl>
  </w:abstractNum>
  <w:abstractNum w:abstractNumId="3" w15:restartNumberingAfterBreak="0">
    <w:nsid w:val="00000408"/>
    <w:multiLevelType w:val="multilevel"/>
    <w:tmpl w:val="0000088B"/>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4" w15:restartNumberingAfterBreak="0">
    <w:nsid w:val="0000040A"/>
    <w:multiLevelType w:val="multilevel"/>
    <w:tmpl w:val="0000088D"/>
    <w:lvl w:ilvl="0">
      <w:numFmt w:val="bullet"/>
      <w:lvlText w:val=""/>
      <w:lvlJc w:val="left"/>
      <w:pPr>
        <w:ind w:left="460" w:hanging="360"/>
      </w:pPr>
      <w:rPr>
        <w:rFonts w:ascii="Symbol" w:hAnsi="Symbol" w:cs="Symbol"/>
        <w:b w:val="0"/>
        <w:bCs w:val="0"/>
        <w:w w:val="100"/>
        <w:sz w:val="24"/>
        <w:szCs w:val="24"/>
      </w:rPr>
    </w:lvl>
    <w:lvl w:ilvl="1">
      <w:numFmt w:val="bullet"/>
      <w:lvlText w:val="o"/>
      <w:lvlJc w:val="left"/>
      <w:pPr>
        <w:ind w:left="1180" w:hanging="360"/>
      </w:pPr>
      <w:rPr>
        <w:rFonts w:ascii="Courier New" w:hAnsi="Courier New" w:cs="Courier New"/>
        <w:b w:val="0"/>
        <w:bCs w:val="0"/>
        <w:w w:val="100"/>
        <w:sz w:val="24"/>
        <w:szCs w:val="24"/>
      </w:rPr>
    </w:lvl>
    <w:lvl w:ilvl="2">
      <w:numFmt w:val="bullet"/>
      <w:lvlText w:val="•"/>
      <w:lvlJc w:val="left"/>
      <w:pPr>
        <w:ind w:left="2073" w:hanging="360"/>
      </w:pPr>
    </w:lvl>
    <w:lvl w:ilvl="3">
      <w:numFmt w:val="bullet"/>
      <w:lvlText w:val="•"/>
      <w:lvlJc w:val="left"/>
      <w:pPr>
        <w:ind w:left="2966" w:hanging="360"/>
      </w:pPr>
    </w:lvl>
    <w:lvl w:ilvl="4">
      <w:numFmt w:val="bullet"/>
      <w:lvlText w:val="•"/>
      <w:lvlJc w:val="left"/>
      <w:pPr>
        <w:ind w:left="3860" w:hanging="360"/>
      </w:pPr>
    </w:lvl>
    <w:lvl w:ilvl="5">
      <w:numFmt w:val="bullet"/>
      <w:lvlText w:val="•"/>
      <w:lvlJc w:val="left"/>
      <w:pPr>
        <w:ind w:left="4753" w:hanging="360"/>
      </w:pPr>
    </w:lvl>
    <w:lvl w:ilvl="6">
      <w:numFmt w:val="bullet"/>
      <w:lvlText w:val="•"/>
      <w:lvlJc w:val="left"/>
      <w:pPr>
        <w:ind w:left="5646" w:hanging="360"/>
      </w:pPr>
    </w:lvl>
    <w:lvl w:ilvl="7">
      <w:numFmt w:val="bullet"/>
      <w:lvlText w:val="•"/>
      <w:lvlJc w:val="left"/>
      <w:pPr>
        <w:ind w:left="6540" w:hanging="360"/>
      </w:pPr>
    </w:lvl>
    <w:lvl w:ilvl="8">
      <w:numFmt w:val="bullet"/>
      <w:lvlText w:val="•"/>
      <w:lvlJc w:val="left"/>
      <w:pPr>
        <w:ind w:left="7433" w:hanging="360"/>
      </w:pPr>
    </w:lvl>
  </w:abstractNum>
  <w:abstractNum w:abstractNumId="5" w15:restartNumberingAfterBreak="0">
    <w:nsid w:val="0000040C"/>
    <w:multiLevelType w:val="multilevel"/>
    <w:tmpl w:val="0000088F"/>
    <w:lvl w:ilvl="0">
      <w:start w:val="1"/>
      <w:numFmt w:val="decimal"/>
      <w:lvlText w:val="%1."/>
      <w:lvlJc w:val="left"/>
      <w:pPr>
        <w:ind w:left="1540" w:hanging="360"/>
      </w:pPr>
      <w:rPr>
        <w:rFonts w:ascii="Times New Roman" w:hAnsi="Times New Roman" w:cs="Times New Roman"/>
        <w:b w:val="0"/>
        <w:bCs w:val="0"/>
        <w:spacing w:val="-5"/>
        <w:w w:val="99"/>
        <w:sz w:val="24"/>
        <w:szCs w:val="24"/>
      </w:rPr>
    </w:lvl>
    <w:lvl w:ilvl="1">
      <w:numFmt w:val="bullet"/>
      <w:lvlText w:val="•"/>
      <w:lvlJc w:val="left"/>
      <w:pPr>
        <w:ind w:left="2344" w:hanging="360"/>
      </w:pPr>
    </w:lvl>
    <w:lvl w:ilvl="2">
      <w:numFmt w:val="bullet"/>
      <w:lvlText w:val="•"/>
      <w:lvlJc w:val="left"/>
      <w:pPr>
        <w:ind w:left="3148" w:hanging="360"/>
      </w:pPr>
    </w:lvl>
    <w:lvl w:ilvl="3">
      <w:numFmt w:val="bullet"/>
      <w:lvlText w:val="•"/>
      <w:lvlJc w:val="left"/>
      <w:pPr>
        <w:ind w:left="3952" w:hanging="360"/>
      </w:pPr>
    </w:lvl>
    <w:lvl w:ilvl="4">
      <w:numFmt w:val="bullet"/>
      <w:lvlText w:val="•"/>
      <w:lvlJc w:val="left"/>
      <w:pPr>
        <w:ind w:left="4756" w:hanging="360"/>
      </w:pPr>
    </w:lvl>
    <w:lvl w:ilvl="5">
      <w:numFmt w:val="bullet"/>
      <w:lvlText w:val="•"/>
      <w:lvlJc w:val="left"/>
      <w:pPr>
        <w:ind w:left="5560" w:hanging="360"/>
      </w:pPr>
    </w:lvl>
    <w:lvl w:ilvl="6">
      <w:numFmt w:val="bullet"/>
      <w:lvlText w:val="•"/>
      <w:lvlJc w:val="left"/>
      <w:pPr>
        <w:ind w:left="6364" w:hanging="360"/>
      </w:pPr>
    </w:lvl>
    <w:lvl w:ilvl="7">
      <w:numFmt w:val="bullet"/>
      <w:lvlText w:val="•"/>
      <w:lvlJc w:val="left"/>
      <w:pPr>
        <w:ind w:left="7168" w:hanging="360"/>
      </w:pPr>
    </w:lvl>
    <w:lvl w:ilvl="8">
      <w:numFmt w:val="bullet"/>
      <w:lvlText w:val="•"/>
      <w:lvlJc w:val="left"/>
      <w:pPr>
        <w:ind w:left="7972" w:hanging="360"/>
      </w:pPr>
    </w:lvl>
  </w:abstractNum>
  <w:abstractNum w:abstractNumId="6" w15:restartNumberingAfterBreak="0">
    <w:nsid w:val="0000040F"/>
    <w:multiLevelType w:val="multilevel"/>
    <w:tmpl w:val="00000892"/>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7" w15:restartNumberingAfterBreak="0">
    <w:nsid w:val="00000412"/>
    <w:multiLevelType w:val="multilevel"/>
    <w:tmpl w:val="580E90C8"/>
    <w:lvl w:ilvl="0">
      <w:numFmt w:val="bullet"/>
      <w:lvlText w:val=""/>
      <w:lvlJc w:val="left"/>
      <w:pPr>
        <w:ind w:left="460" w:hanging="360"/>
      </w:pPr>
      <w:rPr>
        <w:rFonts w:ascii="Symbol" w:hAnsi="Symbol" w:cs="Symbol"/>
        <w:b w:val="0"/>
        <w:bCs w:val="0"/>
        <w:color w:val="auto"/>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8" w15:restartNumberingAfterBreak="0">
    <w:nsid w:val="00000413"/>
    <w:multiLevelType w:val="multilevel"/>
    <w:tmpl w:val="00000896"/>
    <w:lvl w:ilvl="0">
      <w:start w:val="1"/>
      <w:numFmt w:val="decimal"/>
      <w:lvlText w:val="%1."/>
      <w:lvlJc w:val="left"/>
      <w:pPr>
        <w:ind w:left="820" w:hanging="360"/>
      </w:pPr>
      <w:rPr>
        <w:rFonts w:ascii="Times New Roman" w:hAnsi="Times New Roman" w:cs="Times New Roman"/>
        <w:b/>
        <w:bCs/>
        <w:spacing w:val="-5"/>
        <w:w w:val="99"/>
        <w:sz w:val="24"/>
        <w:szCs w:val="24"/>
      </w:rPr>
    </w:lvl>
    <w:lvl w:ilvl="1">
      <w:numFmt w:val="bullet"/>
      <w:lvlText w:val="•"/>
      <w:lvlJc w:val="left"/>
      <w:pPr>
        <w:ind w:left="1660" w:hanging="360"/>
      </w:pPr>
    </w:lvl>
    <w:lvl w:ilvl="2">
      <w:numFmt w:val="bullet"/>
      <w:lvlText w:val="•"/>
      <w:lvlJc w:val="left"/>
      <w:pPr>
        <w:ind w:left="2500" w:hanging="360"/>
      </w:pPr>
    </w:lvl>
    <w:lvl w:ilvl="3">
      <w:numFmt w:val="bullet"/>
      <w:lvlText w:val="•"/>
      <w:lvlJc w:val="left"/>
      <w:pPr>
        <w:ind w:left="3340" w:hanging="360"/>
      </w:pPr>
    </w:lvl>
    <w:lvl w:ilvl="4">
      <w:numFmt w:val="bullet"/>
      <w:lvlText w:val="•"/>
      <w:lvlJc w:val="left"/>
      <w:pPr>
        <w:ind w:left="4180" w:hanging="360"/>
      </w:pPr>
    </w:lvl>
    <w:lvl w:ilvl="5">
      <w:numFmt w:val="bullet"/>
      <w:lvlText w:val="•"/>
      <w:lvlJc w:val="left"/>
      <w:pPr>
        <w:ind w:left="5020" w:hanging="360"/>
      </w:pPr>
    </w:lvl>
    <w:lvl w:ilvl="6">
      <w:numFmt w:val="bullet"/>
      <w:lvlText w:val="•"/>
      <w:lvlJc w:val="left"/>
      <w:pPr>
        <w:ind w:left="5860" w:hanging="360"/>
      </w:pPr>
    </w:lvl>
    <w:lvl w:ilvl="7">
      <w:numFmt w:val="bullet"/>
      <w:lvlText w:val="•"/>
      <w:lvlJc w:val="left"/>
      <w:pPr>
        <w:ind w:left="6700" w:hanging="360"/>
      </w:pPr>
    </w:lvl>
    <w:lvl w:ilvl="8">
      <w:numFmt w:val="bullet"/>
      <w:lvlText w:val="•"/>
      <w:lvlJc w:val="left"/>
      <w:pPr>
        <w:ind w:left="7540" w:hanging="360"/>
      </w:pPr>
    </w:lvl>
  </w:abstractNum>
  <w:abstractNum w:abstractNumId="9" w15:restartNumberingAfterBreak="0">
    <w:nsid w:val="00000415"/>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10" w15:restartNumberingAfterBreak="0">
    <w:nsid w:val="00000417"/>
    <w:multiLevelType w:val="multilevel"/>
    <w:tmpl w:val="0000089A"/>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11" w15:restartNumberingAfterBreak="0">
    <w:nsid w:val="00B132E8"/>
    <w:multiLevelType w:val="hybridMultilevel"/>
    <w:tmpl w:val="F940D5C6"/>
    <w:lvl w:ilvl="0" w:tplc="C7E67C70">
      <w:start w:val="1"/>
      <w:numFmt w:val="bullet"/>
      <w:pStyle w:val="SectionText-Do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355884"/>
    <w:multiLevelType w:val="multilevel"/>
    <w:tmpl w:val="00000893"/>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13" w15:restartNumberingAfterBreak="0">
    <w:nsid w:val="04EB6D14"/>
    <w:multiLevelType w:val="hybridMultilevel"/>
    <w:tmpl w:val="C712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DD281F"/>
    <w:multiLevelType w:val="hybridMultilevel"/>
    <w:tmpl w:val="0304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4D0A7D"/>
    <w:multiLevelType w:val="hybridMultilevel"/>
    <w:tmpl w:val="82DC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543673"/>
    <w:multiLevelType w:val="hybridMultilevel"/>
    <w:tmpl w:val="326472BC"/>
    <w:lvl w:ilvl="0" w:tplc="1902D508">
      <w:start w:val="1"/>
      <w:numFmt w:val="bullet"/>
      <w:pStyle w:val="SR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B75282D"/>
    <w:multiLevelType w:val="multilevel"/>
    <w:tmpl w:val="089C8756"/>
    <w:lvl w:ilvl="0">
      <w:start w:val="1"/>
      <w:numFmt w:val="bullet"/>
      <w:pStyle w:val="bulletlevel1"/>
      <w:lvlText w:val="•"/>
      <w:lvlJc w:val="left"/>
      <w:pPr>
        <w:ind w:left="360" w:hanging="360"/>
      </w:pPr>
      <w:rPr>
        <w:rFonts w:ascii="Times New Roman" w:hAnsi="Times New Roman" w:hint="default"/>
        <w:sz w:val="24"/>
      </w:rPr>
    </w:lvl>
    <w:lvl w:ilvl="1">
      <w:start w:val="1"/>
      <w:numFmt w:val="bullet"/>
      <w:pStyle w:val="bulletlevel2"/>
      <w:lvlText w:val="•"/>
      <w:lvlJc w:val="left"/>
      <w:pPr>
        <w:tabs>
          <w:tab w:val="num" w:pos="1080"/>
        </w:tabs>
        <w:ind w:left="720" w:hanging="360"/>
      </w:pPr>
      <w:rPr>
        <w:rFonts w:ascii="Times New Roman" w:hAnsi="Times New Roman" w:hint="default"/>
        <w:sz w:val="24"/>
      </w:rPr>
    </w:lvl>
    <w:lvl w:ilvl="2">
      <w:start w:val="1"/>
      <w:numFmt w:val="bullet"/>
      <w:pStyle w:val="bulletlevel3"/>
      <w:lvlText w:val=""/>
      <w:lvlJc w:val="left"/>
      <w:pPr>
        <w:tabs>
          <w:tab w:val="num" w:pos="180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0BAA395E"/>
    <w:multiLevelType w:val="hybridMultilevel"/>
    <w:tmpl w:val="F8BA87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ED66BA9"/>
    <w:multiLevelType w:val="hybridMultilevel"/>
    <w:tmpl w:val="A1EA3AC4"/>
    <w:lvl w:ilvl="0" w:tplc="3E8E5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2EA565E"/>
    <w:multiLevelType w:val="hybridMultilevel"/>
    <w:tmpl w:val="8D7083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13DE6774"/>
    <w:multiLevelType w:val="hybridMultilevel"/>
    <w:tmpl w:val="543C1B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4F950B2"/>
    <w:multiLevelType w:val="hybridMultilevel"/>
    <w:tmpl w:val="4306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3F47C3"/>
    <w:multiLevelType w:val="hybridMultilevel"/>
    <w:tmpl w:val="D0562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5551EBD"/>
    <w:multiLevelType w:val="hybridMultilevel"/>
    <w:tmpl w:val="590EC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90100CF"/>
    <w:multiLevelType w:val="hybridMultilevel"/>
    <w:tmpl w:val="617C4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795D7C"/>
    <w:multiLevelType w:val="hybridMultilevel"/>
    <w:tmpl w:val="6472E8B4"/>
    <w:lvl w:ilvl="0" w:tplc="C00E582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198A09F8"/>
    <w:multiLevelType w:val="hybridMultilevel"/>
    <w:tmpl w:val="0DEC61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D130DEC"/>
    <w:multiLevelType w:val="hybridMultilevel"/>
    <w:tmpl w:val="D972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AA1E21"/>
    <w:multiLevelType w:val="hybridMultilevel"/>
    <w:tmpl w:val="04A69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F5068BF"/>
    <w:multiLevelType w:val="hybridMultilevel"/>
    <w:tmpl w:val="8C96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2D0B61"/>
    <w:multiLevelType w:val="hybridMultilevel"/>
    <w:tmpl w:val="77101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DB6123"/>
    <w:multiLevelType w:val="hybridMultilevel"/>
    <w:tmpl w:val="EF8EC8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7714281"/>
    <w:multiLevelType w:val="hybridMultilevel"/>
    <w:tmpl w:val="0CC079CA"/>
    <w:lvl w:ilvl="0" w:tplc="04090001">
      <w:start w:val="1"/>
      <w:numFmt w:val="bullet"/>
      <w:lvlText w:val=""/>
      <w:lvlJc w:val="left"/>
      <w:pPr>
        <w:ind w:left="720" w:hanging="360"/>
      </w:pPr>
      <w:rPr>
        <w:rFonts w:ascii="Symbol" w:hAnsi="Symbol" w:hint="default"/>
      </w:rPr>
    </w:lvl>
    <w:lvl w:ilvl="1" w:tplc="2CA2BD80">
      <w:start w:val="1"/>
      <w:numFmt w:val="lowerLetter"/>
      <w:lvlText w:val="%2."/>
      <w:lvlJc w:val="left"/>
      <w:pPr>
        <w:ind w:left="1440" w:hanging="360"/>
      </w:pPr>
      <w:rPr>
        <w:b w:val="0"/>
        <w:i w:val="0"/>
      </w:rPr>
    </w:lvl>
    <w:lvl w:ilvl="2" w:tplc="3524324E">
      <w:start w:val="1"/>
      <w:numFmt w:val="lowerRoman"/>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855DC1"/>
    <w:multiLevelType w:val="hybridMultilevel"/>
    <w:tmpl w:val="FC54EC34"/>
    <w:lvl w:ilvl="0" w:tplc="33802F74">
      <w:start w:val="1"/>
      <w:numFmt w:val="upperLetter"/>
      <w:suff w:val="space"/>
      <w:lvlText w:val="Section %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AE2F89"/>
    <w:multiLevelType w:val="hybridMultilevel"/>
    <w:tmpl w:val="AD1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E95C6F"/>
    <w:multiLevelType w:val="hybridMultilevel"/>
    <w:tmpl w:val="21AE8A22"/>
    <w:lvl w:ilvl="0" w:tplc="AD08B5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0D3EA2"/>
    <w:multiLevelType w:val="hybridMultilevel"/>
    <w:tmpl w:val="9F062740"/>
    <w:lvl w:ilvl="0" w:tplc="D76283D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3A6116"/>
    <w:multiLevelType w:val="hybridMultilevel"/>
    <w:tmpl w:val="C49C4E9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2215D12"/>
    <w:multiLevelType w:val="hybridMultilevel"/>
    <w:tmpl w:val="9870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FE6C5D"/>
    <w:multiLevelType w:val="hybridMultilevel"/>
    <w:tmpl w:val="2D1625B0"/>
    <w:lvl w:ilvl="0" w:tplc="792C0A64">
      <w:start w:val="1"/>
      <w:numFmt w:val="upperRoman"/>
      <w:pStyle w:val="SectionText-RomanBullet"/>
      <w:lvlText w:val="%1."/>
      <w:lvlJc w:val="left"/>
      <w:pPr>
        <w:ind w:left="1440" w:hanging="720"/>
      </w:pPr>
      <w:rPr>
        <w:rFonts w:hint="default"/>
      </w:rPr>
    </w:lvl>
    <w:lvl w:ilvl="1" w:tplc="5776D64C">
      <w:start w:val="1"/>
      <w:numFmt w:val="lowerLetter"/>
      <w:pStyle w:val="SectionText-LetteredBullet"/>
      <w:lvlText w:val="%2."/>
      <w:lvlJc w:val="left"/>
      <w:pPr>
        <w:ind w:left="54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4C10BDE"/>
    <w:multiLevelType w:val="hybridMultilevel"/>
    <w:tmpl w:val="F294B8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6191598"/>
    <w:multiLevelType w:val="hybridMultilevel"/>
    <w:tmpl w:val="4F10A7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1A33E3"/>
    <w:multiLevelType w:val="hybridMultilevel"/>
    <w:tmpl w:val="7E063F80"/>
    <w:lvl w:ilvl="0" w:tplc="87C2BAA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346E40"/>
    <w:multiLevelType w:val="hybridMultilevel"/>
    <w:tmpl w:val="588681AE"/>
    <w:lvl w:ilvl="0" w:tplc="2A3C8A1A">
      <w:start w:val="1"/>
      <w:numFmt w:val="bullet"/>
      <w:pStyle w:val="Table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CFA7AFA"/>
    <w:multiLevelType w:val="hybridMultilevel"/>
    <w:tmpl w:val="41E43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2C4958"/>
    <w:multiLevelType w:val="hybridMultilevel"/>
    <w:tmpl w:val="F1C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4C5BF8"/>
    <w:multiLevelType w:val="hybridMultilevel"/>
    <w:tmpl w:val="EE420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07D4C32"/>
    <w:multiLevelType w:val="hybridMultilevel"/>
    <w:tmpl w:val="AB74F65E"/>
    <w:lvl w:ilvl="0" w:tplc="97286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F75193"/>
    <w:multiLevelType w:val="hybridMultilevel"/>
    <w:tmpl w:val="5ECC3518"/>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0" w15:restartNumberingAfterBreak="0">
    <w:nsid w:val="465606B2"/>
    <w:multiLevelType w:val="hybridMultilevel"/>
    <w:tmpl w:val="A426D802"/>
    <w:lvl w:ilvl="0" w:tplc="640A2F1E">
      <w:start w:val="1"/>
      <w:numFmt w:val="lowerLetter"/>
      <w:pStyle w:val="NormalBullet-NumberLevel2"/>
      <w:lvlText w:val="%1."/>
      <w:lvlJc w:val="left"/>
      <w:pPr>
        <w:ind w:left="1080" w:hanging="360"/>
      </w:pPr>
      <w:rPr>
        <w:rFonts w:ascii="Arial" w:hAnsi="Arial" w:cs="Arial"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99B1264"/>
    <w:multiLevelType w:val="hybridMultilevel"/>
    <w:tmpl w:val="58FE6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269D9"/>
    <w:multiLevelType w:val="hybridMultilevel"/>
    <w:tmpl w:val="DB5A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CE16A6"/>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54" w15:restartNumberingAfterBreak="0">
    <w:nsid w:val="4F251616"/>
    <w:multiLevelType w:val="hybridMultilevel"/>
    <w:tmpl w:val="EC5E8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08672A1"/>
    <w:multiLevelType w:val="hybridMultilevel"/>
    <w:tmpl w:val="3C7A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A6262A"/>
    <w:multiLevelType w:val="hybridMultilevel"/>
    <w:tmpl w:val="A8E4A926"/>
    <w:lvl w:ilvl="0" w:tplc="A06A6C9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643F51"/>
    <w:multiLevelType w:val="hybridMultilevel"/>
    <w:tmpl w:val="E576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D069E5"/>
    <w:multiLevelType w:val="hybridMultilevel"/>
    <w:tmpl w:val="DF38E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41F00A4"/>
    <w:multiLevelType w:val="hybridMultilevel"/>
    <w:tmpl w:val="80D274AC"/>
    <w:lvl w:ilvl="0" w:tplc="5E0A4304">
      <w:start w:val="1"/>
      <w:numFmt w:val="decimal"/>
      <w:lvlText w:val="%1."/>
      <w:lvlJc w:val="left"/>
      <w:pPr>
        <w:tabs>
          <w:tab w:val="num" w:pos="720"/>
        </w:tabs>
        <w:ind w:left="720" w:hanging="360"/>
      </w:pPr>
    </w:lvl>
    <w:lvl w:ilvl="1" w:tplc="5EF68142" w:tentative="1">
      <w:start w:val="1"/>
      <w:numFmt w:val="decimal"/>
      <w:lvlText w:val="%2."/>
      <w:lvlJc w:val="left"/>
      <w:pPr>
        <w:tabs>
          <w:tab w:val="num" w:pos="1440"/>
        </w:tabs>
        <w:ind w:left="1440" w:hanging="360"/>
      </w:pPr>
    </w:lvl>
    <w:lvl w:ilvl="2" w:tplc="521E9D36" w:tentative="1">
      <w:start w:val="1"/>
      <w:numFmt w:val="decimal"/>
      <w:lvlText w:val="%3."/>
      <w:lvlJc w:val="left"/>
      <w:pPr>
        <w:tabs>
          <w:tab w:val="num" w:pos="2160"/>
        </w:tabs>
        <w:ind w:left="2160" w:hanging="360"/>
      </w:pPr>
    </w:lvl>
    <w:lvl w:ilvl="3" w:tplc="CC74173C" w:tentative="1">
      <w:start w:val="1"/>
      <w:numFmt w:val="decimal"/>
      <w:lvlText w:val="%4."/>
      <w:lvlJc w:val="left"/>
      <w:pPr>
        <w:tabs>
          <w:tab w:val="num" w:pos="2880"/>
        </w:tabs>
        <w:ind w:left="2880" w:hanging="360"/>
      </w:pPr>
    </w:lvl>
    <w:lvl w:ilvl="4" w:tplc="DC7E661E" w:tentative="1">
      <w:start w:val="1"/>
      <w:numFmt w:val="decimal"/>
      <w:lvlText w:val="%5."/>
      <w:lvlJc w:val="left"/>
      <w:pPr>
        <w:tabs>
          <w:tab w:val="num" w:pos="3600"/>
        </w:tabs>
        <w:ind w:left="3600" w:hanging="360"/>
      </w:pPr>
    </w:lvl>
    <w:lvl w:ilvl="5" w:tplc="0B4A8CDE" w:tentative="1">
      <w:start w:val="1"/>
      <w:numFmt w:val="decimal"/>
      <w:lvlText w:val="%6."/>
      <w:lvlJc w:val="left"/>
      <w:pPr>
        <w:tabs>
          <w:tab w:val="num" w:pos="4320"/>
        </w:tabs>
        <w:ind w:left="4320" w:hanging="360"/>
      </w:pPr>
    </w:lvl>
    <w:lvl w:ilvl="6" w:tplc="B810DFE4" w:tentative="1">
      <w:start w:val="1"/>
      <w:numFmt w:val="decimal"/>
      <w:lvlText w:val="%7."/>
      <w:lvlJc w:val="left"/>
      <w:pPr>
        <w:tabs>
          <w:tab w:val="num" w:pos="5040"/>
        </w:tabs>
        <w:ind w:left="5040" w:hanging="360"/>
      </w:pPr>
    </w:lvl>
    <w:lvl w:ilvl="7" w:tplc="E5467236" w:tentative="1">
      <w:start w:val="1"/>
      <w:numFmt w:val="decimal"/>
      <w:lvlText w:val="%8."/>
      <w:lvlJc w:val="left"/>
      <w:pPr>
        <w:tabs>
          <w:tab w:val="num" w:pos="5760"/>
        </w:tabs>
        <w:ind w:left="5760" w:hanging="360"/>
      </w:pPr>
    </w:lvl>
    <w:lvl w:ilvl="8" w:tplc="0BEA6FD8" w:tentative="1">
      <w:start w:val="1"/>
      <w:numFmt w:val="decimal"/>
      <w:lvlText w:val="%9."/>
      <w:lvlJc w:val="left"/>
      <w:pPr>
        <w:tabs>
          <w:tab w:val="num" w:pos="6480"/>
        </w:tabs>
        <w:ind w:left="6480" w:hanging="360"/>
      </w:pPr>
    </w:lvl>
  </w:abstractNum>
  <w:abstractNum w:abstractNumId="60" w15:restartNumberingAfterBreak="0">
    <w:nsid w:val="57801DF1"/>
    <w:multiLevelType w:val="hybridMultilevel"/>
    <w:tmpl w:val="02782A62"/>
    <w:lvl w:ilvl="0" w:tplc="6C6828F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E47C4D"/>
    <w:multiLevelType w:val="hybridMultilevel"/>
    <w:tmpl w:val="CDF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166703"/>
    <w:multiLevelType w:val="hybridMultilevel"/>
    <w:tmpl w:val="49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9573E6"/>
    <w:multiLevelType w:val="hybridMultilevel"/>
    <w:tmpl w:val="C4AA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F7259B"/>
    <w:multiLevelType w:val="hybridMultilevel"/>
    <w:tmpl w:val="7C043F20"/>
    <w:lvl w:ilvl="0" w:tplc="1E9A46B4">
      <w:start w:val="1"/>
      <w:numFmt w:val="upperLetter"/>
      <w:pStyle w:val="SectionTitle"/>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EC62438"/>
    <w:multiLevelType w:val="hybridMultilevel"/>
    <w:tmpl w:val="74C87D9C"/>
    <w:lvl w:ilvl="0" w:tplc="329ACB1E">
      <w:start w:val="1"/>
      <w:numFmt w:val="bullet"/>
      <w:lvlText w:val=""/>
      <w:lvlJc w:val="left"/>
      <w:pPr>
        <w:ind w:left="772" w:hanging="360"/>
      </w:pPr>
      <w:rPr>
        <w:rFonts w:ascii="Symbol" w:eastAsia="Symbol" w:hAnsi="Symbol" w:hint="default"/>
        <w:w w:val="99"/>
        <w:sz w:val="20"/>
        <w:szCs w:val="20"/>
      </w:rPr>
    </w:lvl>
    <w:lvl w:ilvl="1" w:tplc="F6AE3D50">
      <w:start w:val="1"/>
      <w:numFmt w:val="bullet"/>
      <w:lvlText w:val="•"/>
      <w:lvlJc w:val="left"/>
      <w:pPr>
        <w:ind w:left="1229" w:hanging="360"/>
      </w:pPr>
      <w:rPr>
        <w:rFonts w:hint="default"/>
      </w:rPr>
    </w:lvl>
    <w:lvl w:ilvl="2" w:tplc="8D403820">
      <w:start w:val="1"/>
      <w:numFmt w:val="bullet"/>
      <w:lvlText w:val="•"/>
      <w:lvlJc w:val="left"/>
      <w:pPr>
        <w:ind w:left="1679" w:hanging="360"/>
      </w:pPr>
      <w:rPr>
        <w:rFonts w:hint="default"/>
      </w:rPr>
    </w:lvl>
    <w:lvl w:ilvl="3" w:tplc="9836E6D6">
      <w:start w:val="1"/>
      <w:numFmt w:val="bullet"/>
      <w:lvlText w:val="•"/>
      <w:lvlJc w:val="left"/>
      <w:pPr>
        <w:ind w:left="2129" w:hanging="360"/>
      </w:pPr>
      <w:rPr>
        <w:rFonts w:hint="default"/>
      </w:rPr>
    </w:lvl>
    <w:lvl w:ilvl="4" w:tplc="4298195C">
      <w:start w:val="1"/>
      <w:numFmt w:val="bullet"/>
      <w:lvlText w:val="•"/>
      <w:lvlJc w:val="left"/>
      <w:pPr>
        <w:ind w:left="2579" w:hanging="360"/>
      </w:pPr>
      <w:rPr>
        <w:rFonts w:hint="default"/>
      </w:rPr>
    </w:lvl>
    <w:lvl w:ilvl="5" w:tplc="2722B57C">
      <w:start w:val="1"/>
      <w:numFmt w:val="bullet"/>
      <w:lvlText w:val="•"/>
      <w:lvlJc w:val="left"/>
      <w:pPr>
        <w:ind w:left="3029" w:hanging="360"/>
      </w:pPr>
      <w:rPr>
        <w:rFonts w:hint="default"/>
      </w:rPr>
    </w:lvl>
    <w:lvl w:ilvl="6" w:tplc="F1248B5E">
      <w:start w:val="1"/>
      <w:numFmt w:val="bullet"/>
      <w:lvlText w:val="•"/>
      <w:lvlJc w:val="left"/>
      <w:pPr>
        <w:ind w:left="3479" w:hanging="360"/>
      </w:pPr>
      <w:rPr>
        <w:rFonts w:hint="default"/>
      </w:rPr>
    </w:lvl>
    <w:lvl w:ilvl="7" w:tplc="F698DA02">
      <w:start w:val="1"/>
      <w:numFmt w:val="bullet"/>
      <w:lvlText w:val="•"/>
      <w:lvlJc w:val="left"/>
      <w:pPr>
        <w:ind w:left="3929" w:hanging="360"/>
      </w:pPr>
      <w:rPr>
        <w:rFonts w:hint="default"/>
      </w:rPr>
    </w:lvl>
    <w:lvl w:ilvl="8" w:tplc="368CE840">
      <w:start w:val="1"/>
      <w:numFmt w:val="bullet"/>
      <w:lvlText w:val="•"/>
      <w:lvlJc w:val="left"/>
      <w:pPr>
        <w:ind w:left="4378" w:hanging="360"/>
      </w:pPr>
      <w:rPr>
        <w:rFonts w:hint="default"/>
      </w:rPr>
    </w:lvl>
  </w:abstractNum>
  <w:abstractNum w:abstractNumId="66" w15:restartNumberingAfterBreak="0">
    <w:nsid w:val="5F04650A"/>
    <w:multiLevelType w:val="hybridMultilevel"/>
    <w:tmpl w:val="EEEC7632"/>
    <w:lvl w:ilvl="0" w:tplc="188AD7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F1912AB"/>
    <w:multiLevelType w:val="hybridMultilevel"/>
    <w:tmpl w:val="DEAE54F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8" w15:restartNumberingAfterBreak="0">
    <w:nsid w:val="614E3EA6"/>
    <w:multiLevelType w:val="hybridMultilevel"/>
    <w:tmpl w:val="F1AC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4F6CCB"/>
    <w:multiLevelType w:val="hybridMultilevel"/>
    <w:tmpl w:val="469C57C2"/>
    <w:lvl w:ilvl="0" w:tplc="457294DC">
      <w:start w:val="1"/>
      <w:numFmt w:val="decimal"/>
      <w:pStyle w:val="NormalBullet"/>
      <w:lvlText w:val="%1."/>
      <w:lvlJc w:val="left"/>
      <w:pPr>
        <w:ind w:left="720" w:hanging="360"/>
      </w:pPr>
      <w:rPr>
        <w:rFonts w:hint="default"/>
      </w:rPr>
    </w:lvl>
    <w:lvl w:ilvl="1" w:tplc="2CA2BD80">
      <w:start w:val="1"/>
      <w:numFmt w:val="lowerLetter"/>
      <w:pStyle w:val="NormalBullet-Level2"/>
      <w:lvlText w:val="%2."/>
      <w:lvlJc w:val="left"/>
      <w:pPr>
        <w:ind w:left="1440" w:hanging="360"/>
      </w:pPr>
      <w:rPr>
        <w:b w:val="0"/>
        <w:i w:val="0"/>
      </w:rPr>
    </w:lvl>
    <w:lvl w:ilvl="2" w:tplc="3524324E">
      <w:start w:val="1"/>
      <w:numFmt w:val="lowerRoman"/>
      <w:pStyle w:val="NormalBullet-Level3"/>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A710FB"/>
    <w:multiLevelType w:val="hybridMultilevel"/>
    <w:tmpl w:val="31E47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C8754F7"/>
    <w:multiLevelType w:val="hybridMultilevel"/>
    <w:tmpl w:val="C9BE096E"/>
    <w:lvl w:ilvl="0" w:tplc="DBF294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475E37"/>
    <w:multiLevelType w:val="hybridMultilevel"/>
    <w:tmpl w:val="9250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655BD6"/>
    <w:multiLevelType w:val="hybridMultilevel"/>
    <w:tmpl w:val="78F81DD8"/>
    <w:lvl w:ilvl="0" w:tplc="51B89552">
      <w:start w:val="1"/>
      <w:numFmt w:val="bullet"/>
      <w:pStyle w:val="Style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4" w15:restartNumberingAfterBreak="0">
    <w:nsid w:val="72EE5370"/>
    <w:multiLevelType w:val="hybridMultilevel"/>
    <w:tmpl w:val="85A81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3E31FA"/>
    <w:multiLevelType w:val="hybridMultilevel"/>
    <w:tmpl w:val="DF3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A60636"/>
    <w:multiLevelType w:val="hybridMultilevel"/>
    <w:tmpl w:val="0C56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3F5E46"/>
    <w:multiLevelType w:val="hybridMultilevel"/>
    <w:tmpl w:val="9E74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EA6D0E"/>
    <w:multiLevelType w:val="hybridMultilevel"/>
    <w:tmpl w:val="EA18463E"/>
    <w:lvl w:ilvl="0" w:tplc="0409000F">
      <w:start w:val="1"/>
      <w:numFmt w:val="decimal"/>
      <w:lvlText w:val="%1."/>
      <w:lvlJc w:val="left"/>
      <w:pPr>
        <w:ind w:left="3120" w:hanging="360"/>
      </w:pPr>
      <w:rPr>
        <w:rFonts w:hint="default"/>
      </w:rPr>
    </w:lvl>
    <w:lvl w:ilvl="1" w:tplc="04090003">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79" w15:restartNumberingAfterBreak="0">
    <w:nsid w:val="797D0E66"/>
    <w:multiLevelType w:val="hybridMultilevel"/>
    <w:tmpl w:val="1F9E5E92"/>
    <w:lvl w:ilvl="0" w:tplc="329ACB1E">
      <w:start w:val="1"/>
      <w:numFmt w:val="bullet"/>
      <w:lvlText w:val=""/>
      <w:lvlJc w:val="left"/>
      <w:pPr>
        <w:ind w:left="772"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0F3B72"/>
    <w:multiLevelType w:val="hybridMultilevel"/>
    <w:tmpl w:val="6836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37"/>
  </w:num>
  <w:num w:numId="4">
    <w:abstractNumId w:val="11"/>
  </w:num>
  <w:num w:numId="5">
    <w:abstractNumId w:val="16"/>
  </w:num>
  <w:num w:numId="6">
    <w:abstractNumId w:val="48"/>
  </w:num>
  <w:num w:numId="7">
    <w:abstractNumId w:val="39"/>
  </w:num>
  <w:num w:numId="8">
    <w:abstractNumId w:val="77"/>
  </w:num>
  <w:num w:numId="9">
    <w:abstractNumId w:val="57"/>
  </w:num>
  <w:num w:numId="10">
    <w:abstractNumId w:val="56"/>
  </w:num>
  <w:num w:numId="11">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4"/>
  </w:num>
  <w:num w:numId="13">
    <w:abstractNumId w:val="40"/>
  </w:num>
  <w:num w:numId="14">
    <w:abstractNumId w:val="44"/>
  </w:num>
  <w:num w:numId="15">
    <w:abstractNumId w:val="32"/>
  </w:num>
  <w:num w:numId="16">
    <w:abstractNumId w:val="41"/>
  </w:num>
  <w:num w:numId="17">
    <w:abstractNumId w:val="27"/>
  </w:num>
  <w:num w:numId="18">
    <w:abstractNumId w:val="13"/>
  </w:num>
  <w:num w:numId="19">
    <w:abstractNumId w:val="35"/>
  </w:num>
  <w:num w:numId="20">
    <w:abstractNumId w:val="18"/>
  </w:num>
  <w:num w:numId="21">
    <w:abstractNumId w:val="38"/>
  </w:num>
  <w:num w:numId="22">
    <w:abstractNumId w:val="52"/>
  </w:num>
  <w:num w:numId="23">
    <w:abstractNumId w:val="31"/>
  </w:num>
  <w:num w:numId="24">
    <w:abstractNumId w:val="72"/>
  </w:num>
  <w:num w:numId="25">
    <w:abstractNumId w:val="47"/>
  </w:num>
  <w:num w:numId="26">
    <w:abstractNumId w:val="63"/>
  </w:num>
  <w:num w:numId="27">
    <w:abstractNumId w:val="60"/>
  </w:num>
  <w:num w:numId="28">
    <w:abstractNumId w:val="55"/>
  </w:num>
  <w:num w:numId="29">
    <w:abstractNumId w:val="54"/>
  </w:num>
  <w:num w:numId="30">
    <w:abstractNumId w:val="29"/>
  </w:num>
  <w:num w:numId="31">
    <w:abstractNumId w:val="46"/>
  </w:num>
  <w:num w:numId="32">
    <w:abstractNumId w:val="65"/>
  </w:num>
  <w:num w:numId="33">
    <w:abstractNumId w:val="79"/>
  </w:num>
  <w:num w:numId="34">
    <w:abstractNumId w:val="50"/>
  </w:num>
  <w:num w:numId="35">
    <w:abstractNumId w:val="23"/>
  </w:num>
  <w:num w:numId="36">
    <w:abstractNumId w:val="58"/>
  </w:num>
  <w:num w:numId="37">
    <w:abstractNumId w:val="75"/>
  </w:num>
  <w:num w:numId="38">
    <w:abstractNumId w:val="49"/>
  </w:num>
  <w:num w:numId="39">
    <w:abstractNumId w:val="24"/>
  </w:num>
  <w:num w:numId="40">
    <w:abstractNumId w:val="30"/>
  </w:num>
  <w:num w:numId="41">
    <w:abstractNumId w:val="76"/>
  </w:num>
  <w:num w:numId="42">
    <w:abstractNumId w:val="0"/>
  </w:num>
  <w:num w:numId="43">
    <w:abstractNumId w:val="1"/>
  </w:num>
  <w:num w:numId="44">
    <w:abstractNumId w:val="20"/>
  </w:num>
  <w:num w:numId="45">
    <w:abstractNumId w:val="15"/>
  </w:num>
  <w:num w:numId="46">
    <w:abstractNumId w:val="10"/>
  </w:num>
  <w:num w:numId="47">
    <w:abstractNumId w:val="9"/>
  </w:num>
  <w:num w:numId="48">
    <w:abstractNumId w:val="8"/>
  </w:num>
  <w:num w:numId="49">
    <w:abstractNumId w:val="7"/>
  </w:num>
  <w:num w:numId="50">
    <w:abstractNumId w:val="6"/>
  </w:num>
  <w:num w:numId="51">
    <w:abstractNumId w:val="5"/>
  </w:num>
  <w:num w:numId="52">
    <w:abstractNumId w:val="4"/>
  </w:num>
  <w:num w:numId="53">
    <w:abstractNumId w:val="3"/>
  </w:num>
  <w:num w:numId="54">
    <w:abstractNumId w:val="2"/>
  </w:num>
  <w:num w:numId="55">
    <w:abstractNumId w:val="74"/>
  </w:num>
  <w:num w:numId="56">
    <w:abstractNumId w:val="14"/>
  </w:num>
  <w:num w:numId="57">
    <w:abstractNumId w:val="12"/>
  </w:num>
  <w:num w:numId="58">
    <w:abstractNumId w:val="22"/>
  </w:num>
  <w:num w:numId="59">
    <w:abstractNumId w:val="78"/>
  </w:num>
  <w:num w:numId="60">
    <w:abstractNumId w:val="42"/>
  </w:num>
  <w:num w:numId="61">
    <w:abstractNumId w:val="67"/>
  </w:num>
  <w:num w:numId="62">
    <w:abstractNumId w:val="59"/>
  </w:num>
  <w:num w:numId="63">
    <w:abstractNumId w:val="70"/>
  </w:num>
  <w:num w:numId="64">
    <w:abstractNumId w:val="61"/>
  </w:num>
  <w:num w:numId="65">
    <w:abstractNumId w:val="66"/>
  </w:num>
  <w:num w:numId="66">
    <w:abstractNumId w:val="53"/>
  </w:num>
  <w:num w:numId="67">
    <w:abstractNumId w:val="71"/>
  </w:num>
  <w:num w:numId="68">
    <w:abstractNumId w:val="68"/>
  </w:num>
  <w:num w:numId="69">
    <w:abstractNumId w:val="69"/>
  </w:num>
  <w:num w:numId="70">
    <w:abstractNumId w:val="33"/>
  </w:num>
  <w:num w:numId="71">
    <w:abstractNumId w:val="28"/>
  </w:num>
  <w:num w:numId="72">
    <w:abstractNumId w:val="26"/>
  </w:num>
  <w:num w:numId="73">
    <w:abstractNumId w:val="21"/>
  </w:num>
  <w:num w:numId="74">
    <w:abstractNumId w:val="62"/>
  </w:num>
  <w:num w:numId="75">
    <w:abstractNumId w:val="45"/>
  </w:num>
  <w:num w:numId="76">
    <w:abstractNumId w:val="80"/>
  </w:num>
  <w:num w:numId="77">
    <w:abstractNumId w:val="51"/>
  </w:num>
  <w:num w:numId="78">
    <w:abstractNumId w:val="25"/>
  </w:num>
  <w:num w:numId="79">
    <w:abstractNumId w:val="43"/>
  </w:num>
  <w:num w:numId="80">
    <w:abstractNumId w:val="36"/>
  </w:num>
  <w:num w:numId="81">
    <w:abstractNumId w:val="1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s-PR" w:vendorID="64" w:dllVersion="131078" w:nlCheck="1" w:checkStyle="1"/>
  <w:activeWritingStyle w:appName="MSWord" w:lang="en" w:vendorID="64" w:dllVersion="131078" w:nlCheck="1" w:checkStyle="1"/>
  <w:activeWritingStyle w:appName="MSWord" w:lang="en-GB"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01"/>
    <w:rsid w:val="000003C2"/>
    <w:rsid w:val="00000698"/>
    <w:rsid w:val="00000ADD"/>
    <w:rsid w:val="0000133B"/>
    <w:rsid w:val="000018E1"/>
    <w:rsid w:val="00001BAC"/>
    <w:rsid w:val="00002022"/>
    <w:rsid w:val="0000263F"/>
    <w:rsid w:val="00003BCC"/>
    <w:rsid w:val="00003BE2"/>
    <w:rsid w:val="000041F4"/>
    <w:rsid w:val="00004A51"/>
    <w:rsid w:val="00004BE2"/>
    <w:rsid w:val="000053E7"/>
    <w:rsid w:val="000056C5"/>
    <w:rsid w:val="00005729"/>
    <w:rsid w:val="00005779"/>
    <w:rsid w:val="00005B28"/>
    <w:rsid w:val="00005E0A"/>
    <w:rsid w:val="00005F04"/>
    <w:rsid w:val="000064EB"/>
    <w:rsid w:val="0000660B"/>
    <w:rsid w:val="00006648"/>
    <w:rsid w:val="0000715F"/>
    <w:rsid w:val="0000716B"/>
    <w:rsid w:val="000073F4"/>
    <w:rsid w:val="0000746E"/>
    <w:rsid w:val="000077A5"/>
    <w:rsid w:val="00007820"/>
    <w:rsid w:val="000101CB"/>
    <w:rsid w:val="00010528"/>
    <w:rsid w:val="000105DD"/>
    <w:rsid w:val="00010879"/>
    <w:rsid w:val="00010AAD"/>
    <w:rsid w:val="00010D26"/>
    <w:rsid w:val="000110FA"/>
    <w:rsid w:val="000114CB"/>
    <w:rsid w:val="00011850"/>
    <w:rsid w:val="000118AA"/>
    <w:rsid w:val="00012189"/>
    <w:rsid w:val="0001231A"/>
    <w:rsid w:val="00012493"/>
    <w:rsid w:val="0001252E"/>
    <w:rsid w:val="0001267F"/>
    <w:rsid w:val="000131F1"/>
    <w:rsid w:val="000132A6"/>
    <w:rsid w:val="00013436"/>
    <w:rsid w:val="0001388C"/>
    <w:rsid w:val="00013BA9"/>
    <w:rsid w:val="00014040"/>
    <w:rsid w:val="0001414E"/>
    <w:rsid w:val="0001418D"/>
    <w:rsid w:val="00014A82"/>
    <w:rsid w:val="00014A94"/>
    <w:rsid w:val="00014F37"/>
    <w:rsid w:val="000150BB"/>
    <w:rsid w:val="00015532"/>
    <w:rsid w:val="00015822"/>
    <w:rsid w:val="00015845"/>
    <w:rsid w:val="00015FD6"/>
    <w:rsid w:val="000163AB"/>
    <w:rsid w:val="00016ABB"/>
    <w:rsid w:val="00016D33"/>
    <w:rsid w:val="00016DF5"/>
    <w:rsid w:val="00016FEE"/>
    <w:rsid w:val="00017219"/>
    <w:rsid w:val="00017272"/>
    <w:rsid w:val="000200E5"/>
    <w:rsid w:val="00020207"/>
    <w:rsid w:val="0002036B"/>
    <w:rsid w:val="00020625"/>
    <w:rsid w:val="00020EDA"/>
    <w:rsid w:val="00021185"/>
    <w:rsid w:val="000211CE"/>
    <w:rsid w:val="00021621"/>
    <w:rsid w:val="000217A1"/>
    <w:rsid w:val="00021CC5"/>
    <w:rsid w:val="00022164"/>
    <w:rsid w:val="00022678"/>
    <w:rsid w:val="00022E9D"/>
    <w:rsid w:val="00022F10"/>
    <w:rsid w:val="0002312B"/>
    <w:rsid w:val="000231C3"/>
    <w:rsid w:val="00023D8F"/>
    <w:rsid w:val="00023FD6"/>
    <w:rsid w:val="00024358"/>
    <w:rsid w:val="00024695"/>
    <w:rsid w:val="00024952"/>
    <w:rsid w:val="00024C73"/>
    <w:rsid w:val="000250AC"/>
    <w:rsid w:val="0002520C"/>
    <w:rsid w:val="000252BE"/>
    <w:rsid w:val="0002532B"/>
    <w:rsid w:val="0002540E"/>
    <w:rsid w:val="00025695"/>
    <w:rsid w:val="00025BC5"/>
    <w:rsid w:val="00025DB8"/>
    <w:rsid w:val="00025EEB"/>
    <w:rsid w:val="0002622A"/>
    <w:rsid w:val="000264E0"/>
    <w:rsid w:val="000265F9"/>
    <w:rsid w:val="00027000"/>
    <w:rsid w:val="00027009"/>
    <w:rsid w:val="00027175"/>
    <w:rsid w:val="000276AF"/>
    <w:rsid w:val="000277C3"/>
    <w:rsid w:val="0002786E"/>
    <w:rsid w:val="00027C7C"/>
    <w:rsid w:val="00030053"/>
    <w:rsid w:val="00030124"/>
    <w:rsid w:val="000304E2"/>
    <w:rsid w:val="00030599"/>
    <w:rsid w:val="00030F39"/>
    <w:rsid w:val="00031283"/>
    <w:rsid w:val="00031756"/>
    <w:rsid w:val="0003179B"/>
    <w:rsid w:val="000317A7"/>
    <w:rsid w:val="000317D4"/>
    <w:rsid w:val="00031930"/>
    <w:rsid w:val="00031C2F"/>
    <w:rsid w:val="00031CF6"/>
    <w:rsid w:val="00031D20"/>
    <w:rsid w:val="00032620"/>
    <w:rsid w:val="0003282A"/>
    <w:rsid w:val="00032D11"/>
    <w:rsid w:val="00032DD2"/>
    <w:rsid w:val="0003323D"/>
    <w:rsid w:val="00033D34"/>
    <w:rsid w:val="00033DAA"/>
    <w:rsid w:val="00034238"/>
    <w:rsid w:val="000346A4"/>
    <w:rsid w:val="0003483B"/>
    <w:rsid w:val="00034904"/>
    <w:rsid w:val="00034B0D"/>
    <w:rsid w:val="00034D01"/>
    <w:rsid w:val="00035035"/>
    <w:rsid w:val="0003522E"/>
    <w:rsid w:val="000357CB"/>
    <w:rsid w:val="00035C7C"/>
    <w:rsid w:val="00035F0A"/>
    <w:rsid w:val="00035FF5"/>
    <w:rsid w:val="00036454"/>
    <w:rsid w:val="0003651D"/>
    <w:rsid w:val="00036B15"/>
    <w:rsid w:val="00037F84"/>
    <w:rsid w:val="000402F2"/>
    <w:rsid w:val="00040733"/>
    <w:rsid w:val="00040B57"/>
    <w:rsid w:val="00041370"/>
    <w:rsid w:val="00041DA2"/>
    <w:rsid w:val="000424EB"/>
    <w:rsid w:val="0004262C"/>
    <w:rsid w:val="000427C1"/>
    <w:rsid w:val="000427E1"/>
    <w:rsid w:val="00042837"/>
    <w:rsid w:val="000428EF"/>
    <w:rsid w:val="00042938"/>
    <w:rsid w:val="00042A4C"/>
    <w:rsid w:val="00042C93"/>
    <w:rsid w:val="00042DF2"/>
    <w:rsid w:val="00043270"/>
    <w:rsid w:val="0004347F"/>
    <w:rsid w:val="000434A4"/>
    <w:rsid w:val="00043755"/>
    <w:rsid w:val="00043795"/>
    <w:rsid w:val="00043C28"/>
    <w:rsid w:val="00043F82"/>
    <w:rsid w:val="00044867"/>
    <w:rsid w:val="00045336"/>
    <w:rsid w:val="0004587E"/>
    <w:rsid w:val="00045AB1"/>
    <w:rsid w:val="00045B33"/>
    <w:rsid w:val="00045F29"/>
    <w:rsid w:val="00046776"/>
    <w:rsid w:val="00046DE0"/>
    <w:rsid w:val="00046E56"/>
    <w:rsid w:val="000470CB"/>
    <w:rsid w:val="00047365"/>
    <w:rsid w:val="00047AB6"/>
    <w:rsid w:val="00050072"/>
    <w:rsid w:val="00050439"/>
    <w:rsid w:val="00050762"/>
    <w:rsid w:val="00050949"/>
    <w:rsid w:val="000511DA"/>
    <w:rsid w:val="00051474"/>
    <w:rsid w:val="00052226"/>
    <w:rsid w:val="000522C0"/>
    <w:rsid w:val="00052591"/>
    <w:rsid w:val="00052A0B"/>
    <w:rsid w:val="00053174"/>
    <w:rsid w:val="000532E3"/>
    <w:rsid w:val="00053AC3"/>
    <w:rsid w:val="00053C01"/>
    <w:rsid w:val="00053C25"/>
    <w:rsid w:val="000543C8"/>
    <w:rsid w:val="00054425"/>
    <w:rsid w:val="00054856"/>
    <w:rsid w:val="00054B7C"/>
    <w:rsid w:val="000550B8"/>
    <w:rsid w:val="000557D8"/>
    <w:rsid w:val="00055D17"/>
    <w:rsid w:val="00057304"/>
    <w:rsid w:val="00057396"/>
    <w:rsid w:val="00057843"/>
    <w:rsid w:val="00057B7D"/>
    <w:rsid w:val="000603F3"/>
    <w:rsid w:val="0006055B"/>
    <w:rsid w:val="00060772"/>
    <w:rsid w:val="00060896"/>
    <w:rsid w:val="00060C45"/>
    <w:rsid w:val="00060C84"/>
    <w:rsid w:val="000612C0"/>
    <w:rsid w:val="00061526"/>
    <w:rsid w:val="000615BA"/>
    <w:rsid w:val="000619D5"/>
    <w:rsid w:val="00061F29"/>
    <w:rsid w:val="00063164"/>
    <w:rsid w:val="0006331E"/>
    <w:rsid w:val="0006369E"/>
    <w:rsid w:val="00063C1C"/>
    <w:rsid w:val="00063C1D"/>
    <w:rsid w:val="00063D6A"/>
    <w:rsid w:val="00064078"/>
    <w:rsid w:val="000642E1"/>
    <w:rsid w:val="0006462D"/>
    <w:rsid w:val="000648E5"/>
    <w:rsid w:val="00064A49"/>
    <w:rsid w:val="00064C89"/>
    <w:rsid w:val="000650A6"/>
    <w:rsid w:val="000650CE"/>
    <w:rsid w:val="00065143"/>
    <w:rsid w:val="00065370"/>
    <w:rsid w:val="00065656"/>
    <w:rsid w:val="00065DCD"/>
    <w:rsid w:val="00066302"/>
    <w:rsid w:val="00066651"/>
    <w:rsid w:val="00066877"/>
    <w:rsid w:val="00066915"/>
    <w:rsid w:val="00066AAC"/>
    <w:rsid w:val="00066D98"/>
    <w:rsid w:val="00067281"/>
    <w:rsid w:val="00067315"/>
    <w:rsid w:val="00067338"/>
    <w:rsid w:val="00067705"/>
    <w:rsid w:val="00067F2C"/>
    <w:rsid w:val="0007101C"/>
    <w:rsid w:val="00071194"/>
    <w:rsid w:val="00071EDE"/>
    <w:rsid w:val="00071FA5"/>
    <w:rsid w:val="000729BB"/>
    <w:rsid w:val="00072ADD"/>
    <w:rsid w:val="000736B7"/>
    <w:rsid w:val="000737C8"/>
    <w:rsid w:val="00073B9E"/>
    <w:rsid w:val="0007435C"/>
    <w:rsid w:val="00074514"/>
    <w:rsid w:val="000747DC"/>
    <w:rsid w:val="00074FE8"/>
    <w:rsid w:val="0007525B"/>
    <w:rsid w:val="00075676"/>
    <w:rsid w:val="00075685"/>
    <w:rsid w:val="000758A0"/>
    <w:rsid w:val="00075B2E"/>
    <w:rsid w:val="00075F35"/>
    <w:rsid w:val="000767FE"/>
    <w:rsid w:val="000774D0"/>
    <w:rsid w:val="0007778A"/>
    <w:rsid w:val="0007784F"/>
    <w:rsid w:val="00077A33"/>
    <w:rsid w:val="000803D6"/>
    <w:rsid w:val="000806FB"/>
    <w:rsid w:val="0008110D"/>
    <w:rsid w:val="00081697"/>
    <w:rsid w:val="000818D4"/>
    <w:rsid w:val="00081A47"/>
    <w:rsid w:val="00081E15"/>
    <w:rsid w:val="00082E50"/>
    <w:rsid w:val="00083122"/>
    <w:rsid w:val="0008339F"/>
    <w:rsid w:val="000835F6"/>
    <w:rsid w:val="00083C21"/>
    <w:rsid w:val="00084037"/>
    <w:rsid w:val="00084106"/>
    <w:rsid w:val="0008413D"/>
    <w:rsid w:val="000843F5"/>
    <w:rsid w:val="000843F9"/>
    <w:rsid w:val="00084D12"/>
    <w:rsid w:val="00084DFF"/>
    <w:rsid w:val="00084E9B"/>
    <w:rsid w:val="00084ECB"/>
    <w:rsid w:val="000854E7"/>
    <w:rsid w:val="00085503"/>
    <w:rsid w:val="0008579B"/>
    <w:rsid w:val="00085DA2"/>
    <w:rsid w:val="00085F2A"/>
    <w:rsid w:val="0008639B"/>
    <w:rsid w:val="000865F8"/>
    <w:rsid w:val="00086852"/>
    <w:rsid w:val="00087568"/>
    <w:rsid w:val="0008756B"/>
    <w:rsid w:val="000875EC"/>
    <w:rsid w:val="00087B42"/>
    <w:rsid w:val="00090BE3"/>
    <w:rsid w:val="00090EDC"/>
    <w:rsid w:val="0009103C"/>
    <w:rsid w:val="00091147"/>
    <w:rsid w:val="00091277"/>
    <w:rsid w:val="000913F1"/>
    <w:rsid w:val="00091406"/>
    <w:rsid w:val="00091419"/>
    <w:rsid w:val="00091497"/>
    <w:rsid w:val="000917F1"/>
    <w:rsid w:val="00091932"/>
    <w:rsid w:val="00091943"/>
    <w:rsid w:val="00091FBB"/>
    <w:rsid w:val="00092F0C"/>
    <w:rsid w:val="00092FE1"/>
    <w:rsid w:val="00093019"/>
    <w:rsid w:val="00093066"/>
    <w:rsid w:val="000932B2"/>
    <w:rsid w:val="000935E3"/>
    <w:rsid w:val="000939B1"/>
    <w:rsid w:val="00094741"/>
    <w:rsid w:val="0009501B"/>
    <w:rsid w:val="00095131"/>
    <w:rsid w:val="000951C5"/>
    <w:rsid w:val="000952B0"/>
    <w:rsid w:val="00095501"/>
    <w:rsid w:val="0009570A"/>
    <w:rsid w:val="00095A78"/>
    <w:rsid w:val="00095B0B"/>
    <w:rsid w:val="00095CD9"/>
    <w:rsid w:val="0009658A"/>
    <w:rsid w:val="00096680"/>
    <w:rsid w:val="000968C3"/>
    <w:rsid w:val="00096BCD"/>
    <w:rsid w:val="00096CBB"/>
    <w:rsid w:val="00096D50"/>
    <w:rsid w:val="00096DC6"/>
    <w:rsid w:val="00096DCC"/>
    <w:rsid w:val="00096F75"/>
    <w:rsid w:val="0009702C"/>
    <w:rsid w:val="000972C8"/>
    <w:rsid w:val="00097378"/>
    <w:rsid w:val="0009744E"/>
    <w:rsid w:val="000978A8"/>
    <w:rsid w:val="00097B04"/>
    <w:rsid w:val="00097E82"/>
    <w:rsid w:val="000A0413"/>
    <w:rsid w:val="000A05D0"/>
    <w:rsid w:val="000A09CD"/>
    <w:rsid w:val="000A1638"/>
    <w:rsid w:val="000A1A19"/>
    <w:rsid w:val="000A2209"/>
    <w:rsid w:val="000A2245"/>
    <w:rsid w:val="000A41A0"/>
    <w:rsid w:val="000A42DC"/>
    <w:rsid w:val="000A4A6D"/>
    <w:rsid w:val="000A4FCE"/>
    <w:rsid w:val="000A504D"/>
    <w:rsid w:val="000A5AEC"/>
    <w:rsid w:val="000A67B3"/>
    <w:rsid w:val="000A6AAA"/>
    <w:rsid w:val="000A6BAA"/>
    <w:rsid w:val="000A6BBB"/>
    <w:rsid w:val="000A6F57"/>
    <w:rsid w:val="000A6F7A"/>
    <w:rsid w:val="000A73A0"/>
    <w:rsid w:val="000B000D"/>
    <w:rsid w:val="000B004A"/>
    <w:rsid w:val="000B055D"/>
    <w:rsid w:val="000B1614"/>
    <w:rsid w:val="000B1A26"/>
    <w:rsid w:val="000B269A"/>
    <w:rsid w:val="000B27E8"/>
    <w:rsid w:val="000B2BB1"/>
    <w:rsid w:val="000B2D07"/>
    <w:rsid w:val="000B2E9E"/>
    <w:rsid w:val="000B35EB"/>
    <w:rsid w:val="000B3943"/>
    <w:rsid w:val="000B3DD6"/>
    <w:rsid w:val="000B4A01"/>
    <w:rsid w:val="000B4E3C"/>
    <w:rsid w:val="000B4E47"/>
    <w:rsid w:val="000B5F9A"/>
    <w:rsid w:val="000B6591"/>
    <w:rsid w:val="000B6772"/>
    <w:rsid w:val="000B6CFC"/>
    <w:rsid w:val="000B6E52"/>
    <w:rsid w:val="000B6FFB"/>
    <w:rsid w:val="000B739C"/>
    <w:rsid w:val="000C0177"/>
    <w:rsid w:val="000C039D"/>
    <w:rsid w:val="000C0517"/>
    <w:rsid w:val="000C051F"/>
    <w:rsid w:val="000C0795"/>
    <w:rsid w:val="000C08B0"/>
    <w:rsid w:val="000C12CC"/>
    <w:rsid w:val="000C12D7"/>
    <w:rsid w:val="000C16AC"/>
    <w:rsid w:val="000C176A"/>
    <w:rsid w:val="000C17E7"/>
    <w:rsid w:val="000C1D58"/>
    <w:rsid w:val="000C21DC"/>
    <w:rsid w:val="000C22F9"/>
    <w:rsid w:val="000C23B0"/>
    <w:rsid w:val="000C25B2"/>
    <w:rsid w:val="000C28C6"/>
    <w:rsid w:val="000C2E4A"/>
    <w:rsid w:val="000C3326"/>
    <w:rsid w:val="000C3714"/>
    <w:rsid w:val="000C3C15"/>
    <w:rsid w:val="000C3C63"/>
    <w:rsid w:val="000C458A"/>
    <w:rsid w:val="000C5929"/>
    <w:rsid w:val="000C5B64"/>
    <w:rsid w:val="000C5DFE"/>
    <w:rsid w:val="000C6936"/>
    <w:rsid w:val="000C6975"/>
    <w:rsid w:val="000C70AA"/>
    <w:rsid w:val="000C7270"/>
    <w:rsid w:val="000C7307"/>
    <w:rsid w:val="000C74D8"/>
    <w:rsid w:val="000C7BDF"/>
    <w:rsid w:val="000D037C"/>
    <w:rsid w:val="000D05AB"/>
    <w:rsid w:val="000D0CC9"/>
    <w:rsid w:val="000D0EC2"/>
    <w:rsid w:val="000D1195"/>
    <w:rsid w:val="000D11A6"/>
    <w:rsid w:val="000D23A1"/>
    <w:rsid w:val="000D24A3"/>
    <w:rsid w:val="000D27E0"/>
    <w:rsid w:val="000D290E"/>
    <w:rsid w:val="000D2AEA"/>
    <w:rsid w:val="000D2B0A"/>
    <w:rsid w:val="000D2C5B"/>
    <w:rsid w:val="000D2E2A"/>
    <w:rsid w:val="000D32E3"/>
    <w:rsid w:val="000D379A"/>
    <w:rsid w:val="000D3ED5"/>
    <w:rsid w:val="000D439E"/>
    <w:rsid w:val="000D46D1"/>
    <w:rsid w:val="000D4861"/>
    <w:rsid w:val="000D504F"/>
    <w:rsid w:val="000D519F"/>
    <w:rsid w:val="000D51B3"/>
    <w:rsid w:val="000D52F6"/>
    <w:rsid w:val="000D5BE3"/>
    <w:rsid w:val="000D5E11"/>
    <w:rsid w:val="000D6590"/>
    <w:rsid w:val="000D6933"/>
    <w:rsid w:val="000D6A66"/>
    <w:rsid w:val="000D6EB2"/>
    <w:rsid w:val="000D7190"/>
    <w:rsid w:val="000D751B"/>
    <w:rsid w:val="000D774E"/>
    <w:rsid w:val="000D7946"/>
    <w:rsid w:val="000D7A5E"/>
    <w:rsid w:val="000D7C16"/>
    <w:rsid w:val="000D7DC7"/>
    <w:rsid w:val="000E01C2"/>
    <w:rsid w:val="000E0284"/>
    <w:rsid w:val="000E0569"/>
    <w:rsid w:val="000E06D3"/>
    <w:rsid w:val="000E0A24"/>
    <w:rsid w:val="000E0C22"/>
    <w:rsid w:val="000E11AD"/>
    <w:rsid w:val="000E16D2"/>
    <w:rsid w:val="000E1A54"/>
    <w:rsid w:val="000E243C"/>
    <w:rsid w:val="000E3044"/>
    <w:rsid w:val="000E3804"/>
    <w:rsid w:val="000E3809"/>
    <w:rsid w:val="000E3C4F"/>
    <w:rsid w:val="000E48DE"/>
    <w:rsid w:val="000E49C2"/>
    <w:rsid w:val="000E4E02"/>
    <w:rsid w:val="000E4E0F"/>
    <w:rsid w:val="000E5A27"/>
    <w:rsid w:val="000E5AFF"/>
    <w:rsid w:val="000E5BE8"/>
    <w:rsid w:val="000E5E3B"/>
    <w:rsid w:val="000E64D3"/>
    <w:rsid w:val="000E64E3"/>
    <w:rsid w:val="000E6533"/>
    <w:rsid w:val="000E7518"/>
    <w:rsid w:val="000E772C"/>
    <w:rsid w:val="000E788E"/>
    <w:rsid w:val="000E7B22"/>
    <w:rsid w:val="000F0428"/>
    <w:rsid w:val="000F0779"/>
    <w:rsid w:val="000F0D6C"/>
    <w:rsid w:val="000F0DF8"/>
    <w:rsid w:val="000F1391"/>
    <w:rsid w:val="000F14FE"/>
    <w:rsid w:val="000F2571"/>
    <w:rsid w:val="000F266B"/>
    <w:rsid w:val="000F2728"/>
    <w:rsid w:val="000F304C"/>
    <w:rsid w:val="000F3533"/>
    <w:rsid w:val="000F37FF"/>
    <w:rsid w:val="000F38F4"/>
    <w:rsid w:val="000F4388"/>
    <w:rsid w:val="000F438C"/>
    <w:rsid w:val="000F492E"/>
    <w:rsid w:val="000F4C7D"/>
    <w:rsid w:val="000F556D"/>
    <w:rsid w:val="000F5597"/>
    <w:rsid w:val="000F598E"/>
    <w:rsid w:val="000F599B"/>
    <w:rsid w:val="000F5BD1"/>
    <w:rsid w:val="000F5F98"/>
    <w:rsid w:val="000F61FE"/>
    <w:rsid w:val="000F692A"/>
    <w:rsid w:val="000F6ACC"/>
    <w:rsid w:val="000F6C7C"/>
    <w:rsid w:val="000F7032"/>
    <w:rsid w:val="000F72A6"/>
    <w:rsid w:val="000F7433"/>
    <w:rsid w:val="000F7501"/>
    <w:rsid w:val="000F77D3"/>
    <w:rsid w:val="00100516"/>
    <w:rsid w:val="00100E12"/>
    <w:rsid w:val="001011A6"/>
    <w:rsid w:val="0010139F"/>
    <w:rsid w:val="00101863"/>
    <w:rsid w:val="00101886"/>
    <w:rsid w:val="00101889"/>
    <w:rsid w:val="001019AF"/>
    <w:rsid w:val="00101F68"/>
    <w:rsid w:val="00102286"/>
    <w:rsid w:val="00102292"/>
    <w:rsid w:val="00102468"/>
    <w:rsid w:val="00102B26"/>
    <w:rsid w:val="00103584"/>
    <w:rsid w:val="0010361B"/>
    <w:rsid w:val="00103D6B"/>
    <w:rsid w:val="0010406D"/>
    <w:rsid w:val="001042D7"/>
    <w:rsid w:val="001043AB"/>
    <w:rsid w:val="0010445A"/>
    <w:rsid w:val="00104A5F"/>
    <w:rsid w:val="00104F53"/>
    <w:rsid w:val="0010506C"/>
    <w:rsid w:val="001052E4"/>
    <w:rsid w:val="0010611E"/>
    <w:rsid w:val="00106179"/>
    <w:rsid w:val="00106301"/>
    <w:rsid w:val="001065E1"/>
    <w:rsid w:val="00106DE5"/>
    <w:rsid w:val="00106DF5"/>
    <w:rsid w:val="00107073"/>
    <w:rsid w:val="001073C2"/>
    <w:rsid w:val="001074CE"/>
    <w:rsid w:val="00107AC0"/>
    <w:rsid w:val="0011008E"/>
    <w:rsid w:val="0011053B"/>
    <w:rsid w:val="0011096A"/>
    <w:rsid w:val="00110F09"/>
    <w:rsid w:val="001118CB"/>
    <w:rsid w:val="001118E7"/>
    <w:rsid w:val="00112285"/>
    <w:rsid w:val="001122E0"/>
    <w:rsid w:val="00112446"/>
    <w:rsid w:val="001128E6"/>
    <w:rsid w:val="001128ED"/>
    <w:rsid w:val="00112F58"/>
    <w:rsid w:val="00113348"/>
    <w:rsid w:val="0011339F"/>
    <w:rsid w:val="0011348C"/>
    <w:rsid w:val="001135E2"/>
    <w:rsid w:val="00114639"/>
    <w:rsid w:val="001148B5"/>
    <w:rsid w:val="00114999"/>
    <w:rsid w:val="001149A3"/>
    <w:rsid w:val="00114BC2"/>
    <w:rsid w:val="00115467"/>
    <w:rsid w:val="00115EB4"/>
    <w:rsid w:val="001161BF"/>
    <w:rsid w:val="001164F1"/>
    <w:rsid w:val="0011666F"/>
    <w:rsid w:val="00116950"/>
    <w:rsid w:val="001169DA"/>
    <w:rsid w:val="00116F80"/>
    <w:rsid w:val="001173D5"/>
    <w:rsid w:val="00117407"/>
    <w:rsid w:val="001174EC"/>
    <w:rsid w:val="0011769B"/>
    <w:rsid w:val="00117B69"/>
    <w:rsid w:val="00117F53"/>
    <w:rsid w:val="00117F6E"/>
    <w:rsid w:val="00120408"/>
    <w:rsid w:val="0012046B"/>
    <w:rsid w:val="00120861"/>
    <w:rsid w:val="001208C6"/>
    <w:rsid w:val="00120B06"/>
    <w:rsid w:val="00120B9B"/>
    <w:rsid w:val="00121378"/>
    <w:rsid w:val="001215C8"/>
    <w:rsid w:val="0012188D"/>
    <w:rsid w:val="00121E58"/>
    <w:rsid w:val="001229CD"/>
    <w:rsid w:val="001229DF"/>
    <w:rsid w:val="00122C34"/>
    <w:rsid w:val="001230CC"/>
    <w:rsid w:val="00123139"/>
    <w:rsid w:val="00123170"/>
    <w:rsid w:val="00123F94"/>
    <w:rsid w:val="001240B7"/>
    <w:rsid w:val="001243A0"/>
    <w:rsid w:val="00124FA3"/>
    <w:rsid w:val="001250AE"/>
    <w:rsid w:val="0012528E"/>
    <w:rsid w:val="00125788"/>
    <w:rsid w:val="00126104"/>
    <w:rsid w:val="0012628A"/>
    <w:rsid w:val="001264DE"/>
    <w:rsid w:val="001268B0"/>
    <w:rsid w:val="001271A9"/>
    <w:rsid w:val="0012790D"/>
    <w:rsid w:val="00127D11"/>
    <w:rsid w:val="001303EA"/>
    <w:rsid w:val="00130959"/>
    <w:rsid w:val="00130FCC"/>
    <w:rsid w:val="00131343"/>
    <w:rsid w:val="00131846"/>
    <w:rsid w:val="00132135"/>
    <w:rsid w:val="00132247"/>
    <w:rsid w:val="001324A5"/>
    <w:rsid w:val="00132BFD"/>
    <w:rsid w:val="00132E20"/>
    <w:rsid w:val="001331E0"/>
    <w:rsid w:val="00133388"/>
    <w:rsid w:val="00133567"/>
    <w:rsid w:val="001338B6"/>
    <w:rsid w:val="00133AED"/>
    <w:rsid w:val="00134567"/>
    <w:rsid w:val="0013482D"/>
    <w:rsid w:val="00134993"/>
    <w:rsid w:val="001349CA"/>
    <w:rsid w:val="00134D18"/>
    <w:rsid w:val="00135AF8"/>
    <w:rsid w:val="00135E35"/>
    <w:rsid w:val="00135EFF"/>
    <w:rsid w:val="00136544"/>
    <w:rsid w:val="00136946"/>
    <w:rsid w:val="001374FF"/>
    <w:rsid w:val="00137C17"/>
    <w:rsid w:val="00137D13"/>
    <w:rsid w:val="00137EFE"/>
    <w:rsid w:val="00137FA3"/>
    <w:rsid w:val="00137FC7"/>
    <w:rsid w:val="0014009B"/>
    <w:rsid w:val="0014035F"/>
    <w:rsid w:val="00140567"/>
    <w:rsid w:val="001406DB"/>
    <w:rsid w:val="0014113F"/>
    <w:rsid w:val="00141AB0"/>
    <w:rsid w:val="00141DCF"/>
    <w:rsid w:val="00141E7B"/>
    <w:rsid w:val="001420BD"/>
    <w:rsid w:val="001425F3"/>
    <w:rsid w:val="00142876"/>
    <w:rsid w:val="00142E95"/>
    <w:rsid w:val="00143138"/>
    <w:rsid w:val="00143178"/>
    <w:rsid w:val="00143431"/>
    <w:rsid w:val="00143981"/>
    <w:rsid w:val="00143C3E"/>
    <w:rsid w:val="00144969"/>
    <w:rsid w:val="00145012"/>
    <w:rsid w:val="00145070"/>
    <w:rsid w:val="0014515D"/>
    <w:rsid w:val="00145309"/>
    <w:rsid w:val="001456C9"/>
    <w:rsid w:val="001456F2"/>
    <w:rsid w:val="00145DD1"/>
    <w:rsid w:val="00145EB7"/>
    <w:rsid w:val="001461E1"/>
    <w:rsid w:val="001462D2"/>
    <w:rsid w:val="00146C03"/>
    <w:rsid w:val="00146ED3"/>
    <w:rsid w:val="00147469"/>
    <w:rsid w:val="0014773C"/>
    <w:rsid w:val="001477DC"/>
    <w:rsid w:val="00147811"/>
    <w:rsid w:val="00147879"/>
    <w:rsid w:val="00147B0E"/>
    <w:rsid w:val="00147CBA"/>
    <w:rsid w:val="00147CFE"/>
    <w:rsid w:val="00147D02"/>
    <w:rsid w:val="0015005D"/>
    <w:rsid w:val="00150609"/>
    <w:rsid w:val="00150757"/>
    <w:rsid w:val="00150A62"/>
    <w:rsid w:val="00150B76"/>
    <w:rsid w:val="00150D4B"/>
    <w:rsid w:val="00150EB3"/>
    <w:rsid w:val="001515C6"/>
    <w:rsid w:val="001518C1"/>
    <w:rsid w:val="00151A16"/>
    <w:rsid w:val="00151C85"/>
    <w:rsid w:val="00151D7D"/>
    <w:rsid w:val="00152349"/>
    <w:rsid w:val="00152414"/>
    <w:rsid w:val="00152618"/>
    <w:rsid w:val="00152C26"/>
    <w:rsid w:val="00152D25"/>
    <w:rsid w:val="00152D41"/>
    <w:rsid w:val="00152F47"/>
    <w:rsid w:val="00152FA0"/>
    <w:rsid w:val="00153549"/>
    <w:rsid w:val="00153804"/>
    <w:rsid w:val="00153945"/>
    <w:rsid w:val="0015399F"/>
    <w:rsid w:val="00154247"/>
    <w:rsid w:val="001545D4"/>
    <w:rsid w:val="00154770"/>
    <w:rsid w:val="0015488A"/>
    <w:rsid w:val="00154EEE"/>
    <w:rsid w:val="0015508F"/>
    <w:rsid w:val="00155AE0"/>
    <w:rsid w:val="00155D81"/>
    <w:rsid w:val="00155DDE"/>
    <w:rsid w:val="00156891"/>
    <w:rsid w:val="0015689B"/>
    <w:rsid w:val="001569FB"/>
    <w:rsid w:val="00156B88"/>
    <w:rsid w:val="00156F7D"/>
    <w:rsid w:val="00157859"/>
    <w:rsid w:val="0015787C"/>
    <w:rsid w:val="001578B0"/>
    <w:rsid w:val="00157A64"/>
    <w:rsid w:val="00157B93"/>
    <w:rsid w:val="00157C85"/>
    <w:rsid w:val="00160BFE"/>
    <w:rsid w:val="00160C2E"/>
    <w:rsid w:val="001619AA"/>
    <w:rsid w:val="00161A2A"/>
    <w:rsid w:val="001625C5"/>
    <w:rsid w:val="001638DD"/>
    <w:rsid w:val="00163C73"/>
    <w:rsid w:val="00163C93"/>
    <w:rsid w:val="00163FD5"/>
    <w:rsid w:val="0016404A"/>
    <w:rsid w:val="001642E9"/>
    <w:rsid w:val="001647CC"/>
    <w:rsid w:val="0016483F"/>
    <w:rsid w:val="00164B44"/>
    <w:rsid w:val="00164C7C"/>
    <w:rsid w:val="001652F3"/>
    <w:rsid w:val="00165BDE"/>
    <w:rsid w:val="00165FE1"/>
    <w:rsid w:val="0016620B"/>
    <w:rsid w:val="00166463"/>
    <w:rsid w:val="00166A5C"/>
    <w:rsid w:val="00166ABE"/>
    <w:rsid w:val="00166E88"/>
    <w:rsid w:val="00166E9C"/>
    <w:rsid w:val="00167A1C"/>
    <w:rsid w:val="00167C25"/>
    <w:rsid w:val="001701BA"/>
    <w:rsid w:val="001703E7"/>
    <w:rsid w:val="0017048E"/>
    <w:rsid w:val="001708FC"/>
    <w:rsid w:val="00170EF6"/>
    <w:rsid w:val="00171580"/>
    <w:rsid w:val="00171681"/>
    <w:rsid w:val="001718FA"/>
    <w:rsid w:val="00171AE5"/>
    <w:rsid w:val="00172365"/>
    <w:rsid w:val="0017284F"/>
    <w:rsid w:val="00172C1C"/>
    <w:rsid w:val="00172C3F"/>
    <w:rsid w:val="00172CA6"/>
    <w:rsid w:val="00172CCF"/>
    <w:rsid w:val="00172D38"/>
    <w:rsid w:val="00172DB0"/>
    <w:rsid w:val="001735DB"/>
    <w:rsid w:val="0017379E"/>
    <w:rsid w:val="00174072"/>
    <w:rsid w:val="001741EC"/>
    <w:rsid w:val="00174209"/>
    <w:rsid w:val="00174DC4"/>
    <w:rsid w:val="00174ED3"/>
    <w:rsid w:val="001750B6"/>
    <w:rsid w:val="00175199"/>
    <w:rsid w:val="0017543C"/>
    <w:rsid w:val="0017556C"/>
    <w:rsid w:val="0017619A"/>
    <w:rsid w:val="0017673A"/>
    <w:rsid w:val="00176CFC"/>
    <w:rsid w:val="0017701F"/>
    <w:rsid w:val="0017794B"/>
    <w:rsid w:val="00180235"/>
    <w:rsid w:val="0018024B"/>
    <w:rsid w:val="00180434"/>
    <w:rsid w:val="0018051D"/>
    <w:rsid w:val="001808B1"/>
    <w:rsid w:val="00180A92"/>
    <w:rsid w:val="00180BDA"/>
    <w:rsid w:val="00180E04"/>
    <w:rsid w:val="00180E98"/>
    <w:rsid w:val="00181178"/>
    <w:rsid w:val="0018181B"/>
    <w:rsid w:val="00181FC9"/>
    <w:rsid w:val="00182295"/>
    <w:rsid w:val="00182A08"/>
    <w:rsid w:val="00183127"/>
    <w:rsid w:val="001834AB"/>
    <w:rsid w:val="001837AC"/>
    <w:rsid w:val="001839E1"/>
    <w:rsid w:val="00184AAD"/>
    <w:rsid w:val="001850F5"/>
    <w:rsid w:val="001852B2"/>
    <w:rsid w:val="00185433"/>
    <w:rsid w:val="001854A8"/>
    <w:rsid w:val="00185B00"/>
    <w:rsid w:val="00185BDB"/>
    <w:rsid w:val="00185C05"/>
    <w:rsid w:val="00185D91"/>
    <w:rsid w:val="00185E90"/>
    <w:rsid w:val="00185FBD"/>
    <w:rsid w:val="001864A0"/>
    <w:rsid w:val="001865EB"/>
    <w:rsid w:val="0018688C"/>
    <w:rsid w:val="00187286"/>
    <w:rsid w:val="001900F1"/>
    <w:rsid w:val="001906C6"/>
    <w:rsid w:val="0019107F"/>
    <w:rsid w:val="00191174"/>
    <w:rsid w:val="00191237"/>
    <w:rsid w:val="0019158F"/>
    <w:rsid w:val="001919F2"/>
    <w:rsid w:val="00191CC8"/>
    <w:rsid w:val="00191D77"/>
    <w:rsid w:val="001926C2"/>
    <w:rsid w:val="001927BA"/>
    <w:rsid w:val="00192A02"/>
    <w:rsid w:val="00192E01"/>
    <w:rsid w:val="00192F10"/>
    <w:rsid w:val="00193698"/>
    <w:rsid w:val="00193EC1"/>
    <w:rsid w:val="0019414B"/>
    <w:rsid w:val="00194CE0"/>
    <w:rsid w:val="00194EED"/>
    <w:rsid w:val="001951ED"/>
    <w:rsid w:val="0019526C"/>
    <w:rsid w:val="00195513"/>
    <w:rsid w:val="00195799"/>
    <w:rsid w:val="001957AD"/>
    <w:rsid w:val="00195A9F"/>
    <w:rsid w:val="00195C6C"/>
    <w:rsid w:val="0019612F"/>
    <w:rsid w:val="001963FE"/>
    <w:rsid w:val="00196AA1"/>
    <w:rsid w:val="00196E24"/>
    <w:rsid w:val="00196E55"/>
    <w:rsid w:val="00197170"/>
    <w:rsid w:val="001A0032"/>
    <w:rsid w:val="001A0608"/>
    <w:rsid w:val="001A0E5E"/>
    <w:rsid w:val="001A10D1"/>
    <w:rsid w:val="001A1227"/>
    <w:rsid w:val="001A12D7"/>
    <w:rsid w:val="001A1464"/>
    <w:rsid w:val="001A1A9D"/>
    <w:rsid w:val="001A1AC8"/>
    <w:rsid w:val="001A1F20"/>
    <w:rsid w:val="001A2144"/>
    <w:rsid w:val="001A24F8"/>
    <w:rsid w:val="001A26AD"/>
    <w:rsid w:val="001A2DF4"/>
    <w:rsid w:val="001A31B2"/>
    <w:rsid w:val="001A32B0"/>
    <w:rsid w:val="001A3783"/>
    <w:rsid w:val="001A3B37"/>
    <w:rsid w:val="001A3F1B"/>
    <w:rsid w:val="001A3F70"/>
    <w:rsid w:val="001A40A4"/>
    <w:rsid w:val="001A4720"/>
    <w:rsid w:val="001A4974"/>
    <w:rsid w:val="001A4A63"/>
    <w:rsid w:val="001A4E80"/>
    <w:rsid w:val="001A52F5"/>
    <w:rsid w:val="001A54F3"/>
    <w:rsid w:val="001A574F"/>
    <w:rsid w:val="001A58AB"/>
    <w:rsid w:val="001A5C77"/>
    <w:rsid w:val="001A5DCD"/>
    <w:rsid w:val="001A63A4"/>
    <w:rsid w:val="001A63AA"/>
    <w:rsid w:val="001A6F70"/>
    <w:rsid w:val="001A721C"/>
    <w:rsid w:val="001A7380"/>
    <w:rsid w:val="001A747E"/>
    <w:rsid w:val="001B01F2"/>
    <w:rsid w:val="001B0F4D"/>
    <w:rsid w:val="001B1119"/>
    <w:rsid w:val="001B13AD"/>
    <w:rsid w:val="001B1818"/>
    <w:rsid w:val="001B2024"/>
    <w:rsid w:val="001B249B"/>
    <w:rsid w:val="001B2A25"/>
    <w:rsid w:val="001B2A87"/>
    <w:rsid w:val="001B3147"/>
    <w:rsid w:val="001B3577"/>
    <w:rsid w:val="001B3610"/>
    <w:rsid w:val="001B3723"/>
    <w:rsid w:val="001B3776"/>
    <w:rsid w:val="001B3ADC"/>
    <w:rsid w:val="001B4957"/>
    <w:rsid w:val="001B50E9"/>
    <w:rsid w:val="001B5112"/>
    <w:rsid w:val="001B5815"/>
    <w:rsid w:val="001B5839"/>
    <w:rsid w:val="001B5A4A"/>
    <w:rsid w:val="001B5B36"/>
    <w:rsid w:val="001B5C56"/>
    <w:rsid w:val="001B60A6"/>
    <w:rsid w:val="001B66C9"/>
    <w:rsid w:val="001B68E2"/>
    <w:rsid w:val="001B6E2A"/>
    <w:rsid w:val="001B6EF2"/>
    <w:rsid w:val="001B70E3"/>
    <w:rsid w:val="001B73D7"/>
    <w:rsid w:val="001B796C"/>
    <w:rsid w:val="001B79FE"/>
    <w:rsid w:val="001C0348"/>
    <w:rsid w:val="001C04E2"/>
    <w:rsid w:val="001C05DE"/>
    <w:rsid w:val="001C0E18"/>
    <w:rsid w:val="001C108F"/>
    <w:rsid w:val="001C177E"/>
    <w:rsid w:val="001C188E"/>
    <w:rsid w:val="001C1A28"/>
    <w:rsid w:val="001C1EA5"/>
    <w:rsid w:val="001C1EAA"/>
    <w:rsid w:val="001C2188"/>
    <w:rsid w:val="001C2418"/>
    <w:rsid w:val="001C241A"/>
    <w:rsid w:val="001C2A82"/>
    <w:rsid w:val="001C2AAC"/>
    <w:rsid w:val="001C2BAE"/>
    <w:rsid w:val="001C2C53"/>
    <w:rsid w:val="001C31F2"/>
    <w:rsid w:val="001C32C9"/>
    <w:rsid w:val="001C3537"/>
    <w:rsid w:val="001C35E5"/>
    <w:rsid w:val="001C3B2A"/>
    <w:rsid w:val="001C3B7A"/>
    <w:rsid w:val="001C3E04"/>
    <w:rsid w:val="001C3F07"/>
    <w:rsid w:val="001C4684"/>
    <w:rsid w:val="001C4D3C"/>
    <w:rsid w:val="001C51F2"/>
    <w:rsid w:val="001C5BC8"/>
    <w:rsid w:val="001C5FD8"/>
    <w:rsid w:val="001C63EC"/>
    <w:rsid w:val="001C6E18"/>
    <w:rsid w:val="001C7257"/>
    <w:rsid w:val="001C7D50"/>
    <w:rsid w:val="001C7F76"/>
    <w:rsid w:val="001D0290"/>
    <w:rsid w:val="001D0C0A"/>
    <w:rsid w:val="001D0CBA"/>
    <w:rsid w:val="001D141C"/>
    <w:rsid w:val="001D1686"/>
    <w:rsid w:val="001D17C9"/>
    <w:rsid w:val="001D19D9"/>
    <w:rsid w:val="001D1E7D"/>
    <w:rsid w:val="001D1FCF"/>
    <w:rsid w:val="001D2339"/>
    <w:rsid w:val="001D287E"/>
    <w:rsid w:val="001D28DF"/>
    <w:rsid w:val="001D2C92"/>
    <w:rsid w:val="001D2C9A"/>
    <w:rsid w:val="001D2D9F"/>
    <w:rsid w:val="001D31F8"/>
    <w:rsid w:val="001D3208"/>
    <w:rsid w:val="001D3533"/>
    <w:rsid w:val="001D3A24"/>
    <w:rsid w:val="001D3F1E"/>
    <w:rsid w:val="001D40B3"/>
    <w:rsid w:val="001D42EF"/>
    <w:rsid w:val="001D4CBA"/>
    <w:rsid w:val="001D4D49"/>
    <w:rsid w:val="001D517C"/>
    <w:rsid w:val="001D6226"/>
    <w:rsid w:val="001D6347"/>
    <w:rsid w:val="001D63D7"/>
    <w:rsid w:val="001D65AD"/>
    <w:rsid w:val="001D6E80"/>
    <w:rsid w:val="001D73C0"/>
    <w:rsid w:val="001D786E"/>
    <w:rsid w:val="001D7D95"/>
    <w:rsid w:val="001E0021"/>
    <w:rsid w:val="001E0738"/>
    <w:rsid w:val="001E0B07"/>
    <w:rsid w:val="001E0B2E"/>
    <w:rsid w:val="001E1277"/>
    <w:rsid w:val="001E156A"/>
    <w:rsid w:val="001E15FA"/>
    <w:rsid w:val="001E241A"/>
    <w:rsid w:val="001E25D0"/>
    <w:rsid w:val="001E26F1"/>
    <w:rsid w:val="001E27E0"/>
    <w:rsid w:val="001E28AE"/>
    <w:rsid w:val="001E3622"/>
    <w:rsid w:val="001E36AE"/>
    <w:rsid w:val="001E396B"/>
    <w:rsid w:val="001E3C07"/>
    <w:rsid w:val="001E3EDE"/>
    <w:rsid w:val="001E3FD9"/>
    <w:rsid w:val="001E4576"/>
    <w:rsid w:val="001E5391"/>
    <w:rsid w:val="001E5AD0"/>
    <w:rsid w:val="001E5C42"/>
    <w:rsid w:val="001E6114"/>
    <w:rsid w:val="001E6686"/>
    <w:rsid w:val="001E7167"/>
    <w:rsid w:val="001E71C6"/>
    <w:rsid w:val="001E7862"/>
    <w:rsid w:val="001F007B"/>
    <w:rsid w:val="001F0C3C"/>
    <w:rsid w:val="001F12A1"/>
    <w:rsid w:val="001F1320"/>
    <w:rsid w:val="001F1A8F"/>
    <w:rsid w:val="001F1B5A"/>
    <w:rsid w:val="001F1D5C"/>
    <w:rsid w:val="001F26D9"/>
    <w:rsid w:val="001F30EA"/>
    <w:rsid w:val="001F32D5"/>
    <w:rsid w:val="001F368C"/>
    <w:rsid w:val="001F36D9"/>
    <w:rsid w:val="001F3A65"/>
    <w:rsid w:val="001F3ED0"/>
    <w:rsid w:val="001F3EE6"/>
    <w:rsid w:val="001F46A4"/>
    <w:rsid w:val="001F4FCD"/>
    <w:rsid w:val="001F522F"/>
    <w:rsid w:val="001F56FF"/>
    <w:rsid w:val="001F5820"/>
    <w:rsid w:val="001F5DA3"/>
    <w:rsid w:val="001F6058"/>
    <w:rsid w:val="001F61DF"/>
    <w:rsid w:val="001F632C"/>
    <w:rsid w:val="001F65FB"/>
    <w:rsid w:val="001F6869"/>
    <w:rsid w:val="001F6B57"/>
    <w:rsid w:val="001F6E18"/>
    <w:rsid w:val="001F712E"/>
    <w:rsid w:val="001F7269"/>
    <w:rsid w:val="002001F6"/>
    <w:rsid w:val="00200919"/>
    <w:rsid w:val="00200B9C"/>
    <w:rsid w:val="00200D58"/>
    <w:rsid w:val="00200E05"/>
    <w:rsid w:val="0020105D"/>
    <w:rsid w:val="00201DBA"/>
    <w:rsid w:val="0020272B"/>
    <w:rsid w:val="002028C9"/>
    <w:rsid w:val="00202F60"/>
    <w:rsid w:val="00203CF7"/>
    <w:rsid w:val="00203E97"/>
    <w:rsid w:val="0020437C"/>
    <w:rsid w:val="00204909"/>
    <w:rsid w:val="00204DCD"/>
    <w:rsid w:val="00204F47"/>
    <w:rsid w:val="002053B6"/>
    <w:rsid w:val="00205CB2"/>
    <w:rsid w:val="0020650E"/>
    <w:rsid w:val="00206B80"/>
    <w:rsid w:val="00207394"/>
    <w:rsid w:val="00207EE9"/>
    <w:rsid w:val="00210047"/>
    <w:rsid w:val="00210091"/>
    <w:rsid w:val="00210DC9"/>
    <w:rsid w:val="00210F41"/>
    <w:rsid w:val="002110F6"/>
    <w:rsid w:val="00211280"/>
    <w:rsid w:val="002112D3"/>
    <w:rsid w:val="00211CA5"/>
    <w:rsid w:val="00211D3A"/>
    <w:rsid w:val="00211E44"/>
    <w:rsid w:val="0021268A"/>
    <w:rsid w:val="002127E2"/>
    <w:rsid w:val="00212CAE"/>
    <w:rsid w:val="00212F4B"/>
    <w:rsid w:val="00213459"/>
    <w:rsid w:val="00213469"/>
    <w:rsid w:val="00213621"/>
    <w:rsid w:val="00213B83"/>
    <w:rsid w:val="00213C68"/>
    <w:rsid w:val="002146A8"/>
    <w:rsid w:val="002148B6"/>
    <w:rsid w:val="00214B94"/>
    <w:rsid w:val="00214E0B"/>
    <w:rsid w:val="00214E53"/>
    <w:rsid w:val="00215011"/>
    <w:rsid w:val="00215423"/>
    <w:rsid w:val="0021571F"/>
    <w:rsid w:val="002163F1"/>
    <w:rsid w:val="00216F55"/>
    <w:rsid w:val="00216F5B"/>
    <w:rsid w:val="0021707B"/>
    <w:rsid w:val="002173DB"/>
    <w:rsid w:val="002176DC"/>
    <w:rsid w:val="002179A4"/>
    <w:rsid w:val="00217B2A"/>
    <w:rsid w:val="00217DD1"/>
    <w:rsid w:val="00217F7E"/>
    <w:rsid w:val="002201A1"/>
    <w:rsid w:val="0022053F"/>
    <w:rsid w:val="002206C0"/>
    <w:rsid w:val="00220882"/>
    <w:rsid w:val="00220B77"/>
    <w:rsid w:val="00221016"/>
    <w:rsid w:val="0022105B"/>
    <w:rsid w:val="00221071"/>
    <w:rsid w:val="0022117D"/>
    <w:rsid w:val="0022130F"/>
    <w:rsid w:val="00221523"/>
    <w:rsid w:val="0022190C"/>
    <w:rsid w:val="00221A79"/>
    <w:rsid w:val="00221CEA"/>
    <w:rsid w:val="00222860"/>
    <w:rsid w:val="00222FA4"/>
    <w:rsid w:val="002241C1"/>
    <w:rsid w:val="00225571"/>
    <w:rsid w:val="0022590A"/>
    <w:rsid w:val="00225A71"/>
    <w:rsid w:val="0022601E"/>
    <w:rsid w:val="00226509"/>
    <w:rsid w:val="0022691B"/>
    <w:rsid w:val="00226C9E"/>
    <w:rsid w:val="00227D51"/>
    <w:rsid w:val="002301F1"/>
    <w:rsid w:val="00230250"/>
    <w:rsid w:val="00230741"/>
    <w:rsid w:val="002308EF"/>
    <w:rsid w:val="00230AC3"/>
    <w:rsid w:val="00230D94"/>
    <w:rsid w:val="002310AE"/>
    <w:rsid w:val="0023186B"/>
    <w:rsid w:val="00231913"/>
    <w:rsid w:val="00231EB6"/>
    <w:rsid w:val="00231FA1"/>
    <w:rsid w:val="00231FEE"/>
    <w:rsid w:val="00232145"/>
    <w:rsid w:val="00232629"/>
    <w:rsid w:val="002348D3"/>
    <w:rsid w:val="002348F5"/>
    <w:rsid w:val="00234993"/>
    <w:rsid w:val="00234C07"/>
    <w:rsid w:val="0023522F"/>
    <w:rsid w:val="00235BCB"/>
    <w:rsid w:val="002360A1"/>
    <w:rsid w:val="00236320"/>
    <w:rsid w:val="0023652B"/>
    <w:rsid w:val="0023669C"/>
    <w:rsid w:val="00236769"/>
    <w:rsid w:val="00236A87"/>
    <w:rsid w:val="00236FE4"/>
    <w:rsid w:val="00237255"/>
    <w:rsid w:val="002378C2"/>
    <w:rsid w:val="0024054B"/>
    <w:rsid w:val="00240BA6"/>
    <w:rsid w:val="00240FEC"/>
    <w:rsid w:val="002412B2"/>
    <w:rsid w:val="002419A1"/>
    <w:rsid w:val="00241B22"/>
    <w:rsid w:val="00241E55"/>
    <w:rsid w:val="00241FD7"/>
    <w:rsid w:val="0024207A"/>
    <w:rsid w:val="0024403B"/>
    <w:rsid w:val="0024405D"/>
    <w:rsid w:val="00245019"/>
    <w:rsid w:val="00245214"/>
    <w:rsid w:val="0024521C"/>
    <w:rsid w:val="002455E6"/>
    <w:rsid w:val="0024573E"/>
    <w:rsid w:val="00245B98"/>
    <w:rsid w:val="00245DA6"/>
    <w:rsid w:val="00245FF1"/>
    <w:rsid w:val="00246227"/>
    <w:rsid w:val="002462CA"/>
    <w:rsid w:val="002464BF"/>
    <w:rsid w:val="00246B5E"/>
    <w:rsid w:val="0024705C"/>
    <w:rsid w:val="002470C4"/>
    <w:rsid w:val="0024775D"/>
    <w:rsid w:val="00247DAE"/>
    <w:rsid w:val="00247E4A"/>
    <w:rsid w:val="00247E4D"/>
    <w:rsid w:val="002501CF"/>
    <w:rsid w:val="002506B5"/>
    <w:rsid w:val="002507A6"/>
    <w:rsid w:val="00251A62"/>
    <w:rsid w:val="00251B1A"/>
    <w:rsid w:val="00252031"/>
    <w:rsid w:val="00252360"/>
    <w:rsid w:val="00252522"/>
    <w:rsid w:val="002525B8"/>
    <w:rsid w:val="002525F1"/>
    <w:rsid w:val="00252840"/>
    <w:rsid w:val="00252F46"/>
    <w:rsid w:val="00252F56"/>
    <w:rsid w:val="00253355"/>
    <w:rsid w:val="00253668"/>
    <w:rsid w:val="002536AC"/>
    <w:rsid w:val="00253DAA"/>
    <w:rsid w:val="002544C4"/>
    <w:rsid w:val="0025457E"/>
    <w:rsid w:val="002551D0"/>
    <w:rsid w:val="00255A04"/>
    <w:rsid w:val="00255AA9"/>
    <w:rsid w:val="00255D5A"/>
    <w:rsid w:val="002560C9"/>
    <w:rsid w:val="002563A1"/>
    <w:rsid w:val="0025712A"/>
    <w:rsid w:val="00260266"/>
    <w:rsid w:val="00260522"/>
    <w:rsid w:val="0026058F"/>
    <w:rsid w:val="0026062F"/>
    <w:rsid w:val="00260DA8"/>
    <w:rsid w:val="00261507"/>
    <w:rsid w:val="00261871"/>
    <w:rsid w:val="002618B7"/>
    <w:rsid w:val="00261AD0"/>
    <w:rsid w:val="00261ED0"/>
    <w:rsid w:val="002622F8"/>
    <w:rsid w:val="00262A15"/>
    <w:rsid w:val="00262D96"/>
    <w:rsid w:val="002633F1"/>
    <w:rsid w:val="0026343B"/>
    <w:rsid w:val="00263C9E"/>
    <w:rsid w:val="00263CCF"/>
    <w:rsid w:val="00263EE8"/>
    <w:rsid w:val="00264091"/>
    <w:rsid w:val="00264284"/>
    <w:rsid w:val="00264288"/>
    <w:rsid w:val="00264871"/>
    <w:rsid w:val="00264A3D"/>
    <w:rsid w:val="00264A9C"/>
    <w:rsid w:val="00264B09"/>
    <w:rsid w:val="00264D96"/>
    <w:rsid w:val="0026544D"/>
    <w:rsid w:val="00265461"/>
    <w:rsid w:val="00265501"/>
    <w:rsid w:val="00265B36"/>
    <w:rsid w:val="00265EA3"/>
    <w:rsid w:val="00266053"/>
    <w:rsid w:val="00266819"/>
    <w:rsid w:val="00266AEE"/>
    <w:rsid w:val="00266BEC"/>
    <w:rsid w:val="00266DD7"/>
    <w:rsid w:val="00266E86"/>
    <w:rsid w:val="0026734C"/>
    <w:rsid w:val="0026750A"/>
    <w:rsid w:val="00267893"/>
    <w:rsid w:val="00267B63"/>
    <w:rsid w:val="002700B8"/>
    <w:rsid w:val="0027028F"/>
    <w:rsid w:val="002707EC"/>
    <w:rsid w:val="0027082C"/>
    <w:rsid w:val="0027095C"/>
    <w:rsid w:val="00270A12"/>
    <w:rsid w:val="00270BF4"/>
    <w:rsid w:val="00270F05"/>
    <w:rsid w:val="002720F2"/>
    <w:rsid w:val="0027243B"/>
    <w:rsid w:val="00272870"/>
    <w:rsid w:val="002736BC"/>
    <w:rsid w:val="0027410F"/>
    <w:rsid w:val="002741E0"/>
    <w:rsid w:val="002744E3"/>
    <w:rsid w:val="002748A4"/>
    <w:rsid w:val="00274C60"/>
    <w:rsid w:val="00274D26"/>
    <w:rsid w:val="00274FD3"/>
    <w:rsid w:val="0027563A"/>
    <w:rsid w:val="0027577C"/>
    <w:rsid w:val="00275D47"/>
    <w:rsid w:val="00275D61"/>
    <w:rsid w:val="0027605D"/>
    <w:rsid w:val="0027639D"/>
    <w:rsid w:val="00276A13"/>
    <w:rsid w:val="00276A6F"/>
    <w:rsid w:val="00277269"/>
    <w:rsid w:val="002777AD"/>
    <w:rsid w:val="00277F80"/>
    <w:rsid w:val="002805E1"/>
    <w:rsid w:val="00280EFB"/>
    <w:rsid w:val="00281176"/>
    <w:rsid w:val="0028152D"/>
    <w:rsid w:val="0028167F"/>
    <w:rsid w:val="00281ADA"/>
    <w:rsid w:val="00281DB1"/>
    <w:rsid w:val="00282187"/>
    <w:rsid w:val="002827B8"/>
    <w:rsid w:val="00282851"/>
    <w:rsid w:val="0028297A"/>
    <w:rsid w:val="00282C3D"/>
    <w:rsid w:val="00283778"/>
    <w:rsid w:val="00283822"/>
    <w:rsid w:val="00283C7A"/>
    <w:rsid w:val="00284140"/>
    <w:rsid w:val="0028451B"/>
    <w:rsid w:val="00284687"/>
    <w:rsid w:val="00284AB1"/>
    <w:rsid w:val="00284C07"/>
    <w:rsid w:val="00284FB0"/>
    <w:rsid w:val="00284FF5"/>
    <w:rsid w:val="0028518A"/>
    <w:rsid w:val="00285765"/>
    <w:rsid w:val="00285A38"/>
    <w:rsid w:val="00285C13"/>
    <w:rsid w:val="00285C7A"/>
    <w:rsid w:val="00285DF5"/>
    <w:rsid w:val="002864A8"/>
    <w:rsid w:val="0028684F"/>
    <w:rsid w:val="002868DD"/>
    <w:rsid w:val="0028696F"/>
    <w:rsid w:val="00286D0D"/>
    <w:rsid w:val="00286D61"/>
    <w:rsid w:val="00286E86"/>
    <w:rsid w:val="002874BA"/>
    <w:rsid w:val="002879CA"/>
    <w:rsid w:val="00290174"/>
    <w:rsid w:val="00290582"/>
    <w:rsid w:val="0029106F"/>
    <w:rsid w:val="0029128E"/>
    <w:rsid w:val="002916AB"/>
    <w:rsid w:val="00291914"/>
    <w:rsid w:val="00291AA0"/>
    <w:rsid w:val="002924E4"/>
    <w:rsid w:val="00292725"/>
    <w:rsid w:val="00292BB8"/>
    <w:rsid w:val="00292FA6"/>
    <w:rsid w:val="00292FF8"/>
    <w:rsid w:val="00293552"/>
    <w:rsid w:val="00293647"/>
    <w:rsid w:val="00294479"/>
    <w:rsid w:val="00294B1E"/>
    <w:rsid w:val="002951DC"/>
    <w:rsid w:val="0029540D"/>
    <w:rsid w:val="00296180"/>
    <w:rsid w:val="00296469"/>
    <w:rsid w:val="00297665"/>
    <w:rsid w:val="00297826"/>
    <w:rsid w:val="00297F9B"/>
    <w:rsid w:val="002A00AD"/>
    <w:rsid w:val="002A0AFA"/>
    <w:rsid w:val="002A0EA1"/>
    <w:rsid w:val="002A0FB4"/>
    <w:rsid w:val="002A16F3"/>
    <w:rsid w:val="002A1835"/>
    <w:rsid w:val="002A1A14"/>
    <w:rsid w:val="002A24FC"/>
    <w:rsid w:val="002A2692"/>
    <w:rsid w:val="002A2ABD"/>
    <w:rsid w:val="002A3031"/>
    <w:rsid w:val="002A3469"/>
    <w:rsid w:val="002A34A1"/>
    <w:rsid w:val="002A369B"/>
    <w:rsid w:val="002A3BD1"/>
    <w:rsid w:val="002A409D"/>
    <w:rsid w:val="002A47DB"/>
    <w:rsid w:val="002A49C5"/>
    <w:rsid w:val="002A4B07"/>
    <w:rsid w:val="002A4C89"/>
    <w:rsid w:val="002A5258"/>
    <w:rsid w:val="002A5498"/>
    <w:rsid w:val="002A5B4E"/>
    <w:rsid w:val="002A5BBF"/>
    <w:rsid w:val="002A5C24"/>
    <w:rsid w:val="002A65E7"/>
    <w:rsid w:val="002A6CD3"/>
    <w:rsid w:val="002A710F"/>
    <w:rsid w:val="002A7114"/>
    <w:rsid w:val="002A7585"/>
    <w:rsid w:val="002A7E02"/>
    <w:rsid w:val="002A7F87"/>
    <w:rsid w:val="002B015E"/>
    <w:rsid w:val="002B031A"/>
    <w:rsid w:val="002B0783"/>
    <w:rsid w:val="002B07BB"/>
    <w:rsid w:val="002B0BCB"/>
    <w:rsid w:val="002B0CCE"/>
    <w:rsid w:val="002B0D53"/>
    <w:rsid w:val="002B136B"/>
    <w:rsid w:val="002B14DB"/>
    <w:rsid w:val="002B1558"/>
    <w:rsid w:val="002B167C"/>
    <w:rsid w:val="002B17CE"/>
    <w:rsid w:val="002B1CE8"/>
    <w:rsid w:val="002B1D14"/>
    <w:rsid w:val="002B2085"/>
    <w:rsid w:val="002B2435"/>
    <w:rsid w:val="002B2F47"/>
    <w:rsid w:val="002B31CB"/>
    <w:rsid w:val="002B33B5"/>
    <w:rsid w:val="002B3845"/>
    <w:rsid w:val="002B41A1"/>
    <w:rsid w:val="002B435D"/>
    <w:rsid w:val="002B43BB"/>
    <w:rsid w:val="002B468F"/>
    <w:rsid w:val="002B4A58"/>
    <w:rsid w:val="002B4BB6"/>
    <w:rsid w:val="002B4F3A"/>
    <w:rsid w:val="002B5864"/>
    <w:rsid w:val="002B59AE"/>
    <w:rsid w:val="002B61C6"/>
    <w:rsid w:val="002B66A9"/>
    <w:rsid w:val="002B6725"/>
    <w:rsid w:val="002B6A9E"/>
    <w:rsid w:val="002B6D45"/>
    <w:rsid w:val="002B70CB"/>
    <w:rsid w:val="002B77A7"/>
    <w:rsid w:val="002C01C3"/>
    <w:rsid w:val="002C03CE"/>
    <w:rsid w:val="002C04D9"/>
    <w:rsid w:val="002C074B"/>
    <w:rsid w:val="002C08E1"/>
    <w:rsid w:val="002C0973"/>
    <w:rsid w:val="002C0B61"/>
    <w:rsid w:val="002C1418"/>
    <w:rsid w:val="002C1A7D"/>
    <w:rsid w:val="002C1B3B"/>
    <w:rsid w:val="002C1DC3"/>
    <w:rsid w:val="002C1EEB"/>
    <w:rsid w:val="002C1F7D"/>
    <w:rsid w:val="002C1FC0"/>
    <w:rsid w:val="002C2545"/>
    <w:rsid w:val="002C2C2B"/>
    <w:rsid w:val="002C2C74"/>
    <w:rsid w:val="002C2F22"/>
    <w:rsid w:val="002C2F5C"/>
    <w:rsid w:val="002C32D9"/>
    <w:rsid w:val="002C32E5"/>
    <w:rsid w:val="002C351F"/>
    <w:rsid w:val="002C3D2E"/>
    <w:rsid w:val="002C430D"/>
    <w:rsid w:val="002C43A5"/>
    <w:rsid w:val="002C467E"/>
    <w:rsid w:val="002C46BA"/>
    <w:rsid w:val="002C4C29"/>
    <w:rsid w:val="002C5393"/>
    <w:rsid w:val="002C556E"/>
    <w:rsid w:val="002C5731"/>
    <w:rsid w:val="002C58FF"/>
    <w:rsid w:val="002C5C57"/>
    <w:rsid w:val="002C6139"/>
    <w:rsid w:val="002C6145"/>
    <w:rsid w:val="002C66FB"/>
    <w:rsid w:val="002C6C9B"/>
    <w:rsid w:val="002C6D3A"/>
    <w:rsid w:val="002C722A"/>
    <w:rsid w:val="002C78B8"/>
    <w:rsid w:val="002C79E3"/>
    <w:rsid w:val="002C7D34"/>
    <w:rsid w:val="002D022C"/>
    <w:rsid w:val="002D05AF"/>
    <w:rsid w:val="002D0B09"/>
    <w:rsid w:val="002D0DD9"/>
    <w:rsid w:val="002D13A8"/>
    <w:rsid w:val="002D1495"/>
    <w:rsid w:val="002D17CA"/>
    <w:rsid w:val="002D1D49"/>
    <w:rsid w:val="002D23E8"/>
    <w:rsid w:val="002D24E8"/>
    <w:rsid w:val="002D25B2"/>
    <w:rsid w:val="002D2633"/>
    <w:rsid w:val="002D2A3B"/>
    <w:rsid w:val="002D2B59"/>
    <w:rsid w:val="002D2E46"/>
    <w:rsid w:val="002D3859"/>
    <w:rsid w:val="002D3A2A"/>
    <w:rsid w:val="002D3D29"/>
    <w:rsid w:val="002D3FB7"/>
    <w:rsid w:val="002D4458"/>
    <w:rsid w:val="002D44DF"/>
    <w:rsid w:val="002D484A"/>
    <w:rsid w:val="002D4DF9"/>
    <w:rsid w:val="002D58A3"/>
    <w:rsid w:val="002D5F93"/>
    <w:rsid w:val="002D5F99"/>
    <w:rsid w:val="002D6253"/>
    <w:rsid w:val="002D692C"/>
    <w:rsid w:val="002D6987"/>
    <w:rsid w:val="002D6D0D"/>
    <w:rsid w:val="002D6F54"/>
    <w:rsid w:val="002D7473"/>
    <w:rsid w:val="002D7712"/>
    <w:rsid w:val="002D7EDD"/>
    <w:rsid w:val="002E02E2"/>
    <w:rsid w:val="002E04AA"/>
    <w:rsid w:val="002E08AC"/>
    <w:rsid w:val="002E0D72"/>
    <w:rsid w:val="002E0E57"/>
    <w:rsid w:val="002E12B2"/>
    <w:rsid w:val="002E1527"/>
    <w:rsid w:val="002E16A7"/>
    <w:rsid w:val="002E1B5A"/>
    <w:rsid w:val="002E1BD9"/>
    <w:rsid w:val="002E1EA7"/>
    <w:rsid w:val="002E1F55"/>
    <w:rsid w:val="002E2E18"/>
    <w:rsid w:val="002E3142"/>
    <w:rsid w:val="002E35D4"/>
    <w:rsid w:val="002E36CE"/>
    <w:rsid w:val="002E3C39"/>
    <w:rsid w:val="002E41A7"/>
    <w:rsid w:val="002E46BA"/>
    <w:rsid w:val="002E4B04"/>
    <w:rsid w:val="002E5145"/>
    <w:rsid w:val="002E5233"/>
    <w:rsid w:val="002E53AF"/>
    <w:rsid w:val="002E5884"/>
    <w:rsid w:val="002E5CCD"/>
    <w:rsid w:val="002E6353"/>
    <w:rsid w:val="002E6B2C"/>
    <w:rsid w:val="002E6C9F"/>
    <w:rsid w:val="002E70AE"/>
    <w:rsid w:val="002E7475"/>
    <w:rsid w:val="002E7E33"/>
    <w:rsid w:val="002F0341"/>
    <w:rsid w:val="002F04BA"/>
    <w:rsid w:val="002F05A6"/>
    <w:rsid w:val="002F0A41"/>
    <w:rsid w:val="002F0B67"/>
    <w:rsid w:val="002F0E68"/>
    <w:rsid w:val="002F142A"/>
    <w:rsid w:val="002F1695"/>
    <w:rsid w:val="002F16A1"/>
    <w:rsid w:val="002F16DE"/>
    <w:rsid w:val="002F19B6"/>
    <w:rsid w:val="002F1BCC"/>
    <w:rsid w:val="002F1BF9"/>
    <w:rsid w:val="002F2452"/>
    <w:rsid w:val="002F2D22"/>
    <w:rsid w:val="002F3343"/>
    <w:rsid w:val="002F349A"/>
    <w:rsid w:val="002F35F9"/>
    <w:rsid w:val="002F3755"/>
    <w:rsid w:val="002F3D05"/>
    <w:rsid w:val="002F3DB3"/>
    <w:rsid w:val="002F40BE"/>
    <w:rsid w:val="002F4270"/>
    <w:rsid w:val="002F4338"/>
    <w:rsid w:val="002F446E"/>
    <w:rsid w:val="002F4A34"/>
    <w:rsid w:val="002F4DA2"/>
    <w:rsid w:val="002F4FDD"/>
    <w:rsid w:val="002F5485"/>
    <w:rsid w:val="002F61BE"/>
    <w:rsid w:val="002F6C30"/>
    <w:rsid w:val="002F7168"/>
    <w:rsid w:val="002F7BBD"/>
    <w:rsid w:val="002F7DF2"/>
    <w:rsid w:val="00300154"/>
    <w:rsid w:val="003005A3"/>
    <w:rsid w:val="00300699"/>
    <w:rsid w:val="00300B8C"/>
    <w:rsid w:val="00300CD0"/>
    <w:rsid w:val="00300D0F"/>
    <w:rsid w:val="00301036"/>
    <w:rsid w:val="00301477"/>
    <w:rsid w:val="00301A39"/>
    <w:rsid w:val="003020B9"/>
    <w:rsid w:val="003026BD"/>
    <w:rsid w:val="00302C26"/>
    <w:rsid w:val="00302FF4"/>
    <w:rsid w:val="00303302"/>
    <w:rsid w:val="0030344A"/>
    <w:rsid w:val="003035DD"/>
    <w:rsid w:val="003038D1"/>
    <w:rsid w:val="00303CEF"/>
    <w:rsid w:val="00303E28"/>
    <w:rsid w:val="00303E77"/>
    <w:rsid w:val="003047B6"/>
    <w:rsid w:val="00304A3C"/>
    <w:rsid w:val="003051E2"/>
    <w:rsid w:val="003057BE"/>
    <w:rsid w:val="00305BB1"/>
    <w:rsid w:val="00305DF4"/>
    <w:rsid w:val="00305F97"/>
    <w:rsid w:val="0030608A"/>
    <w:rsid w:val="00306527"/>
    <w:rsid w:val="00306B0F"/>
    <w:rsid w:val="00307234"/>
    <w:rsid w:val="003075B9"/>
    <w:rsid w:val="0030789E"/>
    <w:rsid w:val="00307B93"/>
    <w:rsid w:val="00310FE8"/>
    <w:rsid w:val="003112F7"/>
    <w:rsid w:val="0031179A"/>
    <w:rsid w:val="003117EE"/>
    <w:rsid w:val="00311CCE"/>
    <w:rsid w:val="00312AAA"/>
    <w:rsid w:val="00312ADA"/>
    <w:rsid w:val="00313696"/>
    <w:rsid w:val="0031390B"/>
    <w:rsid w:val="00313AF7"/>
    <w:rsid w:val="00313BD8"/>
    <w:rsid w:val="00314D0B"/>
    <w:rsid w:val="00315240"/>
    <w:rsid w:val="003154C2"/>
    <w:rsid w:val="0031550C"/>
    <w:rsid w:val="0031557C"/>
    <w:rsid w:val="00315D31"/>
    <w:rsid w:val="00315E47"/>
    <w:rsid w:val="00316394"/>
    <w:rsid w:val="00316EB7"/>
    <w:rsid w:val="00317F12"/>
    <w:rsid w:val="00320831"/>
    <w:rsid w:val="00320E8C"/>
    <w:rsid w:val="00321001"/>
    <w:rsid w:val="00321B06"/>
    <w:rsid w:val="00321B56"/>
    <w:rsid w:val="00321C27"/>
    <w:rsid w:val="003224A4"/>
    <w:rsid w:val="00322AC5"/>
    <w:rsid w:val="00322ED3"/>
    <w:rsid w:val="0032300C"/>
    <w:rsid w:val="003230C7"/>
    <w:rsid w:val="00323142"/>
    <w:rsid w:val="003237D5"/>
    <w:rsid w:val="003239BD"/>
    <w:rsid w:val="00324B71"/>
    <w:rsid w:val="00324BDF"/>
    <w:rsid w:val="00324C09"/>
    <w:rsid w:val="0032566A"/>
    <w:rsid w:val="00325810"/>
    <w:rsid w:val="00325AA7"/>
    <w:rsid w:val="00325B03"/>
    <w:rsid w:val="00325F13"/>
    <w:rsid w:val="003262B6"/>
    <w:rsid w:val="00326371"/>
    <w:rsid w:val="003265D1"/>
    <w:rsid w:val="003269FB"/>
    <w:rsid w:val="00326B56"/>
    <w:rsid w:val="00326CD5"/>
    <w:rsid w:val="00326DFD"/>
    <w:rsid w:val="003270E4"/>
    <w:rsid w:val="00327307"/>
    <w:rsid w:val="00327377"/>
    <w:rsid w:val="00327877"/>
    <w:rsid w:val="00327A5C"/>
    <w:rsid w:val="00327A7D"/>
    <w:rsid w:val="00327C18"/>
    <w:rsid w:val="00330233"/>
    <w:rsid w:val="00330CDF"/>
    <w:rsid w:val="00331282"/>
    <w:rsid w:val="0033164B"/>
    <w:rsid w:val="00331BC0"/>
    <w:rsid w:val="00331E87"/>
    <w:rsid w:val="00332162"/>
    <w:rsid w:val="0033234E"/>
    <w:rsid w:val="003323C8"/>
    <w:rsid w:val="00332977"/>
    <w:rsid w:val="00332D19"/>
    <w:rsid w:val="00332EA8"/>
    <w:rsid w:val="00332EF1"/>
    <w:rsid w:val="0033349C"/>
    <w:rsid w:val="00333F92"/>
    <w:rsid w:val="0033423B"/>
    <w:rsid w:val="00334708"/>
    <w:rsid w:val="003347BF"/>
    <w:rsid w:val="00334C6B"/>
    <w:rsid w:val="003350B0"/>
    <w:rsid w:val="003353A1"/>
    <w:rsid w:val="003356F2"/>
    <w:rsid w:val="00335EBE"/>
    <w:rsid w:val="0033646C"/>
    <w:rsid w:val="00336657"/>
    <w:rsid w:val="00336CE8"/>
    <w:rsid w:val="00337036"/>
    <w:rsid w:val="00337241"/>
    <w:rsid w:val="00337324"/>
    <w:rsid w:val="0033774F"/>
    <w:rsid w:val="00337799"/>
    <w:rsid w:val="003403C9"/>
    <w:rsid w:val="0034066C"/>
    <w:rsid w:val="00340C3E"/>
    <w:rsid w:val="00340D7F"/>
    <w:rsid w:val="00340F0A"/>
    <w:rsid w:val="00340F1A"/>
    <w:rsid w:val="00341249"/>
    <w:rsid w:val="00341771"/>
    <w:rsid w:val="00341AA5"/>
    <w:rsid w:val="00341AEF"/>
    <w:rsid w:val="00341B0A"/>
    <w:rsid w:val="00341C29"/>
    <w:rsid w:val="00341CCF"/>
    <w:rsid w:val="00341DDF"/>
    <w:rsid w:val="00341F3A"/>
    <w:rsid w:val="00342322"/>
    <w:rsid w:val="0034254E"/>
    <w:rsid w:val="00342669"/>
    <w:rsid w:val="00342B92"/>
    <w:rsid w:val="00342C69"/>
    <w:rsid w:val="00343183"/>
    <w:rsid w:val="00343290"/>
    <w:rsid w:val="003432AB"/>
    <w:rsid w:val="00343B9F"/>
    <w:rsid w:val="003442C7"/>
    <w:rsid w:val="00344538"/>
    <w:rsid w:val="00344A00"/>
    <w:rsid w:val="00344A1C"/>
    <w:rsid w:val="00344B3E"/>
    <w:rsid w:val="00345066"/>
    <w:rsid w:val="0034538F"/>
    <w:rsid w:val="00345859"/>
    <w:rsid w:val="00345935"/>
    <w:rsid w:val="00345CD9"/>
    <w:rsid w:val="00345FFF"/>
    <w:rsid w:val="00346309"/>
    <w:rsid w:val="00346370"/>
    <w:rsid w:val="00346767"/>
    <w:rsid w:val="00346C62"/>
    <w:rsid w:val="00346D95"/>
    <w:rsid w:val="00347552"/>
    <w:rsid w:val="00347C07"/>
    <w:rsid w:val="00350ECC"/>
    <w:rsid w:val="00351130"/>
    <w:rsid w:val="003512BD"/>
    <w:rsid w:val="003518BD"/>
    <w:rsid w:val="00351AD2"/>
    <w:rsid w:val="00351DCE"/>
    <w:rsid w:val="00351E8B"/>
    <w:rsid w:val="00351F9A"/>
    <w:rsid w:val="00351FF7"/>
    <w:rsid w:val="00352244"/>
    <w:rsid w:val="00352D32"/>
    <w:rsid w:val="00353170"/>
    <w:rsid w:val="00353546"/>
    <w:rsid w:val="00353A01"/>
    <w:rsid w:val="00353E20"/>
    <w:rsid w:val="00353F4F"/>
    <w:rsid w:val="0035488F"/>
    <w:rsid w:val="00354C28"/>
    <w:rsid w:val="00354E62"/>
    <w:rsid w:val="003550DE"/>
    <w:rsid w:val="00355520"/>
    <w:rsid w:val="003556F0"/>
    <w:rsid w:val="00355998"/>
    <w:rsid w:val="00355A52"/>
    <w:rsid w:val="003560AC"/>
    <w:rsid w:val="003561D6"/>
    <w:rsid w:val="003566E4"/>
    <w:rsid w:val="00356A9A"/>
    <w:rsid w:val="00356A9C"/>
    <w:rsid w:val="00356B0B"/>
    <w:rsid w:val="00356BC0"/>
    <w:rsid w:val="003579FA"/>
    <w:rsid w:val="00357A6B"/>
    <w:rsid w:val="003601F2"/>
    <w:rsid w:val="00360584"/>
    <w:rsid w:val="003609B9"/>
    <w:rsid w:val="003609F5"/>
    <w:rsid w:val="00360D8E"/>
    <w:rsid w:val="00360F8D"/>
    <w:rsid w:val="00361375"/>
    <w:rsid w:val="0036162B"/>
    <w:rsid w:val="003616C2"/>
    <w:rsid w:val="00361D39"/>
    <w:rsid w:val="003627C9"/>
    <w:rsid w:val="003629B8"/>
    <w:rsid w:val="00362B82"/>
    <w:rsid w:val="00363C2F"/>
    <w:rsid w:val="00363D2F"/>
    <w:rsid w:val="00363D61"/>
    <w:rsid w:val="003640D5"/>
    <w:rsid w:val="00364618"/>
    <w:rsid w:val="003652C1"/>
    <w:rsid w:val="003653F4"/>
    <w:rsid w:val="00365F89"/>
    <w:rsid w:val="00366315"/>
    <w:rsid w:val="003663F3"/>
    <w:rsid w:val="00366454"/>
    <w:rsid w:val="0036647C"/>
    <w:rsid w:val="0036693C"/>
    <w:rsid w:val="00366A09"/>
    <w:rsid w:val="00366A0F"/>
    <w:rsid w:val="0036714F"/>
    <w:rsid w:val="003674C4"/>
    <w:rsid w:val="003675D5"/>
    <w:rsid w:val="0036760A"/>
    <w:rsid w:val="0036794D"/>
    <w:rsid w:val="00367988"/>
    <w:rsid w:val="00367ABA"/>
    <w:rsid w:val="00367E1A"/>
    <w:rsid w:val="00367E73"/>
    <w:rsid w:val="003704D2"/>
    <w:rsid w:val="003706B4"/>
    <w:rsid w:val="003715B1"/>
    <w:rsid w:val="00371BBD"/>
    <w:rsid w:val="003720D5"/>
    <w:rsid w:val="003726F8"/>
    <w:rsid w:val="003727CE"/>
    <w:rsid w:val="00372FE4"/>
    <w:rsid w:val="003732B0"/>
    <w:rsid w:val="003734E2"/>
    <w:rsid w:val="00373768"/>
    <w:rsid w:val="003737C1"/>
    <w:rsid w:val="003738BC"/>
    <w:rsid w:val="003739D9"/>
    <w:rsid w:val="00373BD0"/>
    <w:rsid w:val="00373CF4"/>
    <w:rsid w:val="00374039"/>
    <w:rsid w:val="00374218"/>
    <w:rsid w:val="00374571"/>
    <w:rsid w:val="00374573"/>
    <w:rsid w:val="003749CB"/>
    <w:rsid w:val="00374A44"/>
    <w:rsid w:val="00374E01"/>
    <w:rsid w:val="0037510F"/>
    <w:rsid w:val="0037581B"/>
    <w:rsid w:val="00375EE1"/>
    <w:rsid w:val="00376494"/>
    <w:rsid w:val="0037667E"/>
    <w:rsid w:val="00376751"/>
    <w:rsid w:val="00376B00"/>
    <w:rsid w:val="00376E8B"/>
    <w:rsid w:val="00376F83"/>
    <w:rsid w:val="00377A63"/>
    <w:rsid w:val="0038054F"/>
    <w:rsid w:val="00380922"/>
    <w:rsid w:val="0038175B"/>
    <w:rsid w:val="0038217D"/>
    <w:rsid w:val="003823ED"/>
    <w:rsid w:val="003824B0"/>
    <w:rsid w:val="00382AF5"/>
    <w:rsid w:val="00382CAC"/>
    <w:rsid w:val="003831E1"/>
    <w:rsid w:val="003832A1"/>
    <w:rsid w:val="0038332A"/>
    <w:rsid w:val="00383363"/>
    <w:rsid w:val="003834A2"/>
    <w:rsid w:val="003836C0"/>
    <w:rsid w:val="00383951"/>
    <w:rsid w:val="00383A12"/>
    <w:rsid w:val="003849E4"/>
    <w:rsid w:val="00384A81"/>
    <w:rsid w:val="00384D54"/>
    <w:rsid w:val="00385030"/>
    <w:rsid w:val="003859F1"/>
    <w:rsid w:val="003879FC"/>
    <w:rsid w:val="00387A0F"/>
    <w:rsid w:val="00387DAD"/>
    <w:rsid w:val="00387FA8"/>
    <w:rsid w:val="00390170"/>
    <w:rsid w:val="003904CF"/>
    <w:rsid w:val="00390662"/>
    <w:rsid w:val="00390C6B"/>
    <w:rsid w:val="00390F26"/>
    <w:rsid w:val="0039171D"/>
    <w:rsid w:val="00391CDA"/>
    <w:rsid w:val="00391D21"/>
    <w:rsid w:val="00391F8F"/>
    <w:rsid w:val="0039220C"/>
    <w:rsid w:val="00392223"/>
    <w:rsid w:val="00392AA2"/>
    <w:rsid w:val="00392E1E"/>
    <w:rsid w:val="003932CC"/>
    <w:rsid w:val="00393839"/>
    <w:rsid w:val="00393928"/>
    <w:rsid w:val="00393D3B"/>
    <w:rsid w:val="0039411E"/>
    <w:rsid w:val="003943C8"/>
    <w:rsid w:val="003946E5"/>
    <w:rsid w:val="0039476B"/>
    <w:rsid w:val="00394996"/>
    <w:rsid w:val="00394E4F"/>
    <w:rsid w:val="00394FB1"/>
    <w:rsid w:val="003950B2"/>
    <w:rsid w:val="00395452"/>
    <w:rsid w:val="003954D1"/>
    <w:rsid w:val="0039562C"/>
    <w:rsid w:val="00395A14"/>
    <w:rsid w:val="0039638F"/>
    <w:rsid w:val="00396748"/>
    <w:rsid w:val="003970E3"/>
    <w:rsid w:val="003971E3"/>
    <w:rsid w:val="003972DC"/>
    <w:rsid w:val="0039770B"/>
    <w:rsid w:val="00397879"/>
    <w:rsid w:val="00397995"/>
    <w:rsid w:val="003979E7"/>
    <w:rsid w:val="00397A63"/>
    <w:rsid w:val="00397D50"/>
    <w:rsid w:val="003A0975"/>
    <w:rsid w:val="003A0DED"/>
    <w:rsid w:val="003A1065"/>
    <w:rsid w:val="003A14A4"/>
    <w:rsid w:val="003A14DD"/>
    <w:rsid w:val="003A156B"/>
    <w:rsid w:val="003A1712"/>
    <w:rsid w:val="003A1758"/>
    <w:rsid w:val="003A1F7F"/>
    <w:rsid w:val="003A2332"/>
    <w:rsid w:val="003A266A"/>
    <w:rsid w:val="003A28C8"/>
    <w:rsid w:val="003A2A27"/>
    <w:rsid w:val="003A2E81"/>
    <w:rsid w:val="003A3244"/>
    <w:rsid w:val="003A381D"/>
    <w:rsid w:val="003A4052"/>
    <w:rsid w:val="003A433B"/>
    <w:rsid w:val="003A438B"/>
    <w:rsid w:val="003A5130"/>
    <w:rsid w:val="003A5586"/>
    <w:rsid w:val="003A58AA"/>
    <w:rsid w:val="003A5A02"/>
    <w:rsid w:val="003A5FA0"/>
    <w:rsid w:val="003A620A"/>
    <w:rsid w:val="003A626F"/>
    <w:rsid w:val="003A63AE"/>
    <w:rsid w:val="003A6A89"/>
    <w:rsid w:val="003A6B47"/>
    <w:rsid w:val="003A6FFE"/>
    <w:rsid w:val="003A7183"/>
    <w:rsid w:val="003A72A2"/>
    <w:rsid w:val="003A732C"/>
    <w:rsid w:val="003A7484"/>
    <w:rsid w:val="003A7AB6"/>
    <w:rsid w:val="003A7B0F"/>
    <w:rsid w:val="003B071E"/>
    <w:rsid w:val="003B07B0"/>
    <w:rsid w:val="003B0C22"/>
    <w:rsid w:val="003B1035"/>
    <w:rsid w:val="003B12B0"/>
    <w:rsid w:val="003B1414"/>
    <w:rsid w:val="003B151D"/>
    <w:rsid w:val="003B1732"/>
    <w:rsid w:val="003B1A80"/>
    <w:rsid w:val="003B1AB7"/>
    <w:rsid w:val="003B1E1A"/>
    <w:rsid w:val="003B1E73"/>
    <w:rsid w:val="003B2CC9"/>
    <w:rsid w:val="003B317E"/>
    <w:rsid w:val="003B31CB"/>
    <w:rsid w:val="003B34C3"/>
    <w:rsid w:val="003B3D08"/>
    <w:rsid w:val="003B3ED9"/>
    <w:rsid w:val="003B4691"/>
    <w:rsid w:val="003B4810"/>
    <w:rsid w:val="003B49ED"/>
    <w:rsid w:val="003B5067"/>
    <w:rsid w:val="003B53D0"/>
    <w:rsid w:val="003B5E84"/>
    <w:rsid w:val="003B5FBE"/>
    <w:rsid w:val="003B6192"/>
    <w:rsid w:val="003B6253"/>
    <w:rsid w:val="003B643F"/>
    <w:rsid w:val="003B64C5"/>
    <w:rsid w:val="003B66F9"/>
    <w:rsid w:val="003B66FD"/>
    <w:rsid w:val="003B6894"/>
    <w:rsid w:val="003B6C02"/>
    <w:rsid w:val="003B6E40"/>
    <w:rsid w:val="003B72B6"/>
    <w:rsid w:val="003B76DA"/>
    <w:rsid w:val="003B7727"/>
    <w:rsid w:val="003B794B"/>
    <w:rsid w:val="003B7D7A"/>
    <w:rsid w:val="003C00E8"/>
    <w:rsid w:val="003C0583"/>
    <w:rsid w:val="003C0BD0"/>
    <w:rsid w:val="003C0CBD"/>
    <w:rsid w:val="003C0F4E"/>
    <w:rsid w:val="003C136C"/>
    <w:rsid w:val="003C157A"/>
    <w:rsid w:val="003C15B2"/>
    <w:rsid w:val="003C1966"/>
    <w:rsid w:val="003C19BF"/>
    <w:rsid w:val="003C1C7B"/>
    <w:rsid w:val="003C253A"/>
    <w:rsid w:val="003C2F31"/>
    <w:rsid w:val="003C31FB"/>
    <w:rsid w:val="003C372D"/>
    <w:rsid w:val="003C3768"/>
    <w:rsid w:val="003C3A6C"/>
    <w:rsid w:val="003C3BFB"/>
    <w:rsid w:val="003C3C66"/>
    <w:rsid w:val="003C4026"/>
    <w:rsid w:val="003C4329"/>
    <w:rsid w:val="003C4C11"/>
    <w:rsid w:val="003C4F9B"/>
    <w:rsid w:val="003C5516"/>
    <w:rsid w:val="003C596E"/>
    <w:rsid w:val="003C5B52"/>
    <w:rsid w:val="003C5B7B"/>
    <w:rsid w:val="003C5D46"/>
    <w:rsid w:val="003C6023"/>
    <w:rsid w:val="003C62E1"/>
    <w:rsid w:val="003C68EF"/>
    <w:rsid w:val="003C6AAB"/>
    <w:rsid w:val="003C6FAD"/>
    <w:rsid w:val="003C7187"/>
    <w:rsid w:val="003C74B3"/>
    <w:rsid w:val="003C75A4"/>
    <w:rsid w:val="003D043E"/>
    <w:rsid w:val="003D08A6"/>
    <w:rsid w:val="003D0FC4"/>
    <w:rsid w:val="003D107D"/>
    <w:rsid w:val="003D110C"/>
    <w:rsid w:val="003D11AC"/>
    <w:rsid w:val="003D151E"/>
    <w:rsid w:val="003D1815"/>
    <w:rsid w:val="003D1A10"/>
    <w:rsid w:val="003D1A7B"/>
    <w:rsid w:val="003D1C1D"/>
    <w:rsid w:val="003D2042"/>
    <w:rsid w:val="003D2133"/>
    <w:rsid w:val="003D2582"/>
    <w:rsid w:val="003D2632"/>
    <w:rsid w:val="003D3025"/>
    <w:rsid w:val="003D36A1"/>
    <w:rsid w:val="003D3723"/>
    <w:rsid w:val="003D3801"/>
    <w:rsid w:val="003D3934"/>
    <w:rsid w:val="003D40C4"/>
    <w:rsid w:val="003D4653"/>
    <w:rsid w:val="003D48BE"/>
    <w:rsid w:val="003D48C4"/>
    <w:rsid w:val="003D4EC4"/>
    <w:rsid w:val="003D4FFF"/>
    <w:rsid w:val="003D5904"/>
    <w:rsid w:val="003D5DC9"/>
    <w:rsid w:val="003D5EF0"/>
    <w:rsid w:val="003D73B2"/>
    <w:rsid w:val="003D749D"/>
    <w:rsid w:val="003D7567"/>
    <w:rsid w:val="003D75D7"/>
    <w:rsid w:val="003D780A"/>
    <w:rsid w:val="003D7CC6"/>
    <w:rsid w:val="003D7ED9"/>
    <w:rsid w:val="003E0004"/>
    <w:rsid w:val="003E07D8"/>
    <w:rsid w:val="003E0BD2"/>
    <w:rsid w:val="003E0F87"/>
    <w:rsid w:val="003E1091"/>
    <w:rsid w:val="003E10C2"/>
    <w:rsid w:val="003E128A"/>
    <w:rsid w:val="003E15B3"/>
    <w:rsid w:val="003E1B10"/>
    <w:rsid w:val="003E1B72"/>
    <w:rsid w:val="003E1ED1"/>
    <w:rsid w:val="003E1F11"/>
    <w:rsid w:val="003E2695"/>
    <w:rsid w:val="003E2CEE"/>
    <w:rsid w:val="003E2DBD"/>
    <w:rsid w:val="003E2E1D"/>
    <w:rsid w:val="003E2ED1"/>
    <w:rsid w:val="003E32B3"/>
    <w:rsid w:val="003E32E3"/>
    <w:rsid w:val="003E349D"/>
    <w:rsid w:val="003E357D"/>
    <w:rsid w:val="003E3589"/>
    <w:rsid w:val="003E372C"/>
    <w:rsid w:val="003E3A35"/>
    <w:rsid w:val="003E3DD7"/>
    <w:rsid w:val="003E3FAE"/>
    <w:rsid w:val="003E4080"/>
    <w:rsid w:val="003E41B5"/>
    <w:rsid w:val="003E4F8A"/>
    <w:rsid w:val="003E52C5"/>
    <w:rsid w:val="003E5AE5"/>
    <w:rsid w:val="003E5C27"/>
    <w:rsid w:val="003E6128"/>
    <w:rsid w:val="003E62D3"/>
    <w:rsid w:val="003E6303"/>
    <w:rsid w:val="003E6477"/>
    <w:rsid w:val="003E6717"/>
    <w:rsid w:val="003E6977"/>
    <w:rsid w:val="003E6EB5"/>
    <w:rsid w:val="003E77A6"/>
    <w:rsid w:val="003E7826"/>
    <w:rsid w:val="003E7914"/>
    <w:rsid w:val="003E7CF5"/>
    <w:rsid w:val="003E7EB9"/>
    <w:rsid w:val="003F03F1"/>
    <w:rsid w:val="003F0767"/>
    <w:rsid w:val="003F0922"/>
    <w:rsid w:val="003F0C84"/>
    <w:rsid w:val="003F161F"/>
    <w:rsid w:val="003F1633"/>
    <w:rsid w:val="003F188A"/>
    <w:rsid w:val="003F18BF"/>
    <w:rsid w:val="003F1C83"/>
    <w:rsid w:val="003F1E6A"/>
    <w:rsid w:val="003F271B"/>
    <w:rsid w:val="003F27E8"/>
    <w:rsid w:val="003F2E92"/>
    <w:rsid w:val="003F3112"/>
    <w:rsid w:val="003F318D"/>
    <w:rsid w:val="003F3374"/>
    <w:rsid w:val="003F33A9"/>
    <w:rsid w:val="003F381B"/>
    <w:rsid w:val="003F3C1B"/>
    <w:rsid w:val="003F44C7"/>
    <w:rsid w:val="003F4523"/>
    <w:rsid w:val="003F494E"/>
    <w:rsid w:val="003F4EB8"/>
    <w:rsid w:val="003F51B2"/>
    <w:rsid w:val="003F5258"/>
    <w:rsid w:val="003F5542"/>
    <w:rsid w:val="003F5731"/>
    <w:rsid w:val="003F583D"/>
    <w:rsid w:val="003F5E1B"/>
    <w:rsid w:val="003F6316"/>
    <w:rsid w:val="003F72D7"/>
    <w:rsid w:val="003F7493"/>
    <w:rsid w:val="003F76A3"/>
    <w:rsid w:val="003F76ED"/>
    <w:rsid w:val="003F789F"/>
    <w:rsid w:val="003F78F3"/>
    <w:rsid w:val="003F7D24"/>
    <w:rsid w:val="004002E4"/>
    <w:rsid w:val="0040104B"/>
    <w:rsid w:val="00401219"/>
    <w:rsid w:val="0040169D"/>
    <w:rsid w:val="004021F6"/>
    <w:rsid w:val="004024AB"/>
    <w:rsid w:val="004024C5"/>
    <w:rsid w:val="004027B8"/>
    <w:rsid w:val="004029A3"/>
    <w:rsid w:val="00402AB9"/>
    <w:rsid w:val="00402CAA"/>
    <w:rsid w:val="00402D16"/>
    <w:rsid w:val="00403112"/>
    <w:rsid w:val="00403966"/>
    <w:rsid w:val="00403ACD"/>
    <w:rsid w:val="00403F06"/>
    <w:rsid w:val="00404361"/>
    <w:rsid w:val="00404984"/>
    <w:rsid w:val="00404CED"/>
    <w:rsid w:val="00405044"/>
    <w:rsid w:val="004053D9"/>
    <w:rsid w:val="00405940"/>
    <w:rsid w:val="004061DA"/>
    <w:rsid w:val="00406212"/>
    <w:rsid w:val="00406398"/>
    <w:rsid w:val="004064DB"/>
    <w:rsid w:val="00406898"/>
    <w:rsid w:val="004068F5"/>
    <w:rsid w:val="0040696D"/>
    <w:rsid w:val="00406BED"/>
    <w:rsid w:val="00407DB9"/>
    <w:rsid w:val="00407F40"/>
    <w:rsid w:val="00407FA6"/>
    <w:rsid w:val="00410206"/>
    <w:rsid w:val="00410715"/>
    <w:rsid w:val="00410766"/>
    <w:rsid w:val="0041096C"/>
    <w:rsid w:val="00410BC8"/>
    <w:rsid w:val="00411269"/>
    <w:rsid w:val="004112F1"/>
    <w:rsid w:val="004118A3"/>
    <w:rsid w:val="00411AC3"/>
    <w:rsid w:val="00411C20"/>
    <w:rsid w:val="00411F8A"/>
    <w:rsid w:val="00412320"/>
    <w:rsid w:val="004126E8"/>
    <w:rsid w:val="00412739"/>
    <w:rsid w:val="00412823"/>
    <w:rsid w:val="00413053"/>
    <w:rsid w:val="00413107"/>
    <w:rsid w:val="004131A9"/>
    <w:rsid w:val="00413254"/>
    <w:rsid w:val="00413599"/>
    <w:rsid w:val="00413A49"/>
    <w:rsid w:val="00414147"/>
    <w:rsid w:val="004146CB"/>
    <w:rsid w:val="00414F24"/>
    <w:rsid w:val="00414FA0"/>
    <w:rsid w:val="00415105"/>
    <w:rsid w:val="00415B5E"/>
    <w:rsid w:val="00415C62"/>
    <w:rsid w:val="00416039"/>
    <w:rsid w:val="00416314"/>
    <w:rsid w:val="004163C0"/>
    <w:rsid w:val="004165D9"/>
    <w:rsid w:val="00416621"/>
    <w:rsid w:val="0041670B"/>
    <w:rsid w:val="004167B3"/>
    <w:rsid w:val="00416BAB"/>
    <w:rsid w:val="00417153"/>
    <w:rsid w:val="0041780D"/>
    <w:rsid w:val="00417999"/>
    <w:rsid w:val="00417A15"/>
    <w:rsid w:val="00417AEB"/>
    <w:rsid w:val="00417AFE"/>
    <w:rsid w:val="00417CDE"/>
    <w:rsid w:val="00417D69"/>
    <w:rsid w:val="00417DA2"/>
    <w:rsid w:val="00420C20"/>
    <w:rsid w:val="00420CC6"/>
    <w:rsid w:val="0042188E"/>
    <w:rsid w:val="004222FF"/>
    <w:rsid w:val="004224B2"/>
    <w:rsid w:val="004224BA"/>
    <w:rsid w:val="004226F9"/>
    <w:rsid w:val="0042288F"/>
    <w:rsid w:val="00422EBD"/>
    <w:rsid w:val="00422F7A"/>
    <w:rsid w:val="00422FEE"/>
    <w:rsid w:val="004230EB"/>
    <w:rsid w:val="0042332B"/>
    <w:rsid w:val="0042339E"/>
    <w:rsid w:val="004235E6"/>
    <w:rsid w:val="004236A7"/>
    <w:rsid w:val="00423B49"/>
    <w:rsid w:val="00423D1B"/>
    <w:rsid w:val="004242CC"/>
    <w:rsid w:val="004243E1"/>
    <w:rsid w:val="004245BA"/>
    <w:rsid w:val="00424894"/>
    <w:rsid w:val="00424C97"/>
    <w:rsid w:val="00424D6C"/>
    <w:rsid w:val="00425450"/>
    <w:rsid w:val="0042606D"/>
    <w:rsid w:val="00426741"/>
    <w:rsid w:val="00426AD1"/>
    <w:rsid w:val="00426B20"/>
    <w:rsid w:val="00426E17"/>
    <w:rsid w:val="0042741D"/>
    <w:rsid w:val="004277A7"/>
    <w:rsid w:val="00427D6A"/>
    <w:rsid w:val="004301D4"/>
    <w:rsid w:val="00430425"/>
    <w:rsid w:val="00430E07"/>
    <w:rsid w:val="00430E14"/>
    <w:rsid w:val="00430FB4"/>
    <w:rsid w:val="00430FE2"/>
    <w:rsid w:val="004311AD"/>
    <w:rsid w:val="00431E17"/>
    <w:rsid w:val="00431F25"/>
    <w:rsid w:val="00432601"/>
    <w:rsid w:val="00432B90"/>
    <w:rsid w:val="00432C33"/>
    <w:rsid w:val="00433B44"/>
    <w:rsid w:val="00434379"/>
    <w:rsid w:val="00434B4F"/>
    <w:rsid w:val="0043512A"/>
    <w:rsid w:val="0043517C"/>
    <w:rsid w:val="00435ABD"/>
    <w:rsid w:val="00436227"/>
    <w:rsid w:val="004362C4"/>
    <w:rsid w:val="0043665A"/>
    <w:rsid w:val="00436AF9"/>
    <w:rsid w:val="00436E8E"/>
    <w:rsid w:val="00436FE3"/>
    <w:rsid w:val="0043707E"/>
    <w:rsid w:val="00437202"/>
    <w:rsid w:val="00440C1A"/>
    <w:rsid w:val="00440F3D"/>
    <w:rsid w:val="00441149"/>
    <w:rsid w:val="00441550"/>
    <w:rsid w:val="004415C0"/>
    <w:rsid w:val="004416BA"/>
    <w:rsid w:val="00441B1F"/>
    <w:rsid w:val="00441B40"/>
    <w:rsid w:val="0044285F"/>
    <w:rsid w:val="00442879"/>
    <w:rsid w:val="00443291"/>
    <w:rsid w:val="004436A7"/>
    <w:rsid w:val="00443B46"/>
    <w:rsid w:val="00443CC2"/>
    <w:rsid w:val="00443FD4"/>
    <w:rsid w:val="0044443A"/>
    <w:rsid w:val="00444647"/>
    <w:rsid w:val="00444D0D"/>
    <w:rsid w:val="00445306"/>
    <w:rsid w:val="004453EE"/>
    <w:rsid w:val="00445684"/>
    <w:rsid w:val="004456ED"/>
    <w:rsid w:val="00445F5C"/>
    <w:rsid w:val="0044635C"/>
    <w:rsid w:val="004467C3"/>
    <w:rsid w:val="00446813"/>
    <w:rsid w:val="004473EA"/>
    <w:rsid w:val="0044747A"/>
    <w:rsid w:val="004476D2"/>
    <w:rsid w:val="004503FE"/>
    <w:rsid w:val="00450A3B"/>
    <w:rsid w:val="00450FA9"/>
    <w:rsid w:val="00451192"/>
    <w:rsid w:val="0045140C"/>
    <w:rsid w:val="0045169C"/>
    <w:rsid w:val="00451F93"/>
    <w:rsid w:val="00452160"/>
    <w:rsid w:val="00452C66"/>
    <w:rsid w:val="00452F2D"/>
    <w:rsid w:val="00453177"/>
    <w:rsid w:val="00453196"/>
    <w:rsid w:val="00453626"/>
    <w:rsid w:val="00453708"/>
    <w:rsid w:val="004537B4"/>
    <w:rsid w:val="00453DD4"/>
    <w:rsid w:val="00453E69"/>
    <w:rsid w:val="0045418B"/>
    <w:rsid w:val="004547FC"/>
    <w:rsid w:val="004548DD"/>
    <w:rsid w:val="0045496C"/>
    <w:rsid w:val="00454F53"/>
    <w:rsid w:val="0045559A"/>
    <w:rsid w:val="004558D3"/>
    <w:rsid w:val="004562FD"/>
    <w:rsid w:val="00456562"/>
    <w:rsid w:val="004569E7"/>
    <w:rsid w:val="00456B77"/>
    <w:rsid w:val="00456F48"/>
    <w:rsid w:val="00457588"/>
    <w:rsid w:val="004576FF"/>
    <w:rsid w:val="00457959"/>
    <w:rsid w:val="004604AF"/>
    <w:rsid w:val="004608E6"/>
    <w:rsid w:val="00460D30"/>
    <w:rsid w:val="00460F18"/>
    <w:rsid w:val="00461244"/>
    <w:rsid w:val="004613D2"/>
    <w:rsid w:val="0046155A"/>
    <w:rsid w:val="004615B2"/>
    <w:rsid w:val="004617FD"/>
    <w:rsid w:val="0046186F"/>
    <w:rsid w:val="004619FA"/>
    <w:rsid w:val="00461FDF"/>
    <w:rsid w:val="0046227B"/>
    <w:rsid w:val="00462A83"/>
    <w:rsid w:val="004631B2"/>
    <w:rsid w:val="004633EF"/>
    <w:rsid w:val="004639F9"/>
    <w:rsid w:val="00463FC1"/>
    <w:rsid w:val="00464185"/>
    <w:rsid w:val="0046445A"/>
    <w:rsid w:val="004644D1"/>
    <w:rsid w:val="00464894"/>
    <w:rsid w:val="00465146"/>
    <w:rsid w:val="004654EE"/>
    <w:rsid w:val="0046565B"/>
    <w:rsid w:val="00465B61"/>
    <w:rsid w:val="00465BE2"/>
    <w:rsid w:val="00465D9B"/>
    <w:rsid w:val="00465DDE"/>
    <w:rsid w:val="00466004"/>
    <w:rsid w:val="0046624A"/>
    <w:rsid w:val="004662A4"/>
    <w:rsid w:val="004662DE"/>
    <w:rsid w:val="00466824"/>
    <w:rsid w:val="00466A48"/>
    <w:rsid w:val="00466C7A"/>
    <w:rsid w:val="0046737C"/>
    <w:rsid w:val="0046740B"/>
    <w:rsid w:val="00467456"/>
    <w:rsid w:val="00467763"/>
    <w:rsid w:val="00467B0D"/>
    <w:rsid w:val="00467CAA"/>
    <w:rsid w:val="004703BB"/>
    <w:rsid w:val="00470AA1"/>
    <w:rsid w:val="004714ED"/>
    <w:rsid w:val="004716B7"/>
    <w:rsid w:val="0047217D"/>
    <w:rsid w:val="00472256"/>
    <w:rsid w:val="004723CF"/>
    <w:rsid w:val="00472DDA"/>
    <w:rsid w:val="00473104"/>
    <w:rsid w:val="004731C3"/>
    <w:rsid w:val="00473518"/>
    <w:rsid w:val="00473BB2"/>
    <w:rsid w:val="00473F70"/>
    <w:rsid w:val="00473FAA"/>
    <w:rsid w:val="004746C5"/>
    <w:rsid w:val="00474A21"/>
    <w:rsid w:val="00474B80"/>
    <w:rsid w:val="00474E8A"/>
    <w:rsid w:val="00474FF7"/>
    <w:rsid w:val="0047570F"/>
    <w:rsid w:val="004757A6"/>
    <w:rsid w:val="004758A4"/>
    <w:rsid w:val="004760D1"/>
    <w:rsid w:val="004765B6"/>
    <w:rsid w:val="00476A3D"/>
    <w:rsid w:val="00477684"/>
    <w:rsid w:val="00477CCD"/>
    <w:rsid w:val="00477E82"/>
    <w:rsid w:val="00477F68"/>
    <w:rsid w:val="004800AC"/>
    <w:rsid w:val="00480437"/>
    <w:rsid w:val="00480C0B"/>
    <w:rsid w:val="00481338"/>
    <w:rsid w:val="004817A6"/>
    <w:rsid w:val="00481C8A"/>
    <w:rsid w:val="00481E54"/>
    <w:rsid w:val="00482278"/>
    <w:rsid w:val="00482763"/>
    <w:rsid w:val="004829CD"/>
    <w:rsid w:val="00482D67"/>
    <w:rsid w:val="00482F9A"/>
    <w:rsid w:val="00483262"/>
    <w:rsid w:val="004832B5"/>
    <w:rsid w:val="00483427"/>
    <w:rsid w:val="0048393C"/>
    <w:rsid w:val="00483BB1"/>
    <w:rsid w:val="0048434A"/>
    <w:rsid w:val="004848A3"/>
    <w:rsid w:val="004848E0"/>
    <w:rsid w:val="00484A44"/>
    <w:rsid w:val="00484CC9"/>
    <w:rsid w:val="0048532A"/>
    <w:rsid w:val="00485478"/>
    <w:rsid w:val="0048578B"/>
    <w:rsid w:val="00485C7A"/>
    <w:rsid w:val="00485F1C"/>
    <w:rsid w:val="0048673A"/>
    <w:rsid w:val="004867A1"/>
    <w:rsid w:val="004867CA"/>
    <w:rsid w:val="00486939"/>
    <w:rsid w:val="00486A18"/>
    <w:rsid w:val="00486C9E"/>
    <w:rsid w:val="00487099"/>
    <w:rsid w:val="004873DD"/>
    <w:rsid w:val="00487460"/>
    <w:rsid w:val="0049000B"/>
    <w:rsid w:val="004902BB"/>
    <w:rsid w:val="00490466"/>
    <w:rsid w:val="00490964"/>
    <w:rsid w:val="00490D1F"/>
    <w:rsid w:val="0049126C"/>
    <w:rsid w:val="0049126F"/>
    <w:rsid w:val="0049153B"/>
    <w:rsid w:val="0049176F"/>
    <w:rsid w:val="00491777"/>
    <w:rsid w:val="00491848"/>
    <w:rsid w:val="00491851"/>
    <w:rsid w:val="00491E9B"/>
    <w:rsid w:val="00492214"/>
    <w:rsid w:val="00492543"/>
    <w:rsid w:val="00492819"/>
    <w:rsid w:val="00492C6C"/>
    <w:rsid w:val="004933E6"/>
    <w:rsid w:val="00493C61"/>
    <w:rsid w:val="00493EE2"/>
    <w:rsid w:val="004940EE"/>
    <w:rsid w:val="00494651"/>
    <w:rsid w:val="00494986"/>
    <w:rsid w:val="00494FCF"/>
    <w:rsid w:val="004951C3"/>
    <w:rsid w:val="00495566"/>
    <w:rsid w:val="00495B0D"/>
    <w:rsid w:val="0049624B"/>
    <w:rsid w:val="0049637D"/>
    <w:rsid w:val="004963C5"/>
    <w:rsid w:val="0049675B"/>
    <w:rsid w:val="00496EDE"/>
    <w:rsid w:val="004970E3"/>
    <w:rsid w:val="0049717C"/>
    <w:rsid w:val="00497208"/>
    <w:rsid w:val="004973C5"/>
    <w:rsid w:val="0049792B"/>
    <w:rsid w:val="00497A1F"/>
    <w:rsid w:val="00497EEC"/>
    <w:rsid w:val="004A0152"/>
    <w:rsid w:val="004A04D6"/>
    <w:rsid w:val="004A0964"/>
    <w:rsid w:val="004A0967"/>
    <w:rsid w:val="004A0A13"/>
    <w:rsid w:val="004A0A6E"/>
    <w:rsid w:val="004A0E09"/>
    <w:rsid w:val="004A0EA2"/>
    <w:rsid w:val="004A0F99"/>
    <w:rsid w:val="004A10F5"/>
    <w:rsid w:val="004A16F2"/>
    <w:rsid w:val="004A184D"/>
    <w:rsid w:val="004A1A01"/>
    <w:rsid w:val="004A21F5"/>
    <w:rsid w:val="004A2845"/>
    <w:rsid w:val="004A2AC6"/>
    <w:rsid w:val="004A2DC5"/>
    <w:rsid w:val="004A2FC3"/>
    <w:rsid w:val="004A3223"/>
    <w:rsid w:val="004A3810"/>
    <w:rsid w:val="004A38E5"/>
    <w:rsid w:val="004A3C09"/>
    <w:rsid w:val="004A3D2C"/>
    <w:rsid w:val="004A3E23"/>
    <w:rsid w:val="004A4876"/>
    <w:rsid w:val="004A4962"/>
    <w:rsid w:val="004A4CE9"/>
    <w:rsid w:val="004A5387"/>
    <w:rsid w:val="004A56D2"/>
    <w:rsid w:val="004A5ACF"/>
    <w:rsid w:val="004A6250"/>
    <w:rsid w:val="004A6409"/>
    <w:rsid w:val="004A6640"/>
    <w:rsid w:val="004A6943"/>
    <w:rsid w:val="004A6B7B"/>
    <w:rsid w:val="004A7297"/>
    <w:rsid w:val="004A75AD"/>
    <w:rsid w:val="004A7600"/>
    <w:rsid w:val="004A7B5D"/>
    <w:rsid w:val="004B02C7"/>
    <w:rsid w:val="004B0649"/>
    <w:rsid w:val="004B0790"/>
    <w:rsid w:val="004B0D67"/>
    <w:rsid w:val="004B14C1"/>
    <w:rsid w:val="004B1557"/>
    <w:rsid w:val="004B1611"/>
    <w:rsid w:val="004B18FE"/>
    <w:rsid w:val="004B1C51"/>
    <w:rsid w:val="004B1DF3"/>
    <w:rsid w:val="004B25A6"/>
    <w:rsid w:val="004B2738"/>
    <w:rsid w:val="004B2AB0"/>
    <w:rsid w:val="004B301F"/>
    <w:rsid w:val="004B3119"/>
    <w:rsid w:val="004B3210"/>
    <w:rsid w:val="004B3263"/>
    <w:rsid w:val="004B3B23"/>
    <w:rsid w:val="004B3C6E"/>
    <w:rsid w:val="004B3DDA"/>
    <w:rsid w:val="004B3F65"/>
    <w:rsid w:val="004B4311"/>
    <w:rsid w:val="004B46D0"/>
    <w:rsid w:val="004B4898"/>
    <w:rsid w:val="004B4DB1"/>
    <w:rsid w:val="004B53DA"/>
    <w:rsid w:val="004B6B5F"/>
    <w:rsid w:val="004B6CA4"/>
    <w:rsid w:val="004B6F63"/>
    <w:rsid w:val="004B7033"/>
    <w:rsid w:val="004B712F"/>
    <w:rsid w:val="004B7D6A"/>
    <w:rsid w:val="004B7E37"/>
    <w:rsid w:val="004C00F7"/>
    <w:rsid w:val="004C0348"/>
    <w:rsid w:val="004C051C"/>
    <w:rsid w:val="004C0A22"/>
    <w:rsid w:val="004C0B32"/>
    <w:rsid w:val="004C0F56"/>
    <w:rsid w:val="004C17AC"/>
    <w:rsid w:val="004C17CA"/>
    <w:rsid w:val="004C1850"/>
    <w:rsid w:val="004C1D6B"/>
    <w:rsid w:val="004C2142"/>
    <w:rsid w:val="004C260A"/>
    <w:rsid w:val="004C2D34"/>
    <w:rsid w:val="004C3AC9"/>
    <w:rsid w:val="004C3EDD"/>
    <w:rsid w:val="004C436D"/>
    <w:rsid w:val="004C485E"/>
    <w:rsid w:val="004C4BD1"/>
    <w:rsid w:val="004C5189"/>
    <w:rsid w:val="004C52D9"/>
    <w:rsid w:val="004C562F"/>
    <w:rsid w:val="004C5B0C"/>
    <w:rsid w:val="004C6AFE"/>
    <w:rsid w:val="004C6D89"/>
    <w:rsid w:val="004C747D"/>
    <w:rsid w:val="004C769C"/>
    <w:rsid w:val="004C788B"/>
    <w:rsid w:val="004C7BB0"/>
    <w:rsid w:val="004D03B4"/>
    <w:rsid w:val="004D06D1"/>
    <w:rsid w:val="004D0814"/>
    <w:rsid w:val="004D0BBA"/>
    <w:rsid w:val="004D119A"/>
    <w:rsid w:val="004D13C9"/>
    <w:rsid w:val="004D168D"/>
    <w:rsid w:val="004D1979"/>
    <w:rsid w:val="004D1BEC"/>
    <w:rsid w:val="004D1D55"/>
    <w:rsid w:val="004D1EDE"/>
    <w:rsid w:val="004D206D"/>
    <w:rsid w:val="004D21CF"/>
    <w:rsid w:val="004D224E"/>
    <w:rsid w:val="004D2EF4"/>
    <w:rsid w:val="004D318C"/>
    <w:rsid w:val="004D34D2"/>
    <w:rsid w:val="004D36B7"/>
    <w:rsid w:val="004D37F9"/>
    <w:rsid w:val="004D3A70"/>
    <w:rsid w:val="004D3D10"/>
    <w:rsid w:val="004D42D5"/>
    <w:rsid w:val="004D455C"/>
    <w:rsid w:val="004D46F0"/>
    <w:rsid w:val="004D4834"/>
    <w:rsid w:val="004D4A64"/>
    <w:rsid w:val="004D4C76"/>
    <w:rsid w:val="004D5048"/>
    <w:rsid w:val="004D52BB"/>
    <w:rsid w:val="004D54DF"/>
    <w:rsid w:val="004D5E33"/>
    <w:rsid w:val="004D60B4"/>
    <w:rsid w:val="004D611D"/>
    <w:rsid w:val="004D6315"/>
    <w:rsid w:val="004D6E5A"/>
    <w:rsid w:val="004D6FFB"/>
    <w:rsid w:val="004E0445"/>
    <w:rsid w:val="004E05EE"/>
    <w:rsid w:val="004E0E55"/>
    <w:rsid w:val="004E12EE"/>
    <w:rsid w:val="004E1BE5"/>
    <w:rsid w:val="004E1E27"/>
    <w:rsid w:val="004E21F6"/>
    <w:rsid w:val="004E23C1"/>
    <w:rsid w:val="004E23EB"/>
    <w:rsid w:val="004E26D6"/>
    <w:rsid w:val="004E270A"/>
    <w:rsid w:val="004E270D"/>
    <w:rsid w:val="004E2D04"/>
    <w:rsid w:val="004E3895"/>
    <w:rsid w:val="004E3D39"/>
    <w:rsid w:val="004E41A6"/>
    <w:rsid w:val="004E43CC"/>
    <w:rsid w:val="004E498F"/>
    <w:rsid w:val="004E5442"/>
    <w:rsid w:val="004E589A"/>
    <w:rsid w:val="004E5C4C"/>
    <w:rsid w:val="004E5E0C"/>
    <w:rsid w:val="004E5EA8"/>
    <w:rsid w:val="004E5ED8"/>
    <w:rsid w:val="004E61EF"/>
    <w:rsid w:val="004E6839"/>
    <w:rsid w:val="004E6956"/>
    <w:rsid w:val="004E695B"/>
    <w:rsid w:val="004E6BAF"/>
    <w:rsid w:val="004E6E0C"/>
    <w:rsid w:val="004E6EB1"/>
    <w:rsid w:val="004E6F54"/>
    <w:rsid w:val="004E7575"/>
    <w:rsid w:val="004E75F6"/>
    <w:rsid w:val="004E7686"/>
    <w:rsid w:val="004E7B88"/>
    <w:rsid w:val="004F00E5"/>
    <w:rsid w:val="004F1173"/>
    <w:rsid w:val="004F198E"/>
    <w:rsid w:val="004F1C6B"/>
    <w:rsid w:val="004F1C6C"/>
    <w:rsid w:val="004F1CC7"/>
    <w:rsid w:val="004F225F"/>
    <w:rsid w:val="004F244A"/>
    <w:rsid w:val="004F246D"/>
    <w:rsid w:val="004F28D1"/>
    <w:rsid w:val="004F2C76"/>
    <w:rsid w:val="004F2E19"/>
    <w:rsid w:val="004F3742"/>
    <w:rsid w:val="004F379B"/>
    <w:rsid w:val="004F3AA0"/>
    <w:rsid w:val="004F3C56"/>
    <w:rsid w:val="004F3CC5"/>
    <w:rsid w:val="004F3DB0"/>
    <w:rsid w:val="004F4165"/>
    <w:rsid w:val="004F4390"/>
    <w:rsid w:val="004F45AD"/>
    <w:rsid w:val="004F47E4"/>
    <w:rsid w:val="004F5316"/>
    <w:rsid w:val="004F56FD"/>
    <w:rsid w:val="004F5B03"/>
    <w:rsid w:val="004F5CCB"/>
    <w:rsid w:val="004F602B"/>
    <w:rsid w:val="004F60FF"/>
    <w:rsid w:val="004F6DB6"/>
    <w:rsid w:val="004F6E7B"/>
    <w:rsid w:val="004F7CF6"/>
    <w:rsid w:val="004F7DCC"/>
    <w:rsid w:val="005005DB"/>
    <w:rsid w:val="00500D50"/>
    <w:rsid w:val="005010C7"/>
    <w:rsid w:val="00501A21"/>
    <w:rsid w:val="00501C4D"/>
    <w:rsid w:val="0050206C"/>
    <w:rsid w:val="00502371"/>
    <w:rsid w:val="005025F1"/>
    <w:rsid w:val="00502C81"/>
    <w:rsid w:val="00502C82"/>
    <w:rsid w:val="00502E97"/>
    <w:rsid w:val="00503359"/>
    <w:rsid w:val="005036D6"/>
    <w:rsid w:val="00503B04"/>
    <w:rsid w:val="00503D75"/>
    <w:rsid w:val="00503E8C"/>
    <w:rsid w:val="00504159"/>
    <w:rsid w:val="00504258"/>
    <w:rsid w:val="00504520"/>
    <w:rsid w:val="0050482E"/>
    <w:rsid w:val="00504B29"/>
    <w:rsid w:val="00504EAC"/>
    <w:rsid w:val="005053A7"/>
    <w:rsid w:val="0050566F"/>
    <w:rsid w:val="00505BAC"/>
    <w:rsid w:val="00505CF5"/>
    <w:rsid w:val="00505DB7"/>
    <w:rsid w:val="0050643A"/>
    <w:rsid w:val="00506DD9"/>
    <w:rsid w:val="005072BD"/>
    <w:rsid w:val="0050762A"/>
    <w:rsid w:val="005078D3"/>
    <w:rsid w:val="00507A9D"/>
    <w:rsid w:val="00507B23"/>
    <w:rsid w:val="00510BD9"/>
    <w:rsid w:val="00510C8B"/>
    <w:rsid w:val="00510E91"/>
    <w:rsid w:val="00511221"/>
    <w:rsid w:val="0051132D"/>
    <w:rsid w:val="005114B3"/>
    <w:rsid w:val="005116D4"/>
    <w:rsid w:val="00512832"/>
    <w:rsid w:val="00512B1E"/>
    <w:rsid w:val="00512E59"/>
    <w:rsid w:val="0051307F"/>
    <w:rsid w:val="005132AD"/>
    <w:rsid w:val="005139E4"/>
    <w:rsid w:val="00513A7E"/>
    <w:rsid w:val="005145E6"/>
    <w:rsid w:val="0051476F"/>
    <w:rsid w:val="00514CF1"/>
    <w:rsid w:val="0051527D"/>
    <w:rsid w:val="005157B0"/>
    <w:rsid w:val="00515CB8"/>
    <w:rsid w:val="00515DD6"/>
    <w:rsid w:val="00515E6F"/>
    <w:rsid w:val="0051692C"/>
    <w:rsid w:val="00516E4A"/>
    <w:rsid w:val="00516F04"/>
    <w:rsid w:val="005171F7"/>
    <w:rsid w:val="0051738E"/>
    <w:rsid w:val="00517433"/>
    <w:rsid w:val="00517516"/>
    <w:rsid w:val="0051754C"/>
    <w:rsid w:val="00517662"/>
    <w:rsid w:val="00517FDF"/>
    <w:rsid w:val="0052012B"/>
    <w:rsid w:val="005202CD"/>
    <w:rsid w:val="005204EE"/>
    <w:rsid w:val="0052112D"/>
    <w:rsid w:val="0052185C"/>
    <w:rsid w:val="00521A75"/>
    <w:rsid w:val="00521A94"/>
    <w:rsid w:val="0052210C"/>
    <w:rsid w:val="00522217"/>
    <w:rsid w:val="005225C5"/>
    <w:rsid w:val="00522BE3"/>
    <w:rsid w:val="00522DF3"/>
    <w:rsid w:val="00522EDE"/>
    <w:rsid w:val="00523582"/>
    <w:rsid w:val="00523CEF"/>
    <w:rsid w:val="00524ABA"/>
    <w:rsid w:val="00524C14"/>
    <w:rsid w:val="005250C9"/>
    <w:rsid w:val="005252A5"/>
    <w:rsid w:val="005256B3"/>
    <w:rsid w:val="00525B48"/>
    <w:rsid w:val="00525B78"/>
    <w:rsid w:val="00525D91"/>
    <w:rsid w:val="005269DE"/>
    <w:rsid w:val="00527037"/>
    <w:rsid w:val="00527217"/>
    <w:rsid w:val="0052741A"/>
    <w:rsid w:val="00527617"/>
    <w:rsid w:val="00527AB6"/>
    <w:rsid w:val="00527BF0"/>
    <w:rsid w:val="00527CD6"/>
    <w:rsid w:val="005306F9"/>
    <w:rsid w:val="00530AE1"/>
    <w:rsid w:val="00530C1C"/>
    <w:rsid w:val="00530D63"/>
    <w:rsid w:val="00531A89"/>
    <w:rsid w:val="00531CFF"/>
    <w:rsid w:val="00531D13"/>
    <w:rsid w:val="00531DAC"/>
    <w:rsid w:val="005321AB"/>
    <w:rsid w:val="00532883"/>
    <w:rsid w:val="00532B63"/>
    <w:rsid w:val="0053320A"/>
    <w:rsid w:val="00533395"/>
    <w:rsid w:val="00533875"/>
    <w:rsid w:val="00533954"/>
    <w:rsid w:val="00533991"/>
    <w:rsid w:val="00533A89"/>
    <w:rsid w:val="00533AF2"/>
    <w:rsid w:val="00533B38"/>
    <w:rsid w:val="00533B54"/>
    <w:rsid w:val="00533C01"/>
    <w:rsid w:val="005344CB"/>
    <w:rsid w:val="005345C1"/>
    <w:rsid w:val="005355E1"/>
    <w:rsid w:val="00535AFA"/>
    <w:rsid w:val="005366F7"/>
    <w:rsid w:val="00536C72"/>
    <w:rsid w:val="00537EBF"/>
    <w:rsid w:val="0054000C"/>
    <w:rsid w:val="00540376"/>
    <w:rsid w:val="005405B2"/>
    <w:rsid w:val="005406E4"/>
    <w:rsid w:val="0054170F"/>
    <w:rsid w:val="00541AB7"/>
    <w:rsid w:val="00542131"/>
    <w:rsid w:val="00542786"/>
    <w:rsid w:val="00542942"/>
    <w:rsid w:val="00542A68"/>
    <w:rsid w:val="00542EF9"/>
    <w:rsid w:val="00543224"/>
    <w:rsid w:val="0054344A"/>
    <w:rsid w:val="0054347F"/>
    <w:rsid w:val="00543903"/>
    <w:rsid w:val="00543D5C"/>
    <w:rsid w:val="00543E52"/>
    <w:rsid w:val="00544198"/>
    <w:rsid w:val="00544418"/>
    <w:rsid w:val="00544971"/>
    <w:rsid w:val="00544FA1"/>
    <w:rsid w:val="005452F0"/>
    <w:rsid w:val="005452FB"/>
    <w:rsid w:val="005457D9"/>
    <w:rsid w:val="00546192"/>
    <w:rsid w:val="00546287"/>
    <w:rsid w:val="005465CA"/>
    <w:rsid w:val="00546673"/>
    <w:rsid w:val="0054683D"/>
    <w:rsid w:val="0054699B"/>
    <w:rsid w:val="005469DE"/>
    <w:rsid w:val="00546F2D"/>
    <w:rsid w:val="00547069"/>
    <w:rsid w:val="005475FC"/>
    <w:rsid w:val="00547963"/>
    <w:rsid w:val="00547E70"/>
    <w:rsid w:val="0055068F"/>
    <w:rsid w:val="00550E3E"/>
    <w:rsid w:val="0055127C"/>
    <w:rsid w:val="0055150A"/>
    <w:rsid w:val="005516B4"/>
    <w:rsid w:val="00551A3E"/>
    <w:rsid w:val="00551A8B"/>
    <w:rsid w:val="00552303"/>
    <w:rsid w:val="005523C1"/>
    <w:rsid w:val="005524BC"/>
    <w:rsid w:val="0055298A"/>
    <w:rsid w:val="005529EB"/>
    <w:rsid w:val="00553211"/>
    <w:rsid w:val="005534B2"/>
    <w:rsid w:val="00553517"/>
    <w:rsid w:val="005538FC"/>
    <w:rsid w:val="00553D5B"/>
    <w:rsid w:val="00553D5F"/>
    <w:rsid w:val="0055456D"/>
    <w:rsid w:val="005547C3"/>
    <w:rsid w:val="00554ADB"/>
    <w:rsid w:val="00554D1F"/>
    <w:rsid w:val="0055544C"/>
    <w:rsid w:val="005555EB"/>
    <w:rsid w:val="005558D5"/>
    <w:rsid w:val="0055597D"/>
    <w:rsid w:val="00555A9E"/>
    <w:rsid w:val="00555B10"/>
    <w:rsid w:val="00555DF9"/>
    <w:rsid w:val="005563D0"/>
    <w:rsid w:val="005567E4"/>
    <w:rsid w:val="005569D5"/>
    <w:rsid w:val="005579D0"/>
    <w:rsid w:val="00557CC9"/>
    <w:rsid w:val="005601DD"/>
    <w:rsid w:val="0056039B"/>
    <w:rsid w:val="0056057F"/>
    <w:rsid w:val="005608A3"/>
    <w:rsid w:val="00560D1F"/>
    <w:rsid w:val="00560E51"/>
    <w:rsid w:val="00560ED8"/>
    <w:rsid w:val="00560FD8"/>
    <w:rsid w:val="005612A3"/>
    <w:rsid w:val="0056150C"/>
    <w:rsid w:val="005615E4"/>
    <w:rsid w:val="005616BB"/>
    <w:rsid w:val="00561F02"/>
    <w:rsid w:val="00561FB5"/>
    <w:rsid w:val="00562088"/>
    <w:rsid w:val="0056235E"/>
    <w:rsid w:val="0056262F"/>
    <w:rsid w:val="005628DA"/>
    <w:rsid w:val="00563012"/>
    <w:rsid w:val="0056325C"/>
    <w:rsid w:val="005636E3"/>
    <w:rsid w:val="005638DA"/>
    <w:rsid w:val="00563ABE"/>
    <w:rsid w:val="00563F57"/>
    <w:rsid w:val="00564368"/>
    <w:rsid w:val="005644A9"/>
    <w:rsid w:val="00564AA9"/>
    <w:rsid w:val="00564B31"/>
    <w:rsid w:val="00564FD4"/>
    <w:rsid w:val="0056514F"/>
    <w:rsid w:val="00565AD2"/>
    <w:rsid w:val="00565DC1"/>
    <w:rsid w:val="005661B8"/>
    <w:rsid w:val="00566713"/>
    <w:rsid w:val="005667D4"/>
    <w:rsid w:val="00566BD7"/>
    <w:rsid w:val="00566D1B"/>
    <w:rsid w:val="00567226"/>
    <w:rsid w:val="005702D5"/>
    <w:rsid w:val="00570494"/>
    <w:rsid w:val="00570B7D"/>
    <w:rsid w:val="00570BA4"/>
    <w:rsid w:val="00570E89"/>
    <w:rsid w:val="005710B6"/>
    <w:rsid w:val="00571180"/>
    <w:rsid w:val="005713FA"/>
    <w:rsid w:val="005714C1"/>
    <w:rsid w:val="0057158D"/>
    <w:rsid w:val="00572088"/>
    <w:rsid w:val="00572732"/>
    <w:rsid w:val="0057299C"/>
    <w:rsid w:val="00572C13"/>
    <w:rsid w:val="00573178"/>
    <w:rsid w:val="005733E7"/>
    <w:rsid w:val="00573506"/>
    <w:rsid w:val="0057355D"/>
    <w:rsid w:val="00573966"/>
    <w:rsid w:val="00573CD2"/>
    <w:rsid w:val="00574040"/>
    <w:rsid w:val="0057419E"/>
    <w:rsid w:val="00574281"/>
    <w:rsid w:val="00574D9E"/>
    <w:rsid w:val="0057537A"/>
    <w:rsid w:val="0057559E"/>
    <w:rsid w:val="00576B18"/>
    <w:rsid w:val="00576EBD"/>
    <w:rsid w:val="005776E4"/>
    <w:rsid w:val="00577751"/>
    <w:rsid w:val="00577AEF"/>
    <w:rsid w:val="005806A4"/>
    <w:rsid w:val="0058081C"/>
    <w:rsid w:val="00580E7A"/>
    <w:rsid w:val="00580F73"/>
    <w:rsid w:val="00581187"/>
    <w:rsid w:val="00581C8A"/>
    <w:rsid w:val="00582299"/>
    <w:rsid w:val="0058233B"/>
    <w:rsid w:val="005823D1"/>
    <w:rsid w:val="00582B30"/>
    <w:rsid w:val="00582BDB"/>
    <w:rsid w:val="00583076"/>
    <w:rsid w:val="00583233"/>
    <w:rsid w:val="00583679"/>
    <w:rsid w:val="00584724"/>
    <w:rsid w:val="005848B7"/>
    <w:rsid w:val="00584F01"/>
    <w:rsid w:val="00584F8D"/>
    <w:rsid w:val="005856B5"/>
    <w:rsid w:val="00585A21"/>
    <w:rsid w:val="00585CA8"/>
    <w:rsid w:val="00585ECF"/>
    <w:rsid w:val="00586369"/>
    <w:rsid w:val="005863C9"/>
    <w:rsid w:val="005865B2"/>
    <w:rsid w:val="005866FE"/>
    <w:rsid w:val="00586781"/>
    <w:rsid w:val="00586D58"/>
    <w:rsid w:val="005874C4"/>
    <w:rsid w:val="005875C0"/>
    <w:rsid w:val="00587A12"/>
    <w:rsid w:val="00587CCE"/>
    <w:rsid w:val="00590894"/>
    <w:rsid w:val="00590958"/>
    <w:rsid w:val="00590A5E"/>
    <w:rsid w:val="005912E1"/>
    <w:rsid w:val="0059137E"/>
    <w:rsid w:val="00591F71"/>
    <w:rsid w:val="00591FAE"/>
    <w:rsid w:val="005923D1"/>
    <w:rsid w:val="00592D79"/>
    <w:rsid w:val="00593221"/>
    <w:rsid w:val="005932A4"/>
    <w:rsid w:val="00593676"/>
    <w:rsid w:val="00593D18"/>
    <w:rsid w:val="00593EA0"/>
    <w:rsid w:val="00593F00"/>
    <w:rsid w:val="0059420C"/>
    <w:rsid w:val="005943C5"/>
    <w:rsid w:val="00594738"/>
    <w:rsid w:val="005948B7"/>
    <w:rsid w:val="005948B8"/>
    <w:rsid w:val="00594B21"/>
    <w:rsid w:val="005952F4"/>
    <w:rsid w:val="00595324"/>
    <w:rsid w:val="005959D2"/>
    <w:rsid w:val="00595D89"/>
    <w:rsid w:val="00595E66"/>
    <w:rsid w:val="00595E69"/>
    <w:rsid w:val="00596697"/>
    <w:rsid w:val="005968EB"/>
    <w:rsid w:val="00596A90"/>
    <w:rsid w:val="00596E98"/>
    <w:rsid w:val="005972AC"/>
    <w:rsid w:val="00597590"/>
    <w:rsid w:val="005A0C71"/>
    <w:rsid w:val="005A0ED0"/>
    <w:rsid w:val="005A0F01"/>
    <w:rsid w:val="005A0F99"/>
    <w:rsid w:val="005A11E8"/>
    <w:rsid w:val="005A1353"/>
    <w:rsid w:val="005A17AB"/>
    <w:rsid w:val="005A1A4A"/>
    <w:rsid w:val="005A1AF3"/>
    <w:rsid w:val="005A2143"/>
    <w:rsid w:val="005A21BA"/>
    <w:rsid w:val="005A2233"/>
    <w:rsid w:val="005A281B"/>
    <w:rsid w:val="005A2ABF"/>
    <w:rsid w:val="005A2F58"/>
    <w:rsid w:val="005A2F84"/>
    <w:rsid w:val="005A3189"/>
    <w:rsid w:val="005A378C"/>
    <w:rsid w:val="005A428D"/>
    <w:rsid w:val="005A4342"/>
    <w:rsid w:val="005A43BB"/>
    <w:rsid w:val="005A4C6C"/>
    <w:rsid w:val="005A5291"/>
    <w:rsid w:val="005A531C"/>
    <w:rsid w:val="005A586F"/>
    <w:rsid w:val="005A5A60"/>
    <w:rsid w:val="005A5AAA"/>
    <w:rsid w:val="005A6101"/>
    <w:rsid w:val="005A68DF"/>
    <w:rsid w:val="005A693C"/>
    <w:rsid w:val="005A69DE"/>
    <w:rsid w:val="005A6A79"/>
    <w:rsid w:val="005A71FD"/>
    <w:rsid w:val="005A7259"/>
    <w:rsid w:val="005A75A2"/>
    <w:rsid w:val="005A76F5"/>
    <w:rsid w:val="005A7A72"/>
    <w:rsid w:val="005A7A88"/>
    <w:rsid w:val="005A7FE7"/>
    <w:rsid w:val="005B017A"/>
    <w:rsid w:val="005B0195"/>
    <w:rsid w:val="005B01BA"/>
    <w:rsid w:val="005B0C2D"/>
    <w:rsid w:val="005B0D64"/>
    <w:rsid w:val="005B0DCC"/>
    <w:rsid w:val="005B1286"/>
    <w:rsid w:val="005B1AEA"/>
    <w:rsid w:val="005B247B"/>
    <w:rsid w:val="005B25F5"/>
    <w:rsid w:val="005B26BE"/>
    <w:rsid w:val="005B27CF"/>
    <w:rsid w:val="005B28E1"/>
    <w:rsid w:val="005B3E8D"/>
    <w:rsid w:val="005B3F95"/>
    <w:rsid w:val="005B478E"/>
    <w:rsid w:val="005B47B8"/>
    <w:rsid w:val="005B491B"/>
    <w:rsid w:val="005B4BD6"/>
    <w:rsid w:val="005B552B"/>
    <w:rsid w:val="005B5CD0"/>
    <w:rsid w:val="005B5ED6"/>
    <w:rsid w:val="005B5FD7"/>
    <w:rsid w:val="005B629F"/>
    <w:rsid w:val="005B62C8"/>
    <w:rsid w:val="005B636F"/>
    <w:rsid w:val="005B6880"/>
    <w:rsid w:val="005B6896"/>
    <w:rsid w:val="005B6CFB"/>
    <w:rsid w:val="005B6F6A"/>
    <w:rsid w:val="005B714E"/>
    <w:rsid w:val="005B726D"/>
    <w:rsid w:val="005B72D0"/>
    <w:rsid w:val="005B7AEB"/>
    <w:rsid w:val="005B7CBA"/>
    <w:rsid w:val="005B7F29"/>
    <w:rsid w:val="005C173F"/>
    <w:rsid w:val="005C194C"/>
    <w:rsid w:val="005C1BA7"/>
    <w:rsid w:val="005C1BC4"/>
    <w:rsid w:val="005C1DBF"/>
    <w:rsid w:val="005C2410"/>
    <w:rsid w:val="005C2DB0"/>
    <w:rsid w:val="005C3344"/>
    <w:rsid w:val="005C40FD"/>
    <w:rsid w:val="005C43C1"/>
    <w:rsid w:val="005C4B61"/>
    <w:rsid w:val="005C5464"/>
    <w:rsid w:val="005C557A"/>
    <w:rsid w:val="005C5719"/>
    <w:rsid w:val="005C5C9A"/>
    <w:rsid w:val="005C6B12"/>
    <w:rsid w:val="005C6B2F"/>
    <w:rsid w:val="005C6DE8"/>
    <w:rsid w:val="005C6F4C"/>
    <w:rsid w:val="005C77D8"/>
    <w:rsid w:val="005C7A29"/>
    <w:rsid w:val="005D00EB"/>
    <w:rsid w:val="005D062F"/>
    <w:rsid w:val="005D06F9"/>
    <w:rsid w:val="005D0ADF"/>
    <w:rsid w:val="005D1182"/>
    <w:rsid w:val="005D1309"/>
    <w:rsid w:val="005D17D8"/>
    <w:rsid w:val="005D19E5"/>
    <w:rsid w:val="005D1B83"/>
    <w:rsid w:val="005D1C59"/>
    <w:rsid w:val="005D1C78"/>
    <w:rsid w:val="005D29E5"/>
    <w:rsid w:val="005D2A66"/>
    <w:rsid w:val="005D2AE7"/>
    <w:rsid w:val="005D2C94"/>
    <w:rsid w:val="005D2D62"/>
    <w:rsid w:val="005D3408"/>
    <w:rsid w:val="005D3B92"/>
    <w:rsid w:val="005D3EDD"/>
    <w:rsid w:val="005D42B1"/>
    <w:rsid w:val="005D4E82"/>
    <w:rsid w:val="005D5291"/>
    <w:rsid w:val="005D58E3"/>
    <w:rsid w:val="005D5B72"/>
    <w:rsid w:val="005D5C4A"/>
    <w:rsid w:val="005D6B81"/>
    <w:rsid w:val="005D75FB"/>
    <w:rsid w:val="005D7645"/>
    <w:rsid w:val="005D7D79"/>
    <w:rsid w:val="005E0067"/>
    <w:rsid w:val="005E024E"/>
    <w:rsid w:val="005E072D"/>
    <w:rsid w:val="005E084A"/>
    <w:rsid w:val="005E0A72"/>
    <w:rsid w:val="005E0AD1"/>
    <w:rsid w:val="005E0D72"/>
    <w:rsid w:val="005E14CA"/>
    <w:rsid w:val="005E16A7"/>
    <w:rsid w:val="005E2369"/>
    <w:rsid w:val="005E2B00"/>
    <w:rsid w:val="005E2D4E"/>
    <w:rsid w:val="005E337A"/>
    <w:rsid w:val="005E34EE"/>
    <w:rsid w:val="005E3579"/>
    <w:rsid w:val="005E3A6E"/>
    <w:rsid w:val="005E3AAA"/>
    <w:rsid w:val="005E3C4E"/>
    <w:rsid w:val="005E4354"/>
    <w:rsid w:val="005E49C4"/>
    <w:rsid w:val="005E4C19"/>
    <w:rsid w:val="005E4C9E"/>
    <w:rsid w:val="005E5E07"/>
    <w:rsid w:val="005E75E3"/>
    <w:rsid w:val="005E782E"/>
    <w:rsid w:val="005E78F7"/>
    <w:rsid w:val="005F02D2"/>
    <w:rsid w:val="005F053A"/>
    <w:rsid w:val="005F0599"/>
    <w:rsid w:val="005F09A1"/>
    <w:rsid w:val="005F1290"/>
    <w:rsid w:val="005F12B0"/>
    <w:rsid w:val="005F208F"/>
    <w:rsid w:val="005F2141"/>
    <w:rsid w:val="005F2326"/>
    <w:rsid w:val="005F2819"/>
    <w:rsid w:val="005F2A07"/>
    <w:rsid w:val="005F2B30"/>
    <w:rsid w:val="005F2B3B"/>
    <w:rsid w:val="005F2D67"/>
    <w:rsid w:val="005F40BC"/>
    <w:rsid w:val="005F4251"/>
    <w:rsid w:val="005F449B"/>
    <w:rsid w:val="005F44D8"/>
    <w:rsid w:val="005F45DE"/>
    <w:rsid w:val="005F4D91"/>
    <w:rsid w:val="005F4ED3"/>
    <w:rsid w:val="005F54CD"/>
    <w:rsid w:val="005F5933"/>
    <w:rsid w:val="005F5CEF"/>
    <w:rsid w:val="005F6257"/>
    <w:rsid w:val="005F6C5F"/>
    <w:rsid w:val="005F6CDB"/>
    <w:rsid w:val="005F73F2"/>
    <w:rsid w:val="005F75EF"/>
    <w:rsid w:val="005F7F4A"/>
    <w:rsid w:val="0060110F"/>
    <w:rsid w:val="0060162C"/>
    <w:rsid w:val="00601997"/>
    <w:rsid w:val="00601B7D"/>
    <w:rsid w:val="00601C8E"/>
    <w:rsid w:val="00601F4D"/>
    <w:rsid w:val="006020B4"/>
    <w:rsid w:val="006020D2"/>
    <w:rsid w:val="006023D3"/>
    <w:rsid w:val="0060268D"/>
    <w:rsid w:val="00602815"/>
    <w:rsid w:val="00602C84"/>
    <w:rsid w:val="00602F9E"/>
    <w:rsid w:val="006031A8"/>
    <w:rsid w:val="0060321A"/>
    <w:rsid w:val="0060333F"/>
    <w:rsid w:val="006034C0"/>
    <w:rsid w:val="00603538"/>
    <w:rsid w:val="00603B3F"/>
    <w:rsid w:val="006043BD"/>
    <w:rsid w:val="006045FA"/>
    <w:rsid w:val="00604654"/>
    <w:rsid w:val="006048E6"/>
    <w:rsid w:val="0060585C"/>
    <w:rsid w:val="00605F75"/>
    <w:rsid w:val="00605FA4"/>
    <w:rsid w:val="00606345"/>
    <w:rsid w:val="00606359"/>
    <w:rsid w:val="006063A1"/>
    <w:rsid w:val="00606903"/>
    <w:rsid w:val="00606D64"/>
    <w:rsid w:val="00607699"/>
    <w:rsid w:val="00607871"/>
    <w:rsid w:val="00610610"/>
    <w:rsid w:val="006106BA"/>
    <w:rsid w:val="00610A83"/>
    <w:rsid w:val="006112A0"/>
    <w:rsid w:val="00611A0E"/>
    <w:rsid w:val="00611A5A"/>
    <w:rsid w:val="00611C3A"/>
    <w:rsid w:val="00611F8C"/>
    <w:rsid w:val="006122F6"/>
    <w:rsid w:val="0061325F"/>
    <w:rsid w:val="006136BE"/>
    <w:rsid w:val="006136F6"/>
    <w:rsid w:val="00613A7A"/>
    <w:rsid w:val="00613F35"/>
    <w:rsid w:val="006144A2"/>
    <w:rsid w:val="00614739"/>
    <w:rsid w:val="0061492E"/>
    <w:rsid w:val="006150EB"/>
    <w:rsid w:val="00615197"/>
    <w:rsid w:val="0061560F"/>
    <w:rsid w:val="0061567B"/>
    <w:rsid w:val="00616554"/>
    <w:rsid w:val="00616DF3"/>
    <w:rsid w:val="00616F0B"/>
    <w:rsid w:val="00617255"/>
    <w:rsid w:val="00617516"/>
    <w:rsid w:val="00617924"/>
    <w:rsid w:val="00617B56"/>
    <w:rsid w:val="00620722"/>
    <w:rsid w:val="006208AC"/>
    <w:rsid w:val="00620EE6"/>
    <w:rsid w:val="00620F45"/>
    <w:rsid w:val="00621244"/>
    <w:rsid w:val="0062128C"/>
    <w:rsid w:val="00621475"/>
    <w:rsid w:val="00621BB1"/>
    <w:rsid w:val="00621D0B"/>
    <w:rsid w:val="00622052"/>
    <w:rsid w:val="0062215C"/>
    <w:rsid w:val="0062246D"/>
    <w:rsid w:val="00622A85"/>
    <w:rsid w:val="00622D0B"/>
    <w:rsid w:val="00623022"/>
    <w:rsid w:val="006232A9"/>
    <w:rsid w:val="00623511"/>
    <w:rsid w:val="00623824"/>
    <w:rsid w:val="00623976"/>
    <w:rsid w:val="006239DF"/>
    <w:rsid w:val="00623ADF"/>
    <w:rsid w:val="00623B2A"/>
    <w:rsid w:val="00623C32"/>
    <w:rsid w:val="006241B9"/>
    <w:rsid w:val="00624827"/>
    <w:rsid w:val="0062520B"/>
    <w:rsid w:val="006253EC"/>
    <w:rsid w:val="006256F7"/>
    <w:rsid w:val="00625951"/>
    <w:rsid w:val="00625C7E"/>
    <w:rsid w:val="00625F39"/>
    <w:rsid w:val="006262DC"/>
    <w:rsid w:val="006263D2"/>
    <w:rsid w:val="00626D5B"/>
    <w:rsid w:val="0062772D"/>
    <w:rsid w:val="00627767"/>
    <w:rsid w:val="00627AA9"/>
    <w:rsid w:val="00630C8C"/>
    <w:rsid w:val="00630D66"/>
    <w:rsid w:val="006310E3"/>
    <w:rsid w:val="006316CD"/>
    <w:rsid w:val="006319F4"/>
    <w:rsid w:val="00631EF2"/>
    <w:rsid w:val="006321A8"/>
    <w:rsid w:val="00632DBF"/>
    <w:rsid w:val="00632EF1"/>
    <w:rsid w:val="0063347E"/>
    <w:rsid w:val="00633808"/>
    <w:rsid w:val="00633CFE"/>
    <w:rsid w:val="00633DA3"/>
    <w:rsid w:val="00633E0A"/>
    <w:rsid w:val="00634094"/>
    <w:rsid w:val="006340D1"/>
    <w:rsid w:val="006341C4"/>
    <w:rsid w:val="00634201"/>
    <w:rsid w:val="00634228"/>
    <w:rsid w:val="00634780"/>
    <w:rsid w:val="0063490F"/>
    <w:rsid w:val="006349B4"/>
    <w:rsid w:val="00635407"/>
    <w:rsid w:val="006354CA"/>
    <w:rsid w:val="00635570"/>
    <w:rsid w:val="00635A16"/>
    <w:rsid w:val="00635C54"/>
    <w:rsid w:val="00635E2B"/>
    <w:rsid w:val="0063649C"/>
    <w:rsid w:val="0063649F"/>
    <w:rsid w:val="00636AA9"/>
    <w:rsid w:val="00637190"/>
    <w:rsid w:val="006371BF"/>
    <w:rsid w:val="00637322"/>
    <w:rsid w:val="00637837"/>
    <w:rsid w:val="006401A4"/>
    <w:rsid w:val="006401DD"/>
    <w:rsid w:val="006402F1"/>
    <w:rsid w:val="006403B5"/>
    <w:rsid w:val="00640608"/>
    <w:rsid w:val="0064082D"/>
    <w:rsid w:val="0064104D"/>
    <w:rsid w:val="00641667"/>
    <w:rsid w:val="0064175A"/>
    <w:rsid w:val="00641AA6"/>
    <w:rsid w:val="006423C0"/>
    <w:rsid w:val="00642A33"/>
    <w:rsid w:val="00642D5B"/>
    <w:rsid w:val="00642D6B"/>
    <w:rsid w:val="0064353A"/>
    <w:rsid w:val="00643B6D"/>
    <w:rsid w:val="00643C3D"/>
    <w:rsid w:val="00643F1E"/>
    <w:rsid w:val="006441BE"/>
    <w:rsid w:val="006448BB"/>
    <w:rsid w:val="00644A00"/>
    <w:rsid w:val="00644C1A"/>
    <w:rsid w:val="006454BD"/>
    <w:rsid w:val="00645B2A"/>
    <w:rsid w:val="00645BE8"/>
    <w:rsid w:val="00646139"/>
    <w:rsid w:val="00646662"/>
    <w:rsid w:val="00646E74"/>
    <w:rsid w:val="00646F8A"/>
    <w:rsid w:val="00646FE2"/>
    <w:rsid w:val="0064716A"/>
    <w:rsid w:val="006474D2"/>
    <w:rsid w:val="00647AEF"/>
    <w:rsid w:val="00647FDB"/>
    <w:rsid w:val="00650571"/>
    <w:rsid w:val="00651765"/>
    <w:rsid w:val="0065182D"/>
    <w:rsid w:val="00651A9B"/>
    <w:rsid w:val="00651BAE"/>
    <w:rsid w:val="00651CA8"/>
    <w:rsid w:val="00652B60"/>
    <w:rsid w:val="00652E33"/>
    <w:rsid w:val="00653085"/>
    <w:rsid w:val="00653427"/>
    <w:rsid w:val="0065365E"/>
    <w:rsid w:val="00653731"/>
    <w:rsid w:val="006538E6"/>
    <w:rsid w:val="00653FBC"/>
    <w:rsid w:val="006544E9"/>
    <w:rsid w:val="006544F5"/>
    <w:rsid w:val="00654995"/>
    <w:rsid w:val="00654D57"/>
    <w:rsid w:val="00654EC6"/>
    <w:rsid w:val="00655024"/>
    <w:rsid w:val="0065511B"/>
    <w:rsid w:val="00655249"/>
    <w:rsid w:val="00655270"/>
    <w:rsid w:val="006554E7"/>
    <w:rsid w:val="00655693"/>
    <w:rsid w:val="0065576B"/>
    <w:rsid w:val="00655CDD"/>
    <w:rsid w:val="00655D33"/>
    <w:rsid w:val="00655EED"/>
    <w:rsid w:val="00655F0A"/>
    <w:rsid w:val="00655FAC"/>
    <w:rsid w:val="00656426"/>
    <w:rsid w:val="0065679D"/>
    <w:rsid w:val="006568DA"/>
    <w:rsid w:val="00656B83"/>
    <w:rsid w:val="00656BB5"/>
    <w:rsid w:val="00656C49"/>
    <w:rsid w:val="006570AA"/>
    <w:rsid w:val="0065710A"/>
    <w:rsid w:val="006573BD"/>
    <w:rsid w:val="00657917"/>
    <w:rsid w:val="00657F5B"/>
    <w:rsid w:val="00657F6D"/>
    <w:rsid w:val="0066004B"/>
    <w:rsid w:val="0066053F"/>
    <w:rsid w:val="006625EB"/>
    <w:rsid w:val="00662899"/>
    <w:rsid w:val="00662AF0"/>
    <w:rsid w:val="00662D22"/>
    <w:rsid w:val="00662FDA"/>
    <w:rsid w:val="006630EE"/>
    <w:rsid w:val="00663C6C"/>
    <w:rsid w:val="006640A8"/>
    <w:rsid w:val="00664307"/>
    <w:rsid w:val="00664872"/>
    <w:rsid w:val="006648B1"/>
    <w:rsid w:val="00664B45"/>
    <w:rsid w:val="00664D6A"/>
    <w:rsid w:val="00664DD6"/>
    <w:rsid w:val="0066524F"/>
    <w:rsid w:val="00665A99"/>
    <w:rsid w:val="00665BDA"/>
    <w:rsid w:val="00665F6D"/>
    <w:rsid w:val="00666599"/>
    <w:rsid w:val="00666CF9"/>
    <w:rsid w:val="00666F21"/>
    <w:rsid w:val="00667377"/>
    <w:rsid w:val="00667454"/>
    <w:rsid w:val="00670153"/>
    <w:rsid w:val="006708F4"/>
    <w:rsid w:val="006712D6"/>
    <w:rsid w:val="0067131F"/>
    <w:rsid w:val="006715FF"/>
    <w:rsid w:val="00671794"/>
    <w:rsid w:val="00671C1B"/>
    <w:rsid w:val="00671D28"/>
    <w:rsid w:val="006728C2"/>
    <w:rsid w:val="00672BFE"/>
    <w:rsid w:val="00673C3D"/>
    <w:rsid w:val="00673DDF"/>
    <w:rsid w:val="00674652"/>
    <w:rsid w:val="006746A6"/>
    <w:rsid w:val="00674B1A"/>
    <w:rsid w:val="00674D0B"/>
    <w:rsid w:val="00674E14"/>
    <w:rsid w:val="00675142"/>
    <w:rsid w:val="0067520E"/>
    <w:rsid w:val="0067563B"/>
    <w:rsid w:val="0067595F"/>
    <w:rsid w:val="00675994"/>
    <w:rsid w:val="00675E09"/>
    <w:rsid w:val="00676094"/>
    <w:rsid w:val="00676559"/>
    <w:rsid w:val="006766CD"/>
    <w:rsid w:val="00677612"/>
    <w:rsid w:val="006776B0"/>
    <w:rsid w:val="00677981"/>
    <w:rsid w:val="00677AE4"/>
    <w:rsid w:val="0068015D"/>
    <w:rsid w:val="0068118D"/>
    <w:rsid w:val="006815E3"/>
    <w:rsid w:val="00681762"/>
    <w:rsid w:val="00681AF3"/>
    <w:rsid w:val="0068223D"/>
    <w:rsid w:val="0068253E"/>
    <w:rsid w:val="00682AC4"/>
    <w:rsid w:val="00683054"/>
    <w:rsid w:val="0068394E"/>
    <w:rsid w:val="00683FF2"/>
    <w:rsid w:val="006841F1"/>
    <w:rsid w:val="006842B3"/>
    <w:rsid w:val="00684301"/>
    <w:rsid w:val="006847D8"/>
    <w:rsid w:val="00684955"/>
    <w:rsid w:val="006854B3"/>
    <w:rsid w:val="00685E00"/>
    <w:rsid w:val="00685F28"/>
    <w:rsid w:val="00686053"/>
    <w:rsid w:val="00686088"/>
    <w:rsid w:val="00686811"/>
    <w:rsid w:val="00687191"/>
    <w:rsid w:val="006872A8"/>
    <w:rsid w:val="00687430"/>
    <w:rsid w:val="00687765"/>
    <w:rsid w:val="00687817"/>
    <w:rsid w:val="0068798D"/>
    <w:rsid w:val="00690031"/>
    <w:rsid w:val="00690557"/>
    <w:rsid w:val="00690728"/>
    <w:rsid w:val="006909A1"/>
    <w:rsid w:val="00690CBC"/>
    <w:rsid w:val="00691A88"/>
    <w:rsid w:val="00691B83"/>
    <w:rsid w:val="006922B4"/>
    <w:rsid w:val="006923FC"/>
    <w:rsid w:val="006925ED"/>
    <w:rsid w:val="0069281C"/>
    <w:rsid w:val="00692AC1"/>
    <w:rsid w:val="0069392D"/>
    <w:rsid w:val="00693BD2"/>
    <w:rsid w:val="00693C73"/>
    <w:rsid w:val="00693C75"/>
    <w:rsid w:val="006945D8"/>
    <w:rsid w:val="00694AB0"/>
    <w:rsid w:val="0069503D"/>
    <w:rsid w:val="00695273"/>
    <w:rsid w:val="0069536C"/>
    <w:rsid w:val="00695984"/>
    <w:rsid w:val="00695CE4"/>
    <w:rsid w:val="00695F7A"/>
    <w:rsid w:val="0069617A"/>
    <w:rsid w:val="006963C8"/>
    <w:rsid w:val="0069658C"/>
    <w:rsid w:val="00697B20"/>
    <w:rsid w:val="00697C7D"/>
    <w:rsid w:val="00697CC7"/>
    <w:rsid w:val="006A07F5"/>
    <w:rsid w:val="006A089D"/>
    <w:rsid w:val="006A0A6E"/>
    <w:rsid w:val="006A15DC"/>
    <w:rsid w:val="006A20C6"/>
    <w:rsid w:val="006A281A"/>
    <w:rsid w:val="006A2D01"/>
    <w:rsid w:val="006A305A"/>
    <w:rsid w:val="006A3160"/>
    <w:rsid w:val="006A333E"/>
    <w:rsid w:val="006A3B0E"/>
    <w:rsid w:val="006A4033"/>
    <w:rsid w:val="006A44A4"/>
    <w:rsid w:val="006A452B"/>
    <w:rsid w:val="006A473B"/>
    <w:rsid w:val="006A4F5A"/>
    <w:rsid w:val="006A4F91"/>
    <w:rsid w:val="006A52A5"/>
    <w:rsid w:val="006A53BE"/>
    <w:rsid w:val="006A553F"/>
    <w:rsid w:val="006A5F9C"/>
    <w:rsid w:val="006A6019"/>
    <w:rsid w:val="006A6249"/>
    <w:rsid w:val="006A6540"/>
    <w:rsid w:val="006A6E8E"/>
    <w:rsid w:val="006A6FF5"/>
    <w:rsid w:val="006A7271"/>
    <w:rsid w:val="006A751D"/>
    <w:rsid w:val="006A7A17"/>
    <w:rsid w:val="006A7A74"/>
    <w:rsid w:val="006B01EE"/>
    <w:rsid w:val="006B02BE"/>
    <w:rsid w:val="006B02C3"/>
    <w:rsid w:val="006B0719"/>
    <w:rsid w:val="006B0ECF"/>
    <w:rsid w:val="006B0FD6"/>
    <w:rsid w:val="006B1203"/>
    <w:rsid w:val="006B13C4"/>
    <w:rsid w:val="006B14E0"/>
    <w:rsid w:val="006B1789"/>
    <w:rsid w:val="006B193C"/>
    <w:rsid w:val="006B1E8F"/>
    <w:rsid w:val="006B1FCE"/>
    <w:rsid w:val="006B32B6"/>
    <w:rsid w:val="006B32D6"/>
    <w:rsid w:val="006B3438"/>
    <w:rsid w:val="006B34F8"/>
    <w:rsid w:val="006B3696"/>
    <w:rsid w:val="006B396B"/>
    <w:rsid w:val="006B3987"/>
    <w:rsid w:val="006B3C0B"/>
    <w:rsid w:val="006B3DBD"/>
    <w:rsid w:val="006B449E"/>
    <w:rsid w:val="006B4531"/>
    <w:rsid w:val="006B4B85"/>
    <w:rsid w:val="006B4FF5"/>
    <w:rsid w:val="006B569F"/>
    <w:rsid w:val="006B5A18"/>
    <w:rsid w:val="006B5C2A"/>
    <w:rsid w:val="006B5D2E"/>
    <w:rsid w:val="006B6133"/>
    <w:rsid w:val="006B61DD"/>
    <w:rsid w:val="006B65A2"/>
    <w:rsid w:val="006B65AC"/>
    <w:rsid w:val="006B703E"/>
    <w:rsid w:val="006B79B0"/>
    <w:rsid w:val="006C134C"/>
    <w:rsid w:val="006C1C01"/>
    <w:rsid w:val="006C1C9D"/>
    <w:rsid w:val="006C1EC0"/>
    <w:rsid w:val="006C21C3"/>
    <w:rsid w:val="006C2DDD"/>
    <w:rsid w:val="006C3162"/>
    <w:rsid w:val="006C3446"/>
    <w:rsid w:val="006C34DF"/>
    <w:rsid w:val="006C3E44"/>
    <w:rsid w:val="006C4260"/>
    <w:rsid w:val="006C4703"/>
    <w:rsid w:val="006C4FAC"/>
    <w:rsid w:val="006C4FB4"/>
    <w:rsid w:val="006C51A5"/>
    <w:rsid w:val="006C552D"/>
    <w:rsid w:val="006C5676"/>
    <w:rsid w:val="006C585C"/>
    <w:rsid w:val="006C5BDC"/>
    <w:rsid w:val="006C6297"/>
    <w:rsid w:val="006C6D51"/>
    <w:rsid w:val="006C7198"/>
    <w:rsid w:val="006C7E0D"/>
    <w:rsid w:val="006D011F"/>
    <w:rsid w:val="006D05F4"/>
    <w:rsid w:val="006D062F"/>
    <w:rsid w:val="006D0768"/>
    <w:rsid w:val="006D0DB4"/>
    <w:rsid w:val="006D0E24"/>
    <w:rsid w:val="006D1138"/>
    <w:rsid w:val="006D126B"/>
    <w:rsid w:val="006D1303"/>
    <w:rsid w:val="006D1901"/>
    <w:rsid w:val="006D1CF3"/>
    <w:rsid w:val="006D1F55"/>
    <w:rsid w:val="006D2049"/>
    <w:rsid w:val="006D211E"/>
    <w:rsid w:val="006D2162"/>
    <w:rsid w:val="006D2202"/>
    <w:rsid w:val="006D23A8"/>
    <w:rsid w:val="006D25BF"/>
    <w:rsid w:val="006D283B"/>
    <w:rsid w:val="006D2AF6"/>
    <w:rsid w:val="006D2BAE"/>
    <w:rsid w:val="006D3295"/>
    <w:rsid w:val="006D36FC"/>
    <w:rsid w:val="006D3CB2"/>
    <w:rsid w:val="006D4685"/>
    <w:rsid w:val="006D47E5"/>
    <w:rsid w:val="006D4D47"/>
    <w:rsid w:val="006D570D"/>
    <w:rsid w:val="006D5A0B"/>
    <w:rsid w:val="006D5E9E"/>
    <w:rsid w:val="006D608B"/>
    <w:rsid w:val="006D63B9"/>
    <w:rsid w:val="006D6897"/>
    <w:rsid w:val="006D6989"/>
    <w:rsid w:val="006D6BC2"/>
    <w:rsid w:val="006D6C03"/>
    <w:rsid w:val="006D6C42"/>
    <w:rsid w:val="006D7E23"/>
    <w:rsid w:val="006D7FD2"/>
    <w:rsid w:val="006E0107"/>
    <w:rsid w:val="006E068C"/>
    <w:rsid w:val="006E0CDE"/>
    <w:rsid w:val="006E0E76"/>
    <w:rsid w:val="006E0ED9"/>
    <w:rsid w:val="006E1462"/>
    <w:rsid w:val="006E148D"/>
    <w:rsid w:val="006E1649"/>
    <w:rsid w:val="006E1862"/>
    <w:rsid w:val="006E2529"/>
    <w:rsid w:val="006E2B2D"/>
    <w:rsid w:val="006E2EC5"/>
    <w:rsid w:val="006E2F2A"/>
    <w:rsid w:val="006E3013"/>
    <w:rsid w:val="006E354E"/>
    <w:rsid w:val="006E3608"/>
    <w:rsid w:val="006E3687"/>
    <w:rsid w:val="006E3783"/>
    <w:rsid w:val="006E38FF"/>
    <w:rsid w:val="006E3CA8"/>
    <w:rsid w:val="006E3D3B"/>
    <w:rsid w:val="006E40F8"/>
    <w:rsid w:val="006E42E4"/>
    <w:rsid w:val="006E473C"/>
    <w:rsid w:val="006E4766"/>
    <w:rsid w:val="006E4EE4"/>
    <w:rsid w:val="006E5268"/>
    <w:rsid w:val="006E5867"/>
    <w:rsid w:val="006E5893"/>
    <w:rsid w:val="006E59AC"/>
    <w:rsid w:val="006E5AB8"/>
    <w:rsid w:val="006E5F2D"/>
    <w:rsid w:val="006E6317"/>
    <w:rsid w:val="006E67D1"/>
    <w:rsid w:val="006E682D"/>
    <w:rsid w:val="006E687E"/>
    <w:rsid w:val="006E68EB"/>
    <w:rsid w:val="006E692F"/>
    <w:rsid w:val="006E6A55"/>
    <w:rsid w:val="006E7219"/>
    <w:rsid w:val="006E77D8"/>
    <w:rsid w:val="006E77E9"/>
    <w:rsid w:val="006E7897"/>
    <w:rsid w:val="006E7C4F"/>
    <w:rsid w:val="006F00F7"/>
    <w:rsid w:val="006F0616"/>
    <w:rsid w:val="006F0894"/>
    <w:rsid w:val="006F12AB"/>
    <w:rsid w:val="006F13B3"/>
    <w:rsid w:val="006F1B0D"/>
    <w:rsid w:val="006F28A0"/>
    <w:rsid w:val="006F2A95"/>
    <w:rsid w:val="006F3349"/>
    <w:rsid w:val="006F36A9"/>
    <w:rsid w:val="006F387D"/>
    <w:rsid w:val="006F3A1A"/>
    <w:rsid w:val="006F41AB"/>
    <w:rsid w:val="006F42D0"/>
    <w:rsid w:val="006F4389"/>
    <w:rsid w:val="006F45F9"/>
    <w:rsid w:val="006F473A"/>
    <w:rsid w:val="006F483F"/>
    <w:rsid w:val="006F4C21"/>
    <w:rsid w:val="006F4DED"/>
    <w:rsid w:val="006F4FDA"/>
    <w:rsid w:val="006F51EA"/>
    <w:rsid w:val="006F52BA"/>
    <w:rsid w:val="006F5902"/>
    <w:rsid w:val="006F5D92"/>
    <w:rsid w:val="006F5E87"/>
    <w:rsid w:val="006F5F97"/>
    <w:rsid w:val="006F63E2"/>
    <w:rsid w:val="006F6435"/>
    <w:rsid w:val="006F6E26"/>
    <w:rsid w:val="006F701D"/>
    <w:rsid w:val="006F795E"/>
    <w:rsid w:val="006F7ABF"/>
    <w:rsid w:val="006F7E63"/>
    <w:rsid w:val="007005CD"/>
    <w:rsid w:val="00700E11"/>
    <w:rsid w:val="007010A9"/>
    <w:rsid w:val="007012B0"/>
    <w:rsid w:val="00701463"/>
    <w:rsid w:val="0070205F"/>
    <w:rsid w:val="00702187"/>
    <w:rsid w:val="00702493"/>
    <w:rsid w:val="00702E3E"/>
    <w:rsid w:val="00702F98"/>
    <w:rsid w:val="00703999"/>
    <w:rsid w:val="00703ACE"/>
    <w:rsid w:val="00703BA5"/>
    <w:rsid w:val="00703E8F"/>
    <w:rsid w:val="00703F94"/>
    <w:rsid w:val="007048B7"/>
    <w:rsid w:val="00704EBF"/>
    <w:rsid w:val="00704FBB"/>
    <w:rsid w:val="007052DA"/>
    <w:rsid w:val="0070598F"/>
    <w:rsid w:val="00705992"/>
    <w:rsid w:val="00705C97"/>
    <w:rsid w:val="0070623B"/>
    <w:rsid w:val="00706D90"/>
    <w:rsid w:val="00707AC1"/>
    <w:rsid w:val="00707D79"/>
    <w:rsid w:val="0071044A"/>
    <w:rsid w:val="0071049D"/>
    <w:rsid w:val="0071146A"/>
    <w:rsid w:val="0071149E"/>
    <w:rsid w:val="007114F0"/>
    <w:rsid w:val="00711A8A"/>
    <w:rsid w:val="00711CF3"/>
    <w:rsid w:val="00711E11"/>
    <w:rsid w:val="00712670"/>
    <w:rsid w:val="00712940"/>
    <w:rsid w:val="00712E3F"/>
    <w:rsid w:val="00712F38"/>
    <w:rsid w:val="0071329C"/>
    <w:rsid w:val="00713317"/>
    <w:rsid w:val="00713643"/>
    <w:rsid w:val="00713EA0"/>
    <w:rsid w:val="00714102"/>
    <w:rsid w:val="0071441D"/>
    <w:rsid w:val="00714760"/>
    <w:rsid w:val="00714AEC"/>
    <w:rsid w:val="00714E48"/>
    <w:rsid w:val="00715281"/>
    <w:rsid w:val="007153F6"/>
    <w:rsid w:val="0071588A"/>
    <w:rsid w:val="00715CE1"/>
    <w:rsid w:val="007160B3"/>
    <w:rsid w:val="0071654B"/>
    <w:rsid w:val="00716598"/>
    <w:rsid w:val="00716A1C"/>
    <w:rsid w:val="00716A8E"/>
    <w:rsid w:val="00716EAC"/>
    <w:rsid w:val="00717016"/>
    <w:rsid w:val="007174A2"/>
    <w:rsid w:val="00720C05"/>
    <w:rsid w:val="00720EDA"/>
    <w:rsid w:val="00721358"/>
    <w:rsid w:val="0072165B"/>
    <w:rsid w:val="007216C0"/>
    <w:rsid w:val="00721806"/>
    <w:rsid w:val="00722255"/>
    <w:rsid w:val="00722283"/>
    <w:rsid w:val="007227A7"/>
    <w:rsid w:val="0072297D"/>
    <w:rsid w:val="00722B84"/>
    <w:rsid w:val="00722CB6"/>
    <w:rsid w:val="00723135"/>
    <w:rsid w:val="0072322C"/>
    <w:rsid w:val="00723556"/>
    <w:rsid w:val="007244B0"/>
    <w:rsid w:val="007247D6"/>
    <w:rsid w:val="00724CD5"/>
    <w:rsid w:val="0072552F"/>
    <w:rsid w:val="00725552"/>
    <w:rsid w:val="007255F8"/>
    <w:rsid w:val="00725C58"/>
    <w:rsid w:val="00725C70"/>
    <w:rsid w:val="007261FD"/>
    <w:rsid w:val="007263E6"/>
    <w:rsid w:val="0072664C"/>
    <w:rsid w:val="00726AA3"/>
    <w:rsid w:val="00726B02"/>
    <w:rsid w:val="007270A8"/>
    <w:rsid w:val="00727448"/>
    <w:rsid w:val="00727538"/>
    <w:rsid w:val="00727584"/>
    <w:rsid w:val="00727A04"/>
    <w:rsid w:val="00727BC5"/>
    <w:rsid w:val="00727BCB"/>
    <w:rsid w:val="00727E1E"/>
    <w:rsid w:val="0073036C"/>
    <w:rsid w:val="00731130"/>
    <w:rsid w:val="00731625"/>
    <w:rsid w:val="007316F4"/>
    <w:rsid w:val="00731A55"/>
    <w:rsid w:val="00731A64"/>
    <w:rsid w:val="00731B13"/>
    <w:rsid w:val="00731CD6"/>
    <w:rsid w:val="00731E03"/>
    <w:rsid w:val="00732122"/>
    <w:rsid w:val="007327E5"/>
    <w:rsid w:val="0073287C"/>
    <w:rsid w:val="00732968"/>
    <w:rsid w:val="00732C07"/>
    <w:rsid w:val="00732E38"/>
    <w:rsid w:val="00732E71"/>
    <w:rsid w:val="0073310B"/>
    <w:rsid w:val="007339C8"/>
    <w:rsid w:val="00733BC5"/>
    <w:rsid w:val="00733CC9"/>
    <w:rsid w:val="00733D86"/>
    <w:rsid w:val="0073445B"/>
    <w:rsid w:val="007348F5"/>
    <w:rsid w:val="00734D69"/>
    <w:rsid w:val="00735231"/>
    <w:rsid w:val="00735291"/>
    <w:rsid w:val="007353C1"/>
    <w:rsid w:val="00735450"/>
    <w:rsid w:val="00735498"/>
    <w:rsid w:val="00735FE5"/>
    <w:rsid w:val="00737568"/>
    <w:rsid w:val="0073760C"/>
    <w:rsid w:val="00737CAD"/>
    <w:rsid w:val="007403B6"/>
    <w:rsid w:val="00740680"/>
    <w:rsid w:val="00740CBD"/>
    <w:rsid w:val="007414C7"/>
    <w:rsid w:val="00741FC7"/>
    <w:rsid w:val="00742F98"/>
    <w:rsid w:val="007433D7"/>
    <w:rsid w:val="00743949"/>
    <w:rsid w:val="00743A3D"/>
    <w:rsid w:val="00744691"/>
    <w:rsid w:val="00744956"/>
    <w:rsid w:val="00744AC4"/>
    <w:rsid w:val="00744EE3"/>
    <w:rsid w:val="00745330"/>
    <w:rsid w:val="007455DF"/>
    <w:rsid w:val="0074591F"/>
    <w:rsid w:val="00745E93"/>
    <w:rsid w:val="0074655C"/>
    <w:rsid w:val="007466A2"/>
    <w:rsid w:val="00746757"/>
    <w:rsid w:val="00746B5C"/>
    <w:rsid w:val="0074722A"/>
    <w:rsid w:val="00747EAF"/>
    <w:rsid w:val="00747F19"/>
    <w:rsid w:val="0075093D"/>
    <w:rsid w:val="00750985"/>
    <w:rsid w:val="00751246"/>
    <w:rsid w:val="0075137C"/>
    <w:rsid w:val="007516E4"/>
    <w:rsid w:val="00751AB8"/>
    <w:rsid w:val="00751D1F"/>
    <w:rsid w:val="00752529"/>
    <w:rsid w:val="00752A78"/>
    <w:rsid w:val="007530A7"/>
    <w:rsid w:val="00753775"/>
    <w:rsid w:val="00753B4F"/>
    <w:rsid w:val="00753B67"/>
    <w:rsid w:val="0075459C"/>
    <w:rsid w:val="0075461D"/>
    <w:rsid w:val="00754875"/>
    <w:rsid w:val="00754C4B"/>
    <w:rsid w:val="00755179"/>
    <w:rsid w:val="00755274"/>
    <w:rsid w:val="007553C6"/>
    <w:rsid w:val="007555A7"/>
    <w:rsid w:val="007559AA"/>
    <w:rsid w:val="00755A75"/>
    <w:rsid w:val="00755AD1"/>
    <w:rsid w:val="00755DC9"/>
    <w:rsid w:val="00756456"/>
    <w:rsid w:val="00756ADB"/>
    <w:rsid w:val="00757100"/>
    <w:rsid w:val="007572E9"/>
    <w:rsid w:val="00757309"/>
    <w:rsid w:val="007575DC"/>
    <w:rsid w:val="00757717"/>
    <w:rsid w:val="00757948"/>
    <w:rsid w:val="00757A22"/>
    <w:rsid w:val="00757E9F"/>
    <w:rsid w:val="00760099"/>
    <w:rsid w:val="0076040B"/>
    <w:rsid w:val="007605BD"/>
    <w:rsid w:val="00760710"/>
    <w:rsid w:val="00760EA0"/>
    <w:rsid w:val="007611D0"/>
    <w:rsid w:val="00761746"/>
    <w:rsid w:val="00761CA3"/>
    <w:rsid w:val="00761D7C"/>
    <w:rsid w:val="00761F3C"/>
    <w:rsid w:val="00761FEA"/>
    <w:rsid w:val="00762010"/>
    <w:rsid w:val="00762A24"/>
    <w:rsid w:val="00762AD9"/>
    <w:rsid w:val="00762B9E"/>
    <w:rsid w:val="00763123"/>
    <w:rsid w:val="007636FA"/>
    <w:rsid w:val="0076419B"/>
    <w:rsid w:val="00764FFA"/>
    <w:rsid w:val="0076556A"/>
    <w:rsid w:val="007658CB"/>
    <w:rsid w:val="00765999"/>
    <w:rsid w:val="00765A73"/>
    <w:rsid w:val="00765AA8"/>
    <w:rsid w:val="00766715"/>
    <w:rsid w:val="00766CAA"/>
    <w:rsid w:val="00766E43"/>
    <w:rsid w:val="00767074"/>
    <w:rsid w:val="00767112"/>
    <w:rsid w:val="007675AA"/>
    <w:rsid w:val="007678EB"/>
    <w:rsid w:val="00767B3D"/>
    <w:rsid w:val="00767E57"/>
    <w:rsid w:val="00770382"/>
    <w:rsid w:val="0077055A"/>
    <w:rsid w:val="0077087C"/>
    <w:rsid w:val="00770893"/>
    <w:rsid w:val="00770913"/>
    <w:rsid w:val="00770BF0"/>
    <w:rsid w:val="00770D76"/>
    <w:rsid w:val="00770FE0"/>
    <w:rsid w:val="007711BF"/>
    <w:rsid w:val="007717E9"/>
    <w:rsid w:val="00771BD8"/>
    <w:rsid w:val="00771C3F"/>
    <w:rsid w:val="0077210C"/>
    <w:rsid w:val="007723FF"/>
    <w:rsid w:val="00772B0A"/>
    <w:rsid w:val="00772B25"/>
    <w:rsid w:val="00772E1A"/>
    <w:rsid w:val="0077305F"/>
    <w:rsid w:val="0077339D"/>
    <w:rsid w:val="00773737"/>
    <w:rsid w:val="007738A4"/>
    <w:rsid w:val="00773CB8"/>
    <w:rsid w:val="00773DA5"/>
    <w:rsid w:val="0077401F"/>
    <w:rsid w:val="00774B9A"/>
    <w:rsid w:val="00774DC1"/>
    <w:rsid w:val="00774EB9"/>
    <w:rsid w:val="007751DC"/>
    <w:rsid w:val="00775D27"/>
    <w:rsid w:val="00775F37"/>
    <w:rsid w:val="00776266"/>
    <w:rsid w:val="00776539"/>
    <w:rsid w:val="00776B21"/>
    <w:rsid w:val="00776BEF"/>
    <w:rsid w:val="00776EB5"/>
    <w:rsid w:val="0077733A"/>
    <w:rsid w:val="00777357"/>
    <w:rsid w:val="007776AB"/>
    <w:rsid w:val="0077778C"/>
    <w:rsid w:val="00777836"/>
    <w:rsid w:val="007778C0"/>
    <w:rsid w:val="00777923"/>
    <w:rsid w:val="007802BE"/>
    <w:rsid w:val="00780310"/>
    <w:rsid w:val="0078035E"/>
    <w:rsid w:val="00780DD1"/>
    <w:rsid w:val="00780F29"/>
    <w:rsid w:val="00781215"/>
    <w:rsid w:val="007816B3"/>
    <w:rsid w:val="007817FF"/>
    <w:rsid w:val="0078189C"/>
    <w:rsid w:val="00781F7D"/>
    <w:rsid w:val="0078202A"/>
    <w:rsid w:val="0078202D"/>
    <w:rsid w:val="00782253"/>
    <w:rsid w:val="007824A0"/>
    <w:rsid w:val="00782BC3"/>
    <w:rsid w:val="00782D8F"/>
    <w:rsid w:val="007830A1"/>
    <w:rsid w:val="00783105"/>
    <w:rsid w:val="007839AE"/>
    <w:rsid w:val="00783BD6"/>
    <w:rsid w:val="00783DBA"/>
    <w:rsid w:val="00783EB6"/>
    <w:rsid w:val="00784C93"/>
    <w:rsid w:val="00784FE8"/>
    <w:rsid w:val="00785355"/>
    <w:rsid w:val="007854B3"/>
    <w:rsid w:val="00786064"/>
    <w:rsid w:val="00786164"/>
    <w:rsid w:val="00786630"/>
    <w:rsid w:val="0078687E"/>
    <w:rsid w:val="00786D04"/>
    <w:rsid w:val="007873E0"/>
    <w:rsid w:val="007907D9"/>
    <w:rsid w:val="007910E4"/>
    <w:rsid w:val="00791104"/>
    <w:rsid w:val="0079131A"/>
    <w:rsid w:val="00791439"/>
    <w:rsid w:val="0079145E"/>
    <w:rsid w:val="00791494"/>
    <w:rsid w:val="007916FD"/>
    <w:rsid w:val="0079171A"/>
    <w:rsid w:val="00791E9A"/>
    <w:rsid w:val="00792192"/>
    <w:rsid w:val="00792449"/>
    <w:rsid w:val="00792761"/>
    <w:rsid w:val="00792E7F"/>
    <w:rsid w:val="0079343A"/>
    <w:rsid w:val="0079347B"/>
    <w:rsid w:val="007934B4"/>
    <w:rsid w:val="00793589"/>
    <w:rsid w:val="00793797"/>
    <w:rsid w:val="00793A87"/>
    <w:rsid w:val="00793B27"/>
    <w:rsid w:val="00793B96"/>
    <w:rsid w:val="00793D48"/>
    <w:rsid w:val="00794073"/>
    <w:rsid w:val="0079441F"/>
    <w:rsid w:val="0079442B"/>
    <w:rsid w:val="0079459C"/>
    <w:rsid w:val="00794625"/>
    <w:rsid w:val="00794645"/>
    <w:rsid w:val="00794725"/>
    <w:rsid w:val="00794888"/>
    <w:rsid w:val="007948A4"/>
    <w:rsid w:val="007948D5"/>
    <w:rsid w:val="00794BBF"/>
    <w:rsid w:val="00794E13"/>
    <w:rsid w:val="00795175"/>
    <w:rsid w:val="0079593E"/>
    <w:rsid w:val="00795B81"/>
    <w:rsid w:val="00795DE8"/>
    <w:rsid w:val="0079605B"/>
    <w:rsid w:val="00796098"/>
    <w:rsid w:val="00796EBA"/>
    <w:rsid w:val="00796F31"/>
    <w:rsid w:val="00796FBE"/>
    <w:rsid w:val="00797001"/>
    <w:rsid w:val="00797061"/>
    <w:rsid w:val="007973E2"/>
    <w:rsid w:val="007975BD"/>
    <w:rsid w:val="00797BAE"/>
    <w:rsid w:val="00797D9C"/>
    <w:rsid w:val="00797E80"/>
    <w:rsid w:val="00797FA2"/>
    <w:rsid w:val="007A0408"/>
    <w:rsid w:val="007A0921"/>
    <w:rsid w:val="007A09CC"/>
    <w:rsid w:val="007A0C82"/>
    <w:rsid w:val="007A15A6"/>
    <w:rsid w:val="007A15D8"/>
    <w:rsid w:val="007A1EA3"/>
    <w:rsid w:val="007A230B"/>
    <w:rsid w:val="007A27F9"/>
    <w:rsid w:val="007A2868"/>
    <w:rsid w:val="007A2E0E"/>
    <w:rsid w:val="007A34A3"/>
    <w:rsid w:val="007A3615"/>
    <w:rsid w:val="007A40D1"/>
    <w:rsid w:val="007A447F"/>
    <w:rsid w:val="007A48CD"/>
    <w:rsid w:val="007A4C2D"/>
    <w:rsid w:val="007A4CD8"/>
    <w:rsid w:val="007A4F97"/>
    <w:rsid w:val="007A4FBE"/>
    <w:rsid w:val="007A50CF"/>
    <w:rsid w:val="007A5DE8"/>
    <w:rsid w:val="007A5E25"/>
    <w:rsid w:val="007A6384"/>
    <w:rsid w:val="007A66EA"/>
    <w:rsid w:val="007A6FCA"/>
    <w:rsid w:val="007A73AC"/>
    <w:rsid w:val="007A746A"/>
    <w:rsid w:val="007A7736"/>
    <w:rsid w:val="007B0641"/>
    <w:rsid w:val="007B0843"/>
    <w:rsid w:val="007B0996"/>
    <w:rsid w:val="007B10E9"/>
    <w:rsid w:val="007B126A"/>
    <w:rsid w:val="007B15DD"/>
    <w:rsid w:val="007B19A0"/>
    <w:rsid w:val="007B230E"/>
    <w:rsid w:val="007B254B"/>
    <w:rsid w:val="007B2B7F"/>
    <w:rsid w:val="007B2D3C"/>
    <w:rsid w:val="007B2F32"/>
    <w:rsid w:val="007B39E9"/>
    <w:rsid w:val="007B3AEA"/>
    <w:rsid w:val="007B5203"/>
    <w:rsid w:val="007B54A8"/>
    <w:rsid w:val="007B5569"/>
    <w:rsid w:val="007B5C66"/>
    <w:rsid w:val="007B608A"/>
    <w:rsid w:val="007B6096"/>
    <w:rsid w:val="007B6193"/>
    <w:rsid w:val="007B64EA"/>
    <w:rsid w:val="007B6641"/>
    <w:rsid w:val="007B671B"/>
    <w:rsid w:val="007B68DB"/>
    <w:rsid w:val="007B6906"/>
    <w:rsid w:val="007B6A6D"/>
    <w:rsid w:val="007B6EC3"/>
    <w:rsid w:val="007B7765"/>
    <w:rsid w:val="007B78F3"/>
    <w:rsid w:val="007B795D"/>
    <w:rsid w:val="007B797C"/>
    <w:rsid w:val="007B7DD1"/>
    <w:rsid w:val="007C07C4"/>
    <w:rsid w:val="007C086C"/>
    <w:rsid w:val="007C099C"/>
    <w:rsid w:val="007C0C35"/>
    <w:rsid w:val="007C1172"/>
    <w:rsid w:val="007C14A2"/>
    <w:rsid w:val="007C1A9D"/>
    <w:rsid w:val="007C1E66"/>
    <w:rsid w:val="007C1F2D"/>
    <w:rsid w:val="007C20DB"/>
    <w:rsid w:val="007C24D0"/>
    <w:rsid w:val="007C2840"/>
    <w:rsid w:val="007C28F6"/>
    <w:rsid w:val="007C2963"/>
    <w:rsid w:val="007C3604"/>
    <w:rsid w:val="007C41F6"/>
    <w:rsid w:val="007C4BEE"/>
    <w:rsid w:val="007C4C8D"/>
    <w:rsid w:val="007C4DDF"/>
    <w:rsid w:val="007C512B"/>
    <w:rsid w:val="007C5382"/>
    <w:rsid w:val="007C5653"/>
    <w:rsid w:val="007C5ABB"/>
    <w:rsid w:val="007C5F34"/>
    <w:rsid w:val="007C5FF3"/>
    <w:rsid w:val="007C60E5"/>
    <w:rsid w:val="007C65AA"/>
    <w:rsid w:val="007C6CE8"/>
    <w:rsid w:val="007C70FE"/>
    <w:rsid w:val="007C72F6"/>
    <w:rsid w:val="007C7327"/>
    <w:rsid w:val="007C763B"/>
    <w:rsid w:val="007C7EBE"/>
    <w:rsid w:val="007C7EC7"/>
    <w:rsid w:val="007D00D2"/>
    <w:rsid w:val="007D01F2"/>
    <w:rsid w:val="007D081F"/>
    <w:rsid w:val="007D1364"/>
    <w:rsid w:val="007D15B9"/>
    <w:rsid w:val="007D16B2"/>
    <w:rsid w:val="007D2368"/>
    <w:rsid w:val="007D29B2"/>
    <w:rsid w:val="007D2B57"/>
    <w:rsid w:val="007D2E81"/>
    <w:rsid w:val="007D3205"/>
    <w:rsid w:val="007D367A"/>
    <w:rsid w:val="007D3B0D"/>
    <w:rsid w:val="007D3B7E"/>
    <w:rsid w:val="007D3C27"/>
    <w:rsid w:val="007D3E07"/>
    <w:rsid w:val="007D40FA"/>
    <w:rsid w:val="007D4384"/>
    <w:rsid w:val="007D45A0"/>
    <w:rsid w:val="007D45CD"/>
    <w:rsid w:val="007D498D"/>
    <w:rsid w:val="007D4F9E"/>
    <w:rsid w:val="007D5599"/>
    <w:rsid w:val="007D61B6"/>
    <w:rsid w:val="007D61F9"/>
    <w:rsid w:val="007D62F0"/>
    <w:rsid w:val="007D66B9"/>
    <w:rsid w:val="007D6961"/>
    <w:rsid w:val="007D6C41"/>
    <w:rsid w:val="007D72C4"/>
    <w:rsid w:val="007D776E"/>
    <w:rsid w:val="007E0908"/>
    <w:rsid w:val="007E1008"/>
    <w:rsid w:val="007E1301"/>
    <w:rsid w:val="007E15D5"/>
    <w:rsid w:val="007E1C93"/>
    <w:rsid w:val="007E210E"/>
    <w:rsid w:val="007E31DD"/>
    <w:rsid w:val="007E3B5C"/>
    <w:rsid w:val="007E44F9"/>
    <w:rsid w:val="007E49C7"/>
    <w:rsid w:val="007E576D"/>
    <w:rsid w:val="007E5AAF"/>
    <w:rsid w:val="007E5ADB"/>
    <w:rsid w:val="007E5BF1"/>
    <w:rsid w:val="007E61D6"/>
    <w:rsid w:val="007E6C6C"/>
    <w:rsid w:val="007E6C88"/>
    <w:rsid w:val="007E6CE5"/>
    <w:rsid w:val="007E735D"/>
    <w:rsid w:val="007E7F4A"/>
    <w:rsid w:val="007F093C"/>
    <w:rsid w:val="007F0960"/>
    <w:rsid w:val="007F0B77"/>
    <w:rsid w:val="007F1078"/>
    <w:rsid w:val="007F12FB"/>
    <w:rsid w:val="007F13D8"/>
    <w:rsid w:val="007F1730"/>
    <w:rsid w:val="007F219F"/>
    <w:rsid w:val="007F2D60"/>
    <w:rsid w:val="007F388D"/>
    <w:rsid w:val="007F39A5"/>
    <w:rsid w:val="007F3DA0"/>
    <w:rsid w:val="007F3E0D"/>
    <w:rsid w:val="007F3E42"/>
    <w:rsid w:val="007F3E70"/>
    <w:rsid w:val="007F48E6"/>
    <w:rsid w:val="007F4D77"/>
    <w:rsid w:val="007F572A"/>
    <w:rsid w:val="007F5830"/>
    <w:rsid w:val="007F5CE2"/>
    <w:rsid w:val="007F5D66"/>
    <w:rsid w:val="007F6175"/>
    <w:rsid w:val="007F65C6"/>
    <w:rsid w:val="007F728A"/>
    <w:rsid w:val="007F733E"/>
    <w:rsid w:val="007F74B3"/>
    <w:rsid w:val="007F76AD"/>
    <w:rsid w:val="007F77BB"/>
    <w:rsid w:val="007F785B"/>
    <w:rsid w:val="007F7932"/>
    <w:rsid w:val="007F7A0C"/>
    <w:rsid w:val="007F7A1A"/>
    <w:rsid w:val="007F7D84"/>
    <w:rsid w:val="007F7EA7"/>
    <w:rsid w:val="0080037A"/>
    <w:rsid w:val="00800BF2"/>
    <w:rsid w:val="00800BF4"/>
    <w:rsid w:val="00800BFD"/>
    <w:rsid w:val="00800EF7"/>
    <w:rsid w:val="0080126A"/>
    <w:rsid w:val="00801341"/>
    <w:rsid w:val="008014CD"/>
    <w:rsid w:val="0080175B"/>
    <w:rsid w:val="00801A0C"/>
    <w:rsid w:val="00801EC0"/>
    <w:rsid w:val="0080221D"/>
    <w:rsid w:val="00802B8D"/>
    <w:rsid w:val="00802E5A"/>
    <w:rsid w:val="00802EC7"/>
    <w:rsid w:val="0080353F"/>
    <w:rsid w:val="008037D4"/>
    <w:rsid w:val="00804075"/>
    <w:rsid w:val="00804274"/>
    <w:rsid w:val="008044A9"/>
    <w:rsid w:val="00804F28"/>
    <w:rsid w:val="00804FAA"/>
    <w:rsid w:val="0080502E"/>
    <w:rsid w:val="00805107"/>
    <w:rsid w:val="0080555C"/>
    <w:rsid w:val="00805592"/>
    <w:rsid w:val="008059D9"/>
    <w:rsid w:val="00805A72"/>
    <w:rsid w:val="00805F81"/>
    <w:rsid w:val="00806124"/>
    <w:rsid w:val="008061E4"/>
    <w:rsid w:val="00806B3B"/>
    <w:rsid w:val="00806C28"/>
    <w:rsid w:val="00806C81"/>
    <w:rsid w:val="00806FA9"/>
    <w:rsid w:val="008073B9"/>
    <w:rsid w:val="008074CF"/>
    <w:rsid w:val="008075F0"/>
    <w:rsid w:val="00807621"/>
    <w:rsid w:val="008076C1"/>
    <w:rsid w:val="008078A5"/>
    <w:rsid w:val="00810145"/>
    <w:rsid w:val="008101BF"/>
    <w:rsid w:val="00810A3A"/>
    <w:rsid w:val="00810C0B"/>
    <w:rsid w:val="00810DDD"/>
    <w:rsid w:val="00811853"/>
    <w:rsid w:val="008119C3"/>
    <w:rsid w:val="00811D5C"/>
    <w:rsid w:val="00812100"/>
    <w:rsid w:val="00812365"/>
    <w:rsid w:val="0081246F"/>
    <w:rsid w:val="008124A0"/>
    <w:rsid w:val="00812DE0"/>
    <w:rsid w:val="00812F23"/>
    <w:rsid w:val="00813A2C"/>
    <w:rsid w:val="00813C10"/>
    <w:rsid w:val="008144E9"/>
    <w:rsid w:val="0081492D"/>
    <w:rsid w:val="00814AE8"/>
    <w:rsid w:val="00815359"/>
    <w:rsid w:val="00815401"/>
    <w:rsid w:val="0081576E"/>
    <w:rsid w:val="00815913"/>
    <w:rsid w:val="0081599C"/>
    <w:rsid w:val="00815BDC"/>
    <w:rsid w:val="00815CD3"/>
    <w:rsid w:val="0081683D"/>
    <w:rsid w:val="00816B4D"/>
    <w:rsid w:val="00816C77"/>
    <w:rsid w:val="00817071"/>
    <w:rsid w:val="008171D5"/>
    <w:rsid w:val="0081754F"/>
    <w:rsid w:val="00817AA1"/>
    <w:rsid w:val="00817AAE"/>
    <w:rsid w:val="00820093"/>
    <w:rsid w:val="0082091F"/>
    <w:rsid w:val="008215EE"/>
    <w:rsid w:val="00821757"/>
    <w:rsid w:val="00821FE5"/>
    <w:rsid w:val="0082222F"/>
    <w:rsid w:val="008222CA"/>
    <w:rsid w:val="008227C7"/>
    <w:rsid w:val="00823361"/>
    <w:rsid w:val="00823892"/>
    <w:rsid w:val="00823E1D"/>
    <w:rsid w:val="00823EBE"/>
    <w:rsid w:val="00823EFB"/>
    <w:rsid w:val="00824180"/>
    <w:rsid w:val="008243EB"/>
    <w:rsid w:val="00824BC8"/>
    <w:rsid w:val="00824ED4"/>
    <w:rsid w:val="0082555A"/>
    <w:rsid w:val="008256A3"/>
    <w:rsid w:val="0082572F"/>
    <w:rsid w:val="00825A4B"/>
    <w:rsid w:val="00825B61"/>
    <w:rsid w:val="00826464"/>
    <w:rsid w:val="008265A6"/>
    <w:rsid w:val="00826639"/>
    <w:rsid w:val="00826B7D"/>
    <w:rsid w:val="00826C70"/>
    <w:rsid w:val="00826E06"/>
    <w:rsid w:val="00827141"/>
    <w:rsid w:val="00827244"/>
    <w:rsid w:val="0082727E"/>
    <w:rsid w:val="0082731E"/>
    <w:rsid w:val="008275D9"/>
    <w:rsid w:val="00827631"/>
    <w:rsid w:val="0082790A"/>
    <w:rsid w:val="00830510"/>
    <w:rsid w:val="0083085C"/>
    <w:rsid w:val="00830B7D"/>
    <w:rsid w:val="00831455"/>
    <w:rsid w:val="00831AE1"/>
    <w:rsid w:val="00831C97"/>
    <w:rsid w:val="00832489"/>
    <w:rsid w:val="008325CA"/>
    <w:rsid w:val="008325FD"/>
    <w:rsid w:val="00832DD8"/>
    <w:rsid w:val="0083322D"/>
    <w:rsid w:val="0083365C"/>
    <w:rsid w:val="00833BEE"/>
    <w:rsid w:val="008340A5"/>
    <w:rsid w:val="00834116"/>
    <w:rsid w:val="008347BA"/>
    <w:rsid w:val="00834F41"/>
    <w:rsid w:val="0083510D"/>
    <w:rsid w:val="00835232"/>
    <w:rsid w:val="00835384"/>
    <w:rsid w:val="00835824"/>
    <w:rsid w:val="00835C00"/>
    <w:rsid w:val="00835C51"/>
    <w:rsid w:val="00835E39"/>
    <w:rsid w:val="008360B9"/>
    <w:rsid w:val="0083626E"/>
    <w:rsid w:val="008365EE"/>
    <w:rsid w:val="0083660C"/>
    <w:rsid w:val="00836839"/>
    <w:rsid w:val="00836BFC"/>
    <w:rsid w:val="00836F65"/>
    <w:rsid w:val="008373AC"/>
    <w:rsid w:val="00837B61"/>
    <w:rsid w:val="00837C55"/>
    <w:rsid w:val="00840096"/>
    <w:rsid w:val="0084017E"/>
    <w:rsid w:val="008402B4"/>
    <w:rsid w:val="0084033D"/>
    <w:rsid w:val="00840BFA"/>
    <w:rsid w:val="008412D7"/>
    <w:rsid w:val="00841327"/>
    <w:rsid w:val="008417D6"/>
    <w:rsid w:val="00841F17"/>
    <w:rsid w:val="00842413"/>
    <w:rsid w:val="00842C54"/>
    <w:rsid w:val="00842D8C"/>
    <w:rsid w:val="00843148"/>
    <w:rsid w:val="008432C5"/>
    <w:rsid w:val="0084364F"/>
    <w:rsid w:val="008436F2"/>
    <w:rsid w:val="00843970"/>
    <w:rsid w:val="00843B0A"/>
    <w:rsid w:val="008446BE"/>
    <w:rsid w:val="00844FD8"/>
    <w:rsid w:val="00845695"/>
    <w:rsid w:val="008458B9"/>
    <w:rsid w:val="00845FE3"/>
    <w:rsid w:val="00846058"/>
    <w:rsid w:val="008462CF"/>
    <w:rsid w:val="0084642B"/>
    <w:rsid w:val="00846476"/>
    <w:rsid w:val="00846ECD"/>
    <w:rsid w:val="0084707D"/>
    <w:rsid w:val="008473AD"/>
    <w:rsid w:val="00847F69"/>
    <w:rsid w:val="00850258"/>
    <w:rsid w:val="0085059D"/>
    <w:rsid w:val="0085060D"/>
    <w:rsid w:val="00850951"/>
    <w:rsid w:val="00850B2C"/>
    <w:rsid w:val="00850CE7"/>
    <w:rsid w:val="00850DCD"/>
    <w:rsid w:val="0085102B"/>
    <w:rsid w:val="008510F8"/>
    <w:rsid w:val="00851681"/>
    <w:rsid w:val="008520F7"/>
    <w:rsid w:val="0085239F"/>
    <w:rsid w:val="00852592"/>
    <w:rsid w:val="008525FC"/>
    <w:rsid w:val="00852857"/>
    <w:rsid w:val="00852A08"/>
    <w:rsid w:val="00853212"/>
    <w:rsid w:val="00853277"/>
    <w:rsid w:val="00853480"/>
    <w:rsid w:val="00853C41"/>
    <w:rsid w:val="00853F38"/>
    <w:rsid w:val="00854078"/>
    <w:rsid w:val="0085451C"/>
    <w:rsid w:val="008547D1"/>
    <w:rsid w:val="0085480B"/>
    <w:rsid w:val="00854950"/>
    <w:rsid w:val="00854FE3"/>
    <w:rsid w:val="0085508D"/>
    <w:rsid w:val="00855640"/>
    <w:rsid w:val="0085599D"/>
    <w:rsid w:val="00855E6E"/>
    <w:rsid w:val="00855F2D"/>
    <w:rsid w:val="00855FF4"/>
    <w:rsid w:val="00856B41"/>
    <w:rsid w:val="00856CEB"/>
    <w:rsid w:val="00856E90"/>
    <w:rsid w:val="0085703C"/>
    <w:rsid w:val="0085729B"/>
    <w:rsid w:val="00857303"/>
    <w:rsid w:val="00857983"/>
    <w:rsid w:val="008579A3"/>
    <w:rsid w:val="00857BDD"/>
    <w:rsid w:val="00857F19"/>
    <w:rsid w:val="0086000D"/>
    <w:rsid w:val="00860045"/>
    <w:rsid w:val="00860229"/>
    <w:rsid w:val="008603A4"/>
    <w:rsid w:val="0086080D"/>
    <w:rsid w:val="0086083D"/>
    <w:rsid w:val="00860BE6"/>
    <w:rsid w:val="00860C31"/>
    <w:rsid w:val="008614EE"/>
    <w:rsid w:val="00861626"/>
    <w:rsid w:val="0086177A"/>
    <w:rsid w:val="00861EE6"/>
    <w:rsid w:val="008621FA"/>
    <w:rsid w:val="0086226B"/>
    <w:rsid w:val="00862342"/>
    <w:rsid w:val="008638D4"/>
    <w:rsid w:val="00863B99"/>
    <w:rsid w:val="00863BC6"/>
    <w:rsid w:val="008646CE"/>
    <w:rsid w:val="00864847"/>
    <w:rsid w:val="00864C26"/>
    <w:rsid w:val="00865032"/>
    <w:rsid w:val="0086625E"/>
    <w:rsid w:val="00866AA9"/>
    <w:rsid w:val="00866B81"/>
    <w:rsid w:val="00866C79"/>
    <w:rsid w:val="00866E02"/>
    <w:rsid w:val="00867576"/>
    <w:rsid w:val="00867C56"/>
    <w:rsid w:val="00867CBA"/>
    <w:rsid w:val="00867E8C"/>
    <w:rsid w:val="00867FE8"/>
    <w:rsid w:val="0087056E"/>
    <w:rsid w:val="00870B5A"/>
    <w:rsid w:val="00871017"/>
    <w:rsid w:val="008710C3"/>
    <w:rsid w:val="008710E3"/>
    <w:rsid w:val="008713D8"/>
    <w:rsid w:val="00871895"/>
    <w:rsid w:val="0087205F"/>
    <w:rsid w:val="00872824"/>
    <w:rsid w:val="00872A87"/>
    <w:rsid w:val="00872B0B"/>
    <w:rsid w:val="00872E01"/>
    <w:rsid w:val="00872E19"/>
    <w:rsid w:val="00872F1E"/>
    <w:rsid w:val="0087398F"/>
    <w:rsid w:val="008739B6"/>
    <w:rsid w:val="00873B49"/>
    <w:rsid w:val="00873CA0"/>
    <w:rsid w:val="0087421B"/>
    <w:rsid w:val="00874360"/>
    <w:rsid w:val="0087479F"/>
    <w:rsid w:val="008750C6"/>
    <w:rsid w:val="00875312"/>
    <w:rsid w:val="00875351"/>
    <w:rsid w:val="00875546"/>
    <w:rsid w:val="008758C0"/>
    <w:rsid w:val="00875BB1"/>
    <w:rsid w:val="00875C19"/>
    <w:rsid w:val="00875D17"/>
    <w:rsid w:val="00875DE1"/>
    <w:rsid w:val="0087694E"/>
    <w:rsid w:val="00876D8C"/>
    <w:rsid w:val="0087703E"/>
    <w:rsid w:val="00877237"/>
    <w:rsid w:val="008774DB"/>
    <w:rsid w:val="0087762B"/>
    <w:rsid w:val="00877ADC"/>
    <w:rsid w:val="00877E5C"/>
    <w:rsid w:val="00880087"/>
    <w:rsid w:val="0088025C"/>
    <w:rsid w:val="00880B69"/>
    <w:rsid w:val="00880D5C"/>
    <w:rsid w:val="00880D71"/>
    <w:rsid w:val="00880E5C"/>
    <w:rsid w:val="00881441"/>
    <w:rsid w:val="00881920"/>
    <w:rsid w:val="00881B21"/>
    <w:rsid w:val="00881C98"/>
    <w:rsid w:val="00881D58"/>
    <w:rsid w:val="008820F8"/>
    <w:rsid w:val="0088226B"/>
    <w:rsid w:val="0088271C"/>
    <w:rsid w:val="00882797"/>
    <w:rsid w:val="00882AB7"/>
    <w:rsid w:val="00882C58"/>
    <w:rsid w:val="00882C6A"/>
    <w:rsid w:val="00883C12"/>
    <w:rsid w:val="008842F8"/>
    <w:rsid w:val="008843CA"/>
    <w:rsid w:val="0088446C"/>
    <w:rsid w:val="008844BF"/>
    <w:rsid w:val="00884743"/>
    <w:rsid w:val="0088552B"/>
    <w:rsid w:val="008859F4"/>
    <w:rsid w:val="00885A82"/>
    <w:rsid w:val="008860F2"/>
    <w:rsid w:val="008863A5"/>
    <w:rsid w:val="008864E9"/>
    <w:rsid w:val="008867CD"/>
    <w:rsid w:val="008869E5"/>
    <w:rsid w:val="008877A5"/>
    <w:rsid w:val="00887B87"/>
    <w:rsid w:val="00887CED"/>
    <w:rsid w:val="00887E63"/>
    <w:rsid w:val="008900EE"/>
    <w:rsid w:val="0089022F"/>
    <w:rsid w:val="00890FE9"/>
    <w:rsid w:val="00891358"/>
    <w:rsid w:val="00891620"/>
    <w:rsid w:val="008918D4"/>
    <w:rsid w:val="008919B3"/>
    <w:rsid w:val="00891FE8"/>
    <w:rsid w:val="008921AF"/>
    <w:rsid w:val="008922A6"/>
    <w:rsid w:val="0089230A"/>
    <w:rsid w:val="00892A63"/>
    <w:rsid w:val="00892A83"/>
    <w:rsid w:val="00892CA2"/>
    <w:rsid w:val="008932C7"/>
    <w:rsid w:val="00893551"/>
    <w:rsid w:val="008938D0"/>
    <w:rsid w:val="00893B57"/>
    <w:rsid w:val="00894389"/>
    <w:rsid w:val="00894514"/>
    <w:rsid w:val="00894898"/>
    <w:rsid w:val="00894B6A"/>
    <w:rsid w:val="00894EA3"/>
    <w:rsid w:val="00895157"/>
    <w:rsid w:val="00895E34"/>
    <w:rsid w:val="008961D2"/>
    <w:rsid w:val="008964C4"/>
    <w:rsid w:val="008965E7"/>
    <w:rsid w:val="00896658"/>
    <w:rsid w:val="008969F7"/>
    <w:rsid w:val="00897017"/>
    <w:rsid w:val="00897185"/>
    <w:rsid w:val="00897254"/>
    <w:rsid w:val="008978F6"/>
    <w:rsid w:val="00897AA8"/>
    <w:rsid w:val="00897ABF"/>
    <w:rsid w:val="00897F4E"/>
    <w:rsid w:val="008A019A"/>
    <w:rsid w:val="008A074A"/>
    <w:rsid w:val="008A0764"/>
    <w:rsid w:val="008A079C"/>
    <w:rsid w:val="008A1381"/>
    <w:rsid w:val="008A1628"/>
    <w:rsid w:val="008A19B8"/>
    <w:rsid w:val="008A1B97"/>
    <w:rsid w:val="008A1B99"/>
    <w:rsid w:val="008A1D05"/>
    <w:rsid w:val="008A2054"/>
    <w:rsid w:val="008A2489"/>
    <w:rsid w:val="008A24FE"/>
    <w:rsid w:val="008A26DA"/>
    <w:rsid w:val="008A2F90"/>
    <w:rsid w:val="008A3127"/>
    <w:rsid w:val="008A378C"/>
    <w:rsid w:val="008A3A4C"/>
    <w:rsid w:val="008A3C90"/>
    <w:rsid w:val="008A3F98"/>
    <w:rsid w:val="008A44FA"/>
    <w:rsid w:val="008A476A"/>
    <w:rsid w:val="008A49D8"/>
    <w:rsid w:val="008A4EC0"/>
    <w:rsid w:val="008A535C"/>
    <w:rsid w:val="008A586A"/>
    <w:rsid w:val="008A589C"/>
    <w:rsid w:val="008A5DAF"/>
    <w:rsid w:val="008A5E45"/>
    <w:rsid w:val="008A5FBF"/>
    <w:rsid w:val="008A62F9"/>
    <w:rsid w:val="008A63FC"/>
    <w:rsid w:val="008A66A0"/>
    <w:rsid w:val="008A6A8B"/>
    <w:rsid w:val="008A7873"/>
    <w:rsid w:val="008A7EC6"/>
    <w:rsid w:val="008B0CD4"/>
    <w:rsid w:val="008B0FC3"/>
    <w:rsid w:val="008B1999"/>
    <w:rsid w:val="008B1CAB"/>
    <w:rsid w:val="008B2123"/>
    <w:rsid w:val="008B2288"/>
    <w:rsid w:val="008B2EBF"/>
    <w:rsid w:val="008B2FD8"/>
    <w:rsid w:val="008B3316"/>
    <w:rsid w:val="008B38C6"/>
    <w:rsid w:val="008B39DD"/>
    <w:rsid w:val="008B3C2C"/>
    <w:rsid w:val="008B3F3F"/>
    <w:rsid w:val="008B4E3B"/>
    <w:rsid w:val="008B510F"/>
    <w:rsid w:val="008B51C2"/>
    <w:rsid w:val="008B51FC"/>
    <w:rsid w:val="008B53D8"/>
    <w:rsid w:val="008B5CC2"/>
    <w:rsid w:val="008B66B8"/>
    <w:rsid w:val="008B68CB"/>
    <w:rsid w:val="008B6A7D"/>
    <w:rsid w:val="008B6CFD"/>
    <w:rsid w:val="008B6DE5"/>
    <w:rsid w:val="008B6F1C"/>
    <w:rsid w:val="008B72A8"/>
    <w:rsid w:val="008B75CB"/>
    <w:rsid w:val="008C04BC"/>
    <w:rsid w:val="008C072E"/>
    <w:rsid w:val="008C0D95"/>
    <w:rsid w:val="008C10A5"/>
    <w:rsid w:val="008C21CD"/>
    <w:rsid w:val="008C21F3"/>
    <w:rsid w:val="008C227C"/>
    <w:rsid w:val="008C283F"/>
    <w:rsid w:val="008C2887"/>
    <w:rsid w:val="008C291C"/>
    <w:rsid w:val="008C294D"/>
    <w:rsid w:val="008C34DC"/>
    <w:rsid w:val="008C3760"/>
    <w:rsid w:val="008C38EA"/>
    <w:rsid w:val="008C3964"/>
    <w:rsid w:val="008C3B05"/>
    <w:rsid w:val="008C3D12"/>
    <w:rsid w:val="008C49D8"/>
    <w:rsid w:val="008C4AAE"/>
    <w:rsid w:val="008C4B4D"/>
    <w:rsid w:val="008C510D"/>
    <w:rsid w:val="008C51D3"/>
    <w:rsid w:val="008C5681"/>
    <w:rsid w:val="008C573D"/>
    <w:rsid w:val="008C588A"/>
    <w:rsid w:val="008C599C"/>
    <w:rsid w:val="008C5E7B"/>
    <w:rsid w:val="008C6CEB"/>
    <w:rsid w:val="008C703E"/>
    <w:rsid w:val="008C7052"/>
    <w:rsid w:val="008C782F"/>
    <w:rsid w:val="008C78F0"/>
    <w:rsid w:val="008D000E"/>
    <w:rsid w:val="008D0105"/>
    <w:rsid w:val="008D0546"/>
    <w:rsid w:val="008D071F"/>
    <w:rsid w:val="008D0CFC"/>
    <w:rsid w:val="008D0E49"/>
    <w:rsid w:val="008D109C"/>
    <w:rsid w:val="008D10B8"/>
    <w:rsid w:val="008D1561"/>
    <w:rsid w:val="008D157F"/>
    <w:rsid w:val="008D1608"/>
    <w:rsid w:val="008D238F"/>
    <w:rsid w:val="008D2A59"/>
    <w:rsid w:val="008D2A92"/>
    <w:rsid w:val="008D2CA6"/>
    <w:rsid w:val="008D40F6"/>
    <w:rsid w:val="008D4259"/>
    <w:rsid w:val="008D4995"/>
    <w:rsid w:val="008D4E5D"/>
    <w:rsid w:val="008D4E91"/>
    <w:rsid w:val="008D540C"/>
    <w:rsid w:val="008D56D3"/>
    <w:rsid w:val="008D6252"/>
    <w:rsid w:val="008D62DB"/>
    <w:rsid w:val="008D6870"/>
    <w:rsid w:val="008D6ACD"/>
    <w:rsid w:val="008D6F73"/>
    <w:rsid w:val="008D77D6"/>
    <w:rsid w:val="008D781F"/>
    <w:rsid w:val="008D793F"/>
    <w:rsid w:val="008D7D2B"/>
    <w:rsid w:val="008D7FB6"/>
    <w:rsid w:val="008E02EF"/>
    <w:rsid w:val="008E0590"/>
    <w:rsid w:val="008E05B8"/>
    <w:rsid w:val="008E0841"/>
    <w:rsid w:val="008E0C87"/>
    <w:rsid w:val="008E1004"/>
    <w:rsid w:val="008E139C"/>
    <w:rsid w:val="008E1969"/>
    <w:rsid w:val="008E1AE2"/>
    <w:rsid w:val="008E1F60"/>
    <w:rsid w:val="008E201D"/>
    <w:rsid w:val="008E217F"/>
    <w:rsid w:val="008E21F8"/>
    <w:rsid w:val="008E23E2"/>
    <w:rsid w:val="008E295B"/>
    <w:rsid w:val="008E2CC7"/>
    <w:rsid w:val="008E3263"/>
    <w:rsid w:val="008E3301"/>
    <w:rsid w:val="008E3386"/>
    <w:rsid w:val="008E3564"/>
    <w:rsid w:val="008E385F"/>
    <w:rsid w:val="008E38C8"/>
    <w:rsid w:val="008E3919"/>
    <w:rsid w:val="008E3A8F"/>
    <w:rsid w:val="008E3E2F"/>
    <w:rsid w:val="008E3F9D"/>
    <w:rsid w:val="008E4135"/>
    <w:rsid w:val="008E4AD5"/>
    <w:rsid w:val="008E4B9A"/>
    <w:rsid w:val="008E4F25"/>
    <w:rsid w:val="008E510A"/>
    <w:rsid w:val="008E5602"/>
    <w:rsid w:val="008E5699"/>
    <w:rsid w:val="008E5810"/>
    <w:rsid w:val="008E5E85"/>
    <w:rsid w:val="008E5F97"/>
    <w:rsid w:val="008E617F"/>
    <w:rsid w:val="008E61AF"/>
    <w:rsid w:val="008E634A"/>
    <w:rsid w:val="008E6450"/>
    <w:rsid w:val="008E67B3"/>
    <w:rsid w:val="008E6822"/>
    <w:rsid w:val="008E6F3B"/>
    <w:rsid w:val="008E732F"/>
    <w:rsid w:val="008E75CA"/>
    <w:rsid w:val="008E7A55"/>
    <w:rsid w:val="008F03F0"/>
    <w:rsid w:val="008F097A"/>
    <w:rsid w:val="008F1005"/>
    <w:rsid w:val="008F1244"/>
    <w:rsid w:val="008F19E3"/>
    <w:rsid w:val="008F1C12"/>
    <w:rsid w:val="008F1E5E"/>
    <w:rsid w:val="008F1F4B"/>
    <w:rsid w:val="008F220A"/>
    <w:rsid w:val="008F2A1D"/>
    <w:rsid w:val="008F2AFD"/>
    <w:rsid w:val="008F2B17"/>
    <w:rsid w:val="008F2D54"/>
    <w:rsid w:val="008F2FFB"/>
    <w:rsid w:val="008F3721"/>
    <w:rsid w:val="008F3BCE"/>
    <w:rsid w:val="008F408E"/>
    <w:rsid w:val="008F4288"/>
    <w:rsid w:val="008F43B5"/>
    <w:rsid w:val="008F491D"/>
    <w:rsid w:val="008F4925"/>
    <w:rsid w:val="008F4A07"/>
    <w:rsid w:val="008F4F4E"/>
    <w:rsid w:val="008F52EB"/>
    <w:rsid w:val="008F5837"/>
    <w:rsid w:val="008F58E4"/>
    <w:rsid w:val="008F5926"/>
    <w:rsid w:val="008F5C13"/>
    <w:rsid w:val="008F5C76"/>
    <w:rsid w:val="008F5D06"/>
    <w:rsid w:val="008F6114"/>
    <w:rsid w:val="008F6228"/>
    <w:rsid w:val="008F64DC"/>
    <w:rsid w:val="008F68AD"/>
    <w:rsid w:val="008F690D"/>
    <w:rsid w:val="008F6B0B"/>
    <w:rsid w:val="008F6B29"/>
    <w:rsid w:val="008F720C"/>
    <w:rsid w:val="008F723F"/>
    <w:rsid w:val="008F7245"/>
    <w:rsid w:val="008F7695"/>
    <w:rsid w:val="008F7C5E"/>
    <w:rsid w:val="008F7FD5"/>
    <w:rsid w:val="0090035B"/>
    <w:rsid w:val="009007DE"/>
    <w:rsid w:val="00900BEE"/>
    <w:rsid w:val="00900DCE"/>
    <w:rsid w:val="009010C3"/>
    <w:rsid w:val="00901116"/>
    <w:rsid w:val="009016D3"/>
    <w:rsid w:val="009017E6"/>
    <w:rsid w:val="00901C3C"/>
    <w:rsid w:val="00901E06"/>
    <w:rsid w:val="00901F66"/>
    <w:rsid w:val="00902251"/>
    <w:rsid w:val="009027EE"/>
    <w:rsid w:val="00902B91"/>
    <w:rsid w:val="009037F5"/>
    <w:rsid w:val="009038C4"/>
    <w:rsid w:val="00903CA4"/>
    <w:rsid w:val="00903EDB"/>
    <w:rsid w:val="00903F83"/>
    <w:rsid w:val="009041C3"/>
    <w:rsid w:val="00904298"/>
    <w:rsid w:val="00904592"/>
    <w:rsid w:val="009046E5"/>
    <w:rsid w:val="00904AC3"/>
    <w:rsid w:val="00904BE4"/>
    <w:rsid w:val="00904F6B"/>
    <w:rsid w:val="00905288"/>
    <w:rsid w:val="0090547D"/>
    <w:rsid w:val="00905922"/>
    <w:rsid w:val="009059C6"/>
    <w:rsid w:val="00905E7F"/>
    <w:rsid w:val="00906139"/>
    <w:rsid w:val="00906474"/>
    <w:rsid w:val="00906C5C"/>
    <w:rsid w:val="00906CA2"/>
    <w:rsid w:val="00906F22"/>
    <w:rsid w:val="0090710E"/>
    <w:rsid w:val="0090747C"/>
    <w:rsid w:val="00907681"/>
    <w:rsid w:val="009077A3"/>
    <w:rsid w:val="00907C3A"/>
    <w:rsid w:val="00907C77"/>
    <w:rsid w:val="00907E14"/>
    <w:rsid w:val="00907EE7"/>
    <w:rsid w:val="00910153"/>
    <w:rsid w:val="0091095A"/>
    <w:rsid w:val="00910B3A"/>
    <w:rsid w:val="00910FEB"/>
    <w:rsid w:val="0091121C"/>
    <w:rsid w:val="00911562"/>
    <w:rsid w:val="00911997"/>
    <w:rsid w:val="00911A27"/>
    <w:rsid w:val="00912039"/>
    <w:rsid w:val="00912786"/>
    <w:rsid w:val="00912AD9"/>
    <w:rsid w:val="00912D0C"/>
    <w:rsid w:val="00912ED3"/>
    <w:rsid w:val="0091307A"/>
    <w:rsid w:val="00913225"/>
    <w:rsid w:val="00913296"/>
    <w:rsid w:val="009135CF"/>
    <w:rsid w:val="00913AC3"/>
    <w:rsid w:val="0091402C"/>
    <w:rsid w:val="00914074"/>
    <w:rsid w:val="0091452C"/>
    <w:rsid w:val="009149CD"/>
    <w:rsid w:val="00914BC3"/>
    <w:rsid w:val="00914C0B"/>
    <w:rsid w:val="009150F7"/>
    <w:rsid w:val="00915A47"/>
    <w:rsid w:val="00915CCA"/>
    <w:rsid w:val="00915ED9"/>
    <w:rsid w:val="00915FB3"/>
    <w:rsid w:val="00915FDF"/>
    <w:rsid w:val="009168CF"/>
    <w:rsid w:val="0091692A"/>
    <w:rsid w:val="009170EC"/>
    <w:rsid w:val="009171BA"/>
    <w:rsid w:val="00917408"/>
    <w:rsid w:val="00917664"/>
    <w:rsid w:val="009178AC"/>
    <w:rsid w:val="00917997"/>
    <w:rsid w:val="00917D67"/>
    <w:rsid w:val="00917F0F"/>
    <w:rsid w:val="009202A4"/>
    <w:rsid w:val="00920458"/>
    <w:rsid w:val="0092061A"/>
    <w:rsid w:val="009214BA"/>
    <w:rsid w:val="009218B0"/>
    <w:rsid w:val="00921FE8"/>
    <w:rsid w:val="00922AC1"/>
    <w:rsid w:val="00922C11"/>
    <w:rsid w:val="00922C18"/>
    <w:rsid w:val="00922EDA"/>
    <w:rsid w:val="009231BF"/>
    <w:rsid w:val="00923369"/>
    <w:rsid w:val="0092360B"/>
    <w:rsid w:val="00923A73"/>
    <w:rsid w:val="00923A8F"/>
    <w:rsid w:val="00923B6F"/>
    <w:rsid w:val="009243BE"/>
    <w:rsid w:val="009246F9"/>
    <w:rsid w:val="00924940"/>
    <w:rsid w:val="00925094"/>
    <w:rsid w:val="00926343"/>
    <w:rsid w:val="00926A1A"/>
    <w:rsid w:val="00926A35"/>
    <w:rsid w:val="00926F33"/>
    <w:rsid w:val="00926FFD"/>
    <w:rsid w:val="00927215"/>
    <w:rsid w:val="00927435"/>
    <w:rsid w:val="00927BF2"/>
    <w:rsid w:val="00930A4E"/>
    <w:rsid w:val="00930B6A"/>
    <w:rsid w:val="00930DF5"/>
    <w:rsid w:val="0093107F"/>
    <w:rsid w:val="009310B9"/>
    <w:rsid w:val="009318A4"/>
    <w:rsid w:val="009319C9"/>
    <w:rsid w:val="00931A1F"/>
    <w:rsid w:val="00932035"/>
    <w:rsid w:val="00932243"/>
    <w:rsid w:val="00932AA4"/>
    <w:rsid w:val="00932DD8"/>
    <w:rsid w:val="0093443C"/>
    <w:rsid w:val="00934664"/>
    <w:rsid w:val="0093485F"/>
    <w:rsid w:val="00935062"/>
    <w:rsid w:val="009352C0"/>
    <w:rsid w:val="00935BAC"/>
    <w:rsid w:val="00935BE2"/>
    <w:rsid w:val="009360A5"/>
    <w:rsid w:val="009361B7"/>
    <w:rsid w:val="00936411"/>
    <w:rsid w:val="0093680A"/>
    <w:rsid w:val="0093687C"/>
    <w:rsid w:val="00937192"/>
    <w:rsid w:val="009372F8"/>
    <w:rsid w:val="009373EA"/>
    <w:rsid w:val="00937860"/>
    <w:rsid w:val="009400DF"/>
    <w:rsid w:val="009404A0"/>
    <w:rsid w:val="00940605"/>
    <w:rsid w:val="00940685"/>
    <w:rsid w:val="0094076A"/>
    <w:rsid w:val="00941803"/>
    <w:rsid w:val="0094198D"/>
    <w:rsid w:val="00941A48"/>
    <w:rsid w:val="00942B61"/>
    <w:rsid w:val="009433E1"/>
    <w:rsid w:val="009435E9"/>
    <w:rsid w:val="00943611"/>
    <w:rsid w:val="00943DBB"/>
    <w:rsid w:val="00943ED6"/>
    <w:rsid w:val="009440A2"/>
    <w:rsid w:val="00944540"/>
    <w:rsid w:val="009445B1"/>
    <w:rsid w:val="00944716"/>
    <w:rsid w:val="00944AB4"/>
    <w:rsid w:val="00944D8E"/>
    <w:rsid w:val="00945391"/>
    <w:rsid w:val="00945768"/>
    <w:rsid w:val="00945E67"/>
    <w:rsid w:val="00945F72"/>
    <w:rsid w:val="009467A9"/>
    <w:rsid w:val="00946DC2"/>
    <w:rsid w:val="009478A8"/>
    <w:rsid w:val="009501CA"/>
    <w:rsid w:val="009502D2"/>
    <w:rsid w:val="009509CF"/>
    <w:rsid w:val="00950B24"/>
    <w:rsid w:val="00950F36"/>
    <w:rsid w:val="0095121E"/>
    <w:rsid w:val="0095161E"/>
    <w:rsid w:val="00951A5F"/>
    <w:rsid w:val="00951F0B"/>
    <w:rsid w:val="00952322"/>
    <w:rsid w:val="00952A01"/>
    <w:rsid w:val="00952EA4"/>
    <w:rsid w:val="009530F1"/>
    <w:rsid w:val="009536D0"/>
    <w:rsid w:val="00953926"/>
    <w:rsid w:val="00953CD2"/>
    <w:rsid w:val="00953D43"/>
    <w:rsid w:val="00953D68"/>
    <w:rsid w:val="00953E1B"/>
    <w:rsid w:val="0095403F"/>
    <w:rsid w:val="00954B6F"/>
    <w:rsid w:val="00954ED7"/>
    <w:rsid w:val="00955005"/>
    <w:rsid w:val="0095525F"/>
    <w:rsid w:val="00955397"/>
    <w:rsid w:val="0095554F"/>
    <w:rsid w:val="009555B8"/>
    <w:rsid w:val="00955746"/>
    <w:rsid w:val="00955DA9"/>
    <w:rsid w:val="00956130"/>
    <w:rsid w:val="0095633A"/>
    <w:rsid w:val="00956512"/>
    <w:rsid w:val="00956631"/>
    <w:rsid w:val="0095672C"/>
    <w:rsid w:val="00956C4F"/>
    <w:rsid w:val="00956EAA"/>
    <w:rsid w:val="00957438"/>
    <w:rsid w:val="0095788D"/>
    <w:rsid w:val="00957C06"/>
    <w:rsid w:val="00960209"/>
    <w:rsid w:val="0096024B"/>
    <w:rsid w:val="009602F2"/>
    <w:rsid w:val="009604F0"/>
    <w:rsid w:val="009608AE"/>
    <w:rsid w:val="00960C84"/>
    <w:rsid w:val="00960F14"/>
    <w:rsid w:val="00960F45"/>
    <w:rsid w:val="009615F2"/>
    <w:rsid w:val="00961634"/>
    <w:rsid w:val="00961820"/>
    <w:rsid w:val="0096198F"/>
    <w:rsid w:val="009628A8"/>
    <w:rsid w:val="00962D91"/>
    <w:rsid w:val="0096321C"/>
    <w:rsid w:val="009636E3"/>
    <w:rsid w:val="00963A6D"/>
    <w:rsid w:val="00963B70"/>
    <w:rsid w:val="00963DA4"/>
    <w:rsid w:val="00963F05"/>
    <w:rsid w:val="00963FA3"/>
    <w:rsid w:val="00964778"/>
    <w:rsid w:val="00964D4E"/>
    <w:rsid w:val="00964DE3"/>
    <w:rsid w:val="00964EA9"/>
    <w:rsid w:val="00965092"/>
    <w:rsid w:val="0096515C"/>
    <w:rsid w:val="00965C90"/>
    <w:rsid w:val="00965DCD"/>
    <w:rsid w:val="00965F7D"/>
    <w:rsid w:val="0096602B"/>
    <w:rsid w:val="00966A73"/>
    <w:rsid w:val="00966BD3"/>
    <w:rsid w:val="00966D60"/>
    <w:rsid w:val="0096702A"/>
    <w:rsid w:val="009673E4"/>
    <w:rsid w:val="009679D7"/>
    <w:rsid w:val="00967AD4"/>
    <w:rsid w:val="009704D4"/>
    <w:rsid w:val="00971065"/>
    <w:rsid w:val="00971129"/>
    <w:rsid w:val="00971703"/>
    <w:rsid w:val="009719C4"/>
    <w:rsid w:val="00971A64"/>
    <w:rsid w:val="00972F0E"/>
    <w:rsid w:val="00972F0F"/>
    <w:rsid w:val="00973113"/>
    <w:rsid w:val="009736A6"/>
    <w:rsid w:val="009740E3"/>
    <w:rsid w:val="009744A9"/>
    <w:rsid w:val="00974784"/>
    <w:rsid w:val="00974C15"/>
    <w:rsid w:val="00975028"/>
    <w:rsid w:val="0097535A"/>
    <w:rsid w:val="00975863"/>
    <w:rsid w:val="00975AE9"/>
    <w:rsid w:val="009762B1"/>
    <w:rsid w:val="00976FF0"/>
    <w:rsid w:val="00977218"/>
    <w:rsid w:val="00977B63"/>
    <w:rsid w:val="00977D78"/>
    <w:rsid w:val="009802B6"/>
    <w:rsid w:val="00980841"/>
    <w:rsid w:val="00980C1A"/>
    <w:rsid w:val="00980C81"/>
    <w:rsid w:val="009811DC"/>
    <w:rsid w:val="009814CF"/>
    <w:rsid w:val="0098157C"/>
    <w:rsid w:val="00981BC4"/>
    <w:rsid w:val="0098200C"/>
    <w:rsid w:val="009821C9"/>
    <w:rsid w:val="009821E9"/>
    <w:rsid w:val="00983205"/>
    <w:rsid w:val="009835DD"/>
    <w:rsid w:val="0098450C"/>
    <w:rsid w:val="0098495F"/>
    <w:rsid w:val="009855C8"/>
    <w:rsid w:val="00985E86"/>
    <w:rsid w:val="00985EF3"/>
    <w:rsid w:val="0098606E"/>
    <w:rsid w:val="00987346"/>
    <w:rsid w:val="0098740A"/>
    <w:rsid w:val="009874DD"/>
    <w:rsid w:val="0098769B"/>
    <w:rsid w:val="00987BCC"/>
    <w:rsid w:val="00987D43"/>
    <w:rsid w:val="00990022"/>
    <w:rsid w:val="009900C5"/>
    <w:rsid w:val="009905F5"/>
    <w:rsid w:val="00990867"/>
    <w:rsid w:val="0099087D"/>
    <w:rsid w:val="00990BC0"/>
    <w:rsid w:val="00990D2F"/>
    <w:rsid w:val="00990EA4"/>
    <w:rsid w:val="009911E7"/>
    <w:rsid w:val="009914D7"/>
    <w:rsid w:val="009914D9"/>
    <w:rsid w:val="00991948"/>
    <w:rsid w:val="00992175"/>
    <w:rsid w:val="00992B01"/>
    <w:rsid w:val="00992B0E"/>
    <w:rsid w:val="00992CBC"/>
    <w:rsid w:val="00992F14"/>
    <w:rsid w:val="00994024"/>
    <w:rsid w:val="009942A1"/>
    <w:rsid w:val="00994317"/>
    <w:rsid w:val="00994598"/>
    <w:rsid w:val="00994EE8"/>
    <w:rsid w:val="00995683"/>
    <w:rsid w:val="009957C6"/>
    <w:rsid w:val="00995B36"/>
    <w:rsid w:val="00996111"/>
    <w:rsid w:val="009964F9"/>
    <w:rsid w:val="009966CF"/>
    <w:rsid w:val="009971D6"/>
    <w:rsid w:val="00997351"/>
    <w:rsid w:val="00997A99"/>
    <w:rsid w:val="00997C05"/>
    <w:rsid w:val="00997DBB"/>
    <w:rsid w:val="00997F24"/>
    <w:rsid w:val="009A01FC"/>
    <w:rsid w:val="009A1103"/>
    <w:rsid w:val="009A177D"/>
    <w:rsid w:val="009A1B3B"/>
    <w:rsid w:val="009A1D73"/>
    <w:rsid w:val="009A20A2"/>
    <w:rsid w:val="009A213E"/>
    <w:rsid w:val="009A28F1"/>
    <w:rsid w:val="009A29E9"/>
    <w:rsid w:val="009A2B25"/>
    <w:rsid w:val="009A34C7"/>
    <w:rsid w:val="009A3605"/>
    <w:rsid w:val="009A377D"/>
    <w:rsid w:val="009A3FFF"/>
    <w:rsid w:val="009A46D1"/>
    <w:rsid w:val="009A481C"/>
    <w:rsid w:val="009A4E6D"/>
    <w:rsid w:val="009A4F63"/>
    <w:rsid w:val="009A5372"/>
    <w:rsid w:val="009A5E51"/>
    <w:rsid w:val="009A6036"/>
    <w:rsid w:val="009A6CDE"/>
    <w:rsid w:val="009A6D6D"/>
    <w:rsid w:val="009A6EBC"/>
    <w:rsid w:val="009A7100"/>
    <w:rsid w:val="009A7430"/>
    <w:rsid w:val="009A7999"/>
    <w:rsid w:val="009A79D5"/>
    <w:rsid w:val="009B0167"/>
    <w:rsid w:val="009B0213"/>
    <w:rsid w:val="009B0357"/>
    <w:rsid w:val="009B0733"/>
    <w:rsid w:val="009B1172"/>
    <w:rsid w:val="009B1BAF"/>
    <w:rsid w:val="009B1C32"/>
    <w:rsid w:val="009B24BE"/>
    <w:rsid w:val="009B3226"/>
    <w:rsid w:val="009B33D3"/>
    <w:rsid w:val="009B3560"/>
    <w:rsid w:val="009B3838"/>
    <w:rsid w:val="009B4AB9"/>
    <w:rsid w:val="009B4F9F"/>
    <w:rsid w:val="009B51EF"/>
    <w:rsid w:val="009B5861"/>
    <w:rsid w:val="009B602A"/>
    <w:rsid w:val="009B617C"/>
    <w:rsid w:val="009B6B64"/>
    <w:rsid w:val="009B6C26"/>
    <w:rsid w:val="009B71BC"/>
    <w:rsid w:val="009B7287"/>
    <w:rsid w:val="009B7300"/>
    <w:rsid w:val="009B7552"/>
    <w:rsid w:val="009C012E"/>
    <w:rsid w:val="009C088E"/>
    <w:rsid w:val="009C0AB7"/>
    <w:rsid w:val="009C0AE4"/>
    <w:rsid w:val="009C148A"/>
    <w:rsid w:val="009C1DB5"/>
    <w:rsid w:val="009C1F59"/>
    <w:rsid w:val="009C20DF"/>
    <w:rsid w:val="009C29B8"/>
    <w:rsid w:val="009C31F9"/>
    <w:rsid w:val="009C385F"/>
    <w:rsid w:val="009C3951"/>
    <w:rsid w:val="009C3F7C"/>
    <w:rsid w:val="009C48F8"/>
    <w:rsid w:val="009C49B1"/>
    <w:rsid w:val="009C4A29"/>
    <w:rsid w:val="009C4DC4"/>
    <w:rsid w:val="009C544D"/>
    <w:rsid w:val="009C5551"/>
    <w:rsid w:val="009C5B28"/>
    <w:rsid w:val="009C5E5F"/>
    <w:rsid w:val="009C603D"/>
    <w:rsid w:val="009C6360"/>
    <w:rsid w:val="009C6449"/>
    <w:rsid w:val="009C681D"/>
    <w:rsid w:val="009C7022"/>
    <w:rsid w:val="009C7243"/>
    <w:rsid w:val="009C72C5"/>
    <w:rsid w:val="009C7333"/>
    <w:rsid w:val="009C77D7"/>
    <w:rsid w:val="009C7CA0"/>
    <w:rsid w:val="009D02AB"/>
    <w:rsid w:val="009D06FB"/>
    <w:rsid w:val="009D079F"/>
    <w:rsid w:val="009D0AD3"/>
    <w:rsid w:val="009D1163"/>
    <w:rsid w:val="009D1C7D"/>
    <w:rsid w:val="009D202F"/>
    <w:rsid w:val="009D24C0"/>
    <w:rsid w:val="009D251B"/>
    <w:rsid w:val="009D273E"/>
    <w:rsid w:val="009D2A75"/>
    <w:rsid w:val="009D2D87"/>
    <w:rsid w:val="009D4953"/>
    <w:rsid w:val="009D4E08"/>
    <w:rsid w:val="009D50D0"/>
    <w:rsid w:val="009D5132"/>
    <w:rsid w:val="009D54DA"/>
    <w:rsid w:val="009D5D90"/>
    <w:rsid w:val="009D5DF0"/>
    <w:rsid w:val="009D5FD7"/>
    <w:rsid w:val="009D5FFC"/>
    <w:rsid w:val="009D62A6"/>
    <w:rsid w:val="009D6465"/>
    <w:rsid w:val="009D69E4"/>
    <w:rsid w:val="009D6B88"/>
    <w:rsid w:val="009D6D25"/>
    <w:rsid w:val="009D6DD8"/>
    <w:rsid w:val="009D75C7"/>
    <w:rsid w:val="009D7E41"/>
    <w:rsid w:val="009E09C2"/>
    <w:rsid w:val="009E0C5C"/>
    <w:rsid w:val="009E1BE3"/>
    <w:rsid w:val="009E2B9F"/>
    <w:rsid w:val="009E2EB2"/>
    <w:rsid w:val="009E3651"/>
    <w:rsid w:val="009E3BE3"/>
    <w:rsid w:val="009E4363"/>
    <w:rsid w:val="009E4475"/>
    <w:rsid w:val="009E454E"/>
    <w:rsid w:val="009E4746"/>
    <w:rsid w:val="009E4ADD"/>
    <w:rsid w:val="009E53D9"/>
    <w:rsid w:val="009E5528"/>
    <w:rsid w:val="009E58A4"/>
    <w:rsid w:val="009E59ED"/>
    <w:rsid w:val="009E619C"/>
    <w:rsid w:val="009E68B9"/>
    <w:rsid w:val="009E6DE4"/>
    <w:rsid w:val="009E7137"/>
    <w:rsid w:val="009E7247"/>
    <w:rsid w:val="009E7566"/>
    <w:rsid w:val="009E77D8"/>
    <w:rsid w:val="009E7BDB"/>
    <w:rsid w:val="009E7C03"/>
    <w:rsid w:val="009E7C1C"/>
    <w:rsid w:val="009E7DC6"/>
    <w:rsid w:val="009E7DD9"/>
    <w:rsid w:val="009F0335"/>
    <w:rsid w:val="009F0728"/>
    <w:rsid w:val="009F0972"/>
    <w:rsid w:val="009F09C7"/>
    <w:rsid w:val="009F0D2F"/>
    <w:rsid w:val="009F0E0D"/>
    <w:rsid w:val="009F12EC"/>
    <w:rsid w:val="009F1498"/>
    <w:rsid w:val="009F15F6"/>
    <w:rsid w:val="009F19A3"/>
    <w:rsid w:val="009F1FA3"/>
    <w:rsid w:val="009F206E"/>
    <w:rsid w:val="009F28D0"/>
    <w:rsid w:val="009F294F"/>
    <w:rsid w:val="009F2A34"/>
    <w:rsid w:val="009F2ADC"/>
    <w:rsid w:val="009F2C0F"/>
    <w:rsid w:val="009F3297"/>
    <w:rsid w:val="009F3755"/>
    <w:rsid w:val="009F3D72"/>
    <w:rsid w:val="009F4520"/>
    <w:rsid w:val="009F45D6"/>
    <w:rsid w:val="009F50EB"/>
    <w:rsid w:val="009F5841"/>
    <w:rsid w:val="009F5E03"/>
    <w:rsid w:val="009F5E61"/>
    <w:rsid w:val="009F5FE0"/>
    <w:rsid w:val="009F62AA"/>
    <w:rsid w:val="009F6411"/>
    <w:rsid w:val="009F64C0"/>
    <w:rsid w:val="009F64FC"/>
    <w:rsid w:val="009F6590"/>
    <w:rsid w:val="009F66AB"/>
    <w:rsid w:val="009F6891"/>
    <w:rsid w:val="009F6B3B"/>
    <w:rsid w:val="009F6B69"/>
    <w:rsid w:val="009F71A1"/>
    <w:rsid w:val="00A006E9"/>
    <w:rsid w:val="00A0083D"/>
    <w:rsid w:val="00A00AFD"/>
    <w:rsid w:val="00A00B84"/>
    <w:rsid w:val="00A016DE"/>
    <w:rsid w:val="00A01B1F"/>
    <w:rsid w:val="00A02052"/>
    <w:rsid w:val="00A021C4"/>
    <w:rsid w:val="00A029AA"/>
    <w:rsid w:val="00A02C3D"/>
    <w:rsid w:val="00A02D8D"/>
    <w:rsid w:val="00A02DFA"/>
    <w:rsid w:val="00A03496"/>
    <w:rsid w:val="00A044DF"/>
    <w:rsid w:val="00A04C5D"/>
    <w:rsid w:val="00A04D76"/>
    <w:rsid w:val="00A0503C"/>
    <w:rsid w:val="00A050B9"/>
    <w:rsid w:val="00A05438"/>
    <w:rsid w:val="00A0560A"/>
    <w:rsid w:val="00A057AD"/>
    <w:rsid w:val="00A057D2"/>
    <w:rsid w:val="00A05A27"/>
    <w:rsid w:val="00A06AF9"/>
    <w:rsid w:val="00A06CE7"/>
    <w:rsid w:val="00A06EC1"/>
    <w:rsid w:val="00A073F1"/>
    <w:rsid w:val="00A076D0"/>
    <w:rsid w:val="00A077D8"/>
    <w:rsid w:val="00A077DF"/>
    <w:rsid w:val="00A07B8D"/>
    <w:rsid w:val="00A101A6"/>
    <w:rsid w:val="00A10428"/>
    <w:rsid w:val="00A106A6"/>
    <w:rsid w:val="00A10A66"/>
    <w:rsid w:val="00A1107C"/>
    <w:rsid w:val="00A1144C"/>
    <w:rsid w:val="00A114E7"/>
    <w:rsid w:val="00A1166B"/>
    <w:rsid w:val="00A11A01"/>
    <w:rsid w:val="00A12725"/>
    <w:rsid w:val="00A1284F"/>
    <w:rsid w:val="00A1285D"/>
    <w:rsid w:val="00A1299F"/>
    <w:rsid w:val="00A12C36"/>
    <w:rsid w:val="00A12FC6"/>
    <w:rsid w:val="00A13001"/>
    <w:rsid w:val="00A13391"/>
    <w:rsid w:val="00A1356B"/>
    <w:rsid w:val="00A135FA"/>
    <w:rsid w:val="00A13678"/>
    <w:rsid w:val="00A139C2"/>
    <w:rsid w:val="00A13D4A"/>
    <w:rsid w:val="00A141FB"/>
    <w:rsid w:val="00A1428C"/>
    <w:rsid w:val="00A142A7"/>
    <w:rsid w:val="00A14914"/>
    <w:rsid w:val="00A1529A"/>
    <w:rsid w:val="00A156F9"/>
    <w:rsid w:val="00A156FC"/>
    <w:rsid w:val="00A16485"/>
    <w:rsid w:val="00A16554"/>
    <w:rsid w:val="00A171A7"/>
    <w:rsid w:val="00A173F5"/>
    <w:rsid w:val="00A1781D"/>
    <w:rsid w:val="00A17A12"/>
    <w:rsid w:val="00A17A2F"/>
    <w:rsid w:val="00A17D13"/>
    <w:rsid w:val="00A17E63"/>
    <w:rsid w:val="00A20C71"/>
    <w:rsid w:val="00A20DC8"/>
    <w:rsid w:val="00A20E0D"/>
    <w:rsid w:val="00A212D1"/>
    <w:rsid w:val="00A212D7"/>
    <w:rsid w:val="00A215AB"/>
    <w:rsid w:val="00A216EC"/>
    <w:rsid w:val="00A21B10"/>
    <w:rsid w:val="00A21CE2"/>
    <w:rsid w:val="00A21DCF"/>
    <w:rsid w:val="00A22013"/>
    <w:rsid w:val="00A221B4"/>
    <w:rsid w:val="00A2240B"/>
    <w:rsid w:val="00A225A0"/>
    <w:rsid w:val="00A227A7"/>
    <w:rsid w:val="00A228D1"/>
    <w:rsid w:val="00A2299A"/>
    <w:rsid w:val="00A22E0D"/>
    <w:rsid w:val="00A22E58"/>
    <w:rsid w:val="00A23AF5"/>
    <w:rsid w:val="00A23B60"/>
    <w:rsid w:val="00A23F8F"/>
    <w:rsid w:val="00A2406A"/>
    <w:rsid w:val="00A241C2"/>
    <w:rsid w:val="00A24279"/>
    <w:rsid w:val="00A24671"/>
    <w:rsid w:val="00A24AFE"/>
    <w:rsid w:val="00A24CB2"/>
    <w:rsid w:val="00A24E4E"/>
    <w:rsid w:val="00A24FF3"/>
    <w:rsid w:val="00A2567F"/>
    <w:rsid w:val="00A258E6"/>
    <w:rsid w:val="00A26117"/>
    <w:rsid w:val="00A26E64"/>
    <w:rsid w:val="00A27016"/>
    <w:rsid w:val="00A2709A"/>
    <w:rsid w:val="00A27111"/>
    <w:rsid w:val="00A2730C"/>
    <w:rsid w:val="00A27CDE"/>
    <w:rsid w:val="00A27FB7"/>
    <w:rsid w:val="00A3041C"/>
    <w:rsid w:val="00A30A9F"/>
    <w:rsid w:val="00A30CAC"/>
    <w:rsid w:val="00A311F4"/>
    <w:rsid w:val="00A3152B"/>
    <w:rsid w:val="00A32269"/>
    <w:rsid w:val="00A3255C"/>
    <w:rsid w:val="00A32B7D"/>
    <w:rsid w:val="00A32C16"/>
    <w:rsid w:val="00A32F7B"/>
    <w:rsid w:val="00A330E0"/>
    <w:rsid w:val="00A333C6"/>
    <w:rsid w:val="00A33A11"/>
    <w:rsid w:val="00A33F19"/>
    <w:rsid w:val="00A345AD"/>
    <w:rsid w:val="00A3485A"/>
    <w:rsid w:val="00A3491C"/>
    <w:rsid w:val="00A35336"/>
    <w:rsid w:val="00A353E3"/>
    <w:rsid w:val="00A35AB1"/>
    <w:rsid w:val="00A35C5E"/>
    <w:rsid w:val="00A35EF7"/>
    <w:rsid w:val="00A360B5"/>
    <w:rsid w:val="00A36306"/>
    <w:rsid w:val="00A36413"/>
    <w:rsid w:val="00A365CD"/>
    <w:rsid w:val="00A36A50"/>
    <w:rsid w:val="00A36C4B"/>
    <w:rsid w:val="00A37106"/>
    <w:rsid w:val="00A37219"/>
    <w:rsid w:val="00A374AC"/>
    <w:rsid w:val="00A37859"/>
    <w:rsid w:val="00A37A9D"/>
    <w:rsid w:val="00A37E17"/>
    <w:rsid w:val="00A40064"/>
    <w:rsid w:val="00A40731"/>
    <w:rsid w:val="00A4099C"/>
    <w:rsid w:val="00A40A01"/>
    <w:rsid w:val="00A40D2B"/>
    <w:rsid w:val="00A40E1D"/>
    <w:rsid w:val="00A411B6"/>
    <w:rsid w:val="00A415D2"/>
    <w:rsid w:val="00A41AF6"/>
    <w:rsid w:val="00A41B76"/>
    <w:rsid w:val="00A41C4A"/>
    <w:rsid w:val="00A41D14"/>
    <w:rsid w:val="00A4219F"/>
    <w:rsid w:val="00A422E6"/>
    <w:rsid w:val="00A427D1"/>
    <w:rsid w:val="00A4310B"/>
    <w:rsid w:val="00A43CF0"/>
    <w:rsid w:val="00A440C4"/>
    <w:rsid w:val="00A443BB"/>
    <w:rsid w:val="00A4451F"/>
    <w:rsid w:val="00A45970"/>
    <w:rsid w:val="00A45972"/>
    <w:rsid w:val="00A46330"/>
    <w:rsid w:val="00A464CF"/>
    <w:rsid w:val="00A46522"/>
    <w:rsid w:val="00A46538"/>
    <w:rsid w:val="00A46786"/>
    <w:rsid w:val="00A46B9D"/>
    <w:rsid w:val="00A46EE5"/>
    <w:rsid w:val="00A47261"/>
    <w:rsid w:val="00A476B9"/>
    <w:rsid w:val="00A47736"/>
    <w:rsid w:val="00A47C72"/>
    <w:rsid w:val="00A47CE4"/>
    <w:rsid w:val="00A47DA7"/>
    <w:rsid w:val="00A500B6"/>
    <w:rsid w:val="00A50104"/>
    <w:rsid w:val="00A501B7"/>
    <w:rsid w:val="00A502F3"/>
    <w:rsid w:val="00A50501"/>
    <w:rsid w:val="00A505D1"/>
    <w:rsid w:val="00A50797"/>
    <w:rsid w:val="00A50BF8"/>
    <w:rsid w:val="00A50DAB"/>
    <w:rsid w:val="00A517AA"/>
    <w:rsid w:val="00A51B5C"/>
    <w:rsid w:val="00A51E8A"/>
    <w:rsid w:val="00A522DD"/>
    <w:rsid w:val="00A522EA"/>
    <w:rsid w:val="00A52543"/>
    <w:rsid w:val="00A52B3C"/>
    <w:rsid w:val="00A52DC9"/>
    <w:rsid w:val="00A52E50"/>
    <w:rsid w:val="00A5421B"/>
    <w:rsid w:val="00A55ADE"/>
    <w:rsid w:val="00A55FBC"/>
    <w:rsid w:val="00A55FF4"/>
    <w:rsid w:val="00A56551"/>
    <w:rsid w:val="00A56C6E"/>
    <w:rsid w:val="00A56EB2"/>
    <w:rsid w:val="00A57482"/>
    <w:rsid w:val="00A57A22"/>
    <w:rsid w:val="00A57B8F"/>
    <w:rsid w:val="00A57C10"/>
    <w:rsid w:val="00A57F4D"/>
    <w:rsid w:val="00A601C5"/>
    <w:rsid w:val="00A6045C"/>
    <w:rsid w:val="00A6084E"/>
    <w:rsid w:val="00A60C4F"/>
    <w:rsid w:val="00A6148E"/>
    <w:rsid w:val="00A6179B"/>
    <w:rsid w:val="00A618F5"/>
    <w:rsid w:val="00A61A96"/>
    <w:rsid w:val="00A61D1A"/>
    <w:rsid w:val="00A628DE"/>
    <w:rsid w:val="00A62D3A"/>
    <w:rsid w:val="00A632F2"/>
    <w:rsid w:val="00A6396E"/>
    <w:rsid w:val="00A63C06"/>
    <w:rsid w:val="00A63EB5"/>
    <w:rsid w:val="00A6437F"/>
    <w:rsid w:val="00A645FD"/>
    <w:rsid w:val="00A64EBC"/>
    <w:rsid w:val="00A64FAD"/>
    <w:rsid w:val="00A65241"/>
    <w:rsid w:val="00A6540E"/>
    <w:rsid w:val="00A6572A"/>
    <w:rsid w:val="00A65AD1"/>
    <w:rsid w:val="00A65B11"/>
    <w:rsid w:val="00A65F1B"/>
    <w:rsid w:val="00A65FE2"/>
    <w:rsid w:val="00A66353"/>
    <w:rsid w:val="00A669D3"/>
    <w:rsid w:val="00A66BCF"/>
    <w:rsid w:val="00A67590"/>
    <w:rsid w:val="00A7060C"/>
    <w:rsid w:val="00A70692"/>
    <w:rsid w:val="00A70B6C"/>
    <w:rsid w:val="00A70D89"/>
    <w:rsid w:val="00A70E97"/>
    <w:rsid w:val="00A71406"/>
    <w:rsid w:val="00A71874"/>
    <w:rsid w:val="00A71918"/>
    <w:rsid w:val="00A71EFC"/>
    <w:rsid w:val="00A72421"/>
    <w:rsid w:val="00A725DC"/>
    <w:rsid w:val="00A72651"/>
    <w:rsid w:val="00A72EBC"/>
    <w:rsid w:val="00A737B4"/>
    <w:rsid w:val="00A73A9E"/>
    <w:rsid w:val="00A73BAB"/>
    <w:rsid w:val="00A741F5"/>
    <w:rsid w:val="00A75BFE"/>
    <w:rsid w:val="00A7630E"/>
    <w:rsid w:val="00A766F2"/>
    <w:rsid w:val="00A7761F"/>
    <w:rsid w:val="00A776FA"/>
    <w:rsid w:val="00A77791"/>
    <w:rsid w:val="00A777FF"/>
    <w:rsid w:val="00A7783F"/>
    <w:rsid w:val="00A77A95"/>
    <w:rsid w:val="00A77C49"/>
    <w:rsid w:val="00A77C74"/>
    <w:rsid w:val="00A77D00"/>
    <w:rsid w:val="00A77EED"/>
    <w:rsid w:val="00A77F17"/>
    <w:rsid w:val="00A804AD"/>
    <w:rsid w:val="00A817F6"/>
    <w:rsid w:val="00A81CA6"/>
    <w:rsid w:val="00A8220C"/>
    <w:rsid w:val="00A82289"/>
    <w:rsid w:val="00A82374"/>
    <w:rsid w:val="00A82533"/>
    <w:rsid w:val="00A833B3"/>
    <w:rsid w:val="00A8347B"/>
    <w:rsid w:val="00A835DA"/>
    <w:rsid w:val="00A8362E"/>
    <w:rsid w:val="00A838B4"/>
    <w:rsid w:val="00A83927"/>
    <w:rsid w:val="00A83A15"/>
    <w:rsid w:val="00A83C05"/>
    <w:rsid w:val="00A83E02"/>
    <w:rsid w:val="00A83E50"/>
    <w:rsid w:val="00A83FF6"/>
    <w:rsid w:val="00A84129"/>
    <w:rsid w:val="00A841B3"/>
    <w:rsid w:val="00A84A23"/>
    <w:rsid w:val="00A84B6F"/>
    <w:rsid w:val="00A84DE0"/>
    <w:rsid w:val="00A84DFB"/>
    <w:rsid w:val="00A85306"/>
    <w:rsid w:val="00A85375"/>
    <w:rsid w:val="00A856DD"/>
    <w:rsid w:val="00A8578C"/>
    <w:rsid w:val="00A85DA0"/>
    <w:rsid w:val="00A86346"/>
    <w:rsid w:val="00A863AC"/>
    <w:rsid w:val="00A865C0"/>
    <w:rsid w:val="00A8686F"/>
    <w:rsid w:val="00A86F30"/>
    <w:rsid w:val="00A87084"/>
    <w:rsid w:val="00A876EB"/>
    <w:rsid w:val="00A9020C"/>
    <w:rsid w:val="00A90382"/>
    <w:rsid w:val="00A90A26"/>
    <w:rsid w:val="00A90B41"/>
    <w:rsid w:val="00A90C5D"/>
    <w:rsid w:val="00A91145"/>
    <w:rsid w:val="00A91318"/>
    <w:rsid w:val="00A91356"/>
    <w:rsid w:val="00A916A8"/>
    <w:rsid w:val="00A917B8"/>
    <w:rsid w:val="00A91A3A"/>
    <w:rsid w:val="00A9240F"/>
    <w:rsid w:val="00A93201"/>
    <w:rsid w:val="00A94064"/>
    <w:rsid w:val="00A942CE"/>
    <w:rsid w:val="00A94467"/>
    <w:rsid w:val="00A945F5"/>
    <w:rsid w:val="00A9485F"/>
    <w:rsid w:val="00A94A79"/>
    <w:rsid w:val="00A9530A"/>
    <w:rsid w:val="00A958F9"/>
    <w:rsid w:val="00A95903"/>
    <w:rsid w:val="00A95A1E"/>
    <w:rsid w:val="00A95F71"/>
    <w:rsid w:val="00A96BFD"/>
    <w:rsid w:val="00A96D7E"/>
    <w:rsid w:val="00A973D3"/>
    <w:rsid w:val="00A97484"/>
    <w:rsid w:val="00A9789E"/>
    <w:rsid w:val="00A97B17"/>
    <w:rsid w:val="00A97C09"/>
    <w:rsid w:val="00AA00EF"/>
    <w:rsid w:val="00AA021E"/>
    <w:rsid w:val="00AA05C8"/>
    <w:rsid w:val="00AA0614"/>
    <w:rsid w:val="00AA08AB"/>
    <w:rsid w:val="00AA0B7D"/>
    <w:rsid w:val="00AA11C2"/>
    <w:rsid w:val="00AA11D0"/>
    <w:rsid w:val="00AA1330"/>
    <w:rsid w:val="00AA15BD"/>
    <w:rsid w:val="00AA18AC"/>
    <w:rsid w:val="00AA1F54"/>
    <w:rsid w:val="00AA20CB"/>
    <w:rsid w:val="00AA283D"/>
    <w:rsid w:val="00AA325D"/>
    <w:rsid w:val="00AA3966"/>
    <w:rsid w:val="00AA3C22"/>
    <w:rsid w:val="00AA4153"/>
    <w:rsid w:val="00AA42E9"/>
    <w:rsid w:val="00AA46BF"/>
    <w:rsid w:val="00AA48C5"/>
    <w:rsid w:val="00AA49A4"/>
    <w:rsid w:val="00AA4B4F"/>
    <w:rsid w:val="00AA4F69"/>
    <w:rsid w:val="00AA4FF6"/>
    <w:rsid w:val="00AA5042"/>
    <w:rsid w:val="00AA524E"/>
    <w:rsid w:val="00AA541D"/>
    <w:rsid w:val="00AA5742"/>
    <w:rsid w:val="00AA5BE8"/>
    <w:rsid w:val="00AA5D3D"/>
    <w:rsid w:val="00AA607C"/>
    <w:rsid w:val="00AA62C7"/>
    <w:rsid w:val="00AA668A"/>
    <w:rsid w:val="00AA6AFC"/>
    <w:rsid w:val="00AA6B62"/>
    <w:rsid w:val="00AA6BCF"/>
    <w:rsid w:val="00AA6C57"/>
    <w:rsid w:val="00AA6C85"/>
    <w:rsid w:val="00AA6FC7"/>
    <w:rsid w:val="00AA7182"/>
    <w:rsid w:val="00AA730F"/>
    <w:rsid w:val="00AA751C"/>
    <w:rsid w:val="00AA753F"/>
    <w:rsid w:val="00AA78D9"/>
    <w:rsid w:val="00AB0686"/>
    <w:rsid w:val="00AB08F6"/>
    <w:rsid w:val="00AB12A5"/>
    <w:rsid w:val="00AB12E5"/>
    <w:rsid w:val="00AB164F"/>
    <w:rsid w:val="00AB2165"/>
    <w:rsid w:val="00AB2782"/>
    <w:rsid w:val="00AB29A9"/>
    <w:rsid w:val="00AB29C8"/>
    <w:rsid w:val="00AB29F6"/>
    <w:rsid w:val="00AB2F01"/>
    <w:rsid w:val="00AB2F04"/>
    <w:rsid w:val="00AB3554"/>
    <w:rsid w:val="00AB380E"/>
    <w:rsid w:val="00AB38C9"/>
    <w:rsid w:val="00AB3E95"/>
    <w:rsid w:val="00AB5620"/>
    <w:rsid w:val="00AB5AD2"/>
    <w:rsid w:val="00AB67D6"/>
    <w:rsid w:val="00AB6E76"/>
    <w:rsid w:val="00AB6FBF"/>
    <w:rsid w:val="00AB6FE1"/>
    <w:rsid w:val="00AB7358"/>
    <w:rsid w:val="00AB7BF3"/>
    <w:rsid w:val="00AB7D01"/>
    <w:rsid w:val="00AB7DEA"/>
    <w:rsid w:val="00AC046D"/>
    <w:rsid w:val="00AC1166"/>
    <w:rsid w:val="00AC130F"/>
    <w:rsid w:val="00AC133E"/>
    <w:rsid w:val="00AC1CAA"/>
    <w:rsid w:val="00AC1E86"/>
    <w:rsid w:val="00AC2012"/>
    <w:rsid w:val="00AC2B8A"/>
    <w:rsid w:val="00AC3419"/>
    <w:rsid w:val="00AC39B3"/>
    <w:rsid w:val="00AC3BF9"/>
    <w:rsid w:val="00AC3E90"/>
    <w:rsid w:val="00AC4751"/>
    <w:rsid w:val="00AC5198"/>
    <w:rsid w:val="00AC53A3"/>
    <w:rsid w:val="00AC54A5"/>
    <w:rsid w:val="00AC54CB"/>
    <w:rsid w:val="00AC56C1"/>
    <w:rsid w:val="00AC5BB7"/>
    <w:rsid w:val="00AC5E86"/>
    <w:rsid w:val="00AC6385"/>
    <w:rsid w:val="00AC6490"/>
    <w:rsid w:val="00AC67D7"/>
    <w:rsid w:val="00AC67DC"/>
    <w:rsid w:val="00AC68E6"/>
    <w:rsid w:val="00AC6AB5"/>
    <w:rsid w:val="00AC6D2B"/>
    <w:rsid w:val="00AC7842"/>
    <w:rsid w:val="00AC78D9"/>
    <w:rsid w:val="00AC79AF"/>
    <w:rsid w:val="00AC7D39"/>
    <w:rsid w:val="00AC7DD8"/>
    <w:rsid w:val="00AC7F99"/>
    <w:rsid w:val="00AD03CE"/>
    <w:rsid w:val="00AD06D6"/>
    <w:rsid w:val="00AD09C3"/>
    <w:rsid w:val="00AD0C01"/>
    <w:rsid w:val="00AD1057"/>
    <w:rsid w:val="00AD1145"/>
    <w:rsid w:val="00AD19B3"/>
    <w:rsid w:val="00AD2176"/>
    <w:rsid w:val="00AD234B"/>
    <w:rsid w:val="00AD237C"/>
    <w:rsid w:val="00AD2958"/>
    <w:rsid w:val="00AD29CC"/>
    <w:rsid w:val="00AD383C"/>
    <w:rsid w:val="00AD38F4"/>
    <w:rsid w:val="00AD3CA7"/>
    <w:rsid w:val="00AD3EE1"/>
    <w:rsid w:val="00AD44C1"/>
    <w:rsid w:val="00AD4D09"/>
    <w:rsid w:val="00AD4D53"/>
    <w:rsid w:val="00AD50FD"/>
    <w:rsid w:val="00AD6064"/>
    <w:rsid w:val="00AD6520"/>
    <w:rsid w:val="00AD66E5"/>
    <w:rsid w:val="00AD6757"/>
    <w:rsid w:val="00AD6C11"/>
    <w:rsid w:val="00AD7C31"/>
    <w:rsid w:val="00AE0102"/>
    <w:rsid w:val="00AE07AD"/>
    <w:rsid w:val="00AE128F"/>
    <w:rsid w:val="00AE1690"/>
    <w:rsid w:val="00AE1930"/>
    <w:rsid w:val="00AE27A3"/>
    <w:rsid w:val="00AE2C4E"/>
    <w:rsid w:val="00AE2C8A"/>
    <w:rsid w:val="00AE2D52"/>
    <w:rsid w:val="00AE2EDA"/>
    <w:rsid w:val="00AE31A3"/>
    <w:rsid w:val="00AE3793"/>
    <w:rsid w:val="00AE38A5"/>
    <w:rsid w:val="00AE3B0B"/>
    <w:rsid w:val="00AE3BF9"/>
    <w:rsid w:val="00AE3D78"/>
    <w:rsid w:val="00AE43C9"/>
    <w:rsid w:val="00AE46FB"/>
    <w:rsid w:val="00AE47E2"/>
    <w:rsid w:val="00AE58E7"/>
    <w:rsid w:val="00AE5A7D"/>
    <w:rsid w:val="00AE5BF6"/>
    <w:rsid w:val="00AE659D"/>
    <w:rsid w:val="00AE66AC"/>
    <w:rsid w:val="00AF00D7"/>
    <w:rsid w:val="00AF04CB"/>
    <w:rsid w:val="00AF0B8A"/>
    <w:rsid w:val="00AF0BC6"/>
    <w:rsid w:val="00AF0D90"/>
    <w:rsid w:val="00AF1759"/>
    <w:rsid w:val="00AF1785"/>
    <w:rsid w:val="00AF1B4C"/>
    <w:rsid w:val="00AF25D6"/>
    <w:rsid w:val="00AF31D2"/>
    <w:rsid w:val="00AF34C7"/>
    <w:rsid w:val="00AF3512"/>
    <w:rsid w:val="00AF3564"/>
    <w:rsid w:val="00AF396A"/>
    <w:rsid w:val="00AF39CD"/>
    <w:rsid w:val="00AF3A07"/>
    <w:rsid w:val="00AF3BF2"/>
    <w:rsid w:val="00AF3F7C"/>
    <w:rsid w:val="00AF4763"/>
    <w:rsid w:val="00AF5260"/>
    <w:rsid w:val="00AF5434"/>
    <w:rsid w:val="00AF54DE"/>
    <w:rsid w:val="00AF5723"/>
    <w:rsid w:val="00AF5794"/>
    <w:rsid w:val="00AF5A26"/>
    <w:rsid w:val="00AF68B6"/>
    <w:rsid w:val="00AF695F"/>
    <w:rsid w:val="00AF69C1"/>
    <w:rsid w:val="00AF6B93"/>
    <w:rsid w:val="00AF6CBD"/>
    <w:rsid w:val="00AF6D8C"/>
    <w:rsid w:val="00AF70C5"/>
    <w:rsid w:val="00AF7612"/>
    <w:rsid w:val="00AF76D9"/>
    <w:rsid w:val="00AF7AAE"/>
    <w:rsid w:val="00AF7C59"/>
    <w:rsid w:val="00B0015D"/>
    <w:rsid w:val="00B004E6"/>
    <w:rsid w:val="00B00555"/>
    <w:rsid w:val="00B0064E"/>
    <w:rsid w:val="00B0066A"/>
    <w:rsid w:val="00B011D2"/>
    <w:rsid w:val="00B012A8"/>
    <w:rsid w:val="00B01480"/>
    <w:rsid w:val="00B01A8C"/>
    <w:rsid w:val="00B02186"/>
    <w:rsid w:val="00B02F63"/>
    <w:rsid w:val="00B03251"/>
    <w:rsid w:val="00B03F88"/>
    <w:rsid w:val="00B04065"/>
    <w:rsid w:val="00B045D3"/>
    <w:rsid w:val="00B04641"/>
    <w:rsid w:val="00B04A02"/>
    <w:rsid w:val="00B04E42"/>
    <w:rsid w:val="00B05052"/>
    <w:rsid w:val="00B052EB"/>
    <w:rsid w:val="00B05748"/>
    <w:rsid w:val="00B06296"/>
    <w:rsid w:val="00B0649D"/>
    <w:rsid w:val="00B0685D"/>
    <w:rsid w:val="00B070C2"/>
    <w:rsid w:val="00B072D3"/>
    <w:rsid w:val="00B075DD"/>
    <w:rsid w:val="00B0776A"/>
    <w:rsid w:val="00B07A82"/>
    <w:rsid w:val="00B103D0"/>
    <w:rsid w:val="00B104D8"/>
    <w:rsid w:val="00B10775"/>
    <w:rsid w:val="00B10C8F"/>
    <w:rsid w:val="00B10FBF"/>
    <w:rsid w:val="00B1107B"/>
    <w:rsid w:val="00B12D0A"/>
    <w:rsid w:val="00B12D3D"/>
    <w:rsid w:val="00B12E23"/>
    <w:rsid w:val="00B13692"/>
    <w:rsid w:val="00B13766"/>
    <w:rsid w:val="00B13B2D"/>
    <w:rsid w:val="00B13ED4"/>
    <w:rsid w:val="00B13F09"/>
    <w:rsid w:val="00B13FA2"/>
    <w:rsid w:val="00B1421A"/>
    <w:rsid w:val="00B14A59"/>
    <w:rsid w:val="00B14ADE"/>
    <w:rsid w:val="00B14C87"/>
    <w:rsid w:val="00B14E1C"/>
    <w:rsid w:val="00B15019"/>
    <w:rsid w:val="00B155B1"/>
    <w:rsid w:val="00B15649"/>
    <w:rsid w:val="00B15919"/>
    <w:rsid w:val="00B159C8"/>
    <w:rsid w:val="00B15B19"/>
    <w:rsid w:val="00B15B93"/>
    <w:rsid w:val="00B15D42"/>
    <w:rsid w:val="00B15F3A"/>
    <w:rsid w:val="00B15F6F"/>
    <w:rsid w:val="00B1618C"/>
    <w:rsid w:val="00B162CA"/>
    <w:rsid w:val="00B1642A"/>
    <w:rsid w:val="00B16582"/>
    <w:rsid w:val="00B16C4B"/>
    <w:rsid w:val="00B16E7A"/>
    <w:rsid w:val="00B172FD"/>
    <w:rsid w:val="00B17631"/>
    <w:rsid w:val="00B1772C"/>
    <w:rsid w:val="00B17858"/>
    <w:rsid w:val="00B179A3"/>
    <w:rsid w:val="00B179E2"/>
    <w:rsid w:val="00B17D65"/>
    <w:rsid w:val="00B201DA"/>
    <w:rsid w:val="00B2026B"/>
    <w:rsid w:val="00B210CC"/>
    <w:rsid w:val="00B214B2"/>
    <w:rsid w:val="00B2162A"/>
    <w:rsid w:val="00B21BC4"/>
    <w:rsid w:val="00B21E51"/>
    <w:rsid w:val="00B21F27"/>
    <w:rsid w:val="00B225A3"/>
    <w:rsid w:val="00B22645"/>
    <w:rsid w:val="00B22A19"/>
    <w:rsid w:val="00B22B65"/>
    <w:rsid w:val="00B22C48"/>
    <w:rsid w:val="00B22D53"/>
    <w:rsid w:val="00B22DDE"/>
    <w:rsid w:val="00B22E58"/>
    <w:rsid w:val="00B230D9"/>
    <w:rsid w:val="00B2369E"/>
    <w:rsid w:val="00B23820"/>
    <w:rsid w:val="00B23E6C"/>
    <w:rsid w:val="00B242C1"/>
    <w:rsid w:val="00B245EC"/>
    <w:rsid w:val="00B24CB5"/>
    <w:rsid w:val="00B24CC5"/>
    <w:rsid w:val="00B24EF8"/>
    <w:rsid w:val="00B250ED"/>
    <w:rsid w:val="00B25184"/>
    <w:rsid w:val="00B253C4"/>
    <w:rsid w:val="00B25BCA"/>
    <w:rsid w:val="00B260E0"/>
    <w:rsid w:val="00B26181"/>
    <w:rsid w:val="00B26296"/>
    <w:rsid w:val="00B26347"/>
    <w:rsid w:val="00B2699B"/>
    <w:rsid w:val="00B26D26"/>
    <w:rsid w:val="00B26D6A"/>
    <w:rsid w:val="00B26E95"/>
    <w:rsid w:val="00B27120"/>
    <w:rsid w:val="00B27EF0"/>
    <w:rsid w:val="00B30881"/>
    <w:rsid w:val="00B315B7"/>
    <w:rsid w:val="00B31B93"/>
    <w:rsid w:val="00B31C9F"/>
    <w:rsid w:val="00B320CA"/>
    <w:rsid w:val="00B32537"/>
    <w:rsid w:val="00B328A6"/>
    <w:rsid w:val="00B32AD5"/>
    <w:rsid w:val="00B32CBF"/>
    <w:rsid w:val="00B32F3F"/>
    <w:rsid w:val="00B3335E"/>
    <w:rsid w:val="00B342E6"/>
    <w:rsid w:val="00B343ED"/>
    <w:rsid w:val="00B34C6F"/>
    <w:rsid w:val="00B35195"/>
    <w:rsid w:val="00B35691"/>
    <w:rsid w:val="00B35793"/>
    <w:rsid w:val="00B35F39"/>
    <w:rsid w:val="00B35FD2"/>
    <w:rsid w:val="00B3620C"/>
    <w:rsid w:val="00B363F5"/>
    <w:rsid w:val="00B36648"/>
    <w:rsid w:val="00B369D8"/>
    <w:rsid w:val="00B36AA1"/>
    <w:rsid w:val="00B36C1C"/>
    <w:rsid w:val="00B370F9"/>
    <w:rsid w:val="00B374A4"/>
    <w:rsid w:val="00B376F3"/>
    <w:rsid w:val="00B3797E"/>
    <w:rsid w:val="00B401A5"/>
    <w:rsid w:val="00B401E7"/>
    <w:rsid w:val="00B408C8"/>
    <w:rsid w:val="00B40E88"/>
    <w:rsid w:val="00B41A9A"/>
    <w:rsid w:val="00B41E8E"/>
    <w:rsid w:val="00B41F44"/>
    <w:rsid w:val="00B4263B"/>
    <w:rsid w:val="00B4290C"/>
    <w:rsid w:val="00B42B44"/>
    <w:rsid w:val="00B43188"/>
    <w:rsid w:val="00B435F0"/>
    <w:rsid w:val="00B43BCC"/>
    <w:rsid w:val="00B43EAD"/>
    <w:rsid w:val="00B43F6F"/>
    <w:rsid w:val="00B44F53"/>
    <w:rsid w:val="00B459EA"/>
    <w:rsid w:val="00B45D2B"/>
    <w:rsid w:val="00B45F20"/>
    <w:rsid w:val="00B463B3"/>
    <w:rsid w:val="00B468FD"/>
    <w:rsid w:val="00B46BE7"/>
    <w:rsid w:val="00B46FC9"/>
    <w:rsid w:val="00B47265"/>
    <w:rsid w:val="00B473CC"/>
    <w:rsid w:val="00B47BA3"/>
    <w:rsid w:val="00B47BF3"/>
    <w:rsid w:val="00B47E1B"/>
    <w:rsid w:val="00B5000E"/>
    <w:rsid w:val="00B50823"/>
    <w:rsid w:val="00B50B39"/>
    <w:rsid w:val="00B5117F"/>
    <w:rsid w:val="00B51500"/>
    <w:rsid w:val="00B5163E"/>
    <w:rsid w:val="00B51961"/>
    <w:rsid w:val="00B5249B"/>
    <w:rsid w:val="00B52539"/>
    <w:rsid w:val="00B52C14"/>
    <w:rsid w:val="00B52F61"/>
    <w:rsid w:val="00B52FE8"/>
    <w:rsid w:val="00B53074"/>
    <w:rsid w:val="00B53C3B"/>
    <w:rsid w:val="00B54805"/>
    <w:rsid w:val="00B54986"/>
    <w:rsid w:val="00B54D84"/>
    <w:rsid w:val="00B55072"/>
    <w:rsid w:val="00B55093"/>
    <w:rsid w:val="00B552D4"/>
    <w:rsid w:val="00B55F72"/>
    <w:rsid w:val="00B56408"/>
    <w:rsid w:val="00B56784"/>
    <w:rsid w:val="00B57ECD"/>
    <w:rsid w:val="00B60077"/>
    <w:rsid w:val="00B60179"/>
    <w:rsid w:val="00B603C5"/>
    <w:rsid w:val="00B60728"/>
    <w:rsid w:val="00B60A9C"/>
    <w:rsid w:val="00B60F78"/>
    <w:rsid w:val="00B610B3"/>
    <w:rsid w:val="00B61C8D"/>
    <w:rsid w:val="00B61F5C"/>
    <w:rsid w:val="00B624F0"/>
    <w:rsid w:val="00B625DA"/>
    <w:rsid w:val="00B62BF5"/>
    <w:rsid w:val="00B63791"/>
    <w:rsid w:val="00B63977"/>
    <w:rsid w:val="00B63A12"/>
    <w:rsid w:val="00B63A8C"/>
    <w:rsid w:val="00B63C85"/>
    <w:rsid w:val="00B645D0"/>
    <w:rsid w:val="00B64653"/>
    <w:rsid w:val="00B652D4"/>
    <w:rsid w:val="00B65554"/>
    <w:rsid w:val="00B659E9"/>
    <w:rsid w:val="00B65EDD"/>
    <w:rsid w:val="00B65EF2"/>
    <w:rsid w:val="00B662E6"/>
    <w:rsid w:val="00B66786"/>
    <w:rsid w:val="00B6695B"/>
    <w:rsid w:val="00B66D85"/>
    <w:rsid w:val="00B670A1"/>
    <w:rsid w:val="00B672BD"/>
    <w:rsid w:val="00B672DB"/>
    <w:rsid w:val="00B67AC0"/>
    <w:rsid w:val="00B67B41"/>
    <w:rsid w:val="00B67B50"/>
    <w:rsid w:val="00B67FE2"/>
    <w:rsid w:val="00B700F3"/>
    <w:rsid w:val="00B70DD3"/>
    <w:rsid w:val="00B71208"/>
    <w:rsid w:val="00B71256"/>
    <w:rsid w:val="00B7133E"/>
    <w:rsid w:val="00B714A9"/>
    <w:rsid w:val="00B7158A"/>
    <w:rsid w:val="00B71603"/>
    <w:rsid w:val="00B7274F"/>
    <w:rsid w:val="00B731AB"/>
    <w:rsid w:val="00B73287"/>
    <w:rsid w:val="00B7391C"/>
    <w:rsid w:val="00B73B9F"/>
    <w:rsid w:val="00B73D9D"/>
    <w:rsid w:val="00B74027"/>
    <w:rsid w:val="00B744D7"/>
    <w:rsid w:val="00B74CB2"/>
    <w:rsid w:val="00B74DA8"/>
    <w:rsid w:val="00B74E40"/>
    <w:rsid w:val="00B74EE8"/>
    <w:rsid w:val="00B750F3"/>
    <w:rsid w:val="00B755A7"/>
    <w:rsid w:val="00B75743"/>
    <w:rsid w:val="00B7596C"/>
    <w:rsid w:val="00B75B2C"/>
    <w:rsid w:val="00B76010"/>
    <w:rsid w:val="00B760D3"/>
    <w:rsid w:val="00B760E4"/>
    <w:rsid w:val="00B76C7E"/>
    <w:rsid w:val="00B76F5D"/>
    <w:rsid w:val="00B77827"/>
    <w:rsid w:val="00B778EF"/>
    <w:rsid w:val="00B77AC4"/>
    <w:rsid w:val="00B77DE5"/>
    <w:rsid w:val="00B77FF8"/>
    <w:rsid w:val="00B80429"/>
    <w:rsid w:val="00B8045A"/>
    <w:rsid w:val="00B80C26"/>
    <w:rsid w:val="00B80FC4"/>
    <w:rsid w:val="00B81008"/>
    <w:rsid w:val="00B813A9"/>
    <w:rsid w:val="00B816D2"/>
    <w:rsid w:val="00B81FC6"/>
    <w:rsid w:val="00B821DA"/>
    <w:rsid w:val="00B82643"/>
    <w:rsid w:val="00B827F4"/>
    <w:rsid w:val="00B83B60"/>
    <w:rsid w:val="00B83C2B"/>
    <w:rsid w:val="00B83C6E"/>
    <w:rsid w:val="00B83E64"/>
    <w:rsid w:val="00B8407C"/>
    <w:rsid w:val="00B841E5"/>
    <w:rsid w:val="00B8473B"/>
    <w:rsid w:val="00B84820"/>
    <w:rsid w:val="00B84913"/>
    <w:rsid w:val="00B84BCB"/>
    <w:rsid w:val="00B84F2B"/>
    <w:rsid w:val="00B857F9"/>
    <w:rsid w:val="00B85A4A"/>
    <w:rsid w:val="00B85DDE"/>
    <w:rsid w:val="00B86346"/>
    <w:rsid w:val="00B90016"/>
    <w:rsid w:val="00B9116F"/>
    <w:rsid w:val="00B91E7E"/>
    <w:rsid w:val="00B921D2"/>
    <w:rsid w:val="00B9222E"/>
    <w:rsid w:val="00B92292"/>
    <w:rsid w:val="00B92814"/>
    <w:rsid w:val="00B92D7B"/>
    <w:rsid w:val="00B93149"/>
    <w:rsid w:val="00B933DF"/>
    <w:rsid w:val="00B9355F"/>
    <w:rsid w:val="00B93DA4"/>
    <w:rsid w:val="00B9401A"/>
    <w:rsid w:val="00B94062"/>
    <w:rsid w:val="00B947DE"/>
    <w:rsid w:val="00B94A0F"/>
    <w:rsid w:val="00B95164"/>
    <w:rsid w:val="00B952D8"/>
    <w:rsid w:val="00B95312"/>
    <w:rsid w:val="00B95849"/>
    <w:rsid w:val="00B95EBB"/>
    <w:rsid w:val="00B965E6"/>
    <w:rsid w:val="00B96B12"/>
    <w:rsid w:val="00B9711C"/>
    <w:rsid w:val="00B97707"/>
    <w:rsid w:val="00B9793D"/>
    <w:rsid w:val="00BA0718"/>
    <w:rsid w:val="00BA0E45"/>
    <w:rsid w:val="00BA1606"/>
    <w:rsid w:val="00BA2C47"/>
    <w:rsid w:val="00BA2DA1"/>
    <w:rsid w:val="00BA32AC"/>
    <w:rsid w:val="00BA36E3"/>
    <w:rsid w:val="00BA3ABA"/>
    <w:rsid w:val="00BA4124"/>
    <w:rsid w:val="00BA4164"/>
    <w:rsid w:val="00BA4211"/>
    <w:rsid w:val="00BA4353"/>
    <w:rsid w:val="00BA4DB8"/>
    <w:rsid w:val="00BA56CA"/>
    <w:rsid w:val="00BA5C36"/>
    <w:rsid w:val="00BA5CFA"/>
    <w:rsid w:val="00BA607D"/>
    <w:rsid w:val="00BA63E7"/>
    <w:rsid w:val="00BA6840"/>
    <w:rsid w:val="00BA6BFC"/>
    <w:rsid w:val="00BA6EBE"/>
    <w:rsid w:val="00BA70EE"/>
    <w:rsid w:val="00BA738D"/>
    <w:rsid w:val="00BA7B03"/>
    <w:rsid w:val="00BA7DB0"/>
    <w:rsid w:val="00BB0236"/>
    <w:rsid w:val="00BB0D3D"/>
    <w:rsid w:val="00BB0D91"/>
    <w:rsid w:val="00BB1072"/>
    <w:rsid w:val="00BB1206"/>
    <w:rsid w:val="00BB135C"/>
    <w:rsid w:val="00BB1BAB"/>
    <w:rsid w:val="00BB1F09"/>
    <w:rsid w:val="00BB27AE"/>
    <w:rsid w:val="00BB2A3B"/>
    <w:rsid w:val="00BB2A46"/>
    <w:rsid w:val="00BB2E34"/>
    <w:rsid w:val="00BB3230"/>
    <w:rsid w:val="00BB3432"/>
    <w:rsid w:val="00BB35BE"/>
    <w:rsid w:val="00BB3819"/>
    <w:rsid w:val="00BB39EF"/>
    <w:rsid w:val="00BB3A69"/>
    <w:rsid w:val="00BB3C22"/>
    <w:rsid w:val="00BB3D98"/>
    <w:rsid w:val="00BB3E10"/>
    <w:rsid w:val="00BB4632"/>
    <w:rsid w:val="00BB50D9"/>
    <w:rsid w:val="00BB5133"/>
    <w:rsid w:val="00BB5279"/>
    <w:rsid w:val="00BB53A9"/>
    <w:rsid w:val="00BB59EE"/>
    <w:rsid w:val="00BB5A5A"/>
    <w:rsid w:val="00BB5CCC"/>
    <w:rsid w:val="00BB632B"/>
    <w:rsid w:val="00BB6811"/>
    <w:rsid w:val="00BB6AE6"/>
    <w:rsid w:val="00BB6C12"/>
    <w:rsid w:val="00BB6CE7"/>
    <w:rsid w:val="00BB6D33"/>
    <w:rsid w:val="00BB731B"/>
    <w:rsid w:val="00BC060A"/>
    <w:rsid w:val="00BC066A"/>
    <w:rsid w:val="00BC1069"/>
    <w:rsid w:val="00BC1485"/>
    <w:rsid w:val="00BC1499"/>
    <w:rsid w:val="00BC19FD"/>
    <w:rsid w:val="00BC1E05"/>
    <w:rsid w:val="00BC202F"/>
    <w:rsid w:val="00BC2384"/>
    <w:rsid w:val="00BC2505"/>
    <w:rsid w:val="00BC2626"/>
    <w:rsid w:val="00BC2F65"/>
    <w:rsid w:val="00BC30FE"/>
    <w:rsid w:val="00BC3395"/>
    <w:rsid w:val="00BC35F6"/>
    <w:rsid w:val="00BC3751"/>
    <w:rsid w:val="00BC3B09"/>
    <w:rsid w:val="00BC3BE8"/>
    <w:rsid w:val="00BC3C22"/>
    <w:rsid w:val="00BC403E"/>
    <w:rsid w:val="00BC4114"/>
    <w:rsid w:val="00BC4256"/>
    <w:rsid w:val="00BC47A0"/>
    <w:rsid w:val="00BC48A1"/>
    <w:rsid w:val="00BC4A24"/>
    <w:rsid w:val="00BC4E04"/>
    <w:rsid w:val="00BC5177"/>
    <w:rsid w:val="00BC53CC"/>
    <w:rsid w:val="00BC5645"/>
    <w:rsid w:val="00BC56C2"/>
    <w:rsid w:val="00BC5AB9"/>
    <w:rsid w:val="00BC60BF"/>
    <w:rsid w:val="00BC6259"/>
    <w:rsid w:val="00BC654A"/>
    <w:rsid w:val="00BC682C"/>
    <w:rsid w:val="00BC6ACC"/>
    <w:rsid w:val="00BC6D6C"/>
    <w:rsid w:val="00BC6F9B"/>
    <w:rsid w:val="00BC7030"/>
    <w:rsid w:val="00BC7039"/>
    <w:rsid w:val="00BC737E"/>
    <w:rsid w:val="00BC76CD"/>
    <w:rsid w:val="00BC7DDA"/>
    <w:rsid w:val="00BC7FD4"/>
    <w:rsid w:val="00BD0070"/>
    <w:rsid w:val="00BD0807"/>
    <w:rsid w:val="00BD1051"/>
    <w:rsid w:val="00BD146B"/>
    <w:rsid w:val="00BD1515"/>
    <w:rsid w:val="00BD1688"/>
    <w:rsid w:val="00BD1F0C"/>
    <w:rsid w:val="00BD1F7E"/>
    <w:rsid w:val="00BD2E3F"/>
    <w:rsid w:val="00BD3019"/>
    <w:rsid w:val="00BD3070"/>
    <w:rsid w:val="00BD353B"/>
    <w:rsid w:val="00BD3597"/>
    <w:rsid w:val="00BD3ABF"/>
    <w:rsid w:val="00BD3B16"/>
    <w:rsid w:val="00BD3E84"/>
    <w:rsid w:val="00BD3FAD"/>
    <w:rsid w:val="00BD451B"/>
    <w:rsid w:val="00BD49DF"/>
    <w:rsid w:val="00BD4CFA"/>
    <w:rsid w:val="00BD4FF4"/>
    <w:rsid w:val="00BD50B6"/>
    <w:rsid w:val="00BD50DF"/>
    <w:rsid w:val="00BD53A6"/>
    <w:rsid w:val="00BD63F9"/>
    <w:rsid w:val="00BD6680"/>
    <w:rsid w:val="00BD6BE4"/>
    <w:rsid w:val="00BD732B"/>
    <w:rsid w:val="00BD79B7"/>
    <w:rsid w:val="00BD7DF7"/>
    <w:rsid w:val="00BE0087"/>
    <w:rsid w:val="00BE016A"/>
    <w:rsid w:val="00BE0298"/>
    <w:rsid w:val="00BE037C"/>
    <w:rsid w:val="00BE04D1"/>
    <w:rsid w:val="00BE07AC"/>
    <w:rsid w:val="00BE1533"/>
    <w:rsid w:val="00BE1860"/>
    <w:rsid w:val="00BE1D23"/>
    <w:rsid w:val="00BE1E7C"/>
    <w:rsid w:val="00BE222F"/>
    <w:rsid w:val="00BE269D"/>
    <w:rsid w:val="00BE35E9"/>
    <w:rsid w:val="00BE3F83"/>
    <w:rsid w:val="00BE3FC2"/>
    <w:rsid w:val="00BE4196"/>
    <w:rsid w:val="00BE41BD"/>
    <w:rsid w:val="00BE47DF"/>
    <w:rsid w:val="00BE4E2C"/>
    <w:rsid w:val="00BE4F69"/>
    <w:rsid w:val="00BE525D"/>
    <w:rsid w:val="00BE57DA"/>
    <w:rsid w:val="00BE5859"/>
    <w:rsid w:val="00BE59BB"/>
    <w:rsid w:val="00BE5B74"/>
    <w:rsid w:val="00BE5DE4"/>
    <w:rsid w:val="00BE5FB3"/>
    <w:rsid w:val="00BE5FD9"/>
    <w:rsid w:val="00BE60E7"/>
    <w:rsid w:val="00BE6436"/>
    <w:rsid w:val="00BE6A85"/>
    <w:rsid w:val="00BE6B1A"/>
    <w:rsid w:val="00BE6B73"/>
    <w:rsid w:val="00BE6C8A"/>
    <w:rsid w:val="00BE7216"/>
    <w:rsid w:val="00BE72ED"/>
    <w:rsid w:val="00BE7865"/>
    <w:rsid w:val="00BE7ABA"/>
    <w:rsid w:val="00BE7E10"/>
    <w:rsid w:val="00BF0007"/>
    <w:rsid w:val="00BF0139"/>
    <w:rsid w:val="00BF085B"/>
    <w:rsid w:val="00BF0CBC"/>
    <w:rsid w:val="00BF0F31"/>
    <w:rsid w:val="00BF118C"/>
    <w:rsid w:val="00BF1453"/>
    <w:rsid w:val="00BF1E1B"/>
    <w:rsid w:val="00BF1E52"/>
    <w:rsid w:val="00BF30D4"/>
    <w:rsid w:val="00BF3120"/>
    <w:rsid w:val="00BF33B0"/>
    <w:rsid w:val="00BF3CD0"/>
    <w:rsid w:val="00BF3F2B"/>
    <w:rsid w:val="00BF41D9"/>
    <w:rsid w:val="00BF480D"/>
    <w:rsid w:val="00BF49BB"/>
    <w:rsid w:val="00BF4C93"/>
    <w:rsid w:val="00BF4CE0"/>
    <w:rsid w:val="00BF4D2C"/>
    <w:rsid w:val="00BF4D55"/>
    <w:rsid w:val="00BF52F9"/>
    <w:rsid w:val="00BF550E"/>
    <w:rsid w:val="00BF58DA"/>
    <w:rsid w:val="00BF5C3D"/>
    <w:rsid w:val="00BF5FA9"/>
    <w:rsid w:val="00BF60A0"/>
    <w:rsid w:val="00BF6842"/>
    <w:rsid w:val="00BF6D94"/>
    <w:rsid w:val="00BF6FE0"/>
    <w:rsid w:val="00BF76D8"/>
    <w:rsid w:val="00BF7774"/>
    <w:rsid w:val="00BF7841"/>
    <w:rsid w:val="00BF7934"/>
    <w:rsid w:val="00C00022"/>
    <w:rsid w:val="00C004F6"/>
    <w:rsid w:val="00C00631"/>
    <w:rsid w:val="00C00B7C"/>
    <w:rsid w:val="00C00DAC"/>
    <w:rsid w:val="00C01D74"/>
    <w:rsid w:val="00C02132"/>
    <w:rsid w:val="00C0260C"/>
    <w:rsid w:val="00C0289D"/>
    <w:rsid w:val="00C02D15"/>
    <w:rsid w:val="00C03D86"/>
    <w:rsid w:val="00C03FE9"/>
    <w:rsid w:val="00C05607"/>
    <w:rsid w:val="00C05ABB"/>
    <w:rsid w:val="00C05D3D"/>
    <w:rsid w:val="00C05FD7"/>
    <w:rsid w:val="00C0691B"/>
    <w:rsid w:val="00C0716B"/>
    <w:rsid w:val="00C071EB"/>
    <w:rsid w:val="00C07BA5"/>
    <w:rsid w:val="00C07BE2"/>
    <w:rsid w:val="00C07C2A"/>
    <w:rsid w:val="00C07EF2"/>
    <w:rsid w:val="00C100EF"/>
    <w:rsid w:val="00C10137"/>
    <w:rsid w:val="00C10285"/>
    <w:rsid w:val="00C10A13"/>
    <w:rsid w:val="00C10F59"/>
    <w:rsid w:val="00C10FA8"/>
    <w:rsid w:val="00C111A1"/>
    <w:rsid w:val="00C114F1"/>
    <w:rsid w:val="00C119E6"/>
    <w:rsid w:val="00C11F17"/>
    <w:rsid w:val="00C125D4"/>
    <w:rsid w:val="00C12735"/>
    <w:rsid w:val="00C128E4"/>
    <w:rsid w:val="00C12ACD"/>
    <w:rsid w:val="00C12C75"/>
    <w:rsid w:val="00C133FD"/>
    <w:rsid w:val="00C136A1"/>
    <w:rsid w:val="00C13AFA"/>
    <w:rsid w:val="00C13E71"/>
    <w:rsid w:val="00C1434D"/>
    <w:rsid w:val="00C14421"/>
    <w:rsid w:val="00C14999"/>
    <w:rsid w:val="00C15B10"/>
    <w:rsid w:val="00C15D37"/>
    <w:rsid w:val="00C15D9E"/>
    <w:rsid w:val="00C160E5"/>
    <w:rsid w:val="00C169E8"/>
    <w:rsid w:val="00C16A5C"/>
    <w:rsid w:val="00C1731D"/>
    <w:rsid w:val="00C177A0"/>
    <w:rsid w:val="00C177B0"/>
    <w:rsid w:val="00C179E1"/>
    <w:rsid w:val="00C203E6"/>
    <w:rsid w:val="00C205C0"/>
    <w:rsid w:val="00C20659"/>
    <w:rsid w:val="00C209B1"/>
    <w:rsid w:val="00C209EE"/>
    <w:rsid w:val="00C20F10"/>
    <w:rsid w:val="00C212EA"/>
    <w:rsid w:val="00C21611"/>
    <w:rsid w:val="00C21A0C"/>
    <w:rsid w:val="00C21C31"/>
    <w:rsid w:val="00C220A8"/>
    <w:rsid w:val="00C22804"/>
    <w:rsid w:val="00C22ED8"/>
    <w:rsid w:val="00C2311A"/>
    <w:rsid w:val="00C23D80"/>
    <w:rsid w:val="00C23FF6"/>
    <w:rsid w:val="00C24283"/>
    <w:rsid w:val="00C246AB"/>
    <w:rsid w:val="00C25074"/>
    <w:rsid w:val="00C25781"/>
    <w:rsid w:val="00C257CD"/>
    <w:rsid w:val="00C25CFC"/>
    <w:rsid w:val="00C25D52"/>
    <w:rsid w:val="00C25E06"/>
    <w:rsid w:val="00C26249"/>
    <w:rsid w:val="00C2649E"/>
    <w:rsid w:val="00C26805"/>
    <w:rsid w:val="00C26AF4"/>
    <w:rsid w:val="00C26BAB"/>
    <w:rsid w:val="00C26BC7"/>
    <w:rsid w:val="00C26EDB"/>
    <w:rsid w:val="00C271EB"/>
    <w:rsid w:val="00C27224"/>
    <w:rsid w:val="00C27231"/>
    <w:rsid w:val="00C27392"/>
    <w:rsid w:val="00C27427"/>
    <w:rsid w:val="00C27544"/>
    <w:rsid w:val="00C278C1"/>
    <w:rsid w:val="00C27CE7"/>
    <w:rsid w:val="00C27EFC"/>
    <w:rsid w:val="00C306DD"/>
    <w:rsid w:val="00C30916"/>
    <w:rsid w:val="00C310F4"/>
    <w:rsid w:val="00C311BF"/>
    <w:rsid w:val="00C316A8"/>
    <w:rsid w:val="00C319E9"/>
    <w:rsid w:val="00C31C7C"/>
    <w:rsid w:val="00C32529"/>
    <w:rsid w:val="00C3273E"/>
    <w:rsid w:val="00C32A23"/>
    <w:rsid w:val="00C33E17"/>
    <w:rsid w:val="00C346E9"/>
    <w:rsid w:val="00C34F49"/>
    <w:rsid w:val="00C35C39"/>
    <w:rsid w:val="00C36281"/>
    <w:rsid w:val="00C36FE5"/>
    <w:rsid w:val="00C3714E"/>
    <w:rsid w:val="00C3750D"/>
    <w:rsid w:val="00C375AC"/>
    <w:rsid w:val="00C3764B"/>
    <w:rsid w:val="00C3785C"/>
    <w:rsid w:val="00C37B2A"/>
    <w:rsid w:val="00C37CB2"/>
    <w:rsid w:val="00C37FC6"/>
    <w:rsid w:val="00C402C9"/>
    <w:rsid w:val="00C40BCC"/>
    <w:rsid w:val="00C416C9"/>
    <w:rsid w:val="00C4170C"/>
    <w:rsid w:val="00C41FA8"/>
    <w:rsid w:val="00C42684"/>
    <w:rsid w:val="00C42B6D"/>
    <w:rsid w:val="00C42CCF"/>
    <w:rsid w:val="00C4312C"/>
    <w:rsid w:val="00C431BE"/>
    <w:rsid w:val="00C43648"/>
    <w:rsid w:val="00C43680"/>
    <w:rsid w:val="00C4383B"/>
    <w:rsid w:val="00C438DA"/>
    <w:rsid w:val="00C43965"/>
    <w:rsid w:val="00C44264"/>
    <w:rsid w:val="00C443D9"/>
    <w:rsid w:val="00C44A6A"/>
    <w:rsid w:val="00C44C8B"/>
    <w:rsid w:val="00C44CD5"/>
    <w:rsid w:val="00C452A8"/>
    <w:rsid w:val="00C45326"/>
    <w:rsid w:val="00C45499"/>
    <w:rsid w:val="00C45597"/>
    <w:rsid w:val="00C4573E"/>
    <w:rsid w:val="00C45B9C"/>
    <w:rsid w:val="00C46348"/>
    <w:rsid w:val="00C465DE"/>
    <w:rsid w:val="00C468CA"/>
    <w:rsid w:val="00C46BE1"/>
    <w:rsid w:val="00C46D60"/>
    <w:rsid w:val="00C46EC5"/>
    <w:rsid w:val="00C475D5"/>
    <w:rsid w:val="00C476E8"/>
    <w:rsid w:val="00C47A77"/>
    <w:rsid w:val="00C47FF8"/>
    <w:rsid w:val="00C500AE"/>
    <w:rsid w:val="00C502AF"/>
    <w:rsid w:val="00C506AB"/>
    <w:rsid w:val="00C50D56"/>
    <w:rsid w:val="00C50D61"/>
    <w:rsid w:val="00C50D66"/>
    <w:rsid w:val="00C5137A"/>
    <w:rsid w:val="00C51562"/>
    <w:rsid w:val="00C5195A"/>
    <w:rsid w:val="00C51DCA"/>
    <w:rsid w:val="00C52234"/>
    <w:rsid w:val="00C527FE"/>
    <w:rsid w:val="00C52841"/>
    <w:rsid w:val="00C52B84"/>
    <w:rsid w:val="00C52BD8"/>
    <w:rsid w:val="00C52C2F"/>
    <w:rsid w:val="00C52D4E"/>
    <w:rsid w:val="00C53AD6"/>
    <w:rsid w:val="00C54680"/>
    <w:rsid w:val="00C549E4"/>
    <w:rsid w:val="00C54A29"/>
    <w:rsid w:val="00C55390"/>
    <w:rsid w:val="00C5559C"/>
    <w:rsid w:val="00C55AE5"/>
    <w:rsid w:val="00C55B4D"/>
    <w:rsid w:val="00C5610C"/>
    <w:rsid w:val="00C5638F"/>
    <w:rsid w:val="00C56B98"/>
    <w:rsid w:val="00C56BF3"/>
    <w:rsid w:val="00C56C6D"/>
    <w:rsid w:val="00C56ED8"/>
    <w:rsid w:val="00C56FF8"/>
    <w:rsid w:val="00C5719A"/>
    <w:rsid w:val="00C572DE"/>
    <w:rsid w:val="00C57301"/>
    <w:rsid w:val="00C57543"/>
    <w:rsid w:val="00C57595"/>
    <w:rsid w:val="00C577AE"/>
    <w:rsid w:val="00C57C71"/>
    <w:rsid w:val="00C602D7"/>
    <w:rsid w:val="00C6060B"/>
    <w:rsid w:val="00C6077B"/>
    <w:rsid w:val="00C60BF7"/>
    <w:rsid w:val="00C60E3D"/>
    <w:rsid w:val="00C61139"/>
    <w:rsid w:val="00C61875"/>
    <w:rsid w:val="00C61BB4"/>
    <w:rsid w:val="00C61D8C"/>
    <w:rsid w:val="00C61DEE"/>
    <w:rsid w:val="00C61E25"/>
    <w:rsid w:val="00C62060"/>
    <w:rsid w:val="00C620C3"/>
    <w:rsid w:val="00C6251E"/>
    <w:rsid w:val="00C62541"/>
    <w:rsid w:val="00C62A4E"/>
    <w:rsid w:val="00C62C09"/>
    <w:rsid w:val="00C62C40"/>
    <w:rsid w:val="00C62DBB"/>
    <w:rsid w:val="00C62E4C"/>
    <w:rsid w:val="00C64627"/>
    <w:rsid w:val="00C64860"/>
    <w:rsid w:val="00C64A75"/>
    <w:rsid w:val="00C64DAE"/>
    <w:rsid w:val="00C65021"/>
    <w:rsid w:val="00C65406"/>
    <w:rsid w:val="00C65D02"/>
    <w:rsid w:val="00C65D70"/>
    <w:rsid w:val="00C65E83"/>
    <w:rsid w:val="00C661FB"/>
    <w:rsid w:val="00C667F2"/>
    <w:rsid w:val="00C668DD"/>
    <w:rsid w:val="00C669E3"/>
    <w:rsid w:val="00C66A23"/>
    <w:rsid w:val="00C66D28"/>
    <w:rsid w:val="00C67C1D"/>
    <w:rsid w:val="00C67CAA"/>
    <w:rsid w:val="00C67D9C"/>
    <w:rsid w:val="00C67E7D"/>
    <w:rsid w:val="00C702DF"/>
    <w:rsid w:val="00C702F0"/>
    <w:rsid w:val="00C707E2"/>
    <w:rsid w:val="00C70DB2"/>
    <w:rsid w:val="00C71033"/>
    <w:rsid w:val="00C71155"/>
    <w:rsid w:val="00C7157C"/>
    <w:rsid w:val="00C715CA"/>
    <w:rsid w:val="00C72116"/>
    <w:rsid w:val="00C721DF"/>
    <w:rsid w:val="00C72BA2"/>
    <w:rsid w:val="00C7342C"/>
    <w:rsid w:val="00C7362D"/>
    <w:rsid w:val="00C73FA8"/>
    <w:rsid w:val="00C744C5"/>
    <w:rsid w:val="00C74983"/>
    <w:rsid w:val="00C74BB1"/>
    <w:rsid w:val="00C75B49"/>
    <w:rsid w:val="00C75B8D"/>
    <w:rsid w:val="00C761DA"/>
    <w:rsid w:val="00C764AD"/>
    <w:rsid w:val="00C77107"/>
    <w:rsid w:val="00C772DB"/>
    <w:rsid w:val="00C774E2"/>
    <w:rsid w:val="00C778A9"/>
    <w:rsid w:val="00C77A11"/>
    <w:rsid w:val="00C77BCA"/>
    <w:rsid w:val="00C77CF5"/>
    <w:rsid w:val="00C77CFB"/>
    <w:rsid w:val="00C80292"/>
    <w:rsid w:val="00C802E8"/>
    <w:rsid w:val="00C80473"/>
    <w:rsid w:val="00C80732"/>
    <w:rsid w:val="00C8124C"/>
    <w:rsid w:val="00C81502"/>
    <w:rsid w:val="00C815D5"/>
    <w:rsid w:val="00C8168C"/>
    <w:rsid w:val="00C81C53"/>
    <w:rsid w:val="00C81D6D"/>
    <w:rsid w:val="00C827DD"/>
    <w:rsid w:val="00C828C2"/>
    <w:rsid w:val="00C82B39"/>
    <w:rsid w:val="00C82C41"/>
    <w:rsid w:val="00C82D79"/>
    <w:rsid w:val="00C82E49"/>
    <w:rsid w:val="00C831DE"/>
    <w:rsid w:val="00C831E5"/>
    <w:rsid w:val="00C83447"/>
    <w:rsid w:val="00C840EF"/>
    <w:rsid w:val="00C847FD"/>
    <w:rsid w:val="00C849A5"/>
    <w:rsid w:val="00C84D19"/>
    <w:rsid w:val="00C8514F"/>
    <w:rsid w:val="00C8519E"/>
    <w:rsid w:val="00C8579E"/>
    <w:rsid w:val="00C85A00"/>
    <w:rsid w:val="00C85ACB"/>
    <w:rsid w:val="00C863EA"/>
    <w:rsid w:val="00C86410"/>
    <w:rsid w:val="00C86849"/>
    <w:rsid w:val="00C871EF"/>
    <w:rsid w:val="00C872DD"/>
    <w:rsid w:val="00C87698"/>
    <w:rsid w:val="00C87816"/>
    <w:rsid w:val="00C8793A"/>
    <w:rsid w:val="00C87CE1"/>
    <w:rsid w:val="00C87D0D"/>
    <w:rsid w:val="00C901D0"/>
    <w:rsid w:val="00C905D9"/>
    <w:rsid w:val="00C90603"/>
    <w:rsid w:val="00C90746"/>
    <w:rsid w:val="00C90B27"/>
    <w:rsid w:val="00C90DB6"/>
    <w:rsid w:val="00C90ED9"/>
    <w:rsid w:val="00C9155B"/>
    <w:rsid w:val="00C91B16"/>
    <w:rsid w:val="00C91C54"/>
    <w:rsid w:val="00C91C8F"/>
    <w:rsid w:val="00C92717"/>
    <w:rsid w:val="00C929FC"/>
    <w:rsid w:val="00C92A35"/>
    <w:rsid w:val="00C92BB7"/>
    <w:rsid w:val="00C92E33"/>
    <w:rsid w:val="00C931D1"/>
    <w:rsid w:val="00C932CC"/>
    <w:rsid w:val="00C93491"/>
    <w:rsid w:val="00C937DB"/>
    <w:rsid w:val="00C93929"/>
    <w:rsid w:val="00C93DE9"/>
    <w:rsid w:val="00C93E0C"/>
    <w:rsid w:val="00C93F66"/>
    <w:rsid w:val="00C94635"/>
    <w:rsid w:val="00C94ACA"/>
    <w:rsid w:val="00C94BD9"/>
    <w:rsid w:val="00C94EA4"/>
    <w:rsid w:val="00C9578D"/>
    <w:rsid w:val="00C95810"/>
    <w:rsid w:val="00C95A79"/>
    <w:rsid w:val="00C95ACB"/>
    <w:rsid w:val="00C95BA4"/>
    <w:rsid w:val="00C95F30"/>
    <w:rsid w:val="00C95FB2"/>
    <w:rsid w:val="00C967EC"/>
    <w:rsid w:val="00C9684C"/>
    <w:rsid w:val="00C96D43"/>
    <w:rsid w:val="00C9728B"/>
    <w:rsid w:val="00C97438"/>
    <w:rsid w:val="00C97644"/>
    <w:rsid w:val="00C97658"/>
    <w:rsid w:val="00C978D2"/>
    <w:rsid w:val="00C97A1C"/>
    <w:rsid w:val="00C97E60"/>
    <w:rsid w:val="00C97F9D"/>
    <w:rsid w:val="00CA000C"/>
    <w:rsid w:val="00CA0080"/>
    <w:rsid w:val="00CA0936"/>
    <w:rsid w:val="00CA0C94"/>
    <w:rsid w:val="00CA0DFE"/>
    <w:rsid w:val="00CA13FE"/>
    <w:rsid w:val="00CA1755"/>
    <w:rsid w:val="00CA1AB5"/>
    <w:rsid w:val="00CA1D77"/>
    <w:rsid w:val="00CA206D"/>
    <w:rsid w:val="00CA25F3"/>
    <w:rsid w:val="00CA269B"/>
    <w:rsid w:val="00CA34B7"/>
    <w:rsid w:val="00CA3760"/>
    <w:rsid w:val="00CA3778"/>
    <w:rsid w:val="00CA3DAB"/>
    <w:rsid w:val="00CA3F1D"/>
    <w:rsid w:val="00CA430E"/>
    <w:rsid w:val="00CA4340"/>
    <w:rsid w:val="00CA4471"/>
    <w:rsid w:val="00CA45BD"/>
    <w:rsid w:val="00CA4DB4"/>
    <w:rsid w:val="00CA4DF4"/>
    <w:rsid w:val="00CA5211"/>
    <w:rsid w:val="00CA56B5"/>
    <w:rsid w:val="00CA5838"/>
    <w:rsid w:val="00CA5A24"/>
    <w:rsid w:val="00CA5BE6"/>
    <w:rsid w:val="00CA5E68"/>
    <w:rsid w:val="00CA674B"/>
    <w:rsid w:val="00CA692C"/>
    <w:rsid w:val="00CA6A52"/>
    <w:rsid w:val="00CA6A7A"/>
    <w:rsid w:val="00CA6AC7"/>
    <w:rsid w:val="00CA6B88"/>
    <w:rsid w:val="00CA6C50"/>
    <w:rsid w:val="00CA6CF0"/>
    <w:rsid w:val="00CA7360"/>
    <w:rsid w:val="00CB01DC"/>
    <w:rsid w:val="00CB0942"/>
    <w:rsid w:val="00CB0EB7"/>
    <w:rsid w:val="00CB128D"/>
    <w:rsid w:val="00CB15A5"/>
    <w:rsid w:val="00CB191B"/>
    <w:rsid w:val="00CB195C"/>
    <w:rsid w:val="00CB1A0A"/>
    <w:rsid w:val="00CB1B43"/>
    <w:rsid w:val="00CB1E39"/>
    <w:rsid w:val="00CB27B5"/>
    <w:rsid w:val="00CB30FE"/>
    <w:rsid w:val="00CB32F4"/>
    <w:rsid w:val="00CB3406"/>
    <w:rsid w:val="00CB345E"/>
    <w:rsid w:val="00CB3606"/>
    <w:rsid w:val="00CB38F9"/>
    <w:rsid w:val="00CB39B8"/>
    <w:rsid w:val="00CB39C0"/>
    <w:rsid w:val="00CB4055"/>
    <w:rsid w:val="00CB449E"/>
    <w:rsid w:val="00CB4B2E"/>
    <w:rsid w:val="00CB4C32"/>
    <w:rsid w:val="00CB4DBB"/>
    <w:rsid w:val="00CB4F0B"/>
    <w:rsid w:val="00CB4FD6"/>
    <w:rsid w:val="00CB5085"/>
    <w:rsid w:val="00CB51A6"/>
    <w:rsid w:val="00CB52F6"/>
    <w:rsid w:val="00CB53F3"/>
    <w:rsid w:val="00CB5EB0"/>
    <w:rsid w:val="00CB6051"/>
    <w:rsid w:val="00CB6288"/>
    <w:rsid w:val="00CB63FC"/>
    <w:rsid w:val="00CB641F"/>
    <w:rsid w:val="00CB6426"/>
    <w:rsid w:val="00CB66B9"/>
    <w:rsid w:val="00CB6ADD"/>
    <w:rsid w:val="00CB6D10"/>
    <w:rsid w:val="00CB6F07"/>
    <w:rsid w:val="00CB6FDB"/>
    <w:rsid w:val="00CB7206"/>
    <w:rsid w:val="00CB77E7"/>
    <w:rsid w:val="00CB7A65"/>
    <w:rsid w:val="00CB7B93"/>
    <w:rsid w:val="00CB7F67"/>
    <w:rsid w:val="00CC0A71"/>
    <w:rsid w:val="00CC0B66"/>
    <w:rsid w:val="00CC116D"/>
    <w:rsid w:val="00CC12D8"/>
    <w:rsid w:val="00CC12E9"/>
    <w:rsid w:val="00CC176B"/>
    <w:rsid w:val="00CC1B68"/>
    <w:rsid w:val="00CC281F"/>
    <w:rsid w:val="00CC2E25"/>
    <w:rsid w:val="00CC345C"/>
    <w:rsid w:val="00CC3759"/>
    <w:rsid w:val="00CC3A51"/>
    <w:rsid w:val="00CC3DE9"/>
    <w:rsid w:val="00CC3FC0"/>
    <w:rsid w:val="00CC43E6"/>
    <w:rsid w:val="00CC45CF"/>
    <w:rsid w:val="00CC4760"/>
    <w:rsid w:val="00CC47E8"/>
    <w:rsid w:val="00CC49F7"/>
    <w:rsid w:val="00CC4B48"/>
    <w:rsid w:val="00CC5374"/>
    <w:rsid w:val="00CC55C3"/>
    <w:rsid w:val="00CC5F18"/>
    <w:rsid w:val="00CC61A4"/>
    <w:rsid w:val="00CC6541"/>
    <w:rsid w:val="00CC6BA9"/>
    <w:rsid w:val="00CC6C30"/>
    <w:rsid w:val="00CC77BB"/>
    <w:rsid w:val="00CC7D7D"/>
    <w:rsid w:val="00CC7FEC"/>
    <w:rsid w:val="00CD10D3"/>
    <w:rsid w:val="00CD10F2"/>
    <w:rsid w:val="00CD1265"/>
    <w:rsid w:val="00CD16F3"/>
    <w:rsid w:val="00CD17D0"/>
    <w:rsid w:val="00CD183E"/>
    <w:rsid w:val="00CD18B0"/>
    <w:rsid w:val="00CD1925"/>
    <w:rsid w:val="00CD1CC4"/>
    <w:rsid w:val="00CD1EF7"/>
    <w:rsid w:val="00CD23E3"/>
    <w:rsid w:val="00CD2922"/>
    <w:rsid w:val="00CD2A4D"/>
    <w:rsid w:val="00CD2C6B"/>
    <w:rsid w:val="00CD39A4"/>
    <w:rsid w:val="00CD4787"/>
    <w:rsid w:val="00CD4CB1"/>
    <w:rsid w:val="00CD4F6F"/>
    <w:rsid w:val="00CD5042"/>
    <w:rsid w:val="00CD5987"/>
    <w:rsid w:val="00CD5CAE"/>
    <w:rsid w:val="00CD61B0"/>
    <w:rsid w:val="00CD636F"/>
    <w:rsid w:val="00CD66D8"/>
    <w:rsid w:val="00CD6F5B"/>
    <w:rsid w:val="00CD7212"/>
    <w:rsid w:val="00CD749A"/>
    <w:rsid w:val="00CD75ED"/>
    <w:rsid w:val="00CD7717"/>
    <w:rsid w:val="00CD78B3"/>
    <w:rsid w:val="00CD7A41"/>
    <w:rsid w:val="00CD7C2D"/>
    <w:rsid w:val="00CD7E42"/>
    <w:rsid w:val="00CE0273"/>
    <w:rsid w:val="00CE02E4"/>
    <w:rsid w:val="00CE0635"/>
    <w:rsid w:val="00CE079D"/>
    <w:rsid w:val="00CE07DE"/>
    <w:rsid w:val="00CE0841"/>
    <w:rsid w:val="00CE0AE2"/>
    <w:rsid w:val="00CE1609"/>
    <w:rsid w:val="00CE1DB8"/>
    <w:rsid w:val="00CE1EB6"/>
    <w:rsid w:val="00CE1FDA"/>
    <w:rsid w:val="00CE201B"/>
    <w:rsid w:val="00CE23DC"/>
    <w:rsid w:val="00CE28F0"/>
    <w:rsid w:val="00CE2B3D"/>
    <w:rsid w:val="00CE2E2D"/>
    <w:rsid w:val="00CE2E6A"/>
    <w:rsid w:val="00CE35E8"/>
    <w:rsid w:val="00CE38BB"/>
    <w:rsid w:val="00CE4B34"/>
    <w:rsid w:val="00CE4E88"/>
    <w:rsid w:val="00CE4EF5"/>
    <w:rsid w:val="00CE503E"/>
    <w:rsid w:val="00CE5132"/>
    <w:rsid w:val="00CE529D"/>
    <w:rsid w:val="00CE6225"/>
    <w:rsid w:val="00CE6246"/>
    <w:rsid w:val="00CE65E8"/>
    <w:rsid w:val="00CE6B5B"/>
    <w:rsid w:val="00CE6F30"/>
    <w:rsid w:val="00CE7174"/>
    <w:rsid w:val="00CE7C23"/>
    <w:rsid w:val="00CE7EC8"/>
    <w:rsid w:val="00CF0194"/>
    <w:rsid w:val="00CF04BB"/>
    <w:rsid w:val="00CF106F"/>
    <w:rsid w:val="00CF1109"/>
    <w:rsid w:val="00CF18FE"/>
    <w:rsid w:val="00CF1C02"/>
    <w:rsid w:val="00CF1CEC"/>
    <w:rsid w:val="00CF1D95"/>
    <w:rsid w:val="00CF1F39"/>
    <w:rsid w:val="00CF2BE8"/>
    <w:rsid w:val="00CF2CD1"/>
    <w:rsid w:val="00CF2D50"/>
    <w:rsid w:val="00CF32D9"/>
    <w:rsid w:val="00CF3E12"/>
    <w:rsid w:val="00CF4C6A"/>
    <w:rsid w:val="00CF4D27"/>
    <w:rsid w:val="00CF59A3"/>
    <w:rsid w:val="00CF5C81"/>
    <w:rsid w:val="00CF74BC"/>
    <w:rsid w:val="00CF7A7B"/>
    <w:rsid w:val="00CF7E21"/>
    <w:rsid w:val="00D0007F"/>
    <w:rsid w:val="00D001BD"/>
    <w:rsid w:val="00D00B70"/>
    <w:rsid w:val="00D00C16"/>
    <w:rsid w:val="00D00C88"/>
    <w:rsid w:val="00D012F0"/>
    <w:rsid w:val="00D01AD9"/>
    <w:rsid w:val="00D01F06"/>
    <w:rsid w:val="00D0212D"/>
    <w:rsid w:val="00D02496"/>
    <w:rsid w:val="00D02613"/>
    <w:rsid w:val="00D02E4F"/>
    <w:rsid w:val="00D03021"/>
    <w:rsid w:val="00D0345A"/>
    <w:rsid w:val="00D037B2"/>
    <w:rsid w:val="00D03B93"/>
    <w:rsid w:val="00D03DD7"/>
    <w:rsid w:val="00D0471C"/>
    <w:rsid w:val="00D04AF6"/>
    <w:rsid w:val="00D04B4F"/>
    <w:rsid w:val="00D04C96"/>
    <w:rsid w:val="00D05832"/>
    <w:rsid w:val="00D05B8D"/>
    <w:rsid w:val="00D05C2A"/>
    <w:rsid w:val="00D05D51"/>
    <w:rsid w:val="00D06229"/>
    <w:rsid w:val="00D06412"/>
    <w:rsid w:val="00D0643B"/>
    <w:rsid w:val="00D069EC"/>
    <w:rsid w:val="00D06AB5"/>
    <w:rsid w:val="00D06BBA"/>
    <w:rsid w:val="00D06ED5"/>
    <w:rsid w:val="00D07A01"/>
    <w:rsid w:val="00D07A17"/>
    <w:rsid w:val="00D07BB8"/>
    <w:rsid w:val="00D07FA8"/>
    <w:rsid w:val="00D10300"/>
    <w:rsid w:val="00D105C7"/>
    <w:rsid w:val="00D1070A"/>
    <w:rsid w:val="00D10A64"/>
    <w:rsid w:val="00D10CC2"/>
    <w:rsid w:val="00D11550"/>
    <w:rsid w:val="00D11792"/>
    <w:rsid w:val="00D11828"/>
    <w:rsid w:val="00D11BE1"/>
    <w:rsid w:val="00D11E14"/>
    <w:rsid w:val="00D11E95"/>
    <w:rsid w:val="00D11F61"/>
    <w:rsid w:val="00D12C91"/>
    <w:rsid w:val="00D13016"/>
    <w:rsid w:val="00D137AF"/>
    <w:rsid w:val="00D137B4"/>
    <w:rsid w:val="00D13944"/>
    <w:rsid w:val="00D142E9"/>
    <w:rsid w:val="00D14C59"/>
    <w:rsid w:val="00D15378"/>
    <w:rsid w:val="00D15888"/>
    <w:rsid w:val="00D167A4"/>
    <w:rsid w:val="00D16A6E"/>
    <w:rsid w:val="00D16CCB"/>
    <w:rsid w:val="00D16FE5"/>
    <w:rsid w:val="00D1755B"/>
    <w:rsid w:val="00D17A64"/>
    <w:rsid w:val="00D17FDD"/>
    <w:rsid w:val="00D20831"/>
    <w:rsid w:val="00D20896"/>
    <w:rsid w:val="00D21B92"/>
    <w:rsid w:val="00D21B93"/>
    <w:rsid w:val="00D21C5C"/>
    <w:rsid w:val="00D227AE"/>
    <w:rsid w:val="00D22E10"/>
    <w:rsid w:val="00D22EA0"/>
    <w:rsid w:val="00D2417E"/>
    <w:rsid w:val="00D24F01"/>
    <w:rsid w:val="00D256B6"/>
    <w:rsid w:val="00D25740"/>
    <w:rsid w:val="00D257CA"/>
    <w:rsid w:val="00D25881"/>
    <w:rsid w:val="00D2596D"/>
    <w:rsid w:val="00D25C2D"/>
    <w:rsid w:val="00D25C61"/>
    <w:rsid w:val="00D2626B"/>
    <w:rsid w:val="00D2685D"/>
    <w:rsid w:val="00D26EB7"/>
    <w:rsid w:val="00D273E9"/>
    <w:rsid w:val="00D2765A"/>
    <w:rsid w:val="00D27BB5"/>
    <w:rsid w:val="00D27C09"/>
    <w:rsid w:val="00D27D5A"/>
    <w:rsid w:val="00D30390"/>
    <w:rsid w:val="00D3117B"/>
    <w:rsid w:val="00D32DE5"/>
    <w:rsid w:val="00D334AD"/>
    <w:rsid w:val="00D3415A"/>
    <w:rsid w:val="00D341BF"/>
    <w:rsid w:val="00D3442C"/>
    <w:rsid w:val="00D34E37"/>
    <w:rsid w:val="00D353CA"/>
    <w:rsid w:val="00D355D1"/>
    <w:rsid w:val="00D35A70"/>
    <w:rsid w:val="00D360A5"/>
    <w:rsid w:val="00D36BC7"/>
    <w:rsid w:val="00D36C34"/>
    <w:rsid w:val="00D36E49"/>
    <w:rsid w:val="00D37155"/>
    <w:rsid w:val="00D3719E"/>
    <w:rsid w:val="00D3722F"/>
    <w:rsid w:val="00D3728B"/>
    <w:rsid w:val="00D3746F"/>
    <w:rsid w:val="00D375E8"/>
    <w:rsid w:val="00D37D90"/>
    <w:rsid w:val="00D37E03"/>
    <w:rsid w:val="00D4026A"/>
    <w:rsid w:val="00D404BB"/>
    <w:rsid w:val="00D404CA"/>
    <w:rsid w:val="00D4069A"/>
    <w:rsid w:val="00D40D66"/>
    <w:rsid w:val="00D41095"/>
    <w:rsid w:val="00D414BE"/>
    <w:rsid w:val="00D41502"/>
    <w:rsid w:val="00D41C54"/>
    <w:rsid w:val="00D41DDD"/>
    <w:rsid w:val="00D42313"/>
    <w:rsid w:val="00D426D6"/>
    <w:rsid w:val="00D42DAD"/>
    <w:rsid w:val="00D42F4F"/>
    <w:rsid w:val="00D43306"/>
    <w:rsid w:val="00D43528"/>
    <w:rsid w:val="00D437B6"/>
    <w:rsid w:val="00D43D0C"/>
    <w:rsid w:val="00D43FAD"/>
    <w:rsid w:val="00D44054"/>
    <w:rsid w:val="00D446BD"/>
    <w:rsid w:val="00D4482B"/>
    <w:rsid w:val="00D44891"/>
    <w:rsid w:val="00D44A75"/>
    <w:rsid w:val="00D44B1C"/>
    <w:rsid w:val="00D44CE3"/>
    <w:rsid w:val="00D44F1A"/>
    <w:rsid w:val="00D451B8"/>
    <w:rsid w:val="00D45407"/>
    <w:rsid w:val="00D45A28"/>
    <w:rsid w:val="00D45E7F"/>
    <w:rsid w:val="00D45F00"/>
    <w:rsid w:val="00D45F2D"/>
    <w:rsid w:val="00D46049"/>
    <w:rsid w:val="00D4629D"/>
    <w:rsid w:val="00D464A8"/>
    <w:rsid w:val="00D46538"/>
    <w:rsid w:val="00D4657E"/>
    <w:rsid w:val="00D46B3B"/>
    <w:rsid w:val="00D46C9A"/>
    <w:rsid w:val="00D47AEF"/>
    <w:rsid w:val="00D50072"/>
    <w:rsid w:val="00D50E6F"/>
    <w:rsid w:val="00D50F60"/>
    <w:rsid w:val="00D512A6"/>
    <w:rsid w:val="00D5155B"/>
    <w:rsid w:val="00D5159E"/>
    <w:rsid w:val="00D515B7"/>
    <w:rsid w:val="00D51768"/>
    <w:rsid w:val="00D52155"/>
    <w:rsid w:val="00D5234A"/>
    <w:rsid w:val="00D52470"/>
    <w:rsid w:val="00D52696"/>
    <w:rsid w:val="00D52A39"/>
    <w:rsid w:val="00D536E4"/>
    <w:rsid w:val="00D5370B"/>
    <w:rsid w:val="00D538B7"/>
    <w:rsid w:val="00D542E3"/>
    <w:rsid w:val="00D5465A"/>
    <w:rsid w:val="00D547C0"/>
    <w:rsid w:val="00D54A37"/>
    <w:rsid w:val="00D54EC7"/>
    <w:rsid w:val="00D551B1"/>
    <w:rsid w:val="00D55953"/>
    <w:rsid w:val="00D559D0"/>
    <w:rsid w:val="00D55A94"/>
    <w:rsid w:val="00D55D8A"/>
    <w:rsid w:val="00D56C73"/>
    <w:rsid w:val="00D56D2E"/>
    <w:rsid w:val="00D56E07"/>
    <w:rsid w:val="00D56E4F"/>
    <w:rsid w:val="00D56FF8"/>
    <w:rsid w:val="00D56FFC"/>
    <w:rsid w:val="00D570B3"/>
    <w:rsid w:val="00D57343"/>
    <w:rsid w:val="00D578A4"/>
    <w:rsid w:val="00D60024"/>
    <w:rsid w:val="00D60209"/>
    <w:rsid w:val="00D605CE"/>
    <w:rsid w:val="00D606F0"/>
    <w:rsid w:val="00D60BAE"/>
    <w:rsid w:val="00D60C05"/>
    <w:rsid w:val="00D60C0A"/>
    <w:rsid w:val="00D61178"/>
    <w:rsid w:val="00D612C4"/>
    <w:rsid w:val="00D6176E"/>
    <w:rsid w:val="00D61A26"/>
    <w:rsid w:val="00D61A96"/>
    <w:rsid w:val="00D61F8B"/>
    <w:rsid w:val="00D61F93"/>
    <w:rsid w:val="00D627DC"/>
    <w:rsid w:val="00D62D62"/>
    <w:rsid w:val="00D633CD"/>
    <w:rsid w:val="00D63423"/>
    <w:rsid w:val="00D640BC"/>
    <w:rsid w:val="00D640E6"/>
    <w:rsid w:val="00D64C62"/>
    <w:rsid w:val="00D64ED8"/>
    <w:rsid w:val="00D65305"/>
    <w:rsid w:val="00D6539B"/>
    <w:rsid w:val="00D662F0"/>
    <w:rsid w:val="00D665CE"/>
    <w:rsid w:val="00D6699D"/>
    <w:rsid w:val="00D66B1C"/>
    <w:rsid w:val="00D66C80"/>
    <w:rsid w:val="00D66D52"/>
    <w:rsid w:val="00D670E7"/>
    <w:rsid w:val="00D676DE"/>
    <w:rsid w:val="00D6786D"/>
    <w:rsid w:val="00D67EB8"/>
    <w:rsid w:val="00D70135"/>
    <w:rsid w:val="00D70486"/>
    <w:rsid w:val="00D7050C"/>
    <w:rsid w:val="00D70680"/>
    <w:rsid w:val="00D709C2"/>
    <w:rsid w:val="00D70F3A"/>
    <w:rsid w:val="00D714A0"/>
    <w:rsid w:val="00D71E3F"/>
    <w:rsid w:val="00D72131"/>
    <w:rsid w:val="00D723FE"/>
    <w:rsid w:val="00D725A7"/>
    <w:rsid w:val="00D7332A"/>
    <w:rsid w:val="00D735D4"/>
    <w:rsid w:val="00D737C9"/>
    <w:rsid w:val="00D73F9A"/>
    <w:rsid w:val="00D74917"/>
    <w:rsid w:val="00D749C5"/>
    <w:rsid w:val="00D74B9C"/>
    <w:rsid w:val="00D74C35"/>
    <w:rsid w:val="00D74F19"/>
    <w:rsid w:val="00D74F24"/>
    <w:rsid w:val="00D753F7"/>
    <w:rsid w:val="00D7687F"/>
    <w:rsid w:val="00D76A1D"/>
    <w:rsid w:val="00D7753E"/>
    <w:rsid w:val="00D77800"/>
    <w:rsid w:val="00D7799D"/>
    <w:rsid w:val="00D77A7D"/>
    <w:rsid w:val="00D77C85"/>
    <w:rsid w:val="00D77DF1"/>
    <w:rsid w:val="00D802A6"/>
    <w:rsid w:val="00D805D7"/>
    <w:rsid w:val="00D80631"/>
    <w:rsid w:val="00D8071F"/>
    <w:rsid w:val="00D8073D"/>
    <w:rsid w:val="00D80BBB"/>
    <w:rsid w:val="00D813B6"/>
    <w:rsid w:val="00D81541"/>
    <w:rsid w:val="00D81A37"/>
    <w:rsid w:val="00D81DF7"/>
    <w:rsid w:val="00D82167"/>
    <w:rsid w:val="00D8217F"/>
    <w:rsid w:val="00D82476"/>
    <w:rsid w:val="00D8289A"/>
    <w:rsid w:val="00D82B05"/>
    <w:rsid w:val="00D82BFB"/>
    <w:rsid w:val="00D82DF6"/>
    <w:rsid w:val="00D83038"/>
    <w:rsid w:val="00D83632"/>
    <w:rsid w:val="00D837A5"/>
    <w:rsid w:val="00D83D56"/>
    <w:rsid w:val="00D843AD"/>
    <w:rsid w:val="00D845E9"/>
    <w:rsid w:val="00D84D66"/>
    <w:rsid w:val="00D84F98"/>
    <w:rsid w:val="00D85055"/>
    <w:rsid w:val="00D85112"/>
    <w:rsid w:val="00D85663"/>
    <w:rsid w:val="00D857E0"/>
    <w:rsid w:val="00D858D3"/>
    <w:rsid w:val="00D85F1E"/>
    <w:rsid w:val="00D85F34"/>
    <w:rsid w:val="00D869DC"/>
    <w:rsid w:val="00D86A44"/>
    <w:rsid w:val="00D86B6E"/>
    <w:rsid w:val="00D86BA2"/>
    <w:rsid w:val="00D8701F"/>
    <w:rsid w:val="00D8728B"/>
    <w:rsid w:val="00D87372"/>
    <w:rsid w:val="00D87524"/>
    <w:rsid w:val="00D8764A"/>
    <w:rsid w:val="00D87799"/>
    <w:rsid w:val="00D8790F"/>
    <w:rsid w:val="00D87A94"/>
    <w:rsid w:val="00D87BDA"/>
    <w:rsid w:val="00D87C27"/>
    <w:rsid w:val="00D9005C"/>
    <w:rsid w:val="00D9064F"/>
    <w:rsid w:val="00D90838"/>
    <w:rsid w:val="00D90B8D"/>
    <w:rsid w:val="00D91062"/>
    <w:rsid w:val="00D914D8"/>
    <w:rsid w:val="00D916E9"/>
    <w:rsid w:val="00D91A54"/>
    <w:rsid w:val="00D9262A"/>
    <w:rsid w:val="00D92FCF"/>
    <w:rsid w:val="00D9339D"/>
    <w:rsid w:val="00D93DCF"/>
    <w:rsid w:val="00D94171"/>
    <w:rsid w:val="00D944DF"/>
    <w:rsid w:val="00D947A1"/>
    <w:rsid w:val="00D94F63"/>
    <w:rsid w:val="00D952B2"/>
    <w:rsid w:val="00D9547E"/>
    <w:rsid w:val="00D9558B"/>
    <w:rsid w:val="00D9563D"/>
    <w:rsid w:val="00D956C7"/>
    <w:rsid w:val="00D95ED4"/>
    <w:rsid w:val="00D96122"/>
    <w:rsid w:val="00D96489"/>
    <w:rsid w:val="00D97169"/>
    <w:rsid w:val="00D972E6"/>
    <w:rsid w:val="00D976AB"/>
    <w:rsid w:val="00DA0287"/>
    <w:rsid w:val="00DA1BAF"/>
    <w:rsid w:val="00DA1E5A"/>
    <w:rsid w:val="00DA1ED8"/>
    <w:rsid w:val="00DA2666"/>
    <w:rsid w:val="00DA2878"/>
    <w:rsid w:val="00DA2A04"/>
    <w:rsid w:val="00DA3566"/>
    <w:rsid w:val="00DA3A14"/>
    <w:rsid w:val="00DA3F64"/>
    <w:rsid w:val="00DA41EC"/>
    <w:rsid w:val="00DA4608"/>
    <w:rsid w:val="00DA583A"/>
    <w:rsid w:val="00DA58B3"/>
    <w:rsid w:val="00DA62ED"/>
    <w:rsid w:val="00DA6582"/>
    <w:rsid w:val="00DA68E4"/>
    <w:rsid w:val="00DA6BAD"/>
    <w:rsid w:val="00DA6F7E"/>
    <w:rsid w:val="00DB069D"/>
    <w:rsid w:val="00DB0700"/>
    <w:rsid w:val="00DB0A51"/>
    <w:rsid w:val="00DB0EB9"/>
    <w:rsid w:val="00DB10FA"/>
    <w:rsid w:val="00DB15FF"/>
    <w:rsid w:val="00DB29BE"/>
    <w:rsid w:val="00DB2A51"/>
    <w:rsid w:val="00DB34B1"/>
    <w:rsid w:val="00DB399A"/>
    <w:rsid w:val="00DB3E99"/>
    <w:rsid w:val="00DB42F5"/>
    <w:rsid w:val="00DB4ED8"/>
    <w:rsid w:val="00DB54A6"/>
    <w:rsid w:val="00DB5D52"/>
    <w:rsid w:val="00DB5E2C"/>
    <w:rsid w:val="00DB5EC2"/>
    <w:rsid w:val="00DB60D7"/>
    <w:rsid w:val="00DB7489"/>
    <w:rsid w:val="00DB74A8"/>
    <w:rsid w:val="00DB7D92"/>
    <w:rsid w:val="00DC0368"/>
    <w:rsid w:val="00DC0752"/>
    <w:rsid w:val="00DC0944"/>
    <w:rsid w:val="00DC0BC8"/>
    <w:rsid w:val="00DC0E26"/>
    <w:rsid w:val="00DC1F5A"/>
    <w:rsid w:val="00DC23C0"/>
    <w:rsid w:val="00DC24E9"/>
    <w:rsid w:val="00DC261F"/>
    <w:rsid w:val="00DC2973"/>
    <w:rsid w:val="00DC2ACA"/>
    <w:rsid w:val="00DC2C52"/>
    <w:rsid w:val="00DC2CF2"/>
    <w:rsid w:val="00DC2DB6"/>
    <w:rsid w:val="00DC3051"/>
    <w:rsid w:val="00DC38B8"/>
    <w:rsid w:val="00DC3B18"/>
    <w:rsid w:val="00DC3BB8"/>
    <w:rsid w:val="00DC3EE9"/>
    <w:rsid w:val="00DC4014"/>
    <w:rsid w:val="00DC43D2"/>
    <w:rsid w:val="00DC453D"/>
    <w:rsid w:val="00DC4A17"/>
    <w:rsid w:val="00DC4A6F"/>
    <w:rsid w:val="00DC4BFA"/>
    <w:rsid w:val="00DC4FF4"/>
    <w:rsid w:val="00DC51A4"/>
    <w:rsid w:val="00DC5274"/>
    <w:rsid w:val="00DC5561"/>
    <w:rsid w:val="00DC558C"/>
    <w:rsid w:val="00DC56B1"/>
    <w:rsid w:val="00DC583C"/>
    <w:rsid w:val="00DC5C44"/>
    <w:rsid w:val="00DC6138"/>
    <w:rsid w:val="00DC6254"/>
    <w:rsid w:val="00DC67DF"/>
    <w:rsid w:val="00DC68CA"/>
    <w:rsid w:val="00DC6E12"/>
    <w:rsid w:val="00DC72EB"/>
    <w:rsid w:val="00DC7585"/>
    <w:rsid w:val="00DC7841"/>
    <w:rsid w:val="00DC7BCD"/>
    <w:rsid w:val="00DC7CD2"/>
    <w:rsid w:val="00DD0195"/>
    <w:rsid w:val="00DD025D"/>
    <w:rsid w:val="00DD08EB"/>
    <w:rsid w:val="00DD0A0E"/>
    <w:rsid w:val="00DD0BBA"/>
    <w:rsid w:val="00DD0F8B"/>
    <w:rsid w:val="00DD1A91"/>
    <w:rsid w:val="00DD1B74"/>
    <w:rsid w:val="00DD1E7C"/>
    <w:rsid w:val="00DD20A3"/>
    <w:rsid w:val="00DD20CC"/>
    <w:rsid w:val="00DD2570"/>
    <w:rsid w:val="00DD27D5"/>
    <w:rsid w:val="00DD2A94"/>
    <w:rsid w:val="00DD2E50"/>
    <w:rsid w:val="00DD3253"/>
    <w:rsid w:val="00DD32C4"/>
    <w:rsid w:val="00DD341C"/>
    <w:rsid w:val="00DD39ED"/>
    <w:rsid w:val="00DD39F3"/>
    <w:rsid w:val="00DD433F"/>
    <w:rsid w:val="00DD46AA"/>
    <w:rsid w:val="00DD4C84"/>
    <w:rsid w:val="00DD5457"/>
    <w:rsid w:val="00DD61E3"/>
    <w:rsid w:val="00DD63FA"/>
    <w:rsid w:val="00DD662B"/>
    <w:rsid w:val="00DD6698"/>
    <w:rsid w:val="00DD695D"/>
    <w:rsid w:val="00DD6C03"/>
    <w:rsid w:val="00DD6DB3"/>
    <w:rsid w:val="00DD6E24"/>
    <w:rsid w:val="00DD7A55"/>
    <w:rsid w:val="00DE0837"/>
    <w:rsid w:val="00DE0C8C"/>
    <w:rsid w:val="00DE0FE0"/>
    <w:rsid w:val="00DE12C7"/>
    <w:rsid w:val="00DE1507"/>
    <w:rsid w:val="00DE158C"/>
    <w:rsid w:val="00DE24FF"/>
    <w:rsid w:val="00DE2761"/>
    <w:rsid w:val="00DE2957"/>
    <w:rsid w:val="00DE313E"/>
    <w:rsid w:val="00DE4537"/>
    <w:rsid w:val="00DE4919"/>
    <w:rsid w:val="00DE491C"/>
    <w:rsid w:val="00DE4ABA"/>
    <w:rsid w:val="00DE4BAB"/>
    <w:rsid w:val="00DE503A"/>
    <w:rsid w:val="00DE55F4"/>
    <w:rsid w:val="00DE58CA"/>
    <w:rsid w:val="00DE5C8C"/>
    <w:rsid w:val="00DE61DF"/>
    <w:rsid w:val="00DE624D"/>
    <w:rsid w:val="00DE6606"/>
    <w:rsid w:val="00DE67D0"/>
    <w:rsid w:val="00DE6BC7"/>
    <w:rsid w:val="00DE726B"/>
    <w:rsid w:val="00DE7578"/>
    <w:rsid w:val="00DF05C7"/>
    <w:rsid w:val="00DF0C2E"/>
    <w:rsid w:val="00DF1185"/>
    <w:rsid w:val="00DF124D"/>
    <w:rsid w:val="00DF1925"/>
    <w:rsid w:val="00DF19B9"/>
    <w:rsid w:val="00DF1DBF"/>
    <w:rsid w:val="00DF2046"/>
    <w:rsid w:val="00DF2915"/>
    <w:rsid w:val="00DF29D2"/>
    <w:rsid w:val="00DF2BFB"/>
    <w:rsid w:val="00DF2BFC"/>
    <w:rsid w:val="00DF2C8C"/>
    <w:rsid w:val="00DF2CEC"/>
    <w:rsid w:val="00DF2E15"/>
    <w:rsid w:val="00DF2F30"/>
    <w:rsid w:val="00DF3200"/>
    <w:rsid w:val="00DF325B"/>
    <w:rsid w:val="00DF34BE"/>
    <w:rsid w:val="00DF352B"/>
    <w:rsid w:val="00DF36B0"/>
    <w:rsid w:val="00DF36C5"/>
    <w:rsid w:val="00DF3A59"/>
    <w:rsid w:val="00DF3D5F"/>
    <w:rsid w:val="00DF3D6C"/>
    <w:rsid w:val="00DF41E5"/>
    <w:rsid w:val="00DF4DEF"/>
    <w:rsid w:val="00DF541A"/>
    <w:rsid w:val="00DF5EC3"/>
    <w:rsid w:val="00DF5EC5"/>
    <w:rsid w:val="00DF645B"/>
    <w:rsid w:val="00DF6E07"/>
    <w:rsid w:val="00DF71A1"/>
    <w:rsid w:val="00DF784B"/>
    <w:rsid w:val="00DF7A79"/>
    <w:rsid w:val="00DF7F36"/>
    <w:rsid w:val="00E00716"/>
    <w:rsid w:val="00E00861"/>
    <w:rsid w:val="00E00BAE"/>
    <w:rsid w:val="00E00C7E"/>
    <w:rsid w:val="00E00C9A"/>
    <w:rsid w:val="00E00D5D"/>
    <w:rsid w:val="00E00FC6"/>
    <w:rsid w:val="00E01448"/>
    <w:rsid w:val="00E01BBA"/>
    <w:rsid w:val="00E01FC2"/>
    <w:rsid w:val="00E02453"/>
    <w:rsid w:val="00E02625"/>
    <w:rsid w:val="00E02A8D"/>
    <w:rsid w:val="00E02AC6"/>
    <w:rsid w:val="00E0300C"/>
    <w:rsid w:val="00E030DA"/>
    <w:rsid w:val="00E033C1"/>
    <w:rsid w:val="00E035CA"/>
    <w:rsid w:val="00E0364B"/>
    <w:rsid w:val="00E03AF8"/>
    <w:rsid w:val="00E03B5C"/>
    <w:rsid w:val="00E03C30"/>
    <w:rsid w:val="00E047EA"/>
    <w:rsid w:val="00E04B55"/>
    <w:rsid w:val="00E04DE0"/>
    <w:rsid w:val="00E05723"/>
    <w:rsid w:val="00E058C0"/>
    <w:rsid w:val="00E05936"/>
    <w:rsid w:val="00E05994"/>
    <w:rsid w:val="00E0643B"/>
    <w:rsid w:val="00E064E8"/>
    <w:rsid w:val="00E06A09"/>
    <w:rsid w:val="00E06E6C"/>
    <w:rsid w:val="00E074EC"/>
    <w:rsid w:val="00E07933"/>
    <w:rsid w:val="00E10517"/>
    <w:rsid w:val="00E107AE"/>
    <w:rsid w:val="00E10E5C"/>
    <w:rsid w:val="00E11105"/>
    <w:rsid w:val="00E113F1"/>
    <w:rsid w:val="00E116E0"/>
    <w:rsid w:val="00E11CCD"/>
    <w:rsid w:val="00E12586"/>
    <w:rsid w:val="00E1264E"/>
    <w:rsid w:val="00E126DE"/>
    <w:rsid w:val="00E12803"/>
    <w:rsid w:val="00E128AA"/>
    <w:rsid w:val="00E12BC6"/>
    <w:rsid w:val="00E13124"/>
    <w:rsid w:val="00E13251"/>
    <w:rsid w:val="00E13BC5"/>
    <w:rsid w:val="00E1424D"/>
    <w:rsid w:val="00E143DA"/>
    <w:rsid w:val="00E143F6"/>
    <w:rsid w:val="00E14589"/>
    <w:rsid w:val="00E14976"/>
    <w:rsid w:val="00E14A44"/>
    <w:rsid w:val="00E14AA5"/>
    <w:rsid w:val="00E150B6"/>
    <w:rsid w:val="00E15261"/>
    <w:rsid w:val="00E15606"/>
    <w:rsid w:val="00E15738"/>
    <w:rsid w:val="00E1588C"/>
    <w:rsid w:val="00E15964"/>
    <w:rsid w:val="00E1640F"/>
    <w:rsid w:val="00E168B5"/>
    <w:rsid w:val="00E16C40"/>
    <w:rsid w:val="00E16FBA"/>
    <w:rsid w:val="00E17774"/>
    <w:rsid w:val="00E177CD"/>
    <w:rsid w:val="00E178A4"/>
    <w:rsid w:val="00E17A2F"/>
    <w:rsid w:val="00E17E03"/>
    <w:rsid w:val="00E2006A"/>
    <w:rsid w:val="00E2034B"/>
    <w:rsid w:val="00E20834"/>
    <w:rsid w:val="00E20E07"/>
    <w:rsid w:val="00E21569"/>
    <w:rsid w:val="00E21763"/>
    <w:rsid w:val="00E217A3"/>
    <w:rsid w:val="00E21CF0"/>
    <w:rsid w:val="00E21D48"/>
    <w:rsid w:val="00E22134"/>
    <w:rsid w:val="00E22A57"/>
    <w:rsid w:val="00E22D91"/>
    <w:rsid w:val="00E22F96"/>
    <w:rsid w:val="00E23151"/>
    <w:rsid w:val="00E23195"/>
    <w:rsid w:val="00E23887"/>
    <w:rsid w:val="00E23A0A"/>
    <w:rsid w:val="00E23F8E"/>
    <w:rsid w:val="00E240C3"/>
    <w:rsid w:val="00E240E1"/>
    <w:rsid w:val="00E24565"/>
    <w:rsid w:val="00E247A9"/>
    <w:rsid w:val="00E24EBC"/>
    <w:rsid w:val="00E257C0"/>
    <w:rsid w:val="00E25B60"/>
    <w:rsid w:val="00E25F52"/>
    <w:rsid w:val="00E2602F"/>
    <w:rsid w:val="00E26964"/>
    <w:rsid w:val="00E26F3A"/>
    <w:rsid w:val="00E27585"/>
    <w:rsid w:val="00E279BF"/>
    <w:rsid w:val="00E301BD"/>
    <w:rsid w:val="00E30580"/>
    <w:rsid w:val="00E30755"/>
    <w:rsid w:val="00E30A15"/>
    <w:rsid w:val="00E30B38"/>
    <w:rsid w:val="00E30F2D"/>
    <w:rsid w:val="00E31043"/>
    <w:rsid w:val="00E31720"/>
    <w:rsid w:val="00E31818"/>
    <w:rsid w:val="00E31E7D"/>
    <w:rsid w:val="00E32079"/>
    <w:rsid w:val="00E322DC"/>
    <w:rsid w:val="00E32661"/>
    <w:rsid w:val="00E327A5"/>
    <w:rsid w:val="00E33BA5"/>
    <w:rsid w:val="00E33F4F"/>
    <w:rsid w:val="00E34091"/>
    <w:rsid w:val="00E3419C"/>
    <w:rsid w:val="00E34CEF"/>
    <w:rsid w:val="00E3554D"/>
    <w:rsid w:val="00E35843"/>
    <w:rsid w:val="00E35874"/>
    <w:rsid w:val="00E35D3A"/>
    <w:rsid w:val="00E35ED3"/>
    <w:rsid w:val="00E36192"/>
    <w:rsid w:val="00E361BB"/>
    <w:rsid w:val="00E36B99"/>
    <w:rsid w:val="00E36E33"/>
    <w:rsid w:val="00E371D1"/>
    <w:rsid w:val="00E3722A"/>
    <w:rsid w:val="00E37366"/>
    <w:rsid w:val="00E377F5"/>
    <w:rsid w:val="00E37B13"/>
    <w:rsid w:val="00E4008D"/>
    <w:rsid w:val="00E406DA"/>
    <w:rsid w:val="00E40D27"/>
    <w:rsid w:val="00E4101B"/>
    <w:rsid w:val="00E416A5"/>
    <w:rsid w:val="00E41F25"/>
    <w:rsid w:val="00E42088"/>
    <w:rsid w:val="00E4218C"/>
    <w:rsid w:val="00E42CBD"/>
    <w:rsid w:val="00E42E9E"/>
    <w:rsid w:val="00E4316D"/>
    <w:rsid w:val="00E434E7"/>
    <w:rsid w:val="00E436C6"/>
    <w:rsid w:val="00E438A9"/>
    <w:rsid w:val="00E43F3D"/>
    <w:rsid w:val="00E44A29"/>
    <w:rsid w:val="00E44B88"/>
    <w:rsid w:val="00E452D7"/>
    <w:rsid w:val="00E45408"/>
    <w:rsid w:val="00E45429"/>
    <w:rsid w:val="00E4569D"/>
    <w:rsid w:val="00E45D0B"/>
    <w:rsid w:val="00E46301"/>
    <w:rsid w:val="00E4663B"/>
    <w:rsid w:val="00E466DA"/>
    <w:rsid w:val="00E467AE"/>
    <w:rsid w:val="00E467FD"/>
    <w:rsid w:val="00E46928"/>
    <w:rsid w:val="00E46A81"/>
    <w:rsid w:val="00E472F0"/>
    <w:rsid w:val="00E476B2"/>
    <w:rsid w:val="00E5009C"/>
    <w:rsid w:val="00E504C7"/>
    <w:rsid w:val="00E505EC"/>
    <w:rsid w:val="00E506C5"/>
    <w:rsid w:val="00E5152E"/>
    <w:rsid w:val="00E51775"/>
    <w:rsid w:val="00E51D69"/>
    <w:rsid w:val="00E51E51"/>
    <w:rsid w:val="00E52029"/>
    <w:rsid w:val="00E52159"/>
    <w:rsid w:val="00E52350"/>
    <w:rsid w:val="00E52CFD"/>
    <w:rsid w:val="00E52DE2"/>
    <w:rsid w:val="00E531F9"/>
    <w:rsid w:val="00E532B3"/>
    <w:rsid w:val="00E53321"/>
    <w:rsid w:val="00E53405"/>
    <w:rsid w:val="00E536A6"/>
    <w:rsid w:val="00E539AD"/>
    <w:rsid w:val="00E54A9E"/>
    <w:rsid w:val="00E54CD1"/>
    <w:rsid w:val="00E54E2C"/>
    <w:rsid w:val="00E550F7"/>
    <w:rsid w:val="00E55700"/>
    <w:rsid w:val="00E55A28"/>
    <w:rsid w:val="00E55A9C"/>
    <w:rsid w:val="00E55F5A"/>
    <w:rsid w:val="00E56413"/>
    <w:rsid w:val="00E564D9"/>
    <w:rsid w:val="00E5658F"/>
    <w:rsid w:val="00E56C19"/>
    <w:rsid w:val="00E57091"/>
    <w:rsid w:val="00E57ED3"/>
    <w:rsid w:val="00E57F4D"/>
    <w:rsid w:val="00E60084"/>
    <w:rsid w:val="00E600FB"/>
    <w:rsid w:val="00E60229"/>
    <w:rsid w:val="00E6033D"/>
    <w:rsid w:val="00E60935"/>
    <w:rsid w:val="00E60DF7"/>
    <w:rsid w:val="00E60EBC"/>
    <w:rsid w:val="00E60FB6"/>
    <w:rsid w:val="00E61029"/>
    <w:rsid w:val="00E612F8"/>
    <w:rsid w:val="00E6149C"/>
    <w:rsid w:val="00E615BA"/>
    <w:rsid w:val="00E616E1"/>
    <w:rsid w:val="00E61873"/>
    <w:rsid w:val="00E6196E"/>
    <w:rsid w:val="00E61A37"/>
    <w:rsid w:val="00E6247C"/>
    <w:rsid w:val="00E6275F"/>
    <w:rsid w:val="00E64387"/>
    <w:rsid w:val="00E647A0"/>
    <w:rsid w:val="00E64943"/>
    <w:rsid w:val="00E64B13"/>
    <w:rsid w:val="00E6515B"/>
    <w:rsid w:val="00E65473"/>
    <w:rsid w:val="00E65C89"/>
    <w:rsid w:val="00E65D74"/>
    <w:rsid w:val="00E660D3"/>
    <w:rsid w:val="00E66896"/>
    <w:rsid w:val="00E66EFD"/>
    <w:rsid w:val="00E66F6F"/>
    <w:rsid w:val="00E670DA"/>
    <w:rsid w:val="00E67BD9"/>
    <w:rsid w:val="00E70727"/>
    <w:rsid w:val="00E70771"/>
    <w:rsid w:val="00E71334"/>
    <w:rsid w:val="00E71478"/>
    <w:rsid w:val="00E71502"/>
    <w:rsid w:val="00E717EE"/>
    <w:rsid w:val="00E718F3"/>
    <w:rsid w:val="00E718FE"/>
    <w:rsid w:val="00E72228"/>
    <w:rsid w:val="00E72424"/>
    <w:rsid w:val="00E726A7"/>
    <w:rsid w:val="00E726AC"/>
    <w:rsid w:val="00E726E9"/>
    <w:rsid w:val="00E72C7F"/>
    <w:rsid w:val="00E72F8A"/>
    <w:rsid w:val="00E73070"/>
    <w:rsid w:val="00E73087"/>
    <w:rsid w:val="00E731BD"/>
    <w:rsid w:val="00E739CA"/>
    <w:rsid w:val="00E7422D"/>
    <w:rsid w:val="00E7449B"/>
    <w:rsid w:val="00E746B1"/>
    <w:rsid w:val="00E74CDD"/>
    <w:rsid w:val="00E74FEB"/>
    <w:rsid w:val="00E75130"/>
    <w:rsid w:val="00E75398"/>
    <w:rsid w:val="00E75461"/>
    <w:rsid w:val="00E75A90"/>
    <w:rsid w:val="00E75DCD"/>
    <w:rsid w:val="00E762BE"/>
    <w:rsid w:val="00E765A8"/>
    <w:rsid w:val="00E7686D"/>
    <w:rsid w:val="00E76B7B"/>
    <w:rsid w:val="00E76E12"/>
    <w:rsid w:val="00E7717B"/>
    <w:rsid w:val="00E77253"/>
    <w:rsid w:val="00E7750F"/>
    <w:rsid w:val="00E778AD"/>
    <w:rsid w:val="00E77903"/>
    <w:rsid w:val="00E77F07"/>
    <w:rsid w:val="00E8050E"/>
    <w:rsid w:val="00E8078C"/>
    <w:rsid w:val="00E807B3"/>
    <w:rsid w:val="00E80F38"/>
    <w:rsid w:val="00E81724"/>
    <w:rsid w:val="00E8193F"/>
    <w:rsid w:val="00E81959"/>
    <w:rsid w:val="00E81C93"/>
    <w:rsid w:val="00E820C7"/>
    <w:rsid w:val="00E8227B"/>
    <w:rsid w:val="00E82760"/>
    <w:rsid w:val="00E828B3"/>
    <w:rsid w:val="00E82D83"/>
    <w:rsid w:val="00E82DAE"/>
    <w:rsid w:val="00E834FF"/>
    <w:rsid w:val="00E8358F"/>
    <w:rsid w:val="00E83970"/>
    <w:rsid w:val="00E83E4D"/>
    <w:rsid w:val="00E84123"/>
    <w:rsid w:val="00E84DE1"/>
    <w:rsid w:val="00E84ED3"/>
    <w:rsid w:val="00E84FBA"/>
    <w:rsid w:val="00E851F1"/>
    <w:rsid w:val="00E85970"/>
    <w:rsid w:val="00E85A15"/>
    <w:rsid w:val="00E85DD1"/>
    <w:rsid w:val="00E862E6"/>
    <w:rsid w:val="00E86858"/>
    <w:rsid w:val="00E86CAB"/>
    <w:rsid w:val="00E86CDA"/>
    <w:rsid w:val="00E87048"/>
    <w:rsid w:val="00E87201"/>
    <w:rsid w:val="00E8740A"/>
    <w:rsid w:val="00E87417"/>
    <w:rsid w:val="00E87440"/>
    <w:rsid w:val="00E87B82"/>
    <w:rsid w:val="00E900EF"/>
    <w:rsid w:val="00E903BE"/>
    <w:rsid w:val="00E90582"/>
    <w:rsid w:val="00E90802"/>
    <w:rsid w:val="00E910BF"/>
    <w:rsid w:val="00E9125B"/>
    <w:rsid w:val="00E916D2"/>
    <w:rsid w:val="00E91B86"/>
    <w:rsid w:val="00E920C0"/>
    <w:rsid w:val="00E923D7"/>
    <w:rsid w:val="00E924AA"/>
    <w:rsid w:val="00E92A12"/>
    <w:rsid w:val="00E92B58"/>
    <w:rsid w:val="00E93132"/>
    <w:rsid w:val="00E932E1"/>
    <w:rsid w:val="00E93538"/>
    <w:rsid w:val="00E93B56"/>
    <w:rsid w:val="00E93CD1"/>
    <w:rsid w:val="00E9410D"/>
    <w:rsid w:val="00E9425C"/>
    <w:rsid w:val="00E9435F"/>
    <w:rsid w:val="00E9482B"/>
    <w:rsid w:val="00E94BFD"/>
    <w:rsid w:val="00E9542D"/>
    <w:rsid w:val="00E95B73"/>
    <w:rsid w:val="00E95CA3"/>
    <w:rsid w:val="00E9604A"/>
    <w:rsid w:val="00E960A2"/>
    <w:rsid w:val="00E96630"/>
    <w:rsid w:val="00E9695E"/>
    <w:rsid w:val="00E969E0"/>
    <w:rsid w:val="00E96EAC"/>
    <w:rsid w:val="00E9775B"/>
    <w:rsid w:val="00E9789B"/>
    <w:rsid w:val="00E97C1D"/>
    <w:rsid w:val="00E97EDF"/>
    <w:rsid w:val="00E97F49"/>
    <w:rsid w:val="00EA14D3"/>
    <w:rsid w:val="00EA14ED"/>
    <w:rsid w:val="00EA15CF"/>
    <w:rsid w:val="00EA197E"/>
    <w:rsid w:val="00EA1D86"/>
    <w:rsid w:val="00EA1E6C"/>
    <w:rsid w:val="00EA2143"/>
    <w:rsid w:val="00EA2C01"/>
    <w:rsid w:val="00EA2C50"/>
    <w:rsid w:val="00EA2FD0"/>
    <w:rsid w:val="00EA33EA"/>
    <w:rsid w:val="00EA373E"/>
    <w:rsid w:val="00EA3970"/>
    <w:rsid w:val="00EA3BDF"/>
    <w:rsid w:val="00EA3D84"/>
    <w:rsid w:val="00EA4320"/>
    <w:rsid w:val="00EA442A"/>
    <w:rsid w:val="00EA45CF"/>
    <w:rsid w:val="00EA4BBB"/>
    <w:rsid w:val="00EA5389"/>
    <w:rsid w:val="00EA57C6"/>
    <w:rsid w:val="00EA64A8"/>
    <w:rsid w:val="00EA66B1"/>
    <w:rsid w:val="00EA6792"/>
    <w:rsid w:val="00EA6895"/>
    <w:rsid w:val="00EA69F2"/>
    <w:rsid w:val="00EA6AC2"/>
    <w:rsid w:val="00EA6FD9"/>
    <w:rsid w:val="00EA71AA"/>
    <w:rsid w:val="00EA7B76"/>
    <w:rsid w:val="00EA7FC4"/>
    <w:rsid w:val="00EB01E1"/>
    <w:rsid w:val="00EB0285"/>
    <w:rsid w:val="00EB02A6"/>
    <w:rsid w:val="00EB0CCB"/>
    <w:rsid w:val="00EB0D00"/>
    <w:rsid w:val="00EB120C"/>
    <w:rsid w:val="00EB1223"/>
    <w:rsid w:val="00EB149F"/>
    <w:rsid w:val="00EB1544"/>
    <w:rsid w:val="00EB1576"/>
    <w:rsid w:val="00EB194F"/>
    <w:rsid w:val="00EB1C27"/>
    <w:rsid w:val="00EB1DCE"/>
    <w:rsid w:val="00EB1FA4"/>
    <w:rsid w:val="00EB226F"/>
    <w:rsid w:val="00EB24FC"/>
    <w:rsid w:val="00EB26BB"/>
    <w:rsid w:val="00EB2835"/>
    <w:rsid w:val="00EB2DCD"/>
    <w:rsid w:val="00EB2EDE"/>
    <w:rsid w:val="00EB358B"/>
    <w:rsid w:val="00EB379B"/>
    <w:rsid w:val="00EB37E2"/>
    <w:rsid w:val="00EB452D"/>
    <w:rsid w:val="00EB4721"/>
    <w:rsid w:val="00EB4757"/>
    <w:rsid w:val="00EB4867"/>
    <w:rsid w:val="00EB4B0A"/>
    <w:rsid w:val="00EB4C15"/>
    <w:rsid w:val="00EB4CA0"/>
    <w:rsid w:val="00EB53B1"/>
    <w:rsid w:val="00EB5563"/>
    <w:rsid w:val="00EB5FF8"/>
    <w:rsid w:val="00EB611F"/>
    <w:rsid w:val="00EB628F"/>
    <w:rsid w:val="00EB64BB"/>
    <w:rsid w:val="00EB6A15"/>
    <w:rsid w:val="00EB6DB3"/>
    <w:rsid w:val="00EB6DE1"/>
    <w:rsid w:val="00EB7344"/>
    <w:rsid w:val="00EB739C"/>
    <w:rsid w:val="00EB782B"/>
    <w:rsid w:val="00EB7B34"/>
    <w:rsid w:val="00EB7D7A"/>
    <w:rsid w:val="00EB7E6F"/>
    <w:rsid w:val="00EB7FE0"/>
    <w:rsid w:val="00EC01C7"/>
    <w:rsid w:val="00EC0239"/>
    <w:rsid w:val="00EC04F1"/>
    <w:rsid w:val="00EC0A7F"/>
    <w:rsid w:val="00EC0FD1"/>
    <w:rsid w:val="00EC1129"/>
    <w:rsid w:val="00EC11A3"/>
    <w:rsid w:val="00EC1508"/>
    <w:rsid w:val="00EC1766"/>
    <w:rsid w:val="00EC1D19"/>
    <w:rsid w:val="00EC1F59"/>
    <w:rsid w:val="00EC2043"/>
    <w:rsid w:val="00EC2570"/>
    <w:rsid w:val="00EC2804"/>
    <w:rsid w:val="00EC29E5"/>
    <w:rsid w:val="00EC3010"/>
    <w:rsid w:val="00EC30F0"/>
    <w:rsid w:val="00EC325C"/>
    <w:rsid w:val="00EC32CB"/>
    <w:rsid w:val="00EC34A7"/>
    <w:rsid w:val="00EC3933"/>
    <w:rsid w:val="00EC3A0B"/>
    <w:rsid w:val="00EC3D64"/>
    <w:rsid w:val="00EC3E40"/>
    <w:rsid w:val="00EC3F78"/>
    <w:rsid w:val="00EC4175"/>
    <w:rsid w:val="00EC46F4"/>
    <w:rsid w:val="00EC4CE3"/>
    <w:rsid w:val="00EC4F34"/>
    <w:rsid w:val="00EC51B2"/>
    <w:rsid w:val="00EC548D"/>
    <w:rsid w:val="00EC55E1"/>
    <w:rsid w:val="00EC56E7"/>
    <w:rsid w:val="00EC599B"/>
    <w:rsid w:val="00EC59A5"/>
    <w:rsid w:val="00EC5B88"/>
    <w:rsid w:val="00EC5D65"/>
    <w:rsid w:val="00EC5F9E"/>
    <w:rsid w:val="00EC6060"/>
    <w:rsid w:val="00EC6237"/>
    <w:rsid w:val="00EC6322"/>
    <w:rsid w:val="00EC652C"/>
    <w:rsid w:val="00EC669F"/>
    <w:rsid w:val="00EC66FF"/>
    <w:rsid w:val="00EC671F"/>
    <w:rsid w:val="00EC6FB6"/>
    <w:rsid w:val="00EC7036"/>
    <w:rsid w:val="00EC706F"/>
    <w:rsid w:val="00EC75AC"/>
    <w:rsid w:val="00EC79BC"/>
    <w:rsid w:val="00EC7B5F"/>
    <w:rsid w:val="00ED0035"/>
    <w:rsid w:val="00ED0787"/>
    <w:rsid w:val="00ED0C7A"/>
    <w:rsid w:val="00ED0EB3"/>
    <w:rsid w:val="00ED15F6"/>
    <w:rsid w:val="00ED1D74"/>
    <w:rsid w:val="00ED2686"/>
    <w:rsid w:val="00ED2E2A"/>
    <w:rsid w:val="00ED30BB"/>
    <w:rsid w:val="00ED328E"/>
    <w:rsid w:val="00ED3679"/>
    <w:rsid w:val="00ED368C"/>
    <w:rsid w:val="00ED3C45"/>
    <w:rsid w:val="00ED40F2"/>
    <w:rsid w:val="00ED4213"/>
    <w:rsid w:val="00ED4302"/>
    <w:rsid w:val="00ED4526"/>
    <w:rsid w:val="00ED4BE9"/>
    <w:rsid w:val="00ED4EE1"/>
    <w:rsid w:val="00ED5180"/>
    <w:rsid w:val="00ED5562"/>
    <w:rsid w:val="00ED55E8"/>
    <w:rsid w:val="00ED638C"/>
    <w:rsid w:val="00ED686A"/>
    <w:rsid w:val="00ED6AF2"/>
    <w:rsid w:val="00ED6B2E"/>
    <w:rsid w:val="00ED6E6E"/>
    <w:rsid w:val="00ED6E86"/>
    <w:rsid w:val="00ED77DC"/>
    <w:rsid w:val="00ED7FF3"/>
    <w:rsid w:val="00EE02F8"/>
    <w:rsid w:val="00EE060D"/>
    <w:rsid w:val="00EE07C7"/>
    <w:rsid w:val="00EE0BA6"/>
    <w:rsid w:val="00EE0CEB"/>
    <w:rsid w:val="00EE0F3D"/>
    <w:rsid w:val="00EE12E7"/>
    <w:rsid w:val="00EE13D3"/>
    <w:rsid w:val="00EE1A82"/>
    <w:rsid w:val="00EE268B"/>
    <w:rsid w:val="00EE282F"/>
    <w:rsid w:val="00EE36FD"/>
    <w:rsid w:val="00EE3A10"/>
    <w:rsid w:val="00EE3CED"/>
    <w:rsid w:val="00EE466F"/>
    <w:rsid w:val="00EE48B5"/>
    <w:rsid w:val="00EE498A"/>
    <w:rsid w:val="00EE4AE6"/>
    <w:rsid w:val="00EE4B25"/>
    <w:rsid w:val="00EE4BB0"/>
    <w:rsid w:val="00EE5173"/>
    <w:rsid w:val="00EE5725"/>
    <w:rsid w:val="00EE59AE"/>
    <w:rsid w:val="00EE5E5B"/>
    <w:rsid w:val="00EE5FC2"/>
    <w:rsid w:val="00EE6008"/>
    <w:rsid w:val="00EE60CE"/>
    <w:rsid w:val="00EE6722"/>
    <w:rsid w:val="00EE6727"/>
    <w:rsid w:val="00EE69E9"/>
    <w:rsid w:val="00EE6C46"/>
    <w:rsid w:val="00EE73C0"/>
    <w:rsid w:val="00EE75A3"/>
    <w:rsid w:val="00EE7889"/>
    <w:rsid w:val="00EE7A19"/>
    <w:rsid w:val="00EE7A30"/>
    <w:rsid w:val="00EE7A5B"/>
    <w:rsid w:val="00EE7F16"/>
    <w:rsid w:val="00EF0273"/>
    <w:rsid w:val="00EF0665"/>
    <w:rsid w:val="00EF1100"/>
    <w:rsid w:val="00EF1741"/>
    <w:rsid w:val="00EF17F7"/>
    <w:rsid w:val="00EF1DDC"/>
    <w:rsid w:val="00EF2403"/>
    <w:rsid w:val="00EF2482"/>
    <w:rsid w:val="00EF296F"/>
    <w:rsid w:val="00EF2F27"/>
    <w:rsid w:val="00EF2FD0"/>
    <w:rsid w:val="00EF33E6"/>
    <w:rsid w:val="00EF38B1"/>
    <w:rsid w:val="00EF3A02"/>
    <w:rsid w:val="00EF3BF1"/>
    <w:rsid w:val="00EF3C3C"/>
    <w:rsid w:val="00EF4427"/>
    <w:rsid w:val="00EF463C"/>
    <w:rsid w:val="00EF4DFF"/>
    <w:rsid w:val="00EF5364"/>
    <w:rsid w:val="00EF5BE1"/>
    <w:rsid w:val="00EF7011"/>
    <w:rsid w:val="00EF7060"/>
    <w:rsid w:val="00EF7D6C"/>
    <w:rsid w:val="00F0018F"/>
    <w:rsid w:val="00F005CF"/>
    <w:rsid w:val="00F0062B"/>
    <w:rsid w:val="00F00ACF"/>
    <w:rsid w:val="00F00BF5"/>
    <w:rsid w:val="00F00C3B"/>
    <w:rsid w:val="00F00F4F"/>
    <w:rsid w:val="00F01396"/>
    <w:rsid w:val="00F0147D"/>
    <w:rsid w:val="00F014E4"/>
    <w:rsid w:val="00F01627"/>
    <w:rsid w:val="00F01649"/>
    <w:rsid w:val="00F018A9"/>
    <w:rsid w:val="00F019ED"/>
    <w:rsid w:val="00F01AF0"/>
    <w:rsid w:val="00F027F7"/>
    <w:rsid w:val="00F027FE"/>
    <w:rsid w:val="00F02931"/>
    <w:rsid w:val="00F034BD"/>
    <w:rsid w:val="00F03922"/>
    <w:rsid w:val="00F03A45"/>
    <w:rsid w:val="00F03B67"/>
    <w:rsid w:val="00F0454F"/>
    <w:rsid w:val="00F0499F"/>
    <w:rsid w:val="00F04DA6"/>
    <w:rsid w:val="00F051BB"/>
    <w:rsid w:val="00F05F11"/>
    <w:rsid w:val="00F06093"/>
    <w:rsid w:val="00F068AF"/>
    <w:rsid w:val="00F0760C"/>
    <w:rsid w:val="00F076F5"/>
    <w:rsid w:val="00F102D8"/>
    <w:rsid w:val="00F10C38"/>
    <w:rsid w:val="00F10D70"/>
    <w:rsid w:val="00F10DA7"/>
    <w:rsid w:val="00F10EB6"/>
    <w:rsid w:val="00F11294"/>
    <w:rsid w:val="00F11687"/>
    <w:rsid w:val="00F118F0"/>
    <w:rsid w:val="00F11A22"/>
    <w:rsid w:val="00F11B8E"/>
    <w:rsid w:val="00F11BCE"/>
    <w:rsid w:val="00F11CB1"/>
    <w:rsid w:val="00F12EB7"/>
    <w:rsid w:val="00F14236"/>
    <w:rsid w:val="00F14B3F"/>
    <w:rsid w:val="00F150FB"/>
    <w:rsid w:val="00F16053"/>
    <w:rsid w:val="00F16242"/>
    <w:rsid w:val="00F16829"/>
    <w:rsid w:val="00F16A9C"/>
    <w:rsid w:val="00F16F88"/>
    <w:rsid w:val="00F172C9"/>
    <w:rsid w:val="00F173AC"/>
    <w:rsid w:val="00F2100B"/>
    <w:rsid w:val="00F216D2"/>
    <w:rsid w:val="00F219C5"/>
    <w:rsid w:val="00F21D20"/>
    <w:rsid w:val="00F22301"/>
    <w:rsid w:val="00F227C0"/>
    <w:rsid w:val="00F22A57"/>
    <w:rsid w:val="00F23269"/>
    <w:rsid w:val="00F2348A"/>
    <w:rsid w:val="00F2398A"/>
    <w:rsid w:val="00F242CE"/>
    <w:rsid w:val="00F243E7"/>
    <w:rsid w:val="00F24577"/>
    <w:rsid w:val="00F24A95"/>
    <w:rsid w:val="00F24B95"/>
    <w:rsid w:val="00F25335"/>
    <w:rsid w:val="00F25B2A"/>
    <w:rsid w:val="00F25CD4"/>
    <w:rsid w:val="00F25EA4"/>
    <w:rsid w:val="00F25F3F"/>
    <w:rsid w:val="00F267AF"/>
    <w:rsid w:val="00F26AB4"/>
    <w:rsid w:val="00F27224"/>
    <w:rsid w:val="00F27672"/>
    <w:rsid w:val="00F27EF6"/>
    <w:rsid w:val="00F30412"/>
    <w:rsid w:val="00F30427"/>
    <w:rsid w:val="00F30AB3"/>
    <w:rsid w:val="00F310D8"/>
    <w:rsid w:val="00F31210"/>
    <w:rsid w:val="00F31458"/>
    <w:rsid w:val="00F317EA"/>
    <w:rsid w:val="00F318C3"/>
    <w:rsid w:val="00F31B70"/>
    <w:rsid w:val="00F31D21"/>
    <w:rsid w:val="00F31F12"/>
    <w:rsid w:val="00F32714"/>
    <w:rsid w:val="00F3276D"/>
    <w:rsid w:val="00F33637"/>
    <w:rsid w:val="00F338D4"/>
    <w:rsid w:val="00F33D92"/>
    <w:rsid w:val="00F33FF9"/>
    <w:rsid w:val="00F340F8"/>
    <w:rsid w:val="00F34268"/>
    <w:rsid w:val="00F34596"/>
    <w:rsid w:val="00F34750"/>
    <w:rsid w:val="00F3492F"/>
    <w:rsid w:val="00F34ADB"/>
    <w:rsid w:val="00F34E70"/>
    <w:rsid w:val="00F35A7A"/>
    <w:rsid w:val="00F361DC"/>
    <w:rsid w:val="00F36365"/>
    <w:rsid w:val="00F36518"/>
    <w:rsid w:val="00F3655F"/>
    <w:rsid w:val="00F36C5E"/>
    <w:rsid w:val="00F3749D"/>
    <w:rsid w:val="00F37721"/>
    <w:rsid w:val="00F379E9"/>
    <w:rsid w:val="00F4013D"/>
    <w:rsid w:val="00F40E32"/>
    <w:rsid w:val="00F40E60"/>
    <w:rsid w:val="00F4104D"/>
    <w:rsid w:val="00F41636"/>
    <w:rsid w:val="00F416B8"/>
    <w:rsid w:val="00F4183E"/>
    <w:rsid w:val="00F42A3A"/>
    <w:rsid w:val="00F42BC4"/>
    <w:rsid w:val="00F42D12"/>
    <w:rsid w:val="00F42E79"/>
    <w:rsid w:val="00F4328C"/>
    <w:rsid w:val="00F437AD"/>
    <w:rsid w:val="00F43E22"/>
    <w:rsid w:val="00F43FB8"/>
    <w:rsid w:val="00F44865"/>
    <w:rsid w:val="00F449CC"/>
    <w:rsid w:val="00F44B2D"/>
    <w:rsid w:val="00F45000"/>
    <w:rsid w:val="00F45075"/>
    <w:rsid w:val="00F45337"/>
    <w:rsid w:val="00F458AE"/>
    <w:rsid w:val="00F4607F"/>
    <w:rsid w:val="00F46377"/>
    <w:rsid w:val="00F4684B"/>
    <w:rsid w:val="00F46C39"/>
    <w:rsid w:val="00F46F61"/>
    <w:rsid w:val="00F4709D"/>
    <w:rsid w:val="00F47A99"/>
    <w:rsid w:val="00F47F19"/>
    <w:rsid w:val="00F501E9"/>
    <w:rsid w:val="00F502BF"/>
    <w:rsid w:val="00F504B2"/>
    <w:rsid w:val="00F507B3"/>
    <w:rsid w:val="00F5114B"/>
    <w:rsid w:val="00F51843"/>
    <w:rsid w:val="00F518C9"/>
    <w:rsid w:val="00F51F1D"/>
    <w:rsid w:val="00F52047"/>
    <w:rsid w:val="00F52334"/>
    <w:rsid w:val="00F52D69"/>
    <w:rsid w:val="00F52DC1"/>
    <w:rsid w:val="00F52FD4"/>
    <w:rsid w:val="00F53441"/>
    <w:rsid w:val="00F5375C"/>
    <w:rsid w:val="00F53987"/>
    <w:rsid w:val="00F53DDF"/>
    <w:rsid w:val="00F541ED"/>
    <w:rsid w:val="00F5552D"/>
    <w:rsid w:val="00F558C6"/>
    <w:rsid w:val="00F55A5C"/>
    <w:rsid w:val="00F55B56"/>
    <w:rsid w:val="00F55CC4"/>
    <w:rsid w:val="00F5649B"/>
    <w:rsid w:val="00F56A9B"/>
    <w:rsid w:val="00F56CD4"/>
    <w:rsid w:val="00F574D6"/>
    <w:rsid w:val="00F575A3"/>
    <w:rsid w:val="00F6006B"/>
    <w:rsid w:val="00F603EB"/>
    <w:rsid w:val="00F60F12"/>
    <w:rsid w:val="00F610F7"/>
    <w:rsid w:val="00F611E2"/>
    <w:rsid w:val="00F6136F"/>
    <w:rsid w:val="00F615E2"/>
    <w:rsid w:val="00F61EBF"/>
    <w:rsid w:val="00F62350"/>
    <w:rsid w:val="00F623EF"/>
    <w:rsid w:val="00F62975"/>
    <w:rsid w:val="00F62EE9"/>
    <w:rsid w:val="00F6311E"/>
    <w:rsid w:val="00F63199"/>
    <w:rsid w:val="00F6322A"/>
    <w:rsid w:val="00F63AF3"/>
    <w:rsid w:val="00F65800"/>
    <w:rsid w:val="00F6582C"/>
    <w:rsid w:val="00F659E6"/>
    <w:rsid w:val="00F65B52"/>
    <w:rsid w:val="00F661BA"/>
    <w:rsid w:val="00F66892"/>
    <w:rsid w:val="00F66CEA"/>
    <w:rsid w:val="00F671EF"/>
    <w:rsid w:val="00F67257"/>
    <w:rsid w:val="00F67585"/>
    <w:rsid w:val="00F67BD0"/>
    <w:rsid w:val="00F67C6A"/>
    <w:rsid w:val="00F67E64"/>
    <w:rsid w:val="00F67F41"/>
    <w:rsid w:val="00F67FE2"/>
    <w:rsid w:val="00F7091F"/>
    <w:rsid w:val="00F70AD7"/>
    <w:rsid w:val="00F70D8A"/>
    <w:rsid w:val="00F70F36"/>
    <w:rsid w:val="00F712BF"/>
    <w:rsid w:val="00F7184B"/>
    <w:rsid w:val="00F71B15"/>
    <w:rsid w:val="00F72357"/>
    <w:rsid w:val="00F726E5"/>
    <w:rsid w:val="00F72AB7"/>
    <w:rsid w:val="00F73651"/>
    <w:rsid w:val="00F73708"/>
    <w:rsid w:val="00F738F4"/>
    <w:rsid w:val="00F73B42"/>
    <w:rsid w:val="00F73D10"/>
    <w:rsid w:val="00F73EE6"/>
    <w:rsid w:val="00F74072"/>
    <w:rsid w:val="00F74091"/>
    <w:rsid w:val="00F757F9"/>
    <w:rsid w:val="00F75ADF"/>
    <w:rsid w:val="00F760AF"/>
    <w:rsid w:val="00F760D1"/>
    <w:rsid w:val="00F7639F"/>
    <w:rsid w:val="00F76417"/>
    <w:rsid w:val="00F76563"/>
    <w:rsid w:val="00F76873"/>
    <w:rsid w:val="00F76DCA"/>
    <w:rsid w:val="00F76EF8"/>
    <w:rsid w:val="00F7731B"/>
    <w:rsid w:val="00F77389"/>
    <w:rsid w:val="00F77591"/>
    <w:rsid w:val="00F77B48"/>
    <w:rsid w:val="00F77BBA"/>
    <w:rsid w:val="00F77D7B"/>
    <w:rsid w:val="00F80896"/>
    <w:rsid w:val="00F80C8A"/>
    <w:rsid w:val="00F81001"/>
    <w:rsid w:val="00F810A1"/>
    <w:rsid w:val="00F81249"/>
    <w:rsid w:val="00F81371"/>
    <w:rsid w:val="00F815AE"/>
    <w:rsid w:val="00F816C1"/>
    <w:rsid w:val="00F81D28"/>
    <w:rsid w:val="00F81E5D"/>
    <w:rsid w:val="00F82A2A"/>
    <w:rsid w:val="00F82FCE"/>
    <w:rsid w:val="00F830D2"/>
    <w:rsid w:val="00F8328F"/>
    <w:rsid w:val="00F837BD"/>
    <w:rsid w:val="00F83F37"/>
    <w:rsid w:val="00F84A1F"/>
    <w:rsid w:val="00F8507A"/>
    <w:rsid w:val="00F85186"/>
    <w:rsid w:val="00F85480"/>
    <w:rsid w:val="00F858F1"/>
    <w:rsid w:val="00F86021"/>
    <w:rsid w:val="00F87A43"/>
    <w:rsid w:val="00F87C29"/>
    <w:rsid w:val="00F901B2"/>
    <w:rsid w:val="00F901C3"/>
    <w:rsid w:val="00F904AA"/>
    <w:rsid w:val="00F90CA3"/>
    <w:rsid w:val="00F9127A"/>
    <w:rsid w:val="00F91528"/>
    <w:rsid w:val="00F916CE"/>
    <w:rsid w:val="00F918AC"/>
    <w:rsid w:val="00F919E0"/>
    <w:rsid w:val="00F921E4"/>
    <w:rsid w:val="00F92383"/>
    <w:rsid w:val="00F92598"/>
    <w:rsid w:val="00F9262B"/>
    <w:rsid w:val="00F93088"/>
    <w:rsid w:val="00F93224"/>
    <w:rsid w:val="00F936BA"/>
    <w:rsid w:val="00F93A75"/>
    <w:rsid w:val="00F93C39"/>
    <w:rsid w:val="00F93F23"/>
    <w:rsid w:val="00F942C7"/>
    <w:rsid w:val="00F94389"/>
    <w:rsid w:val="00F94963"/>
    <w:rsid w:val="00F951E2"/>
    <w:rsid w:val="00F9537D"/>
    <w:rsid w:val="00F95D75"/>
    <w:rsid w:val="00F95E23"/>
    <w:rsid w:val="00F95F35"/>
    <w:rsid w:val="00F95F6C"/>
    <w:rsid w:val="00F96177"/>
    <w:rsid w:val="00F9680E"/>
    <w:rsid w:val="00F969B9"/>
    <w:rsid w:val="00F96DD3"/>
    <w:rsid w:val="00F96DF5"/>
    <w:rsid w:val="00F971BF"/>
    <w:rsid w:val="00F97471"/>
    <w:rsid w:val="00F976BE"/>
    <w:rsid w:val="00F97744"/>
    <w:rsid w:val="00F97C1E"/>
    <w:rsid w:val="00FA0436"/>
    <w:rsid w:val="00FA0592"/>
    <w:rsid w:val="00FA05C9"/>
    <w:rsid w:val="00FA1648"/>
    <w:rsid w:val="00FA16D2"/>
    <w:rsid w:val="00FA1D37"/>
    <w:rsid w:val="00FA2428"/>
    <w:rsid w:val="00FA2596"/>
    <w:rsid w:val="00FA26B9"/>
    <w:rsid w:val="00FA2D22"/>
    <w:rsid w:val="00FA3716"/>
    <w:rsid w:val="00FA3776"/>
    <w:rsid w:val="00FA3794"/>
    <w:rsid w:val="00FA3823"/>
    <w:rsid w:val="00FA3EFE"/>
    <w:rsid w:val="00FA4115"/>
    <w:rsid w:val="00FA4156"/>
    <w:rsid w:val="00FA4182"/>
    <w:rsid w:val="00FA48C4"/>
    <w:rsid w:val="00FA4F0B"/>
    <w:rsid w:val="00FA5508"/>
    <w:rsid w:val="00FA55D7"/>
    <w:rsid w:val="00FA5765"/>
    <w:rsid w:val="00FA5840"/>
    <w:rsid w:val="00FA5B06"/>
    <w:rsid w:val="00FA69BF"/>
    <w:rsid w:val="00FA6B01"/>
    <w:rsid w:val="00FA6C24"/>
    <w:rsid w:val="00FA6ECB"/>
    <w:rsid w:val="00FA6F24"/>
    <w:rsid w:val="00FA72B4"/>
    <w:rsid w:val="00FA7367"/>
    <w:rsid w:val="00FA74A5"/>
    <w:rsid w:val="00FA7A15"/>
    <w:rsid w:val="00FA7A6A"/>
    <w:rsid w:val="00FA7ED7"/>
    <w:rsid w:val="00FB0092"/>
    <w:rsid w:val="00FB096E"/>
    <w:rsid w:val="00FB0ACF"/>
    <w:rsid w:val="00FB0E01"/>
    <w:rsid w:val="00FB0E8F"/>
    <w:rsid w:val="00FB0EC3"/>
    <w:rsid w:val="00FB140F"/>
    <w:rsid w:val="00FB148C"/>
    <w:rsid w:val="00FB1B5D"/>
    <w:rsid w:val="00FB1C8E"/>
    <w:rsid w:val="00FB1DEA"/>
    <w:rsid w:val="00FB1F39"/>
    <w:rsid w:val="00FB2270"/>
    <w:rsid w:val="00FB22E1"/>
    <w:rsid w:val="00FB24CB"/>
    <w:rsid w:val="00FB2A65"/>
    <w:rsid w:val="00FB3419"/>
    <w:rsid w:val="00FB3B5C"/>
    <w:rsid w:val="00FB3D41"/>
    <w:rsid w:val="00FB3E87"/>
    <w:rsid w:val="00FB3F43"/>
    <w:rsid w:val="00FB4C2C"/>
    <w:rsid w:val="00FB5281"/>
    <w:rsid w:val="00FB56D3"/>
    <w:rsid w:val="00FB570B"/>
    <w:rsid w:val="00FB5813"/>
    <w:rsid w:val="00FB5A9A"/>
    <w:rsid w:val="00FB5B0E"/>
    <w:rsid w:val="00FB5B2C"/>
    <w:rsid w:val="00FB5CB7"/>
    <w:rsid w:val="00FB67F4"/>
    <w:rsid w:val="00FB6BBE"/>
    <w:rsid w:val="00FB70A9"/>
    <w:rsid w:val="00FB7FDC"/>
    <w:rsid w:val="00FC04D6"/>
    <w:rsid w:val="00FC0518"/>
    <w:rsid w:val="00FC088F"/>
    <w:rsid w:val="00FC141D"/>
    <w:rsid w:val="00FC1431"/>
    <w:rsid w:val="00FC1A87"/>
    <w:rsid w:val="00FC1B53"/>
    <w:rsid w:val="00FC2033"/>
    <w:rsid w:val="00FC2DDA"/>
    <w:rsid w:val="00FC2FA2"/>
    <w:rsid w:val="00FC3097"/>
    <w:rsid w:val="00FC3141"/>
    <w:rsid w:val="00FC3216"/>
    <w:rsid w:val="00FC3804"/>
    <w:rsid w:val="00FC3836"/>
    <w:rsid w:val="00FC3B2A"/>
    <w:rsid w:val="00FC417B"/>
    <w:rsid w:val="00FC41BB"/>
    <w:rsid w:val="00FC42B2"/>
    <w:rsid w:val="00FC446F"/>
    <w:rsid w:val="00FC45E3"/>
    <w:rsid w:val="00FC4AC0"/>
    <w:rsid w:val="00FC4BDA"/>
    <w:rsid w:val="00FC4C07"/>
    <w:rsid w:val="00FC52FF"/>
    <w:rsid w:val="00FC5498"/>
    <w:rsid w:val="00FC571E"/>
    <w:rsid w:val="00FC59FA"/>
    <w:rsid w:val="00FC5A2D"/>
    <w:rsid w:val="00FC6269"/>
    <w:rsid w:val="00FC63BC"/>
    <w:rsid w:val="00FC65C9"/>
    <w:rsid w:val="00FC67E9"/>
    <w:rsid w:val="00FC6DC4"/>
    <w:rsid w:val="00FC6E02"/>
    <w:rsid w:val="00FC71BB"/>
    <w:rsid w:val="00FC7606"/>
    <w:rsid w:val="00FC7960"/>
    <w:rsid w:val="00FC79C5"/>
    <w:rsid w:val="00FD05A0"/>
    <w:rsid w:val="00FD070F"/>
    <w:rsid w:val="00FD0886"/>
    <w:rsid w:val="00FD0AA8"/>
    <w:rsid w:val="00FD0E7D"/>
    <w:rsid w:val="00FD0F2D"/>
    <w:rsid w:val="00FD108A"/>
    <w:rsid w:val="00FD1212"/>
    <w:rsid w:val="00FD1E52"/>
    <w:rsid w:val="00FD23F1"/>
    <w:rsid w:val="00FD29CD"/>
    <w:rsid w:val="00FD308A"/>
    <w:rsid w:val="00FD3212"/>
    <w:rsid w:val="00FD34BA"/>
    <w:rsid w:val="00FD3571"/>
    <w:rsid w:val="00FD3610"/>
    <w:rsid w:val="00FD3A4A"/>
    <w:rsid w:val="00FD3AE2"/>
    <w:rsid w:val="00FD3D4C"/>
    <w:rsid w:val="00FD4049"/>
    <w:rsid w:val="00FD4257"/>
    <w:rsid w:val="00FD46BF"/>
    <w:rsid w:val="00FD49DF"/>
    <w:rsid w:val="00FD5F5A"/>
    <w:rsid w:val="00FD6037"/>
    <w:rsid w:val="00FD6B02"/>
    <w:rsid w:val="00FD6D3E"/>
    <w:rsid w:val="00FD6EC5"/>
    <w:rsid w:val="00FD6F17"/>
    <w:rsid w:val="00FD7616"/>
    <w:rsid w:val="00FD76DD"/>
    <w:rsid w:val="00FE0854"/>
    <w:rsid w:val="00FE1473"/>
    <w:rsid w:val="00FE1AD5"/>
    <w:rsid w:val="00FE1D77"/>
    <w:rsid w:val="00FE2317"/>
    <w:rsid w:val="00FE2427"/>
    <w:rsid w:val="00FE26A8"/>
    <w:rsid w:val="00FE2D78"/>
    <w:rsid w:val="00FE33CC"/>
    <w:rsid w:val="00FE3407"/>
    <w:rsid w:val="00FE3449"/>
    <w:rsid w:val="00FE3817"/>
    <w:rsid w:val="00FE3D21"/>
    <w:rsid w:val="00FE4035"/>
    <w:rsid w:val="00FE43C5"/>
    <w:rsid w:val="00FE4B27"/>
    <w:rsid w:val="00FE4B50"/>
    <w:rsid w:val="00FE4E02"/>
    <w:rsid w:val="00FE532A"/>
    <w:rsid w:val="00FE5488"/>
    <w:rsid w:val="00FE5519"/>
    <w:rsid w:val="00FE56CA"/>
    <w:rsid w:val="00FE5BE6"/>
    <w:rsid w:val="00FE682F"/>
    <w:rsid w:val="00FE6850"/>
    <w:rsid w:val="00FE6893"/>
    <w:rsid w:val="00FE6B51"/>
    <w:rsid w:val="00FE6B9A"/>
    <w:rsid w:val="00FE6F91"/>
    <w:rsid w:val="00FE7649"/>
    <w:rsid w:val="00FE78FB"/>
    <w:rsid w:val="00FE7929"/>
    <w:rsid w:val="00FE7A80"/>
    <w:rsid w:val="00FE7A9B"/>
    <w:rsid w:val="00FF0253"/>
    <w:rsid w:val="00FF03D5"/>
    <w:rsid w:val="00FF064F"/>
    <w:rsid w:val="00FF06F8"/>
    <w:rsid w:val="00FF0893"/>
    <w:rsid w:val="00FF09F2"/>
    <w:rsid w:val="00FF108D"/>
    <w:rsid w:val="00FF1BB6"/>
    <w:rsid w:val="00FF2347"/>
    <w:rsid w:val="00FF291E"/>
    <w:rsid w:val="00FF2B3E"/>
    <w:rsid w:val="00FF2BDF"/>
    <w:rsid w:val="00FF2C2E"/>
    <w:rsid w:val="00FF381E"/>
    <w:rsid w:val="00FF3B8F"/>
    <w:rsid w:val="00FF41CA"/>
    <w:rsid w:val="00FF47EA"/>
    <w:rsid w:val="00FF4CA4"/>
    <w:rsid w:val="00FF4DFB"/>
    <w:rsid w:val="00FF4F69"/>
    <w:rsid w:val="00FF5360"/>
    <w:rsid w:val="00FF54A3"/>
    <w:rsid w:val="00FF56C5"/>
    <w:rsid w:val="00FF5C5D"/>
    <w:rsid w:val="00FF5FDA"/>
    <w:rsid w:val="00FF6284"/>
    <w:rsid w:val="00FF637D"/>
    <w:rsid w:val="00FF6509"/>
    <w:rsid w:val="00FF657C"/>
    <w:rsid w:val="00FF67BF"/>
    <w:rsid w:val="00FF6F0B"/>
    <w:rsid w:val="00FF726D"/>
    <w:rsid w:val="00FF7935"/>
    <w:rsid w:val="00FF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732D6257"/>
  <w15:docId w15:val="{B26A08A1-BB86-4373-B9FC-31575D12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1" w:qFormat="1"/>
    <w:lsdException w:name="heading 2" w:locked="1" w:uiPriority="0" w:qFormat="1"/>
    <w:lsdException w:name="heading 3" w:locked="1" w:uiPriority="0" w:qFormat="1"/>
    <w:lsdException w:name="heading 4" w:locked="1" w:uiPriority="1" w:qFormat="1"/>
    <w:lsdException w:name="heading 5" w:locked="1" w:uiPriority="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ook Title"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5"/>
    <w:pPr>
      <w:spacing w:line="276" w:lineRule="auto"/>
    </w:pPr>
    <w:rPr>
      <w:rFonts w:ascii="Times New Roman" w:hAnsi="Times New Roman"/>
      <w:sz w:val="24"/>
      <w:szCs w:val="22"/>
    </w:rPr>
  </w:style>
  <w:style w:type="paragraph" w:styleId="Heading1">
    <w:name w:val="heading 1"/>
    <w:basedOn w:val="Normal"/>
    <w:next w:val="Normal"/>
    <w:link w:val="Heading1Char"/>
    <w:uiPriority w:val="1"/>
    <w:qFormat/>
    <w:rsid w:val="00D3415A"/>
    <w:pPr>
      <w:keepNext/>
      <w:keepLines/>
      <w:spacing w:before="480" w:after="280"/>
      <w:contextualSpacing/>
      <w:outlineLvl w:val="0"/>
    </w:pPr>
    <w:rPr>
      <w:b/>
      <w:bCs/>
      <w:szCs w:val="24"/>
    </w:rPr>
  </w:style>
  <w:style w:type="paragraph" w:styleId="Heading2">
    <w:name w:val="heading 2"/>
    <w:basedOn w:val="Normal"/>
    <w:next w:val="Normal"/>
    <w:link w:val="Heading2Char"/>
    <w:qFormat/>
    <w:rsid w:val="00203CF7"/>
    <w:pPr>
      <w:keepNext/>
      <w:keepLines/>
      <w:spacing w:before="200" w:after="200"/>
      <w:outlineLvl w:val="1"/>
    </w:pPr>
    <w:rPr>
      <w:b/>
      <w:bCs/>
      <w:color w:val="000000"/>
      <w:szCs w:val="24"/>
    </w:rPr>
  </w:style>
  <w:style w:type="paragraph" w:styleId="Heading3">
    <w:name w:val="heading 3"/>
    <w:basedOn w:val="Normal"/>
    <w:next w:val="Normal"/>
    <w:link w:val="Heading3Char"/>
    <w:qFormat/>
    <w:rsid w:val="00203CF7"/>
    <w:pPr>
      <w:keepNext/>
      <w:spacing w:before="200" w:after="200"/>
      <w:ind w:left="360"/>
      <w:outlineLvl w:val="2"/>
    </w:pPr>
    <w:rPr>
      <w:b/>
      <w:bCs/>
      <w:i/>
      <w:iCs/>
      <w:color w:val="000000"/>
      <w:szCs w:val="24"/>
    </w:rPr>
  </w:style>
  <w:style w:type="paragraph" w:styleId="Heading4">
    <w:name w:val="heading 4"/>
    <w:basedOn w:val="Normal"/>
    <w:next w:val="Normal"/>
    <w:link w:val="Heading4Char"/>
    <w:uiPriority w:val="1"/>
    <w:qFormat/>
    <w:rsid w:val="001E5C42"/>
    <w:pPr>
      <w:keepNext/>
      <w:keepLines/>
      <w:spacing w:before="200" w:after="200"/>
      <w:ind w:left="720"/>
      <w:outlineLvl w:val="3"/>
    </w:pPr>
    <w:rPr>
      <w:b/>
      <w:bCs/>
      <w:iCs/>
      <w:szCs w:val="24"/>
    </w:rPr>
  </w:style>
  <w:style w:type="paragraph" w:styleId="Heading5">
    <w:name w:val="heading 5"/>
    <w:basedOn w:val="Normal"/>
    <w:next w:val="Normal"/>
    <w:link w:val="Heading5Char"/>
    <w:uiPriority w:val="1"/>
    <w:qFormat/>
    <w:rsid w:val="002C2C74"/>
    <w:pPr>
      <w:keepNext/>
      <w:keepLines/>
      <w:spacing w:before="240" w:after="120"/>
      <w:ind w:left="720"/>
      <w:outlineLvl w:val="4"/>
    </w:pPr>
    <w:rPr>
      <w:b/>
      <w:bCs/>
      <w:color w:val="000000"/>
      <w:szCs w:val="20"/>
    </w:rPr>
  </w:style>
  <w:style w:type="paragraph" w:styleId="Heading6">
    <w:name w:val="heading 6"/>
    <w:basedOn w:val="Normal"/>
    <w:next w:val="Normal"/>
    <w:link w:val="Heading6Char"/>
    <w:autoRedefine/>
    <w:uiPriority w:val="99"/>
    <w:qFormat/>
    <w:rsid w:val="00204909"/>
    <w:pPr>
      <w:keepNext/>
      <w:keepLines/>
      <w:spacing w:before="400" w:after="200" w:line="240" w:lineRule="auto"/>
      <w:jc w:val="center"/>
      <w:outlineLvl w:val="5"/>
    </w:pPr>
    <w:rPr>
      <w:b/>
      <w:bCs/>
      <w:iCs/>
    </w:rPr>
  </w:style>
  <w:style w:type="paragraph" w:styleId="Heading7">
    <w:name w:val="heading 7"/>
    <w:basedOn w:val="Normal"/>
    <w:next w:val="Normal"/>
    <w:link w:val="Heading7Char"/>
    <w:uiPriority w:val="99"/>
    <w:qFormat/>
    <w:rsid w:val="003C1966"/>
    <w:pPr>
      <w:outlineLvl w:val="6"/>
    </w:pPr>
    <w:rPr>
      <w:rFonts w:ascii="Cambria" w:hAnsi="Cambria"/>
      <w:i/>
      <w:iCs/>
    </w:rPr>
  </w:style>
  <w:style w:type="paragraph" w:styleId="Heading8">
    <w:name w:val="heading 8"/>
    <w:basedOn w:val="Normal"/>
    <w:next w:val="Normal"/>
    <w:link w:val="Heading8Char"/>
    <w:uiPriority w:val="99"/>
    <w:qFormat/>
    <w:rsid w:val="003C1966"/>
    <w:pPr>
      <w:outlineLvl w:val="7"/>
    </w:pPr>
    <w:rPr>
      <w:rFonts w:ascii="Cambria" w:hAnsi="Cambria"/>
      <w:sz w:val="20"/>
      <w:szCs w:val="20"/>
    </w:rPr>
  </w:style>
  <w:style w:type="paragraph" w:styleId="Heading9">
    <w:name w:val="heading 9"/>
    <w:basedOn w:val="Normal"/>
    <w:next w:val="Normal"/>
    <w:link w:val="Heading9Char"/>
    <w:uiPriority w:val="99"/>
    <w:qFormat/>
    <w:rsid w:val="00060C84"/>
    <w:pPr>
      <w:jc w:val="center"/>
      <w:outlineLvl w:val="8"/>
    </w:pPr>
    <w:rPr>
      <w:rFonts w:asciiTheme="majorHAnsi" w:hAnsiTheme="majorHAnsi" w:cstheme="majorHAnsi"/>
      <w:b/>
      <w:iCs/>
      <w:spacing w:val="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0951C5"/>
    <w:rPr>
      <w:rFonts w:ascii="Times New Roman" w:hAnsi="Times New Roman"/>
      <w:b/>
      <w:bCs/>
      <w:sz w:val="24"/>
      <w:szCs w:val="24"/>
    </w:rPr>
  </w:style>
  <w:style w:type="character" w:customStyle="1" w:styleId="Heading2Char">
    <w:name w:val="Heading 2 Char"/>
    <w:link w:val="Heading2"/>
    <w:locked/>
    <w:rsid w:val="000951C5"/>
    <w:rPr>
      <w:rFonts w:ascii="Times New Roman" w:hAnsi="Times New Roman"/>
      <w:b/>
      <w:bCs/>
      <w:color w:val="000000"/>
      <w:sz w:val="24"/>
      <w:szCs w:val="24"/>
    </w:rPr>
  </w:style>
  <w:style w:type="character" w:customStyle="1" w:styleId="Heading3Char">
    <w:name w:val="Heading 3 Char"/>
    <w:link w:val="Heading3"/>
    <w:locked/>
    <w:rsid w:val="000951C5"/>
    <w:rPr>
      <w:rFonts w:ascii="Times New Roman" w:hAnsi="Times New Roman"/>
      <w:b/>
      <w:bCs/>
      <w:i/>
      <w:iCs/>
      <w:color w:val="000000"/>
      <w:sz w:val="24"/>
      <w:szCs w:val="24"/>
    </w:rPr>
  </w:style>
  <w:style w:type="character" w:customStyle="1" w:styleId="Heading4Char">
    <w:name w:val="Heading 4 Char"/>
    <w:link w:val="Heading4"/>
    <w:uiPriority w:val="1"/>
    <w:locked/>
    <w:rsid w:val="001E5C42"/>
    <w:rPr>
      <w:rFonts w:ascii="Times New Roman" w:hAnsi="Times New Roman"/>
      <w:b/>
      <w:bCs/>
      <w:iCs/>
      <w:sz w:val="24"/>
      <w:szCs w:val="24"/>
    </w:rPr>
  </w:style>
  <w:style w:type="character" w:customStyle="1" w:styleId="Heading5Char">
    <w:name w:val="Heading 5 Char"/>
    <w:link w:val="Heading5"/>
    <w:uiPriority w:val="1"/>
    <w:locked/>
    <w:rsid w:val="002C2C74"/>
    <w:rPr>
      <w:rFonts w:ascii="Times New Roman" w:hAnsi="Times New Roman"/>
      <w:b/>
      <w:bCs/>
      <w:color w:val="000000"/>
      <w:sz w:val="24"/>
    </w:rPr>
  </w:style>
  <w:style w:type="character" w:customStyle="1" w:styleId="Heading6Char">
    <w:name w:val="Heading 6 Char"/>
    <w:link w:val="Heading6"/>
    <w:uiPriority w:val="99"/>
    <w:locked/>
    <w:rsid w:val="00204909"/>
    <w:rPr>
      <w:rFonts w:ascii="Times New Roman" w:hAnsi="Times New Roman"/>
      <w:b/>
      <w:bCs/>
      <w:iCs/>
      <w:sz w:val="24"/>
      <w:szCs w:val="22"/>
    </w:rPr>
  </w:style>
  <w:style w:type="character" w:customStyle="1" w:styleId="Heading7Char">
    <w:name w:val="Heading 7 Char"/>
    <w:link w:val="Heading7"/>
    <w:uiPriority w:val="99"/>
    <w:locked/>
    <w:rsid w:val="003C1966"/>
    <w:rPr>
      <w:rFonts w:ascii="Cambria" w:hAnsi="Cambria" w:cs="Times New Roman"/>
      <w:i/>
      <w:iCs/>
    </w:rPr>
  </w:style>
  <w:style w:type="character" w:customStyle="1" w:styleId="Heading8Char">
    <w:name w:val="Heading 8 Char"/>
    <w:link w:val="Heading8"/>
    <w:uiPriority w:val="99"/>
    <w:locked/>
    <w:rsid w:val="003C1966"/>
    <w:rPr>
      <w:rFonts w:ascii="Cambria" w:hAnsi="Cambria" w:cs="Times New Roman"/>
      <w:sz w:val="20"/>
      <w:szCs w:val="20"/>
    </w:rPr>
  </w:style>
  <w:style w:type="character" w:customStyle="1" w:styleId="Heading9Char">
    <w:name w:val="Heading 9 Char"/>
    <w:link w:val="Heading9"/>
    <w:uiPriority w:val="99"/>
    <w:locked/>
    <w:rsid w:val="00060C84"/>
    <w:rPr>
      <w:rFonts w:asciiTheme="majorHAnsi" w:hAnsiTheme="majorHAnsi" w:cstheme="majorHAnsi"/>
      <w:b/>
      <w:iCs/>
      <w:spacing w:val="5"/>
      <w:sz w:val="24"/>
      <w:szCs w:val="24"/>
    </w:rPr>
  </w:style>
  <w:style w:type="paragraph" w:styleId="Footer">
    <w:name w:val="footer"/>
    <w:basedOn w:val="Normal"/>
    <w:link w:val="FooterChar"/>
    <w:uiPriority w:val="99"/>
    <w:rsid w:val="00453E69"/>
    <w:pPr>
      <w:tabs>
        <w:tab w:val="center" w:pos="4320"/>
        <w:tab w:val="right" w:pos="8640"/>
      </w:tabs>
      <w:autoSpaceDE w:val="0"/>
      <w:autoSpaceDN w:val="0"/>
      <w:adjustRightInd w:val="0"/>
    </w:pPr>
  </w:style>
  <w:style w:type="character" w:customStyle="1" w:styleId="FooterChar">
    <w:name w:val="Footer Char"/>
    <w:link w:val="Footer"/>
    <w:uiPriority w:val="99"/>
    <w:locked/>
    <w:rsid w:val="00230741"/>
    <w:rPr>
      <w:rFonts w:cs="Times New Roman"/>
      <w:sz w:val="24"/>
      <w:szCs w:val="24"/>
    </w:rPr>
  </w:style>
  <w:style w:type="character" w:styleId="PageNumber">
    <w:name w:val="page number"/>
    <w:rsid w:val="00453E69"/>
    <w:rPr>
      <w:rFonts w:cs="Times New Roman"/>
    </w:rPr>
  </w:style>
  <w:style w:type="paragraph" w:styleId="NormalWeb">
    <w:name w:val="Normal (Web)"/>
    <w:basedOn w:val="Normal"/>
    <w:uiPriority w:val="99"/>
    <w:rsid w:val="00B47BF3"/>
    <w:pPr>
      <w:spacing w:after="300"/>
    </w:pPr>
    <w:rPr>
      <w:rFonts w:ascii="Verdana" w:hAnsi="Verdana"/>
    </w:rPr>
  </w:style>
  <w:style w:type="table" w:styleId="TableGrid">
    <w:name w:val="Table Grid"/>
    <w:basedOn w:val="TableNormal"/>
    <w:uiPriority w:val="39"/>
    <w:rsid w:val="00B4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F7F36"/>
    <w:pPr>
      <w:tabs>
        <w:tab w:val="center" w:pos="4320"/>
        <w:tab w:val="right" w:pos="8640"/>
      </w:tabs>
    </w:pPr>
  </w:style>
  <w:style w:type="character" w:customStyle="1" w:styleId="HeaderChar">
    <w:name w:val="Header Char"/>
    <w:link w:val="Header"/>
    <w:uiPriority w:val="99"/>
    <w:locked/>
    <w:rsid w:val="000619D5"/>
    <w:rPr>
      <w:rFonts w:cs="Times New Roman"/>
    </w:rPr>
  </w:style>
  <w:style w:type="paragraph" w:styleId="BalloonText">
    <w:name w:val="Balloon Text"/>
    <w:basedOn w:val="Normal"/>
    <w:link w:val="BalloonTextChar"/>
    <w:uiPriority w:val="99"/>
    <w:semiHidden/>
    <w:rsid w:val="006A089D"/>
    <w:rPr>
      <w:rFonts w:ascii="Tahoma" w:hAnsi="Tahoma" w:cs="Tahoma"/>
      <w:sz w:val="16"/>
      <w:szCs w:val="16"/>
    </w:rPr>
  </w:style>
  <w:style w:type="character" w:customStyle="1" w:styleId="BalloonTextChar">
    <w:name w:val="Balloon Text Char"/>
    <w:link w:val="BalloonText"/>
    <w:uiPriority w:val="99"/>
    <w:semiHidden/>
    <w:rsid w:val="001536FA"/>
    <w:rPr>
      <w:rFonts w:ascii="Times New Roman" w:hAnsi="Times New Roman"/>
      <w:sz w:val="0"/>
      <w:szCs w:val="0"/>
    </w:rPr>
  </w:style>
  <w:style w:type="paragraph" w:styleId="DocumentMap">
    <w:name w:val="Document Map"/>
    <w:basedOn w:val="Normal"/>
    <w:link w:val="DocumentMapChar"/>
    <w:semiHidden/>
    <w:rsid w:val="0009744E"/>
    <w:pPr>
      <w:shd w:val="clear" w:color="auto" w:fill="000080"/>
    </w:pPr>
    <w:rPr>
      <w:rFonts w:ascii="Tahoma" w:hAnsi="Tahoma" w:cs="Tahoma"/>
    </w:rPr>
  </w:style>
  <w:style w:type="character" w:customStyle="1" w:styleId="DocumentMapChar">
    <w:name w:val="Document Map Char"/>
    <w:link w:val="DocumentMap"/>
    <w:semiHidden/>
    <w:rsid w:val="001536FA"/>
    <w:rPr>
      <w:rFonts w:ascii="Times New Roman" w:hAnsi="Times New Roman"/>
      <w:sz w:val="0"/>
      <w:szCs w:val="0"/>
    </w:rPr>
  </w:style>
  <w:style w:type="paragraph" w:customStyle="1" w:styleId="Default">
    <w:name w:val="Default"/>
    <w:link w:val="DefaultChar"/>
    <w:rsid w:val="00B50B39"/>
    <w:pPr>
      <w:autoSpaceDE w:val="0"/>
      <w:autoSpaceDN w:val="0"/>
      <w:adjustRightInd w:val="0"/>
      <w:spacing w:after="200" w:line="276" w:lineRule="auto"/>
    </w:pPr>
    <w:rPr>
      <w:color w:val="000000"/>
      <w:sz w:val="24"/>
      <w:szCs w:val="24"/>
    </w:rPr>
  </w:style>
  <w:style w:type="character" w:customStyle="1" w:styleId="DefaultChar">
    <w:name w:val="Default Char"/>
    <w:link w:val="Default"/>
    <w:locked/>
    <w:rsid w:val="007D2368"/>
    <w:rPr>
      <w:color w:val="000000"/>
      <w:sz w:val="24"/>
      <w:szCs w:val="24"/>
      <w:lang w:val="en-US" w:eastAsia="en-US" w:bidi="ar-SA"/>
    </w:rPr>
  </w:style>
  <w:style w:type="paragraph" w:styleId="FootnoteText">
    <w:name w:val="footnote text"/>
    <w:aliases w:val="Footnote Text - NEW"/>
    <w:basedOn w:val="Normal"/>
    <w:link w:val="FootnoteTextChar"/>
    <w:uiPriority w:val="99"/>
    <w:rsid w:val="005B247B"/>
  </w:style>
  <w:style w:type="character" w:customStyle="1" w:styleId="FootnoteTextChar">
    <w:name w:val="Footnote Text Char"/>
    <w:aliases w:val="Footnote Text - NEW Char"/>
    <w:link w:val="FootnoteText"/>
    <w:uiPriority w:val="99"/>
    <w:rsid w:val="001536FA"/>
    <w:rPr>
      <w:sz w:val="20"/>
      <w:szCs w:val="20"/>
    </w:rPr>
  </w:style>
  <w:style w:type="character" w:styleId="FootnoteReference">
    <w:name w:val="footnote reference"/>
    <w:uiPriority w:val="99"/>
    <w:rsid w:val="005B247B"/>
    <w:rPr>
      <w:rFonts w:cs="Times New Roman"/>
      <w:vertAlign w:val="superscript"/>
    </w:rPr>
  </w:style>
  <w:style w:type="paragraph" w:customStyle="1" w:styleId="Normal3">
    <w:name w:val="Normal+3"/>
    <w:basedOn w:val="Default"/>
    <w:next w:val="Default"/>
    <w:uiPriority w:val="99"/>
    <w:rsid w:val="00410766"/>
    <w:rPr>
      <w:color w:val="auto"/>
    </w:rPr>
  </w:style>
  <w:style w:type="character" w:customStyle="1" w:styleId="Heading2Char1">
    <w:name w:val="Heading 2 Char1"/>
    <w:uiPriority w:val="99"/>
    <w:locked/>
    <w:rsid w:val="001F007B"/>
    <w:rPr>
      <w:rFonts w:cs="Arial"/>
      <w:b/>
      <w:iCs/>
      <w:sz w:val="28"/>
      <w:szCs w:val="28"/>
      <w:u w:val="single"/>
      <w:lang w:val="en-US" w:eastAsia="en-US" w:bidi="ar-SA"/>
    </w:rPr>
  </w:style>
  <w:style w:type="character" w:styleId="Hyperlink">
    <w:name w:val="Hyperlink"/>
    <w:uiPriority w:val="99"/>
    <w:rsid w:val="008969F7"/>
    <w:rPr>
      <w:color w:val="0000FF"/>
      <w:u w:val="single"/>
    </w:rPr>
  </w:style>
  <w:style w:type="paragraph" w:styleId="ListBullet">
    <w:name w:val="List Bullet"/>
    <w:basedOn w:val="Normal"/>
    <w:uiPriority w:val="99"/>
    <w:rsid w:val="00D012F0"/>
    <w:pPr>
      <w:numPr>
        <w:numId w:val="3"/>
      </w:numPr>
    </w:pPr>
  </w:style>
  <w:style w:type="paragraph" w:styleId="ListBullet2">
    <w:name w:val="List Bullet 2"/>
    <w:basedOn w:val="Normal"/>
    <w:uiPriority w:val="99"/>
    <w:rsid w:val="00913296"/>
    <w:pPr>
      <w:tabs>
        <w:tab w:val="num" w:pos="720"/>
      </w:tabs>
      <w:ind w:left="720" w:hanging="360"/>
    </w:pPr>
  </w:style>
  <w:style w:type="paragraph" w:styleId="TOC3">
    <w:name w:val="toc 3"/>
    <w:basedOn w:val="Normal"/>
    <w:next w:val="Normal"/>
    <w:uiPriority w:val="39"/>
    <w:qFormat/>
    <w:rsid w:val="00AD237C"/>
    <w:pPr>
      <w:tabs>
        <w:tab w:val="left" w:pos="1109"/>
        <w:tab w:val="right" w:leader="dot" w:pos="9360"/>
      </w:tabs>
      <w:ind w:left="1296" w:right="432" w:hanging="576"/>
    </w:pPr>
  </w:style>
  <w:style w:type="paragraph" w:styleId="TOC1">
    <w:name w:val="toc 1"/>
    <w:basedOn w:val="Normal"/>
    <w:next w:val="Normal"/>
    <w:uiPriority w:val="39"/>
    <w:qFormat/>
    <w:rsid w:val="00EF1DDC"/>
    <w:pPr>
      <w:tabs>
        <w:tab w:val="right" w:leader="dot" w:pos="9360"/>
      </w:tabs>
      <w:spacing w:before="120"/>
      <w:ind w:left="720" w:right="432" w:hanging="720"/>
    </w:pPr>
    <w:rPr>
      <w:rFonts w:cs="Arial"/>
      <w:bCs/>
    </w:rPr>
  </w:style>
  <w:style w:type="paragraph" w:styleId="TOC2">
    <w:name w:val="toc 2"/>
    <w:basedOn w:val="Normal"/>
    <w:next w:val="Normal"/>
    <w:uiPriority w:val="39"/>
    <w:qFormat/>
    <w:rsid w:val="00D43306"/>
    <w:pPr>
      <w:tabs>
        <w:tab w:val="right" w:leader="dot" w:pos="9360"/>
      </w:tabs>
      <w:ind w:left="936" w:right="432" w:hanging="576"/>
    </w:pPr>
    <w:rPr>
      <w:bCs/>
      <w:noProof/>
    </w:rPr>
  </w:style>
  <w:style w:type="paragraph" w:styleId="TOC4">
    <w:name w:val="toc 4"/>
    <w:basedOn w:val="Normal"/>
    <w:next w:val="Normal"/>
    <w:autoRedefine/>
    <w:uiPriority w:val="39"/>
    <w:qFormat/>
    <w:rsid w:val="00AD237C"/>
    <w:pPr>
      <w:tabs>
        <w:tab w:val="right" w:leader="dot" w:pos="9360"/>
      </w:tabs>
      <w:spacing w:after="80" w:line="240" w:lineRule="auto"/>
      <w:ind w:left="1656" w:right="432" w:hanging="576"/>
    </w:pPr>
  </w:style>
  <w:style w:type="paragraph" w:styleId="TOC5">
    <w:name w:val="toc 5"/>
    <w:basedOn w:val="Normal"/>
    <w:next w:val="Normal"/>
    <w:autoRedefine/>
    <w:uiPriority w:val="39"/>
    <w:qFormat/>
    <w:rsid w:val="007D2368"/>
    <w:pPr>
      <w:ind w:left="720"/>
    </w:pPr>
  </w:style>
  <w:style w:type="paragraph" w:styleId="TOC6">
    <w:name w:val="toc 6"/>
    <w:basedOn w:val="Normal"/>
    <w:next w:val="Normal"/>
    <w:autoRedefine/>
    <w:uiPriority w:val="39"/>
    <w:qFormat/>
    <w:rsid w:val="007D2368"/>
    <w:pPr>
      <w:ind w:left="960"/>
    </w:pPr>
  </w:style>
  <w:style w:type="paragraph" w:styleId="TOC7">
    <w:name w:val="toc 7"/>
    <w:basedOn w:val="Normal"/>
    <w:next w:val="Normal"/>
    <w:autoRedefine/>
    <w:uiPriority w:val="39"/>
    <w:rsid w:val="007D2368"/>
    <w:pPr>
      <w:ind w:left="1200"/>
    </w:pPr>
  </w:style>
  <w:style w:type="paragraph" w:styleId="TOC8">
    <w:name w:val="toc 8"/>
    <w:basedOn w:val="Normal"/>
    <w:next w:val="Normal"/>
    <w:autoRedefine/>
    <w:uiPriority w:val="39"/>
    <w:rsid w:val="007D2368"/>
    <w:pPr>
      <w:ind w:left="1440"/>
    </w:pPr>
  </w:style>
  <w:style w:type="paragraph" w:styleId="TOC9">
    <w:name w:val="toc 9"/>
    <w:basedOn w:val="Normal"/>
    <w:next w:val="Normal"/>
    <w:autoRedefine/>
    <w:uiPriority w:val="39"/>
    <w:rsid w:val="007D2368"/>
    <w:pPr>
      <w:ind w:left="1680"/>
    </w:pPr>
  </w:style>
  <w:style w:type="paragraph" w:customStyle="1" w:styleId="BodyText1">
    <w:name w:val="Body Text1"/>
    <w:aliases w:val="bt"/>
    <w:basedOn w:val="Normal"/>
    <w:uiPriority w:val="99"/>
    <w:rsid w:val="006371BF"/>
    <w:pPr>
      <w:spacing w:after="160"/>
    </w:pPr>
  </w:style>
  <w:style w:type="character" w:styleId="CommentReference">
    <w:name w:val="annotation reference"/>
    <w:uiPriority w:val="99"/>
    <w:rsid w:val="00057396"/>
    <w:rPr>
      <w:rFonts w:cs="Times New Roman"/>
      <w:sz w:val="16"/>
      <w:szCs w:val="16"/>
    </w:rPr>
  </w:style>
  <w:style w:type="paragraph" w:styleId="CommentText">
    <w:name w:val="annotation text"/>
    <w:aliases w:val="t"/>
    <w:basedOn w:val="Normal"/>
    <w:link w:val="CommentTextChar"/>
    <w:uiPriority w:val="99"/>
    <w:rsid w:val="00057396"/>
  </w:style>
  <w:style w:type="character" w:customStyle="1" w:styleId="CommentTextChar">
    <w:name w:val="Comment Text Char"/>
    <w:aliases w:val="t Char"/>
    <w:link w:val="CommentText"/>
    <w:uiPriority w:val="99"/>
    <w:locked/>
    <w:rsid w:val="006F1B0D"/>
    <w:rPr>
      <w:rFonts w:cs="Times New Roman"/>
    </w:rPr>
  </w:style>
  <w:style w:type="paragraph" w:styleId="CommentSubject">
    <w:name w:val="annotation subject"/>
    <w:basedOn w:val="CommentText"/>
    <w:next w:val="CommentText"/>
    <w:link w:val="CommentSubjectChar"/>
    <w:uiPriority w:val="99"/>
    <w:semiHidden/>
    <w:rsid w:val="00057396"/>
    <w:rPr>
      <w:b/>
      <w:bCs/>
    </w:rPr>
  </w:style>
  <w:style w:type="character" w:customStyle="1" w:styleId="CommentSubjectChar">
    <w:name w:val="Comment Subject Char"/>
    <w:link w:val="CommentSubject"/>
    <w:uiPriority w:val="99"/>
    <w:semiHidden/>
    <w:rsid w:val="001536FA"/>
    <w:rPr>
      <w:rFonts w:cs="Times New Roman"/>
      <w:b/>
      <w:bCs/>
      <w:sz w:val="20"/>
      <w:szCs w:val="20"/>
    </w:rPr>
  </w:style>
  <w:style w:type="paragraph" w:customStyle="1" w:styleId="HeadingA">
    <w:name w:val="Heading A"/>
    <w:basedOn w:val="Heading2"/>
    <w:autoRedefine/>
    <w:uiPriority w:val="99"/>
    <w:rsid w:val="007C3604"/>
    <w:pPr>
      <w:spacing w:after="120"/>
    </w:pPr>
  </w:style>
  <w:style w:type="paragraph" w:customStyle="1" w:styleId="HeadingB">
    <w:name w:val="Heading B"/>
    <w:basedOn w:val="HeadingA"/>
    <w:uiPriority w:val="99"/>
    <w:rsid w:val="00EC1D19"/>
    <w:pPr>
      <w:ind w:left="864"/>
    </w:pPr>
  </w:style>
  <w:style w:type="paragraph" w:customStyle="1" w:styleId="Bodytext">
    <w:name w:val="Bodytext"/>
    <w:basedOn w:val="Normal"/>
    <w:rsid w:val="009D5FD7"/>
    <w:pPr>
      <w:spacing w:after="160"/>
    </w:pPr>
  </w:style>
  <w:style w:type="paragraph" w:styleId="ListBullet3">
    <w:name w:val="List Bullet 3"/>
    <w:basedOn w:val="Normal"/>
    <w:uiPriority w:val="99"/>
    <w:rsid w:val="002B59AE"/>
    <w:pPr>
      <w:tabs>
        <w:tab w:val="num" w:pos="1080"/>
      </w:tabs>
      <w:ind w:left="1080" w:hanging="360"/>
    </w:pPr>
  </w:style>
  <w:style w:type="paragraph" w:styleId="List2">
    <w:name w:val="List 2"/>
    <w:basedOn w:val="Normal"/>
    <w:uiPriority w:val="99"/>
    <w:rsid w:val="003D48BE"/>
    <w:pPr>
      <w:ind w:left="720" w:hanging="360"/>
    </w:pPr>
  </w:style>
  <w:style w:type="paragraph" w:styleId="List3">
    <w:name w:val="List 3"/>
    <w:basedOn w:val="Normal"/>
    <w:uiPriority w:val="99"/>
    <w:rsid w:val="003D48BE"/>
    <w:pPr>
      <w:ind w:left="1080" w:hanging="360"/>
    </w:pPr>
  </w:style>
  <w:style w:type="character" w:styleId="FollowedHyperlink">
    <w:name w:val="FollowedHyperlink"/>
    <w:uiPriority w:val="99"/>
    <w:rsid w:val="00872E19"/>
    <w:rPr>
      <w:rFonts w:cs="Times New Roman"/>
      <w:color w:val="0000FF"/>
      <w:u w:val="single"/>
    </w:rPr>
  </w:style>
  <w:style w:type="paragraph" w:customStyle="1" w:styleId="TableNote">
    <w:name w:val="Table Note"/>
    <w:basedOn w:val="Normal"/>
    <w:uiPriority w:val="99"/>
    <w:rsid w:val="001F007B"/>
    <w:pPr>
      <w:keepNext/>
      <w:keepLines/>
      <w:spacing w:before="80"/>
      <w:ind w:right="720"/>
    </w:pPr>
    <w:rPr>
      <w:sz w:val="16"/>
      <w:szCs w:val="16"/>
    </w:rPr>
  </w:style>
  <w:style w:type="paragraph" w:styleId="BodyText0">
    <w:name w:val="Body Text"/>
    <w:basedOn w:val="Default"/>
    <w:link w:val="BodyTextChar"/>
    <w:uiPriority w:val="99"/>
    <w:qFormat/>
    <w:rsid w:val="000951C5"/>
    <w:pPr>
      <w:spacing w:before="200"/>
    </w:pPr>
    <w:rPr>
      <w:rFonts w:ascii="Times New Roman" w:hAnsi="Times New Roman"/>
    </w:rPr>
  </w:style>
  <w:style w:type="character" w:customStyle="1" w:styleId="BodyTextChar">
    <w:name w:val="Body Text Char"/>
    <w:link w:val="BodyText0"/>
    <w:uiPriority w:val="99"/>
    <w:rsid w:val="000951C5"/>
    <w:rPr>
      <w:rFonts w:ascii="Times New Roman" w:hAnsi="Times New Roman"/>
      <w:color w:val="000000"/>
      <w:sz w:val="24"/>
      <w:szCs w:val="24"/>
    </w:rPr>
  </w:style>
  <w:style w:type="paragraph" w:styleId="TOCHeading">
    <w:name w:val="TOC Heading"/>
    <w:basedOn w:val="Heading1"/>
    <w:next w:val="Normal"/>
    <w:uiPriority w:val="39"/>
    <w:qFormat/>
    <w:rsid w:val="003C1966"/>
    <w:pPr>
      <w:outlineLvl w:val="9"/>
    </w:pPr>
  </w:style>
  <w:style w:type="paragraph" w:styleId="Revision">
    <w:name w:val="Revision"/>
    <w:hidden/>
    <w:uiPriority w:val="99"/>
    <w:semiHidden/>
    <w:rsid w:val="0081599C"/>
    <w:pPr>
      <w:spacing w:after="200" w:line="276" w:lineRule="auto"/>
    </w:pPr>
    <w:rPr>
      <w:sz w:val="22"/>
      <w:szCs w:val="22"/>
      <w:shd w:val="clear" w:color="auto" w:fill="FFFF00"/>
    </w:rPr>
  </w:style>
  <w:style w:type="paragraph" w:styleId="Title">
    <w:name w:val="Title"/>
    <w:basedOn w:val="Normal"/>
    <w:next w:val="Normal"/>
    <w:link w:val="TitleChar"/>
    <w:uiPriority w:val="99"/>
    <w:qFormat/>
    <w:rsid w:val="003C1966"/>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3C1966"/>
    <w:rPr>
      <w:rFonts w:ascii="Cambria" w:hAnsi="Cambria" w:cs="Times New Roman"/>
      <w:spacing w:val="5"/>
      <w:sz w:val="52"/>
      <w:szCs w:val="52"/>
    </w:rPr>
  </w:style>
  <w:style w:type="paragraph" w:styleId="Subtitle">
    <w:name w:val="Subtitle"/>
    <w:basedOn w:val="Normal"/>
    <w:next w:val="Normal"/>
    <w:link w:val="SubtitleChar"/>
    <w:uiPriority w:val="99"/>
    <w:qFormat/>
    <w:rsid w:val="003C1966"/>
    <w:pPr>
      <w:spacing w:after="600"/>
    </w:pPr>
    <w:rPr>
      <w:rFonts w:ascii="Cambria" w:hAnsi="Cambria"/>
      <w:i/>
      <w:iCs/>
      <w:spacing w:val="13"/>
      <w:szCs w:val="24"/>
    </w:rPr>
  </w:style>
  <w:style w:type="character" w:customStyle="1" w:styleId="SubtitleChar">
    <w:name w:val="Subtitle Char"/>
    <w:link w:val="Subtitle"/>
    <w:uiPriority w:val="99"/>
    <w:locked/>
    <w:rsid w:val="003C1966"/>
    <w:rPr>
      <w:rFonts w:ascii="Cambria" w:hAnsi="Cambria" w:cs="Times New Roman"/>
      <w:i/>
      <w:iCs/>
      <w:spacing w:val="13"/>
      <w:sz w:val="24"/>
      <w:szCs w:val="24"/>
    </w:rPr>
  </w:style>
  <w:style w:type="character" w:styleId="Strong">
    <w:name w:val="Strong"/>
    <w:uiPriority w:val="22"/>
    <w:qFormat/>
    <w:rsid w:val="003C1966"/>
    <w:rPr>
      <w:rFonts w:cs="Times New Roman"/>
      <w:b/>
    </w:rPr>
  </w:style>
  <w:style w:type="character" w:styleId="Emphasis">
    <w:name w:val="Emphasis"/>
    <w:uiPriority w:val="20"/>
    <w:qFormat/>
    <w:rsid w:val="003C1966"/>
    <w:rPr>
      <w:rFonts w:cs="Times New Roman"/>
      <w:b/>
      <w:i/>
      <w:spacing w:val="10"/>
      <w:shd w:val="clear" w:color="auto" w:fill="auto"/>
    </w:rPr>
  </w:style>
  <w:style w:type="paragraph" w:styleId="NoSpacing">
    <w:name w:val="No Spacing"/>
    <w:basedOn w:val="Normal"/>
    <w:uiPriority w:val="1"/>
    <w:qFormat/>
    <w:rsid w:val="003C1966"/>
    <w:pPr>
      <w:spacing w:line="240" w:lineRule="auto"/>
    </w:pPr>
  </w:style>
  <w:style w:type="paragraph" w:styleId="ListParagraph">
    <w:name w:val="List Paragraph"/>
    <w:basedOn w:val="Normal"/>
    <w:link w:val="ListParagraphChar"/>
    <w:uiPriority w:val="34"/>
    <w:qFormat/>
    <w:rsid w:val="003C1966"/>
    <w:pPr>
      <w:ind w:left="720"/>
      <w:contextualSpacing/>
    </w:pPr>
  </w:style>
  <w:style w:type="paragraph" w:styleId="Quote">
    <w:name w:val="Quote"/>
    <w:basedOn w:val="Normal"/>
    <w:next w:val="Normal"/>
    <w:link w:val="QuoteChar"/>
    <w:uiPriority w:val="99"/>
    <w:qFormat/>
    <w:rsid w:val="003C1966"/>
    <w:pPr>
      <w:spacing w:before="200"/>
      <w:ind w:left="360" w:right="360"/>
    </w:pPr>
    <w:rPr>
      <w:i/>
      <w:iCs/>
    </w:rPr>
  </w:style>
  <w:style w:type="character" w:customStyle="1" w:styleId="QuoteChar">
    <w:name w:val="Quote Char"/>
    <w:link w:val="Quote"/>
    <w:uiPriority w:val="99"/>
    <w:locked/>
    <w:rsid w:val="003C1966"/>
    <w:rPr>
      <w:rFonts w:cs="Times New Roman"/>
      <w:i/>
      <w:iCs/>
    </w:rPr>
  </w:style>
  <w:style w:type="paragraph" w:styleId="IntenseQuote">
    <w:name w:val="Intense Quote"/>
    <w:basedOn w:val="Normal"/>
    <w:next w:val="Normal"/>
    <w:link w:val="IntenseQuoteChar"/>
    <w:uiPriority w:val="99"/>
    <w:qFormat/>
    <w:rsid w:val="003C1966"/>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3C1966"/>
    <w:rPr>
      <w:rFonts w:cs="Times New Roman"/>
      <w:b/>
      <w:bCs/>
      <w:i/>
      <w:iCs/>
    </w:rPr>
  </w:style>
  <w:style w:type="character" w:styleId="SubtleEmphasis">
    <w:name w:val="Subtle Emphasis"/>
    <w:uiPriority w:val="99"/>
    <w:qFormat/>
    <w:rsid w:val="003C1966"/>
    <w:rPr>
      <w:i/>
    </w:rPr>
  </w:style>
  <w:style w:type="character" w:styleId="IntenseEmphasis">
    <w:name w:val="Intense Emphasis"/>
    <w:uiPriority w:val="21"/>
    <w:qFormat/>
    <w:rsid w:val="003C1966"/>
    <w:rPr>
      <w:b/>
    </w:rPr>
  </w:style>
  <w:style w:type="character" w:styleId="SubtleReference">
    <w:name w:val="Subtle Reference"/>
    <w:uiPriority w:val="99"/>
    <w:qFormat/>
    <w:rsid w:val="003C1966"/>
    <w:rPr>
      <w:smallCaps/>
    </w:rPr>
  </w:style>
  <w:style w:type="character" w:styleId="IntenseReference">
    <w:name w:val="Intense Reference"/>
    <w:uiPriority w:val="99"/>
    <w:qFormat/>
    <w:rsid w:val="003C1966"/>
    <w:rPr>
      <w:smallCaps/>
      <w:spacing w:val="5"/>
      <w:u w:val="single"/>
    </w:rPr>
  </w:style>
  <w:style w:type="character" w:styleId="BookTitle">
    <w:name w:val="Book Title"/>
    <w:uiPriority w:val="99"/>
    <w:qFormat/>
    <w:rsid w:val="003C1966"/>
    <w:rPr>
      <w:i/>
      <w:smallCaps/>
      <w:spacing w:val="5"/>
    </w:rPr>
  </w:style>
  <w:style w:type="paragraph" w:styleId="BodyTextIndent2">
    <w:name w:val="Body Text Indent 2"/>
    <w:basedOn w:val="Normal"/>
    <w:link w:val="BodyTextIndent2Char"/>
    <w:uiPriority w:val="99"/>
    <w:rsid w:val="000619D5"/>
    <w:pPr>
      <w:spacing w:after="120" w:line="480" w:lineRule="auto"/>
      <w:ind w:left="360"/>
    </w:pPr>
  </w:style>
  <w:style w:type="character" w:customStyle="1" w:styleId="BodyTextIndent2Char">
    <w:name w:val="Body Text Indent 2 Char"/>
    <w:link w:val="BodyTextIndent2"/>
    <w:uiPriority w:val="99"/>
    <w:locked/>
    <w:rsid w:val="000619D5"/>
    <w:rPr>
      <w:rFonts w:cs="Times New Roman"/>
    </w:rPr>
  </w:style>
  <w:style w:type="paragraph" w:customStyle="1" w:styleId="default0">
    <w:name w:val="default"/>
    <w:basedOn w:val="Normal"/>
    <w:uiPriority w:val="99"/>
    <w:rsid w:val="000619D5"/>
    <w:pPr>
      <w:spacing w:line="240" w:lineRule="auto"/>
    </w:pPr>
    <w:rPr>
      <w:rFonts w:ascii="Arial" w:hAnsi="Arial" w:cs="Arial"/>
      <w:color w:val="000000"/>
      <w:szCs w:val="24"/>
    </w:rPr>
  </w:style>
  <w:style w:type="paragraph" w:customStyle="1" w:styleId="StyleTOC1Before0pt">
    <w:name w:val="Style TOC 1 + Before:  0 pt"/>
    <w:basedOn w:val="TOC1"/>
    <w:rsid w:val="004167B3"/>
    <w:pPr>
      <w:spacing w:before="0"/>
    </w:pPr>
    <w:rPr>
      <w:rFonts w:cs="Times New Roman"/>
      <w:bCs w:val="0"/>
      <w:szCs w:val="20"/>
    </w:rPr>
  </w:style>
  <w:style w:type="paragraph" w:customStyle="1" w:styleId="TableTitle">
    <w:name w:val="TableTitle"/>
    <w:basedOn w:val="Normal"/>
    <w:qFormat/>
    <w:rsid w:val="003979E7"/>
    <w:pPr>
      <w:keepNext/>
      <w:keepLines/>
      <w:spacing w:before="540" w:after="160" w:line="240" w:lineRule="auto"/>
    </w:pPr>
    <w:rPr>
      <w:b/>
    </w:rPr>
  </w:style>
  <w:style w:type="paragraph" w:customStyle="1" w:styleId="StyleDefaultTimesNewRomanAfter0pt">
    <w:name w:val="Style Default + Times New Roman After:  0 pt"/>
    <w:basedOn w:val="Default"/>
    <w:rsid w:val="00BF550E"/>
    <w:pPr>
      <w:spacing w:after="0"/>
    </w:pPr>
    <w:rPr>
      <w:rFonts w:ascii="Times New Roman" w:hAnsi="Times New Roman"/>
      <w:szCs w:val="20"/>
    </w:rPr>
  </w:style>
  <w:style w:type="numbering" w:customStyle="1" w:styleId="NoList1">
    <w:name w:val="No List1"/>
    <w:next w:val="NoList"/>
    <w:uiPriority w:val="99"/>
    <w:semiHidden/>
    <w:unhideWhenUsed/>
    <w:rsid w:val="00F53441"/>
  </w:style>
  <w:style w:type="paragraph" w:customStyle="1" w:styleId="PlainText1">
    <w:name w:val="Plain Text1"/>
    <w:rsid w:val="00F53441"/>
    <w:rPr>
      <w:rFonts w:ascii="Lucida Grande" w:eastAsia="ヒラギノ角ゴ Pro W3" w:hAnsi="Lucida Grande"/>
      <w:color w:val="000000"/>
      <w:sz w:val="21"/>
    </w:rPr>
  </w:style>
  <w:style w:type="character" w:customStyle="1" w:styleId="PlainTextChar">
    <w:name w:val="Plain Text Char"/>
    <w:link w:val="PlainText"/>
    <w:uiPriority w:val="99"/>
    <w:rsid w:val="00F53441"/>
    <w:rPr>
      <w:rFonts w:ascii="Consolas" w:hAnsi="Consolas"/>
      <w:sz w:val="21"/>
      <w:szCs w:val="21"/>
    </w:rPr>
  </w:style>
  <w:style w:type="paragraph" w:styleId="PlainText">
    <w:name w:val="Plain Text"/>
    <w:basedOn w:val="Normal"/>
    <w:link w:val="PlainTextChar"/>
    <w:uiPriority w:val="99"/>
    <w:unhideWhenUsed/>
    <w:rsid w:val="00F53441"/>
    <w:pPr>
      <w:spacing w:line="240" w:lineRule="auto"/>
    </w:pPr>
    <w:rPr>
      <w:rFonts w:ascii="Consolas" w:hAnsi="Consolas"/>
      <w:sz w:val="21"/>
      <w:szCs w:val="21"/>
    </w:rPr>
  </w:style>
  <w:style w:type="character" w:customStyle="1" w:styleId="PlainTextChar1">
    <w:name w:val="Plain Text Char1"/>
    <w:uiPriority w:val="99"/>
    <w:semiHidden/>
    <w:rsid w:val="00F53441"/>
    <w:rPr>
      <w:rFonts w:ascii="Consolas" w:hAnsi="Consolas"/>
      <w:sz w:val="21"/>
      <w:szCs w:val="21"/>
    </w:rPr>
  </w:style>
  <w:style w:type="table" w:customStyle="1" w:styleId="TableGrid1">
    <w:name w:val="Table Grid1"/>
    <w:basedOn w:val="TableNormal"/>
    <w:next w:val="TableGrid"/>
    <w:uiPriority w:val="59"/>
    <w:rsid w:val="00F53441"/>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evel1">
    <w:name w:val="bullet level 1"/>
    <w:basedOn w:val="Normal"/>
    <w:rsid w:val="007C763B"/>
    <w:pPr>
      <w:numPr>
        <w:numId w:val="1"/>
      </w:numPr>
    </w:pPr>
  </w:style>
  <w:style w:type="paragraph" w:customStyle="1" w:styleId="bulletlevel2">
    <w:name w:val="bullet level 2"/>
    <w:basedOn w:val="Normal"/>
    <w:rsid w:val="007C763B"/>
    <w:pPr>
      <w:numPr>
        <w:ilvl w:val="1"/>
        <w:numId w:val="1"/>
      </w:numPr>
    </w:pPr>
  </w:style>
  <w:style w:type="paragraph" w:customStyle="1" w:styleId="bulletlevel3">
    <w:name w:val="bullet level 3"/>
    <w:basedOn w:val="Normal"/>
    <w:rsid w:val="007C763B"/>
    <w:pPr>
      <w:numPr>
        <w:ilvl w:val="2"/>
        <w:numId w:val="1"/>
      </w:numPr>
    </w:pPr>
  </w:style>
  <w:style w:type="character" w:customStyle="1" w:styleId="ListParagraphChar">
    <w:name w:val="List Paragraph Char"/>
    <w:link w:val="ListParagraph"/>
    <w:uiPriority w:val="34"/>
    <w:locked/>
    <w:rsid w:val="002C32E5"/>
    <w:rPr>
      <w:rFonts w:ascii="Times New Roman" w:hAnsi="Times New Roman"/>
      <w:sz w:val="24"/>
      <w:szCs w:val="22"/>
    </w:rPr>
  </w:style>
  <w:style w:type="character" w:customStyle="1" w:styleId="Heading5Char1">
    <w:name w:val="Heading 5 Char1"/>
    <w:uiPriority w:val="1"/>
    <w:locked/>
    <w:rsid w:val="00C61139"/>
    <w:rPr>
      <w:b/>
      <w:bCs/>
      <w:lang w:val="en-US" w:eastAsia="en-US" w:bidi="ar-SA"/>
    </w:rPr>
  </w:style>
  <w:style w:type="character" w:customStyle="1" w:styleId="BalloonTextChar1">
    <w:name w:val="Balloon Text Char1"/>
    <w:semiHidden/>
    <w:locked/>
    <w:rsid w:val="00C61139"/>
    <w:rPr>
      <w:rFonts w:ascii="Tahoma" w:hAnsi="Tahoma" w:cs="Tahoma"/>
      <w:sz w:val="16"/>
      <w:szCs w:val="16"/>
      <w:lang w:val="en-US" w:eastAsia="en-US" w:bidi="ar-SA"/>
    </w:rPr>
  </w:style>
  <w:style w:type="character" w:customStyle="1" w:styleId="CommentTextChar1">
    <w:name w:val="Comment Text Char1"/>
    <w:uiPriority w:val="99"/>
    <w:locked/>
    <w:rsid w:val="00C61139"/>
    <w:rPr>
      <w:rFonts w:ascii="Cambria" w:hAnsi="Cambria"/>
      <w:lang w:val="en-US" w:eastAsia="en-US" w:bidi="ar-SA"/>
    </w:rPr>
  </w:style>
  <w:style w:type="character" w:customStyle="1" w:styleId="BodyTextChar2">
    <w:name w:val="Body Text Char2"/>
    <w:locked/>
    <w:rsid w:val="00C61139"/>
    <w:rPr>
      <w:sz w:val="24"/>
      <w:szCs w:val="24"/>
      <w:lang w:val="en-US" w:eastAsia="en-US" w:bidi="ar-SA"/>
    </w:rPr>
  </w:style>
  <w:style w:type="character" w:customStyle="1" w:styleId="FootnoteTextChar2">
    <w:name w:val="Footnote Text Char2"/>
    <w:semiHidden/>
    <w:locked/>
    <w:rsid w:val="00C61139"/>
    <w:rPr>
      <w:rFonts w:ascii="Arial" w:hAnsi="Arial"/>
      <w:lang w:val="en-US" w:eastAsia="en-US" w:bidi="ar-SA"/>
    </w:rPr>
  </w:style>
  <w:style w:type="character" w:customStyle="1" w:styleId="BodyTextChar1">
    <w:name w:val="Body Text Char1"/>
    <w:locked/>
    <w:rsid w:val="00C61139"/>
    <w:rPr>
      <w:rFonts w:eastAsia="Times New Roman" w:cs="Times New Roman"/>
      <w:noProof w:val="0"/>
      <w:sz w:val="24"/>
      <w:szCs w:val="24"/>
      <w:lang w:val="en-US" w:eastAsia="en-US" w:bidi="ar-SA"/>
    </w:rPr>
  </w:style>
  <w:style w:type="character" w:customStyle="1" w:styleId="FooterChar1">
    <w:name w:val="Footer Char1"/>
    <w:locked/>
    <w:rsid w:val="00C61139"/>
    <w:rPr>
      <w:rFonts w:ascii="Cambria" w:hAnsi="Cambria"/>
      <w:sz w:val="24"/>
      <w:szCs w:val="24"/>
      <w:lang w:val="en-US" w:eastAsia="en-US" w:bidi="ar-SA"/>
    </w:rPr>
  </w:style>
  <w:style w:type="character" w:customStyle="1" w:styleId="FootnoteTextChar1">
    <w:name w:val="Footnote Text Char1"/>
    <w:semiHidden/>
    <w:locked/>
    <w:rsid w:val="00C61139"/>
    <w:rPr>
      <w:rFonts w:ascii="Arial" w:hAnsi="Arial" w:cs="Times New Roman"/>
      <w:noProof w:val="0"/>
      <w:lang w:val="en-US" w:eastAsia="en-US" w:bidi="ar-SA"/>
    </w:rPr>
  </w:style>
  <w:style w:type="character" w:customStyle="1" w:styleId="CommentSubjectChar1">
    <w:name w:val="Comment Subject Char1"/>
    <w:semiHidden/>
    <w:locked/>
    <w:rsid w:val="00C61139"/>
    <w:rPr>
      <w:rFonts w:ascii="Cambria" w:hAnsi="Cambria"/>
      <w:b/>
      <w:bCs/>
      <w:lang w:val="en-US" w:eastAsia="en-US" w:bidi="ar-SA"/>
    </w:rPr>
  </w:style>
  <w:style w:type="character" w:customStyle="1" w:styleId="HeaderChar1">
    <w:name w:val="Header Char1"/>
    <w:semiHidden/>
    <w:locked/>
    <w:rsid w:val="00C61139"/>
    <w:rPr>
      <w:rFonts w:ascii="Cambria" w:hAnsi="Cambria"/>
      <w:sz w:val="24"/>
      <w:szCs w:val="24"/>
      <w:lang w:val="en-US" w:eastAsia="en-US" w:bidi="ar-SA"/>
    </w:rPr>
  </w:style>
  <w:style w:type="character" w:customStyle="1" w:styleId="DocumentMapChar1">
    <w:name w:val="Document Map Char1"/>
    <w:semiHidden/>
    <w:locked/>
    <w:rsid w:val="00C61139"/>
    <w:rPr>
      <w:rFonts w:ascii="Tahoma" w:hAnsi="Tahoma" w:cs="Tahoma"/>
      <w:lang w:val="en-US" w:eastAsia="en-US" w:bidi="ar-SA"/>
    </w:rPr>
  </w:style>
  <w:style w:type="paragraph" w:customStyle="1" w:styleId="NormalCalibri">
    <w:name w:val="Normal + Calibri"/>
    <w:aliases w:val="11 pt"/>
    <w:basedOn w:val="Normal"/>
    <w:rsid w:val="00C61139"/>
    <w:pPr>
      <w:spacing w:line="240" w:lineRule="auto"/>
    </w:pPr>
    <w:rPr>
      <w:rFonts w:ascii="Calibri" w:hAnsi="Calibri"/>
      <w:sz w:val="22"/>
    </w:rPr>
  </w:style>
  <w:style w:type="paragraph" w:customStyle="1" w:styleId="Pa4">
    <w:name w:val="Pa4"/>
    <w:basedOn w:val="Normal"/>
    <w:rsid w:val="00C61139"/>
    <w:pPr>
      <w:autoSpaceDE w:val="0"/>
      <w:autoSpaceDN w:val="0"/>
      <w:spacing w:line="241" w:lineRule="atLeast"/>
    </w:pPr>
    <w:rPr>
      <w:rFonts w:ascii="Arial" w:hAnsi="Arial" w:cs="Arial"/>
      <w:szCs w:val="24"/>
    </w:rPr>
  </w:style>
  <w:style w:type="paragraph" w:customStyle="1" w:styleId="StyleHeading4Blue">
    <w:name w:val="Style Heading 4 + Blue"/>
    <w:basedOn w:val="Heading4"/>
    <w:rsid w:val="00C61139"/>
    <w:pPr>
      <w:keepLines w:val="0"/>
      <w:spacing w:before="60" w:after="60" w:line="240" w:lineRule="auto"/>
    </w:pPr>
    <w:rPr>
      <w:rFonts w:ascii="Courier" w:hAnsi="Courier"/>
      <w:b w:val="0"/>
      <w:bCs w:val="0"/>
      <w:i/>
      <w:iCs w:val="0"/>
      <w:szCs w:val="28"/>
      <w:u w:val="single" w:color="0000FF"/>
      <w:lang w:val="x-none" w:eastAsia="x-none"/>
    </w:rPr>
  </w:style>
  <w:style w:type="paragraph" w:customStyle="1" w:styleId="StyleHeading1Blue">
    <w:name w:val="Style Heading 1 + Blue"/>
    <w:basedOn w:val="Heading1"/>
    <w:autoRedefine/>
    <w:rsid w:val="00C61139"/>
    <w:pPr>
      <w:keepLines w:val="0"/>
      <w:spacing w:before="120" w:after="0" w:line="240" w:lineRule="auto"/>
      <w:contextualSpacing w:val="0"/>
    </w:pPr>
    <w:rPr>
      <w:rFonts w:ascii="Arial" w:hAnsi="Arial"/>
      <w:kern w:val="32"/>
      <w:sz w:val="28"/>
      <w:szCs w:val="32"/>
      <w:u w:val="single" w:color="0000FF"/>
      <w:lang w:val="x-none" w:eastAsia="x-none"/>
    </w:rPr>
  </w:style>
  <w:style w:type="paragraph" w:customStyle="1" w:styleId="auth">
    <w:name w:val="auth"/>
    <w:basedOn w:val="Normal"/>
    <w:uiPriority w:val="2"/>
    <w:rsid w:val="00C61139"/>
    <w:pPr>
      <w:spacing w:before="200" w:after="100" w:afterAutospacing="1" w:line="240" w:lineRule="auto"/>
      <w:ind w:firstLine="480"/>
    </w:pPr>
    <w:rPr>
      <w:sz w:val="18"/>
      <w:szCs w:val="18"/>
    </w:rPr>
  </w:style>
  <w:style w:type="paragraph" w:customStyle="1" w:styleId="StyleHeading2">
    <w:name w:val="Style Heading 2"/>
    <w:basedOn w:val="Heading1"/>
    <w:rsid w:val="00C61139"/>
    <w:pPr>
      <w:keepLines w:val="0"/>
      <w:spacing w:before="120" w:after="0" w:line="240" w:lineRule="auto"/>
      <w:contextualSpacing w:val="0"/>
    </w:pPr>
    <w:rPr>
      <w:rFonts w:ascii="Courier New" w:hAnsi="Courier New"/>
      <w:b w:val="0"/>
      <w:bCs w:val="0"/>
      <w:kern w:val="32"/>
      <w:szCs w:val="20"/>
      <w:u w:val="single"/>
    </w:rPr>
  </w:style>
  <w:style w:type="character" w:styleId="PlaceholderText">
    <w:name w:val="Placeholder Text"/>
    <w:basedOn w:val="DefaultParagraphFont"/>
    <w:uiPriority w:val="99"/>
    <w:semiHidden/>
    <w:rsid w:val="00572C13"/>
    <w:rPr>
      <w:color w:val="808080"/>
    </w:rPr>
  </w:style>
  <w:style w:type="paragraph" w:customStyle="1" w:styleId="font5">
    <w:name w:val="font5"/>
    <w:basedOn w:val="Normal"/>
    <w:rsid w:val="00756456"/>
    <w:pPr>
      <w:spacing w:before="100" w:beforeAutospacing="1" w:after="100" w:afterAutospacing="1" w:line="240" w:lineRule="auto"/>
    </w:pPr>
    <w:rPr>
      <w:rFonts w:ascii="Arial" w:hAnsi="Arial" w:cs="Arial"/>
      <w:i/>
      <w:iCs/>
      <w:sz w:val="20"/>
      <w:szCs w:val="20"/>
    </w:rPr>
  </w:style>
  <w:style w:type="paragraph" w:customStyle="1" w:styleId="font6">
    <w:name w:val="font6"/>
    <w:basedOn w:val="Normal"/>
    <w:rsid w:val="00756456"/>
    <w:pPr>
      <w:spacing w:before="100" w:beforeAutospacing="1" w:after="100" w:afterAutospacing="1" w:line="240" w:lineRule="auto"/>
    </w:pPr>
    <w:rPr>
      <w:rFonts w:ascii="Arial" w:hAnsi="Arial" w:cs="Arial"/>
      <w:b/>
      <w:bCs/>
      <w:sz w:val="20"/>
      <w:szCs w:val="20"/>
    </w:rPr>
  </w:style>
  <w:style w:type="paragraph" w:customStyle="1" w:styleId="font7">
    <w:name w:val="font7"/>
    <w:basedOn w:val="Normal"/>
    <w:rsid w:val="00756456"/>
    <w:pPr>
      <w:spacing w:before="100" w:beforeAutospacing="1" w:after="100" w:afterAutospacing="1" w:line="240" w:lineRule="auto"/>
    </w:pPr>
    <w:rPr>
      <w:rFonts w:ascii="Arial" w:hAnsi="Arial" w:cs="Arial"/>
      <w:sz w:val="20"/>
      <w:szCs w:val="20"/>
    </w:rPr>
  </w:style>
  <w:style w:type="paragraph" w:customStyle="1" w:styleId="xl66">
    <w:name w:val="xl66"/>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67">
    <w:name w:val="xl67"/>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68">
    <w:name w:val="xl68"/>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69">
    <w:name w:val="xl69"/>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0">
    <w:name w:val="xl7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71">
    <w:name w:val="xl71"/>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2">
    <w:name w:val="xl72"/>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szCs w:val="24"/>
    </w:rPr>
  </w:style>
  <w:style w:type="paragraph" w:customStyle="1" w:styleId="xl73">
    <w:name w:val="xl73"/>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4">
    <w:name w:val="xl74"/>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5">
    <w:name w:val="xl75"/>
    <w:basedOn w:val="Normal"/>
    <w:rsid w:val="00756456"/>
    <w:pPr>
      <w:spacing w:before="100" w:beforeAutospacing="1" w:after="100" w:afterAutospacing="1" w:line="240" w:lineRule="auto"/>
      <w:jc w:val="center"/>
      <w:textAlignment w:val="top"/>
    </w:pPr>
    <w:rPr>
      <w:szCs w:val="24"/>
    </w:rPr>
  </w:style>
  <w:style w:type="paragraph" w:customStyle="1" w:styleId="xl76">
    <w:name w:val="xl76"/>
    <w:basedOn w:val="Normal"/>
    <w:rsid w:val="00756456"/>
    <w:pPr>
      <w:spacing w:before="100" w:beforeAutospacing="1" w:after="100" w:afterAutospacing="1" w:line="240" w:lineRule="auto"/>
      <w:textAlignment w:val="top"/>
    </w:pPr>
    <w:rPr>
      <w:szCs w:val="24"/>
    </w:rPr>
  </w:style>
  <w:style w:type="paragraph" w:customStyle="1" w:styleId="xl77">
    <w:name w:val="xl77"/>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78">
    <w:name w:val="xl78"/>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79">
    <w:name w:val="xl79"/>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80">
    <w:name w:val="xl80"/>
    <w:basedOn w:val="Normal"/>
    <w:rsid w:val="00756456"/>
    <w:pPr>
      <w:pBdr>
        <w:bottom w:val="single" w:sz="8" w:space="0" w:color="auto"/>
      </w:pBdr>
      <w:spacing w:before="100" w:beforeAutospacing="1" w:after="100" w:afterAutospacing="1" w:line="240" w:lineRule="auto"/>
      <w:textAlignment w:val="top"/>
    </w:pPr>
    <w:rPr>
      <w:szCs w:val="24"/>
    </w:rPr>
  </w:style>
  <w:style w:type="paragraph" w:customStyle="1" w:styleId="xl81">
    <w:name w:val="xl81"/>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82">
    <w:name w:val="xl82"/>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83">
    <w:name w:val="xl83"/>
    <w:basedOn w:val="Normal"/>
    <w:rsid w:val="00756456"/>
    <w:pPr>
      <w:spacing w:before="100" w:beforeAutospacing="1" w:after="100" w:afterAutospacing="1" w:line="240" w:lineRule="auto"/>
      <w:textAlignment w:val="top"/>
    </w:pPr>
    <w:rPr>
      <w:szCs w:val="24"/>
    </w:rPr>
  </w:style>
  <w:style w:type="paragraph" w:customStyle="1" w:styleId="xl84">
    <w:name w:val="xl84"/>
    <w:basedOn w:val="Normal"/>
    <w:rsid w:val="00756456"/>
    <w:pPr>
      <w:pBdr>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5">
    <w:name w:val="xl85"/>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86">
    <w:name w:val="xl86"/>
    <w:basedOn w:val="Normal"/>
    <w:rsid w:val="00756456"/>
    <w:pPr>
      <w:pBdr>
        <w:top w:val="single" w:sz="4" w:space="0" w:color="auto"/>
        <w:bottom w:val="single" w:sz="4" w:space="0" w:color="auto"/>
      </w:pBdr>
      <w:spacing w:before="100" w:beforeAutospacing="1" w:after="100" w:afterAutospacing="1" w:line="240" w:lineRule="auto"/>
      <w:textAlignment w:val="top"/>
    </w:pPr>
    <w:rPr>
      <w:szCs w:val="24"/>
    </w:rPr>
  </w:style>
  <w:style w:type="paragraph" w:customStyle="1" w:styleId="xl87">
    <w:name w:val="xl87"/>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8">
    <w:name w:val="xl88"/>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rFonts w:ascii="Arial" w:hAnsi="Arial" w:cs="Arial"/>
      <w:szCs w:val="24"/>
    </w:rPr>
  </w:style>
  <w:style w:type="paragraph" w:customStyle="1" w:styleId="xl89">
    <w:name w:val="xl89"/>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90">
    <w:name w:val="xl90"/>
    <w:basedOn w:val="Normal"/>
    <w:rsid w:val="00756456"/>
    <w:pPr>
      <w:pBdr>
        <w:bottom w:val="single" w:sz="8" w:space="0" w:color="auto"/>
      </w:pBdr>
      <w:spacing w:before="100" w:beforeAutospacing="1" w:after="100" w:afterAutospacing="1" w:line="240" w:lineRule="auto"/>
      <w:textAlignment w:val="top"/>
    </w:pPr>
    <w:rPr>
      <w:rFonts w:ascii="Arial" w:hAnsi="Arial" w:cs="Arial"/>
      <w:b/>
      <w:bCs/>
      <w:szCs w:val="24"/>
    </w:rPr>
  </w:style>
  <w:style w:type="paragraph" w:customStyle="1" w:styleId="xl91">
    <w:name w:val="xl91"/>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2">
    <w:name w:val="xl92"/>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93">
    <w:name w:val="xl93"/>
    <w:basedOn w:val="Normal"/>
    <w:rsid w:val="00756456"/>
    <w:pPr>
      <w:pBdr>
        <w:bottom w:val="single" w:sz="8" w:space="0" w:color="auto"/>
      </w:pBdr>
      <w:shd w:val="clear" w:color="000000" w:fill="C0C0C0"/>
      <w:spacing w:before="100" w:beforeAutospacing="1" w:after="100" w:afterAutospacing="1" w:line="240" w:lineRule="auto"/>
      <w:textAlignment w:val="top"/>
    </w:pPr>
    <w:rPr>
      <w:szCs w:val="24"/>
    </w:rPr>
  </w:style>
  <w:style w:type="paragraph" w:customStyle="1" w:styleId="xl94">
    <w:name w:val="xl94"/>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5">
    <w:name w:val="xl95"/>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6">
    <w:name w:val="xl96"/>
    <w:basedOn w:val="Normal"/>
    <w:rsid w:val="00756456"/>
    <w:pP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7">
    <w:name w:val="xl97"/>
    <w:basedOn w:val="Normal"/>
    <w:rsid w:val="00756456"/>
    <w:pP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98">
    <w:name w:val="xl98"/>
    <w:basedOn w:val="Normal"/>
    <w:rsid w:val="00756456"/>
    <w:pPr>
      <w:pBdr>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99">
    <w:name w:val="xl99"/>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00">
    <w:name w:val="xl100"/>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01">
    <w:name w:val="xl101"/>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2">
    <w:name w:val="xl102"/>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3">
    <w:name w:val="xl103"/>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104">
    <w:name w:val="xl104"/>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05">
    <w:name w:val="xl105"/>
    <w:basedOn w:val="Normal"/>
    <w:rsid w:val="00756456"/>
    <w:pPr>
      <w:spacing w:before="100" w:beforeAutospacing="1" w:after="100" w:afterAutospacing="1" w:line="240" w:lineRule="auto"/>
      <w:textAlignment w:val="top"/>
    </w:pPr>
    <w:rPr>
      <w:rFonts w:ascii="Arial" w:hAnsi="Arial" w:cs="Arial"/>
      <w:i/>
      <w:iCs/>
      <w:szCs w:val="24"/>
    </w:rPr>
  </w:style>
  <w:style w:type="paragraph" w:customStyle="1" w:styleId="xl106">
    <w:name w:val="xl106"/>
    <w:basedOn w:val="Normal"/>
    <w:rsid w:val="00756456"/>
    <w:pPr>
      <w:spacing w:before="100" w:beforeAutospacing="1" w:after="100" w:afterAutospacing="1" w:line="240" w:lineRule="auto"/>
      <w:jc w:val="center"/>
      <w:textAlignment w:val="top"/>
    </w:pPr>
    <w:rPr>
      <w:szCs w:val="24"/>
    </w:rPr>
  </w:style>
  <w:style w:type="paragraph" w:customStyle="1" w:styleId="xl107">
    <w:name w:val="xl107"/>
    <w:basedOn w:val="Normal"/>
    <w:rsid w:val="00756456"/>
    <w:pPr>
      <w:spacing w:before="100" w:beforeAutospacing="1" w:after="100" w:afterAutospacing="1" w:line="240" w:lineRule="auto"/>
      <w:jc w:val="center"/>
      <w:textAlignment w:val="center"/>
    </w:pPr>
    <w:rPr>
      <w:rFonts w:ascii="Arial" w:hAnsi="Arial" w:cs="Arial"/>
      <w:b/>
      <w:bCs/>
      <w:szCs w:val="24"/>
    </w:rPr>
  </w:style>
  <w:style w:type="paragraph" w:customStyle="1" w:styleId="xl108">
    <w:name w:val="xl108"/>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9">
    <w:name w:val="xl109"/>
    <w:basedOn w:val="Normal"/>
    <w:rsid w:val="00756456"/>
    <w:pP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10">
    <w:name w:val="xl110"/>
    <w:basedOn w:val="Normal"/>
    <w:rsid w:val="00756456"/>
    <w:pPr>
      <w:spacing w:before="100" w:beforeAutospacing="1" w:after="100" w:afterAutospacing="1" w:line="240" w:lineRule="auto"/>
    </w:pPr>
    <w:rPr>
      <w:rFonts w:ascii="Arial" w:hAnsi="Arial" w:cs="Arial"/>
      <w:szCs w:val="24"/>
    </w:rPr>
  </w:style>
  <w:style w:type="paragraph" w:customStyle="1" w:styleId="xl111">
    <w:name w:val="xl111"/>
    <w:basedOn w:val="Normal"/>
    <w:rsid w:val="00756456"/>
    <w:pPr>
      <w:spacing w:before="100" w:beforeAutospacing="1" w:after="100" w:afterAutospacing="1" w:line="240" w:lineRule="auto"/>
      <w:jc w:val="center"/>
      <w:textAlignment w:val="top"/>
    </w:pPr>
    <w:rPr>
      <w:szCs w:val="24"/>
    </w:rPr>
  </w:style>
  <w:style w:type="paragraph" w:customStyle="1" w:styleId="xl112">
    <w:name w:val="xl11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13">
    <w:name w:val="xl113"/>
    <w:basedOn w:val="Normal"/>
    <w:rsid w:val="00756456"/>
    <w:pPr>
      <w:spacing w:before="100" w:beforeAutospacing="1" w:after="100" w:afterAutospacing="1" w:line="240" w:lineRule="auto"/>
    </w:pPr>
    <w:rPr>
      <w:rFonts w:ascii="Arial" w:hAnsi="Arial" w:cs="Arial"/>
      <w:b/>
      <w:bCs/>
      <w:szCs w:val="24"/>
    </w:rPr>
  </w:style>
  <w:style w:type="paragraph" w:customStyle="1" w:styleId="xl114">
    <w:name w:val="xl114"/>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5">
    <w:name w:val="xl115"/>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6">
    <w:name w:val="xl116"/>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7">
    <w:name w:val="xl117"/>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8">
    <w:name w:val="xl118"/>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119">
    <w:name w:val="xl119"/>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120">
    <w:name w:val="xl120"/>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1">
    <w:name w:val="xl121"/>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2">
    <w:name w:val="xl122"/>
    <w:basedOn w:val="Normal"/>
    <w:rsid w:val="00756456"/>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Arial" w:hAnsi="Arial" w:cs="Arial"/>
      <w:b/>
      <w:bCs/>
      <w:sz w:val="18"/>
      <w:szCs w:val="18"/>
    </w:rPr>
  </w:style>
  <w:style w:type="paragraph" w:customStyle="1" w:styleId="xl123">
    <w:name w:val="xl123"/>
    <w:basedOn w:val="Normal"/>
    <w:rsid w:val="00756456"/>
    <w:pPr>
      <w:shd w:val="clear" w:color="000000" w:fill="BFBFBF"/>
      <w:spacing w:before="100" w:beforeAutospacing="1" w:after="100" w:afterAutospacing="1" w:line="240" w:lineRule="auto"/>
      <w:textAlignment w:val="top"/>
    </w:pPr>
    <w:rPr>
      <w:szCs w:val="24"/>
    </w:rPr>
  </w:style>
  <w:style w:type="paragraph" w:customStyle="1" w:styleId="xl124">
    <w:name w:val="xl124"/>
    <w:basedOn w:val="Normal"/>
    <w:rsid w:val="00756456"/>
    <w:pP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5">
    <w:name w:val="xl125"/>
    <w:basedOn w:val="Normal"/>
    <w:rsid w:val="00756456"/>
    <w:pPr>
      <w:pBdr>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26">
    <w:name w:val="xl126"/>
    <w:basedOn w:val="Normal"/>
    <w:rsid w:val="00756456"/>
    <w:pP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7">
    <w:name w:val="xl127"/>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8">
    <w:name w:val="xl128"/>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9">
    <w:name w:val="xl129"/>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30">
    <w:name w:val="xl130"/>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31">
    <w:name w:val="xl131"/>
    <w:basedOn w:val="Normal"/>
    <w:rsid w:val="00756456"/>
    <w:pPr>
      <w:pBdr>
        <w:bottom w:val="single" w:sz="8"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32">
    <w:name w:val="xl132"/>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33">
    <w:name w:val="xl133"/>
    <w:basedOn w:val="Normal"/>
    <w:rsid w:val="00756456"/>
    <w:pPr>
      <w:spacing w:before="100" w:beforeAutospacing="1" w:after="100" w:afterAutospacing="1" w:line="240" w:lineRule="auto"/>
      <w:ind w:firstLineChars="100" w:firstLine="100"/>
      <w:textAlignment w:val="top"/>
    </w:pPr>
    <w:rPr>
      <w:rFonts w:ascii="Arial" w:hAnsi="Arial" w:cs="Arial"/>
      <w:szCs w:val="24"/>
    </w:rPr>
  </w:style>
  <w:style w:type="paragraph" w:customStyle="1" w:styleId="xl134">
    <w:name w:val="xl134"/>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5">
    <w:name w:val="xl135"/>
    <w:basedOn w:val="Normal"/>
    <w:rsid w:val="00756456"/>
    <w:pPr>
      <w:pBdr>
        <w:top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36">
    <w:name w:val="xl136"/>
    <w:basedOn w:val="Normal"/>
    <w:rsid w:val="00756456"/>
    <w:pPr>
      <w:pBdr>
        <w:top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7">
    <w:name w:val="xl137"/>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38">
    <w:name w:val="xl138"/>
    <w:basedOn w:val="Normal"/>
    <w:rsid w:val="00756456"/>
    <w:pPr>
      <w:spacing w:before="100" w:beforeAutospacing="1" w:after="100" w:afterAutospacing="1" w:line="240" w:lineRule="auto"/>
      <w:ind w:firstLineChars="100" w:firstLine="100"/>
    </w:pPr>
    <w:rPr>
      <w:szCs w:val="24"/>
    </w:rPr>
  </w:style>
  <w:style w:type="paragraph" w:customStyle="1" w:styleId="xl139">
    <w:name w:val="xl139"/>
    <w:basedOn w:val="Normal"/>
    <w:rsid w:val="00756456"/>
    <w:pPr>
      <w:spacing w:before="100" w:beforeAutospacing="1" w:after="100" w:afterAutospacing="1" w:line="240" w:lineRule="auto"/>
      <w:jc w:val="center"/>
      <w:textAlignment w:val="top"/>
    </w:pPr>
    <w:rPr>
      <w:rFonts w:ascii="Arial" w:hAnsi="Arial" w:cs="Arial"/>
      <w:b/>
      <w:bCs/>
      <w:szCs w:val="24"/>
    </w:rPr>
  </w:style>
  <w:style w:type="paragraph" w:customStyle="1" w:styleId="xl140">
    <w:name w:val="xl14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141">
    <w:name w:val="xl141"/>
    <w:basedOn w:val="Normal"/>
    <w:rsid w:val="00756456"/>
    <w:pPr>
      <w:spacing w:before="100" w:beforeAutospacing="1" w:after="100" w:afterAutospacing="1" w:line="240" w:lineRule="auto"/>
      <w:textAlignment w:val="top"/>
    </w:pPr>
    <w:rPr>
      <w:szCs w:val="24"/>
    </w:rPr>
  </w:style>
  <w:style w:type="paragraph" w:customStyle="1" w:styleId="xl142">
    <w:name w:val="xl14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43">
    <w:name w:val="xl143"/>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144">
    <w:name w:val="xl144"/>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145">
    <w:name w:val="xl145"/>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46">
    <w:name w:val="xl146"/>
    <w:basedOn w:val="Normal"/>
    <w:rsid w:val="00756456"/>
    <w:pPr>
      <w:spacing w:before="100" w:beforeAutospacing="1" w:after="100" w:afterAutospacing="1" w:line="240" w:lineRule="auto"/>
      <w:textAlignment w:val="center"/>
    </w:pPr>
    <w:rPr>
      <w:szCs w:val="24"/>
    </w:rPr>
  </w:style>
  <w:style w:type="paragraph" w:customStyle="1" w:styleId="xl147">
    <w:name w:val="xl147"/>
    <w:basedOn w:val="Normal"/>
    <w:rsid w:val="00756456"/>
    <w:pPr>
      <w:pBdr>
        <w:top w:val="single" w:sz="4" w:space="0" w:color="auto"/>
        <w:bottom w:val="single" w:sz="4" w:space="0" w:color="auto"/>
      </w:pBdr>
      <w:spacing w:before="100" w:beforeAutospacing="1" w:after="100" w:afterAutospacing="1" w:line="240" w:lineRule="auto"/>
      <w:textAlignment w:val="center"/>
    </w:pPr>
    <w:rPr>
      <w:rFonts w:ascii="Arial" w:hAnsi="Arial" w:cs="Arial"/>
      <w:b/>
      <w:bCs/>
      <w:szCs w:val="24"/>
    </w:rPr>
  </w:style>
  <w:style w:type="paragraph" w:customStyle="1" w:styleId="xl148">
    <w:name w:val="xl148"/>
    <w:basedOn w:val="Normal"/>
    <w:rsid w:val="00756456"/>
    <w:pPr>
      <w:pBdr>
        <w:bottom w:val="single" w:sz="4" w:space="0" w:color="auto"/>
      </w:pBdr>
      <w:spacing w:before="100" w:beforeAutospacing="1" w:after="100" w:afterAutospacing="1" w:line="240" w:lineRule="auto"/>
      <w:textAlignment w:val="center"/>
    </w:pPr>
    <w:rPr>
      <w:rFonts w:ascii="Arial" w:hAnsi="Arial" w:cs="Arial"/>
      <w:b/>
      <w:bCs/>
      <w:szCs w:val="24"/>
    </w:rPr>
  </w:style>
  <w:style w:type="numbering" w:customStyle="1" w:styleId="NoList2">
    <w:name w:val="No List2"/>
    <w:next w:val="NoList"/>
    <w:uiPriority w:val="99"/>
    <w:semiHidden/>
    <w:unhideWhenUsed/>
    <w:rsid w:val="00D82DF6"/>
  </w:style>
  <w:style w:type="table" w:customStyle="1" w:styleId="TableGrid2">
    <w:name w:val="Table Grid2"/>
    <w:basedOn w:val="TableNormal"/>
    <w:next w:val="TableGrid"/>
    <w:uiPriority w:val="59"/>
    <w:rsid w:val="00D8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unhideWhenUsed/>
    <w:rsid w:val="00D82DF6"/>
  </w:style>
  <w:style w:type="table" w:customStyle="1" w:styleId="TableGrid11">
    <w:name w:val="Table Grid11"/>
    <w:basedOn w:val="TableNormal"/>
    <w:next w:val="TableGrid"/>
    <w:uiPriority w:val="59"/>
    <w:rsid w:val="00D82DF6"/>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losing">
    <w:name w:val="Closing"/>
    <w:basedOn w:val="Normal"/>
    <w:link w:val="ClosingChar"/>
    <w:uiPriority w:val="99"/>
    <w:rsid w:val="00A02C3D"/>
    <w:pPr>
      <w:spacing w:after="960" w:line="240" w:lineRule="auto"/>
    </w:pPr>
    <w:rPr>
      <w:szCs w:val="24"/>
    </w:rPr>
  </w:style>
  <w:style w:type="character" w:customStyle="1" w:styleId="ClosingChar">
    <w:name w:val="Closing Char"/>
    <w:basedOn w:val="DefaultParagraphFont"/>
    <w:link w:val="Closing"/>
    <w:uiPriority w:val="99"/>
    <w:rsid w:val="00A02C3D"/>
    <w:rPr>
      <w:rFonts w:ascii="Times New Roman" w:hAnsi="Times New Roman"/>
      <w:sz w:val="24"/>
      <w:szCs w:val="24"/>
    </w:rPr>
  </w:style>
  <w:style w:type="paragraph" w:customStyle="1" w:styleId="TableHeader">
    <w:name w:val="Table Header"/>
    <w:link w:val="TableHeaderChar"/>
    <w:autoRedefine/>
    <w:qFormat/>
    <w:rsid w:val="00A02C3D"/>
    <w:pPr>
      <w:contextualSpacing/>
      <w:mirrorIndents/>
      <w:jc w:val="center"/>
    </w:pPr>
    <w:rPr>
      <w:rFonts w:ascii="Arial Narrow Bold" w:hAnsi="Arial Narrow Bold"/>
      <w:b/>
      <w:bCs/>
      <w:color w:val="000000"/>
    </w:rPr>
  </w:style>
  <w:style w:type="paragraph" w:customStyle="1" w:styleId="TableJustLeft">
    <w:name w:val="Table Just Left"/>
    <w:link w:val="TableJustLeftChar"/>
    <w:qFormat/>
    <w:rsid w:val="00A02C3D"/>
    <w:pPr>
      <w:contextualSpacing/>
      <w:mirrorIndents/>
    </w:pPr>
    <w:rPr>
      <w:rFonts w:ascii="Arial Narrow" w:hAnsi="Arial Narrow"/>
      <w:bCs/>
      <w:color w:val="000000"/>
      <w:szCs w:val="16"/>
    </w:rPr>
  </w:style>
  <w:style w:type="character" w:customStyle="1" w:styleId="TableHeaderChar">
    <w:name w:val="Table Header Char"/>
    <w:basedOn w:val="DefaultParagraphFont"/>
    <w:link w:val="TableHeader"/>
    <w:rsid w:val="000951C5"/>
    <w:rPr>
      <w:rFonts w:ascii="Arial Narrow Bold" w:hAnsi="Arial Narrow Bold"/>
      <w:b/>
      <w:bCs/>
      <w:color w:val="000000"/>
    </w:rPr>
  </w:style>
  <w:style w:type="character" w:customStyle="1" w:styleId="TableJustLeftChar">
    <w:name w:val="Table Just Left Char"/>
    <w:basedOn w:val="TableHeaderChar"/>
    <w:link w:val="TableJustLeft"/>
    <w:rsid w:val="000951C5"/>
    <w:rPr>
      <w:rFonts w:ascii="Arial Narrow" w:hAnsi="Arial Narrow"/>
      <w:b w:val="0"/>
      <w:bCs/>
      <w:color w:val="000000"/>
      <w:szCs w:val="16"/>
    </w:rPr>
  </w:style>
  <w:style w:type="paragraph" w:customStyle="1" w:styleId="TableJustCenter">
    <w:name w:val="Table Just Center"/>
    <w:link w:val="TableJustCenterChar"/>
    <w:autoRedefine/>
    <w:qFormat/>
    <w:rsid w:val="00A02C3D"/>
    <w:pPr>
      <w:contextualSpacing/>
      <w:mirrorIndents/>
      <w:jc w:val="center"/>
    </w:pPr>
    <w:rPr>
      <w:rFonts w:ascii="Arial Narrow" w:hAnsi="Arial Narrow"/>
      <w:bCs/>
      <w:color w:val="000000"/>
      <w:szCs w:val="24"/>
    </w:rPr>
  </w:style>
  <w:style w:type="character" w:customStyle="1" w:styleId="TableJustCenterChar">
    <w:name w:val="Table Just Center Char"/>
    <w:basedOn w:val="TableJustLeftChar"/>
    <w:link w:val="TableJustCenter"/>
    <w:rsid w:val="000951C5"/>
    <w:rPr>
      <w:rFonts w:ascii="Arial Narrow" w:hAnsi="Arial Narrow"/>
      <w:b w:val="0"/>
      <w:bCs/>
      <w:color w:val="000000"/>
      <w:szCs w:val="24"/>
    </w:rPr>
  </w:style>
  <w:style w:type="table" w:customStyle="1" w:styleId="CAHPSCutPoints">
    <w:name w:val="CAHPSCutPoints"/>
    <w:basedOn w:val="TableGrid"/>
    <w:uiPriority w:val="99"/>
    <w:qFormat/>
    <w:rsid w:val="00A02C3D"/>
    <w:pPr>
      <w:contextualSpacing/>
    </w:pPr>
    <w:rPr>
      <w:rFonts w:ascii="Arial" w:eastAsiaTheme="minorHAnsi" w:hAnsi="Arial" w:cstheme="minorBid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9" w:type="dxa"/>
        <w:left w:w="29" w:type="dxa"/>
        <w:bottom w:w="29" w:type="dxa"/>
        <w:right w:w="29" w:type="dxa"/>
      </w:tblCellMar>
    </w:tblPr>
    <w:tcPr>
      <w:shd w:val="clear" w:color="auto" w:fill="auto"/>
      <w:noWrap/>
      <w:vAlign w:val="bottom"/>
    </w:tcPr>
    <w:tblStylePr w:type="firstRow">
      <w:pPr>
        <w:wordWrap/>
        <w:spacing w:beforeLines="0" w:beforeAutospacing="0" w:afterLines="0" w:afterAutospacing="0" w:line="240" w:lineRule="auto"/>
      </w:pPr>
      <w:rPr>
        <w:rFonts w:ascii="KodchiangUPC" w:hAnsi="KodchiangUPC"/>
        <w:b/>
        <w:bCs/>
        <w:color w:val="auto"/>
        <w:sz w:val="20"/>
      </w:rPr>
      <w:tblPr/>
      <w:trPr>
        <w:cantSplit/>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solid" w:color="BFBFBF" w:themeColor="background1" w:themeShade="BF" w:fill="BFBFBF" w:themeFill="background1" w:themeFillShade="B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1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StylePr>
    <w:tblStylePr w:type="band2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Pr/>
      <w:tcPr>
        <w:shd w:val="clear" w:color="auto" w:fill="D9D9D9" w:themeFill="background1" w:themeFillShade="D9"/>
      </w:tcPr>
    </w:tblStylePr>
  </w:style>
  <w:style w:type="paragraph" w:customStyle="1" w:styleId="AttachmentTableTitle">
    <w:name w:val="Attachment Table Title"/>
    <w:basedOn w:val="Normal"/>
    <w:link w:val="AttachmentTableTitleChar"/>
    <w:qFormat/>
    <w:rsid w:val="00A02C3D"/>
    <w:pPr>
      <w:spacing w:before="120" w:line="240" w:lineRule="auto"/>
    </w:pPr>
    <w:rPr>
      <w:rFonts w:ascii="Arial" w:eastAsiaTheme="minorHAnsi" w:hAnsi="Arial" w:cs="Arial"/>
      <w:sz w:val="22"/>
    </w:rPr>
  </w:style>
  <w:style w:type="character" w:customStyle="1" w:styleId="AttachmentTableTitleChar">
    <w:name w:val="Attachment Table Title Char"/>
    <w:basedOn w:val="DefaultParagraphFont"/>
    <w:link w:val="AttachmentTableTitle"/>
    <w:rsid w:val="000951C5"/>
    <w:rPr>
      <w:rFonts w:ascii="Arial" w:eastAsiaTheme="minorHAnsi" w:hAnsi="Arial" w:cs="Arial"/>
      <w:sz w:val="22"/>
      <w:szCs w:val="22"/>
    </w:rPr>
  </w:style>
  <w:style w:type="character" w:customStyle="1" w:styleId="rowtitle">
    <w:name w:val="rowtitle"/>
    <w:basedOn w:val="DefaultParagraphFont"/>
    <w:rsid w:val="00A02C3D"/>
  </w:style>
  <w:style w:type="character" w:customStyle="1" w:styleId="StyleBlack">
    <w:name w:val="Style Black"/>
    <w:basedOn w:val="DefaultParagraphFont"/>
    <w:rsid w:val="00E17774"/>
    <w:rPr>
      <w:rFonts w:ascii="Times New Roman Bold" w:hAnsi="Times New Roman Bold"/>
      <w:b/>
      <w:color w:val="000000"/>
      <w:sz w:val="24"/>
    </w:rPr>
  </w:style>
  <w:style w:type="paragraph" w:customStyle="1" w:styleId="ColHead">
    <w:name w:val="ColHead"/>
    <w:basedOn w:val="Normal"/>
    <w:rsid w:val="00D725A7"/>
    <w:pPr>
      <w:pBdr>
        <w:bottom w:val="single" w:sz="4" w:space="1" w:color="auto"/>
      </w:pBdr>
      <w:spacing w:after="200" w:line="240" w:lineRule="auto"/>
      <w:jc w:val="center"/>
    </w:pPr>
    <w:rPr>
      <w:sz w:val="20"/>
      <w:szCs w:val="20"/>
    </w:rPr>
  </w:style>
  <w:style w:type="paragraph" w:customStyle="1" w:styleId="ColHeadSpan">
    <w:name w:val="ColHeadSpan"/>
    <w:basedOn w:val="ColHead"/>
    <w:rsid w:val="00D725A7"/>
  </w:style>
  <w:style w:type="paragraph" w:customStyle="1" w:styleId="RowHead">
    <w:name w:val="RowHead"/>
    <w:basedOn w:val="Normal"/>
    <w:rsid w:val="007A34A3"/>
    <w:pPr>
      <w:spacing w:after="200" w:line="240" w:lineRule="auto"/>
    </w:pPr>
    <w:rPr>
      <w:sz w:val="20"/>
      <w:szCs w:val="20"/>
    </w:rPr>
  </w:style>
  <w:style w:type="paragraph" w:customStyle="1" w:styleId="xmsoplaintext">
    <w:name w:val="x_msoplaintext"/>
    <w:basedOn w:val="Normal"/>
    <w:rsid w:val="00C07BE2"/>
    <w:pPr>
      <w:spacing w:before="100" w:beforeAutospacing="1" w:after="100" w:afterAutospacing="1" w:line="240" w:lineRule="auto"/>
    </w:pPr>
    <w:rPr>
      <w:szCs w:val="24"/>
    </w:rPr>
  </w:style>
  <w:style w:type="paragraph" w:customStyle="1" w:styleId="Paragraph12ptBeforeAfter">
    <w:name w:val="Paragraph 12 pt Before &amp; After"/>
    <w:basedOn w:val="Normal"/>
    <w:qFormat/>
    <w:rsid w:val="004F379B"/>
    <w:pPr>
      <w:spacing w:before="240" w:after="240"/>
    </w:pPr>
    <w:rPr>
      <w:color w:val="000000"/>
      <w:szCs w:val="24"/>
    </w:rPr>
  </w:style>
  <w:style w:type="paragraph" w:styleId="Caption">
    <w:name w:val="caption"/>
    <w:basedOn w:val="Normal"/>
    <w:next w:val="Normal"/>
    <w:uiPriority w:val="35"/>
    <w:unhideWhenUsed/>
    <w:qFormat/>
    <w:locked/>
    <w:rsid w:val="00573CD2"/>
    <w:pPr>
      <w:keepNext/>
      <w:keepLines/>
      <w:spacing w:before="200" w:after="200" w:line="240" w:lineRule="auto"/>
    </w:pPr>
    <w:rPr>
      <w:b/>
      <w:bCs/>
      <w:szCs w:val="18"/>
    </w:rPr>
  </w:style>
  <w:style w:type="paragraph" w:customStyle="1" w:styleId="FN">
    <w:name w:val="FN"/>
    <w:basedOn w:val="Normal"/>
    <w:rsid w:val="0048434A"/>
    <w:pPr>
      <w:spacing w:before="60" w:after="200" w:line="240" w:lineRule="auto"/>
    </w:pPr>
    <w:rPr>
      <w:sz w:val="20"/>
      <w:szCs w:val="20"/>
    </w:rPr>
  </w:style>
  <w:style w:type="paragraph" w:customStyle="1" w:styleId="SectionText-NumberedBullet">
    <w:name w:val="Section Text - Numbered Bullet"/>
    <w:basedOn w:val="BodyText0"/>
    <w:uiPriority w:val="99"/>
    <w:qFormat/>
    <w:rsid w:val="00141E7B"/>
    <w:pPr>
      <w:tabs>
        <w:tab w:val="left" w:pos="720"/>
        <w:tab w:val="left" w:pos="1080"/>
      </w:tabs>
      <w:spacing w:line="240" w:lineRule="auto"/>
    </w:pPr>
    <w:rPr>
      <w:rFonts w:eastAsia="Calibri"/>
    </w:rPr>
  </w:style>
  <w:style w:type="paragraph" w:customStyle="1" w:styleId="SectionText-DotBullet">
    <w:name w:val="Section Text - Dot Bullet"/>
    <w:basedOn w:val="Normal"/>
    <w:qFormat/>
    <w:rsid w:val="00141E7B"/>
    <w:pPr>
      <w:numPr>
        <w:numId w:val="4"/>
      </w:numPr>
      <w:tabs>
        <w:tab w:val="num" w:pos="360"/>
        <w:tab w:val="left" w:pos="720"/>
        <w:tab w:val="left" w:pos="1080"/>
      </w:tabs>
      <w:adjustRightInd w:val="0"/>
      <w:spacing w:line="240" w:lineRule="auto"/>
      <w:ind w:left="0" w:firstLine="0"/>
      <w:contextualSpacing/>
    </w:pPr>
    <w:rPr>
      <w:rFonts w:eastAsia="Calibri"/>
      <w:szCs w:val="24"/>
    </w:rPr>
  </w:style>
  <w:style w:type="paragraph" w:customStyle="1" w:styleId="SRSection">
    <w:name w:val="SR_Section"/>
    <w:basedOn w:val="Normal"/>
    <w:qFormat/>
    <w:rsid w:val="00141E7B"/>
    <w:pPr>
      <w:spacing w:after="120"/>
      <w:ind w:left="446" w:hanging="446"/>
      <w:contextualSpacing/>
    </w:pPr>
    <w:rPr>
      <w:i/>
      <w:szCs w:val="24"/>
    </w:rPr>
  </w:style>
  <w:style w:type="paragraph" w:customStyle="1" w:styleId="SRBullet">
    <w:name w:val="SR_Bullet"/>
    <w:basedOn w:val="Normal"/>
    <w:qFormat/>
    <w:rsid w:val="00141E7B"/>
    <w:pPr>
      <w:numPr>
        <w:numId w:val="5"/>
      </w:numPr>
      <w:tabs>
        <w:tab w:val="left" w:pos="720"/>
        <w:tab w:val="left" w:pos="1080"/>
      </w:tabs>
      <w:autoSpaceDE w:val="0"/>
      <w:autoSpaceDN w:val="0"/>
      <w:adjustRightInd w:val="0"/>
      <w:spacing w:after="120"/>
    </w:pPr>
    <w:rPr>
      <w:color w:val="000000"/>
      <w:szCs w:val="24"/>
    </w:rPr>
  </w:style>
  <w:style w:type="paragraph" w:customStyle="1" w:styleId="SRNormal">
    <w:name w:val="SR_Normal"/>
    <w:basedOn w:val="Normal"/>
    <w:qFormat/>
    <w:rsid w:val="00141E7B"/>
    <w:pPr>
      <w:tabs>
        <w:tab w:val="left" w:pos="720"/>
        <w:tab w:val="left" w:pos="1080"/>
      </w:tabs>
      <w:autoSpaceDE w:val="0"/>
      <w:autoSpaceDN w:val="0"/>
      <w:adjustRightInd w:val="0"/>
      <w:spacing w:after="200"/>
      <w:ind w:left="720"/>
    </w:pPr>
    <w:rPr>
      <w:color w:val="000000"/>
      <w:szCs w:val="24"/>
    </w:rPr>
  </w:style>
  <w:style w:type="paragraph" w:customStyle="1" w:styleId="SRNormalBullet">
    <w:name w:val="SR_Normal_Bullet"/>
    <w:basedOn w:val="Normal"/>
    <w:qFormat/>
    <w:rsid w:val="00141E7B"/>
    <w:pPr>
      <w:tabs>
        <w:tab w:val="left" w:pos="720"/>
        <w:tab w:val="left" w:pos="1080"/>
      </w:tabs>
      <w:autoSpaceDE w:val="0"/>
      <w:autoSpaceDN w:val="0"/>
      <w:adjustRightInd w:val="0"/>
      <w:ind w:left="1048" w:hanging="360"/>
    </w:pPr>
    <w:rPr>
      <w:szCs w:val="24"/>
    </w:rPr>
  </w:style>
  <w:style w:type="paragraph" w:customStyle="1" w:styleId="SRNormalNumberedBullet">
    <w:name w:val="SR_Normal_Numbered_Bullet"/>
    <w:basedOn w:val="Normal"/>
    <w:qFormat/>
    <w:rsid w:val="00141E7B"/>
    <w:pPr>
      <w:tabs>
        <w:tab w:val="left" w:pos="1080"/>
      </w:tabs>
      <w:autoSpaceDE w:val="0"/>
      <w:autoSpaceDN w:val="0"/>
      <w:adjustRightInd w:val="0"/>
      <w:spacing w:after="120"/>
      <w:ind w:left="1080" w:hanging="360"/>
    </w:pPr>
    <w:rPr>
      <w:szCs w:val="24"/>
    </w:rPr>
  </w:style>
  <w:style w:type="paragraph" w:customStyle="1" w:styleId="TableParagraph">
    <w:name w:val="Table Paragraph"/>
    <w:basedOn w:val="Normal"/>
    <w:uiPriority w:val="1"/>
    <w:qFormat/>
    <w:rsid w:val="00FA7367"/>
    <w:pPr>
      <w:widowControl w:val="0"/>
      <w:spacing w:line="240" w:lineRule="auto"/>
    </w:pPr>
    <w:rPr>
      <w:rFonts w:asciiTheme="minorHAnsi" w:eastAsiaTheme="minorHAnsi" w:hAnsiTheme="minorHAnsi" w:cstheme="minorBidi"/>
      <w:sz w:val="22"/>
    </w:rPr>
  </w:style>
  <w:style w:type="paragraph" w:customStyle="1" w:styleId="paragraph">
    <w:name w:val="paragraph"/>
    <w:basedOn w:val="Normal"/>
    <w:rsid w:val="00F76873"/>
    <w:pPr>
      <w:spacing w:before="24" w:after="24" w:line="240" w:lineRule="auto"/>
      <w:ind w:left="480" w:firstLine="240"/>
    </w:pPr>
    <w:rPr>
      <w:szCs w:val="24"/>
    </w:rPr>
  </w:style>
  <w:style w:type="paragraph" w:customStyle="1" w:styleId="subpara">
    <w:name w:val="subpara"/>
    <w:basedOn w:val="Normal"/>
    <w:rsid w:val="00F76873"/>
    <w:pPr>
      <w:spacing w:before="24" w:after="24" w:line="240" w:lineRule="auto"/>
      <w:ind w:left="960" w:firstLine="240"/>
    </w:pPr>
    <w:rPr>
      <w:szCs w:val="24"/>
    </w:rPr>
  </w:style>
  <w:style w:type="paragraph" w:customStyle="1" w:styleId="clause">
    <w:name w:val="clause"/>
    <w:basedOn w:val="Normal"/>
    <w:rsid w:val="00F76873"/>
    <w:pPr>
      <w:spacing w:before="24" w:after="24" w:line="240" w:lineRule="auto"/>
      <w:ind w:left="1440" w:firstLine="240"/>
    </w:pPr>
    <w:rPr>
      <w:szCs w:val="24"/>
    </w:rPr>
  </w:style>
  <w:style w:type="character" w:customStyle="1" w:styleId="sc1">
    <w:name w:val="sc1"/>
    <w:basedOn w:val="DefaultParagraphFont"/>
    <w:rsid w:val="00F76873"/>
    <w:rPr>
      <w:smallCaps/>
    </w:rPr>
  </w:style>
  <w:style w:type="paragraph" w:customStyle="1" w:styleId="subclause">
    <w:name w:val="subclause"/>
    <w:basedOn w:val="Normal"/>
    <w:rsid w:val="00245FF1"/>
    <w:pPr>
      <w:spacing w:before="24" w:after="24" w:line="240" w:lineRule="auto"/>
      <w:ind w:left="1920" w:firstLine="240"/>
    </w:pPr>
    <w:rPr>
      <w:szCs w:val="24"/>
    </w:rPr>
  </w:style>
  <w:style w:type="paragraph" w:customStyle="1" w:styleId="subsec">
    <w:name w:val="subsec"/>
    <w:basedOn w:val="Normal"/>
    <w:rsid w:val="00245FF1"/>
    <w:pPr>
      <w:spacing w:before="24" w:after="24" w:line="240" w:lineRule="auto"/>
      <w:ind w:firstLine="240"/>
    </w:pPr>
    <w:rPr>
      <w:szCs w:val="24"/>
    </w:rPr>
  </w:style>
  <w:style w:type="paragraph" w:customStyle="1" w:styleId="xl65">
    <w:name w:val="xl65"/>
    <w:basedOn w:val="Normal"/>
    <w:rsid w:val="0066659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16"/>
      <w:szCs w:val="16"/>
    </w:rPr>
  </w:style>
  <w:style w:type="paragraph" w:styleId="Index1">
    <w:name w:val="index 1"/>
    <w:basedOn w:val="Normal"/>
    <w:next w:val="Normal"/>
    <w:autoRedefine/>
    <w:uiPriority w:val="99"/>
    <w:semiHidden/>
    <w:unhideWhenUsed/>
    <w:rsid w:val="00191CC8"/>
    <w:pPr>
      <w:spacing w:line="240" w:lineRule="auto"/>
      <w:ind w:left="240" w:hanging="240"/>
    </w:pPr>
  </w:style>
  <w:style w:type="paragraph" w:customStyle="1" w:styleId="TableTitle0">
    <w:name w:val="Table Title"/>
    <w:basedOn w:val="Normal"/>
    <w:qFormat/>
    <w:rsid w:val="008C291C"/>
    <w:pPr>
      <w:keepNext/>
      <w:keepLines/>
      <w:spacing w:before="360" w:after="120"/>
      <w:jc w:val="center"/>
    </w:pPr>
    <w:rPr>
      <w:b/>
    </w:rPr>
  </w:style>
  <w:style w:type="numbering" w:customStyle="1" w:styleId="NoList111">
    <w:name w:val="No List111"/>
    <w:next w:val="NoList"/>
    <w:semiHidden/>
    <w:unhideWhenUsed/>
    <w:rsid w:val="00B052EB"/>
  </w:style>
  <w:style w:type="paragraph" w:styleId="EndnoteText">
    <w:name w:val="endnote text"/>
    <w:basedOn w:val="Normal"/>
    <w:link w:val="EndnoteTextChar"/>
    <w:uiPriority w:val="99"/>
    <w:semiHidden/>
    <w:unhideWhenUsed/>
    <w:rsid w:val="00B052EB"/>
    <w:pPr>
      <w:spacing w:line="240" w:lineRule="auto"/>
    </w:pPr>
    <w:rPr>
      <w:sz w:val="20"/>
      <w:szCs w:val="20"/>
    </w:rPr>
  </w:style>
  <w:style w:type="character" w:customStyle="1" w:styleId="EndnoteTextChar">
    <w:name w:val="Endnote Text Char"/>
    <w:basedOn w:val="DefaultParagraphFont"/>
    <w:link w:val="EndnoteText"/>
    <w:uiPriority w:val="99"/>
    <w:semiHidden/>
    <w:rsid w:val="00B052EB"/>
    <w:rPr>
      <w:rFonts w:ascii="Times New Roman" w:hAnsi="Times New Roman"/>
    </w:rPr>
  </w:style>
  <w:style w:type="character" w:styleId="EndnoteReference">
    <w:name w:val="endnote reference"/>
    <w:basedOn w:val="DefaultParagraphFont"/>
    <w:uiPriority w:val="99"/>
    <w:semiHidden/>
    <w:unhideWhenUsed/>
    <w:rsid w:val="00B052EB"/>
    <w:rPr>
      <w:vertAlign w:val="superscript"/>
    </w:rPr>
  </w:style>
  <w:style w:type="table" w:customStyle="1" w:styleId="TableGrid3">
    <w:name w:val="Table Grid3"/>
    <w:basedOn w:val="TableNormal"/>
    <w:next w:val="TableGrid"/>
    <w:uiPriority w:val="59"/>
    <w:rsid w:val="00B052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052EB"/>
    <w:rPr>
      <w:rFonts w:ascii="Times" w:eastAsia="Times" w:hAnsi="Tim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147">
    <w:name w:val="CM147"/>
    <w:basedOn w:val="Normal"/>
    <w:uiPriority w:val="99"/>
    <w:rsid w:val="00B052EB"/>
    <w:pPr>
      <w:autoSpaceDE w:val="0"/>
      <w:autoSpaceDN w:val="0"/>
      <w:spacing w:line="240" w:lineRule="auto"/>
    </w:pPr>
    <w:rPr>
      <w:rFonts w:ascii="GPBII D+ Avenir LT Std" w:eastAsiaTheme="minorHAnsi" w:hAnsi="GPBII D+ Avenir LT Std"/>
      <w:szCs w:val="24"/>
    </w:rPr>
  </w:style>
  <w:style w:type="paragraph" w:customStyle="1" w:styleId="SectionText">
    <w:name w:val="Section Text"/>
    <w:basedOn w:val="Normal"/>
    <w:qFormat/>
    <w:rsid w:val="00B052EB"/>
    <w:pPr>
      <w:tabs>
        <w:tab w:val="left" w:pos="720"/>
        <w:tab w:val="left" w:pos="1080"/>
      </w:tabs>
      <w:adjustRightInd w:val="0"/>
      <w:spacing w:after="200" w:line="240" w:lineRule="auto"/>
      <w:ind w:left="360"/>
    </w:pPr>
    <w:rPr>
      <w:rFonts w:asciiTheme="minorHAnsi" w:eastAsiaTheme="minorHAnsi" w:hAnsiTheme="minorHAnsi" w:cstheme="minorHAnsi"/>
    </w:rPr>
  </w:style>
  <w:style w:type="character" w:customStyle="1" w:styleId="Style1Char">
    <w:name w:val="Style1 Char"/>
    <w:basedOn w:val="DefaultParagraphFont"/>
    <w:link w:val="Style1"/>
    <w:locked/>
    <w:rsid w:val="00B052EB"/>
    <w:rPr>
      <w:rFonts w:ascii="Times New Roman" w:hAnsi="Times New Roman"/>
    </w:rPr>
  </w:style>
  <w:style w:type="paragraph" w:customStyle="1" w:styleId="Style1">
    <w:name w:val="Style1"/>
    <w:basedOn w:val="Normal"/>
    <w:link w:val="Style1Char"/>
    <w:rsid w:val="00B052EB"/>
    <w:pPr>
      <w:numPr>
        <w:numId w:val="11"/>
      </w:numPr>
      <w:spacing w:line="360" w:lineRule="auto"/>
    </w:pPr>
    <w:rPr>
      <w:sz w:val="20"/>
      <w:szCs w:val="20"/>
    </w:rPr>
  </w:style>
  <w:style w:type="character" w:customStyle="1" w:styleId="st1">
    <w:name w:val="st1"/>
    <w:basedOn w:val="DefaultParagraphFont"/>
    <w:rsid w:val="00B052EB"/>
  </w:style>
  <w:style w:type="paragraph" w:customStyle="1" w:styleId="MeasureSection-Measure">
    <w:name w:val="Measure Section - Measure"/>
    <w:basedOn w:val="Normal"/>
    <w:link w:val="MeasureSection-MeasureChar"/>
    <w:qFormat/>
    <w:rsid w:val="00B052EB"/>
    <w:pPr>
      <w:pBdr>
        <w:top w:val="single" w:sz="12" w:space="1" w:color="auto"/>
      </w:pBdr>
      <w:spacing w:before="200" w:line="240" w:lineRule="auto"/>
      <w:ind w:left="2430" w:hanging="2430"/>
    </w:pPr>
    <w:rPr>
      <w:rFonts w:ascii="Arial" w:eastAsiaTheme="minorHAnsi" w:hAnsi="Arial" w:cs="Arial"/>
      <w:b/>
    </w:rPr>
  </w:style>
  <w:style w:type="character" w:customStyle="1" w:styleId="MeasureSection-MeasureChar">
    <w:name w:val="Measure Section - Measure Char"/>
    <w:basedOn w:val="DefaultParagraphFont"/>
    <w:link w:val="MeasureSection-Measure"/>
    <w:rsid w:val="00B052EB"/>
    <w:rPr>
      <w:rFonts w:ascii="Arial" w:eastAsiaTheme="minorHAnsi" w:hAnsi="Arial" w:cs="Arial"/>
      <w:b/>
      <w:sz w:val="24"/>
      <w:szCs w:val="22"/>
    </w:rPr>
  </w:style>
  <w:style w:type="paragraph" w:customStyle="1" w:styleId="Normal-Bullet">
    <w:name w:val="Normal - Bullet"/>
    <w:basedOn w:val="Default"/>
    <w:qFormat/>
    <w:rsid w:val="00B052EB"/>
    <w:pPr>
      <w:numPr>
        <w:numId w:val="10"/>
      </w:numPr>
      <w:spacing w:after="120" w:line="240" w:lineRule="auto"/>
    </w:pPr>
    <w:rPr>
      <w:rFonts w:asciiTheme="minorHAnsi" w:eastAsiaTheme="minorHAnsi" w:hAnsiTheme="minorHAnsi" w:cstheme="minorHAnsi"/>
    </w:rPr>
  </w:style>
  <w:style w:type="paragraph" w:customStyle="1" w:styleId="SectionTitle">
    <w:name w:val="Section Title"/>
    <w:basedOn w:val="ListParagraph"/>
    <w:next w:val="SectionDescription"/>
    <w:qFormat/>
    <w:rsid w:val="00B052EB"/>
    <w:pPr>
      <w:numPr>
        <w:numId w:val="12"/>
      </w:numPr>
      <w:spacing w:after="240" w:line="240" w:lineRule="auto"/>
      <w:contextualSpacing w:val="0"/>
    </w:pPr>
    <w:rPr>
      <w:rFonts w:asciiTheme="minorHAnsi" w:eastAsiaTheme="minorHAnsi" w:hAnsiTheme="minorHAnsi" w:cstheme="minorHAnsi"/>
      <w:b/>
      <w:i/>
      <w:szCs w:val="24"/>
    </w:rPr>
  </w:style>
  <w:style w:type="paragraph" w:customStyle="1" w:styleId="SectionDescription">
    <w:name w:val="Section Description"/>
    <w:basedOn w:val="Normal"/>
    <w:next w:val="SectionText-NumberedBullet"/>
    <w:qFormat/>
    <w:rsid w:val="00B052EB"/>
    <w:pPr>
      <w:tabs>
        <w:tab w:val="left" w:pos="720"/>
        <w:tab w:val="left" w:pos="1080"/>
      </w:tabs>
      <w:adjustRightInd w:val="0"/>
      <w:spacing w:after="200" w:line="240" w:lineRule="auto"/>
      <w:ind w:left="360"/>
    </w:pPr>
    <w:rPr>
      <w:rFonts w:asciiTheme="minorHAnsi" w:eastAsiaTheme="minorHAnsi" w:hAnsiTheme="minorHAnsi" w:cstheme="minorHAnsi"/>
      <w:b/>
    </w:rPr>
  </w:style>
  <w:style w:type="paragraph" w:customStyle="1" w:styleId="SectionText-RomanBullet">
    <w:name w:val="Section Text - Roman Bullet"/>
    <w:basedOn w:val="SectionText-NumberedBullet"/>
    <w:qFormat/>
    <w:rsid w:val="00B052EB"/>
    <w:pPr>
      <w:numPr>
        <w:numId w:val="13"/>
      </w:numPr>
      <w:spacing w:before="0" w:after="120"/>
    </w:pPr>
    <w:rPr>
      <w:rFonts w:asciiTheme="minorHAnsi" w:eastAsiaTheme="minorHAnsi" w:hAnsiTheme="minorHAnsi" w:cstheme="minorHAnsi"/>
    </w:rPr>
  </w:style>
  <w:style w:type="paragraph" w:customStyle="1" w:styleId="SectionText-LetteredBullet">
    <w:name w:val="Section Text - Lettered Bullet"/>
    <w:basedOn w:val="SectionText-RomanBullet"/>
    <w:qFormat/>
    <w:rsid w:val="00B052EB"/>
    <w:pPr>
      <w:numPr>
        <w:ilvl w:val="1"/>
      </w:numPr>
      <w:contextualSpacing/>
    </w:pPr>
  </w:style>
  <w:style w:type="paragraph" w:customStyle="1" w:styleId="Body">
    <w:name w:val="Body"/>
    <w:link w:val="BodyChar1"/>
    <w:rsid w:val="00B052EB"/>
    <w:pPr>
      <w:spacing w:before="180"/>
    </w:pPr>
    <w:rPr>
      <w:rFonts w:ascii="Arial" w:hAnsi="Arial"/>
      <w:szCs w:val="24"/>
    </w:rPr>
  </w:style>
  <w:style w:type="character" w:customStyle="1" w:styleId="BodyChar1">
    <w:name w:val="Body Char1"/>
    <w:link w:val="Body"/>
    <w:rsid w:val="00B052EB"/>
    <w:rPr>
      <w:rFonts w:ascii="Arial" w:hAnsi="Arial"/>
      <w:szCs w:val="24"/>
    </w:rPr>
  </w:style>
  <w:style w:type="paragraph" w:customStyle="1" w:styleId="MeasureDetail">
    <w:name w:val="MeasureDetail"/>
    <w:basedOn w:val="MeasureSection-Measure"/>
    <w:link w:val="MeasureDetailChar"/>
    <w:qFormat/>
    <w:rsid w:val="00B052EB"/>
    <w:pPr>
      <w:pBdr>
        <w:top w:val="none" w:sz="0" w:space="0" w:color="auto"/>
      </w:pBdr>
      <w:tabs>
        <w:tab w:val="right" w:pos="2707"/>
        <w:tab w:val="left" w:pos="2880"/>
        <w:tab w:val="right" w:pos="8460"/>
        <w:tab w:val="left" w:pos="8550"/>
      </w:tabs>
      <w:spacing w:before="0"/>
      <w:ind w:left="0" w:firstLine="0"/>
    </w:pPr>
    <w:rPr>
      <w:b w:val="0"/>
    </w:rPr>
  </w:style>
  <w:style w:type="character" w:customStyle="1" w:styleId="MeasureDetailChar">
    <w:name w:val="MeasureDetail Char"/>
    <w:basedOn w:val="MeasureSection-MeasureChar"/>
    <w:link w:val="MeasureDetail"/>
    <w:rsid w:val="00B052EB"/>
    <w:rPr>
      <w:rFonts w:ascii="Arial" w:eastAsiaTheme="minorHAnsi" w:hAnsi="Arial" w:cs="Arial"/>
      <w:b w:val="0"/>
      <w:sz w:val="24"/>
      <w:szCs w:val="22"/>
    </w:rPr>
  </w:style>
  <w:style w:type="paragraph" w:customStyle="1" w:styleId="TableBullet">
    <w:name w:val="Table Bullet"/>
    <w:rsid w:val="00B052EB"/>
    <w:pPr>
      <w:numPr>
        <w:numId w:val="14"/>
      </w:numPr>
      <w:tabs>
        <w:tab w:val="clear" w:pos="216"/>
      </w:tabs>
      <w:spacing w:before="40" w:after="40" w:line="200" w:lineRule="exact"/>
      <w:ind w:left="158" w:hanging="158"/>
    </w:pPr>
    <w:rPr>
      <w:rFonts w:ascii="Arial Narrow" w:hAnsi="Arial Narrow"/>
      <w:sz w:val="19"/>
      <w:szCs w:val="24"/>
    </w:rPr>
  </w:style>
  <w:style w:type="paragraph" w:customStyle="1" w:styleId="TableTOC">
    <w:name w:val="TableTOC"/>
    <w:basedOn w:val="Normal"/>
    <w:qFormat/>
    <w:rsid w:val="00634201"/>
    <w:pPr>
      <w:jc w:val="center"/>
    </w:pPr>
    <w:rPr>
      <w:b/>
      <w:szCs w:val="24"/>
    </w:rPr>
  </w:style>
  <w:style w:type="paragraph" w:customStyle="1" w:styleId="xl63">
    <w:name w:val="xl63"/>
    <w:basedOn w:val="Normal"/>
    <w:rsid w:val="001074CE"/>
    <w:pPr>
      <w:shd w:val="clear" w:color="000000" w:fill="FFFFFF"/>
      <w:spacing w:before="100" w:beforeAutospacing="1" w:after="100" w:afterAutospacing="1" w:line="240" w:lineRule="auto"/>
    </w:pPr>
    <w:rPr>
      <w:szCs w:val="24"/>
    </w:rPr>
  </w:style>
  <w:style w:type="paragraph" w:customStyle="1" w:styleId="xl64">
    <w:name w:val="xl64"/>
    <w:basedOn w:val="Normal"/>
    <w:rsid w:val="001074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sz w:val="16"/>
      <w:szCs w:val="16"/>
    </w:rPr>
  </w:style>
  <w:style w:type="paragraph" w:customStyle="1" w:styleId="msonormal0">
    <w:name w:val="msonormal"/>
    <w:basedOn w:val="Normal"/>
    <w:rsid w:val="009A7430"/>
    <w:pPr>
      <w:spacing w:before="100" w:beforeAutospacing="1" w:after="100" w:afterAutospacing="1" w:line="240" w:lineRule="auto"/>
    </w:pPr>
    <w:rPr>
      <w:szCs w:val="24"/>
    </w:rPr>
  </w:style>
  <w:style w:type="paragraph" w:customStyle="1" w:styleId="NormalBullet-NumberLevel2">
    <w:name w:val="Normal Bullet - Number Level 2"/>
    <w:basedOn w:val="Normal"/>
    <w:qFormat/>
    <w:rsid w:val="004C5B0C"/>
    <w:pPr>
      <w:numPr>
        <w:numId w:val="34"/>
      </w:numPr>
      <w:autoSpaceDE w:val="0"/>
      <w:autoSpaceDN w:val="0"/>
      <w:adjustRightInd w:val="0"/>
      <w:spacing w:before="60" w:after="60" w:line="240" w:lineRule="auto"/>
      <w:ind w:left="900"/>
    </w:pPr>
    <w:rPr>
      <w:rFonts w:ascii="Arial" w:eastAsia="Batang" w:hAnsi="Arial" w:cs="Arial"/>
      <w:color w:val="000000"/>
      <w:sz w:val="22"/>
      <w:szCs w:val="20"/>
      <w:lang w:eastAsia="ko-KR"/>
    </w:rPr>
  </w:style>
  <w:style w:type="table" w:customStyle="1" w:styleId="CutPoints">
    <w:name w:val="CutPoints"/>
    <w:basedOn w:val="TableNormal"/>
    <w:uiPriority w:val="99"/>
    <w:qFormat/>
    <w:rsid w:val="004C5B0C"/>
    <w:pPr>
      <w:spacing w:before="199" w:line="276" w:lineRule="auto"/>
      <w:ind w:left="1152"/>
      <w:jc w:val="center"/>
    </w:pPr>
    <w:rPr>
      <w:rFonts w:ascii="Arial Narrow" w:eastAsiaTheme="minorHAnsi" w:hAnsi="Arial Narrow" w:cstheme="minorBidi"/>
      <w:sz w:val="24"/>
      <w:szCs w:val="22"/>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58" w:type="dxa"/>
        <w:bottom w:w="29" w:type="dxa"/>
        <w:right w:w="58" w:type="dxa"/>
      </w:tblCellMar>
    </w:tblPr>
    <w:tblStylePr w:type="firstRow">
      <w:pPr>
        <w:wordWrap/>
        <w:spacing w:beforeLines="0" w:beforeAutospacing="0" w:afterLines="0" w:afterAutospacing="0" w:line="240" w:lineRule="auto"/>
        <w:contextualSpacing/>
        <w:jc w:val="center"/>
      </w:pPr>
      <w:rPr>
        <w:rFonts w:ascii="Arial Narrow" w:hAnsi="Arial Narrow"/>
        <w:b/>
        <w:sz w:val="20"/>
      </w:rPr>
      <w:tblPr/>
      <w:tcPr>
        <w:shd w:val="clear" w:color="auto" w:fill="BFBFBF" w:themeFill="background1" w:themeFillShade="BF"/>
        <w:vAlign w:val="bottom"/>
      </w:tcPr>
    </w:tblStylePr>
    <w:tblStylePr w:type="band1Vert">
      <w:pPr>
        <w:wordWrap/>
        <w:spacing w:beforeLines="0" w:beforeAutospacing="0" w:afterLines="0" w:afterAutospacing="0" w:line="240" w:lineRule="auto"/>
      </w:pPr>
    </w:tblStylePr>
    <w:tblStylePr w:type="band2Vert">
      <w:pPr>
        <w:wordWrap/>
        <w:spacing w:beforeLines="0" w:beforeAutospacing="0" w:afterLines="0" w:afterAutospacing="0" w:line="240" w:lineRule="auto"/>
      </w:pPr>
    </w:tblStylePr>
    <w:tblStylePr w:type="band1Horz">
      <w:pPr>
        <w:wordWrap/>
        <w:spacing w:beforeLines="0" w:beforeAutospacing="0" w:afterLines="0" w:afterAutospacing="0" w:line="240" w:lineRule="auto"/>
      </w:pPr>
    </w:tblStylePr>
    <w:tblStylePr w:type="band2Horz">
      <w:pPr>
        <w:wordWrap/>
        <w:spacing w:beforeLines="0" w:beforeAutospacing="0" w:afterLines="0" w:afterAutospacing="0" w:line="240" w:lineRule="auto"/>
      </w:pPr>
    </w:tblStylePr>
  </w:style>
  <w:style w:type="paragraph" w:customStyle="1" w:styleId="NormalBullet">
    <w:name w:val="Normal Bullet"/>
    <w:basedOn w:val="Normal"/>
    <w:next w:val="Normal"/>
    <w:link w:val="NormalBulletChar"/>
    <w:qFormat/>
    <w:rsid w:val="004C5B0C"/>
    <w:pPr>
      <w:numPr>
        <w:numId w:val="69"/>
      </w:numPr>
      <w:autoSpaceDE w:val="0"/>
      <w:autoSpaceDN w:val="0"/>
      <w:adjustRightInd w:val="0"/>
      <w:spacing w:before="120" w:after="120" w:line="240" w:lineRule="auto"/>
    </w:pPr>
    <w:rPr>
      <w:rFonts w:ascii="Arial" w:eastAsia="Batang" w:hAnsi="Arial" w:cs="Arial"/>
      <w:color w:val="000000"/>
      <w:sz w:val="22"/>
      <w:szCs w:val="20"/>
      <w:lang w:eastAsia="ko-KR"/>
    </w:rPr>
  </w:style>
  <w:style w:type="character" w:customStyle="1" w:styleId="NormalBulletChar">
    <w:name w:val="Normal Bullet Char"/>
    <w:basedOn w:val="DefaultParagraphFont"/>
    <w:link w:val="NormalBullet"/>
    <w:rsid w:val="004C5B0C"/>
    <w:rPr>
      <w:rFonts w:ascii="Arial" w:eastAsia="Batang" w:hAnsi="Arial" w:cs="Arial"/>
      <w:color w:val="000000"/>
      <w:sz w:val="22"/>
      <w:lang w:eastAsia="ko-KR"/>
    </w:rPr>
  </w:style>
  <w:style w:type="paragraph" w:customStyle="1" w:styleId="AttachmentTitle">
    <w:name w:val="Attachment Title"/>
    <w:basedOn w:val="Normal"/>
    <w:link w:val="AttachmentTitleChar"/>
    <w:qFormat/>
    <w:rsid w:val="004C5B0C"/>
    <w:pPr>
      <w:autoSpaceDE w:val="0"/>
      <w:autoSpaceDN w:val="0"/>
      <w:adjustRightInd w:val="0"/>
      <w:spacing w:after="180" w:line="300" w:lineRule="auto"/>
      <w:jc w:val="center"/>
      <w:outlineLvl w:val="0"/>
    </w:pPr>
    <w:rPr>
      <w:rFonts w:ascii="Arial" w:eastAsia="Batang" w:hAnsi="Arial" w:cs="Arial"/>
      <w:b/>
      <w:bCs/>
      <w:color w:val="000000"/>
      <w:sz w:val="22"/>
      <w:szCs w:val="24"/>
      <w:lang w:eastAsia="ko-KR"/>
    </w:rPr>
  </w:style>
  <w:style w:type="character" w:customStyle="1" w:styleId="AttachmentTitleChar">
    <w:name w:val="Attachment Title Char"/>
    <w:basedOn w:val="DefaultParagraphFont"/>
    <w:link w:val="AttachmentTitle"/>
    <w:rsid w:val="004C5B0C"/>
    <w:rPr>
      <w:rFonts w:ascii="Arial" w:eastAsia="Batang" w:hAnsi="Arial" w:cs="Arial"/>
      <w:b/>
      <w:bCs/>
      <w:color w:val="000000"/>
      <w:sz w:val="22"/>
      <w:szCs w:val="24"/>
      <w:lang w:eastAsia="ko-KR"/>
    </w:rPr>
  </w:style>
  <w:style w:type="paragraph" w:customStyle="1" w:styleId="AttachmentSection">
    <w:name w:val="Attachment Section"/>
    <w:basedOn w:val="Normal"/>
    <w:link w:val="AttachmentSectionChar"/>
    <w:qFormat/>
    <w:rsid w:val="004C5B0C"/>
    <w:pPr>
      <w:spacing w:before="240" w:after="180" w:line="300" w:lineRule="auto"/>
    </w:pPr>
    <w:rPr>
      <w:rFonts w:ascii="Arial" w:eastAsiaTheme="minorHAnsi" w:hAnsi="Arial" w:cs="Arial"/>
      <w:b/>
      <w:sz w:val="22"/>
    </w:rPr>
  </w:style>
  <w:style w:type="character" w:customStyle="1" w:styleId="AttachmentSectionChar">
    <w:name w:val="Attachment Section Char"/>
    <w:basedOn w:val="DefaultParagraphFont"/>
    <w:link w:val="AttachmentSection"/>
    <w:rsid w:val="004C5B0C"/>
    <w:rPr>
      <w:rFonts w:ascii="Arial" w:eastAsiaTheme="minorHAnsi" w:hAnsi="Arial" w:cs="Arial"/>
      <w:b/>
      <w:sz w:val="22"/>
      <w:szCs w:val="22"/>
    </w:rPr>
  </w:style>
  <w:style w:type="paragraph" w:customStyle="1" w:styleId="NormalBullet-Level2">
    <w:name w:val="Normal Bullet - Level 2"/>
    <w:qFormat/>
    <w:rsid w:val="004C5B0C"/>
    <w:pPr>
      <w:numPr>
        <w:ilvl w:val="1"/>
        <w:numId w:val="69"/>
      </w:numPr>
      <w:spacing w:before="60" w:after="60"/>
      <w:ind w:left="1368"/>
    </w:pPr>
    <w:rPr>
      <w:rFonts w:ascii="Arial" w:eastAsia="Batang" w:hAnsi="Arial" w:cs="Arial"/>
      <w:color w:val="000000"/>
      <w:sz w:val="22"/>
      <w:lang w:eastAsia="ko-KR"/>
    </w:rPr>
  </w:style>
  <w:style w:type="paragraph" w:customStyle="1" w:styleId="NormalBullet-Level3">
    <w:name w:val="Normal Bullet - Level 3"/>
    <w:basedOn w:val="NormalBullet-Level2"/>
    <w:qFormat/>
    <w:rsid w:val="004C5B0C"/>
    <w:pPr>
      <w:numPr>
        <w:ilvl w:val="2"/>
      </w:numPr>
      <w:ind w:left="1800"/>
    </w:pPr>
  </w:style>
  <w:style w:type="paragraph" w:customStyle="1" w:styleId="NormalBullet-NumberLevel1">
    <w:name w:val="Normal Bullet - Number Level 1"/>
    <w:basedOn w:val="Normal"/>
    <w:qFormat/>
    <w:rsid w:val="004C5B0C"/>
    <w:pPr>
      <w:autoSpaceDE w:val="0"/>
      <w:autoSpaceDN w:val="0"/>
      <w:adjustRightInd w:val="0"/>
      <w:spacing w:before="120" w:line="240" w:lineRule="auto"/>
      <w:ind w:left="540" w:hanging="360"/>
    </w:pPr>
    <w:rPr>
      <w:rFonts w:ascii="Arial" w:eastAsia="Batang" w:hAnsi="Arial" w:cs="Arial"/>
      <w:color w:val="000000"/>
      <w:sz w:val="22"/>
      <w:szCs w:val="20"/>
      <w:lang w:eastAsia="ko-KR"/>
    </w:rPr>
  </w:style>
  <w:style w:type="paragraph" w:customStyle="1" w:styleId="NormalBullet-DotLevel2">
    <w:name w:val="Normal Bullet - Dot Level 2"/>
    <w:basedOn w:val="Normal"/>
    <w:qFormat/>
    <w:rsid w:val="004C5B0C"/>
    <w:pPr>
      <w:spacing w:before="60" w:after="60" w:line="240" w:lineRule="auto"/>
      <w:ind w:left="900" w:hanging="360"/>
    </w:pPr>
    <w:rPr>
      <w:rFonts w:ascii="Arial" w:eastAsia="Batang" w:hAnsi="Arial" w:cs="Arial"/>
      <w:color w:val="000000"/>
      <w:sz w:val="22"/>
      <w:szCs w:val="20"/>
      <w:lang w:eastAsia="ko-KR"/>
    </w:rPr>
  </w:style>
  <w:style w:type="character" w:customStyle="1" w:styleId="apple-converted-space">
    <w:name w:val="apple-converted-space"/>
    <w:basedOn w:val="DefaultParagraphFont"/>
    <w:rsid w:val="004C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861">
      <w:bodyDiv w:val="1"/>
      <w:marLeft w:val="0"/>
      <w:marRight w:val="0"/>
      <w:marTop w:val="0"/>
      <w:marBottom w:val="0"/>
      <w:divBdr>
        <w:top w:val="none" w:sz="0" w:space="0" w:color="auto"/>
        <w:left w:val="none" w:sz="0" w:space="0" w:color="auto"/>
        <w:bottom w:val="none" w:sz="0" w:space="0" w:color="auto"/>
        <w:right w:val="none" w:sz="0" w:space="0" w:color="auto"/>
      </w:divBdr>
    </w:div>
    <w:div w:id="22833137">
      <w:bodyDiv w:val="1"/>
      <w:marLeft w:val="120"/>
      <w:marRight w:val="120"/>
      <w:marTop w:val="0"/>
      <w:marBottom w:val="120"/>
      <w:divBdr>
        <w:top w:val="none" w:sz="0" w:space="0" w:color="auto"/>
        <w:left w:val="none" w:sz="0" w:space="0" w:color="auto"/>
        <w:bottom w:val="none" w:sz="0" w:space="0" w:color="auto"/>
        <w:right w:val="none" w:sz="0" w:space="0" w:color="auto"/>
      </w:divBdr>
      <w:divsChild>
        <w:div w:id="1945109508">
          <w:marLeft w:val="0"/>
          <w:marRight w:val="0"/>
          <w:marTop w:val="0"/>
          <w:marBottom w:val="0"/>
          <w:divBdr>
            <w:top w:val="none" w:sz="0" w:space="0" w:color="auto"/>
            <w:left w:val="none" w:sz="0" w:space="0" w:color="auto"/>
            <w:bottom w:val="none" w:sz="0" w:space="0" w:color="auto"/>
            <w:right w:val="none" w:sz="0" w:space="0" w:color="auto"/>
          </w:divBdr>
          <w:divsChild>
            <w:div w:id="1922717485">
              <w:marLeft w:val="0"/>
              <w:marRight w:val="0"/>
              <w:marTop w:val="0"/>
              <w:marBottom w:val="0"/>
              <w:divBdr>
                <w:top w:val="none" w:sz="0" w:space="0" w:color="auto"/>
                <w:left w:val="none" w:sz="0" w:space="0" w:color="auto"/>
                <w:bottom w:val="none" w:sz="0" w:space="0" w:color="auto"/>
                <w:right w:val="none" w:sz="0" w:space="0" w:color="auto"/>
              </w:divBdr>
              <w:divsChild>
                <w:div w:id="13969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6510">
      <w:bodyDiv w:val="1"/>
      <w:marLeft w:val="0"/>
      <w:marRight w:val="0"/>
      <w:marTop w:val="0"/>
      <w:marBottom w:val="0"/>
      <w:divBdr>
        <w:top w:val="none" w:sz="0" w:space="0" w:color="auto"/>
        <w:left w:val="none" w:sz="0" w:space="0" w:color="auto"/>
        <w:bottom w:val="none" w:sz="0" w:space="0" w:color="auto"/>
        <w:right w:val="none" w:sz="0" w:space="0" w:color="auto"/>
      </w:divBdr>
    </w:div>
    <w:div w:id="48311573">
      <w:bodyDiv w:val="1"/>
      <w:marLeft w:val="0"/>
      <w:marRight w:val="0"/>
      <w:marTop w:val="0"/>
      <w:marBottom w:val="0"/>
      <w:divBdr>
        <w:top w:val="none" w:sz="0" w:space="0" w:color="auto"/>
        <w:left w:val="none" w:sz="0" w:space="0" w:color="auto"/>
        <w:bottom w:val="none" w:sz="0" w:space="0" w:color="auto"/>
        <w:right w:val="none" w:sz="0" w:space="0" w:color="auto"/>
      </w:divBdr>
    </w:div>
    <w:div w:id="86510994">
      <w:bodyDiv w:val="1"/>
      <w:marLeft w:val="0"/>
      <w:marRight w:val="0"/>
      <w:marTop w:val="0"/>
      <w:marBottom w:val="0"/>
      <w:divBdr>
        <w:top w:val="none" w:sz="0" w:space="0" w:color="auto"/>
        <w:left w:val="none" w:sz="0" w:space="0" w:color="auto"/>
        <w:bottom w:val="none" w:sz="0" w:space="0" w:color="auto"/>
        <w:right w:val="none" w:sz="0" w:space="0" w:color="auto"/>
      </w:divBdr>
    </w:div>
    <w:div w:id="116797955">
      <w:bodyDiv w:val="1"/>
      <w:marLeft w:val="0"/>
      <w:marRight w:val="0"/>
      <w:marTop w:val="0"/>
      <w:marBottom w:val="0"/>
      <w:divBdr>
        <w:top w:val="none" w:sz="0" w:space="0" w:color="auto"/>
        <w:left w:val="none" w:sz="0" w:space="0" w:color="auto"/>
        <w:bottom w:val="none" w:sz="0" w:space="0" w:color="auto"/>
        <w:right w:val="none" w:sz="0" w:space="0" w:color="auto"/>
      </w:divBdr>
    </w:div>
    <w:div w:id="154154715">
      <w:bodyDiv w:val="1"/>
      <w:marLeft w:val="0"/>
      <w:marRight w:val="0"/>
      <w:marTop w:val="0"/>
      <w:marBottom w:val="0"/>
      <w:divBdr>
        <w:top w:val="none" w:sz="0" w:space="0" w:color="auto"/>
        <w:left w:val="none" w:sz="0" w:space="0" w:color="auto"/>
        <w:bottom w:val="none" w:sz="0" w:space="0" w:color="auto"/>
        <w:right w:val="none" w:sz="0" w:space="0" w:color="auto"/>
      </w:divBdr>
    </w:div>
    <w:div w:id="164906403">
      <w:bodyDiv w:val="1"/>
      <w:marLeft w:val="0"/>
      <w:marRight w:val="0"/>
      <w:marTop w:val="0"/>
      <w:marBottom w:val="0"/>
      <w:divBdr>
        <w:top w:val="none" w:sz="0" w:space="0" w:color="auto"/>
        <w:left w:val="none" w:sz="0" w:space="0" w:color="auto"/>
        <w:bottom w:val="none" w:sz="0" w:space="0" w:color="auto"/>
        <w:right w:val="none" w:sz="0" w:space="0" w:color="auto"/>
      </w:divBdr>
    </w:div>
    <w:div w:id="183055731">
      <w:bodyDiv w:val="1"/>
      <w:marLeft w:val="0"/>
      <w:marRight w:val="0"/>
      <w:marTop w:val="0"/>
      <w:marBottom w:val="0"/>
      <w:divBdr>
        <w:top w:val="none" w:sz="0" w:space="0" w:color="auto"/>
        <w:left w:val="none" w:sz="0" w:space="0" w:color="auto"/>
        <w:bottom w:val="none" w:sz="0" w:space="0" w:color="auto"/>
        <w:right w:val="none" w:sz="0" w:space="0" w:color="auto"/>
      </w:divBdr>
    </w:div>
    <w:div w:id="196353291">
      <w:bodyDiv w:val="1"/>
      <w:marLeft w:val="0"/>
      <w:marRight w:val="0"/>
      <w:marTop w:val="0"/>
      <w:marBottom w:val="0"/>
      <w:divBdr>
        <w:top w:val="none" w:sz="0" w:space="0" w:color="auto"/>
        <w:left w:val="none" w:sz="0" w:space="0" w:color="auto"/>
        <w:bottom w:val="none" w:sz="0" w:space="0" w:color="auto"/>
        <w:right w:val="none" w:sz="0" w:space="0" w:color="auto"/>
      </w:divBdr>
    </w:div>
    <w:div w:id="202793970">
      <w:bodyDiv w:val="1"/>
      <w:marLeft w:val="0"/>
      <w:marRight w:val="0"/>
      <w:marTop w:val="0"/>
      <w:marBottom w:val="0"/>
      <w:divBdr>
        <w:top w:val="none" w:sz="0" w:space="0" w:color="auto"/>
        <w:left w:val="none" w:sz="0" w:space="0" w:color="auto"/>
        <w:bottom w:val="none" w:sz="0" w:space="0" w:color="auto"/>
        <w:right w:val="none" w:sz="0" w:space="0" w:color="auto"/>
      </w:divBdr>
    </w:div>
    <w:div w:id="227961984">
      <w:bodyDiv w:val="1"/>
      <w:marLeft w:val="0"/>
      <w:marRight w:val="0"/>
      <w:marTop w:val="0"/>
      <w:marBottom w:val="0"/>
      <w:divBdr>
        <w:top w:val="none" w:sz="0" w:space="0" w:color="auto"/>
        <w:left w:val="none" w:sz="0" w:space="0" w:color="auto"/>
        <w:bottom w:val="none" w:sz="0" w:space="0" w:color="auto"/>
        <w:right w:val="none" w:sz="0" w:space="0" w:color="auto"/>
      </w:divBdr>
    </w:div>
    <w:div w:id="230847611">
      <w:bodyDiv w:val="1"/>
      <w:marLeft w:val="0"/>
      <w:marRight w:val="0"/>
      <w:marTop w:val="0"/>
      <w:marBottom w:val="0"/>
      <w:divBdr>
        <w:top w:val="none" w:sz="0" w:space="0" w:color="auto"/>
        <w:left w:val="none" w:sz="0" w:space="0" w:color="auto"/>
        <w:bottom w:val="none" w:sz="0" w:space="0" w:color="auto"/>
        <w:right w:val="none" w:sz="0" w:space="0" w:color="auto"/>
      </w:divBdr>
    </w:div>
    <w:div w:id="262494553">
      <w:bodyDiv w:val="1"/>
      <w:marLeft w:val="0"/>
      <w:marRight w:val="0"/>
      <w:marTop w:val="0"/>
      <w:marBottom w:val="0"/>
      <w:divBdr>
        <w:top w:val="none" w:sz="0" w:space="0" w:color="auto"/>
        <w:left w:val="none" w:sz="0" w:space="0" w:color="auto"/>
        <w:bottom w:val="none" w:sz="0" w:space="0" w:color="auto"/>
        <w:right w:val="none" w:sz="0" w:space="0" w:color="auto"/>
      </w:divBdr>
    </w:div>
    <w:div w:id="297298578">
      <w:bodyDiv w:val="1"/>
      <w:marLeft w:val="0"/>
      <w:marRight w:val="0"/>
      <w:marTop w:val="0"/>
      <w:marBottom w:val="0"/>
      <w:divBdr>
        <w:top w:val="none" w:sz="0" w:space="0" w:color="auto"/>
        <w:left w:val="none" w:sz="0" w:space="0" w:color="auto"/>
        <w:bottom w:val="none" w:sz="0" w:space="0" w:color="auto"/>
        <w:right w:val="none" w:sz="0" w:space="0" w:color="auto"/>
      </w:divBdr>
    </w:div>
    <w:div w:id="311296496">
      <w:bodyDiv w:val="1"/>
      <w:marLeft w:val="0"/>
      <w:marRight w:val="0"/>
      <w:marTop w:val="0"/>
      <w:marBottom w:val="0"/>
      <w:divBdr>
        <w:top w:val="none" w:sz="0" w:space="0" w:color="auto"/>
        <w:left w:val="none" w:sz="0" w:space="0" w:color="auto"/>
        <w:bottom w:val="none" w:sz="0" w:space="0" w:color="auto"/>
        <w:right w:val="none" w:sz="0" w:space="0" w:color="auto"/>
      </w:divBdr>
    </w:div>
    <w:div w:id="317348190">
      <w:bodyDiv w:val="1"/>
      <w:marLeft w:val="0"/>
      <w:marRight w:val="0"/>
      <w:marTop w:val="0"/>
      <w:marBottom w:val="0"/>
      <w:divBdr>
        <w:top w:val="none" w:sz="0" w:space="0" w:color="auto"/>
        <w:left w:val="none" w:sz="0" w:space="0" w:color="auto"/>
        <w:bottom w:val="none" w:sz="0" w:space="0" w:color="auto"/>
        <w:right w:val="none" w:sz="0" w:space="0" w:color="auto"/>
      </w:divBdr>
    </w:div>
    <w:div w:id="331420682">
      <w:bodyDiv w:val="1"/>
      <w:marLeft w:val="0"/>
      <w:marRight w:val="0"/>
      <w:marTop w:val="0"/>
      <w:marBottom w:val="0"/>
      <w:divBdr>
        <w:top w:val="none" w:sz="0" w:space="0" w:color="auto"/>
        <w:left w:val="none" w:sz="0" w:space="0" w:color="auto"/>
        <w:bottom w:val="none" w:sz="0" w:space="0" w:color="auto"/>
        <w:right w:val="none" w:sz="0" w:space="0" w:color="auto"/>
      </w:divBdr>
    </w:div>
    <w:div w:id="385372185">
      <w:bodyDiv w:val="1"/>
      <w:marLeft w:val="0"/>
      <w:marRight w:val="0"/>
      <w:marTop w:val="0"/>
      <w:marBottom w:val="0"/>
      <w:divBdr>
        <w:top w:val="none" w:sz="0" w:space="0" w:color="auto"/>
        <w:left w:val="none" w:sz="0" w:space="0" w:color="auto"/>
        <w:bottom w:val="none" w:sz="0" w:space="0" w:color="auto"/>
        <w:right w:val="none" w:sz="0" w:space="0" w:color="auto"/>
      </w:divBdr>
      <w:divsChild>
        <w:div w:id="460660468">
          <w:marLeft w:val="0"/>
          <w:marRight w:val="0"/>
          <w:marTop w:val="0"/>
          <w:marBottom w:val="0"/>
          <w:divBdr>
            <w:top w:val="none" w:sz="0" w:space="0" w:color="auto"/>
            <w:left w:val="none" w:sz="0" w:space="0" w:color="auto"/>
            <w:bottom w:val="none" w:sz="0" w:space="0" w:color="auto"/>
            <w:right w:val="none" w:sz="0" w:space="0" w:color="auto"/>
          </w:divBdr>
          <w:divsChild>
            <w:div w:id="603801729">
              <w:marLeft w:val="0"/>
              <w:marRight w:val="0"/>
              <w:marTop w:val="0"/>
              <w:marBottom w:val="0"/>
              <w:divBdr>
                <w:top w:val="none" w:sz="0" w:space="0" w:color="auto"/>
                <w:left w:val="none" w:sz="0" w:space="0" w:color="auto"/>
                <w:bottom w:val="none" w:sz="0" w:space="0" w:color="auto"/>
                <w:right w:val="none" w:sz="0" w:space="0" w:color="auto"/>
              </w:divBdr>
              <w:divsChild>
                <w:div w:id="993222100">
                  <w:marLeft w:val="0"/>
                  <w:marRight w:val="0"/>
                  <w:marTop w:val="0"/>
                  <w:marBottom w:val="0"/>
                  <w:divBdr>
                    <w:top w:val="none" w:sz="0" w:space="0" w:color="auto"/>
                    <w:left w:val="none" w:sz="0" w:space="0" w:color="auto"/>
                    <w:bottom w:val="none" w:sz="0" w:space="0" w:color="auto"/>
                    <w:right w:val="none" w:sz="0" w:space="0" w:color="auto"/>
                  </w:divBdr>
                  <w:divsChild>
                    <w:div w:id="1908565538">
                      <w:marLeft w:val="0"/>
                      <w:marRight w:val="0"/>
                      <w:marTop w:val="0"/>
                      <w:marBottom w:val="0"/>
                      <w:divBdr>
                        <w:top w:val="none" w:sz="0" w:space="0" w:color="auto"/>
                        <w:left w:val="none" w:sz="0" w:space="0" w:color="auto"/>
                        <w:bottom w:val="none" w:sz="0" w:space="0" w:color="auto"/>
                        <w:right w:val="none" w:sz="0" w:space="0" w:color="auto"/>
                      </w:divBdr>
                      <w:divsChild>
                        <w:div w:id="1263801442">
                          <w:marLeft w:val="1"/>
                          <w:marRight w:val="1"/>
                          <w:marTop w:val="0"/>
                          <w:marBottom w:val="0"/>
                          <w:divBdr>
                            <w:top w:val="none" w:sz="0" w:space="0" w:color="auto"/>
                            <w:left w:val="none" w:sz="0" w:space="0" w:color="auto"/>
                            <w:bottom w:val="none" w:sz="0" w:space="0" w:color="auto"/>
                            <w:right w:val="none" w:sz="0" w:space="0" w:color="auto"/>
                          </w:divBdr>
                          <w:divsChild>
                            <w:div w:id="20731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7366">
      <w:bodyDiv w:val="1"/>
      <w:marLeft w:val="0"/>
      <w:marRight w:val="0"/>
      <w:marTop w:val="0"/>
      <w:marBottom w:val="0"/>
      <w:divBdr>
        <w:top w:val="none" w:sz="0" w:space="0" w:color="auto"/>
        <w:left w:val="none" w:sz="0" w:space="0" w:color="auto"/>
        <w:bottom w:val="none" w:sz="0" w:space="0" w:color="auto"/>
        <w:right w:val="none" w:sz="0" w:space="0" w:color="auto"/>
      </w:divBdr>
    </w:div>
    <w:div w:id="387801186">
      <w:bodyDiv w:val="1"/>
      <w:marLeft w:val="0"/>
      <w:marRight w:val="0"/>
      <w:marTop w:val="0"/>
      <w:marBottom w:val="0"/>
      <w:divBdr>
        <w:top w:val="none" w:sz="0" w:space="0" w:color="auto"/>
        <w:left w:val="none" w:sz="0" w:space="0" w:color="auto"/>
        <w:bottom w:val="none" w:sz="0" w:space="0" w:color="auto"/>
        <w:right w:val="none" w:sz="0" w:space="0" w:color="auto"/>
      </w:divBdr>
    </w:div>
    <w:div w:id="411315753">
      <w:bodyDiv w:val="1"/>
      <w:marLeft w:val="0"/>
      <w:marRight w:val="0"/>
      <w:marTop w:val="0"/>
      <w:marBottom w:val="0"/>
      <w:divBdr>
        <w:top w:val="none" w:sz="0" w:space="0" w:color="auto"/>
        <w:left w:val="none" w:sz="0" w:space="0" w:color="auto"/>
        <w:bottom w:val="none" w:sz="0" w:space="0" w:color="auto"/>
        <w:right w:val="none" w:sz="0" w:space="0" w:color="auto"/>
      </w:divBdr>
    </w:div>
    <w:div w:id="422070346">
      <w:bodyDiv w:val="1"/>
      <w:marLeft w:val="0"/>
      <w:marRight w:val="0"/>
      <w:marTop w:val="0"/>
      <w:marBottom w:val="0"/>
      <w:divBdr>
        <w:top w:val="none" w:sz="0" w:space="0" w:color="auto"/>
        <w:left w:val="none" w:sz="0" w:space="0" w:color="auto"/>
        <w:bottom w:val="none" w:sz="0" w:space="0" w:color="auto"/>
        <w:right w:val="none" w:sz="0" w:space="0" w:color="auto"/>
      </w:divBdr>
    </w:div>
    <w:div w:id="443034448">
      <w:bodyDiv w:val="1"/>
      <w:marLeft w:val="0"/>
      <w:marRight w:val="0"/>
      <w:marTop w:val="0"/>
      <w:marBottom w:val="0"/>
      <w:divBdr>
        <w:top w:val="none" w:sz="0" w:space="0" w:color="auto"/>
        <w:left w:val="none" w:sz="0" w:space="0" w:color="auto"/>
        <w:bottom w:val="none" w:sz="0" w:space="0" w:color="auto"/>
        <w:right w:val="none" w:sz="0" w:space="0" w:color="auto"/>
      </w:divBdr>
    </w:div>
    <w:div w:id="464734640">
      <w:bodyDiv w:val="1"/>
      <w:marLeft w:val="0"/>
      <w:marRight w:val="0"/>
      <w:marTop w:val="0"/>
      <w:marBottom w:val="0"/>
      <w:divBdr>
        <w:top w:val="none" w:sz="0" w:space="0" w:color="auto"/>
        <w:left w:val="none" w:sz="0" w:space="0" w:color="auto"/>
        <w:bottom w:val="none" w:sz="0" w:space="0" w:color="auto"/>
        <w:right w:val="none" w:sz="0" w:space="0" w:color="auto"/>
      </w:divBdr>
      <w:divsChild>
        <w:div w:id="1988392882">
          <w:marLeft w:val="0"/>
          <w:marRight w:val="0"/>
          <w:marTop w:val="0"/>
          <w:marBottom w:val="0"/>
          <w:divBdr>
            <w:top w:val="none" w:sz="0" w:space="0" w:color="auto"/>
            <w:left w:val="none" w:sz="0" w:space="0" w:color="auto"/>
            <w:bottom w:val="none" w:sz="0" w:space="0" w:color="auto"/>
            <w:right w:val="none" w:sz="0" w:space="0" w:color="auto"/>
          </w:divBdr>
          <w:divsChild>
            <w:div w:id="1718620684">
              <w:marLeft w:val="0"/>
              <w:marRight w:val="0"/>
              <w:marTop w:val="0"/>
              <w:marBottom w:val="0"/>
              <w:divBdr>
                <w:top w:val="none" w:sz="0" w:space="0" w:color="auto"/>
                <w:left w:val="none" w:sz="0" w:space="0" w:color="auto"/>
                <w:bottom w:val="none" w:sz="0" w:space="0" w:color="auto"/>
                <w:right w:val="none" w:sz="0" w:space="0" w:color="auto"/>
              </w:divBdr>
              <w:divsChild>
                <w:div w:id="2063170871">
                  <w:marLeft w:val="0"/>
                  <w:marRight w:val="0"/>
                  <w:marTop w:val="0"/>
                  <w:marBottom w:val="0"/>
                  <w:divBdr>
                    <w:top w:val="none" w:sz="0" w:space="0" w:color="auto"/>
                    <w:left w:val="none" w:sz="0" w:space="0" w:color="auto"/>
                    <w:bottom w:val="none" w:sz="0" w:space="0" w:color="auto"/>
                    <w:right w:val="none" w:sz="0" w:space="0" w:color="auto"/>
                  </w:divBdr>
                  <w:divsChild>
                    <w:div w:id="847521518">
                      <w:marLeft w:val="0"/>
                      <w:marRight w:val="0"/>
                      <w:marTop w:val="0"/>
                      <w:marBottom w:val="0"/>
                      <w:divBdr>
                        <w:top w:val="none" w:sz="0" w:space="0" w:color="auto"/>
                        <w:left w:val="none" w:sz="0" w:space="0" w:color="auto"/>
                        <w:bottom w:val="none" w:sz="0" w:space="0" w:color="auto"/>
                        <w:right w:val="none" w:sz="0" w:space="0" w:color="auto"/>
                      </w:divBdr>
                      <w:divsChild>
                        <w:div w:id="188488610">
                          <w:marLeft w:val="1"/>
                          <w:marRight w:val="1"/>
                          <w:marTop w:val="0"/>
                          <w:marBottom w:val="0"/>
                          <w:divBdr>
                            <w:top w:val="none" w:sz="0" w:space="0" w:color="auto"/>
                            <w:left w:val="none" w:sz="0" w:space="0" w:color="auto"/>
                            <w:bottom w:val="none" w:sz="0" w:space="0" w:color="auto"/>
                            <w:right w:val="none" w:sz="0" w:space="0" w:color="auto"/>
                          </w:divBdr>
                          <w:divsChild>
                            <w:div w:id="18607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6437">
      <w:bodyDiv w:val="1"/>
      <w:marLeft w:val="120"/>
      <w:marRight w:val="120"/>
      <w:marTop w:val="0"/>
      <w:marBottom w:val="120"/>
      <w:divBdr>
        <w:top w:val="none" w:sz="0" w:space="0" w:color="auto"/>
        <w:left w:val="none" w:sz="0" w:space="0" w:color="auto"/>
        <w:bottom w:val="none" w:sz="0" w:space="0" w:color="auto"/>
        <w:right w:val="none" w:sz="0" w:space="0" w:color="auto"/>
      </w:divBdr>
      <w:divsChild>
        <w:div w:id="2101490621">
          <w:marLeft w:val="0"/>
          <w:marRight w:val="0"/>
          <w:marTop w:val="0"/>
          <w:marBottom w:val="0"/>
          <w:divBdr>
            <w:top w:val="none" w:sz="0" w:space="0" w:color="auto"/>
            <w:left w:val="none" w:sz="0" w:space="0" w:color="auto"/>
            <w:bottom w:val="none" w:sz="0" w:space="0" w:color="auto"/>
            <w:right w:val="none" w:sz="0" w:space="0" w:color="auto"/>
          </w:divBdr>
          <w:divsChild>
            <w:div w:id="300497710">
              <w:marLeft w:val="0"/>
              <w:marRight w:val="0"/>
              <w:marTop w:val="0"/>
              <w:marBottom w:val="0"/>
              <w:divBdr>
                <w:top w:val="none" w:sz="0" w:space="0" w:color="auto"/>
                <w:left w:val="none" w:sz="0" w:space="0" w:color="auto"/>
                <w:bottom w:val="none" w:sz="0" w:space="0" w:color="auto"/>
                <w:right w:val="none" w:sz="0" w:space="0" w:color="auto"/>
              </w:divBdr>
              <w:divsChild>
                <w:div w:id="89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1786">
      <w:bodyDiv w:val="1"/>
      <w:marLeft w:val="0"/>
      <w:marRight w:val="0"/>
      <w:marTop w:val="0"/>
      <w:marBottom w:val="0"/>
      <w:divBdr>
        <w:top w:val="none" w:sz="0" w:space="0" w:color="auto"/>
        <w:left w:val="none" w:sz="0" w:space="0" w:color="auto"/>
        <w:bottom w:val="none" w:sz="0" w:space="0" w:color="auto"/>
        <w:right w:val="none" w:sz="0" w:space="0" w:color="auto"/>
      </w:divBdr>
    </w:div>
    <w:div w:id="524056466">
      <w:bodyDiv w:val="1"/>
      <w:marLeft w:val="0"/>
      <w:marRight w:val="0"/>
      <w:marTop w:val="0"/>
      <w:marBottom w:val="0"/>
      <w:divBdr>
        <w:top w:val="none" w:sz="0" w:space="0" w:color="auto"/>
        <w:left w:val="none" w:sz="0" w:space="0" w:color="auto"/>
        <w:bottom w:val="none" w:sz="0" w:space="0" w:color="auto"/>
        <w:right w:val="none" w:sz="0" w:space="0" w:color="auto"/>
      </w:divBdr>
    </w:div>
    <w:div w:id="536356139">
      <w:bodyDiv w:val="1"/>
      <w:marLeft w:val="0"/>
      <w:marRight w:val="0"/>
      <w:marTop w:val="0"/>
      <w:marBottom w:val="0"/>
      <w:divBdr>
        <w:top w:val="none" w:sz="0" w:space="0" w:color="auto"/>
        <w:left w:val="none" w:sz="0" w:space="0" w:color="auto"/>
        <w:bottom w:val="none" w:sz="0" w:space="0" w:color="auto"/>
        <w:right w:val="none" w:sz="0" w:space="0" w:color="auto"/>
      </w:divBdr>
    </w:div>
    <w:div w:id="545675930">
      <w:bodyDiv w:val="1"/>
      <w:marLeft w:val="0"/>
      <w:marRight w:val="0"/>
      <w:marTop w:val="0"/>
      <w:marBottom w:val="0"/>
      <w:divBdr>
        <w:top w:val="none" w:sz="0" w:space="0" w:color="auto"/>
        <w:left w:val="none" w:sz="0" w:space="0" w:color="auto"/>
        <w:bottom w:val="none" w:sz="0" w:space="0" w:color="auto"/>
        <w:right w:val="none" w:sz="0" w:space="0" w:color="auto"/>
      </w:divBdr>
    </w:div>
    <w:div w:id="603147344">
      <w:bodyDiv w:val="1"/>
      <w:marLeft w:val="0"/>
      <w:marRight w:val="0"/>
      <w:marTop w:val="0"/>
      <w:marBottom w:val="0"/>
      <w:divBdr>
        <w:top w:val="none" w:sz="0" w:space="0" w:color="auto"/>
        <w:left w:val="none" w:sz="0" w:space="0" w:color="auto"/>
        <w:bottom w:val="none" w:sz="0" w:space="0" w:color="auto"/>
        <w:right w:val="none" w:sz="0" w:space="0" w:color="auto"/>
      </w:divBdr>
    </w:div>
    <w:div w:id="610936670">
      <w:bodyDiv w:val="1"/>
      <w:marLeft w:val="0"/>
      <w:marRight w:val="0"/>
      <w:marTop w:val="0"/>
      <w:marBottom w:val="0"/>
      <w:divBdr>
        <w:top w:val="none" w:sz="0" w:space="0" w:color="auto"/>
        <w:left w:val="none" w:sz="0" w:space="0" w:color="auto"/>
        <w:bottom w:val="none" w:sz="0" w:space="0" w:color="auto"/>
        <w:right w:val="none" w:sz="0" w:space="0" w:color="auto"/>
      </w:divBdr>
    </w:div>
    <w:div w:id="622615876">
      <w:bodyDiv w:val="1"/>
      <w:marLeft w:val="0"/>
      <w:marRight w:val="0"/>
      <w:marTop w:val="0"/>
      <w:marBottom w:val="0"/>
      <w:divBdr>
        <w:top w:val="none" w:sz="0" w:space="0" w:color="auto"/>
        <w:left w:val="none" w:sz="0" w:space="0" w:color="auto"/>
        <w:bottom w:val="none" w:sz="0" w:space="0" w:color="auto"/>
        <w:right w:val="none" w:sz="0" w:space="0" w:color="auto"/>
      </w:divBdr>
    </w:div>
    <w:div w:id="657541661">
      <w:bodyDiv w:val="1"/>
      <w:marLeft w:val="0"/>
      <w:marRight w:val="0"/>
      <w:marTop w:val="0"/>
      <w:marBottom w:val="0"/>
      <w:divBdr>
        <w:top w:val="none" w:sz="0" w:space="0" w:color="auto"/>
        <w:left w:val="none" w:sz="0" w:space="0" w:color="auto"/>
        <w:bottom w:val="none" w:sz="0" w:space="0" w:color="auto"/>
        <w:right w:val="none" w:sz="0" w:space="0" w:color="auto"/>
      </w:divBdr>
    </w:div>
    <w:div w:id="665521196">
      <w:bodyDiv w:val="1"/>
      <w:marLeft w:val="0"/>
      <w:marRight w:val="0"/>
      <w:marTop w:val="0"/>
      <w:marBottom w:val="0"/>
      <w:divBdr>
        <w:top w:val="none" w:sz="0" w:space="0" w:color="auto"/>
        <w:left w:val="none" w:sz="0" w:space="0" w:color="auto"/>
        <w:bottom w:val="none" w:sz="0" w:space="0" w:color="auto"/>
        <w:right w:val="none" w:sz="0" w:space="0" w:color="auto"/>
      </w:divBdr>
    </w:div>
    <w:div w:id="697853629">
      <w:bodyDiv w:val="1"/>
      <w:marLeft w:val="0"/>
      <w:marRight w:val="0"/>
      <w:marTop w:val="0"/>
      <w:marBottom w:val="0"/>
      <w:divBdr>
        <w:top w:val="none" w:sz="0" w:space="0" w:color="auto"/>
        <w:left w:val="none" w:sz="0" w:space="0" w:color="auto"/>
        <w:bottom w:val="none" w:sz="0" w:space="0" w:color="auto"/>
        <w:right w:val="none" w:sz="0" w:space="0" w:color="auto"/>
      </w:divBdr>
    </w:div>
    <w:div w:id="734744379">
      <w:marLeft w:val="0"/>
      <w:marRight w:val="0"/>
      <w:marTop w:val="0"/>
      <w:marBottom w:val="0"/>
      <w:divBdr>
        <w:top w:val="none" w:sz="0" w:space="0" w:color="auto"/>
        <w:left w:val="none" w:sz="0" w:space="0" w:color="auto"/>
        <w:bottom w:val="none" w:sz="0" w:space="0" w:color="auto"/>
        <w:right w:val="none" w:sz="0" w:space="0" w:color="auto"/>
      </w:divBdr>
      <w:divsChild>
        <w:div w:id="734744384">
          <w:marLeft w:val="0"/>
          <w:marRight w:val="0"/>
          <w:marTop w:val="0"/>
          <w:marBottom w:val="0"/>
          <w:divBdr>
            <w:top w:val="none" w:sz="0" w:space="0" w:color="auto"/>
            <w:left w:val="none" w:sz="0" w:space="0" w:color="auto"/>
            <w:bottom w:val="none" w:sz="0" w:space="0" w:color="auto"/>
            <w:right w:val="none" w:sz="0" w:space="0" w:color="auto"/>
          </w:divBdr>
        </w:div>
      </w:divsChild>
    </w:div>
    <w:div w:id="734744382">
      <w:marLeft w:val="0"/>
      <w:marRight w:val="0"/>
      <w:marTop w:val="0"/>
      <w:marBottom w:val="0"/>
      <w:divBdr>
        <w:top w:val="none" w:sz="0" w:space="0" w:color="auto"/>
        <w:left w:val="none" w:sz="0" w:space="0" w:color="auto"/>
        <w:bottom w:val="none" w:sz="0" w:space="0" w:color="auto"/>
        <w:right w:val="none" w:sz="0" w:space="0" w:color="auto"/>
      </w:divBdr>
    </w:div>
    <w:div w:id="734744383">
      <w:marLeft w:val="0"/>
      <w:marRight w:val="0"/>
      <w:marTop w:val="0"/>
      <w:marBottom w:val="0"/>
      <w:divBdr>
        <w:top w:val="none" w:sz="0" w:space="0" w:color="auto"/>
        <w:left w:val="none" w:sz="0" w:space="0" w:color="auto"/>
        <w:bottom w:val="none" w:sz="0" w:space="0" w:color="auto"/>
        <w:right w:val="none" w:sz="0" w:space="0" w:color="auto"/>
      </w:divBdr>
    </w:div>
    <w:div w:id="734744385">
      <w:marLeft w:val="0"/>
      <w:marRight w:val="0"/>
      <w:marTop w:val="0"/>
      <w:marBottom w:val="0"/>
      <w:divBdr>
        <w:top w:val="none" w:sz="0" w:space="0" w:color="auto"/>
        <w:left w:val="none" w:sz="0" w:space="0" w:color="auto"/>
        <w:bottom w:val="none" w:sz="0" w:space="0" w:color="auto"/>
        <w:right w:val="none" w:sz="0" w:space="0" w:color="auto"/>
      </w:divBdr>
    </w:div>
    <w:div w:id="734744386">
      <w:marLeft w:val="0"/>
      <w:marRight w:val="0"/>
      <w:marTop w:val="0"/>
      <w:marBottom w:val="0"/>
      <w:divBdr>
        <w:top w:val="none" w:sz="0" w:space="0" w:color="auto"/>
        <w:left w:val="none" w:sz="0" w:space="0" w:color="auto"/>
        <w:bottom w:val="none" w:sz="0" w:space="0" w:color="auto"/>
        <w:right w:val="none" w:sz="0" w:space="0" w:color="auto"/>
      </w:divBdr>
    </w:div>
    <w:div w:id="734744388">
      <w:marLeft w:val="0"/>
      <w:marRight w:val="0"/>
      <w:marTop w:val="0"/>
      <w:marBottom w:val="0"/>
      <w:divBdr>
        <w:top w:val="none" w:sz="0" w:space="0" w:color="auto"/>
        <w:left w:val="none" w:sz="0" w:space="0" w:color="auto"/>
        <w:bottom w:val="none" w:sz="0" w:space="0" w:color="auto"/>
        <w:right w:val="none" w:sz="0" w:space="0" w:color="auto"/>
      </w:divBdr>
    </w:div>
    <w:div w:id="734744389">
      <w:marLeft w:val="0"/>
      <w:marRight w:val="0"/>
      <w:marTop w:val="0"/>
      <w:marBottom w:val="0"/>
      <w:divBdr>
        <w:top w:val="none" w:sz="0" w:space="0" w:color="auto"/>
        <w:left w:val="none" w:sz="0" w:space="0" w:color="auto"/>
        <w:bottom w:val="none" w:sz="0" w:space="0" w:color="auto"/>
        <w:right w:val="none" w:sz="0" w:space="0" w:color="auto"/>
      </w:divBdr>
    </w:div>
    <w:div w:id="734744390">
      <w:marLeft w:val="0"/>
      <w:marRight w:val="0"/>
      <w:marTop w:val="0"/>
      <w:marBottom w:val="0"/>
      <w:divBdr>
        <w:top w:val="none" w:sz="0" w:space="0" w:color="auto"/>
        <w:left w:val="none" w:sz="0" w:space="0" w:color="auto"/>
        <w:bottom w:val="none" w:sz="0" w:space="0" w:color="auto"/>
        <w:right w:val="none" w:sz="0" w:space="0" w:color="auto"/>
      </w:divBdr>
    </w:div>
    <w:div w:id="734744391">
      <w:marLeft w:val="0"/>
      <w:marRight w:val="0"/>
      <w:marTop w:val="0"/>
      <w:marBottom w:val="0"/>
      <w:divBdr>
        <w:top w:val="none" w:sz="0" w:space="0" w:color="auto"/>
        <w:left w:val="none" w:sz="0" w:space="0" w:color="auto"/>
        <w:bottom w:val="none" w:sz="0" w:space="0" w:color="auto"/>
        <w:right w:val="none" w:sz="0" w:space="0" w:color="auto"/>
      </w:divBdr>
    </w:div>
    <w:div w:id="734744392">
      <w:marLeft w:val="0"/>
      <w:marRight w:val="0"/>
      <w:marTop w:val="0"/>
      <w:marBottom w:val="0"/>
      <w:divBdr>
        <w:top w:val="none" w:sz="0" w:space="0" w:color="auto"/>
        <w:left w:val="none" w:sz="0" w:space="0" w:color="auto"/>
        <w:bottom w:val="none" w:sz="0" w:space="0" w:color="auto"/>
        <w:right w:val="none" w:sz="0" w:space="0" w:color="auto"/>
      </w:divBdr>
    </w:div>
    <w:div w:id="734744393">
      <w:marLeft w:val="0"/>
      <w:marRight w:val="0"/>
      <w:marTop w:val="0"/>
      <w:marBottom w:val="0"/>
      <w:divBdr>
        <w:top w:val="none" w:sz="0" w:space="0" w:color="auto"/>
        <w:left w:val="none" w:sz="0" w:space="0" w:color="auto"/>
        <w:bottom w:val="none" w:sz="0" w:space="0" w:color="auto"/>
        <w:right w:val="none" w:sz="0" w:space="0" w:color="auto"/>
      </w:divBdr>
    </w:div>
    <w:div w:id="734744394">
      <w:marLeft w:val="0"/>
      <w:marRight w:val="0"/>
      <w:marTop w:val="0"/>
      <w:marBottom w:val="0"/>
      <w:divBdr>
        <w:top w:val="none" w:sz="0" w:space="0" w:color="auto"/>
        <w:left w:val="none" w:sz="0" w:space="0" w:color="auto"/>
        <w:bottom w:val="none" w:sz="0" w:space="0" w:color="auto"/>
        <w:right w:val="none" w:sz="0" w:space="0" w:color="auto"/>
      </w:divBdr>
    </w:div>
    <w:div w:id="734744395">
      <w:marLeft w:val="0"/>
      <w:marRight w:val="0"/>
      <w:marTop w:val="0"/>
      <w:marBottom w:val="0"/>
      <w:divBdr>
        <w:top w:val="none" w:sz="0" w:space="0" w:color="auto"/>
        <w:left w:val="none" w:sz="0" w:space="0" w:color="auto"/>
        <w:bottom w:val="none" w:sz="0" w:space="0" w:color="auto"/>
        <w:right w:val="none" w:sz="0" w:space="0" w:color="auto"/>
      </w:divBdr>
      <w:divsChild>
        <w:div w:id="734744387">
          <w:marLeft w:val="75"/>
          <w:marRight w:val="0"/>
          <w:marTop w:val="100"/>
          <w:marBottom w:val="100"/>
          <w:divBdr>
            <w:top w:val="none" w:sz="0" w:space="0" w:color="auto"/>
            <w:left w:val="single" w:sz="12" w:space="4" w:color="0000FF"/>
            <w:bottom w:val="none" w:sz="0" w:space="0" w:color="auto"/>
            <w:right w:val="none" w:sz="0" w:space="0" w:color="auto"/>
          </w:divBdr>
          <w:divsChild>
            <w:div w:id="734744380">
              <w:marLeft w:val="75"/>
              <w:marRight w:val="0"/>
              <w:marTop w:val="100"/>
              <w:marBottom w:val="100"/>
              <w:divBdr>
                <w:top w:val="none" w:sz="0" w:space="0" w:color="auto"/>
                <w:left w:val="single" w:sz="12" w:space="4" w:color="0000FF"/>
                <w:bottom w:val="none" w:sz="0" w:space="0" w:color="auto"/>
                <w:right w:val="none" w:sz="0" w:space="0" w:color="auto"/>
              </w:divBdr>
            </w:div>
          </w:divsChild>
        </w:div>
      </w:divsChild>
    </w:div>
    <w:div w:id="734744396">
      <w:marLeft w:val="0"/>
      <w:marRight w:val="0"/>
      <w:marTop w:val="0"/>
      <w:marBottom w:val="0"/>
      <w:divBdr>
        <w:top w:val="none" w:sz="0" w:space="0" w:color="auto"/>
        <w:left w:val="none" w:sz="0" w:space="0" w:color="auto"/>
        <w:bottom w:val="none" w:sz="0" w:space="0" w:color="auto"/>
        <w:right w:val="none" w:sz="0" w:space="0" w:color="auto"/>
      </w:divBdr>
    </w:div>
    <w:div w:id="734744397">
      <w:marLeft w:val="0"/>
      <w:marRight w:val="0"/>
      <w:marTop w:val="0"/>
      <w:marBottom w:val="0"/>
      <w:divBdr>
        <w:top w:val="none" w:sz="0" w:space="0" w:color="auto"/>
        <w:left w:val="none" w:sz="0" w:space="0" w:color="auto"/>
        <w:bottom w:val="none" w:sz="0" w:space="0" w:color="auto"/>
        <w:right w:val="none" w:sz="0" w:space="0" w:color="auto"/>
      </w:divBdr>
    </w:div>
    <w:div w:id="734744398">
      <w:marLeft w:val="0"/>
      <w:marRight w:val="0"/>
      <w:marTop w:val="0"/>
      <w:marBottom w:val="0"/>
      <w:divBdr>
        <w:top w:val="none" w:sz="0" w:space="0" w:color="auto"/>
        <w:left w:val="none" w:sz="0" w:space="0" w:color="auto"/>
        <w:bottom w:val="none" w:sz="0" w:space="0" w:color="auto"/>
        <w:right w:val="none" w:sz="0" w:space="0" w:color="auto"/>
      </w:divBdr>
      <w:divsChild>
        <w:div w:id="734744404">
          <w:marLeft w:val="0"/>
          <w:marRight w:val="0"/>
          <w:marTop w:val="0"/>
          <w:marBottom w:val="0"/>
          <w:divBdr>
            <w:top w:val="none" w:sz="0" w:space="0" w:color="auto"/>
            <w:left w:val="none" w:sz="0" w:space="0" w:color="auto"/>
            <w:bottom w:val="none" w:sz="0" w:space="0" w:color="auto"/>
            <w:right w:val="none" w:sz="0" w:space="0" w:color="auto"/>
          </w:divBdr>
        </w:div>
      </w:divsChild>
    </w:div>
    <w:div w:id="734744399">
      <w:marLeft w:val="0"/>
      <w:marRight w:val="0"/>
      <w:marTop w:val="0"/>
      <w:marBottom w:val="0"/>
      <w:divBdr>
        <w:top w:val="none" w:sz="0" w:space="0" w:color="auto"/>
        <w:left w:val="none" w:sz="0" w:space="0" w:color="auto"/>
        <w:bottom w:val="none" w:sz="0" w:space="0" w:color="auto"/>
        <w:right w:val="none" w:sz="0" w:space="0" w:color="auto"/>
      </w:divBdr>
    </w:div>
    <w:div w:id="734744400">
      <w:marLeft w:val="0"/>
      <w:marRight w:val="0"/>
      <w:marTop w:val="0"/>
      <w:marBottom w:val="0"/>
      <w:divBdr>
        <w:top w:val="none" w:sz="0" w:space="0" w:color="auto"/>
        <w:left w:val="none" w:sz="0" w:space="0" w:color="auto"/>
        <w:bottom w:val="none" w:sz="0" w:space="0" w:color="auto"/>
        <w:right w:val="none" w:sz="0" w:space="0" w:color="auto"/>
      </w:divBdr>
    </w:div>
    <w:div w:id="734744401">
      <w:marLeft w:val="0"/>
      <w:marRight w:val="0"/>
      <w:marTop w:val="0"/>
      <w:marBottom w:val="0"/>
      <w:divBdr>
        <w:top w:val="none" w:sz="0" w:space="0" w:color="auto"/>
        <w:left w:val="none" w:sz="0" w:space="0" w:color="auto"/>
        <w:bottom w:val="none" w:sz="0" w:space="0" w:color="auto"/>
        <w:right w:val="none" w:sz="0" w:space="0" w:color="auto"/>
      </w:divBdr>
    </w:div>
    <w:div w:id="734744402">
      <w:marLeft w:val="0"/>
      <w:marRight w:val="0"/>
      <w:marTop w:val="0"/>
      <w:marBottom w:val="0"/>
      <w:divBdr>
        <w:top w:val="none" w:sz="0" w:space="0" w:color="auto"/>
        <w:left w:val="none" w:sz="0" w:space="0" w:color="auto"/>
        <w:bottom w:val="none" w:sz="0" w:space="0" w:color="auto"/>
        <w:right w:val="none" w:sz="0" w:space="0" w:color="auto"/>
      </w:divBdr>
    </w:div>
    <w:div w:id="734744403">
      <w:marLeft w:val="0"/>
      <w:marRight w:val="0"/>
      <w:marTop w:val="0"/>
      <w:marBottom w:val="0"/>
      <w:divBdr>
        <w:top w:val="none" w:sz="0" w:space="0" w:color="auto"/>
        <w:left w:val="none" w:sz="0" w:space="0" w:color="auto"/>
        <w:bottom w:val="none" w:sz="0" w:space="0" w:color="auto"/>
        <w:right w:val="none" w:sz="0" w:space="0" w:color="auto"/>
      </w:divBdr>
    </w:div>
    <w:div w:id="734744405">
      <w:marLeft w:val="0"/>
      <w:marRight w:val="0"/>
      <w:marTop w:val="0"/>
      <w:marBottom w:val="0"/>
      <w:divBdr>
        <w:top w:val="none" w:sz="0" w:space="0" w:color="auto"/>
        <w:left w:val="none" w:sz="0" w:space="0" w:color="auto"/>
        <w:bottom w:val="none" w:sz="0" w:space="0" w:color="auto"/>
        <w:right w:val="none" w:sz="0" w:space="0" w:color="auto"/>
      </w:divBdr>
      <w:divsChild>
        <w:div w:id="734744381">
          <w:marLeft w:val="0"/>
          <w:marRight w:val="0"/>
          <w:marTop w:val="0"/>
          <w:marBottom w:val="0"/>
          <w:divBdr>
            <w:top w:val="none" w:sz="0" w:space="0" w:color="auto"/>
            <w:left w:val="none" w:sz="0" w:space="0" w:color="auto"/>
            <w:bottom w:val="none" w:sz="0" w:space="0" w:color="auto"/>
            <w:right w:val="none" w:sz="0" w:space="0" w:color="auto"/>
          </w:divBdr>
        </w:div>
      </w:divsChild>
    </w:div>
    <w:div w:id="734744406">
      <w:marLeft w:val="0"/>
      <w:marRight w:val="0"/>
      <w:marTop w:val="0"/>
      <w:marBottom w:val="0"/>
      <w:divBdr>
        <w:top w:val="none" w:sz="0" w:space="0" w:color="auto"/>
        <w:left w:val="none" w:sz="0" w:space="0" w:color="auto"/>
        <w:bottom w:val="none" w:sz="0" w:space="0" w:color="auto"/>
        <w:right w:val="none" w:sz="0" w:space="0" w:color="auto"/>
      </w:divBdr>
    </w:div>
    <w:div w:id="734744408">
      <w:marLeft w:val="0"/>
      <w:marRight w:val="0"/>
      <w:marTop w:val="0"/>
      <w:marBottom w:val="0"/>
      <w:divBdr>
        <w:top w:val="none" w:sz="0" w:space="0" w:color="auto"/>
        <w:left w:val="none" w:sz="0" w:space="0" w:color="auto"/>
        <w:bottom w:val="none" w:sz="0" w:space="0" w:color="auto"/>
        <w:right w:val="none" w:sz="0" w:space="0" w:color="auto"/>
      </w:divBdr>
      <w:divsChild>
        <w:div w:id="734744407">
          <w:marLeft w:val="0"/>
          <w:marRight w:val="0"/>
          <w:marTop w:val="0"/>
          <w:marBottom w:val="0"/>
          <w:divBdr>
            <w:top w:val="none" w:sz="0" w:space="0" w:color="auto"/>
            <w:left w:val="none" w:sz="0" w:space="0" w:color="auto"/>
            <w:bottom w:val="none" w:sz="0" w:space="0" w:color="auto"/>
            <w:right w:val="none" w:sz="0" w:space="0" w:color="auto"/>
          </w:divBdr>
          <w:divsChild>
            <w:div w:id="7347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4409">
      <w:marLeft w:val="0"/>
      <w:marRight w:val="0"/>
      <w:marTop w:val="0"/>
      <w:marBottom w:val="0"/>
      <w:divBdr>
        <w:top w:val="none" w:sz="0" w:space="0" w:color="auto"/>
        <w:left w:val="none" w:sz="0" w:space="0" w:color="auto"/>
        <w:bottom w:val="none" w:sz="0" w:space="0" w:color="auto"/>
        <w:right w:val="none" w:sz="0" w:space="0" w:color="auto"/>
      </w:divBdr>
    </w:div>
    <w:div w:id="734744410">
      <w:marLeft w:val="0"/>
      <w:marRight w:val="0"/>
      <w:marTop w:val="0"/>
      <w:marBottom w:val="0"/>
      <w:divBdr>
        <w:top w:val="none" w:sz="0" w:space="0" w:color="auto"/>
        <w:left w:val="none" w:sz="0" w:space="0" w:color="auto"/>
        <w:bottom w:val="none" w:sz="0" w:space="0" w:color="auto"/>
        <w:right w:val="none" w:sz="0" w:space="0" w:color="auto"/>
      </w:divBdr>
    </w:div>
    <w:div w:id="734744411">
      <w:marLeft w:val="0"/>
      <w:marRight w:val="0"/>
      <w:marTop w:val="0"/>
      <w:marBottom w:val="0"/>
      <w:divBdr>
        <w:top w:val="none" w:sz="0" w:space="0" w:color="auto"/>
        <w:left w:val="none" w:sz="0" w:space="0" w:color="auto"/>
        <w:bottom w:val="none" w:sz="0" w:space="0" w:color="auto"/>
        <w:right w:val="none" w:sz="0" w:space="0" w:color="auto"/>
      </w:divBdr>
    </w:div>
    <w:div w:id="737436035">
      <w:bodyDiv w:val="1"/>
      <w:marLeft w:val="0"/>
      <w:marRight w:val="0"/>
      <w:marTop w:val="0"/>
      <w:marBottom w:val="0"/>
      <w:divBdr>
        <w:top w:val="none" w:sz="0" w:space="0" w:color="auto"/>
        <w:left w:val="none" w:sz="0" w:space="0" w:color="auto"/>
        <w:bottom w:val="none" w:sz="0" w:space="0" w:color="auto"/>
        <w:right w:val="none" w:sz="0" w:space="0" w:color="auto"/>
      </w:divBdr>
    </w:div>
    <w:div w:id="755516799">
      <w:bodyDiv w:val="1"/>
      <w:marLeft w:val="0"/>
      <w:marRight w:val="0"/>
      <w:marTop w:val="0"/>
      <w:marBottom w:val="0"/>
      <w:divBdr>
        <w:top w:val="none" w:sz="0" w:space="0" w:color="auto"/>
        <w:left w:val="none" w:sz="0" w:space="0" w:color="auto"/>
        <w:bottom w:val="none" w:sz="0" w:space="0" w:color="auto"/>
        <w:right w:val="none" w:sz="0" w:space="0" w:color="auto"/>
      </w:divBdr>
    </w:div>
    <w:div w:id="764346727">
      <w:bodyDiv w:val="1"/>
      <w:marLeft w:val="0"/>
      <w:marRight w:val="0"/>
      <w:marTop w:val="0"/>
      <w:marBottom w:val="0"/>
      <w:divBdr>
        <w:top w:val="none" w:sz="0" w:space="0" w:color="auto"/>
        <w:left w:val="none" w:sz="0" w:space="0" w:color="auto"/>
        <w:bottom w:val="none" w:sz="0" w:space="0" w:color="auto"/>
        <w:right w:val="none" w:sz="0" w:space="0" w:color="auto"/>
      </w:divBdr>
    </w:div>
    <w:div w:id="767190823">
      <w:bodyDiv w:val="1"/>
      <w:marLeft w:val="0"/>
      <w:marRight w:val="0"/>
      <w:marTop w:val="0"/>
      <w:marBottom w:val="0"/>
      <w:divBdr>
        <w:top w:val="none" w:sz="0" w:space="0" w:color="auto"/>
        <w:left w:val="none" w:sz="0" w:space="0" w:color="auto"/>
        <w:bottom w:val="none" w:sz="0" w:space="0" w:color="auto"/>
        <w:right w:val="none" w:sz="0" w:space="0" w:color="auto"/>
      </w:divBdr>
    </w:div>
    <w:div w:id="777335705">
      <w:bodyDiv w:val="1"/>
      <w:marLeft w:val="0"/>
      <w:marRight w:val="0"/>
      <w:marTop w:val="0"/>
      <w:marBottom w:val="0"/>
      <w:divBdr>
        <w:top w:val="none" w:sz="0" w:space="0" w:color="auto"/>
        <w:left w:val="none" w:sz="0" w:space="0" w:color="auto"/>
        <w:bottom w:val="none" w:sz="0" w:space="0" w:color="auto"/>
        <w:right w:val="none" w:sz="0" w:space="0" w:color="auto"/>
      </w:divBdr>
    </w:div>
    <w:div w:id="815226515">
      <w:bodyDiv w:val="1"/>
      <w:marLeft w:val="0"/>
      <w:marRight w:val="0"/>
      <w:marTop w:val="0"/>
      <w:marBottom w:val="0"/>
      <w:divBdr>
        <w:top w:val="none" w:sz="0" w:space="0" w:color="auto"/>
        <w:left w:val="none" w:sz="0" w:space="0" w:color="auto"/>
        <w:bottom w:val="none" w:sz="0" w:space="0" w:color="auto"/>
        <w:right w:val="none" w:sz="0" w:space="0" w:color="auto"/>
      </w:divBdr>
    </w:div>
    <w:div w:id="859511961">
      <w:bodyDiv w:val="1"/>
      <w:marLeft w:val="0"/>
      <w:marRight w:val="0"/>
      <w:marTop w:val="0"/>
      <w:marBottom w:val="0"/>
      <w:divBdr>
        <w:top w:val="none" w:sz="0" w:space="0" w:color="auto"/>
        <w:left w:val="none" w:sz="0" w:space="0" w:color="auto"/>
        <w:bottom w:val="none" w:sz="0" w:space="0" w:color="auto"/>
        <w:right w:val="none" w:sz="0" w:space="0" w:color="auto"/>
      </w:divBdr>
    </w:div>
    <w:div w:id="895968968">
      <w:bodyDiv w:val="1"/>
      <w:marLeft w:val="0"/>
      <w:marRight w:val="0"/>
      <w:marTop w:val="0"/>
      <w:marBottom w:val="0"/>
      <w:divBdr>
        <w:top w:val="none" w:sz="0" w:space="0" w:color="auto"/>
        <w:left w:val="none" w:sz="0" w:space="0" w:color="auto"/>
        <w:bottom w:val="none" w:sz="0" w:space="0" w:color="auto"/>
        <w:right w:val="none" w:sz="0" w:space="0" w:color="auto"/>
      </w:divBdr>
    </w:div>
    <w:div w:id="914777141">
      <w:bodyDiv w:val="1"/>
      <w:marLeft w:val="0"/>
      <w:marRight w:val="0"/>
      <w:marTop w:val="0"/>
      <w:marBottom w:val="0"/>
      <w:divBdr>
        <w:top w:val="none" w:sz="0" w:space="0" w:color="auto"/>
        <w:left w:val="none" w:sz="0" w:space="0" w:color="auto"/>
        <w:bottom w:val="none" w:sz="0" w:space="0" w:color="auto"/>
        <w:right w:val="none" w:sz="0" w:space="0" w:color="auto"/>
      </w:divBdr>
    </w:div>
    <w:div w:id="937447791">
      <w:bodyDiv w:val="1"/>
      <w:marLeft w:val="0"/>
      <w:marRight w:val="0"/>
      <w:marTop w:val="0"/>
      <w:marBottom w:val="0"/>
      <w:divBdr>
        <w:top w:val="none" w:sz="0" w:space="0" w:color="auto"/>
        <w:left w:val="none" w:sz="0" w:space="0" w:color="auto"/>
        <w:bottom w:val="none" w:sz="0" w:space="0" w:color="auto"/>
        <w:right w:val="none" w:sz="0" w:space="0" w:color="auto"/>
      </w:divBdr>
    </w:div>
    <w:div w:id="974213498">
      <w:bodyDiv w:val="1"/>
      <w:marLeft w:val="0"/>
      <w:marRight w:val="0"/>
      <w:marTop w:val="0"/>
      <w:marBottom w:val="0"/>
      <w:divBdr>
        <w:top w:val="none" w:sz="0" w:space="0" w:color="auto"/>
        <w:left w:val="none" w:sz="0" w:space="0" w:color="auto"/>
        <w:bottom w:val="none" w:sz="0" w:space="0" w:color="auto"/>
        <w:right w:val="none" w:sz="0" w:space="0" w:color="auto"/>
      </w:divBdr>
      <w:divsChild>
        <w:div w:id="1221938530">
          <w:marLeft w:val="0"/>
          <w:marRight w:val="0"/>
          <w:marTop w:val="0"/>
          <w:marBottom w:val="0"/>
          <w:divBdr>
            <w:top w:val="none" w:sz="0" w:space="0" w:color="auto"/>
            <w:left w:val="none" w:sz="0" w:space="0" w:color="auto"/>
            <w:bottom w:val="none" w:sz="0" w:space="0" w:color="auto"/>
            <w:right w:val="none" w:sz="0" w:space="0" w:color="auto"/>
          </w:divBdr>
          <w:divsChild>
            <w:div w:id="1320496436">
              <w:marLeft w:val="0"/>
              <w:marRight w:val="0"/>
              <w:marTop w:val="0"/>
              <w:marBottom w:val="0"/>
              <w:divBdr>
                <w:top w:val="none" w:sz="0" w:space="0" w:color="auto"/>
                <w:left w:val="none" w:sz="0" w:space="0" w:color="auto"/>
                <w:bottom w:val="none" w:sz="0" w:space="0" w:color="auto"/>
                <w:right w:val="none" w:sz="0" w:space="0" w:color="auto"/>
              </w:divBdr>
              <w:divsChild>
                <w:div w:id="1186289132">
                  <w:marLeft w:val="0"/>
                  <w:marRight w:val="0"/>
                  <w:marTop w:val="0"/>
                  <w:marBottom w:val="0"/>
                  <w:divBdr>
                    <w:top w:val="none" w:sz="0" w:space="0" w:color="auto"/>
                    <w:left w:val="none" w:sz="0" w:space="0" w:color="auto"/>
                    <w:bottom w:val="none" w:sz="0" w:space="0" w:color="auto"/>
                    <w:right w:val="none" w:sz="0" w:space="0" w:color="auto"/>
                  </w:divBdr>
                  <w:divsChild>
                    <w:div w:id="608897597">
                      <w:marLeft w:val="0"/>
                      <w:marRight w:val="0"/>
                      <w:marTop w:val="0"/>
                      <w:marBottom w:val="0"/>
                      <w:divBdr>
                        <w:top w:val="none" w:sz="0" w:space="0" w:color="auto"/>
                        <w:left w:val="none" w:sz="0" w:space="0" w:color="auto"/>
                        <w:bottom w:val="none" w:sz="0" w:space="0" w:color="auto"/>
                        <w:right w:val="none" w:sz="0" w:space="0" w:color="auto"/>
                      </w:divBdr>
                      <w:divsChild>
                        <w:div w:id="49303458">
                          <w:marLeft w:val="1"/>
                          <w:marRight w:val="1"/>
                          <w:marTop w:val="0"/>
                          <w:marBottom w:val="0"/>
                          <w:divBdr>
                            <w:top w:val="none" w:sz="0" w:space="0" w:color="auto"/>
                            <w:left w:val="none" w:sz="0" w:space="0" w:color="auto"/>
                            <w:bottom w:val="none" w:sz="0" w:space="0" w:color="auto"/>
                            <w:right w:val="none" w:sz="0" w:space="0" w:color="auto"/>
                          </w:divBdr>
                          <w:divsChild>
                            <w:div w:id="1534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43898">
      <w:bodyDiv w:val="1"/>
      <w:marLeft w:val="0"/>
      <w:marRight w:val="0"/>
      <w:marTop w:val="0"/>
      <w:marBottom w:val="0"/>
      <w:divBdr>
        <w:top w:val="none" w:sz="0" w:space="0" w:color="auto"/>
        <w:left w:val="none" w:sz="0" w:space="0" w:color="auto"/>
        <w:bottom w:val="none" w:sz="0" w:space="0" w:color="auto"/>
        <w:right w:val="none" w:sz="0" w:space="0" w:color="auto"/>
      </w:divBdr>
    </w:div>
    <w:div w:id="1094013929">
      <w:bodyDiv w:val="1"/>
      <w:marLeft w:val="0"/>
      <w:marRight w:val="0"/>
      <w:marTop w:val="0"/>
      <w:marBottom w:val="0"/>
      <w:divBdr>
        <w:top w:val="none" w:sz="0" w:space="0" w:color="auto"/>
        <w:left w:val="none" w:sz="0" w:space="0" w:color="auto"/>
        <w:bottom w:val="none" w:sz="0" w:space="0" w:color="auto"/>
        <w:right w:val="none" w:sz="0" w:space="0" w:color="auto"/>
      </w:divBdr>
    </w:div>
    <w:div w:id="1125661130">
      <w:bodyDiv w:val="1"/>
      <w:marLeft w:val="0"/>
      <w:marRight w:val="0"/>
      <w:marTop w:val="0"/>
      <w:marBottom w:val="0"/>
      <w:divBdr>
        <w:top w:val="none" w:sz="0" w:space="0" w:color="auto"/>
        <w:left w:val="none" w:sz="0" w:space="0" w:color="auto"/>
        <w:bottom w:val="none" w:sz="0" w:space="0" w:color="auto"/>
        <w:right w:val="none" w:sz="0" w:space="0" w:color="auto"/>
      </w:divBdr>
    </w:div>
    <w:div w:id="1137381172">
      <w:bodyDiv w:val="1"/>
      <w:marLeft w:val="0"/>
      <w:marRight w:val="0"/>
      <w:marTop w:val="0"/>
      <w:marBottom w:val="0"/>
      <w:divBdr>
        <w:top w:val="none" w:sz="0" w:space="0" w:color="auto"/>
        <w:left w:val="none" w:sz="0" w:space="0" w:color="auto"/>
        <w:bottom w:val="none" w:sz="0" w:space="0" w:color="auto"/>
        <w:right w:val="none" w:sz="0" w:space="0" w:color="auto"/>
      </w:divBdr>
    </w:div>
    <w:div w:id="1240750553">
      <w:bodyDiv w:val="1"/>
      <w:marLeft w:val="0"/>
      <w:marRight w:val="0"/>
      <w:marTop w:val="0"/>
      <w:marBottom w:val="0"/>
      <w:divBdr>
        <w:top w:val="none" w:sz="0" w:space="0" w:color="auto"/>
        <w:left w:val="none" w:sz="0" w:space="0" w:color="auto"/>
        <w:bottom w:val="none" w:sz="0" w:space="0" w:color="auto"/>
        <w:right w:val="none" w:sz="0" w:space="0" w:color="auto"/>
      </w:divBdr>
    </w:div>
    <w:div w:id="1258831645">
      <w:bodyDiv w:val="1"/>
      <w:marLeft w:val="0"/>
      <w:marRight w:val="0"/>
      <w:marTop w:val="0"/>
      <w:marBottom w:val="0"/>
      <w:divBdr>
        <w:top w:val="none" w:sz="0" w:space="0" w:color="auto"/>
        <w:left w:val="none" w:sz="0" w:space="0" w:color="auto"/>
        <w:bottom w:val="none" w:sz="0" w:space="0" w:color="auto"/>
        <w:right w:val="none" w:sz="0" w:space="0" w:color="auto"/>
      </w:divBdr>
    </w:div>
    <w:div w:id="1261335936">
      <w:bodyDiv w:val="1"/>
      <w:marLeft w:val="0"/>
      <w:marRight w:val="0"/>
      <w:marTop w:val="0"/>
      <w:marBottom w:val="0"/>
      <w:divBdr>
        <w:top w:val="none" w:sz="0" w:space="0" w:color="auto"/>
        <w:left w:val="none" w:sz="0" w:space="0" w:color="auto"/>
        <w:bottom w:val="none" w:sz="0" w:space="0" w:color="auto"/>
        <w:right w:val="none" w:sz="0" w:space="0" w:color="auto"/>
      </w:divBdr>
    </w:div>
    <w:div w:id="1271090048">
      <w:bodyDiv w:val="1"/>
      <w:marLeft w:val="0"/>
      <w:marRight w:val="0"/>
      <w:marTop w:val="0"/>
      <w:marBottom w:val="0"/>
      <w:divBdr>
        <w:top w:val="none" w:sz="0" w:space="0" w:color="auto"/>
        <w:left w:val="none" w:sz="0" w:space="0" w:color="auto"/>
        <w:bottom w:val="none" w:sz="0" w:space="0" w:color="auto"/>
        <w:right w:val="none" w:sz="0" w:space="0" w:color="auto"/>
      </w:divBdr>
    </w:div>
    <w:div w:id="1294746595">
      <w:bodyDiv w:val="1"/>
      <w:marLeft w:val="0"/>
      <w:marRight w:val="0"/>
      <w:marTop w:val="0"/>
      <w:marBottom w:val="0"/>
      <w:divBdr>
        <w:top w:val="none" w:sz="0" w:space="0" w:color="auto"/>
        <w:left w:val="none" w:sz="0" w:space="0" w:color="auto"/>
        <w:bottom w:val="none" w:sz="0" w:space="0" w:color="auto"/>
        <w:right w:val="none" w:sz="0" w:space="0" w:color="auto"/>
      </w:divBdr>
    </w:div>
    <w:div w:id="1306424110">
      <w:bodyDiv w:val="1"/>
      <w:marLeft w:val="0"/>
      <w:marRight w:val="0"/>
      <w:marTop w:val="0"/>
      <w:marBottom w:val="0"/>
      <w:divBdr>
        <w:top w:val="none" w:sz="0" w:space="0" w:color="auto"/>
        <w:left w:val="none" w:sz="0" w:space="0" w:color="auto"/>
        <w:bottom w:val="none" w:sz="0" w:space="0" w:color="auto"/>
        <w:right w:val="none" w:sz="0" w:space="0" w:color="auto"/>
      </w:divBdr>
    </w:div>
    <w:div w:id="1350914312">
      <w:bodyDiv w:val="1"/>
      <w:marLeft w:val="0"/>
      <w:marRight w:val="0"/>
      <w:marTop w:val="0"/>
      <w:marBottom w:val="0"/>
      <w:divBdr>
        <w:top w:val="none" w:sz="0" w:space="0" w:color="auto"/>
        <w:left w:val="none" w:sz="0" w:space="0" w:color="auto"/>
        <w:bottom w:val="none" w:sz="0" w:space="0" w:color="auto"/>
        <w:right w:val="none" w:sz="0" w:space="0" w:color="auto"/>
      </w:divBdr>
    </w:div>
    <w:div w:id="1378627145">
      <w:bodyDiv w:val="1"/>
      <w:marLeft w:val="0"/>
      <w:marRight w:val="0"/>
      <w:marTop w:val="0"/>
      <w:marBottom w:val="0"/>
      <w:divBdr>
        <w:top w:val="none" w:sz="0" w:space="0" w:color="auto"/>
        <w:left w:val="none" w:sz="0" w:space="0" w:color="auto"/>
        <w:bottom w:val="none" w:sz="0" w:space="0" w:color="auto"/>
        <w:right w:val="none" w:sz="0" w:space="0" w:color="auto"/>
      </w:divBdr>
    </w:div>
    <w:div w:id="1421295264">
      <w:bodyDiv w:val="1"/>
      <w:marLeft w:val="0"/>
      <w:marRight w:val="0"/>
      <w:marTop w:val="0"/>
      <w:marBottom w:val="0"/>
      <w:divBdr>
        <w:top w:val="none" w:sz="0" w:space="0" w:color="auto"/>
        <w:left w:val="none" w:sz="0" w:space="0" w:color="auto"/>
        <w:bottom w:val="none" w:sz="0" w:space="0" w:color="auto"/>
        <w:right w:val="none" w:sz="0" w:space="0" w:color="auto"/>
      </w:divBdr>
    </w:div>
    <w:div w:id="1441493799">
      <w:bodyDiv w:val="1"/>
      <w:marLeft w:val="0"/>
      <w:marRight w:val="0"/>
      <w:marTop w:val="0"/>
      <w:marBottom w:val="0"/>
      <w:divBdr>
        <w:top w:val="none" w:sz="0" w:space="0" w:color="auto"/>
        <w:left w:val="none" w:sz="0" w:space="0" w:color="auto"/>
        <w:bottom w:val="none" w:sz="0" w:space="0" w:color="auto"/>
        <w:right w:val="none" w:sz="0" w:space="0" w:color="auto"/>
      </w:divBdr>
    </w:div>
    <w:div w:id="1455709966">
      <w:bodyDiv w:val="1"/>
      <w:marLeft w:val="0"/>
      <w:marRight w:val="0"/>
      <w:marTop w:val="0"/>
      <w:marBottom w:val="0"/>
      <w:divBdr>
        <w:top w:val="none" w:sz="0" w:space="0" w:color="auto"/>
        <w:left w:val="none" w:sz="0" w:space="0" w:color="auto"/>
        <w:bottom w:val="none" w:sz="0" w:space="0" w:color="auto"/>
        <w:right w:val="none" w:sz="0" w:space="0" w:color="auto"/>
      </w:divBdr>
    </w:div>
    <w:div w:id="1509830252">
      <w:bodyDiv w:val="1"/>
      <w:marLeft w:val="0"/>
      <w:marRight w:val="0"/>
      <w:marTop w:val="0"/>
      <w:marBottom w:val="0"/>
      <w:divBdr>
        <w:top w:val="none" w:sz="0" w:space="0" w:color="auto"/>
        <w:left w:val="none" w:sz="0" w:space="0" w:color="auto"/>
        <w:bottom w:val="none" w:sz="0" w:space="0" w:color="auto"/>
        <w:right w:val="none" w:sz="0" w:space="0" w:color="auto"/>
      </w:divBdr>
    </w:div>
    <w:div w:id="1553955031">
      <w:bodyDiv w:val="1"/>
      <w:marLeft w:val="0"/>
      <w:marRight w:val="0"/>
      <w:marTop w:val="0"/>
      <w:marBottom w:val="0"/>
      <w:divBdr>
        <w:top w:val="none" w:sz="0" w:space="0" w:color="auto"/>
        <w:left w:val="none" w:sz="0" w:space="0" w:color="auto"/>
        <w:bottom w:val="none" w:sz="0" w:space="0" w:color="auto"/>
        <w:right w:val="none" w:sz="0" w:space="0" w:color="auto"/>
      </w:divBdr>
    </w:div>
    <w:div w:id="1566142710">
      <w:bodyDiv w:val="1"/>
      <w:marLeft w:val="0"/>
      <w:marRight w:val="0"/>
      <w:marTop w:val="0"/>
      <w:marBottom w:val="0"/>
      <w:divBdr>
        <w:top w:val="none" w:sz="0" w:space="0" w:color="auto"/>
        <w:left w:val="none" w:sz="0" w:space="0" w:color="auto"/>
        <w:bottom w:val="none" w:sz="0" w:space="0" w:color="auto"/>
        <w:right w:val="none" w:sz="0" w:space="0" w:color="auto"/>
      </w:divBdr>
    </w:div>
    <w:div w:id="1602029065">
      <w:bodyDiv w:val="1"/>
      <w:marLeft w:val="0"/>
      <w:marRight w:val="0"/>
      <w:marTop w:val="0"/>
      <w:marBottom w:val="0"/>
      <w:divBdr>
        <w:top w:val="none" w:sz="0" w:space="0" w:color="auto"/>
        <w:left w:val="none" w:sz="0" w:space="0" w:color="auto"/>
        <w:bottom w:val="none" w:sz="0" w:space="0" w:color="auto"/>
        <w:right w:val="none" w:sz="0" w:space="0" w:color="auto"/>
      </w:divBdr>
    </w:div>
    <w:div w:id="1607346062">
      <w:bodyDiv w:val="1"/>
      <w:marLeft w:val="0"/>
      <w:marRight w:val="0"/>
      <w:marTop w:val="0"/>
      <w:marBottom w:val="0"/>
      <w:divBdr>
        <w:top w:val="none" w:sz="0" w:space="0" w:color="auto"/>
        <w:left w:val="none" w:sz="0" w:space="0" w:color="auto"/>
        <w:bottom w:val="none" w:sz="0" w:space="0" w:color="auto"/>
        <w:right w:val="none" w:sz="0" w:space="0" w:color="auto"/>
      </w:divBdr>
      <w:divsChild>
        <w:div w:id="748699234">
          <w:marLeft w:val="0"/>
          <w:marRight w:val="0"/>
          <w:marTop w:val="0"/>
          <w:marBottom w:val="0"/>
          <w:divBdr>
            <w:top w:val="none" w:sz="0" w:space="0" w:color="auto"/>
            <w:left w:val="none" w:sz="0" w:space="0" w:color="auto"/>
            <w:bottom w:val="none" w:sz="0" w:space="0" w:color="auto"/>
            <w:right w:val="none" w:sz="0" w:space="0" w:color="auto"/>
          </w:divBdr>
          <w:divsChild>
            <w:div w:id="1871330853">
              <w:marLeft w:val="0"/>
              <w:marRight w:val="0"/>
              <w:marTop w:val="0"/>
              <w:marBottom w:val="0"/>
              <w:divBdr>
                <w:top w:val="none" w:sz="0" w:space="0" w:color="auto"/>
                <w:left w:val="none" w:sz="0" w:space="0" w:color="auto"/>
                <w:bottom w:val="none" w:sz="0" w:space="0" w:color="auto"/>
                <w:right w:val="none" w:sz="0" w:space="0" w:color="auto"/>
              </w:divBdr>
              <w:divsChild>
                <w:div w:id="308561708">
                  <w:marLeft w:val="0"/>
                  <w:marRight w:val="0"/>
                  <w:marTop w:val="0"/>
                  <w:marBottom w:val="375"/>
                  <w:divBdr>
                    <w:top w:val="none" w:sz="0" w:space="0" w:color="auto"/>
                    <w:left w:val="none" w:sz="0" w:space="0" w:color="auto"/>
                    <w:bottom w:val="none" w:sz="0" w:space="0" w:color="auto"/>
                    <w:right w:val="none" w:sz="0" w:space="0" w:color="auto"/>
                  </w:divBdr>
                  <w:divsChild>
                    <w:div w:id="988021660">
                      <w:marLeft w:val="0"/>
                      <w:marRight w:val="0"/>
                      <w:marTop w:val="0"/>
                      <w:marBottom w:val="0"/>
                      <w:divBdr>
                        <w:top w:val="none" w:sz="0" w:space="0" w:color="auto"/>
                        <w:left w:val="none" w:sz="0" w:space="0" w:color="auto"/>
                        <w:bottom w:val="none" w:sz="0" w:space="0" w:color="auto"/>
                        <w:right w:val="none" w:sz="0" w:space="0" w:color="auto"/>
                      </w:divBdr>
                      <w:divsChild>
                        <w:div w:id="1679774614">
                          <w:marLeft w:val="0"/>
                          <w:marRight w:val="0"/>
                          <w:marTop w:val="0"/>
                          <w:marBottom w:val="0"/>
                          <w:divBdr>
                            <w:top w:val="none" w:sz="0" w:space="0" w:color="auto"/>
                            <w:left w:val="none" w:sz="0" w:space="0" w:color="auto"/>
                            <w:bottom w:val="none" w:sz="0" w:space="0" w:color="auto"/>
                            <w:right w:val="none" w:sz="0" w:space="0" w:color="auto"/>
                          </w:divBdr>
                          <w:divsChild>
                            <w:div w:id="1888763571">
                              <w:marLeft w:val="0"/>
                              <w:marRight w:val="0"/>
                              <w:marTop w:val="0"/>
                              <w:marBottom w:val="0"/>
                              <w:divBdr>
                                <w:top w:val="none" w:sz="0" w:space="0" w:color="auto"/>
                                <w:left w:val="none" w:sz="0" w:space="0" w:color="auto"/>
                                <w:bottom w:val="none" w:sz="0" w:space="0" w:color="auto"/>
                                <w:right w:val="none" w:sz="0" w:space="0" w:color="auto"/>
                              </w:divBdr>
                              <w:divsChild>
                                <w:div w:id="142544610">
                                  <w:marLeft w:val="0"/>
                                  <w:marRight w:val="0"/>
                                  <w:marTop w:val="0"/>
                                  <w:marBottom w:val="0"/>
                                  <w:divBdr>
                                    <w:top w:val="none" w:sz="0" w:space="0" w:color="auto"/>
                                    <w:left w:val="none" w:sz="0" w:space="0" w:color="auto"/>
                                    <w:bottom w:val="none" w:sz="0" w:space="0" w:color="auto"/>
                                    <w:right w:val="none" w:sz="0" w:space="0" w:color="auto"/>
                                  </w:divBdr>
                                  <w:divsChild>
                                    <w:div w:id="1850558856">
                                      <w:marLeft w:val="0"/>
                                      <w:marRight w:val="0"/>
                                      <w:marTop w:val="0"/>
                                      <w:marBottom w:val="0"/>
                                      <w:divBdr>
                                        <w:top w:val="none" w:sz="0" w:space="0" w:color="auto"/>
                                        <w:left w:val="none" w:sz="0" w:space="0" w:color="auto"/>
                                        <w:bottom w:val="none" w:sz="0" w:space="0" w:color="auto"/>
                                        <w:right w:val="none" w:sz="0" w:space="0" w:color="auto"/>
                                      </w:divBdr>
                                      <w:divsChild>
                                        <w:div w:id="150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22459">
      <w:bodyDiv w:val="1"/>
      <w:marLeft w:val="0"/>
      <w:marRight w:val="0"/>
      <w:marTop w:val="0"/>
      <w:marBottom w:val="0"/>
      <w:divBdr>
        <w:top w:val="none" w:sz="0" w:space="0" w:color="auto"/>
        <w:left w:val="none" w:sz="0" w:space="0" w:color="auto"/>
        <w:bottom w:val="none" w:sz="0" w:space="0" w:color="auto"/>
        <w:right w:val="none" w:sz="0" w:space="0" w:color="auto"/>
      </w:divBdr>
    </w:div>
    <w:div w:id="1615092792">
      <w:bodyDiv w:val="1"/>
      <w:marLeft w:val="0"/>
      <w:marRight w:val="0"/>
      <w:marTop w:val="0"/>
      <w:marBottom w:val="0"/>
      <w:divBdr>
        <w:top w:val="none" w:sz="0" w:space="0" w:color="auto"/>
        <w:left w:val="none" w:sz="0" w:space="0" w:color="auto"/>
        <w:bottom w:val="none" w:sz="0" w:space="0" w:color="auto"/>
        <w:right w:val="none" w:sz="0" w:space="0" w:color="auto"/>
      </w:divBdr>
    </w:div>
    <w:div w:id="1616520656">
      <w:bodyDiv w:val="1"/>
      <w:marLeft w:val="0"/>
      <w:marRight w:val="0"/>
      <w:marTop w:val="0"/>
      <w:marBottom w:val="0"/>
      <w:divBdr>
        <w:top w:val="none" w:sz="0" w:space="0" w:color="auto"/>
        <w:left w:val="none" w:sz="0" w:space="0" w:color="auto"/>
        <w:bottom w:val="none" w:sz="0" w:space="0" w:color="auto"/>
        <w:right w:val="none" w:sz="0" w:space="0" w:color="auto"/>
      </w:divBdr>
    </w:div>
    <w:div w:id="1647928730">
      <w:bodyDiv w:val="1"/>
      <w:marLeft w:val="0"/>
      <w:marRight w:val="0"/>
      <w:marTop w:val="0"/>
      <w:marBottom w:val="0"/>
      <w:divBdr>
        <w:top w:val="none" w:sz="0" w:space="0" w:color="auto"/>
        <w:left w:val="none" w:sz="0" w:space="0" w:color="auto"/>
        <w:bottom w:val="none" w:sz="0" w:space="0" w:color="auto"/>
        <w:right w:val="none" w:sz="0" w:space="0" w:color="auto"/>
      </w:divBdr>
    </w:div>
    <w:div w:id="1709330583">
      <w:bodyDiv w:val="1"/>
      <w:marLeft w:val="0"/>
      <w:marRight w:val="0"/>
      <w:marTop w:val="0"/>
      <w:marBottom w:val="0"/>
      <w:divBdr>
        <w:top w:val="none" w:sz="0" w:space="0" w:color="auto"/>
        <w:left w:val="none" w:sz="0" w:space="0" w:color="auto"/>
        <w:bottom w:val="none" w:sz="0" w:space="0" w:color="auto"/>
        <w:right w:val="none" w:sz="0" w:space="0" w:color="auto"/>
      </w:divBdr>
    </w:div>
    <w:div w:id="1762338149">
      <w:bodyDiv w:val="1"/>
      <w:marLeft w:val="0"/>
      <w:marRight w:val="0"/>
      <w:marTop w:val="0"/>
      <w:marBottom w:val="0"/>
      <w:divBdr>
        <w:top w:val="none" w:sz="0" w:space="0" w:color="auto"/>
        <w:left w:val="none" w:sz="0" w:space="0" w:color="auto"/>
        <w:bottom w:val="none" w:sz="0" w:space="0" w:color="auto"/>
        <w:right w:val="none" w:sz="0" w:space="0" w:color="auto"/>
      </w:divBdr>
    </w:div>
    <w:div w:id="1816599801">
      <w:bodyDiv w:val="1"/>
      <w:marLeft w:val="0"/>
      <w:marRight w:val="0"/>
      <w:marTop w:val="0"/>
      <w:marBottom w:val="0"/>
      <w:divBdr>
        <w:top w:val="none" w:sz="0" w:space="0" w:color="auto"/>
        <w:left w:val="none" w:sz="0" w:space="0" w:color="auto"/>
        <w:bottom w:val="none" w:sz="0" w:space="0" w:color="auto"/>
        <w:right w:val="none" w:sz="0" w:space="0" w:color="auto"/>
      </w:divBdr>
    </w:div>
    <w:div w:id="1825392804">
      <w:bodyDiv w:val="1"/>
      <w:marLeft w:val="0"/>
      <w:marRight w:val="0"/>
      <w:marTop w:val="0"/>
      <w:marBottom w:val="0"/>
      <w:divBdr>
        <w:top w:val="none" w:sz="0" w:space="0" w:color="auto"/>
        <w:left w:val="none" w:sz="0" w:space="0" w:color="auto"/>
        <w:bottom w:val="none" w:sz="0" w:space="0" w:color="auto"/>
        <w:right w:val="none" w:sz="0" w:space="0" w:color="auto"/>
      </w:divBdr>
    </w:div>
    <w:div w:id="1888956873">
      <w:bodyDiv w:val="1"/>
      <w:marLeft w:val="0"/>
      <w:marRight w:val="0"/>
      <w:marTop w:val="0"/>
      <w:marBottom w:val="0"/>
      <w:divBdr>
        <w:top w:val="none" w:sz="0" w:space="0" w:color="auto"/>
        <w:left w:val="none" w:sz="0" w:space="0" w:color="auto"/>
        <w:bottom w:val="none" w:sz="0" w:space="0" w:color="auto"/>
        <w:right w:val="none" w:sz="0" w:space="0" w:color="auto"/>
      </w:divBdr>
    </w:div>
    <w:div w:id="1889217741">
      <w:bodyDiv w:val="1"/>
      <w:marLeft w:val="0"/>
      <w:marRight w:val="0"/>
      <w:marTop w:val="0"/>
      <w:marBottom w:val="0"/>
      <w:divBdr>
        <w:top w:val="none" w:sz="0" w:space="0" w:color="auto"/>
        <w:left w:val="none" w:sz="0" w:space="0" w:color="auto"/>
        <w:bottom w:val="none" w:sz="0" w:space="0" w:color="auto"/>
        <w:right w:val="none" w:sz="0" w:space="0" w:color="auto"/>
      </w:divBdr>
    </w:div>
    <w:div w:id="1910647498">
      <w:bodyDiv w:val="1"/>
      <w:marLeft w:val="0"/>
      <w:marRight w:val="0"/>
      <w:marTop w:val="0"/>
      <w:marBottom w:val="0"/>
      <w:divBdr>
        <w:top w:val="none" w:sz="0" w:space="0" w:color="auto"/>
        <w:left w:val="none" w:sz="0" w:space="0" w:color="auto"/>
        <w:bottom w:val="none" w:sz="0" w:space="0" w:color="auto"/>
        <w:right w:val="none" w:sz="0" w:space="0" w:color="auto"/>
      </w:divBdr>
    </w:div>
    <w:div w:id="1920867597">
      <w:bodyDiv w:val="1"/>
      <w:marLeft w:val="0"/>
      <w:marRight w:val="0"/>
      <w:marTop w:val="0"/>
      <w:marBottom w:val="0"/>
      <w:divBdr>
        <w:top w:val="none" w:sz="0" w:space="0" w:color="auto"/>
        <w:left w:val="none" w:sz="0" w:space="0" w:color="auto"/>
        <w:bottom w:val="none" w:sz="0" w:space="0" w:color="auto"/>
        <w:right w:val="none" w:sz="0" w:space="0" w:color="auto"/>
      </w:divBdr>
    </w:div>
    <w:div w:id="1952780487">
      <w:bodyDiv w:val="1"/>
      <w:marLeft w:val="0"/>
      <w:marRight w:val="0"/>
      <w:marTop w:val="0"/>
      <w:marBottom w:val="0"/>
      <w:divBdr>
        <w:top w:val="none" w:sz="0" w:space="0" w:color="auto"/>
        <w:left w:val="none" w:sz="0" w:space="0" w:color="auto"/>
        <w:bottom w:val="none" w:sz="0" w:space="0" w:color="auto"/>
        <w:right w:val="none" w:sz="0" w:space="0" w:color="auto"/>
      </w:divBdr>
    </w:div>
    <w:div w:id="1972587185">
      <w:bodyDiv w:val="1"/>
      <w:marLeft w:val="0"/>
      <w:marRight w:val="0"/>
      <w:marTop w:val="0"/>
      <w:marBottom w:val="0"/>
      <w:divBdr>
        <w:top w:val="none" w:sz="0" w:space="0" w:color="auto"/>
        <w:left w:val="none" w:sz="0" w:space="0" w:color="auto"/>
        <w:bottom w:val="none" w:sz="0" w:space="0" w:color="auto"/>
        <w:right w:val="none" w:sz="0" w:space="0" w:color="auto"/>
      </w:divBdr>
    </w:div>
    <w:div w:id="1992127050">
      <w:bodyDiv w:val="1"/>
      <w:marLeft w:val="0"/>
      <w:marRight w:val="0"/>
      <w:marTop w:val="0"/>
      <w:marBottom w:val="0"/>
      <w:divBdr>
        <w:top w:val="none" w:sz="0" w:space="0" w:color="auto"/>
        <w:left w:val="none" w:sz="0" w:space="0" w:color="auto"/>
        <w:bottom w:val="none" w:sz="0" w:space="0" w:color="auto"/>
        <w:right w:val="none" w:sz="0" w:space="0" w:color="auto"/>
      </w:divBdr>
      <w:divsChild>
        <w:div w:id="339695965">
          <w:marLeft w:val="0"/>
          <w:marRight w:val="0"/>
          <w:marTop w:val="0"/>
          <w:marBottom w:val="0"/>
          <w:divBdr>
            <w:top w:val="none" w:sz="0" w:space="0" w:color="auto"/>
            <w:left w:val="none" w:sz="0" w:space="0" w:color="auto"/>
            <w:bottom w:val="none" w:sz="0" w:space="0" w:color="auto"/>
            <w:right w:val="none" w:sz="0" w:space="0" w:color="auto"/>
          </w:divBdr>
          <w:divsChild>
            <w:div w:id="1535266695">
              <w:marLeft w:val="0"/>
              <w:marRight w:val="0"/>
              <w:marTop w:val="0"/>
              <w:marBottom w:val="0"/>
              <w:divBdr>
                <w:top w:val="none" w:sz="0" w:space="0" w:color="auto"/>
                <w:left w:val="none" w:sz="0" w:space="0" w:color="auto"/>
                <w:bottom w:val="none" w:sz="0" w:space="0" w:color="auto"/>
                <w:right w:val="none" w:sz="0" w:space="0" w:color="auto"/>
              </w:divBdr>
              <w:divsChild>
                <w:div w:id="1250508767">
                  <w:marLeft w:val="0"/>
                  <w:marRight w:val="0"/>
                  <w:marTop w:val="0"/>
                  <w:marBottom w:val="375"/>
                  <w:divBdr>
                    <w:top w:val="none" w:sz="0" w:space="0" w:color="auto"/>
                    <w:left w:val="none" w:sz="0" w:space="0" w:color="auto"/>
                    <w:bottom w:val="none" w:sz="0" w:space="0" w:color="auto"/>
                    <w:right w:val="none" w:sz="0" w:space="0" w:color="auto"/>
                  </w:divBdr>
                  <w:divsChild>
                    <w:div w:id="444466472">
                      <w:marLeft w:val="0"/>
                      <w:marRight w:val="0"/>
                      <w:marTop w:val="0"/>
                      <w:marBottom w:val="0"/>
                      <w:divBdr>
                        <w:top w:val="none" w:sz="0" w:space="0" w:color="auto"/>
                        <w:left w:val="none" w:sz="0" w:space="0" w:color="auto"/>
                        <w:bottom w:val="none" w:sz="0" w:space="0" w:color="auto"/>
                        <w:right w:val="none" w:sz="0" w:space="0" w:color="auto"/>
                      </w:divBdr>
                      <w:divsChild>
                        <w:div w:id="811561606">
                          <w:marLeft w:val="0"/>
                          <w:marRight w:val="0"/>
                          <w:marTop w:val="0"/>
                          <w:marBottom w:val="0"/>
                          <w:divBdr>
                            <w:top w:val="none" w:sz="0" w:space="0" w:color="auto"/>
                            <w:left w:val="none" w:sz="0" w:space="0" w:color="auto"/>
                            <w:bottom w:val="none" w:sz="0" w:space="0" w:color="auto"/>
                            <w:right w:val="none" w:sz="0" w:space="0" w:color="auto"/>
                          </w:divBdr>
                          <w:divsChild>
                            <w:div w:id="1331182434">
                              <w:marLeft w:val="0"/>
                              <w:marRight w:val="0"/>
                              <w:marTop w:val="0"/>
                              <w:marBottom w:val="0"/>
                              <w:divBdr>
                                <w:top w:val="none" w:sz="0" w:space="0" w:color="auto"/>
                                <w:left w:val="none" w:sz="0" w:space="0" w:color="auto"/>
                                <w:bottom w:val="none" w:sz="0" w:space="0" w:color="auto"/>
                                <w:right w:val="none" w:sz="0" w:space="0" w:color="auto"/>
                              </w:divBdr>
                              <w:divsChild>
                                <w:div w:id="1110514925">
                                  <w:marLeft w:val="0"/>
                                  <w:marRight w:val="0"/>
                                  <w:marTop w:val="0"/>
                                  <w:marBottom w:val="0"/>
                                  <w:divBdr>
                                    <w:top w:val="none" w:sz="0" w:space="0" w:color="auto"/>
                                    <w:left w:val="none" w:sz="0" w:space="0" w:color="auto"/>
                                    <w:bottom w:val="none" w:sz="0" w:space="0" w:color="auto"/>
                                    <w:right w:val="none" w:sz="0" w:space="0" w:color="auto"/>
                                  </w:divBdr>
                                  <w:divsChild>
                                    <w:div w:id="505946870">
                                      <w:marLeft w:val="0"/>
                                      <w:marRight w:val="0"/>
                                      <w:marTop w:val="0"/>
                                      <w:marBottom w:val="0"/>
                                      <w:divBdr>
                                        <w:top w:val="none" w:sz="0" w:space="0" w:color="auto"/>
                                        <w:left w:val="none" w:sz="0" w:space="0" w:color="auto"/>
                                        <w:bottom w:val="none" w:sz="0" w:space="0" w:color="auto"/>
                                        <w:right w:val="none" w:sz="0" w:space="0" w:color="auto"/>
                                      </w:divBdr>
                                      <w:divsChild>
                                        <w:div w:id="4731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130904">
      <w:bodyDiv w:val="1"/>
      <w:marLeft w:val="0"/>
      <w:marRight w:val="0"/>
      <w:marTop w:val="0"/>
      <w:marBottom w:val="0"/>
      <w:divBdr>
        <w:top w:val="none" w:sz="0" w:space="0" w:color="auto"/>
        <w:left w:val="none" w:sz="0" w:space="0" w:color="auto"/>
        <w:bottom w:val="none" w:sz="0" w:space="0" w:color="auto"/>
        <w:right w:val="none" w:sz="0" w:space="0" w:color="auto"/>
      </w:divBdr>
      <w:divsChild>
        <w:div w:id="1831866779">
          <w:marLeft w:val="0"/>
          <w:marRight w:val="0"/>
          <w:marTop w:val="0"/>
          <w:marBottom w:val="0"/>
          <w:divBdr>
            <w:top w:val="none" w:sz="0" w:space="0" w:color="auto"/>
            <w:left w:val="none" w:sz="0" w:space="0" w:color="auto"/>
            <w:bottom w:val="none" w:sz="0" w:space="0" w:color="auto"/>
            <w:right w:val="none" w:sz="0" w:space="0" w:color="auto"/>
          </w:divBdr>
          <w:divsChild>
            <w:div w:id="1795564546">
              <w:marLeft w:val="0"/>
              <w:marRight w:val="0"/>
              <w:marTop w:val="0"/>
              <w:marBottom w:val="0"/>
              <w:divBdr>
                <w:top w:val="none" w:sz="0" w:space="0" w:color="auto"/>
                <w:left w:val="none" w:sz="0" w:space="0" w:color="auto"/>
                <w:bottom w:val="none" w:sz="0" w:space="0" w:color="auto"/>
                <w:right w:val="none" w:sz="0" w:space="0" w:color="auto"/>
              </w:divBdr>
              <w:divsChild>
                <w:div w:id="396442718">
                  <w:marLeft w:val="0"/>
                  <w:marRight w:val="0"/>
                  <w:marTop w:val="0"/>
                  <w:marBottom w:val="0"/>
                  <w:divBdr>
                    <w:top w:val="none" w:sz="0" w:space="0" w:color="auto"/>
                    <w:left w:val="none" w:sz="0" w:space="0" w:color="auto"/>
                    <w:bottom w:val="none" w:sz="0" w:space="0" w:color="auto"/>
                    <w:right w:val="none" w:sz="0" w:space="0" w:color="auto"/>
                  </w:divBdr>
                  <w:divsChild>
                    <w:div w:id="925264410">
                      <w:marLeft w:val="0"/>
                      <w:marRight w:val="0"/>
                      <w:marTop w:val="0"/>
                      <w:marBottom w:val="0"/>
                      <w:divBdr>
                        <w:top w:val="none" w:sz="0" w:space="0" w:color="auto"/>
                        <w:left w:val="none" w:sz="0" w:space="0" w:color="auto"/>
                        <w:bottom w:val="none" w:sz="0" w:space="0" w:color="auto"/>
                        <w:right w:val="none" w:sz="0" w:space="0" w:color="auto"/>
                      </w:divBdr>
                      <w:divsChild>
                        <w:div w:id="2110931367">
                          <w:marLeft w:val="1"/>
                          <w:marRight w:val="1"/>
                          <w:marTop w:val="0"/>
                          <w:marBottom w:val="0"/>
                          <w:divBdr>
                            <w:top w:val="none" w:sz="0" w:space="0" w:color="auto"/>
                            <w:left w:val="none" w:sz="0" w:space="0" w:color="auto"/>
                            <w:bottom w:val="none" w:sz="0" w:space="0" w:color="auto"/>
                            <w:right w:val="none" w:sz="0" w:space="0" w:color="auto"/>
                          </w:divBdr>
                          <w:divsChild>
                            <w:div w:id="5362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86000">
      <w:bodyDiv w:val="1"/>
      <w:marLeft w:val="0"/>
      <w:marRight w:val="0"/>
      <w:marTop w:val="0"/>
      <w:marBottom w:val="0"/>
      <w:divBdr>
        <w:top w:val="none" w:sz="0" w:space="0" w:color="auto"/>
        <w:left w:val="none" w:sz="0" w:space="0" w:color="auto"/>
        <w:bottom w:val="none" w:sz="0" w:space="0" w:color="auto"/>
        <w:right w:val="none" w:sz="0" w:space="0" w:color="auto"/>
      </w:divBdr>
    </w:div>
    <w:div w:id="2071034874">
      <w:bodyDiv w:val="1"/>
      <w:marLeft w:val="0"/>
      <w:marRight w:val="0"/>
      <w:marTop w:val="0"/>
      <w:marBottom w:val="0"/>
      <w:divBdr>
        <w:top w:val="none" w:sz="0" w:space="0" w:color="auto"/>
        <w:left w:val="none" w:sz="0" w:space="0" w:color="auto"/>
        <w:bottom w:val="none" w:sz="0" w:space="0" w:color="auto"/>
        <w:right w:val="none" w:sz="0" w:space="0" w:color="auto"/>
      </w:divBdr>
    </w:div>
    <w:div w:id="2083720258">
      <w:bodyDiv w:val="1"/>
      <w:marLeft w:val="0"/>
      <w:marRight w:val="0"/>
      <w:marTop w:val="0"/>
      <w:marBottom w:val="0"/>
      <w:divBdr>
        <w:top w:val="none" w:sz="0" w:space="0" w:color="auto"/>
        <w:left w:val="none" w:sz="0" w:space="0" w:color="auto"/>
        <w:bottom w:val="none" w:sz="0" w:space="0" w:color="auto"/>
        <w:right w:val="none" w:sz="0" w:space="0" w:color="auto"/>
      </w:divBdr>
    </w:div>
    <w:div w:id="2100640460">
      <w:bodyDiv w:val="1"/>
      <w:marLeft w:val="0"/>
      <w:marRight w:val="0"/>
      <w:marTop w:val="0"/>
      <w:marBottom w:val="0"/>
      <w:divBdr>
        <w:top w:val="none" w:sz="0" w:space="0" w:color="auto"/>
        <w:left w:val="none" w:sz="0" w:space="0" w:color="auto"/>
        <w:bottom w:val="none" w:sz="0" w:space="0" w:color="auto"/>
        <w:right w:val="none" w:sz="0" w:space="0" w:color="auto"/>
      </w:divBdr>
    </w:div>
    <w:div w:id="2101483535">
      <w:bodyDiv w:val="1"/>
      <w:marLeft w:val="0"/>
      <w:marRight w:val="0"/>
      <w:marTop w:val="0"/>
      <w:marBottom w:val="0"/>
      <w:divBdr>
        <w:top w:val="none" w:sz="0" w:space="0" w:color="auto"/>
        <w:left w:val="none" w:sz="0" w:space="0" w:color="auto"/>
        <w:bottom w:val="none" w:sz="0" w:space="0" w:color="auto"/>
        <w:right w:val="none" w:sz="0" w:space="0" w:color="auto"/>
      </w:divBdr>
    </w:div>
    <w:div w:id="2107996289">
      <w:bodyDiv w:val="1"/>
      <w:marLeft w:val="0"/>
      <w:marRight w:val="0"/>
      <w:marTop w:val="0"/>
      <w:marBottom w:val="0"/>
      <w:divBdr>
        <w:top w:val="none" w:sz="0" w:space="0" w:color="auto"/>
        <w:left w:val="none" w:sz="0" w:space="0" w:color="auto"/>
        <w:bottom w:val="none" w:sz="0" w:space="0" w:color="auto"/>
        <w:right w:val="none" w:sz="0" w:space="0" w:color="auto"/>
      </w:divBdr>
    </w:div>
    <w:div w:id="2122677124">
      <w:bodyDiv w:val="1"/>
      <w:marLeft w:val="0"/>
      <w:marRight w:val="0"/>
      <w:marTop w:val="0"/>
      <w:marBottom w:val="0"/>
      <w:divBdr>
        <w:top w:val="none" w:sz="0" w:space="0" w:color="auto"/>
        <w:left w:val="none" w:sz="0" w:space="0" w:color="auto"/>
        <w:bottom w:val="none" w:sz="0" w:space="0" w:color="auto"/>
        <w:right w:val="none" w:sz="0" w:space="0" w:color="auto"/>
      </w:divBdr>
    </w:div>
    <w:div w:id="2124768506">
      <w:bodyDiv w:val="1"/>
      <w:marLeft w:val="0"/>
      <w:marRight w:val="0"/>
      <w:marTop w:val="0"/>
      <w:marBottom w:val="0"/>
      <w:divBdr>
        <w:top w:val="none" w:sz="0" w:space="0" w:color="auto"/>
        <w:left w:val="none" w:sz="0" w:space="0" w:color="auto"/>
        <w:bottom w:val="none" w:sz="0" w:space="0" w:color="auto"/>
        <w:right w:val="none" w:sz="0" w:space="0" w:color="auto"/>
      </w:divBdr>
    </w:div>
    <w:div w:id="21285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ms.gov/Medicare/Health-Plans/MedicareAdvtgSpecRateStats/Announcements-and-Documents.html" TargetMode="External"/><Relationship Id="rId18" Type="http://schemas.openxmlformats.org/officeDocument/2006/relationships/hyperlink" Target="https://innovation.cms.gov/initiatives/Pioneer-ACO-Model/" TargetMode="External"/><Relationship Id="rId26" Type="http://schemas.openxmlformats.org/officeDocument/2006/relationships/hyperlink" Target="https://www.cms.gov/Medicare/Health-Plans/MedicareAdvtgSpecRateStats/Announcements-and-Documents.html" TargetMode="External"/><Relationship Id="rId39" Type="http://schemas.openxmlformats.org/officeDocument/2006/relationships/footer" Target="footer3.xml"/><Relationship Id="rId21" Type="http://schemas.openxmlformats.org/officeDocument/2006/relationships/hyperlink" Target="https://www.cms.gov/Medicare/Health-Plans/MedicareAdvtgSpecRateStats/Announcements-and-Documents.html" TargetMode="External"/><Relationship Id="rId34" Type="http://schemas.openxmlformats.org/officeDocument/2006/relationships/header" Target="header5.xml"/><Relationship Id="rId42" Type="http://schemas.openxmlformats.org/officeDocument/2006/relationships/hyperlink" Target="mailto:Lucia.Patrone@cms.hhs.gov" TargetMode="External"/><Relationship Id="rId47" Type="http://schemas.openxmlformats.org/officeDocument/2006/relationships/hyperlink" Target="https://www.cms.gov/Medicare/Prescription-Drug-Coverage/PrescriptionDrugCovContra/PartCDDataValidation.html" TargetMode="External"/><Relationship Id="rId50" Type="http://schemas.openxmlformats.org/officeDocument/2006/relationships/hyperlink" Target="https://go.cms.gov/partcanddstarratings" TargetMode="External"/><Relationship Id="rId55" Type="http://schemas.openxmlformats.org/officeDocument/2006/relationships/hyperlink" Target="https://www.fema.gov/disasters" TargetMode="External"/><Relationship Id="rId63" Type="http://schemas.openxmlformats.org/officeDocument/2006/relationships/hyperlink" Target="https://www.cms.gov/Medicare/Health-Plans/MedicareCostPlans/index.html" TargetMode="External"/><Relationship Id="rId6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6" Type="http://schemas.openxmlformats.org/officeDocument/2006/relationships/header" Target="header11.xml"/><Relationship Id="rId7" Type="http://schemas.openxmlformats.org/officeDocument/2006/relationships/styles" Target="styles.xml"/><Relationship Id="rId7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2" Type="http://schemas.openxmlformats.org/officeDocument/2006/relationships/customXml" Target="../customXml/item2.xml"/><Relationship Id="rId16" Type="http://schemas.openxmlformats.org/officeDocument/2006/relationships/hyperlink" Target="https://www.cms.gov/Medicare/Health-Plans/MedicareAdvtgSpecRateStats/FFS-Data.html" TargetMode="External"/><Relationship Id="rId29" Type="http://schemas.openxmlformats.org/officeDocument/2006/relationships/hyperlink" Target="https://qpp.cms.gov/" TargetMode="External"/><Relationship Id="rId11" Type="http://schemas.openxmlformats.org/officeDocument/2006/relationships/endnotes" Target="endnotes.xml"/><Relationship Id="rId24" Type="http://schemas.openxmlformats.org/officeDocument/2006/relationships/hyperlink" Target="https://www.cms.gov/Medicare/Health-Plans/MedicareAdvtgSpecRateStats/ActuarialBidQuestions.html" TargetMode="External"/><Relationship Id="rId32" Type="http://schemas.openxmlformats.org/officeDocument/2006/relationships/header" Target="header3.xml"/><Relationship Id="rId37" Type="http://schemas.openxmlformats.org/officeDocument/2006/relationships/header" Target="header7.xml"/><Relationship Id="rId40" Type="http://schemas.openxmlformats.org/officeDocument/2006/relationships/header" Target="header8.xml"/><Relationship Id="rId45" Type="http://schemas.openxmlformats.org/officeDocument/2006/relationships/hyperlink" Target="http://go.cms.gov/partcanddstarratings" TargetMode="External"/><Relationship Id="rId53" Type="http://schemas.openxmlformats.org/officeDocument/2006/relationships/hyperlink" Target="http://go.cms.gov/partcanddstarratings" TargetMode="External"/><Relationship Id="rId58" Type="http://schemas.openxmlformats.org/officeDocument/2006/relationships/hyperlink" Target="mailto:hpms@cms.hhs.gov" TargetMode="External"/><Relationship Id="rId66"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74" Type="http://schemas.openxmlformats.org/officeDocument/2006/relationships/header" Target="header10.xm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innovation.cms.gov/initiatives/enhancedmtm/" TargetMode="External"/><Relationship Id="rId10" Type="http://schemas.openxmlformats.org/officeDocument/2006/relationships/footnotes" Target="footnotes.xml"/><Relationship Id="rId19" Type="http://schemas.openxmlformats.org/officeDocument/2006/relationships/hyperlink" Target="https://innovation.cms.gov/initiatives/Next-Generation-ACO-Model/" TargetMode="External"/><Relationship Id="rId31" Type="http://schemas.openxmlformats.org/officeDocument/2006/relationships/header" Target="header2.xml"/><Relationship Id="rId44" Type="http://schemas.openxmlformats.org/officeDocument/2006/relationships/hyperlink" Target="http://go.cms.gov/partcanddstarratings" TargetMode="External"/><Relationship Id="rId52" Type="http://schemas.openxmlformats.org/officeDocument/2006/relationships/hyperlink" Target="http://go.cms.gov/partcanddstarratings" TargetMode="External"/><Relationship Id="rId60" Type="http://schemas.openxmlformats.org/officeDocument/2006/relationships/hyperlink" Target="https://innovation.cms.gov/initiatives/vbid/" TargetMode="External"/><Relationship Id="rId65" Type="http://schemas.openxmlformats.org/officeDocument/2006/relationships/hyperlink" Target="https://www.cms.gov/Medicare-Medicaid-Coordination/Medicare-and-Medicaid-Coordination/Medicare-Medicaid-Coordination-Office/QMB.html" TargetMode="External"/><Relationship Id="rId73" Type="http://schemas.openxmlformats.org/officeDocument/2006/relationships/header" Target="header9.xm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Medicare/Health-Plans/MedicareAdvtgSpecRateStats/Announcements-and-Documents.html" TargetMode="External"/><Relationship Id="rId22" Type="http://schemas.openxmlformats.org/officeDocument/2006/relationships/hyperlink" Target="https://www.cms.gov/Medicare/Coverage/Coverage-with-Evidence-Development/index.html" TargetMode="External"/><Relationship Id="rId27" Type="http://schemas.openxmlformats.org/officeDocument/2006/relationships/hyperlink" Target="http://medpac.gov/docs/default-source/reports/mar17_medpac_ch13.pdf?sfvrsn=0" TargetMode="External"/><Relationship Id="rId30" Type="http://schemas.openxmlformats.org/officeDocument/2006/relationships/header" Target="header1.xml"/><Relationship Id="rId35" Type="http://schemas.openxmlformats.org/officeDocument/2006/relationships/footer" Target="footer1.xml"/><Relationship Id="rId43" Type="http://schemas.openxmlformats.org/officeDocument/2006/relationships/hyperlink" Target="mailto:mmcocapsmodel@cms.hhs.gov" TargetMode="External"/><Relationship Id="rId48" Type="http://schemas.openxmlformats.org/officeDocument/2006/relationships/hyperlink" Target="https://www.cms.gov/Medicare/Prescription-Drug-Coverage/PrescriptionDrugCovContra/PartCDDataValidation.html" TargetMode="External"/><Relationship Id="rId56" Type="http://schemas.openxmlformats.org/officeDocument/2006/relationships/hyperlink" Target="http://www.qualityforum.org/News_And_Resources/Press_Releases/2012/NQF_Endorses_Care_Coordination_Measures.aspx" TargetMode="External"/><Relationship Id="rId64" Type="http://schemas.openxmlformats.org/officeDocument/2006/relationships/hyperlink" Target="mailto:mmcocapsmodel@cms.hhs.gov" TargetMode="External"/><Relationship Id="rId69" Type="http://schemas.openxmlformats.org/officeDocument/2006/relationships/hyperlink" Target="https://www.cms.gov/Medicare-Medicaid-Coordination/Medicare-and-Medicaid-Coordination/Medicare-Medicaid-Coordination-Office/Downloads/Part_D_Cost_Sharing_Guidance.pdf" TargetMode="External"/><Relationship Id="rId77" Type="http://schemas.openxmlformats.org/officeDocument/2006/relationships/header" Target="header12.xml"/><Relationship Id="rId8" Type="http://schemas.openxmlformats.org/officeDocument/2006/relationships/settings" Target="settings.xml"/><Relationship Id="rId51" Type="http://schemas.openxmlformats.org/officeDocument/2006/relationships/hyperlink" Target="http://go.cms.gov/partcanddstarratings" TargetMode="External"/><Relationship Id="rId72" Type="http://schemas.openxmlformats.org/officeDocument/2006/relationships/hyperlink" Target="mailto:mmcocapmodel@cms.hhs.gov" TargetMode="External"/><Relationship Id="rId3" Type="http://schemas.openxmlformats.org/officeDocument/2006/relationships/customXml" Target="../customXml/item3.xml"/><Relationship Id="rId12" Type="http://schemas.openxmlformats.org/officeDocument/2006/relationships/hyperlink" Target="https://www.cms.gov/Medicare/Health-Plans/MedicareAdvtgSpecRateStats/Announcements-and-Documents.html" TargetMode="External"/><Relationship Id="rId17" Type="http://schemas.openxmlformats.org/officeDocument/2006/relationships/hyperlink" Target="https://www.cms.gov/Medicare/Health-Plans/MedicareAdvtgSpecRateStats/Ratebooks-and-Supporting-Data.html" TargetMode="External"/><Relationship Id="rId25" Type="http://schemas.openxmlformats.org/officeDocument/2006/relationships/hyperlink" Target="https://www.regulations.gov/" TargetMode="External"/><Relationship Id="rId33" Type="http://schemas.openxmlformats.org/officeDocument/2006/relationships/header" Target="header4.xml"/><Relationship Id="rId38" Type="http://schemas.openxmlformats.org/officeDocument/2006/relationships/footer" Target="footer2.xml"/><Relationship Id="rId46" Type="http://schemas.openxmlformats.org/officeDocument/2006/relationships/hyperlink" Target="http://www.ncqa.org/HEDISQualityMeasurement/HEDISMeasures.aspx" TargetMode="External"/><Relationship Id="rId59" Type="http://schemas.openxmlformats.org/officeDocument/2006/relationships/hyperlink" Target="https://www.cms.gov/Medicare/Compliance-and-Audits/Part-C-and-Part-D-Compliance-and-Audits/ProgramAudits.html" TargetMode="External"/><Relationship Id="rId67"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20" Type="http://schemas.openxmlformats.org/officeDocument/2006/relationships/hyperlink" Target="https://www.cms.gov/Medicare/Medicare-Fee-for-Service-Payment/sharedsavingsprogram/" TargetMode="External"/><Relationship Id="rId41" Type="http://schemas.openxmlformats.org/officeDocument/2006/relationships/footer" Target="footer4.xml"/><Relationship Id="rId54" Type="http://schemas.openxmlformats.org/officeDocument/2006/relationships/hyperlink" Target="https://www.phe.gov/emergency/news/healthactions/section1135/Pages/default.aspx" TargetMode="External"/><Relationship Id="rId62" Type="http://schemas.openxmlformats.org/officeDocument/2006/relationships/hyperlink" Target="mailto:NewMedicareCardSSNRemoval@cms.hhs.gov" TargetMode="External"/><Relationship Id="rId70"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cms.gov/Medicare/Health-Plans/MedicareAdvtgSpecRateStats/Ratebooks-and-Supporting-Data.html" TargetMode="External"/><Relationship Id="rId23" Type="http://schemas.openxmlformats.org/officeDocument/2006/relationships/hyperlink" Target="https://www.cms.gov/Medicare/Health-Plans/PrivateFeeforServicePlans/NetworkRequirements.html" TargetMode="External"/><Relationship Id="rId28" Type="http://schemas.openxmlformats.org/officeDocument/2006/relationships/hyperlink" Target="http://www.regulations.gov/" TargetMode="External"/><Relationship Id="rId36" Type="http://schemas.openxmlformats.org/officeDocument/2006/relationships/header" Target="header6.xml"/><Relationship Id="rId49" Type="http://schemas.openxmlformats.org/officeDocument/2006/relationships/hyperlink" Target="http://go.cms.gov/partcanddstarratings" TargetMode="External"/><Relationship Id="rId57" Type="http://schemas.openxmlformats.org/officeDocument/2006/relationships/hyperlink" Target="http://www.qualityforum.org/News_And_Resources/Press_Releases/2012/NQF_Endorses_Care_Coordination_Measures.asp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spe.hhs.gov/pdf-report/report-congress-social-risk-factors-and-performance-under-medicares-value-based-purchasing-programs" TargetMode="External"/><Relationship Id="rId13" Type="http://schemas.openxmlformats.org/officeDocument/2006/relationships/hyperlink" Target="https://www.whitehouse.gov/presidential-actions/presidential-memorandum-heads-executive-departments-agencies/" TargetMode="External"/><Relationship Id="rId18" Type="http://schemas.openxmlformats.org/officeDocument/2006/relationships/hyperlink" Target="http://drugtopics.modernmedicine.com/drug-topics/news/express-scripts-limits-opioid-prescriptions" TargetMode="External"/><Relationship Id="rId3" Type="http://schemas.openxmlformats.org/officeDocument/2006/relationships/hyperlink" Target="https://www.cms.gov/Medicare/Prescription-Drug-Coverage/PrescriptionDrugCovGenIn/Downloads/Industry-wide-Timeliness-Monitoring.pdf" TargetMode="External"/><Relationship Id="rId7" Type="http://schemas.openxmlformats.org/officeDocument/2006/relationships/hyperlink" Target="http://www.ncqa.org/hedis-quality-measurement/research/hedis-and-the-impact-act" TargetMode="External"/><Relationship Id="rId12" Type="http://schemas.openxmlformats.org/officeDocument/2006/relationships/hyperlink" Target="https://www.cms.gov/Medicare/Prescription-Drug-Coverage/PrescriptionDrugCovContra/RxUtilization.html" TargetMode="External"/><Relationship Id="rId17" Type="http://schemas.openxmlformats.org/officeDocument/2006/relationships/hyperlink" Target="https://cvshealth.com/thought-leadership/fighting-opioid-abuse-our-pbms-approach" TargetMode="External"/><Relationship Id="rId2" Type="http://schemas.openxmlformats.org/officeDocument/2006/relationships/hyperlink" Target="https://www.cms.gov/Medicare/Prescription-Drug-Coverage/PrescriptionDrugCovGenIn/Downloads/Preview-2018-Star-Ratings-Data.pdf" TargetMode="External"/><Relationship Id="rId16" Type="http://schemas.openxmlformats.org/officeDocument/2006/relationships/hyperlink" Target="http://www.astho.org/StatePublicHealth/A-Look-at-State-Legislation-Limiting-Opioid-Prescriptions/2-23-17/" TargetMode="External"/><Relationship Id="rId20" Type="http://schemas.openxmlformats.org/officeDocument/2006/relationships/hyperlink" Target="https://www.fda.gov/NewsEvents/Newsroom/PressAnnouncements/ucm518697.htm" TargetMode="External"/><Relationship Id="rId1" Type="http://schemas.openxmlformats.org/officeDocument/2006/relationships/hyperlink" Target="https://innovation.cms.gov/Files/reports/rtc-2016.pdf" TargetMode="External"/><Relationship Id="rId6" Type="http://schemas.openxmlformats.org/officeDocument/2006/relationships/hyperlink" Target="http://files.constantcontact.com/e9a15233201/96107f74-f6df-46f9-91e9-4a79d7e1bf0a.pdf?ver=1515729061000" TargetMode="External"/><Relationship Id="rId11" Type="http://schemas.openxmlformats.org/officeDocument/2006/relationships/hyperlink" Target="http://dx.doi.org/10.15585/mmwr.ss6611a1" TargetMode="External"/><Relationship Id="rId5" Type="http://schemas.openxmlformats.org/officeDocument/2006/relationships/hyperlink" Target="http://www.qualityforum.org/Publications/2017/07/Social_Risk_Trial_Final_Report.aspx" TargetMode="External"/><Relationship Id="rId15" Type="http://schemas.openxmlformats.org/officeDocument/2006/relationships/hyperlink" Target="https://www.hhs.gov/about/news/2017/10/26/hhs-acting-secretary-declares-public-health-emergency-address-national-opioid-crisis.html" TargetMode="External"/><Relationship Id="rId10" Type="http://schemas.openxmlformats.org/officeDocument/2006/relationships/hyperlink" Target="https://www.cdc.gov/drugoverdose/prescribing/guideline.html" TargetMode="External"/><Relationship Id="rId19" Type="http://schemas.openxmlformats.org/officeDocument/2006/relationships/hyperlink" Target="https://www.cms.gov/Medicare/Health-Plans/MedicareAdvtgSpecRateStats/Downloads/Announcement2018.pdf" TargetMode="External"/><Relationship Id="rId4" Type="http://schemas.openxmlformats.org/officeDocument/2006/relationships/hyperlink" Target="https://www.cms.gov/Medicare/Prescription-Drug-Coverage/PrescriptionDrugCovGenIn/Downloads/Industry-wide-Appeals-Timeliness-Monitoring-Memo-November-28-2016.pdf" TargetMode="External"/><Relationship Id="rId9" Type="http://schemas.openxmlformats.org/officeDocument/2006/relationships/hyperlink" Target="https://aspe.hhs.gov/pdf-report/report-congress-social-risk-factors-and-performance-under-medicares-value-based-purchasing-programs" TargetMode="External"/><Relationship Id="rId14" Type="http://schemas.openxmlformats.org/officeDocument/2006/relationships/hyperlink" Target="https://www.whitehouse.gov/briefings-statements/president-donald-j-trump-taking-action-drug-addiction-opioid-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F9957D8D15A84FAB2BAE6CD0B2161B" ma:contentTypeVersion="" ma:contentTypeDescription="Create a new document." ma:contentTypeScope="" ma:versionID="990c28e8f08dc8a39836cc0cd2f90355">
  <xsd:schema xmlns:xsd="http://www.w3.org/2001/XMLSchema" xmlns:xs="http://www.w3.org/2001/XMLSchema" xmlns:p="http://schemas.microsoft.com/office/2006/metadata/properties" xmlns:ns2="721993b8-963c-40f8-bb77-721e51881077" targetNamespace="http://schemas.microsoft.com/office/2006/metadata/properties" ma:root="true" ma:fieldsID="0e9d664205eeb1cae83552b9c79e6fe7" ns2:_="">
    <xsd:import namespace="721993b8-963c-40f8-bb77-721e5188107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993b8-963c-40f8-bb77-721e518810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14117-49FA-4EDD-BC17-03D9A78ECE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F8B86B-0CCE-4149-9CCC-7C9B4E25E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993b8-963c-40f8-bb77-721e51881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EB45EB-AC19-420B-B10D-E5125E88E087}">
  <ds:schemaRefs>
    <ds:schemaRef ds:uri="http://schemas.microsoft.com/sharepoint/v3/contenttype/forms"/>
  </ds:schemaRefs>
</ds:datastoreItem>
</file>

<file path=customXml/itemProps4.xml><?xml version="1.0" encoding="utf-8"?>
<ds:datastoreItem xmlns:ds="http://schemas.openxmlformats.org/officeDocument/2006/customXml" ds:itemID="{3255A7A3-6289-4C88-9B2E-CD41DCF156CB}">
  <ds:schemaRefs>
    <ds:schemaRef ds:uri="http://schemas.microsoft.com/sharepoint/events"/>
  </ds:schemaRefs>
</ds:datastoreItem>
</file>

<file path=customXml/itemProps5.xml><?xml version="1.0" encoding="utf-8"?>
<ds:datastoreItem xmlns:ds="http://schemas.openxmlformats.org/officeDocument/2006/customXml" ds:itemID="{5F6247F1-FAC5-4E00-81B9-5BA38BBB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226</Pages>
  <Words>81247</Words>
  <Characters>463109</Characters>
  <Application>Microsoft Office Word</Application>
  <DocSecurity>0</DocSecurity>
  <Lines>3859</Lines>
  <Paragraphs>1086</Paragraphs>
  <ScaleCrop>false</ScaleCrop>
  <HeadingPairs>
    <vt:vector size="2" baseType="variant">
      <vt:variant>
        <vt:lpstr>Title</vt:lpstr>
      </vt:variant>
      <vt:variant>
        <vt:i4>1</vt:i4>
      </vt:variant>
    </vt:vector>
  </HeadingPairs>
  <TitlesOfParts>
    <vt:vector size="1" baseType="lpstr">
      <vt:lpstr>Advance Notice of Methodological Changes for Calendar Year (CY) 2019 for Medicare Advantage (MA) Capitation Rates, Part C and Part D Payment Policies and 2019 draft Call Letter</vt:lpstr>
    </vt:vector>
  </TitlesOfParts>
  <Company>DHHS</Company>
  <LinksUpToDate>false</LinksUpToDate>
  <CharactersWithSpaces>543270</CharactersWithSpaces>
  <SharedDoc>false</SharedDoc>
  <HLinks>
    <vt:vector size="312" baseType="variant">
      <vt:variant>
        <vt:i4>1245238</vt:i4>
      </vt:variant>
      <vt:variant>
        <vt:i4>299</vt:i4>
      </vt:variant>
      <vt:variant>
        <vt:i4>0</vt:i4>
      </vt:variant>
      <vt:variant>
        <vt:i4>5</vt:i4>
      </vt:variant>
      <vt:variant>
        <vt:lpwstr/>
      </vt:variant>
      <vt:variant>
        <vt:lpwstr>_Toc340662349</vt:lpwstr>
      </vt:variant>
      <vt:variant>
        <vt:i4>1245238</vt:i4>
      </vt:variant>
      <vt:variant>
        <vt:i4>296</vt:i4>
      </vt:variant>
      <vt:variant>
        <vt:i4>0</vt:i4>
      </vt:variant>
      <vt:variant>
        <vt:i4>5</vt:i4>
      </vt:variant>
      <vt:variant>
        <vt:lpwstr/>
      </vt:variant>
      <vt:variant>
        <vt:lpwstr>_Toc340662348</vt:lpwstr>
      </vt:variant>
      <vt:variant>
        <vt:i4>1245238</vt:i4>
      </vt:variant>
      <vt:variant>
        <vt:i4>293</vt:i4>
      </vt:variant>
      <vt:variant>
        <vt:i4>0</vt:i4>
      </vt:variant>
      <vt:variant>
        <vt:i4>5</vt:i4>
      </vt:variant>
      <vt:variant>
        <vt:lpwstr/>
      </vt:variant>
      <vt:variant>
        <vt:lpwstr>_Toc340662347</vt:lpwstr>
      </vt:variant>
      <vt:variant>
        <vt:i4>1245238</vt:i4>
      </vt:variant>
      <vt:variant>
        <vt:i4>290</vt:i4>
      </vt:variant>
      <vt:variant>
        <vt:i4>0</vt:i4>
      </vt:variant>
      <vt:variant>
        <vt:i4>5</vt:i4>
      </vt:variant>
      <vt:variant>
        <vt:lpwstr/>
      </vt:variant>
      <vt:variant>
        <vt:lpwstr>_Toc340662346</vt:lpwstr>
      </vt:variant>
      <vt:variant>
        <vt:i4>1245238</vt:i4>
      </vt:variant>
      <vt:variant>
        <vt:i4>287</vt:i4>
      </vt:variant>
      <vt:variant>
        <vt:i4>0</vt:i4>
      </vt:variant>
      <vt:variant>
        <vt:i4>5</vt:i4>
      </vt:variant>
      <vt:variant>
        <vt:lpwstr/>
      </vt:variant>
      <vt:variant>
        <vt:lpwstr>_Toc340662345</vt:lpwstr>
      </vt:variant>
      <vt:variant>
        <vt:i4>1245238</vt:i4>
      </vt:variant>
      <vt:variant>
        <vt:i4>284</vt:i4>
      </vt:variant>
      <vt:variant>
        <vt:i4>0</vt:i4>
      </vt:variant>
      <vt:variant>
        <vt:i4>5</vt:i4>
      </vt:variant>
      <vt:variant>
        <vt:lpwstr/>
      </vt:variant>
      <vt:variant>
        <vt:lpwstr>_Toc340662344</vt:lpwstr>
      </vt:variant>
      <vt:variant>
        <vt:i4>1245238</vt:i4>
      </vt:variant>
      <vt:variant>
        <vt:i4>281</vt:i4>
      </vt:variant>
      <vt:variant>
        <vt:i4>0</vt:i4>
      </vt:variant>
      <vt:variant>
        <vt:i4>5</vt:i4>
      </vt:variant>
      <vt:variant>
        <vt:lpwstr/>
      </vt:variant>
      <vt:variant>
        <vt:lpwstr>_Toc340662343</vt:lpwstr>
      </vt:variant>
      <vt:variant>
        <vt:i4>1245238</vt:i4>
      </vt:variant>
      <vt:variant>
        <vt:i4>278</vt:i4>
      </vt:variant>
      <vt:variant>
        <vt:i4>0</vt:i4>
      </vt:variant>
      <vt:variant>
        <vt:i4>5</vt:i4>
      </vt:variant>
      <vt:variant>
        <vt:lpwstr/>
      </vt:variant>
      <vt:variant>
        <vt:lpwstr>_Toc340662342</vt:lpwstr>
      </vt:variant>
      <vt:variant>
        <vt:i4>1245238</vt:i4>
      </vt:variant>
      <vt:variant>
        <vt:i4>275</vt:i4>
      </vt:variant>
      <vt:variant>
        <vt:i4>0</vt:i4>
      </vt:variant>
      <vt:variant>
        <vt:i4>5</vt:i4>
      </vt:variant>
      <vt:variant>
        <vt:lpwstr/>
      </vt:variant>
      <vt:variant>
        <vt:lpwstr>_Toc340662341</vt:lpwstr>
      </vt:variant>
      <vt:variant>
        <vt:i4>5111926</vt:i4>
      </vt:variant>
      <vt:variant>
        <vt:i4>246</vt:i4>
      </vt:variant>
      <vt:variant>
        <vt:i4>0</vt:i4>
      </vt:variant>
      <vt:variant>
        <vt:i4>5</vt:i4>
      </vt:variant>
      <vt:variant>
        <vt:lpwstr/>
      </vt:variant>
      <vt:variant>
        <vt:lpwstr>_Other_Health_Insurance</vt:lpwstr>
      </vt:variant>
      <vt:variant>
        <vt:i4>6881342</vt:i4>
      </vt:variant>
      <vt:variant>
        <vt:i4>243</vt:i4>
      </vt:variant>
      <vt:variant>
        <vt:i4>0</vt:i4>
      </vt:variant>
      <vt:variant>
        <vt:i4>5</vt:i4>
      </vt:variant>
      <vt:variant>
        <vt:lpwstr>http://www.cms.gov/Medicare/Health-Plans/PrivateFeeforServicePlans/NetworkRequirements.html</vt:lpwstr>
      </vt:variant>
      <vt:variant>
        <vt:lpwstr/>
      </vt:variant>
      <vt:variant>
        <vt:i4>7995450</vt:i4>
      </vt:variant>
      <vt:variant>
        <vt:i4>237</vt:i4>
      </vt:variant>
      <vt:variant>
        <vt:i4>0</vt:i4>
      </vt:variant>
      <vt:variant>
        <vt:i4>5</vt:i4>
      </vt:variant>
      <vt:variant>
        <vt:lpwstr>http://www.cms.gov/MedicareAdvtgSpecRateStats/</vt:lpwstr>
      </vt:variant>
      <vt:variant>
        <vt:lpwstr/>
      </vt:variant>
      <vt:variant>
        <vt:i4>7995450</vt:i4>
      </vt:variant>
      <vt:variant>
        <vt:i4>234</vt:i4>
      </vt:variant>
      <vt:variant>
        <vt:i4>0</vt:i4>
      </vt:variant>
      <vt:variant>
        <vt:i4>5</vt:i4>
      </vt:variant>
      <vt:variant>
        <vt:lpwstr>http://www.cms.gov/MedicareAdvtgSpecRateStats/</vt:lpwstr>
      </vt:variant>
      <vt:variant>
        <vt:lpwstr/>
      </vt:variant>
      <vt:variant>
        <vt:i4>2031675</vt:i4>
      </vt:variant>
      <vt:variant>
        <vt:i4>227</vt:i4>
      </vt:variant>
      <vt:variant>
        <vt:i4>0</vt:i4>
      </vt:variant>
      <vt:variant>
        <vt:i4>5</vt:i4>
      </vt:variant>
      <vt:variant>
        <vt:lpwstr/>
      </vt:variant>
      <vt:variant>
        <vt:lpwstr>_Toc345055895</vt:lpwstr>
      </vt:variant>
      <vt:variant>
        <vt:i4>2031675</vt:i4>
      </vt:variant>
      <vt:variant>
        <vt:i4>221</vt:i4>
      </vt:variant>
      <vt:variant>
        <vt:i4>0</vt:i4>
      </vt:variant>
      <vt:variant>
        <vt:i4>5</vt:i4>
      </vt:variant>
      <vt:variant>
        <vt:lpwstr/>
      </vt:variant>
      <vt:variant>
        <vt:lpwstr>_Toc345055894</vt:lpwstr>
      </vt:variant>
      <vt:variant>
        <vt:i4>2031675</vt:i4>
      </vt:variant>
      <vt:variant>
        <vt:i4>215</vt:i4>
      </vt:variant>
      <vt:variant>
        <vt:i4>0</vt:i4>
      </vt:variant>
      <vt:variant>
        <vt:i4>5</vt:i4>
      </vt:variant>
      <vt:variant>
        <vt:lpwstr/>
      </vt:variant>
      <vt:variant>
        <vt:lpwstr>_Toc345055893</vt:lpwstr>
      </vt:variant>
      <vt:variant>
        <vt:i4>2031675</vt:i4>
      </vt:variant>
      <vt:variant>
        <vt:i4>209</vt:i4>
      </vt:variant>
      <vt:variant>
        <vt:i4>0</vt:i4>
      </vt:variant>
      <vt:variant>
        <vt:i4>5</vt:i4>
      </vt:variant>
      <vt:variant>
        <vt:lpwstr/>
      </vt:variant>
      <vt:variant>
        <vt:lpwstr>_Toc345055892</vt:lpwstr>
      </vt:variant>
      <vt:variant>
        <vt:i4>2031675</vt:i4>
      </vt:variant>
      <vt:variant>
        <vt:i4>203</vt:i4>
      </vt:variant>
      <vt:variant>
        <vt:i4>0</vt:i4>
      </vt:variant>
      <vt:variant>
        <vt:i4>5</vt:i4>
      </vt:variant>
      <vt:variant>
        <vt:lpwstr/>
      </vt:variant>
      <vt:variant>
        <vt:lpwstr>_Toc345055891</vt:lpwstr>
      </vt:variant>
      <vt:variant>
        <vt:i4>2031675</vt:i4>
      </vt:variant>
      <vt:variant>
        <vt:i4>197</vt:i4>
      </vt:variant>
      <vt:variant>
        <vt:i4>0</vt:i4>
      </vt:variant>
      <vt:variant>
        <vt:i4>5</vt:i4>
      </vt:variant>
      <vt:variant>
        <vt:lpwstr/>
      </vt:variant>
      <vt:variant>
        <vt:lpwstr>_Toc345055890</vt:lpwstr>
      </vt:variant>
      <vt:variant>
        <vt:i4>1966139</vt:i4>
      </vt:variant>
      <vt:variant>
        <vt:i4>191</vt:i4>
      </vt:variant>
      <vt:variant>
        <vt:i4>0</vt:i4>
      </vt:variant>
      <vt:variant>
        <vt:i4>5</vt:i4>
      </vt:variant>
      <vt:variant>
        <vt:lpwstr/>
      </vt:variant>
      <vt:variant>
        <vt:lpwstr>_Toc345055889</vt:lpwstr>
      </vt:variant>
      <vt:variant>
        <vt:i4>1966139</vt:i4>
      </vt:variant>
      <vt:variant>
        <vt:i4>185</vt:i4>
      </vt:variant>
      <vt:variant>
        <vt:i4>0</vt:i4>
      </vt:variant>
      <vt:variant>
        <vt:i4>5</vt:i4>
      </vt:variant>
      <vt:variant>
        <vt:lpwstr/>
      </vt:variant>
      <vt:variant>
        <vt:lpwstr>_Toc345055888</vt:lpwstr>
      </vt:variant>
      <vt:variant>
        <vt:i4>1966139</vt:i4>
      </vt:variant>
      <vt:variant>
        <vt:i4>179</vt:i4>
      </vt:variant>
      <vt:variant>
        <vt:i4>0</vt:i4>
      </vt:variant>
      <vt:variant>
        <vt:i4>5</vt:i4>
      </vt:variant>
      <vt:variant>
        <vt:lpwstr/>
      </vt:variant>
      <vt:variant>
        <vt:lpwstr>_Toc345055887</vt:lpwstr>
      </vt:variant>
      <vt:variant>
        <vt:i4>1966139</vt:i4>
      </vt:variant>
      <vt:variant>
        <vt:i4>173</vt:i4>
      </vt:variant>
      <vt:variant>
        <vt:i4>0</vt:i4>
      </vt:variant>
      <vt:variant>
        <vt:i4>5</vt:i4>
      </vt:variant>
      <vt:variant>
        <vt:lpwstr/>
      </vt:variant>
      <vt:variant>
        <vt:lpwstr>_Toc345055886</vt:lpwstr>
      </vt:variant>
      <vt:variant>
        <vt:i4>1966139</vt:i4>
      </vt:variant>
      <vt:variant>
        <vt:i4>167</vt:i4>
      </vt:variant>
      <vt:variant>
        <vt:i4>0</vt:i4>
      </vt:variant>
      <vt:variant>
        <vt:i4>5</vt:i4>
      </vt:variant>
      <vt:variant>
        <vt:lpwstr/>
      </vt:variant>
      <vt:variant>
        <vt:lpwstr>_Toc345055885</vt:lpwstr>
      </vt:variant>
      <vt:variant>
        <vt:i4>1966139</vt:i4>
      </vt:variant>
      <vt:variant>
        <vt:i4>161</vt:i4>
      </vt:variant>
      <vt:variant>
        <vt:i4>0</vt:i4>
      </vt:variant>
      <vt:variant>
        <vt:i4>5</vt:i4>
      </vt:variant>
      <vt:variant>
        <vt:lpwstr/>
      </vt:variant>
      <vt:variant>
        <vt:lpwstr>_Toc345055884</vt:lpwstr>
      </vt:variant>
      <vt:variant>
        <vt:i4>1966139</vt:i4>
      </vt:variant>
      <vt:variant>
        <vt:i4>155</vt:i4>
      </vt:variant>
      <vt:variant>
        <vt:i4>0</vt:i4>
      </vt:variant>
      <vt:variant>
        <vt:i4>5</vt:i4>
      </vt:variant>
      <vt:variant>
        <vt:lpwstr/>
      </vt:variant>
      <vt:variant>
        <vt:lpwstr>_Toc345055883</vt:lpwstr>
      </vt:variant>
      <vt:variant>
        <vt:i4>1966139</vt:i4>
      </vt:variant>
      <vt:variant>
        <vt:i4>149</vt:i4>
      </vt:variant>
      <vt:variant>
        <vt:i4>0</vt:i4>
      </vt:variant>
      <vt:variant>
        <vt:i4>5</vt:i4>
      </vt:variant>
      <vt:variant>
        <vt:lpwstr/>
      </vt:variant>
      <vt:variant>
        <vt:lpwstr>_Toc345055882</vt:lpwstr>
      </vt:variant>
      <vt:variant>
        <vt:i4>1966139</vt:i4>
      </vt:variant>
      <vt:variant>
        <vt:i4>143</vt:i4>
      </vt:variant>
      <vt:variant>
        <vt:i4>0</vt:i4>
      </vt:variant>
      <vt:variant>
        <vt:i4>5</vt:i4>
      </vt:variant>
      <vt:variant>
        <vt:lpwstr/>
      </vt:variant>
      <vt:variant>
        <vt:lpwstr>_Toc345055881</vt:lpwstr>
      </vt:variant>
      <vt:variant>
        <vt:i4>1966139</vt:i4>
      </vt:variant>
      <vt:variant>
        <vt:i4>137</vt:i4>
      </vt:variant>
      <vt:variant>
        <vt:i4>0</vt:i4>
      </vt:variant>
      <vt:variant>
        <vt:i4>5</vt:i4>
      </vt:variant>
      <vt:variant>
        <vt:lpwstr/>
      </vt:variant>
      <vt:variant>
        <vt:lpwstr>_Toc345055880</vt:lpwstr>
      </vt:variant>
      <vt:variant>
        <vt:i4>1114171</vt:i4>
      </vt:variant>
      <vt:variant>
        <vt:i4>131</vt:i4>
      </vt:variant>
      <vt:variant>
        <vt:i4>0</vt:i4>
      </vt:variant>
      <vt:variant>
        <vt:i4>5</vt:i4>
      </vt:variant>
      <vt:variant>
        <vt:lpwstr/>
      </vt:variant>
      <vt:variant>
        <vt:lpwstr>_Toc345055879</vt:lpwstr>
      </vt:variant>
      <vt:variant>
        <vt:i4>1114171</vt:i4>
      </vt:variant>
      <vt:variant>
        <vt:i4>125</vt:i4>
      </vt:variant>
      <vt:variant>
        <vt:i4>0</vt:i4>
      </vt:variant>
      <vt:variant>
        <vt:i4>5</vt:i4>
      </vt:variant>
      <vt:variant>
        <vt:lpwstr/>
      </vt:variant>
      <vt:variant>
        <vt:lpwstr>_Toc345055878</vt:lpwstr>
      </vt:variant>
      <vt:variant>
        <vt:i4>1114171</vt:i4>
      </vt:variant>
      <vt:variant>
        <vt:i4>119</vt:i4>
      </vt:variant>
      <vt:variant>
        <vt:i4>0</vt:i4>
      </vt:variant>
      <vt:variant>
        <vt:i4>5</vt:i4>
      </vt:variant>
      <vt:variant>
        <vt:lpwstr/>
      </vt:variant>
      <vt:variant>
        <vt:lpwstr>_Toc345055877</vt:lpwstr>
      </vt:variant>
      <vt:variant>
        <vt:i4>1114171</vt:i4>
      </vt:variant>
      <vt:variant>
        <vt:i4>113</vt:i4>
      </vt:variant>
      <vt:variant>
        <vt:i4>0</vt:i4>
      </vt:variant>
      <vt:variant>
        <vt:i4>5</vt:i4>
      </vt:variant>
      <vt:variant>
        <vt:lpwstr/>
      </vt:variant>
      <vt:variant>
        <vt:lpwstr>_Toc345055876</vt:lpwstr>
      </vt:variant>
      <vt:variant>
        <vt:i4>1114171</vt:i4>
      </vt:variant>
      <vt:variant>
        <vt:i4>107</vt:i4>
      </vt:variant>
      <vt:variant>
        <vt:i4>0</vt:i4>
      </vt:variant>
      <vt:variant>
        <vt:i4>5</vt:i4>
      </vt:variant>
      <vt:variant>
        <vt:lpwstr/>
      </vt:variant>
      <vt:variant>
        <vt:lpwstr>_Toc345055875</vt:lpwstr>
      </vt:variant>
      <vt:variant>
        <vt:i4>1114171</vt:i4>
      </vt:variant>
      <vt:variant>
        <vt:i4>101</vt:i4>
      </vt:variant>
      <vt:variant>
        <vt:i4>0</vt:i4>
      </vt:variant>
      <vt:variant>
        <vt:i4>5</vt:i4>
      </vt:variant>
      <vt:variant>
        <vt:lpwstr/>
      </vt:variant>
      <vt:variant>
        <vt:lpwstr>_Toc345055874</vt:lpwstr>
      </vt:variant>
      <vt:variant>
        <vt:i4>1114171</vt:i4>
      </vt:variant>
      <vt:variant>
        <vt:i4>95</vt:i4>
      </vt:variant>
      <vt:variant>
        <vt:i4>0</vt:i4>
      </vt:variant>
      <vt:variant>
        <vt:i4>5</vt:i4>
      </vt:variant>
      <vt:variant>
        <vt:lpwstr/>
      </vt:variant>
      <vt:variant>
        <vt:lpwstr>_Toc345055873</vt:lpwstr>
      </vt:variant>
      <vt:variant>
        <vt:i4>1114171</vt:i4>
      </vt:variant>
      <vt:variant>
        <vt:i4>89</vt:i4>
      </vt:variant>
      <vt:variant>
        <vt:i4>0</vt:i4>
      </vt:variant>
      <vt:variant>
        <vt:i4>5</vt:i4>
      </vt:variant>
      <vt:variant>
        <vt:lpwstr/>
      </vt:variant>
      <vt:variant>
        <vt:lpwstr>_Toc345055872</vt:lpwstr>
      </vt:variant>
      <vt:variant>
        <vt:i4>1114171</vt:i4>
      </vt:variant>
      <vt:variant>
        <vt:i4>83</vt:i4>
      </vt:variant>
      <vt:variant>
        <vt:i4>0</vt:i4>
      </vt:variant>
      <vt:variant>
        <vt:i4>5</vt:i4>
      </vt:variant>
      <vt:variant>
        <vt:lpwstr/>
      </vt:variant>
      <vt:variant>
        <vt:lpwstr>_Toc345055871</vt:lpwstr>
      </vt:variant>
      <vt:variant>
        <vt:i4>1114171</vt:i4>
      </vt:variant>
      <vt:variant>
        <vt:i4>77</vt:i4>
      </vt:variant>
      <vt:variant>
        <vt:i4>0</vt:i4>
      </vt:variant>
      <vt:variant>
        <vt:i4>5</vt:i4>
      </vt:variant>
      <vt:variant>
        <vt:lpwstr/>
      </vt:variant>
      <vt:variant>
        <vt:lpwstr>_Toc345055870</vt:lpwstr>
      </vt:variant>
      <vt:variant>
        <vt:i4>1048635</vt:i4>
      </vt:variant>
      <vt:variant>
        <vt:i4>71</vt:i4>
      </vt:variant>
      <vt:variant>
        <vt:i4>0</vt:i4>
      </vt:variant>
      <vt:variant>
        <vt:i4>5</vt:i4>
      </vt:variant>
      <vt:variant>
        <vt:lpwstr/>
      </vt:variant>
      <vt:variant>
        <vt:lpwstr>_Toc345055869</vt:lpwstr>
      </vt:variant>
      <vt:variant>
        <vt:i4>1048635</vt:i4>
      </vt:variant>
      <vt:variant>
        <vt:i4>65</vt:i4>
      </vt:variant>
      <vt:variant>
        <vt:i4>0</vt:i4>
      </vt:variant>
      <vt:variant>
        <vt:i4>5</vt:i4>
      </vt:variant>
      <vt:variant>
        <vt:lpwstr/>
      </vt:variant>
      <vt:variant>
        <vt:lpwstr>_Toc345055868</vt:lpwstr>
      </vt:variant>
      <vt:variant>
        <vt:i4>1048635</vt:i4>
      </vt:variant>
      <vt:variant>
        <vt:i4>59</vt:i4>
      </vt:variant>
      <vt:variant>
        <vt:i4>0</vt:i4>
      </vt:variant>
      <vt:variant>
        <vt:i4>5</vt:i4>
      </vt:variant>
      <vt:variant>
        <vt:lpwstr/>
      </vt:variant>
      <vt:variant>
        <vt:lpwstr>_Toc345055867</vt:lpwstr>
      </vt:variant>
      <vt:variant>
        <vt:i4>1048635</vt:i4>
      </vt:variant>
      <vt:variant>
        <vt:i4>53</vt:i4>
      </vt:variant>
      <vt:variant>
        <vt:i4>0</vt:i4>
      </vt:variant>
      <vt:variant>
        <vt:i4>5</vt:i4>
      </vt:variant>
      <vt:variant>
        <vt:lpwstr/>
      </vt:variant>
      <vt:variant>
        <vt:lpwstr>_Toc345055866</vt:lpwstr>
      </vt:variant>
      <vt:variant>
        <vt:i4>1048635</vt:i4>
      </vt:variant>
      <vt:variant>
        <vt:i4>47</vt:i4>
      </vt:variant>
      <vt:variant>
        <vt:i4>0</vt:i4>
      </vt:variant>
      <vt:variant>
        <vt:i4>5</vt:i4>
      </vt:variant>
      <vt:variant>
        <vt:lpwstr/>
      </vt:variant>
      <vt:variant>
        <vt:lpwstr>_Toc345055865</vt:lpwstr>
      </vt:variant>
      <vt:variant>
        <vt:i4>1048635</vt:i4>
      </vt:variant>
      <vt:variant>
        <vt:i4>41</vt:i4>
      </vt:variant>
      <vt:variant>
        <vt:i4>0</vt:i4>
      </vt:variant>
      <vt:variant>
        <vt:i4>5</vt:i4>
      </vt:variant>
      <vt:variant>
        <vt:lpwstr/>
      </vt:variant>
      <vt:variant>
        <vt:lpwstr>_Toc345055864</vt:lpwstr>
      </vt:variant>
      <vt:variant>
        <vt:i4>1048635</vt:i4>
      </vt:variant>
      <vt:variant>
        <vt:i4>35</vt:i4>
      </vt:variant>
      <vt:variant>
        <vt:i4>0</vt:i4>
      </vt:variant>
      <vt:variant>
        <vt:i4>5</vt:i4>
      </vt:variant>
      <vt:variant>
        <vt:lpwstr/>
      </vt:variant>
      <vt:variant>
        <vt:lpwstr>_Toc345055863</vt:lpwstr>
      </vt:variant>
      <vt:variant>
        <vt:i4>1048635</vt:i4>
      </vt:variant>
      <vt:variant>
        <vt:i4>29</vt:i4>
      </vt:variant>
      <vt:variant>
        <vt:i4>0</vt:i4>
      </vt:variant>
      <vt:variant>
        <vt:i4>5</vt:i4>
      </vt:variant>
      <vt:variant>
        <vt:lpwstr/>
      </vt:variant>
      <vt:variant>
        <vt:lpwstr>_Toc345055862</vt:lpwstr>
      </vt:variant>
      <vt:variant>
        <vt:i4>1048635</vt:i4>
      </vt:variant>
      <vt:variant>
        <vt:i4>23</vt:i4>
      </vt:variant>
      <vt:variant>
        <vt:i4>0</vt:i4>
      </vt:variant>
      <vt:variant>
        <vt:i4>5</vt:i4>
      </vt:variant>
      <vt:variant>
        <vt:lpwstr/>
      </vt:variant>
      <vt:variant>
        <vt:lpwstr>_Toc345055861</vt:lpwstr>
      </vt:variant>
      <vt:variant>
        <vt:i4>1048635</vt:i4>
      </vt:variant>
      <vt:variant>
        <vt:i4>17</vt:i4>
      </vt:variant>
      <vt:variant>
        <vt:i4>0</vt:i4>
      </vt:variant>
      <vt:variant>
        <vt:i4>5</vt:i4>
      </vt:variant>
      <vt:variant>
        <vt:lpwstr/>
      </vt:variant>
      <vt:variant>
        <vt:lpwstr>_Toc345055860</vt:lpwstr>
      </vt:variant>
      <vt:variant>
        <vt:i4>1245243</vt:i4>
      </vt:variant>
      <vt:variant>
        <vt:i4>11</vt:i4>
      </vt:variant>
      <vt:variant>
        <vt:i4>0</vt:i4>
      </vt:variant>
      <vt:variant>
        <vt:i4>5</vt:i4>
      </vt:variant>
      <vt:variant>
        <vt:lpwstr/>
      </vt:variant>
      <vt:variant>
        <vt:lpwstr>_Toc345055859</vt:lpwstr>
      </vt:variant>
      <vt:variant>
        <vt:i4>1245243</vt:i4>
      </vt:variant>
      <vt:variant>
        <vt:i4>5</vt:i4>
      </vt:variant>
      <vt:variant>
        <vt:i4>0</vt:i4>
      </vt:variant>
      <vt:variant>
        <vt:i4>5</vt:i4>
      </vt:variant>
      <vt:variant>
        <vt:lpwstr/>
      </vt:variant>
      <vt:variant>
        <vt:lpwstr>_Toc345055858</vt:lpwstr>
      </vt:variant>
      <vt:variant>
        <vt:i4>196732</vt:i4>
      </vt:variant>
      <vt:variant>
        <vt:i4>0</vt:i4>
      </vt:variant>
      <vt:variant>
        <vt:i4>0</vt:i4>
      </vt:variant>
      <vt:variant>
        <vt:i4>5</vt:i4>
      </vt:variant>
      <vt:variant>
        <vt:lpwstr>mailto:AdvanceNotice2014@cms.hhs.gov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Medicare Advantage (MA) Capitation Rates, Part C and Part D Payment Policies and 2019 draft Call Letter</dc:title>
  <dc:subject/>
  <dc:creator>HHS/CMS</dc:creator>
  <cp:keywords/>
  <dc:description/>
  <cp:lastModifiedBy>Arthur Pignotti</cp:lastModifiedBy>
  <cp:revision>6</cp:revision>
  <cp:lastPrinted>2018-02-01T19:20:00Z</cp:lastPrinted>
  <dcterms:created xsi:type="dcterms:W3CDTF">2018-07-22T19:26:00Z</dcterms:created>
  <dcterms:modified xsi:type="dcterms:W3CDTF">2018-09-17T19:45:00Z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0x01010002F9957D8D15A84FAB2BAE6CD0B2161B</vt:lpwstr>
  </property>
  <property fmtid="{D5CDD505-2E9C-101B-9397-08002B2CF9AE}" pid="4" name="_AdHocReviewCycleID">
    <vt:i4>648134878</vt:i4>
  </property>
  <property fmtid="{D5CDD505-2E9C-101B-9397-08002B2CF9AE}" pid="5" name="_EmailSubject">
    <vt:lpwstr>Advance Notice Part II - for OMB </vt:lpwstr>
  </property>
  <property fmtid="{D5CDD505-2E9C-101B-9397-08002B2CF9AE}" pid="6" name="_AuthorEmail">
    <vt:lpwstr>Gregory.Savord@cms.hhs.gov</vt:lpwstr>
  </property>
  <property fmtid="{D5CDD505-2E9C-101B-9397-08002B2CF9AE}" pid="7" name="_AuthorEmailDisplayName">
    <vt:lpwstr>Savord, Gregory J. (CMS/OACT)</vt:lpwstr>
  </property>
  <property fmtid="{D5CDD505-2E9C-101B-9397-08002B2CF9AE}" pid="8" name="_PreviousAdHocReviewCycleID">
    <vt:i4>56760118</vt:i4>
  </property>
  <property fmtid="{D5CDD505-2E9C-101B-9397-08002B2CF9AE}" pid="9" name="_ReviewingToolsShownOnce">
    <vt:lpwstr/>
  </property>
</Properties>
</file>