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632" w:rsidRDefault="00E81632" w:rsidP="00E81632">
      <w:pPr>
        <w:rPr>
          <w:bCs/>
          <w:sz w:val="24"/>
          <w:szCs w:val="24"/>
        </w:rPr>
      </w:pPr>
      <w:r>
        <w:rPr>
          <w:bCs/>
          <w:sz w:val="24"/>
          <w:szCs w:val="24"/>
        </w:rPr>
        <w:t xml:space="preserve">Independence’s comments to CMS’ proposed </w:t>
      </w:r>
      <w:r w:rsidRPr="00E81632">
        <w:rPr>
          <w:bCs/>
          <w:sz w:val="24"/>
          <w:szCs w:val="24"/>
        </w:rPr>
        <w:t>2019 Part C &amp; D Regulation</w:t>
      </w:r>
      <w:r>
        <w:rPr>
          <w:bCs/>
          <w:sz w:val="24"/>
          <w:szCs w:val="24"/>
        </w:rPr>
        <w:t xml:space="preserve"> are listed below. Thank you for your time and consideration.</w:t>
      </w:r>
    </w:p>
    <w:p w:rsidR="00E81632" w:rsidRDefault="00E81632" w:rsidP="00E81632">
      <w:pPr>
        <w:rPr>
          <w:bCs/>
          <w:sz w:val="24"/>
          <w:szCs w:val="24"/>
        </w:rPr>
      </w:pPr>
    </w:p>
    <w:p w:rsidR="00E81632" w:rsidRPr="00E81632" w:rsidRDefault="00E81632" w:rsidP="00E81632">
      <w:pPr>
        <w:rPr>
          <w:b/>
          <w:bCs/>
          <w:sz w:val="28"/>
          <w:szCs w:val="28"/>
        </w:rPr>
      </w:pPr>
      <w:r w:rsidRPr="00E81632">
        <w:rPr>
          <w:b/>
          <w:bCs/>
          <w:sz w:val="28"/>
          <w:szCs w:val="28"/>
        </w:rPr>
        <w:t xml:space="preserve">COMMENTS: </w:t>
      </w:r>
    </w:p>
    <w:p w:rsidR="00E81632" w:rsidRDefault="00E81632" w:rsidP="00E81632">
      <w:pPr>
        <w:rPr>
          <w:b/>
          <w:bCs/>
          <w:sz w:val="24"/>
          <w:szCs w:val="24"/>
          <w:u w:val="single"/>
        </w:rPr>
      </w:pPr>
    </w:p>
    <w:p w:rsidR="00E81632" w:rsidRDefault="00E81632" w:rsidP="00E81632">
      <w:pPr>
        <w:rPr>
          <w:b/>
          <w:bCs/>
          <w:sz w:val="24"/>
          <w:szCs w:val="24"/>
          <w:u w:val="single"/>
        </w:rPr>
      </w:pPr>
      <w:r>
        <w:rPr>
          <w:b/>
          <w:bCs/>
          <w:sz w:val="24"/>
          <w:szCs w:val="24"/>
          <w:u w:val="single"/>
        </w:rPr>
        <w:t>Star Ratings</w:t>
      </w:r>
    </w:p>
    <w:p w:rsidR="00E81632" w:rsidRDefault="00E81632" w:rsidP="00E81632">
      <w:pPr>
        <w:rPr>
          <w:b/>
          <w:bCs/>
          <w:u w:val="single"/>
        </w:rPr>
      </w:pPr>
    </w:p>
    <w:p w:rsidR="00E81632" w:rsidRDefault="00E81632" w:rsidP="00E81632">
      <w:pPr>
        <w:rPr>
          <w:b/>
          <w:bCs/>
        </w:rPr>
      </w:pPr>
      <w:r>
        <w:rPr>
          <w:b/>
          <w:bCs/>
        </w:rPr>
        <w:t>Weighting of Star Ratings Measures</w:t>
      </w:r>
    </w:p>
    <w:p w:rsidR="00E81632" w:rsidRDefault="00E81632" w:rsidP="00E81632">
      <w:pPr>
        <w:numPr>
          <w:ilvl w:val="0"/>
          <w:numId w:val="1"/>
        </w:numPr>
        <w:rPr>
          <w:rFonts w:eastAsia="Times New Roman"/>
          <w:b/>
          <w:bCs/>
        </w:rPr>
      </w:pPr>
      <w:r>
        <w:rPr>
          <w:rFonts w:eastAsia="Times New Roman"/>
        </w:rPr>
        <w:t>Issue: Inclusion and weighting of patient-reported measures</w:t>
      </w:r>
      <w:r>
        <w:rPr>
          <w:rFonts w:eastAsia="Times New Roman"/>
          <w:b/>
          <w:bCs/>
        </w:rPr>
        <w:t>.</w:t>
      </w:r>
    </w:p>
    <w:p w:rsidR="00E81632" w:rsidRDefault="00E81632" w:rsidP="00E81632">
      <w:pPr>
        <w:numPr>
          <w:ilvl w:val="1"/>
          <w:numId w:val="1"/>
        </w:numPr>
        <w:rPr>
          <w:rFonts w:eastAsia="Times New Roman"/>
          <w:b/>
          <w:bCs/>
        </w:rPr>
      </w:pPr>
      <w:r>
        <w:rPr>
          <w:rFonts w:eastAsia="Times New Roman"/>
          <w:b/>
          <w:bCs/>
        </w:rPr>
        <w:t xml:space="preserve">IBC opposes CMS’s proposed change to make patient experience measures become triple weighted. </w:t>
      </w:r>
      <w:r>
        <w:rPr>
          <w:rFonts w:eastAsia="Times New Roman"/>
        </w:rPr>
        <w:t>If anything, the patient experience measures should be moved to a weight of 1 instead of 1.5. Relatedly, no survey measures should be triple weighted, as scores can be skewed depending on the sample. IBC proposes reduction of the HOS triple weighted measures and recommends no patient reported measure be higher than a 1.5 weight. Patient reported data is not as reliable as claims, PDE, or chart data.</w:t>
      </w:r>
    </w:p>
    <w:p w:rsidR="00E81632" w:rsidRDefault="00E81632" w:rsidP="00E81632">
      <w:pPr>
        <w:numPr>
          <w:ilvl w:val="0"/>
          <w:numId w:val="1"/>
        </w:numPr>
        <w:rPr>
          <w:rFonts w:eastAsia="Times New Roman"/>
        </w:rPr>
      </w:pPr>
      <w:r>
        <w:rPr>
          <w:rFonts w:eastAsia="Times New Roman"/>
        </w:rPr>
        <w:t>Issue: Access measures should not be triple weighted.</w:t>
      </w:r>
    </w:p>
    <w:p w:rsidR="00E81632" w:rsidRDefault="00E81632" w:rsidP="00E81632">
      <w:pPr>
        <w:numPr>
          <w:ilvl w:val="1"/>
          <w:numId w:val="1"/>
        </w:numPr>
        <w:rPr>
          <w:rFonts w:eastAsia="Times New Roman"/>
          <w:b/>
          <w:bCs/>
        </w:rPr>
      </w:pPr>
      <w:r>
        <w:rPr>
          <w:rFonts w:eastAsia="Times New Roman"/>
          <w:b/>
          <w:bCs/>
        </w:rPr>
        <w:t>IBC is in favor of keeping access measures at a weight of 1.5.</w:t>
      </w:r>
    </w:p>
    <w:p w:rsidR="00E81632" w:rsidRDefault="00E81632" w:rsidP="00E81632">
      <w:pPr>
        <w:numPr>
          <w:ilvl w:val="0"/>
          <w:numId w:val="1"/>
        </w:numPr>
        <w:rPr>
          <w:rFonts w:eastAsia="Times New Roman"/>
        </w:rPr>
      </w:pPr>
      <w:r>
        <w:rPr>
          <w:rFonts w:eastAsia="Times New Roman"/>
        </w:rPr>
        <w:t>Issue: On the AHIP call, one pan proposed membership weighted clustering for determining cut point thresholds.</w:t>
      </w:r>
    </w:p>
    <w:p w:rsidR="00E81632" w:rsidRDefault="00E81632" w:rsidP="00E81632">
      <w:pPr>
        <w:numPr>
          <w:ilvl w:val="1"/>
          <w:numId w:val="1"/>
        </w:numPr>
        <w:rPr>
          <w:rFonts w:eastAsia="Times New Roman"/>
          <w:b/>
          <w:bCs/>
        </w:rPr>
      </w:pPr>
      <w:r>
        <w:rPr>
          <w:rFonts w:eastAsia="Times New Roman"/>
          <w:b/>
          <w:bCs/>
        </w:rPr>
        <w:t>IBC opposes this. It would give an unfair advantage to larger national plans who want to blame their poor performance on their membership sizes.</w:t>
      </w:r>
    </w:p>
    <w:p w:rsidR="00E81632" w:rsidRDefault="00E81632" w:rsidP="00E81632">
      <w:pPr>
        <w:rPr>
          <w:b/>
          <w:bCs/>
        </w:rPr>
      </w:pPr>
    </w:p>
    <w:p w:rsidR="00E81632" w:rsidRDefault="00E81632" w:rsidP="00E81632">
      <w:pPr>
        <w:rPr>
          <w:b/>
          <w:bCs/>
        </w:rPr>
      </w:pPr>
      <w:r>
        <w:rPr>
          <w:b/>
          <w:bCs/>
        </w:rPr>
        <w:t>Contract Consolidation Policy</w:t>
      </w:r>
    </w:p>
    <w:p w:rsidR="00E81632" w:rsidRDefault="00E81632" w:rsidP="00E81632">
      <w:pPr>
        <w:numPr>
          <w:ilvl w:val="0"/>
          <w:numId w:val="2"/>
        </w:numPr>
        <w:rPr>
          <w:rFonts w:eastAsia="Times New Roman"/>
        </w:rPr>
      </w:pPr>
      <w:r>
        <w:rPr>
          <w:rFonts w:eastAsia="Times New Roman"/>
        </w:rPr>
        <w:t>Issue: Rules around weighted Star Ratings for contracts that consolidate</w:t>
      </w:r>
    </w:p>
    <w:p w:rsidR="00E81632" w:rsidRDefault="00E81632" w:rsidP="00E81632">
      <w:pPr>
        <w:numPr>
          <w:ilvl w:val="1"/>
          <w:numId w:val="2"/>
        </w:numPr>
        <w:rPr>
          <w:rFonts w:eastAsia="Times New Roman"/>
          <w:b/>
          <w:bCs/>
        </w:rPr>
      </w:pPr>
      <w:r>
        <w:rPr>
          <w:rFonts w:eastAsia="Times New Roman"/>
          <w:b/>
          <w:bCs/>
        </w:rPr>
        <w:t xml:space="preserve">IBC fully supports CMS’s proposed policy on contract consolidation – national contracts have had an unfair advantage of being able to consolidate their products to create the illusion of higher Star ratings. </w:t>
      </w:r>
    </w:p>
    <w:p w:rsidR="00E81632" w:rsidRDefault="00E81632" w:rsidP="00E81632">
      <w:pPr>
        <w:numPr>
          <w:ilvl w:val="2"/>
          <w:numId w:val="2"/>
        </w:numPr>
        <w:rPr>
          <w:rFonts w:eastAsia="Times New Roman"/>
        </w:rPr>
      </w:pPr>
      <w:r>
        <w:rPr>
          <w:rFonts w:eastAsia="Times New Roman"/>
        </w:rPr>
        <w:t>Unfair bonus implications</w:t>
      </w:r>
    </w:p>
    <w:p w:rsidR="00E81632" w:rsidRDefault="00E81632" w:rsidP="00E81632">
      <w:pPr>
        <w:numPr>
          <w:ilvl w:val="2"/>
          <w:numId w:val="2"/>
        </w:numPr>
        <w:rPr>
          <w:rFonts w:eastAsia="Times New Roman"/>
        </w:rPr>
      </w:pPr>
      <w:r>
        <w:rPr>
          <w:rFonts w:eastAsia="Times New Roman"/>
        </w:rPr>
        <w:t>Star rating and payment need to be reflective of membership at the time of the rating.</w:t>
      </w:r>
    </w:p>
    <w:p w:rsidR="00E81632" w:rsidRDefault="00E81632" w:rsidP="00E81632">
      <w:pPr>
        <w:rPr>
          <w:b/>
          <w:bCs/>
        </w:rPr>
      </w:pPr>
    </w:p>
    <w:p w:rsidR="00E81632" w:rsidRDefault="00E81632" w:rsidP="00E81632">
      <w:pPr>
        <w:rPr>
          <w:b/>
          <w:bCs/>
        </w:rPr>
      </w:pPr>
      <w:r>
        <w:rPr>
          <w:b/>
          <w:bCs/>
        </w:rPr>
        <w:t>Changes to Part C Measures - BAPP</w:t>
      </w:r>
    </w:p>
    <w:p w:rsidR="00E81632" w:rsidRDefault="00E81632" w:rsidP="00E81632">
      <w:pPr>
        <w:numPr>
          <w:ilvl w:val="0"/>
          <w:numId w:val="2"/>
        </w:numPr>
        <w:rPr>
          <w:rFonts w:eastAsia="Times New Roman"/>
          <w:u w:val="single"/>
        </w:rPr>
      </w:pPr>
      <w:r>
        <w:rPr>
          <w:rFonts w:eastAsia="Times New Roman"/>
        </w:rPr>
        <w:t>Issue: The Beneficiary Access and Performance Problems is being changed.</w:t>
      </w:r>
    </w:p>
    <w:p w:rsidR="00E81632" w:rsidRDefault="00E81632" w:rsidP="00E81632">
      <w:pPr>
        <w:numPr>
          <w:ilvl w:val="1"/>
          <w:numId w:val="2"/>
        </w:numPr>
        <w:rPr>
          <w:rFonts w:eastAsia="Times New Roman"/>
          <w:b/>
          <w:bCs/>
        </w:rPr>
      </w:pPr>
      <w:r>
        <w:rPr>
          <w:rFonts w:eastAsia="Times New Roman"/>
          <w:b/>
          <w:bCs/>
        </w:rPr>
        <w:t xml:space="preserve">IBC agrees that the new version of the Beneficiary Access measure </w:t>
      </w:r>
      <w:r>
        <w:rPr>
          <w:rFonts w:eastAsia="Times New Roman"/>
          <w:b/>
          <w:bCs/>
          <w:u w:val="single"/>
        </w:rPr>
        <w:t>should stay on display for the two full years, per updated guidance</w:t>
      </w:r>
      <w:r>
        <w:rPr>
          <w:rFonts w:eastAsia="Times New Roman"/>
          <w:b/>
          <w:bCs/>
        </w:rPr>
        <w:t>, before being added to the Star Ratings. The old Beneficiary Access measure should remain in Star Ratings until the new one can come off display.</w:t>
      </w:r>
    </w:p>
    <w:p w:rsidR="00E81632" w:rsidRDefault="00E81632" w:rsidP="00E81632">
      <w:pPr>
        <w:ind w:left="1440"/>
      </w:pPr>
    </w:p>
    <w:p w:rsidR="00E81632" w:rsidRDefault="00E81632" w:rsidP="00E81632">
      <w:pPr>
        <w:rPr>
          <w:b/>
          <w:bCs/>
        </w:rPr>
      </w:pPr>
      <w:r>
        <w:rPr>
          <w:b/>
          <w:bCs/>
        </w:rPr>
        <w:t>Exemption for Plans Affected by Hurricanes</w:t>
      </w:r>
    </w:p>
    <w:p w:rsidR="00E81632" w:rsidRDefault="00E81632" w:rsidP="00E81632">
      <w:pPr>
        <w:numPr>
          <w:ilvl w:val="0"/>
          <w:numId w:val="2"/>
        </w:numPr>
        <w:rPr>
          <w:rFonts w:eastAsia="Times New Roman"/>
        </w:rPr>
      </w:pPr>
      <w:r>
        <w:rPr>
          <w:rFonts w:eastAsia="Times New Roman"/>
        </w:rPr>
        <w:t>Issue: Plans affected by wildfires, hurricanes, and other natural disasters will not be required to have a CAHPS survey or a HOS survey.</w:t>
      </w:r>
    </w:p>
    <w:p w:rsidR="00E81632" w:rsidRDefault="00E81632" w:rsidP="00E81632">
      <w:pPr>
        <w:numPr>
          <w:ilvl w:val="1"/>
          <w:numId w:val="2"/>
        </w:numPr>
        <w:rPr>
          <w:rFonts w:eastAsia="Times New Roman"/>
          <w:b/>
          <w:bCs/>
        </w:rPr>
      </w:pPr>
      <w:r>
        <w:rPr>
          <w:rFonts w:eastAsia="Times New Roman"/>
          <w:b/>
          <w:bCs/>
        </w:rPr>
        <w:t>IBC would like more information on how the quality bonus payments will be calculated fairly with plans excluded from the measurements.</w:t>
      </w:r>
    </w:p>
    <w:p w:rsidR="00E81632" w:rsidRDefault="00E81632" w:rsidP="00E81632">
      <w:pPr>
        <w:rPr>
          <w:b/>
          <w:bCs/>
          <w:u w:val="single"/>
        </w:rPr>
      </w:pPr>
    </w:p>
    <w:p w:rsidR="00E81632" w:rsidRDefault="00E81632" w:rsidP="00E81632">
      <w:pPr>
        <w:rPr>
          <w:b/>
          <w:bCs/>
        </w:rPr>
      </w:pPr>
      <w:r>
        <w:rPr>
          <w:b/>
          <w:bCs/>
        </w:rPr>
        <w:t>Categorical Adjustment Index</w:t>
      </w:r>
    </w:p>
    <w:p w:rsidR="00E81632" w:rsidRDefault="00E81632" w:rsidP="00E81632">
      <w:pPr>
        <w:numPr>
          <w:ilvl w:val="0"/>
          <w:numId w:val="2"/>
        </w:numPr>
        <w:rPr>
          <w:rFonts w:eastAsia="Times New Roman"/>
          <w:b/>
          <w:bCs/>
        </w:rPr>
      </w:pPr>
      <w:r>
        <w:rPr>
          <w:rFonts w:eastAsia="Times New Roman"/>
          <w:b/>
          <w:bCs/>
        </w:rPr>
        <w:t>IBC would propose changing the CAI Calculation to hold harmless plans with Limited LIS/dual populations.</w:t>
      </w:r>
    </w:p>
    <w:p w:rsidR="00E81632" w:rsidRDefault="00E81632" w:rsidP="00E81632"/>
    <w:p w:rsidR="00E81632" w:rsidRDefault="00E81632" w:rsidP="00E81632">
      <w:pPr>
        <w:rPr>
          <w:b/>
          <w:bCs/>
        </w:rPr>
      </w:pPr>
      <w:r>
        <w:rPr>
          <w:b/>
          <w:bCs/>
        </w:rPr>
        <w:t xml:space="preserve">Addition of New Measures That Evaluate Quality Based on New Technologies </w:t>
      </w:r>
    </w:p>
    <w:p w:rsidR="00E81632" w:rsidRDefault="00E81632" w:rsidP="00E81632">
      <w:pPr>
        <w:numPr>
          <w:ilvl w:val="0"/>
          <w:numId w:val="2"/>
        </w:numPr>
        <w:rPr>
          <w:rFonts w:eastAsia="Times New Roman"/>
          <w:b/>
          <w:bCs/>
        </w:rPr>
      </w:pPr>
      <w:r>
        <w:rPr>
          <w:rFonts w:eastAsia="Times New Roman"/>
        </w:rPr>
        <w:t>Issue: Use of telemedicine to help close quality gaps.</w:t>
      </w:r>
    </w:p>
    <w:p w:rsidR="00E81632" w:rsidRDefault="00E81632" w:rsidP="00E81632">
      <w:pPr>
        <w:numPr>
          <w:ilvl w:val="1"/>
          <w:numId w:val="2"/>
        </w:numPr>
        <w:rPr>
          <w:rFonts w:eastAsia="Times New Roman"/>
          <w:b/>
          <w:bCs/>
        </w:rPr>
      </w:pPr>
      <w:r>
        <w:rPr>
          <w:rFonts w:eastAsia="Times New Roman"/>
          <w:b/>
          <w:bCs/>
        </w:rPr>
        <w:t>IBC is generally supportive of using telemedicine for this purpose but requests more information about how it would be operationalized.</w:t>
      </w:r>
    </w:p>
    <w:p w:rsidR="00E81632" w:rsidRDefault="00E81632" w:rsidP="00E81632">
      <w:pPr>
        <w:rPr>
          <w:b/>
          <w:bCs/>
        </w:rPr>
      </w:pPr>
    </w:p>
    <w:p w:rsidR="00E81632" w:rsidRDefault="00E81632" w:rsidP="00E81632">
      <w:pPr>
        <w:rPr>
          <w:b/>
          <w:bCs/>
        </w:rPr>
      </w:pPr>
      <w:r>
        <w:rPr>
          <w:b/>
          <w:bCs/>
        </w:rPr>
        <w:t>Regionally Adjusted Rates</w:t>
      </w:r>
    </w:p>
    <w:p w:rsidR="00E81632" w:rsidRDefault="00E81632" w:rsidP="00E81632">
      <w:pPr>
        <w:numPr>
          <w:ilvl w:val="0"/>
          <w:numId w:val="2"/>
        </w:numPr>
        <w:rPr>
          <w:rFonts w:eastAsia="Times New Roman"/>
        </w:rPr>
      </w:pPr>
      <w:r>
        <w:rPr>
          <w:rFonts w:eastAsia="Times New Roman"/>
        </w:rPr>
        <w:t>Issue: IBC requests more information on the methodology behind how the rates would be regionally adjusted, but we are open to the idea.</w:t>
      </w:r>
    </w:p>
    <w:p w:rsidR="00E81632" w:rsidRDefault="00E81632" w:rsidP="00E81632">
      <w:pPr>
        <w:rPr>
          <w:b/>
          <w:bCs/>
          <w:u w:val="single"/>
        </w:rPr>
      </w:pPr>
    </w:p>
    <w:p w:rsidR="00E81632" w:rsidRDefault="00E81632" w:rsidP="00E81632">
      <w:pPr>
        <w:rPr>
          <w:b/>
          <w:bCs/>
        </w:rPr>
      </w:pPr>
      <w:r>
        <w:rPr>
          <w:b/>
          <w:bCs/>
        </w:rPr>
        <w:t>Data Integrity</w:t>
      </w:r>
    </w:p>
    <w:p w:rsidR="00E81632" w:rsidRDefault="00E81632" w:rsidP="00E81632">
      <w:pPr>
        <w:numPr>
          <w:ilvl w:val="0"/>
          <w:numId w:val="2"/>
        </w:numPr>
        <w:rPr>
          <w:rFonts w:eastAsia="Times New Roman"/>
        </w:rPr>
      </w:pPr>
      <w:r>
        <w:rPr>
          <w:rFonts w:eastAsia="Times New Roman"/>
        </w:rPr>
        <w:t>Issue: Scaled reductions for IRE measures</w:t>
      </w:r>
    </w:p>
    <w:p w:rsidR="00E81632" w:rsidRDefault="00E81632" w:rsidP="00E81632">
      <w:pPr>
        <w:numPr>
          <w:ilvl w:val="1"/>
          <w:numId w:val="2"/>
        </w:numPr>
        <w:rPr>
          <w:rFonts w:eastAsia="Times New Roman"/>
          <w:b/>
          <w:bCs/>
        </w:rPr>
      </w:pPr>
      <w:r>
        <w:rPr>
          <w:rFonts w:eastAsia="Times New Roman"/>
          <w:b/>
          <w:bCs/>
        </w:rPr>
        <w:t>IBC supports scaled reductions for all data related measures; reductions should be related to volume of appeals as opposed to size of the plan.</w:t>
      </w:r>
    </w:p>
    <w:p w:rsidR="00E81632" w:rsidRDefault="00E81632" w:rsidP="00E81632">
      <w:pPr>
        <w:numPr>
          <w:ilvl w:val="1"/>
          <w:numId w:val="2"/>
        </w:numPr>
        <w:rPr>
          <w:rFonts w:eastAsia="Times New Roman"/>
        </w:rPr>
      </w:pPr>
      <w:r>
        <w:rPr>
          <w:rFonts w:eastAsia="Times New Roman"/>
        </w:rPr>
        <w:t>We also propose that if an identified data issue did not harm members, plans should be able to resubmit with limited penalty (not dropped to 1 Star).</w:t>
      </w:r>
    </w:p>
    <w:p w:rsidR="00E81632" w:rsidRDefault="00E81632" w:rsidP="00E81632">
      <w:pPr>
        <w:rPr>
          <w:b/>
          <w:bCs/>
        </w:rPr>
      </w:pPr>
    </w:p>
    <w:p w:rsidR="00E81632" w:rsidRDefault="00E81632" w:rsidP="00E81632">
      <w:pPr>
        <w:rPr>
          <w:b/>
          <w:bCs/>
        </w:rPr>
      </w:pPr>
      <w:r>
        <w:rPr>
          <w:b/>
          <w:bCs/>
        </w:rPr>
        <w:t>Process for Est. Cut Points</w:t>
      </w:r>
    </w:p>
    <w:p w:rsidR="00E81632" w:rsidRDefault="00E81632" w:rsidP="00E81632">
      <w:pPr>
        <w:numPr>
          <w:ilvl w:val="0"/>
          <w:numId w:val="2"/>
        </w:numPr>
        <w:rPr>
          <w:rFonts w:eastAsia="Times New Roman"/>
        </w:rPr>
      </w:pPr>
      <w:r>
        <w:rPr>
          <w:rFonts w:eastAsia="Times New Roman"/>
        </w:rPr>
        <w:t>Issue: Rolling three year trending cut points given in advance of the measurement year</w:t>
      </w:r>
    </w:p>
    <w:p w:rsidR="00E81632" w:rsidRDefault="00E81632" w:rsidP="00E81632">
      <w:pPr>
        <w:numPr>
          <w:ilvl w:val="1"/>
          <w:numId w:val="2"/>
        </w:numPr>
        <w:rPr>
          <w:rFonts w:eastAsia="Times New Roman"/>
          <w:b/>
          <w:bCs/>
        </w:rPr>
      </w:pPr>
      <w:r>
        <w:rPr>
          <w:rFonts w:eastAsia="Times New Roman"/>
          <w:b/>
          <w:bCs/>
        </w:rPr>
        <w:t>IBC supports publishing cut points prior to the measurement year; we are also supportive of a three year trend to project measure cut points.</w:t>
      </w:r>
    </w:p>
    <w:p w:rsidR="00E81632" w:rsidRDefault="00E81632" w:rsidP="00E81632"/>
    <w:p w:rsidR="00E81632" w:rsidRDefault="00E81632" w:rsidP="00E81632">
      <w:pPr>
        <w:rPr>
          <w:b/>
          <w:bCs/>
        </w:rPr>
      </w:pPr>
      <w:r>
        <w:rPr>
          <w:b/>
          <w:bCs/>
        </w:rPr>
        <w:t>Plan Preview 2</w:t>
      </w:r>
    </w:p>
    <w:p w:rsidR="00E81632" w:rsidRDefault="00E81632" w:rsidP="00E81632">
      <w:pPr>
        <w:numPr>
          <w:ilvl w:val="0"/>
          <w:numId w:val="2"/>
        </w:numPr>
        <w:rPr>
          <w:rFonts w:eastAsia="Times New Roman"/>
          <w:b/>
          <w:bCs/>
        </w:rPr>
      </w:pPr>
      <w:r>
        <w:rPr>
          <w:rFonts w:eastAsia="Times New Roman"/>
          <w:b/>
          <w:bCs/>
        </w:rPr>
        <w:t>IBC suggests releasing national data during the second plan preview. This will help with data validation efforts as comparison across industries data will help identify trends.</w:t>
      </w:r>
    </w:p>
    <w:p w:rsidR="00E81632" w:rsidRDefault="00E81632" w:rsidP="00E81632"/>
    <w:p w:rsidR="00E81632" w:rsidRDefault="00E81632" w:rsidP="00E81632">
      <w:pPr>
        <w:rPr>
          <w:b/>
          <w:bCs/>
        </w:rPr>
      </w:pPr>
      <w:r>
        <w:rPr>
          <w:b/>
          <w:bCs/>
        </w:rPr>
        <w:t>Changes to Notification Requirements</w:t>
      </w:r>
    </w:p>
    <w:p w:rsidR="00E81632" w:rsidRDefault="00E81632" w:rsidP="00E81632">
      <w:pPr>
        <w:numPr>
          <w:ilvl w:val="0"/>
          <w:numId w:val="2"/>
        </w:numPr>
        <w:rPr>
          <w:rFonts w:eastAsia="Times New Roman"/>
        </w:rPr>
      </w:pPr>
      <w:r>
        <w:rPr>
          <w:rFonts w:eastAsia="Times New Roman"/>
        </w:rPr>
        <w:t>IBC supports the elimination of MA Plan notice for cases sent to IRE.</w:t>
      </w:r>
    </w:p>
    <w:p w:rsidR="00E81632" w:rsidRDefault="00E81632" w:rsidP="00E81632"/>
    <w:p w:rsidR="00E81632" w:rsidRDefault="00E81632" w:rsidP="00E81632">
      <w:pPr>
        <w:rPr>
          <w:b/>
          <w:bCs/>
        </w:rPr>
      </w:pPr>
      <w:r>
        <w:rPr>
          <w:b/>
          <w:bCs/>
        </w:rPr>
        <w:t>Moving Star Ratings Measures</w:t>
      </w:r>
    </w:p>
    <w:p w:rsidR="00E81632" w:rsidRDefault="00E81632" w:rsidP="00E81632">
      <w:pPr>
        <w:numPr>
          <w:ilvl w:val="0"/>
          <w:numId w:val="2"/>
        </w:numPr>
        <w:rPr>
          <w:rFonts w:eastAsia="Times New Roman"/>
        </w:rPr>
      </w:pPr>
      <w:r>
        <w:rPr>
          <w:rFonts w:eastAsia="Times New Roman"/>
        </w:rPr>
        <w:t>IBC supports moving measures to display if they have “substantial changes” to their calculations.</w:t>
      </w:r>
    </w:p>
    <w:p w:rsidR="00E81632" w:rsidRDefault="00E81632" w:rsidP="00E81632"/>
    <w:p w:rsidR="00E81632" w:rsidRDefault="00E81632" w:rsidP="00E81632">
      <w:pPr>
        <w:rPr>
          <w:b/>
          <w:bCs/>
        </w:rPr>
      </w:pPr>
      <w:r>
        <w:rPr>
          <w:b/>
          <w:bCs/>
        </w:rPr>
        <w:t xml:space="preserve">Part D Stars Issues </w:t>
      </w:r>
    </w:p>
    <w:p w:rsidR="00E81632" w:rsidRDefault="00E81632" w:rsidP="00E81632">
      <w:pPr>
        <w:numPr>
          <w:ilvl w:val="0"/>
          <w:numId w:val="2"/>
        </w:numPr>
        <w:rPr>
          <w:rFonts w:eastAsia="Times New Roman"/>
        </w:rPr>
      </w:pPr>
      <w:r>
        <w:rPr>
          <w:rFonts w:eastAsia="Times New Roman"/>
        </w:rPr>
        <w:t xml:space="preserve">Obtain data from drug assistance programs – </w:t>
      </w:r>
      <w:r>
        <w:rPr>
          <w:rFonts w:eastAsia="Times New Roman"/>
          <w:b/>
          <w:bCs/>
        </w:rPr>
        <w:t>IBC suggests CMS make PDEs available for members in drug assistance programs.</w:t>
      </w:r>
      <w:r>
        <w:rPr>
          <w:rFonts w:eastAsia="Times New Roman"/>
        </w:rPr>
        <w:t xml:space="preserve"> </w:t>
      </w:r>
    </w:p>
    <w:p w:rsidR="00E81632" w:rsidRDefault="00E81632" w:rsidP="00E81632">
      <w:pPr>
        <w:numPr>
          <w:ilvl w:val="1"/>
          <w:numId w:val="2"/>
        </w:numPr>
        <w:rPr>
          <w:rFonts w:eastAsia="Times New Roman"/>
        </w:rPr>
      </w:pPr>
      <w:r>
        <w:rPr>
          <w:rFonts w:eastAsia="Times New Roman"/>
        </w:rPr>
        <w:t>Alternatively, we suggest members enrolled in drug assistance program be excluded from measures that require compliance through drug therapies.</w:t>
      </w:r>
    </w:p>
    <w:p w:rsidR="00E81632" w:rsidRDefault="00E81632" w:rsidP="00E81632">
      <w:pPr>
        <w:numPr>
          <w:ilvl w:val="0"/>
          <w:numId w:val="2"/>
        </w:numPr>
        <w:rPr>
          <w:rFonts w:eastAsia="Times New Roman"/>
        </w:rPr>
      </w:pPr>
      <w:r>
        <w:rPr>
          <w:rFonts w:eastAsia="Times New Roman"/>
        </w:rPr>
        <w:t>Exclusions for trial periods for Part D medication</w:t>
      </w:r>
    </w:p>
    <w:p w:rsidR="00E81632" w:rsidRDefault="00E81632" w:rsidP="00E81632">
      <w:pPr>
        <w:numPr>
          <w:ilvl w:val="1"/>
          <w:numId w:val="2"/>
        </w:numPr>
        <w:rPr>
          <w:rFonts w:eastAsia="Times New Roman"/>
          <w:b/>
          <w:bCs/>
        </w:rPr>
      </w:pPr>
      <w:r>
        <w:rPr>
          <w:rFonts w:eastAsia="Times New Roman"/>
          <w:b/>
          <w:bCs/>
        </w:rPr>
        <w:t>IBC suggests implementing exclusions for members who are in trial periods for Part D medications.</w:t>
      </w:r>
    </w:p>
    <w:p w:rsidR="00E81632" w:rsidRDefault="00E81632" w:rsidP="00E81632"/>
    <w:p w:rsidR="00E81632" w:rsidRDefault="00E81632" w:rsidP="00E81632">
      <w:pPr>
        <w:rPr>
          <w:b/>
          <w:bCs/>
        </w:rPr>
      </w:pPr>
      <w:r>
        <w:rPr>
          <w:b/>
          <w:bCs/>
        </w:rPr>
        <w:t>Changes to Specific Measures</w:t>
      </w:r>
    </w:p>
    <w:p w:rsidR="00E81632" w:rsidRDefault="00E81632" w:rsidP="00E81632">
      <w:pPr>
        <w:numPr>
          <w:ilvl w:val="0"/>
          <w:numId w:val="3"/>
        </w:numPr>
        <w:rPr>
          <w:rFonts w:eastAsia="Times New Roman"/>
        </w:rPr>
      </w:pPr>
      <w:r>
        <w:rPr>
          <w:rFonts w:eastAsia="Times New Roman"/>
        </w:rPr>
        <w:t>Issue: Cut points topping out (BMI and CDC-N)</w:t>
      </w:r>
    </w:p>
    <w:p w:rsidR="00E81632" w:rsidRDefault="00E81632" w:rsidP="00E81632">
      <w:pPr>
        <w:numPr>
          <w:ilvl w:val="1"/>
          <w:numId w:val="3"/>
        </w:numPr>
        <w:rPr>
          <w:rFonts w:eastAsia="Times New Roman"/>
          <w:b/>
          <w:bCs/>
        </w:rPr>
      </w:pPr>
      <w:r>
        <w:rPr>
          <w:rFonts w:eastAsia="Times New Roman"/>
          <w:b/>
          <w:bCs/>
        </w:rPr>
        <w:t>Due to the high 5-star threshold, we recommend removing the measures BMI and CDC-N, which are “topped out”.</w:t>
      </w:r>
    </w:p>
    <w:p w:rsidR="00E81632" w:rsidRDefault="00E81632" w:rsidP="00E81632">
      <w:pPr>
        <w:numPr>
          <w:ilvl w:val="0"/>
          <w:numId w:val="3"/>
        </w:numPr>
        <w:rPr>
          <w:rFonts w:eastAsia="Times New Roman"/>
        </w:rPr>
      </w:pPr>
      <w:r>
        <w:rPr>
          <w:rFonts w:eastAsia="Times New Roman"/>
        </w:rPr>
        <w:t>OMW/ART Measures</w:t>
      </w:r>
    </w:p>
    <w:p w:rsidR="00E81632" w:rsidRDefault="00E81632" w:rsidP="00E81632">
      <w:pPr>
        <w:numPr>
          <w:ilvl w:val="1"/>
          <w:numId w:val="3"/>
        </w:numPr>
        <w:rPr>
          <w:rFonts w:eastAsia="Times New Roman"/>
          <w:b/>
          <w:bCs/>
        </w:rPr>
      </w:pPr>
      <w:r>
        <w:rPr>
          <w:rFonts w:eastAsia="Times New Roman"/>
          <w:b/>
          <w:bCs/>
        </w:rPr>
        <w:lastRenderedPageBreak/>
        <w:t>There should be different exclusions because sometimes treatments for compliance are not medically appropriate, e.g., DMARD.</w:t>
      </w:r>
    </w:p>
    <w:p w:rsidR="00E81632" w:rsidRDefault="00E81632" w:rsidP="00E81632">
      <w:pPr>
        <w:numPr>
          <w:ilvl w:val="0"/>
          <w:numId w:val="3"/>
        </w:numPr>
        <w:rPr>
          <w:rFonts w:eastAsia="Times New Roman"/>
        </w:rPr>
      </w:pPr>
      <w:r>
        <w:rPr>
          <w:rFonts w:eastAsia="Times New Roman"/>
        </w:rPr>
        <w:t>ART Measure</w:t>
      </w:r>
    </w:p>
    <w:p w:rsidR="00E81632" w:rsidRDefault="00E81632" w:rsidP="00E81632">
      <w:pPr>
        <w:numPr>
          <w:ilvl w:val="1"/>
          <w:numId w:val="3"/>
        </w:numPr>
        <w:rPr>
          <w:rFonts w:eastAsia="Times New Roman"/>
          <w:b/>
          <w:bCs/>
        </w:rPr>
      </w:pPr>
      <w:r>
        <w:rPr>
          <w:rFonts w:eastAsia="Times New Roman"/>
          <w:b/>
          <w:bCs/>
        </w:rPr>
        <w:t>Evidence of treatment for rheumatoid arthritis not limited to DMARD should be considered for compliance.</w:t>
      </w:r>
    </w:p>
    <w:p w:rsidR="00E81632" w:rsidRDefault="00E81632" w:rsidP="00E81632">
      <w:pPr>
        <w:rPr>
          <w:b/>
          <w:bCs/>
        </w:rPr>
      </w:pPr>
    </w:p>
    <w:p w:rsidR="00E81632" w:rsidRDefault="00E81632" w:rsidP="00E81632">
      <w:pPr>
        <w:rPr>
          <w:b/>
          <w:bCs/>
        </w:rPr>
      </w:pPr>
      <w:r>
        <w:rPr>
          <w:b/>
          <w:bCs/>
        </w:rPr>
        <w:t>Improvement Measures</w:t>
      </w:r>
    </w:p>
    <w:p w:rsidR="00E81632" w:rsidRDefault="00E81632" w:rsidP="00E81632">
      <w:pPr>
        <w:numPr>
          <w:ilvl w:val="0"/>
          <w:numId w:val="4"/>
        </w:numPr>
        <w:rPr>
          <w:rFonts w:eastAsia="Times New Roman"/>
        </w:rPr>
      </w:pPr>
      <w:r>
        <w:rPr>
          <w:rFonts w:eastAsia="Times New Roman"/>
        </w:rPr>
        <w:t>IBC suggests holding 4-star plans harmless with improvement measures, similar to R-Factors.</w:t>
      </w:r>
    </w:p>
    <w:p w:rsidR="00E81632" w:rsidRDefault="00E81632" w:rsidP="00E81632"/>
    <w:p w:rsidR="00E81632" w:rsidRDefault="00E81632" w:rsidP="00E81632"/>
    <w:p w:rsidR="00E81632" w:rsidRDefault="00E81632" w:rsidP="00E81632">
      <w:pPr>
        <w:rPr>
          <w:b/>
          <w:bCs/>
          <w:sz w:val="24"/>
          <w:szCs w:val="24"/>
          <w:u w:val="single"/>
        </w:rPr>
      </w:pPr>
      <w:r>
        <w:rPr>
          <w:b/>
          <w:bCs/>
          <w:sz w:val="24"/>
          <w:szCs w:val="24"/>
          <w:u w:val="single"/>
        </w:rPr>
        <w:t>MA Issues</w:t>
      </w:r>
    </w:p>
    <w:p w:rsidR="00E81632" w:rsidRDefault="00E81632" w:rsidP="00E81632">
      <w:r>
        <w:t>We ask that CMS provide clarification on:</w:t>
      </w:r>
    </w:p>
    <w:p w:rsidR="00E81632" w:rsidRDefault="00E81632" w:rsidP="00E81632"/>
    <w:p w:rsidR="00E81632" w:rsidRDefault="00E81632" w:rsidP="00E81632">
      <w:pPr>
        <w:rPr>
          <w:b/>
          <w:bCs/>
        </w:rPr>
      </w:pPr>
      <w:r>
        <w:rPr>
          <w:b/>
          <w:bCs/>
        </w:rPr>
        <w:t>Flexibility in MA Uniformity Requirements</w:t>
      </w:r>
    </w:p>
    <w:p w:rsidR="00E81632" w:rsidRDefault="00E81632" w:rsidP="00E81632">
      <w:pPr>
        <w:numPr>
          <w:ilvl w:val="0"/>
          <w:numId w:val="5"/>
        </w:numPr>
        <w:rPr>
          <w:rFonts w:eastAsia="Times New Roman"/>
        </w:rPr>
      </w:pPr>
      <w:r>
        <w:rPr>
          <w:rFonts w:eastAsia="Times New Roman"/>
        </w:rPr>
        <w:t>Can we clarify If the plan level deductible could be eliminated (or $0), vs. just reduced?</w:t>
      </w:r>
    </w:p>
    <w:p w:rsidR="00E81632" w:rsidRDefault="00E81632" w:rsidP="00E81632">
      <w:pPr>
        <w:numPr>
          <w:ilvl w:val="0"/>
          <w:numId w:val="5"/>
        </w:numPr>
        <w:rPr>
          <w:rFonts w:eastAsia="Times New Roman"/>
        </w:rPr>
      </w:pPr>
      <w:r>
        <w:rPr>
          <w:rFonts w:eastAsia="Times New Roman"/>
        </w:rPr>
        <w:t xml:space="preserve">Can we clarify if “lower the cost-sharing” means a $0 copay? In the past CMS considered that waiving the copay and it was not allowed. Specific ranges would be appreciated. </w:t>
      </w:r>
    </w:p>
    <w:p w:rsidR="00E81632" w:rsidRDefault="00E81632" w:rsidP="00E81632">
      <w:pPr>
        <w:numPr>
          <w:ilvl w:val="0"/>
          <w:numId w:val="5"/>
        </w:numPr>
        <w:rPr>
          <w:rFonts w:eastAsia="Times New Roman"/>
        </w:rPr>
      </w:pPr>
      <w:r>
        <w:rPr>
          <w:rFonts w:eastAsia="Times New Roman"/>
        </w:rPr>
        <w:t>Is their flexibility to permit this reduced benefit cost-sharing to a subset of network providers as long as all members with the specificed medical conditions receive the same lower cost for using these providers vs. the entire provider network?</w:t>
      </w:r>
    </w:p>
    <w:p w:rsidR="00E81632" w:rsidRDefault="00E81632" w:rsidP="00E81632">
      <w:pPr>
        <w:ind w:left="720"/>
      </w:pPr>
    </w:p>
    <w:p w:rsidR="00E81632" w:rsidRDefault="00E81632" w:rsidP="00E81632">
      <w:pPr>
        <w:rPr>
          <w:b/>
          <w:bCs/>
        </w:rPr>
      </w:pPr>
      <w:r>
        <w:rPr>
          <w:b/>
          <w:bCs/>
        </w:rPr>
        <w:t>Segment Benefits Flexibility</w:t>
      </w:r>
    </w:p>
    <w:p w:rsidR="00E81632" w:rsidRDefault="00E81632" w:rsidP="00E81632">
      <w:pPr>
        <w:numPr>
          <w:ilvl w:val="0"/>
          <w:numId w:val="6"/>
        </w:numPr>
        <w:rPr>
          <w:rFonts w:eastAsia="Times New Roman"/>
        </w:rPr>
      </w:pPr>
      <w:r>
        <w:rPr>
          <w:rFonts w:eastAsia="Times New Roman"/>
        </w:rPr>
        <w:t>Could this segmentation be considered offered to a sub-set of the network providers? Plans are trying to enter into risk arrangements or incentive arrangements for providers that are willing to spend time with our members to help manage their conditions. Plans want to be able to drive members to these provider partners through medical benefits and supplemental benefits. Being able to offer lower cost-sharing to support these arrangements would benefit the members and assist with maintaining costs to the Medicare program.</w:t>
      </w:r>
    </w:p>
    <w:p w:rsidR="00E81632" w:rsidRDefault="00E81632" w:rsidP="00E81632"/>
    <w:p w:rsidR="00E81632" w:rsidRDefault="00E81632" w:rsidP="00E81632">
      <w:pPr>
        <w:rPr>
          <w:b/>
          <w:bCs/>
        </w:rPr>
      </w:pPr>
      <w:r>
        <w:rPr>
          <w:b/>
          <w:bCs/>
        </w:rPr>
        <w:t>Meaningful Difference in MA Bid Submission and Bid Review</w:t>
      </w:r>
    </w:p>
    <w:p w:rsidR="00E81632" w:rsidRDefault="00E81632" w:rsidP="00E81632">
      <w:pPr>
        <w:numPr>
          <w:ilvl w:val="0"/>
          <w:numId w:val="6"/>
        </w:numPr>
        <w:rPr>
          <w:rFonts w:eastAsia="Times New Roman"/>
        </w:rPr>
      </w:pPr>
      <w:r>
        <w:rPr>
          <w:rFonts w:eastAsia="Times New Roman"/>
        </w:rPr>
        <w:t>We thank CMS for this change. If CMS does establish any limits to the number of plans offered, we would ask them to treat full-provider networks separately from more limited network provider network plans.</w:t>
      </w:r>
    </w:p>
    <w:p w:rsidR="00E81632" w:rsidRDefault="00E81632" w:rsidP="00E81632">
      <w:pPr>
        <w:numPr>
          <w:ilvl w:val="0"/>
          <w:numId w:val="6"/>
        </w:numPr>
        <w:rPr>
          <w:rFonts w:eastAsia="Times New Roman"/>
        </w:rPr>
      </w:pPr>
      <w:r>
        <w:rPr>
          <w:rFonts w:eastAsia="Times New Roman"/>
        </w:rPr>
        <w:t>Also, if number of plan limits (offered by each MAO) are imposed, it should be at the parent owner level vs. marketing name level. We have a national plan who is able to offer multiple plans as Company A and multiple plans as Company B. It is several years post-merger and this creates an unfair advantage in the marketplace on the number of offerings.</w:t>
      </w:r>
    </w:p>
    <w:p w:rsidR="00E81632" w:rsidRDefault="00E81632" w:rsidP="00E81632">
      <w:pPr>
        <w:ind w:left="720"/>
      </w:pPr>
    </w:p>
    <w:p w:rsidR="00E81632" w:rsidRDefault="00E81632" w:rsidP="00E81632">
      <w:pPr>
        <w:rPr>
          <w:b/>
          <w:bCs/>
        </w:rPr>
      </w:pPr>
      <w:r>
        <w:rPr>
          <w:b/>
          <w:bCs/>
        </w:rPr>
        <w:t>Reducing Provider Burden</w:t>
      </w:r>
    </w:p>
    <w:p w:rsidR="00E81632" w:rsidRDefault="00E81632" w:rsidP="00E81632">
      <w:pPr>
        <w:numPr>
          <w:ilvl w:val="0"/>
          <w:numId w:val="7"/>
        </w:numPr>
        <w:rPr>
          <w:rFonts w:eastAsia="Times New Roman"/>
          <w:b/>
          <w:bCs/>
          <w:u w:val="single"/>
        </w:rPr>
      </w:pPr>
      <w:r>
        <w:rPr>
          <w:rFonts w:eastAsia="Times New Roman"/>
        </w:rPr>
        <w:t>Suggest that plans should be able to hold provider payment if they don’t respond to requests to update/verify info for the Provider Directory. (This is already done on the FFS side.)</w:t>
      </w:r>
    </w:p>
    <w:p w:rsidR="00E81632" w:rsidRDefault="00E81632" w:rsidP="00E81632">
      <w:pPr>
        <w:rPr>
          <w:b/>
          <w:bCs/>
          <w:u w:val="single"/>
        </w:rPr>
      </w:pPr>
    </w:p>
    <w:p w:rsidR="00E81632" w:rsidRDefault="00E81632" w:rsidP="00E81632">
      <w:pPr>
        <w:rPr>
          <w:b/>
          <w:bCs/>
        </w:rPr>
      </w:pPr>
      <w:r>
        <w:rPr>
          <w:b/>
          <w:bCs/>
        </w:rPr>
        <w:t>Seamless Conversion</w:t>
      </w:r>
    </w:p>
    <w:p w:rsidR="00E81632" w:rsidRDefault="00E81632" w:rsidP="00E81632">
      <w:pPr>
        <w:numPr>
          <w:ilvl w:val="0"/>
          <w:numId w:val="7"/>
        </w:numPr>
        <w:rPr>
          <w:rFonts w:eastAsia="Times New Roman"/>
        </w:rPr>
      </w:pPr>
      <w:r>
        <w:rPr>
          <w:rFonts w:eastAsia="Times New Roman"/>
        </w:rPr>
        <w:t>Support reinstituting seamless conversion for commercial members to MA when they become eligible. This is preferable to an opt-in option even if they make some stipulations/requirements like needing to have a certain Star Rating, etc.</w:t>
      </w:r>
    </w:p>
    <w:p w:rsidR="00E81632" w:rsidRDefault="00E81632" w:rsidP="00E81632"/>
    <w:p w:rsidR="00E81632" w:rsidRDefault="00E81632" w:rsidP="00E81632">
      <w:pPr>
        <w:rPr>
          <w:b/>
          <w:bCs/>
        </w:rPr>
      </w:pPr>
      <w:r>
        <w:rPr>
          <w:b/>
          <w:bCs/>
        </w:rPr>
        <w:lastRenderedPageBreak/>
        <w:t xml:space="preserve">Part C Preclusion List </w:t>
      </w:r>
    </w:p>
    <w:p w:rsidR="00E81632" w:rsidRDefault="00E81632" w:rsidP="00E81632">
      <w:pPr>
        <w:numPr>
          <w:ilvl w:val="0"/>
          <w:numId w:val="7"/>
        </w:numPr>
        <w:rPr>
          <w:rFonts w:eastAsia="Times New Roman"/>
        </w:rPr>
      </w:pPr>
      <w:r>
        <w:rPr>
          <w:rFonts w:eastAsia="Times New Roman"/>
        </w:rPr>
        <w:t>Will the proposed preclusion list eliminate the requirement to review the regional Medicare Opt-Out lists for practitioners?</w:t>
      </w:r>
    </w:p>
    <w:p w:rsidR="00E81632" w:rsidRDefault="00E81632" w:rsidP="00E81632">
      <w:pPr>
        <w:numPr>
          <w:ilvl w:val="0"/>
          <w:numId w:val="7"/>
        </w:numPr>
        <w:rPr>
          <w:rFonts w:eastAsia="Times New Roman"/>
        </w:rPr>
      </w:pPr>
      <w:r>
        <w:rPr>
          <w:rFonts w:eastAsia="Times New Roman"/>
        </w:rPr>
        <w:t>Will the proposed preclusion list include the entire country (the current listings are regional)? Please confirm whether it will be updated monthly.</w:t>
      </w:r>
    </w:p>
    <w:p w:rsidR="00E81632" w:rsidRDefault="00E81632" w:rsidP="00E81632">
      <w:pPr>
        <w:numPr>
          <w:ilvl w:val="0"/>
          <w:numId w:val="7"/>
        </w:numPr>
        <w:rPr>
          <w:rFonts w:eastAsia="Times New Roman"/>
        </w:rPr>
      </w:pPr>
      <w:r>
        <w:rPr>
          <w:rFonts w:eastAsia="Times New Roman"/>
        </w:rPr>
        <w:t>Will the proposed list be able to be downloaded/exported?</w:t>
      </w:r>
    </w:p>
    <w:p w:rsidR="00E81632" w:rsidRDefault="00E81632" w:rsidP="00E81632">
      <w:pPr>
        <w:numPr>
          <w:ilvl w:val="0"/>
          <w:numId w:val="7"/>
        </w:numPr>
        <w:rPr>
          <w:rFonts w:eastAsia="Times New Roman"/>
        </w:rPr>
      </w:pPr>
      <w:r>
        <w:rPr>
          <w:rFonts w:eastAsia="Times New Roman"/>
        </w:rPr>
        <w:t>Will each provider be identified by a valid NPI?</w:t>
      </w:r>
    </w:p>
    <w:p w:rsidR="00E81632" w:rsidRDefault="00E81632" w:rsidP="00E81632"/>
    <w:p w:rsidR="00E81632" w:rsidRDefault="00E81632" w:rsidP="00E81632">
      <w:pPr>
        <w:rPr>
          <w:b/>
          <w:bCs/>
        </w:rPr>
      </w:pPr>
      <w:r>
        <w:rPr>
          <w:b/>
          <w:bCs/>
        </w:rPr>
        <w:t>Marketing (Compliance Policies)</w:t>
      </w:r>
    </w:p>
    <w:p w:rsidR="00E81632" w:rsidRDefault="00E81632" w:rsidP="00E81632">
      <w:pPr>
        <w:numPr>
          <w:ilvl w:val="0"/>
          <w:numId w:val="8"/>
        </w:numPr>
        <w:rPr>
          <w:rFonts w:eastAsia="Times New Roman"/>
        </w:rPr>
      </w:pPr>
      <w:r>
        <w:rPr>
          <w:rFonts w:eastAsia="Times New Roman"/>
        </w:rPr>
        <w:t>Based on the proposed revisions, we assume that those materials considered “communication” materials do not need to be submitted in HPMS. Is that correct?</w:t>
      </w:r>
    </w:p>
    <w:p w:rsidR="00E81632" w:rsidRDefault="00E81632" w:rsidP="00E81632">
      <w:pPr>
        <w:numPr>
          <w:ilvl w:val="0"/>
          <w:numId w:val="8"/>
        </w:numPr>
        <w:rPr>
          <w:rFonts w:eastAsia="Times New Roman"/>
        </w:rPr>
      </w:pPr>
      <w:r>
        <w:rPr>
          <w:rFonts w:eastAsia="Times New Roman"/>
        </w:rPr>
        <w:t>We also request further clarification on what is defined as “communication” materials (with specific examples), and whether this will be further defined/explained in sub-regulatory guidance.</w:t>
      </w:r>
    </w:p>
    <w:p w:rsidR="00E81632" w:rsidRDefault="00E81632" w:rsidP="00E81632">
      <w:pPr>
        <w:numPr>
          <w:ilvl w:val="0"/>
          <w:numId w:val="8"/>
        </w:numPr>
        <w:rPr>
          <w:rFonts w:eastAsia="Times New Roman"/>
        </w:rPr>
      </w:pPr>
      <w:r>
        <w:rPr>
          <w:rFonts w:eastAsia="Times New Roman"/>
        </w:rPr>
        <w:t xml:space="preserve">Clarification is needed regarding allowable marketing during the Open Enrollment Period (OEP). We do </w:t>
      </w:r>
      <w:r>
        <w:rPr>
          <w:rFonts w:eastAsia="Times New Roman"/>
          <w:u w:val="single"/>
        </w:rPr>
        <w:t>not</w:t>
      </w:r>
      <w:r>
        <w:rPr>
          <w:rFonts w:eastAsia="Times New Roman"/>
        </w:rPr>
        <w:t xml:space="preserve"> suggest limiting marketing entirely during the OEP. One suggestion is to limit marketing that specifically references the OEP during this timeframe. </w:t>
      </w:r>
    </w:p>
    <w:p w:rsidR="00E81632" w:rsidRDefault="00E81632" w:rsidP="00E81632">
      <w:pPr>
        <w:rPr>
          <w:b/>
          <w:bCs/>
        </w:rPr>
      </w:pPr>
    </w:p>
    <w:p w:rsidR="00E81632" w:rsidRDefault="00E81632" w:rsidP="00E81632">
      <w:pPr>
        <w:rPr>
          <w:b/>
          <w:bCs/>
          <w:sz w:val="24"/>
          <w:szCs w:val="24"/>
          <w:u w:val="single"/>
        </w:rPr>
      </w:pPr>
      <w:r>
        <w:rPr>
          <w:b/>
          <w:bCs/>
          <w:sz w:val="24"/>
          <w:szCs w:val="24"/>
          <w:u w:val="single"/>
        </w:rPr>
        <w:t>Part D Issues</w:t>
      </w:r>
    </w:p>
    <w:p w:rsidR="00E81632" w:rsidRDefault="00E81632" w:rsidP="00E81632"/>
    <w:tbl>
      <w:tblPr>
        <w:tblW w:w="0" w:type="auto"/>
        <w:tblCellMar>
          <w:left w:w="0" w:type="dxa"/>
          <w:right w:w="0" w:type="dxa"/>
        </w:tblCellMar>
        <w:tblLook w:val="04A0" w:firstRow="1" w:lastRow="0" w:firstColumn="1" w:lastColumn="0" w:noHBand="0" w:noVBand="1"/>
      </w:tblPr>
      <w:tblGrid>
        <w:gridCol w:w="2425"/>
        <w:gridCol w:w="4770"/>
      </w:tblGrid>
      <w:tr w:rsidR="00E81632" w:rsidTr="00E81632">
        <w:tc>
          <w:tcPr>
            <w:tcW w:w="2425" w:type="dxa"/>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hideMark/>
          </w:tcPr>
          <w:p w:rsidR="00E81632" w:rsidRDefault="00E81632">
            <w:pPr>
              <w:rPr>
                <w:b/>
                <w:bCs/>
                <w:color w:val="FFFFFF"/>
              </w:rPr>
            </w:pPr>
            <w:r>
              <w:rPr>
                <w:b/>
                <w:bCs/>
                <w:color w:val="FFFFFF"/>
              </w:rPr>
              <w:t>CMS Proposal</w:t>
            </w:r>
          </w:p>
        </w:tc>
        <w:tc>
          <w:tcPr>
            <w:tcW w:w="4770" w:type="dxa"/>
            <w:tcBorders>
              <w:top w:val="single" w:sz="8" w:space="0" w:color="auto"/>
              <w:left w:val="nil"/>
              <w:bottom w:val="single" w:sz="8" w:space="0" w:color="auto"/>
              <w:right w:val="single" w:sz="8" w:space="0" w:color="auto"/>
            </w:tcBorders>
            <w:shd w:val="clear" w:color="auto" w:fill="0070C0"/>
            <w:tcMar>
              <w:top w:w="0" w:type="dxa"/>
              <w:left w:w="108" w:type="dxa"/>
              <w:bottom w:w="0" w:type="dxa"/>
              <w:right w:w="108" w:type="dxa"/>
            </w:tcMar>
            <w:hideMark/>
          </w:tcPr>
          <w:p w:rsidR="00E81632" w:rsidRDefault="00E81632">
            <w:pPr>
              <w:rPr>
                <w:b/>
                <w:bCs/>
                <w:color w:val="FFFFFF"/>
              </w:rPr>
            </w:pPr>
            <w:r>
              <w:rPr>
                <w:b/>
                <w:bCs/>
                <w:color w:val="FFFFFF"/>
              </w:rPr>
              <w:t>IBC Comments</w:t>
            </w:r>
          </w:p>
        </w:tc>
      </w:tr>
      <w:tr w:rsidR="00E81632" w:rsidTr="00E81632">
        <w:tc>
          <w:tcPr>
            <w:tcW w:w="2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81632" w:rsidRDefault="00E81632">
            <w:pPr>
              <w:spacing w:line="276" w:lineRule="auto"/>
              <w:rPr>
                <w:sz w:val="20"/>
                <w:szCs w:val="20"/>
              </w:rPr>
            </w:pPr>
            <w:r>
              <w:rPr>
                <w:sz w:val="20"/>
                <w:szCs w:val="20"/>
              </w:rPr>
              <w:t>Overview: Part D Drug Management Programs</w:t>
            </w:r>
          </w:p>
        </w:tc>
        <w:tc>
          <w:tcPr>
            <w:tcW w:w="4770" w:type="dxa"/>
            <w:tcBorders>
              <w:top w:val="nil"/>
              <w:left w:val="nil"/>
              <w:bottom w:val="single" w:sz="8" w:space="0" w:color="auto"/>
              <w:right w:val="single" w:sz="8" w:space="0" w:color="auto"/>
            </w:tcBorders>
            <w:tcMar>
              <w:top w:w="0" w:type="dxa"/>
              <w:left w:w="108" w:type="dxa"/>
              <w:bottom w:w="0" w:type="dxa"/>
              <w:right w:w="108" w:type="dxa"/>
            </w:tcMar>
          </w:tcPr>
          <w:p w:rsidR="00E81632" w:rsidRPr="00E81632" w:rsidRDefault="00E81632">
            <w:pPr>
              <w:rPr>
                <w:sz w:val="20"/>
                <w:szCs w:val="20"/>
              </w:rPr>
            </w:pPr>
            <w:r w:rsidRPr="00E81632">
              <w:rPr>
                <w:sz w:val="20"/>
                <w:szCs w:val="20"/>
              </w:rPr>
              <w:t xml:space="preserve">IBC would like for CMS to take a firm position on the opioid epidemic and to define very clear direction to health plans. </w:t>
            </w:r>
          </w:p>
          <w:p w:rsidR="00E81632" w:rsidRPr="00E81632" w:rsidRDefault="00E81632">
            <w:pPr>
              <w:rPr>
                <w:sz w:val="20"/>
                <w:szCs w:val="20"/>
              </w:rPr>
            </w:pPr>
          </w:p>
          <w:p w:rsidR="00E81632" w:rsidRPr="00E81632" w:rsidRDefault="00E81632">
            <w:pPr>
              <w:rPr>
                <w:sz w:val="20"/>
                <w:szCs w:val="20"/>
              </w:rPr>
            </w:pPr>
            <w:r w:rsidRPr="00E81632">
              <w:rPr>
                <w:sz w:val="20"/>
                <w:szCs w:val="20"/>
              </w:rPr>
              <w:t>We would also like for CMS to adopt the CDC opioid guidelines as the basis for MED thresholds to ensure consistency.</w:t>
            </w:r>
          </w:p>
        </w:tc>
      </w:tr>
      <w:tr w:rsidR="00E81632" w:rsidTr="00E81632">
        <w:tc>
          <w:tcPr>
            <w:tcW w:w="2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81632" w:rsidRDefault="00E81632">
            <w:pPr>
              <w:spacing w:line="276" w:lineRule="auto"/>
              <w:rPr>
                <w:sz w:val="20"/>
                <w:szCs w:val="20"/>
              </w:rPr>
            </w:pPr>
            <w:r>
              <w:rPr>
                <w:sz w:val="20"/>
                <w:szCs w:val="20"/>
              </w:rPr>
              <w:t>Definitions: Potential At-risk beneficiary, At-risk beneficiary, frequently abused drug, clinical guidelines, program size, exempted beneficiary (§423.100)</w:t>
            </w:r>
          </w:p>
        </w:tc>
        <w:tc>
          <w:tcPr>
            <w:tcW w:w="4770" w:type="dxa"/>
            <w:tcBorders>
              <w:top w:val="nil"/>
              <w:left w:val="nil"/>
              <w:bottom w:val="single" w:sz="8" w:space="0" w:color="auto"/>
              <w:right w:val="single" w:sz="8" w:space="0" w:color="auto"/>
            </w:tcBorders>
            <w:tcMar>
              <w:top w:w="0" w:type="dxa"/>
              <w:left w:w="108" w:type="dxa"/>
              <w:bottom w:w="0" w:type="dxa"/>
              <w:right w:w="108" w:type="dxa"/>
            </w:tcMar>
            <w:hideMark/>
          </w:tcPr>
          <w:p w:rsidR="00E81632" w:rsidRPr="00E81632" w:rsidRDefault="00E81632">
            <w:pPr>
              <w:rPr>
                <w:sz w:val="20"/>
                <w:szCs w:val="20"/>
              </w:rPr>
            </w:pPr>
            <w:r w:rsidRPr="00E81632">
              <w:rPr>
                <w:sz w:val="20"/>
                <w:szCs w:val="20"/>
              </w:rPr>
              <w:t xml:space="preserve">We don’t agree that residents of long-term care facilities should automatically be considered exempted beneficiaries. </w:t>
            </w:r>
          </w:p>
        </w:tc>
      </w:tr>
      <w:tr w:rsidR="00E81632" w:rsidTr="00E81632">
        <w:tc>
          <w:tcPr>
            <w:tcW w:w="2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81632" w:rsidRDefault="00E81632">
            <w:pPr>
              <w:spacing w:line="276" w:lineRule="auto"/>
              <w:rPr>
                <w:sz w:val="20"/>
                <w:szCs w:val="20"/>
              </w:rPr>
            </w:pPr>
            <w:r>
              <w:rPr>
                <w:sz w:val="20"/>
                <w:szCs w:val="20"/>
              </w:rPr>
              <w:t>Special Requirement to Limit Access to Coverage of Frequently Abused Drugs to Selected Providers (§423.153(f)(4))</w:t>
            </w:r>
          </w:p>
        </w:tc>
        <w:tc>
          <w:tcPr>
            <w:tcW w:w="4770" w:type="dxa"/>
            <w:tcBorders>
              <w:top w:val="nil"/>
              <w:left w:val="nil"/>
              <w:bottom w:val="single" w:sz="8" w:space="0" w:color="auto"/>
              <w:right w:val="single" w:sz="8" w:space="0" w:color="auto"/>
            </w:tcBorders>
            <w:tcMar>
              <w:top w:w="0" w:type="dxa"/>
              <w:left w:w="108" w:type="dxa"/>
              <w:bottom w:w="0" w:type="dxa"/>
              <w:right w:w="108" w:type="dxa"/>
            </w:tcMar>
            <w:hideMark/>
          </w:tcPr>
          <w:p w:rsidR="00E81632" w:rsidRPr="00E81632" w:rsidRDefault="00E81632">
            <w:pPr>
              <w:rPr>
                <w:sz w:val="20"/>
                <w:szCs w:val="20"/>
              </w:rPr>
            </w:pPr>
            <w:r w:rsidRPr="00E81632">
              <w:rPr>
                <w:sz w:val="20"/>
                <w:szCs w:val="20"/>
              </w:rPr>
              <w:t>We recommend considering a shorter period between beneficiary identification and lock-in, as 6 months puts the beneficiary at a much higher risk of opioid-related adverse effect or incident.</w:t>
            </w:r>
          </w:p>
        </w:tc>
      </w:tr>
      <w:tr w:rsidR="00E81632" w:rsidTr="00E81632">
        <w:tc>
          <w:tcPr>
            <w:tcW w:w="24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81632" w:rsidRDefault="00E81632">
            <w:pPr>
              <w:rPr>
                <w:sz w:val="20"/>
                <w:szCs w:val="20"/>
              </w:rPr>
            </w:pPr>
            <w:r>
              <w:rPr>
                <w:sz w:val="20"/>
                <w:szCs w:val="20"/>
              </w:rPr>
              <w:t>Part D Tiering Exceptions</w:t>
            </w:r>
          </w:p>
        </w:tc>
        <w:tc>
          <w:tcPr>
            <w:tcW w:w="4770" w:type="dxa"/>
            <w:tcBorders>
              <w:top w:val="nil"/>
              <w:left w:val="nil"/>
              <w:bottom w:val="single" w:sz="8" w:space="0" w:color="auto"/>
              <w:right w:val="single" w:sz="8" w:space="0" w:color="auto"/>
            </w:tcBorders>
            <w:tcMar>
              <w:top w:w="0" w:type="dxa"/>
              <w:left w:w="108" w:type="dxa"/>
              <w:bottom w:w="0" w:type="dxa"/>
              <w:right w:w="108" w:type="dxa"/>
            </w:tcMar>
          </w:tcPr>
          <w:p w:rsidR="00E81632" w:rsidRPr="00E81632" w:rsidRDefault="00E81632">
            <w:pPr>
              <w:rPr>
                <w:sz w:val="20"/>
                <w:szCs w:val="20"/>
              </w:rPr>
            </w:pPr>
            <w:r w:rsidRPr="00E81632">
              <w:rPr>
                <w:sz w:val="20"/>
                <w:szCs w:val="20"/>
              </w:rPr>
              <w:t xml:space="preserve">We recommend adding more clarification to “alternative drugs on lower cost-sharing tier” because drugs have overlapping indications and are not always appropriate to interchange based on this language. </w:t>
            </w:r>
          </w:p>
          <w:p w:rsidR="00E81632" w:rsidRPr="00E81632" w:rsidRDefault="00E81632">
            <w:pPr>
              <w:rPr>
                <w:sz w:val="20"/>
                <w:szCs w:val="20"/>
              </w:rPr>
            </w:pPr>
          </w:p>
          <w:p w:rsidR="00E81632" w:rsidRPr="00E81632" w:rsidRDefault="00E81632">
            <w:pPr>
              <w:spacing w:line="252" w:lineRule="exact"/>
              <w:rPr>
                <w:sz w:val="20"/>
                <w:szCs w:val="20"/>
              </w:rPr>
            </w:pPr>
            <w:r w:rsidRPr="00E81632">
              <w:rPr>
                <w:sz w:val="20"/>
                <w:szCs w:val="20"/>
              </w:rPr>
              <w:t xml:space="preserve">We recommend stating that a tier exception be granted when formulary alternatives within the same class exist </w:t>
            </w:r>
            <w:bookmarkStart w:id="0" w:name="_GoBack"/>
            <w:r w:rsidRPr="00E81632">
              <w:rPr>
                <w:sz w:val="20"/>
                <w:szCs w:val="20"/>
              </w:rPr>
              <w:lastRenderedPageBreak/>
              <w:t>on lower tiers and have the same medically accepted indication as the requested drug.</w:t>
            </w:r>
          </w:p>
        </w:tc>
      </w:tr>
      <w:tr w:rsidR="00E81632" w:rsidTr="00E81632">
        <w:tc>
          <w:tcPr>
            <w:tcW w:w="24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81632" w:rsidRDefault="00E81632">
            <w:pPr>
              <w:rPr>
                <w:sz w:val="20"/>
                <w:szCs w:val="20"/>
              </w:rPr>
            </w:pPr>
            <w:r>
              <w:rPr>
                <w:sz w:val="20"/>
                <w:szCs w:val="20"/>
              </w:rPr>
              <w:lastRenderedPageBreak/>
              <w:t>Request for Information Regarding the Application of Manufacturer Rebates and Pharmacy Price Concessions to Drug Prices at the Point of Sale (POS)</w:t>
            </w:r>
          </w:p>
        </w:tc>
        <w:tc>
          <w:tcPr>
            <w:tcW w:w="4770" w:type="dxa"/>
            <w:tcBorders>
              <w:top w:val="nil"/>
              <w:left w:val="nil"/>
              <w:bottom w:val="single" w:sz="8" w:space="0" w:color="auto"/>
              <w:right w:val="single" w:sz="8" w:space="0" w:color="auto"/>
            </w:tcBorders>
            <w:tcMar>
              <w:top w:w="0" w:type="dxa"/>
              <w:left w:w="108" w:type="dxa"/>
              <w:bottom w:w="0" w:type="dxa"/>
              <w:right w:w="108" w:type="dxa"/>
            </w:tcMar>
          </w:tcPr>
          <w:p w:rsidR="00E81632" w:rsidRPr="00E81632" w:rsidRDefault="00E81632">
            <w:pPr>
              <w:rPr>
                <w:sz w:val="20"/>
                <w:szCs w:val="20"/>
              </w:rPr>
            </w:pPr>
            <w:r w:rsidRPr="00E81632">
              <w:rPr>
                <w:sz w:val="20"/>
                <w:szCs w:val="20"/>
              </w:rPr>
              <w:t xml:space="preserve">We recommend </w:t>
            </w:r>
            <w:r w:rsidRPr="00E81632">
              <w:rPr>
                <w:sz w:val="20"/>
                <w:szCs w:val="20"/>
                <w:u w:val="single"/>
              </w:rPr>
              <w:t>against</w:t>
            </w:r>
            <w:r w:rsidRPr="00E81632">
              <w:rPr>
                <w:sz w:val="20"/>
                <w:szCs w:val="20"/>
              </w:rPr>
              <w:t xml:space="preserve"> this approach for several reasons:</w:t>
            </w:r>
          </w:p>
          <w:p w:rsidR="00E81632" w:rsidRPr="00E81632" w:rsidRDefault="00E81632">
            <w:pPr>
              <w:rPr>
                <w:sz w:val="20"/>
                <w:szCs w:val="20"/>
              </w:rPr>
            </w:pPr>
          </w:p>
          <w:p w:rsidR="00E81632" w:rsidRPr="00E81632" w:rsidRDefault="00E81632">
            <w:pPr>
              <w:numPr>
                <w:ilvl w:val="0"/>
                <w:numId w:val="9"/>
              </w:numPr>
              <w:contextualSpacing/>
              <w:rPr>
                <w:rFonts w:eastAsia="Times New Roman"/>
                <w:sz w:val="20"/>
                <w:szCs w:val="20"/>
              </w:rPr>
            </w:pPr>
            <w:r w:rsidRPr="00E81632">
              <w:rPr>
                <w:rFonts w:eastAsia="Times New Roman"/>
                <w:sz w:val="20"/>
                <w:szCs w:val="20"/>
              </w:rPr>
              <w:t>Operationally prone to inaccuracies because we do not know the rebate values or collect for 180 days</w:t>
            </w:r>
          </w:p>
          <w:p w:rsidR="00E81632" w:rsidRPr="00E81632" w:rsidRDefault="00E81632">
            <w:pPr>
              <w:ind w:left="360"/>
              <w:rPr>
                <w:sz w:val="20"/>
                <w:szCs w:val="20"/>
              </w:rPr>
            </w:pPr>
          </w:p>
          <w:p w:rsidR="00E81632" w:rsidRPr="00E81632" w:rsidRDefault="00E81632">
            <w:pPr>
              <w:numPr>
                <w:ilvl w:val="0"/>
                <w:numId w:val="9"/>
              </w:numPr>
              <w:contextualSpacing/>
              <w:rPr>
                <w:rFonts w:eastAsia="Times New Roman"/>
                <w:sz w:val="20"/>
                <w:szCs w:val="20"/>
              </w:rPr>
            </w:pPr>
            <w:r w:rsidRPr="00E81632">
              <w:rPr>
                <w:rFonts w:eastAsia="Times New Roman"/>
                <w:sz w:val="20"/>
                <w:szCs w:val="20"/>
              </w:rPr>
              <w:t>Will lead to Medicare Plan Finder (MPF) inaccuracies and will have negative impact on STARS</w:t>
            </w:r>
          </w:p>
          <w:p w:rsidR="00E81632" w:rsidRPr="00E81632" w:rsidRDefault="00E81632">
            <w:pPr>
              <w:ind w:left="360"/>
              <w:rPr>
                <w:sz w:val="20"/>
                <w:szCs w:val="20"/>
              </w:rPr>
            </w:pPr>
          </w:p>
          <w:p w:rsidR="00E81632" w:rsidRPr="00E81632" w:rsidRDefault="00E81632">
            <w:pPr>
              <w:numPr>
                <w:ilvl w:val="0"/>
                <w:numId w:val="9"/>
              </w:numPr>
              <w:contextualSpacing/>
              <w:rPr>
                <w:rFonts w:eastAsia="Times New Roman"/>
                <w:sz w:val="20"/>
                <w:szCs w:val="20"/>
              </w:rPr>
            </w:pPr>
            <w:r w:rsidRPr="00E81632">
              <w:rPr>
                <w:rFonts w:eastAsia="Times New Roman"/>
                <w:sz w:val="20"/>
                <w:szCs w:val="20"/>
              </w:rPr>
              <w:t>Poses a financial risk because the POS calculation may not align to actual rebates received after our plan’s 180-day period. Plan runs risk of losing money or being too conservative at POS.</w:t>
            </w:r>
          </w:p>
          <w:p w:rsidR="00E81632" w:rsidRPr="00E81632" w:rsidRDefault="00E81632">
            <w:pPr>
              <w:ind w:left="720"/>
              <w:rPr>
                <w:sz w:val="20"/>
                <w:szCs w:val="20"/>
              </w:rPr>
            </w:pPr>
          </w:p>
          <w:p w:rsidR="00E81632" w:rsidRPr="00E81632" w:rsidRDefault="00E81632">
            <w:pPr>
              <w:numPr>
                <w:ilvl w:val="0"/>
                <w:numId w:val="9"/>
              </w:numPr>
              <w:contextualSpacing/>
              <w:rPr>
                <w:rFonts w:eastAsia="Times New Roman"/>
                <w:sz w:val="20"/>
                <w:szCs w:val="20"/>
              </w:rPr>
            </w:pPr>
            <w:r w:rsidRPr="00E81632">
              <w:rPr>
                <w:rFonts w:eastAsia="Times New Roman"/>
                <w:sz w:val="20"/>
                <w:szCs w:val="20"/>
              </w:rPr>
              <w:t>NCPDP does not accommodate this sort of arrangement</w:t>
            </w:r>
          </w:p>
          <w:p w:rsidR="00E81632" w:rsidRPr="00E81632" w:rsidRDefault="00E81632">
            <w:pPr>
              <w:ind w:left="720"/>
              <w:rPr>
                <w:sz w:val="20"/>
                <w:szCs w:val="20"/>
              </w:rPr>
            </w:pPr>
          </w:p>
          <w:p w:rsidR="00E81632" w:rsidRPr="00E81632" w:rsidRDefault="00E81632">
            <w:pPr>
              <w:numPr>
                <w:ilvl w:val="0"/>
                <w:numId w:val="9"/>
              </w:numPr>
              <w:contextualSpacing/>
              <w:rPr>
                <w:rFonts w:eastAsia="Times New Roman"/>
                <w:sz w:val="20"/>
                <w:szCs w:val="20"/>
              </w:rPr>
            </w:pPr>
            <w:r w:rsidRPr="00E81632">
              <w:rPr>
                <w:rFonts w:eastAsia="Times New Roman"/>
                <w:sz w:val="20"/>
                <w:szCs w:val="20"/>
              </w:rPr>
              <w:t>Plans will lose the ability to negotiate rebates when this information becomes so public</w:t>
            </w:r>
          </w:p>
        </w:tc>
      </w:tr>
      <w:bookmarkEnd w:id="0"/>
    </w:tbl>
    <w:p w:rsidR="00982A4D" w:rsidRDefault="00982A4D"/>
    <w:sectPr w:rsidR="00982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2230F"/>
    <w:multiLevelType w:val="hybridMultilevel"/>
    <w:tmpl w:val="05D65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778668D"/>
    <w:multiLevelType w:val="hybridMultilevel"/>
    <w:tmpl w:val="07B85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9E506C"/>
    <w:multiLevelType w:val="hybridMultilevel"/>
    <w:tmpl w:val="0E10F1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4E670BF7"/>
    <w:multiLevelType w:val="hybridMultilevel"/>
    <w:tmpl w:val="7FA2F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34E1942"/>
    <w:multiLevelType w:val="hybridMultilevel"/>
    <w:tmpl w:val="6E706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846031"/>
    <w:multiLevelType w:val="hybridMultilevel"/>
    <w:tmpl w:val="EEFA8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FFB67A7"/>
    <w:multiLevelType w:val="hybridMultilevel"/>
    <w:tmpl w:val="5B90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7F14B64"/>
    <w:multiLevelType w:val="hybridMultilevel"/>
    <w:tmpl w:val="0D200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563278C"/>
    <w:multiLevelType w:val="hybridMultilevel"/>
    <w:tmpl w:val="BD3E92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8"/>
  </w:num>
  <w:num w:numId="5">
    <w:abstractNumId w:val="7"/>
  </w:num>
  <w:num w:numId="6">
    <w:abstractNumId w:val="0"/>
  </w:num>
  <w:num w:numId="7">
    <w:abstractNumId w:val="3"/>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32"/>
    <w:rsid w:val="0060329D"/>
    <w:rsid w:val="00982A4D"/>
    <w:rsid w:val="00E8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4A60D-2ACE-44D5-A881-0FDABD25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63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9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1592</Words>
  <Characters>8647</Characters>
  <Application>Microsoft Office Word</Application>
  <DocSecurity>0</DocSecurity>
  <Lines>226</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Kate</dc:creator>
  <cp:keywords/>
  <dc:description/>
  <cp:lastModifiedBy>Arthur Pignotti</cp:lastModifiedBy>
  <cp:revision>2</cp:revision>
  <dcterms:created xsi:type="dcterms:W3CDTF">2017-12-28T15:04:00Z</dcterms:created>
  <dcterms:modified xsi:type="dcterms:W3CDTF">2018-06-15T02:02:00Z</dcterms:modified>
</cp:coreProperties>
</file>