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F50" w:rsidRDefault="00DB350E">
      <w:pPr>
        <w:pStyle w:val="BodyText"/>
        <w:ind w:left="100"/>
        <w:rPr>
          <w:sz w:val="20"/>
        </w:rPr>
      </w:pPr>
      <w:r>
        <w:rPr>
          <w:noProof/>
          <w:sz w:val="20"/>
        </w:rPr>
        <w:drawing>
          <wp:inline distT="0" distB="0" distL="0" distR="0">
            <wp:extent cx="1747058" cy="8068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47058" cy="806862"/>
                    </a:xfrm>
                    <a:prstGeom prst="rect">
                      <a:avLst/>
                    </a:prstGeom>
                  </pic:spPr>
                </pic:pic>
              </a:graphicData>
            </a:graphic>
          </wp:inline>
        </w:drawing>
      </w:r>
    </w:p>
    <w:p w:rsidR="00667F50" w:rsidRDefault="00667F50">
      <w:pPr>
        <w:pStyle w:val="BodyText"/>
        <w:rPr>
          <w:sz w:val="20"/>
        </w:rPr>
      </w:pPr>
    </w:p>
    <w:p w:rsidR="00667F50" w:rsidRDefault="00667F50">
      <w:pPr>
        <w:pStyle w:val="BodyText"/>
        <w:rPr>
          <w:sz w:val="20"/>
        </w:rPr>
      </w:pPr>
    </w:p>
    <w:p w:rsidR="00667F50" w:rsidRDefault="00DB350E">
      <w:pPr>
        <w:pStyle w:val="Heading1"/>
        <w:tabs>
          <w:tab w:val="left" w:pos="1540"/>
        </w:tabs>
        <w:spacing w:before="90"/>
      </w:pPr>
      <w:r>
        <w:t>From:</w:t>
      </w:r>
      <w:r>
        <w:tab/>
        <w:t>Robert E. Andrews, CEO at the Health Transformation</w:t>
      </w:r>
      <w:r>
        <w:rPr>
          <w:spacing w:val="-11"/>
        </w:rPr>
        <w:t xml:space="preserve"> </w:t>
      </w:r>
      <w:r>
        <w:t>Alliance</w:t>
      </w:r>
    </w:p>
    <w:p w:rsidR="00667F50" w:rsidRDefault="00667F50">
      <w:pPr>
        <w:pStyle w:val="BodyText"/>
        <w:spacing w:before="11"/>
        <w:rPr>
          <w:b/>
          <w:sz w:val="23"/>
        </w:rPr>
      </w:pPr>
    </w:p>
    <w:p w:rsidR="00667F50" w:rsidRDefault="00DB350E">
      <w:pPr>
        <w:tabs>
          <w:tab w:val="left" w:pos="1540"/>
        </w:tabs>
        <w:ind w:left="1540" w:right="192" w:hanging="1440"/>
        <w:rPr>
          <w:b/>
          <w:sz w:val="24"/>
        </w:rPr>
      </w:pPr>
      <w:r>
        <w:rPr>
          <w:b/>
          <w:sz w:val="24"/>
        </w:rPr>
        <w:t>Re:</w:t>
      </w:r>
      <w:r>
        <w:rPr>
          <w:b/>
          <w:sz w:val="24"/>
        </w:rPr>
        <w:tab/>
        <w:t>Comment – Medicare Program; Contract Year 2019 Policy</w:t>
      </w:r>
      <w:r>
        <w:rPr>
          <w:b/>
          <w:spacing w:val="-14"/>
          <w:sz w:val="24"/>
        </w:rPr>
        <w:t xml:space="preserve"> </w:t>
      </w:r>
      <w:r>
        <w:rPr>
          <w:b/>
          <w:sz w:val="24"/>
        </w:rPr>
        <w:t>and</w:t>
      </w:r>
      <w:r>
        <w:rPr>
          <w:b/>
          <w:spacing w:val="-3"/>
          <w:sz w:val="24"/>
        </w:rPr>
        <w:t xml:space="preserve"> </w:t>
      </w:r>
      <w:r>
        <w:rPr>
          <w:b/>
          <w:sz w:val="24"/>
        </w:rPr>
        <w:t>Technical Changes to the Medicare Advantage, Medicare Cost Plan, Medicare Fee-for- Service, the Medicare Prescription Drug Benefit Programs, and the PACE Program</w:t>
      </w:r>
    </w:p>
    <w:p w:rsidR="00667F50" w:rsidRDefault="00667F50">
      <w:pPr>
        <w:pStyle w:val="BodyText"/>
        <w:rPr>
          <w:b/>
        </w:rPr>
      </w:pPr>
    </w:p>
    <w:p w:rsidR="00667F50" w:rsidRDefault="00DB350E">
      <w:pPr>
        <w:tabs>
          <w:tab w:val="left" w:pos="1540"/>
        </w:tabs>
        <w:ind w:left="100"/>
        <w:rPr>
          <w:b/>
          <w:sz w:val="24"/>
        </w:rPr>
      </w:pPr>
      <w:r>
        <w:rPr>
          <w:b/>
          <w:sz w:val="24"/>
        </w:rPr>
        <w:t>Date:</w:t>
      </w:r>
      <w:r>
        <w:rPr>
          <w:b/>
          <w:sz w:val="24"/>
        </w:rPr>
        <w:tab/>
        <w:t>January 15,</w:t>
      </w:r>
      <w:r>
        <w:rPr>
          <w:b/>
          <w:spacing w:val="-1"/>
          <w:sz w:val="24"/>
        </w:rPr>
        <w:t xml:space="preserve"> </w:t>
      </w:r>
      <w:r>
        <w:rPr>
          <w:b/>
          <w:sz w:val="24"/>
        </w:rPr>
        <w:t>2018</w:t>
      </w:r>
    </w:p>
    <w:p w:rsidR="00667F50" w:rsidRDefault="00667F50">
      <w:pPr>
        <w:pStyle w:val="BodyText"/>
        <w:spacing w:before="11"/>
        <w:rPr>
          <w:b/>
          <w:sz w:val="23"/>
        </w:rPr>
      </w:pPr>
    </w:p>
    <w:p w:rsidR="00667F50" w:rsidRDefault="00DB350E">
      <w:pPr>
        <w:pStyle w:val="BodyText"/>
        <w:ind w:left="100" w:right="117" w:firstLine="719"/>
        <w:jc w:val="both"/>
      </w:pPr>
      <w:r>
        <w:t>As a cooperative comprised of 46 of America’s leading self-insured em</w:t>
      </w:r>
      <w:r>
        <w:t>ployers, the members of the Health Transformation Alliance (HTA) have come together to fix what is wrong with our healthcare system: rising costs, diminished access, lower quality, sicker patients. While the member owners of the HTA have assembled to achie</w:t>
      </w:r>
      <w:r>
        <w:t>ve superior health outcomes and compelling economic savings, the HTA comprises but a fraction of our nation’s limited private self-insured market. Medicare reform, given the significant volume of Medicare enrollees, the volume of services required by its e</w:t>
      </w:r>
      <w:r>
        <w:t>nrollees and the program’s vast resources, clearly remains an essential catalyst in achieving meaningful improvements to our health care system. The HTA applauds</w:t>
      </w:r>
      <w:r>
        <w:rPr>
          <w:spacing w:val="-9"/>
        </w:rPr>
        <w:t xml:space="preserve"> </w:t>
      </w:r>
      <w:r>
        <w:t>CMS</w:t>
      </w:r>
      <w:r>
        <w:rPr>
          <w:spacing w:val="-8"/>
        </w:rPr>
        <w:t xml:space="preserve"> </w:t>
      </w:r>
      <w:r>
        <w:t>in</w:t>
      </w:r>
      <w:r>
        <w:rPr>
          <w:spacing w:val="-8"/>
        </w:rPr>
        <w:t xml:space="preserve"> </w:t>
      </w:r>
      <w:r>
        <w:t>its</w:t>
      </w:r>
      <w:r>
        <w:rPr>
          <w:spacing w:val="-8"/>
        </w:rPr>
        <w:t xml:space="preserve"> </w:t>
      </w:r>
      <w:r>
        <w:t>proactive</w:t>
      </w:r>
      <w:r>
        <w:rPr>
          <w:spacing w:val="-10"/>
        </w:rPr>
        <w:t xml:space="preserve"> </w:t>
      </w:r>
      <w:r>
        <w:t>work,</w:t>
      </w:r>
      <w:r>
        <w:rPr>
          <w:spacing w:val="-9"/>
        </w:rPr>
        <w:t xml:space="preserve"> </w:t>
      </w:r>
      <w:r>
        <w:t>especially</w:t>
      </w:r>
      <w:r>
        <w:rPr>
          <w:spacing w:val="-13"/>
        </w:rPr>
        <w:t xml:space="preserve"> </w:t>
      </w:r>
      <w:r>
        <w:t>with</w:t>
      </w:r>
      <w:r>
        <w:rPr>
          <w:spacing w:val="-9"/>
        </w:rPr>
        <w:t xml:space="preserve"> </w:t>
      </w:r>
      <w:r>
        <w:t>regard</w:t>
      </w:r>
      <w:r>
        <w:rPr>
          <w:spacing w:val="-9"/>
        </w:rPr>
        <w:t xml:space="preserve"> </w:t>
      </w:r>
      <w:r>
        <w:t>to</w:t>
      </w:r>
      <w:r>
        <w:rPr>
          <w:spacing w:val="-8"/>
        </w:rPr>
        <w:t xml:space="preserve"> </w:t>
      </w:r>
      <w:r>
        <w:t>its</w:t>
      </w:r>
      <w:r>
        <w:rPr>
          <w:spacing w:val="-8"/>
        </w:rPr>
        <w:t xml:space="preserve"> </w:t>
      </w:r>
      <w:r>
        <w:t>efforts</w:t>
      </w:r>
      <w:r>
        <w:rPr>
          <w:spacing w:val="-9"/>
        </w:rPr>
        <w:t xml:space="preserve"> </w:t>
      </w:r>
      <w:r>
        <w:t>to</w:t>
      </w:r>
      <w:r>
        <w:rPr>
          <w:spacing w:val="-6"/>
        </w:rPr>
        <w:t xml:space="preserve"> </w:t>
      </w:r>
      <w:r>
        <w:t>explore</w:t>
      </w:r>
      <w:r>
        <w:rPr>
          <w:spacing w:val="-10"/>
        </w:rPr>
        <w:t xml:space="preserve"> </w:t>
      </w:r>
      <w:r>
        <w:t>how</w:t>
      </w:r>
      <w:r>
        <w:rPr>
          <w:spacing w:val="-9"/>
        </w:rPr>
        <w:t xml:space="preserve"> </w:t>
      </w:r>
      <w:r>
        <w:t>to</w:t>
      </w:r>
      <w:r>
        <w:rPr>
          <w:spacing w:val="-8"/>
        </w:rPr>
        <w:t xml:space="preserve"> </w:t>
      </w:r>
      <w:r>
        <w:t>manage risi</w:t>
      </w:r>
      <w:r>
        <w:t>ng prescription</w:t>
      </w:r>
      <w:r>
        <w:rPr>
          <w:spacing w:val="-5"/>
        </w:rPr>
        <w:t xml:space="preserve"> </w:t>
      </w:r>
      <w:r>
        <w:t>costs.</w:t>
      </w:r>
    </w:p>
    <w:p w:rsidR="00667F50" w:rsidRDefault="00667F50">
      <w:pPr>
        <w:pStyle w:val="BodyText"/>
        <w:spacing w:before="11"/>
        <w:rPr>
          <w:sz w:val="23"/>
        </w:rPr>
      </w:pPr>
    </w:p>
    <w:p w:rsidR="00667F50" w:rsidRDefault="00DB350E">
      <w:pPr>
        <w:pStyle w:val="BodyText"/>
        <w:ind w:left="100" w:right="125" w:firstLine="719"/>
        <w:jc w:val="both"/>
      </w:pPr>
      <w:r>
        <w:t>Along those lines, as CMS looks to evaluate the range of strategies to control Part D spending, here are some reforms the Department should consider that have been successful on behalf of the HTA and the employees, retirees and depe</w:t>
      </w:r>
      <w:r>
        <w:t>ndents it serves:</w:t>
      </w:r>
    </w:p>
    <w:p w:rsidR="00667F50" w:rsidRDefault="00667F50">
      <w:pPr>
        <w:pStyle w:val="BodyText"/>
        <w:spacing w:before="11"/>
        <w:rPr>
          <w:sz w:val="23"/>
        </w:rPr>
      </w:pPr>
    </w:p>
    <w:p w:rsidR="00667F50" w:rsidRDefault="00DB350E">
      <w:pPr>
        <w:pStyle w:val="ListParagraph"/>
        <w:numPr>
          <w:ilvl w:val="0"/>
          <w:numId w:val="1"/>
        </w:numPr>
        <w:tabs>
          <w:tab w:val="left" w:pos="341"/>
        </w:tabs>
        <w:rPr>
          <w:i/>
          <w:sz w:val="24"/>
        </w:rPr>
      </w:pPr>
      <w:r>
        <w:rPr>
          <w:i/>
          <w:sz w:val="24"/>
        </w:rPr>
        <w:t>Increase transparency of rebates, discounts and</w:t>
      </w:r>
      <w:r>
        <w:rPr>
          <w:i/>
          <w:spacing w:val="-8"/>
          <w:sz w:val="24"/>
        </w:rPr>
        <w:t xml:space="preserve"> </w:t>
      </w:r>
      <w:r>
        <w:rPr>
          <w:i/>
          <w:sz w:val="24"/>
        </w:rPr>
        <w:t>fees</w:t>
      </w:r>
    </w:p>
    <w:p w:rsidR="00667F50" w:rsidRDefault="00667F50">
      <w:pPr>
        <w:pStyle w:val="BodyText"/>
        <w:spacing w:before="11"/>
        <w:rPr>
          <w:i/>
          <w:sz w:val="23"/>
        </w:rPr>
      </w:pPr>
    </w:p>
    <w:p w:rsidR="00667F50" w:rsidRDefault="00DB350E">
      <w:pPr>
        <w:pStyle w:val="BodyText"/>
        <w:ind w:left="100" w:right="117" w:firstLine="719"/>
        <w:jc w:val="both"/>
      </w:pPr>
      <w:r>
        <w:t>HTA supports full transparency of the revenue streams achieved through discounts and rebates.</w:t>
      </w:r>
      <w:r>
        <w:rPr>
          <w:spacing w:val="-9"/>
        </w:rPr>
        <w:t xml:space="preserve"> </w:t>
      </w:r>
      <w:r>
        <w:t>This</w:t>
      </w:r>
      <w:r>
        <w:rPr>
          <w:spacing w:val="-6"/>
        </w:rPr>
        <w:t xml:space="preserve"> </w:t>
      </w:r>
      <w:r>
        <w:t>arrangement</w:t>
      </w:r>
      <w:r>
        <w:rPr>
          <w:spacing w:val="-8"/>
        </w:rPr>
        <w:t xml:space="preserve"> </w:t>
      </w:r>
      <w:r>
        <w:t>has</w:t>
      </w:r>
      <w:r>
        <w:rPr>
          <w:spacing w:val="-8"/>
        </w:rPr>
        <w:t xml:space="preserve"> </w:t>
      </w:r>
      <w:r>
        <w:t>produced</w:t>
      </w:r>
      <w:r>
        <w:rPr>
          <w:spacing w:val="-7"/>
        </w:rPr>
        <w:t xml:space="preserve"> </w:t>
      </w:r>
      <w:r>
        <w:t>immense</w:t>
      </w:r>
      <w:r>
        <w:rPr>
          <w:spacing w:val="-7"/>
        </w:rPr>
        <w:t xml:space="preserve"> </w:t>
      </w:r>
      <w:r>
        <w:t>value</w:t>
      </w:r>
      <w:r>
        <w:rPr>
          <w:spacing w:val="-9"/>
        </w:rPr>
        <w:t xml:space="preserve"> </w:t>
      </w:r>
      <w:r>
        <w:t>not</w:t>
      </w:r>
      <w:r>
        <w:rPr>
          <w:spacing w:val="-8"/>
        </w:rPr>
        <w:t xml:space="preserve"> </w:t>
      </w:r>
      <w:r>
        <w:t>only</w:t>
      </w:r>
      <w:r>
        <w:rPr>
          <w:spacing w:val="-13"/>
        </w:rPr>
        <w:t xml:space="preserve"> </w:t>
      </w:r>
      <w:r>
        <w:t>to</w:t>
      </w:r>
      <w:r>
        <w:rPr>
          <w:spacing w:val="-8"/>
        </w:rPr>
        <w:t xml:space="preserve"> </w:t>
      </w:r>
      <w:r>
        <w:t>our</w:t>
      </w:r>
      <w:r>
        <w:rPr>
          <w:spacing w:val="-9"/>
        </w:rPr>
        <w:t xml:space="preserve"> </w:t>
      </w:r>
      <w:r>
        <w:t>member</w:t>
      </w:r>
      <w:r>
        <w:rPr>
          <w:spacing w:val="-10"/>
        </w:rPr>
        <w:t xml:space="preserve"> </w:t>
      </w:r>
      <w:r>
        <w:t>companies</w:t>
      </w:r>
      <w:r>
        <w:rPr>
          <w:spacing w:val="-8"/>
        </w:rPr>
        <w:t xml:space="preserve"> </w:t>
      </w:r>
      <w:r>
        <w:t>paying claims, but also to the plan participants themselves. Transparency can foster more equitable disruption</w:t>
      </w:r>
      <w:r>
        <w:rPr>
          <w:spacing w:val="-12"/>
        </w:rPr>
        <w:t xml:space="preserve"> </w:t>
      </w:r>
      <w:r>
        <w:t>of</w:t>
      </w:r>
      <w:r>
        <w:rPr>
          <w:spacing w:val="-13"/>
        </w:rPr>
        <w:t xml:space="preserve"> </w:t>
      </w:r>
      <w:r>
        <w:t>discounts</w:t>
      </w:r>
      <w:r>
        <w:rPr>
          <w:spacing w:val="-12"/>
        </w:rPr>
        <w:t xml:space="preserve"> </w:t>
      </w:r>
      <w:r>
        <w:t>and</w:t>
      </w:r>
      <w:r>
        <w:rPr>
          <w:spacing w:val="-12"/>
        </w:rPr>
        <w:t xml:space="preserve"> </w:t>
      </w:r>
      <w:r>
        <w:t>rebates,</w:t>
      </w:r>
      <w:r>
        <w:rPr>
          <w:spacing w:val="-12"/>
        </w:rPr>
        <w:t xml:space="preserve"> </w:t>
      </w:r>
      <w:r>
        <w:t>which</w:t>
      </w:r>
      <w:r>
        <w:rPr>
          <w:spacing w:val="-10"/>
        </w:rPr>
        <w:t xml:space="preserve"> </w:t>
      </w:r>
      <w:r>
        <w:t>may</w:t>
      </w:r>
      <w:r>
        <w:rPr>
          <w:spacing w:val="-17"/>
        </w:rPr>
        <w:t xml:space="preserve"> </w:t>
      </w:r>
      <w:r>
        <w:t>then</w:t>
      </w:r>
      <w:r>
        <w:rPr>
          <w:spacing w:val="-12"/>
        </w:rPr>
        <w:t xml:space="preserve"> </w:t>
      </w:r>
      <w:r>
        <w:t>be</w:t>
      </w:r>
      <w:r>
        <w:rPr>
          <w:spacing w:val="-13"/>
        </w:rPr>
        <w:t xml:space="preserve"> </w:t>
      </w:r>
      <w:r>
        <w:t>reinvested</w:t>
      </w:r>
      <w:r>
        <w:rPr>
          <w:spacing w:val="-12"/>
        </w:rPr>
        <w:t xml:space="preserve"> </w:t>
      </w:r>
      <w:r>
        <w:t>to</w:t>
      </w:r>
      <w:r>
        <w:rPr>
          <w:spacing w:val="-10"/>
        </w:rPr>
        <w:t xml:space="preserve"> </w:t>
      </w:r>
      <w:r>
        <w:t>help</w:t>
      </w:r>
      <w:r>
        <w:rPr>
          <w:spacing w:val="-10"/>
        </w:rPr>
        <w:t xml:space="preserve"> </w:t>
      </w:r>
      <w:r>
        <w:t>curb</w:t>
      </w:r>
      <w:r>
        <w:rPr>
          <w:spacing w:val="-13"/>
        </w:rPr>
        <w:t xml:space="preserve"> </w:t>
      </w:r>
      <w:r>
        <w:t>the</w:t>
      </w:r>
      <w:r>
        <w:rPr>
          <w:spacing w:val="-11"/>
        </w:rPr>
        <w:t xml:space="preserve"> </w:t>
      </w:r>
      <w:r>
        <w:t>rising</w:t>
      </w:r>
      <w:r>
        <w:rPr>
          <w:spacing w:val="-14"/>
        </w:rPr>
        <w:t xml:space="preserve"> </w:t>
      </w:r>
      <w:r>
        <w:t>drug</w:t>
      </w:r>
      <w:r>
        <w:rPr>
          <w:spacing w:val="-15"/>
        </w:rPr>
        <w:t xml:space="preserve"> </w:t>
      </w:r>
      <w:r>
        <w:t>costs that</w:t>
      </w:r>
      <w:r>
        <w:rPr>
          <w:spacing w:val="-4"/>
        </w:rPr>
        <w:t xml:space="preserve"> </w:t>
      </w:r>
      <w:r>
        <w:t>are</w:t>
      </w:r>
      <w:r>
        <w:rPr>
          <w:spacing w:val="-6"/>
        </w:rPr>
        <w:t xml:space="preserve"> </w:t>
      </w:r>
      <w:r>
        <w:t>typically</w:t>
      </w:r>
      <w:r>
        <w:rPr>
          <w:spacing w:val="-9"/>
        </w:rPr>
        <w:t xml:space="preserve"> </w:t>
      </w:r>
      <w:r>
        <w:t>passed</w:t>
      </w:r>
      <w:r>
        <w:rPr>
          <w:spacing w:val="-4"/>
        </w:rPr>
        <w:t xml:space="preserve"> </w:t>
      </w:r>
      <w:r>
        <w:t>onto</w:t>
      </w:r>
      <w:r>
        <w:rPr>
          <w:spacing w:val="-3"/>
        </w:rPr>
        <w:t xml:space="preserve"> </w:t>
      </w:r>
      <w:r>
        <w:t>plan</w:t>
      </w:r>
      <w:r>
        <w:rPr>
          <w:spacing w:val="-4"/>
        </w:rPr>
        <w:t xml:space="preserve"> </w:t>
      </w:r>
      <w:r>
        <w:t>participants</w:t>
      </w:r>
      <w:r>
        <w:rPr>
          <w:spacing w:val="-2"/>
        </w:rPr>
        <w:t xml:space="preserve"> </w:t>
      </w:r>
      <w:r>
        <w:t>–</w:t>
      </w:r>
      <w:r>
        <w:rPr>
          <w:spacing w:val="-4"/>
        </w:rPr>
        <w:t xml:space="preserve"> </w:t>
      </w:r>
      <w:r>
        <w:t>either</w:t>
      </w:r>
      <w:r>
        <w:rPr>
          <w:spacing w:val="-5"/>
        </w:rPr>
        <w:t xml:space="preserve"> </w:t>
      </w:r>
      <w:r>
        <w:t>in</w:t>
      </w:r>
      <w:r>
        <w:rPr>
          <w:spacing w:val="-3"/>
        </w:rPr>
        <w:t xml:space="preserve"> </w:t>
      </w:r>
      <w:r>
        <w:t>the</w:t>
      </w:r>
      <w:r>
        <w:rPr>
          <w:spacing w:val="-4"/>
        </w:rPr>
        <w:t xml:space="preserve"> </w:t>
      </w:r>
      <w:r>
        <w:t>form</w:t>
      </w:r>
      <w:r>
        <w:rPr>
          <w:spacing w:val="-3"/>
        </w:rPr>
        <w:t xml:space="preserve"> </w:t>
      </w:r>
      <w:r>
        <w:t>of</w:t>
      </w:r>
      <w:r>
        <w:rPr>
          <w:spacing w:val="-5"/>
        </w:rPr>
        <w:t xml:space="preserve"> </w:t>
      </w:r>
      <w:r>
        <w:t>reduced</w:t>
      </w:r>
      <w:r>
        <w:rPr>
          <w:spacing w:val="-4"/>
        </w:rPr>
        <w:t xml:space="preserve"> </w:t>
      </w:r>
      <w:r>
        <w:t>copays</w:t>
      </w:r>
      <w:r>
        <w:rPr>
          <w:spacing w:val="-4"/>
        </w:rPr>
        <w:t xml:space="preserve"> </w:t>
      </w:r>
      <w:r>
        <w:t>or</w:t>
      </w:r>
      <w:r>
        <w:rPr>
          <w:spacing w:val="-5"/>
        </w:rPr>
        <w:t xml:space="preserve"> </w:t>
      </w:r>
      <w:r>
        <w:t>improved benefits.</w:t>
      </w:r>
      <w:r>
        <w:rPr>
          <w:spacing w:val="-8"/>
        </w:rPr>
        <w:t xml:space="preserve"> </w:t>
      </w:r>
      <w:r>
        <w:t>More</w:t>
      </w:r>
      <w:r>
        <w:rPr>
          <w:spacing w:val="-10"/>
        </w:rPr>
        <w:t xml:space="preserve"> </w:t>
      </w:r>
      <w:r>
        <w:t>transparency</w:t>
      </w:r>
      <w:r>
        <w:rPr>
          <w:spacing w:val="-13"/>
        </w:rPr>
        <w:t xml:space="preserve"> </w:t>
      </w:r>
      <w:r>
        <w:t>may</w:t>
      </w:r>
      <w:r>
        <w:rPr>
          <w:spacing w:val="-11"/>
        </w:rPr>
        <w:t xml:space="preserve"> </w:t>
      </w:r>
      <w:r>
        <w:t>also</w:t>
      </w:r>
      <w:r>
        <w:rPr>
          <w:spacing w:val="-8"/>
        </w:rPr>
        <w:t xml:space="preserve"> </w:t>
      </w:r>
      <w:r>
        <w:t>lead</w:t>
      </w:r>
      <w:r>
        <w:rPr>
          <w:spacing w:val="-7"/>
        </w:rPr>
        <w:t xml:space="preserve"> </w:t>
      </w:r>
      <w:r>
        <w:t>to</w:t>
      </w:r>
      <w:r>
        <w:rPr>
          <w:spacing w:val="-6"/>
        </w:rPr>
        <w:t xml:space="preserve"> </w:t>
      </w:r>
      <w:r>
        <w:t>greater</w:t>
      </w:r>
      <w:r>
        <w:rPr>
          <w:spacing w:val="-10"/>
        </w:rPr>
        <w:t xml:space="preserve"> </w:t>
      </w:r>
      <w:r>
        <w:t>competition</w:t>
      </w:r>
      <w:r>
        <w:rPr>
          <w:spacing w:val="-9"/>
        </w:rPr>
        <w:t xml:space="preserve"> </w:t>
      </w:r>
      <w:r>
        <w:t>based</w:t>
      </w:r>
      <w:r>
        <w:rPr>
          <w:spacing w:val="-9"/>
        </w:rPr>
        <w:t xml:space="preserve"> </w:t>
      </w:r>
      <w:r>
        <w:t>on</w:t>
      </w:r>
      <w:r>
        <w:rPr>
          <w:spacing w:val="-6"/>
        </w:rPr>
        <w:t xml:space="preserve"> </w:t>
      </w:r>
      <w:r>
        <w:t>actual</w:t>
      </w:r>
      <w:r>
        <w:rPr>
          <w:spacing w:val="-9"/>
        </w:rPr>
        <w:t xml:space="preserve"> </w:t>
      </w:r>
      <w:r>
        <w:t>drug</w:t>
      </w:r>
      <w:r>
        <w:rPr>
          <w:spacing w:val="-11"/>
        </w:rPr>
        <w:t xml:space="preserve"> </w:t>
      </w:r>
      <w:r>
        <w:t>price.</w:t>
      </w:r>
      <w:r>
        <w:rPr>
          <w:spacing w:val="-4"/>
        </w:rPr>
        <w:t xml:space="preserve"> </w:t>
      </w:r>
      <w:r>
        <w:t>CMS has obvious opportunities to promote transparency in its relationships with manufacturers and PBMs resulting i</w:t>
      </w:r>
      <w:r>
        <w:t>n greater influence over the treatment of rebates and</w:t>
      </w:r>
      <w:r>
        <w:rPr>
          <w:spacing w:val="-12"/>
        </w:rPr>
        <w:t xml:space="preserve"> </w:t>
      </w:r>
      <w:r>
        <w:t>discounts.</w:t>
      </w:r>
    </w:p>
    <w:p w:rsidR="00667F50" w:rsidRDefault="00667F50">
      <w:pPr>
        <w:pStyle w:val="BodyText"/>
        <w:spacing w:before="11"/>
        <w:rPr>
          <w:sz w:val="23"/>
        </w:rPr>
      </w:pPr>
    </w:p>
    <w:p w:rsidR="00667F50" w:rsidRDefault="00DB350E">
      <w:pPr>
        <w:pStyle w:val="BodyText"/>
        <w:ind w:left="100" w:right="118" w:firstLine="719"/>
        <w:jc w:val="both"/>
      </w:pPr>
      <w:r>
        <w:t xml:space="preserve">Full transparency means full disclosure of rebates, discounts and fees </w:t>
      </w:r>
      <w:r>
        <w:rPr>
          <w:i/>
        </w:rPr>
        <w:t>at the individual drug-level</w:t>
      </w:r>
      <w:r>
        <w:t>, as opposed to only making this information available in the aggregate and thus failing to provide a full and accurate picture. By providing complete drug-level transparency, the HTA has</w:t>
      </w:r>
      <w:r>
        <w:rPr>
          <w:spacing w:val="-16"/>
        </w:rPr>
        <w:t xml:space="preserve"> </w:t>
      </w:r>
      <w:r>
        <w:t>ensured</w:t>
      </w:r>
      <w:r>
        <w:rPr>
          <w:spacing w:val="-16"/>
        </w:rPr>
        <w:t xml:space="preserve"> </w:t>
      </w:r>
      <w:r>
        <w:t>that</w:t>
      </w:r>
      <w:r>
        <w:rPr>
          <w:spacing w:val="-16"/>
        </w:rPr>
        <w:t xml:space="preserve"> </w:t>
      </w:r>
      <w:r>
        <w:t>its</w:t>
      </w:r>
      <w:r>
        <w:rPr>
          <w:spacing w:val="-13"/>
        </w:rPr>
        <w:t xml:space="preserve"> </w:t>
      </w:r>
      <w:r>
        <w:t>companies</w:t>
      </w:r>
      <w:r>
        <w:rPr>
          <w:spacing w:val="-16"/>
        </w:rPr>
        <w:t xml:space="preserve"> </w:t>
      </w:r>
      <w:r>
        <w:t>and</w:t>
      </w:r>
      <w:r>
        <w:rPr>
          <w:spacing w:val="-14"/>
        </w:rPr>
        <w:t xml:space="preserve"> </w:t>
      </w:r>
      <w:r>
        <w:t>their</w:t>
      </w:r>
      <w:r>
        <w:rPr>
          <w:spacing w:val="-17"/>
        </w:rPr>
        <w:t xml:space="preserve"> </w:t>
      </w:r>
      <w:r>
        <w:t>plan</w:t>
      </w:r>
      <w:r>
        <w:rPr>
          <w:spacing w:val="-14"/>
        </w:rPr>
        <w:t xml:space="preserve"> </w:t>
      </w:r>
      <w:r>
        <w:t>participants</w:t>
      </w:r>
      <w:r>
        <w:rPr>
          <w:spacing w:val="-16"/>
        </w:rPr>
        <w:t xml:space="preserve"> </w:t>
      </w:r>
      <w:r>
        <w:t>are</w:t>
      </w:r>
      <w:r>
        <w:rPr>
          <w:spacing w:val="-15"/>
        </w:rPr>
        <w:t xml:space="preserve"> </w:t>
      </w:r>
      <w:r>
        <w:t>able</w:t>
      </w:r>
      <w:r>
        <w:rPr>
          <w:spacing w:val="-14"/>
        </w:rPr>
        <w:t xml:space="preserve"> </w:t>
      </w:r>
      <w:r>
        <w:t>to</w:t>
      </w:r>
      <w:r>
        <w:rPr>
          <w:spacing w:val="-15"/>
        </w:rPr>
        <w:t xml:space="preserve"> </w:t>
      </w:r>
      <w:r>
        <w:t>make</w:t>
      </w:r>
      <w:r>
        <w:rPr>
          <w:spacing w:val="-15"/>
        </w:rPr>
        <w:t xml:space="preserve"> </w:t>
      </w:r>
      <w:r>
        <w:t>more</w:t>
      </w:r>
      <w:r>
        <w:rPr>
          <w:spacing w:val="-17"/>
        </w:rPr>
        <w:t xml:space="preserve"> </w:t>
      </w:r>
      <w:r>
        <w:t>informed</w:t>
      </w:r>
      <w:r>
        <w:rPr>
          <w:spacing w:val="-16"/>
        </w:rPr>
        <w:t xml:space="preserve"> </w:t>
      </w:r>
      <w:r>
        <w:t>decisions about their health care plan choices and better evaluate the economic justification behind</w:t>
      </w:r>
      <w:r>
        <w:rPr>
          <w:spacing w:val="-15"/>
        </w:rPr>
        <w:t xml:space="preserve"> </w:t>
      </w:r>
      <w:r>
        <w:t>specific</w:t>
      </w:r>
    </w:p>
    <w:p w:rsidR="00667F50" w:rsidRDefault="00667F50">
      <w:pPr>
        <w:jc w:val="both"/>
        <w:sectPr w:rsidR="00667F50">
          <w:footerReference w:type="default" r:id="rId8"/>
          <w:type w:val="continuous"/>
          <w:pgSz w:w="12240" w:h="15840"/>
          <w:pgMar w:top="720" w:right="1320" w:bottom="1200" w:left="1340" w:header="720" w:footer="1007" w:gutter="0"/>
          <w:pgNumType w:start="1"/>
          <w:cols w:space="720"/>
        </w:sectPr>
      </w:pPr>
    </w:p>
    <w:p w:rsidR="00667F50" w:rsidRDefault="00667F50">
      <w:pPr>
        <w:pStyle w:val="BodyText"/>
        <w:spacing w:before="3"/>
        <w:rPr>
          <w:sz w:val="10"/>
        </w:rPr>
      </w:pPr>
      <w:bookmarkStart w:id="0" w:name="_GoBack"/>
    </w:p>
    <w:p w:rsidR="00667F50" w:rsidRDefault="00DB350E">
      <w:pPr>
        <w:pStyle w:val="BodyText"/>
        <w:spacing w:before="90"/>
        <w:ind w:left="100" w:right="103"/>
        <w:jc w:val="both"/>
      </w:pPr>
      <w:r>
        <w:t>drug price determina</w:t>
      </w:r>
      <w:r>
        <w:t>tions. Medicare can benefit from maximizing the transparency of rebates, discounts and fees in the same fashion while increasing accountability of drug manufactures on pricing.</w:t>
      </w:r>
    </w:p>
    <w:p w:rsidR="00667F50" w:rsidRDefault="00667F50">
      <w:pPr>
        <w:pStyle w:val="BodyText"/>
        <w:rPr>
          <w:sz w:val="26"/>
        </w:rPr>
      </w:pPr>
    </w:p>
    <w:p w:rsidR="00667F50" w:rsidRDefault="00667F50">
      <w:pPr>
        <w:pStyle w:val="BodyText"/>
        <w:spacing w:before="11"/>
        <w:rPr>
          <w:sz w:val="21"/>
        </w:rPr>
      </w:pPr>
    </w:p>
    <w:p w:rsidR="00667F50" w:rsidRDefault="00DB350E">
      <w:pPr>
        <w:pStyle w:val="ListParagraph"/>
        <w:numPr>
          <w:ilvl w:val="0"/>
          <w:numId w:val="1"/>
        </w:numPr>
        <w:tabs>
          <w:tab w:val="left" w:pos="341"/>
        </w:tabs>
        <w:jc w:val="both"/>
        <w:rPr>
          <w:i/>
          <w:sz w:val="24"/>
        </w:rPr>
      </w:pPr>
      <w:r>
        <w:rPr>
          <w:i/>
          <w:sz w:val="24"/>
        </w:rPr>
        <w:t>Allow mid-year formulary changes to provide best-in-market</w:t>
      </w:r>
      <w:r>
        <w:rPr>
          <w:i/>
          <w:spacing w:val="-10"/>
          <w:sz w:val="24"/>
        </w:rPr>
        <w:t xml:space="preserve"> </w:t>
      </w:r>
      <w:r>
        <w:rPr>
          <w:i/>
          <w:sz w:val="24"/>
        </w:rPr>
        <w:t>pricing</w:t>
      </w:r>
    </w:p>
    <w:p w:rsidR="00667F50" w:rsidRDefault="00667F50">
      <w:pPr>
        <w:pStyle w:val="BodyText"/>
        <w:spacing w:before="11"/>
        <w:rPr>
          <w:i/>
          <w:sz w:val="23"/>
        </w:rPr>
      </w:pPr>
    </w:p>
    <w:p w:rsidR="00667F50" w:rsidRDefault="00DB350E">
      <w:pPr>
        <w:pStyle w:val="BodyText"/>
        <w:ind w:left="32" w:right="98" w:firstLine="719"/>
        <w:jc w:val="right"/>
      </w:pPr>
      <w:r>
        <w:t>We support the concept of allowing enrollees to improve their pricing and benefit from formulary changes on an ongoing, semi-annual basis. We would encourage regular “market</w:t>
      </w:r>
      <w:r>
        <w:t xml:space="preserve"> </w:t>
      </w:r>
      <w:r>
        <w:t>checks,” allowing companies and plan participants to benefit from mid-contract pri</w:t>
      </w:r>
      <w:r>
        <w:t>ce reductions</w:t>
      </w:r>
      <w:r>
        <w:rPr>
          <w:w w:val="99"/>
        </w:rPr>
        <w:t xml:space="preserve"> </w:t>
      </w:r>
      <w:r>
        <w:t xml:space="preserve">based on increased competition, availability of new generics and other market changes. Likewise, CMS can reduce costs by allowing for midyear changes to its prescription drug formularies that may provide access to new, better priced generics </w:t>
      </w:r>
      <w:r>
        <w:t>introduced into the market during the plan year.</w:t>
      </w:r>
    </w:p>
    <w:p w:rsidR="00667F50" w:rsidRDefault="00667F50">
      <w:pPr>
        <w:pStyle w:val="BodyText"/>
        <w:spacing w:before="11"/>
        <w:rPr>
          <w:sz w:val="23"/>
        </w:rPr>
      </w:pPr>
    </w:p>
    <w:p w:rsidR="00667F50" w:rsidRDefault="00DB350E">
      <w:pPr>
        <w:pStyle w:val="BodyText"/>
        <w:ind w:left="100" w:right="102" w:firstLine="719"/>
        <w:jc w:val="both"/>
      </w:pPr>
      <w:r>
        <w:t>We understand the significant challenges facing both the Administration and Congress in implementing meaningful reforms to its Medicare programs. As CMS contemplates ways to help reduce the price of drugs u</w:t>
      </w:r>
      <w:r>
        <w:t>nder this rulemaking, we urge CMS to closely consider these recommendations and other strategies being implemented by employers in the private sector that are yielding success and helping to reverse the ever-rising cost trend.</w:t>
      </w:r>
      <w:bookmarkEnd w:id="0"/>
    </w:p>
    <w:sectPr w:rsidR="00667F50">
      <w:pgSz w:w="12240" w:h="15840"/>
      <w:pgMar w:top="1500" w:right="1340" w:bottom="1200" w:left="1340" w:header="0" w:footer="10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B350E">
      <w:r>
        <w:separator/>
      </w:r>
    </w:p>
  </w:endnote>
  <w:endnote w:type="continuationSeparator" w:id="0">
    <w:p w:rsidR="00000000" w:rsidRDefault="00DB3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F50" w:rsidRDefault="00DB350E">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55pt;margin-top:730.65pt;width:9pt;height:13.05pt;z-index:-251658752;mso-position-horizontal-relative:page;mso-position-vertical-relative:page" filled="f" stroked="f">
          <v:textbox inset="0,0,0,0">
            <w:txbxContent>
              <w:p w:rsidR="00667F50" w:rsidRDefault="00DB350E">
                <w:pPr>
                  <w:spacing w:before="10"/>
                  <w:ind w:left="40"/>
                  <w:rPr>
                    <w:sz w:val="20"/>
                  </w:rPr>
                </w:pPr>
                <w:r>
                  <w:fldChar w:fldCharType="begin"/>
                </w:r>
                <w:r>
                  <w:rPr>
                    <w:w w:val="99"/>
                    <w:sz w:val="20"/>
                  </w:rPr>
                  <w:instrText xml:space="preserve"> PAGE </w:instrText>
                </w:r>
                <w:r>
                  <w:fldChar w:fldCharType="separate"/>
                </w:r>
                <w:r>
                  <w:rPr>
                    <w:noProof/>
                    <w:w w:val="99"/>
                    <w:sz w:val="20"/>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B350E">
      <w:r>
        <w:separator/>
      </w:r>
    </w:p>
  </w:footnote>
  <w:footnote w:type="continuationSeparator" w:id="0">
    <w:p w:rsidR="00000000" w:rsidRDefault="00DB35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844E1"/>
    <w:multiLevelType w:val="hybridMultilevel"/>
    <w:tmpl w:val="5B4E2B20"/>
    <w:lvl w:ilvl="0" w:tplc="BBC867BE">
      <w:start w:val="1"/>
      <w:numFmt w:val="decimal"/>
      <w:lvlText w:val="%1."/>
      <w:lvlJc w:val="left"/>
      <w:pPr>
        <w:ind w:left="340" w:hanging="240"/>
        <w:jc w:val="left"/>
      </w:pPr>
      <w:rPr>
        <w:rFonts w:ascii="Times New Roman" w:eastAsia="Times New Roman" w:hAnsi="Times New Roman" w:cs="Times New Roman" w:hint="default"/>
        <w:spacing w:val="-2"/>
        <w:w w:val="99"/>
        <w:sz w:val="24"/>
        <w:szCs w:val="24"/>
      </w:rPr>
    </w:lvl>
    <w:lvl w:ilvl="1" w:tplc="3CC81A06">
      <w:numFmt w:val="bullet"/>
      <w:lvlText w:val="•"/>
      <w:lvlJc w:val="left"/>
      <w:pPr>
        <w:ind w:left="1264" w:hanging="240"/>
      </w:pPr>
      <w:rPr>
        <w:rFonts w:hint="default"/>
      </w:rPr>
    </w:lvl>
    <w:lvl w:ilvl="2" w:tplc="C94AB9B6">
      <w:numFmt w:val="bullet"/>
      <w:lvlText w:val="•"/>
      <w:lvlJc w:val="left"/>
      <w:pPr>
        <w:ind w:left="2188" w:hanging="240"/>
      </w:pPr>
      <w:rPr>
        <w:rFonts w:hint="default"/>
      </w:rPr>
    </w:lvl>
    <w:lvl w:ilvl="3" w:tplc="FB00BE56">
      <w:numFmt w:val="bullet"/>
      <w:lvlText w:val="•"/>
      <w:lvlJc w:val="left"/>
      <w:pPr>
        <w:ind w:left="3112" w:hanging="240"/>
      </w:pPr>
      <w:rPr>
        <w:rFonts w:hint="default"/>
      </w:rPr>
    </w:lvl>
    <w:lvl w:ilvl="4" w:tplc="79EA9C8C">
      <w:numFmt w:val="bullet"/>
      <w:lvlText w:val="•"/>
      <w:lvlJc w:val="left"/>
      <w:pPr>
        <w:ind w:left="4036" w:hanging="240"/>
      </w:pPr>
      <w:rPr>
        <w:rFonts w:hint="default"/>
      </w:rPr>
    </w:lvl>
    <w:lvl w:ilvl="5" w:tplc="4E7AFAA0">
      <w:numFmt w:val="bullet"/>
      <w:lvlText w:val="•"/>
      <w:lvlJc w:val="left"/>
      <w:pPr>
        <w:ind w:left="4960" w:hanging="240"/>
      </w:pPr>
      <w:rPr>
        <w:rFonts w:hint="default"/>
      </w:rPr>
    </w:lvl>
    <w:lvl w:ilvl="6" w:tplc="654CA252">
      <w:numFmt w:val="bullet"/>
      <w:lvlText w:val="•"/>
      <w:lvlJc w:val="left"/>
      <w:pPr>
        <w:ind w:left="5884" w:hanging="240"/>
      </w:pPr>
      <w:rPr>
        <w:rFonts w:hint="default"/>
      </w:rPr>
    </w:lvl>
    <w:lvl w:ilvl="7" w:tplc="BD48215A">
      <w:numFmt w:val="bullet"/>
      <w:lvlText w:val="•"/>
      <w:lvlJc w:val="left"/>
      <w:pPr>
        <w:ind w:left="6808" w:hanging="240"/>
      </w:pPr>
      <w:rPr>
        <w:rFonts w:hint="default"/>
      </w:rPr>
    </w:lvl>
    <w:lvl w:ilvl="8" w:tplc="F6AA6F2E">
      <w:numFmt w:val="bullet"/>
      <w:lvlText w:val="•"/>
      <w:lvlJc w:val="left"/>
      <w:pPr>
        <w:ind w:left="7732"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67F50"/>
    <w:rsid w:val="00667F50"/>
    <w:rsid w:val="00DB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BE0F0EF-43B7-4710-83DA-C80DE864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40"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3378</Characters>
  <Application>Microsoft Office Word</Application>
  <DocSecurity>0</DocSecurity>
  <Lines>64</Lines>
  <Paragraphs>12</Paragraphs>
  <ScaleCrop>false</ScaleCrop>
  <Company>CMS</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Tagmire</dc:creator>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 2016</vt:lpwstr>
  </property>
  <property fmtid="{D5CDD505-2E9C-101B-9397-08002B2CF9AE}" pid="4" name="LastSaved">
    <vt:filetime>2018-06-15T00:00:00Z</vt:filetime>
  </property>
</Properties>
</file>