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867" w:rsidRDefault="0074535D">
      <w:pPr>
        <w:pStyle w:val="BodyText"/>
        <w:rPr>
          <w:rFonts w:ascii="Times New Roman"/>
          <w:sz w:val="20"/>
        </w:rPr>
      </w:pPr>
      <w:r>
        <w:rPr>
          <w:noProof/>
        </w:rPr>
        <w:drawing>
          <wp:anchor distT="0" distB="0" distL="0" distR="0" simplePos="0" relativeHeight="268432223" behindDoc="1" locked="0" layoutInCell="1" allowOverlap="1">
            <wp:simplePos x="0" y="0"/>
            <wp:positionH relativeFrom="page">
              <wp:posOffset>0</wp:posOffset>
            </wp:positionH>
            <wp:positionV relativeFrom="page">
              <wp:posOffset>6349</wp:posOffset>
            </wp:positionV>
            <wp:extent cx="7696836" cy="100520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696836" cy="10052045"/>
                    </a:xfrm>
                    <a:prstGeom prst="rect">
                      <a:avLst/>
                    </a:prstGeom>
                  </pic:spPr>
                </pic:pic>
              </a:graphicData>
            </a:graphic>
          </wp:anchor>
        </w:drawing>
      </w:r>
    </w:p>
    <w:p w:rsidR="00EC4867" w:rsidRDefault="00EC4867">
      <w:pPr>
        <w:pStyle w:val="BodyText"/>
        <w:spacing w:before="9"/>
        <w:rPr>
          <w:rFonts w:ascii="Times New Roman"/>
          <w:sz w:val="25"/>
        </w:rPr>
      </w:pPr>
    </w:p>
    <w:p w:rsidR="00EC4867" w:rsidRDefault="0074535D">
      <w:pPr>
        <w:pStyle w:val="BodyText"/>
        <w:spacing w:before="100"/>
        <w:ind w:left="1881"/>
      </w:pPr>
      <w:r>
        <w:t>January 16, 2018</w:t>
      </w:r>
    </w:p>
    <w:p w:rsidR="00EC4867" w:rsidRDefault="00EC4867">
      <w:pPr>
        <w:pStyle w:val="BodyText"/>
        <w:rPr>
          <w:sz w:val="28"/>
        </w:rPr>
      </w:pPr>
    </w:p>
    <w:p w:rsidR="00EC4867" w:rsidRDefault="0074535D">
      <w:pPr>
        <w:pStyle w:val="BodyText"/>
        <w:spacing w:before="245"/>
        <w:ind w:left="1881"/>
      </w:pPr>
      <w:r>
        <w:t>Ms. Seema Verma, Administrator</w:t>
      </w:r>
    </w:p>
    <w:p w:rsidR="00EC4867" w:rsidRDefault="0074535D">
      <w:pPr>
        <w:pStyle w:val="BodyText"/>
        <w:spacing w:before="2"/>
        <w:ind w:left="1881" w:right="3213"/>
      </w:pPr>
      <w:r>
        <w:t>Centers for Medicare &amp; Medicaid Services Department of Health and Human Services Room 445-G, Hubert H. Humphrey Building 200 Independence Avenue, SW Washington, DC 20201</w:t>
      </w:r>
    </w:p>
    <w:p w:rsidR="00EC4867" w:rsidRDefault="0074535D">
      <w:pPr>
        <w:pStyle w:val="BodyText"/>
        <w:spacing w:before="2"/>
        <w:ind w:left="1881"/>
      </w:pPr>
      <w:r>
        <w:t>Submitted electronically via Regulations.gov</w:t>
      </w:r>
    </w:p>
    <w:p w:rsidR="00EC4867" w:rsidRDefault="00EC4867">
      <w:pPr>
        <w:pStyle w:val="BodyText"/>
        <w:spacing w:before="11"/>
        <w:rPr>
          <w:sz w:val="23"/>
        </w:rPr>
      </w:pPr>
    </w:p>
    <w:p w:rsidR="00EC4867" w:rsidRDefault="0074535D">
      <w:pPr>
        <w:pStyle w:val="BodyText"/>
        <w:ind w:left="1881" w:right="111"/>
      </w:pPr>
      <w:r>
        <w:t xml:space="preserve">Re: Medicare </w:t>
      </w:r>
      <w:r>
        <w:rPr>
          <w:spacing w:val="-3"/>
        </w:rPr>
        <w:t xml:space="preserve">Program; </w:t>
      </w:r>
      <w:r>
        <w:t xml:space="preserve">Contract </w:t>
      </w:r>
      <w:r>
        <w:rPr>
          <w:spacing w:val="-3"/>
        </w:rPr>
        <w:t xml:space="preserve">Year </w:t>
      </w:r>
      <w:r>
        <w:t xml:space="preserve">2019 </w:t>
      </w:r>
      <w:r>
        <w:rPr>
          <w:spacing w:val="-3"/>
        </w:rPr>
        <w:t xml:space="preserve">Policy </w:t>
      </w:r>
      <w:r>
        <w:t xml:space="preserve">and </w:t>
      </w:r>
      <w:r>
        <w:rPr>
          <w:spacing w:val="-3"/>
        </w:rPr>
        <w:t xml:space="preserve">Technical Changes </w:t>
      </w:r>
      <w:r>
        <w:t xml:space="preserve">to the Medicare </w:t>
      </w:r>
      <w:r>
        <w:rPr>
          <w:spacing w:val="-3"/>
        </w:rPr>
        <w:t xml:space="preserve">Advantage, Medicare </w:t>
      </w:r>
      <w:r>
        <w:t xml:space="preserve">Cost Plan, Medicare Fee-for-Service, the Medicare </w:t>
      </w:r>
      <w:r>
        <w:rPr>
          <w:spacing w:val="-3"/>
        </w:rPr>
        <w:t xml:space="preserve">Prescription Drug </w:t>
      </w:r>
      <w:r>
        <w:t xml:space="preserve">Benefit </w:t>
      </w:r>
      <w:r>
        <w:rPr>
          <w:spacing w:val="-3"/>
        </w:rPr>
        <w:t xml:space="preserve">Program, and the </w:t>
      </w:r>
      <w:r>
        <w:t>PACE Progra</w:t>
      </w:r>
      <w:r>
        <w:t>m</w:t>
      </w:r>
    </w:p>
    <w:p w:rsidR="00EC4867" w:rsidRDefault="00EC4867">
      <w:pPr>
        <w:pStyle w:val="BodyText"/>
        <w:spacing w:before="11"/>
        <w:rPr>
          <w:sz w:val="23"/>
        </w:rPr>
      </w:pPr>
    </w:p>
    <w:p w:rsidR="00EC4867" w:rsidRDefault="0074535D">
      <w:pPr>
        <w:pStyle w:val="BodyText"/>
        <w:ind w:left="1881"/>
      </w:pPr>
      <w:r>
        <w:t>Dear Administrator Verma,</w:t>
      </w:r>
    </w:p>
    <w:p w:rsidR="00EC4867" w:rsidRDefault="00EC4867">
      <w:pPr>
        <w:pStyle w:val="BodyText"/>
        <w:spacing w:before="11"/>
        <w:rPr>
          <w:sz w:val="23"/>
        </w:rPr>
      </w:pPr>
    </w:p>
    <w:p w:rsidR="00EC4867" w:rsidRDefault="0074535D">
      <w:pPr>
        <w:pStyle w:val="BodyText"/>
        <w:ind w:left="1881" w:right="106"/>
        <w:jc w:val="both"/>
      </w:pPr>
      <w:r>
        <w:t>The American College of Mohs Surgery (ACMS) represents more than 1,400 Mohs micrographic surgeons who have successfully completed extensive fellowship-training in Mohs micrographic surgery following their dermatology residency</w:t>
      </w:r>
      <w:r>
        <w:t xml:space="preserve"> training. Mohs Micrographic Surgery is the most effective and efficient treatment for advanced or difficult to treat skin cancers. In line with its mission, the Mohs College sets and promotes the highest standards of patient care relating to Mohs microgra</w:t>
      </w:r>
      <w:r>
        <w:t>phic surgery.</w:t>
      </w:r>
    </w:p>
    <w:p w:rsidR="00EC4867" w:rsidRDefault="00EC4867">
      <w:pPr>
        <w:pStyle w:val="BodyText"/>
        <w:spacing w:before="10"/>
        <w:rPr>
          <w:sz w:val="23"/>
        </w:rPr>
      </w:pPr>
    </w:p>
    <w:p w:rsidR="00EC4867" w:rsidRDefault="0074535D">
      <w:pPr>
        <w:pStyle w:val="BodyText"/>
        <w:ind w:left="1881" w:right="101"/>
        <w:jc w:val="both"/>
      </w:pPr>
      <w:r>
        <w:t>We appreciate the opportunity to provide comments on proposals outlined for Medicare Advantage Organizations (MAOs) in 2019 as they impact enrollees access to skin cancer care and treatment.</w:t>
      </w:r>
    </w:p>
    <w:p w:rsidR="00EC4867" w:rsidRDefault="00EC4867">
      <w:pPr>
        <w:pStyle w:val="BodyText"/>
        <w:spacing w:before="7"/>
        <w:rPr>
          <w:sz w:val="27"/>
        </w:rPr>
      </w:pPr>
    </w:p>
    <w:p w:rsidR="00EC4867" w:rsidRDefault="0074535D">
      <w:pPr>
        <w:pStyle w:val="BodyText"/>
        <w:ind w:left="1881" w:right="107"/>
      </w:pPr>
      <w:bookmarkStart w:id="0" w:name="Medicare_Advantage_and_Part_D_Prescripti"/>
      <w:bookmarkEnd w:id="0"/>
      <w:r>
        <w:rPr>
          <w:color w:val="1F4D78"/>
        </w:rPr>
        <w:t>Medicare</w:t>
      </w:r>
      <w:r>
        <w:rPr>
          <w:color w:val="1F4D78"/>
          <w:spacing w:val="-7"/>
        </w:rPr>
        <w:t xml:space="preserve"> </w:t>
      </w:r>
      <w:r>
        <w:rPr>
          <w:color w:val="1F4D78"/>
          <w:spacing w:val="-3"/>
        </w:rPr>
        <w:t>Advantage</w:t>
      </w:r>
      <w:r>
        <w:rPr>
          <w:color w:val="1F4D78"/>
          <w:spacing w:val="-7"/>
        </w:rPr>
        <w:t xml:space="preserve"> </w:t>
      </w:r>
      <w:r>
        <w:rPr>
          <w:color w:val="1F4D78"/>
          <w:spacing w:val="-3"/>
        </w:rPr>
        <w:t>and</w:t>
      </w:r>
      <w:r>
        <w:rPr>
          <w:color w:val="1F4D78"/>
          <w:spacing w:val="-4"/>
        </w:rPr>
        <w:t xml:space="preserve"> </w:t>
      </w:r>
      <w:r>
        <w:rPr>
          <w:color w:val="1F4D78"/>
          <w:spacing w:val="-3"/>
        </w:rPr>
        <w:t>Part</w:t>
      </w:r>
      <w:r>
        <w:rPr>
          <w:color w:val="1F4D78"/>
          <w:spacing w:val="-7"/>
        </w:rPr>
        <w:t xml:space="preserve"> </w:t>
      </w:r>
      <w:r>
        <w:rPr>
          <w:color w:val="1F4D78"/>
        </w:rPr>
        <w:t>D</w:t>
      </w:r>
      <w:r>
        <w:rPr>
          <w:color w:val="1F4D78"/>
          <w:spacing w:val="-4"/>
        </w:rPr>
        <w:t xml:space="preserve"> </w:t>
      </w:r>
      <w:r>
        <w:rPr>
          <w:color w:val="1F4D78"/>
          <w:spacing w:val="-3"/>
        </w:rPr>
        <w:t>Prescription</w:t>
      </w:r>
      <w:r>
        <w:rPr>
          <w:color w:val="1F4D78"/>
          <w:spacing w:val="-8"/>
        </w:rPr>
        <w:t xml:space="preserve"> </w:t>
      </w:r>
      <w:r>
        <w:rPr>
          <w:color w:val="1F4D78"/>
        </w:rPr>
        <w:t>Drug</w:t>
      </w:r>
      <w:r>
        <w:rPr>
          <w:color w:val="1F4D78"/>
          <w:spacing w:val="-7"/>
        </w:rPr>
        <w:t xml:space="preserve"> </w:t>
      </w:r>
      <w:r>
        <w:rPr>
          <w:color w:val="1F4D78"/>
          <w:spacing w:val="-3"/>
        </w:rPr>
        <w:t>P</w:t>
      </w:r>
      <w:r>
        <w:rPr>
          <w:color w:val="1F4D78"/>
          <w:spacing w:val="-3"/>
        </w:rPr>
        <w:t>lan</w:t>
      </w:r>
      <w:r>
        <w:rPr>
          <w:color w:val="1F4D78"/>
          <w:spacing w:val="-7"/>
        </w:rPr>
        <w:t xml:space="preserve"> </w:t>
      </w:r>
      <w:r>
        <w:rPr>
          <w:color w:val="1F4D78"/>
        </w:rPr>
        <w:t>Quality</w:t>
      </w:r>
      <w:r>
        <w:rPr>
          <w:color w:val="1F4D78"/>
          <w:spacing w:val="-9"/>
        </w:rPr>
        <w:t xml:space="preserve"> </w:t>
      </w:r>
      <w:r>
        <w:rPr>
          <w:color w:val="1F4D78"/>
        </w:rPr>
        <w:t>Rating</w:t>
      </w:r>
      <w:r>
        <w:rPr>
          <w:color w:val="1F4D78"/>
          <w:spacing w:val="-6"/>
        </w:rPr>
        <w:t xml:space="preserve"> </w:t>
      </w:r>
      <w:r>
        <w:rPr>
          <w:color w:val="1F4D78"/>
        </w:rPr>
        <w:t xml:space="preserve">System </w:t>
      </w:r>
      <w:r>
        <w:t>Fellowship-trained Mohs surgeons are working to address a growing epidemic of skin cancer. According to the Centers for Disease Control and Prevention (CDC), more than one in five Americans will develop skin cancer in their lifetime. Despite this and other</w:t>
      </w:r>
      <w:r>
        <w:t xml:space="preserve"> concerning skin cancer statistics, MA plans continue to limit enrollee access to the integrated, coordinated, h</w:t>
      </w:r>
      <w:r>
        <w:rPr>
          <w:spacing w:val="2"/>
        </w:rPr>
        <w:t>ig</w:t>
      </w:r>
      <w:r>
        <w:t>h</w:t>
      </w:r>
      <w:r>
        <w:rPr>
          <w:spacing w:val="1"/>
        </w:rPr>
        <w:t>-</w:t>
      </w:r>
      <w:r>
        <w:rPr>
          <w:w w:val="92"/>
        </w:rPr>
        <w:t>qu</w:t>
      </w:r>
      <w:r>
        <w:rPr>
          <w:spacing w:val="1"/>
          <w:w w:val="92"/>
        </w:rPr>
        <w:t>a</w:t>
      </w:r>
      <w:r>
        <w:rPr>
          <w:spacing w:val="-1"/>
          <w:w w:val="104"/>
        </w:rPr>
        <w:t>li</w:t>
      </w:r>
      <w:r>
        <w:rPr>
          <w:spacing w:val="2"/>
          <w:w w:val="124"/>
        </w:rPr>
        <w:t>t</w:t>
      </w:r>
      <w:r>
        <w:rPr>
          <w:w w:val="92"/>
        </w:rPr>
        <w:t>y</w:t>
      </w:r>
      <w:r>
        <w:rPr>
          <w:spacing w:val="-16"/>
        </w:rPr>
        <w:t xml:space="preserve"> </w:t>
      </w:r>
      <w:r>
        <w:rPr>
          <w:spacing w:val="1"/>
        </w:rPr>
        <w:t>a</w:t>
      </w:r>
      <w:r>
        <w:t>nd</w:t>
      </w:r>
      <w:r>
        <w:rPr>
          <w:spacing w:val="-4"/>
        </w:rPr>
        <w:t xml:space="preserve"> </w:t>
      </w:r>
      <w:r>
        <w:rPr>
          <w:spacing w:val="-2"/>
        </w:rPr>
        <w:t>c</w:t>
      </w:r>
      <w:r>
        <w:rPr>
          <w:spacing w:val="-1"/>
        </w:rPr>
        <w:t>o</w:t>
      </w:r>
      <w:r>
        <w:rPr>
          <w:spacing w:val="2"/>
        </w:rPr>
        <w:t>s</w:t>
      </w:r>
      <w:r>
        <w:rPr>
          <w:spacing w:val="1"/>
        </w:rPr>
        <w:t>t</w:t>
      </w:r>
      <w:r>
        <w:rPr>
          <w:w w:val="20"/>
        </w:rPr>
        <w:t>-</w:t>
      </w:r>
      <w:r>
        <w:rPr>
          <w:w w:val="12"/>
        </w:rPr>
        <w:t>•</w:t>
      </w:r>
      <w:r>
        <w:rPr>
          <w:w w:val="19"/>
        </w:rPr>
        <w:t>‐</w:t>
      </w:r>
      <w:r>
        <w:rPr>
          <w:spacing w:val="1"/>
          <w:w w:val="96"/>
        </w:rPr>
        <w:t>ef</w:t>
      </w:r>
      <w:r>
        <w:rPr>
          <w:spacing w:val="-1"/>
          <w:w w:val="112"/>
        </w:rPr>
        <w:t>f</w:t>
      </w:r>
      <w:r>
        <w:rPr>
          <w:spacing w:val="5"/>
          <w:w w:val="88"/>
        </w:rPr>
        <w:t>e</w:t>
      </w:r>
      <w:r>
        <w:rPr>
          <w:spacing w:val="1"/>
          <w:w w:val="88"/>
        </w:rPr>
        <w:t>c</w:t>
      </w:r>
      <w:r>
        <w:rPr>
          <w:spacing w:val="2"/>
          <w:w w:val="124"/>
        </w:rPr>
        <w:t>t</w:t>
      </w:r>
      <w:r>
        <w:rPr>
          <w:spacing w:val="-1"/>
          <w:w w:val="104"/>
        </w:rPr>
        <w:t>i</w:t>
      </w:r>
      <w:r>
        <w:rPr>
          <w:spacing w:val="-3"/>
          <w:w w:val="92"/>
        </w:rPr>
        <w:t>v</w:t>
      </w:r>
      <w:r>
        <w:rPr>
          <w:w w:val="88"/>
        </w:rPr>
        <w:t>e</w:t>
      </w:r>
      <w:r>
        <w:rPr>
          <w:spacing w:val="-10"/>
        </w:rPr>
        <w:t xml:space="preserve"> </w:t>
      </w:r>
      <w:r>
        <w:rPr>
          <w:spacing w:val="2"/>
        </w:rPr>
        <w:t>s</w:t>
      </w:r>
      <w:r>
        <w:rPr>
          <w:spacing w:val="-1"/>
        </w:rPr>
        <w:t>k</w:t>
      </w:r>
      <w:r>
        <w:rPr>
          <w:spacing w:val="1"/>
        </w:rPr>
        <w:t>i</w:t>
      </w:r>
      <w:r>
        <w:t>n</w:t>
      </w:r>
      <w:r>
        <w:rPr>
          <w:spacing w:val="-8"/>
        </w:rPr>
        <w:t xml:space="preserve"> </w:t>
      </w:r>
      <w:r>
        <w:rPr>
          <w:spacing w:val="-2"/>
        </w:rPr>
        <w:t>c</w:t>
      </w:r>
      <w:r>
        <w:rPr>
          <w:spacing w:val="1"/>
        </w:rPr>
        <w:t>a</w:t>
      </w:r>
      <w:r>
        <w:t>n</w:t>
      </w:r>
      <w:r>
        <w:rPr>
          <w:spacing w:val="-2"/>
        </w:rPr>
        <w:t>c</w:t>
      </w:r>
      <w:r>
        <w:rPr>
          <w:spacing w:val="1"/>
        </w:rPr>
        <w:t>e</w:t>
      </w:r>
      <w:r>
        <w:t>r</w:t>
      </w:r>
      <w:r>
        <w:rPr>
          <w:spacing w:val="-7"/>
        </w:rPr>
        <w:t xml:space="preserve"> </w:t>
      </w:r>
      <w:r>
        <w:rPr>
          <w:spacing w:val="-2"/>
        </w:rPr>
        <w:t>c</w:t>
      </w:r>
      <w:r>
        <w:rPr>
          <w:spacing w:val="1"/>
        </w:rPr>
        <w:t>a</w:t>
      </w:r>
      <w:r>
        <w:rPr>
          <w:spacing w:val="2"/>
        </w:rPr>
        <w:t>r</w:t>
      </w:r>
      <w:r>
        <w:t>e</w:t>
      </w:r>
      <w:r>
        <w:rPr>
          <w:spacing w:val="-7"/>
        </w:rPr>
        <w:t xml:space="preserve"> </w:t>
      </w:r>
      <w:r>
        <w:rPr>
          <w:spacing w:val="1"/>
        </w:rPr>
        <w:t>a</w:t>
      </w:r>
      <w:r>
        <w:t>nd</w:t>
      </w:r>
      <w:r>
        <w:rPr>
          <w:spacing w:val="-22"/>
        </w:rPr>
        <w:t xml:space="preserve"> </w:t>
      </w:r>
      <w:r>
        <w:rPr>
          <w:spacing w:val="2"/>
          <w:w w:val="124"/>
        </w:rPr>
        <w:t>t</w:t>
      </w:r>
      <w:r>
        <w:rPr>
          <w:spacing w:val="-2"/>
          <w:w w:val="104"/>
        </w:rPr>
        <w:t>r</w:t>
      </w:r>
      <w:r>
        <w:rPr>
          <w:w w:val="96"/>
        </w:rPr>
        <w:t>e</w:t>
      </w:r>
      <w:r>
        <w:rPr>
          <w:spacing w:val="1"/>
          <w:w w:val="96"/>
        </w:rPr>
        <w:t>a</w:t>
      </w:r>
      <w:r>
        <w:rPr>
          <w:spacing w:val="-1"/>
          <w:w w:val="96"/>
        </w:rPr>
        <w:t>t</w:t>
      </w:r>
      <w:r>
        <w:rPr>
          <w:spacing w:val="2"/>
          <w:w w:val="96"/>
        </w:rPr>
        <w:t>m</w:t>
      </w:r>
      <w:r>
        <w:rPr>
          <w:w w:val="92"/>
        </w:rPr>
        <w:t>en</w:t>
      </w:r>
      <w:r>
        <w:rPr>
          <w:w w:val="124"/>
        </w:rPr>
        <w:t>t</w:t>
      </w:r>
      <w:r>
        <w:rPr>
          <w:spacing w:val="-8"/>
        </w:rPr>
        <w:t xml:space="preserve"> </w:t>
      </w:r>
      <w:r>
        <w:rPr>
          <w:spacing w:val="-1"/>
        </w:rPr>
        <w:t>op</w:t>
      </w:r>
      <w:r>
        <w:rPr>
          <w:spacing w:val="1"/>
        </w:rPr>
        <w:t>ti</w:t>
      </w:r>
      <w:r>
        <w:rPr>
          <w:spacing w:val="-1"/>
        </w:rPr>
        <w:t>on</w:t>
      </w:r>
      <w:r>
        <w:t>s</w:t>
      </w:r>
      <w:r>
        <w:rPr>
          <w:spacing w:val="3"/>
        </w:rPr>
        <w:t xml:space="preserve"> </w:t>
      </w:r>
      <w:r>
        <w:rPr>
          <w:spacing w:val="2"/>
        </w:rPr>
        <w:t>w</w:t>
      </w:r>
      <w:r>
        <w:t xml:space="preserve">e provide by eliminating Mohs surgeons from their provider networks. This “narrow network” approach creates significant access-to-care challenges for enrollees with skin cancer. In fact, some MA plans that fell short of a </w:t>
      </w:r>
      <w:r>
        <w:rPr>
          <w:spacing w:val="3"/>
        </w:rPr>
        <w:t xml:space="preserve">5- </w:t>
      </w:r>
      <w:r>
        <w:t>star rating in prior years elim</w:t>
      </w:r>
      <w:r>
        <w:t>inated every Mohs surgeons from their network because the plan perceived them as “expensive” compared to general dermatologists in the area. Mohs surgeons that have</w:t>
      </w:r>
      <w:r>
        <w:rPr>
          <w:spacing w:val="-16"/>
        </w:rPr>
        <w:t xml:space="preserve"> </w:t>
      </w:r>
      <w:r>
        <w:t>been</w:t>
      </w:r>
    </w:p>
    <w:p w:rsidR="00EC4867" w:rsidRDefault="00EC4867">
      <w:pPr>
        <w:sectPr w:rsidR="00EC4867">
          <w:type w:val="continuous"/>
          <w:pgSz w:w="12240" w:h="15840"/>
          <w:pgMar w:top="1500" w:right="1240" w:bottom="280" w:left="1720" w:header="720" w:footer="720" w:gutter="0"/>
          <w:cols w:space="720"/>
        </w:sectPr>
      </w:pPr>
    </w:p>
    <w:p w:rsidR="00EC4867" w:rsidRDefault="0074535D">
      <w:pPr>
        <w:pStyle w:val="BodyText"/>
        <w:spacing w:before="82"/>
        <w:ind w:left="100"/>
      </w:pPr>
      <w:r>
        <w:lastRenderedPageBreak/>
        <w:t>excluded from MA provider networks tell us they are seldom offered a sensible explanation regarding the circumstances for their termination, nor are they afforded a reasonable opportunity to dispute or challenge the decision.</w:t>
      </w:r>
    </w:p>
    <w:p w:rsidR="00EC4867" w:rsidRDefault="00EC4867">
      <w:pPr>
        <w:pStyle w:val="BodyText"/>
        <w:spacing w:before="4"/>
      </w:pPr>
    </w:p>
    <w:p w:rsidR="00EC4867" w:rsidRDefault="0074535D">
      <w:pPr>
        <w:pStyle w:val="BodyText"/>
        <w:ind w:left="100" w:right="118"/>
      </w:pPr>
      <w:r>
        <w:t>ACMS has long advocated for c</w:t>
      </w:r>
      <w:r>
        <w:t>hanges in MA plan requirements that would improve enrollee access to skin cancer care and treatment and address “narrow networks,” to include modifications in the Quality Rating System and implementation of new stars measures. For this reason, we appreciat</w:t>
      </w:r>
      <w:r>
        <w:t>e that CMS is soliciting feedback on the Quality Rating System and stars measures,</w:t>
      </w:r>
      <w:r>
        <w:rPr>
          <w:spacing w:val="-1"/>
        </w:rPr>
        <w:t xml:space="preserve"> </w:t>
      </w:r>
      <w:r>
        <w:t>and</w:t>
      </w:r>
      <w:r>
        <w:rPr>
          <w:spacing w:val="-6"/>
        </w:rPr>
        <w:t xml:space="preserve"> </w:t>
      </w:r>
      <w:r>
        <w:t>has</w:t>
      </w:r>
      <w:r>
        <w:rPr>
          <w:spacing w:val="-5"/>
        </w:rPr>
        <w:t xml:space="preserve"> </w:t>
      </w:r>
      <w:r>
        <w:t>expressed</w:t>
      </w:r>
      <w:r>
        <w:rPr>
          <w:spacing w:val="-2"/>
        </w:rPr>
        <w:t xml:space="preserve"> </w:t>
      </w:r>
      <w:r>
        <w:t>particular</w:t>
      </w:r>
      <w:r>
        <w:rPr>
          <w:spacing w:val="-5"/>
        </w:rPr>
        <w:t xml:space="preserve"> </w:t>
      </w:r>
      <w:r>
        <w:t>interest</w:t>
      </w:r>
      <w:r>
        <w:rPr>
          <w:spacing w:val="-1"/>
        </w:rPr>
        <w:t xml:space="preserve"> </w:t>
      </w:r>
      <w:r>
        <w:t>in</w:t>
      </w:r>
      <w:r>
        <w:rPr>
          <w:spacing w:val="-7"/>
        </w:rPr>
        <w:t xml:space="preserve"> </w:t>
      </w:r>
      <w:r>
        <w:t>key</w:t>
      </w:r>
      <w:r>
        <w:rPr>
          <w:spacing w:val="-3"/>
        </w:rPr>
        <w:t xml:space="preserve"> </w:t>
      </w:r>
      <w:r>
        <w:t>areas that</w:t>
      </w:r>
      <w:r>
        <w:rPr>
          <w:spacing w:val="-1"/>
        </w:rPr>
        <w:t xml:space="preserve"> </w:t>
      </w:r>
      <w:r>
        <w:t>may</w:t>
      </w:r>
      <w:r>
        <w:rPr>
          <w:spacing w:val="-3"/>
        </w:rPr>
        <w:t xml:space="preserve"> </w:t>
      </w:r>
      <w:r>
        <w:t>help</w:t>
      </w:r>
      <w:r>
        <w:rPr>
          <w:spacing w:val="-7"/>
        </w:rPr>
        <w:t xml:space="preserve"> </w:t>
      </w:r>
      <w:r>
        <w:t>address the</w:t>
      </w:r>
      <w:r>
        <w:rPr>
          <w:spacing w:val="-5"/>
        </w:rPr>
        <w:t xml:space="preserve"> </w:t>
      </w:r>
      <w:r>
        <w:t>challenges Mohs surgeons and MA enrollees face. We outline our recommendations</w:t>
      </w:r>
      <w:r>
        <w:rPr>
          <w:spacing w:val="-31"/>
        </w:rPr>
        <w:t xml:space="preserve"> </w:t>
      </w:r>
      <w:r>
        <w:t>below.</w:t>
      </w:r>
    </w:p>
    <w:p w:rsidR="00EC4867" w:rsidRDefault="00EC4867">
      <w:pPr>
        <w:pStyle w:val="BodyText"/>
        <w:spacing w:before="10"/>
        <w:rPr>
          <w:sz w:val="23"/>
        </w:rPr>
      </w:pPr>
    </w:p>
    <w:p w:rsidR="00EC4867" w:rsidRDefault="0074535D">
      <w:pPr>
        <w:spacing w:before="1"/>
        <w:ind w:left="100" w:right="146"/>
        <w:rPr>
          <w:i/>
          <w:sz w:val="24"/>
        </w:rPr>
      </w:pPr>
      <w:r>
        <w:rPr>
          <w:i/>
          <w:spacing w:val="-3"/>
          <w:sz w:val="24"/>
        </w:rPr>
        <w:t xml:space="preserve">We urge </w:t>
      </w:r>
      <w:r>
        <w:rPr>
          <w:i/>
          <w:sz w:val="24"/>
        </w:rPr>
        <w:t xml:space="preserve">CMS to include </w:t>
      </w:r>
      <w:r>
        <w:rPr>
          <w:i/>
          <w:spacing w:val="-7"/>
          <w:sz w:val="24"/>
        </w:rPr>
        <w:t xml:space="preserve">a </w:t>
      </w:r>
      <w:r>
        <w:rPr>
          <w:i/>
          <w:sz w:val="24"/>
        </w:rPr>
        <w:t xml:space="preserve">stars measure </w:t>
      </w:r>
      <w:r>
        <w:rPr>
          <w:i/>
          <w:spacing w:val="-3"/>
          <w:sz w:val="24"/>
        </w:rPr>
        <w:t xml:space="preserve">that </w:t>
      </w:r>
      <w:r>
        <w:rPr>
          <w:i/>
          <w:sz w:val="24"/>
        </w:rPr>
        <w:t xml:space="preserve">would </w:t>
      </w:r>
      <w:r>
        <w:rPr>
          <w:i/>
          <w:spacing w:val="-4"/>
          <w:sz w:val="24"/>
        </w:rPr>
        <w:t xml:space="preserve">award </w:t>
      </w:r>
      <w:r>
        <w:rPr>
          <w:i/>
          <w:sz w:val="24"/>
        </w:rPr>
        <w:t xml:space="preserve">points to MA plans </w:t>
      </w:r>
      <w:r>
        <w:rPr>
          <w:i/>
          <w:spacing w:val="-3"/>
          <w:sz w:val="24"/>
        </w:rPr>
        <w:t xml:space="preserve">that maintain </w:t>
      </w:r>
      <w:r>
        <w:rPr>
          <w:i/>
          <w:sz w:val="24"/>
        </w:rPr>
        <w:t>an adequate</w:t>
      </w:r>
      <w:r>
        <w:rPr>
          <w:i/>
          <w:spacing w:val="-5"/>
          <w:sz w:val="24"/>
        </w:rPr>
        <w:t xml:space="preserve"> </w:t>
      </w:r>
      <w:r>
        <w:rPr>
          <w:i/>
          <w:spacing w:val="-4"/>
          <w:sz w:val="24"/>
        </w:rPr>
        <w:t>network</w:t>
      </w:r>
      <w:r>
        <w:rPr>
          <w:i/>
          <w:spacing w:val="-5"/>
          <w:sz w:val="24"/>
        </w:rPr>
        <w:t xml:space="preserve"> </w:t>
      </w:r>
      <w:r>
        <w:rPr>
          <w:i/>
          <w:sz w:val="24"/>
        </w:rPr>
        <w:t>of</w:t>
      </w:r>
      <w:r>
        <w:rPr>
          <w:i/>
          <w:spacing w:val="-9"/>
          <w:sz w:val="24"/>
        </w:rPr>
        <w:t xml:space="preserve"> </w:t>
      </w:r>
      <w:r>
        <w:rPr>
          <w:i/>
          <w:spacing w:val="-3"/>
          <w:sz w:val="24"/>
        </w:rPr>
        <w:t>specialty</w:t>
      </w:r>
      <w:r>
        <w:rPr>
          <w:i/>
          <w:spacing w:val="-5"/>
          <w:sz w:val="24"/>
        </w:rPr>
        <w:t xml:space="preserve"> </w:t>
      </w:r>
      <w:r>
        <w:rPr>
          <w:i/>
          <w:spacing w:val="-2"/>
          <w:sz w:val="24"/>
        </w:rPr>
        <w:t>and</w:t>
      </w:r>
      <w:r>
        <w:rPr>
          <w:i/>
          <w:spacing w:val="-9"/>
          <w:sz w:val="24"/>
        </w:rPr>
        <w:t xml:space="preserve"> </w:t>
      </w:r>
      <w:r>
        <w:rPr>
          <w:i/>
          <w:spacing w:val="-3"/>
          <w:sz w:val="24"/>
        </w:rPr>
        <w:t>subspecialty</w:t>
      </w:r>
      <w:r>
        <w:rPr>
          <w:i/>
          <w:spacing w:val="-4"/>
          <w:sz w:val="24"/>
        </w:rPr>
        <w:t xml:space="preserve"> </w:t>
      </w:r>
      <w:r>
        <w:rPr>
          <w:i/>
          <w:sz w:val="24"/>
        </w:rPr>
        <w:t>physicians,</w:t>
      </w:r>
      <w:r>
        <w:rPr>
          <w:i/>
          <w:spacing w:val="-9"/>
          <w:sz w:val="24"/>
        </w:rPr>
        <w:t xml:space="preserve"> </w:t>
      </w:r>
      <w:r>
        <w:rPr>
          <w:i/>
          <w:sz w:val="24"/>
        </w:rPr>
        <w:t>including</w:t>
      </w:r>
      <w:r>
        <w:rPr>
          <w:i/>
          <w:spacing w:val="-9"/>
          <w:sz w:val="24"/>
        </w:rPr>
        <w:t xml:space="preserve"> </w:t>
      </w:r>
      <w:r>
        <w:rPr>
          <w:i/>
          <w:spacing w:val="-3"/>
          <w:sz w:val="24"/>
        </w:rPr>
        <w:t>Mohs</w:t>
      </w:r>
      <w:r>
        <w:rPr>
          <w:i/>
          <w:spacing w:val="-9"/>
          <w:sz w:val="24"/>
        </w:rPr>
        <w:t xml:space="preserve"> </w:t>
      </w:r>
      <w:r>
        <w:rPr>
          <w:i/>
          <w:sz w:val="24"/>
        </w:rPr>
        <w:t>surgeons.</w:t>
      </w:r>
      <w:r>
        <w:rPr>
          <w:i/>
          <w:spacing w:val="-5"/>
          <w:sz w:val="24"/>
        </w:rPr>
        <w:t xml:space="preserve"> </w:t>
      </w:r>
      <w:r>
        <w:rPr>
          <w:sz w:val="24"/>
        </w:rPr>
        <w:t>MA</w:t>
      </w:r>
      <w:r>
        <w:rPr>
          <w:spacing w:val="-6"/>
          <w:sz w:val="24"/>
        </w:rPr>
        <w:t xml:space="preserve"> </w:t>
      </w:r>
      <w:r>
        <w:rPr>
          <w:sz w:val="24"/>
        </w:rPr>
        <w:t>plans</w:t>
      </w:r>
      <w:r>
        <w:rPr>
          <w:spacing w:val="-3"/>
          <w:sz w:val="24"/>
        </w:rPr>
        <w:t xml:space="preserve"> </w:t>
      </w:r>
      <w:r>
        <w:rPr>
          <w:sz w:val="24"/>
        </w:rPr>
        <w:t xml:space="preserve">that do not provide enrollees with access to a full range </w:t>
      </w:r>
      <w:r>
        <w:rPr>
          <w:spacing w:val="-3"/>
          <w:sz w:val="24"/>
        </w:rPr>
        <w:t xml:space="preserve">of </w:t>
      </w:r>
      <w:r>
        <w:rPr>
          <w:sz w:val="24"/>
        </w:rPr>
        <w:t>specialists are il</w:t>
      </w:r>
      <w:r>
        <w:rPr>
          <w:sz w:val="24"/>
        </w:rPr>
        <w:t>l-equipped to provide high- quality, cost-effective care. Enrollees may not realize they need certain specialists, services or therapies until after they have enrolled in a plan. This is especially true when it comes to skin cancers where a mole or skin le</w:t>
      </w:r>
      <w:r>
        <w:rPr>
          <w:sz w:val="24"/>
        </w:rPr>
        <w:t xml:space="preserve">sion that seemed innocuous during enrollment suddenly requires the expertise of a fellowship-trained Mohs surgeon. </w:t>
      </w:r>
      <w:r>
        <w:rPr>
          <w:i/>
          <w:sz w:val="24"/>
        </w:rPr>
        <w:t xml:space="preserve">The weight </w:t>
      </w:r>
      <w:r>
        <w:rPr>
          <w:i/>
          <w:spacing w:val="-2"/>
          <w:sz w:val="24"/>
        </w:rPr>
        <w:t xml:space="preserve">for </w:t>
      </w:r>
      <w:r>
        <w:rPr>
          <w:i/>
          <w:sz w:val="24"/>
        </w:rPr>
        <w:t>this measure should be at least 3.0.</w:t>
      </w:r>
    </w:p>
    <w:p w:rsidR="00EC4867" w:rsidRDefault="00EC4867">
      <w:pPr>
        <w:pStyle w:val="BodyText"/>
        <w:spacing w:before="11"/>
        <w:rPr>
          <w:i/>
          <w:sz w:val="23"/>
        </w:rPr>
      </w:pPr>
    </w:p>
    <w:p w:rsidR="00EC4867" w:rsidRDefault="0074535D">
      <w:pPr>
        <w:ind w:left="100" w:right="226"/>
        <w:rPr>
          <w:sz w:val="24"/>
        </w:rPr>
      </w:pPr>
      <w:r>
        <w:rPr>
          <w:sz w:val="24"/>
        </w:rPr>
        <w:t xml:space="preserve">To accomplish this, </w:t>
      </w:r>
      <w:r>
        <w:rPr>
          <w:i/>
          <w:sz w:val="24"/>
        </w:rPr>
        <w:t xml:space="preserve">CMS must require MA plans to </w:t>
      </w:r>
      <w:r>
        <w:rPr>
          <w:i/>
          <w:sz w:val="24"/>
          <w:u w:val="single"/>
        </w:rPr>
        <w:t xml:space="preserve">accurately </w:t>
      </w:r>
      <w:r>
        <w:rPr>
          <w:i/>
          <w:sz w:val="24"/>
        </w:rPr>
        <w:t>identify physician specialti</w:t>
      </w:r>
      <w:r>
        <w:rPr>
          <w:i/>
          <w:sz w:val="24"/>
        </w:rPr>
        <w:t xml:space="preserve">es and subspecialties when calculating network adequacy. </w:t>
      </w:r>
      <w:r>
        <w:rPr>
          <w:sz w:val="24"/>
        </w:rPr>
        <w:t>The current MA network adequacy criteria guidance only requires plans to consider 27 provider specialty types. The list does not reflect the full range of physician specialty and subspecialty types t</w:t>
      </w:r>
      <w:r>
        <w:rPr>
          <w:sz w:val="24"/>
        </w:rPr>
        <w:t xml:space="preserve">hat will be needed by enrollees as their health needs change over time, particularly in the Medicare population. As a result, most MA provider panels remain grossly inadequate. </w:t>
      </w:r>
      <w:r>
        <w:rPr>
          <w:i/>
          <w:sz w:val="24"/>
        </w:rPr>
        <w:t>We urge CMS to revise these criteria and require MA plans to use the Healthcare</w:t>
      </w:r>
      <w:r>
        <w:rPr>
          <w:i/>
          <w:sz w:val="24"/>
        </w:rPr>
        <w:t xml:space="preserve"> Provider Taxonomy code set</w:t>
      </w:r>
      <w:r>
        <w:rPr>
          <w:sz w:val="24"/>
        </w:rPr>
        <w:t>, which was developed by the National Uniform Claims Committee (NUCC) to distinguish between specialty and subspecialty physicians. These codes are already employed by physicians when applying for a National Provider Identifier (</w:t>
      </w:r>
      <w:r>
        <w:rPr>
          <w:sz w:val="24"/>
        </w:rPr>
        <w:t>NPI) through the National Plan and Provider Enumeration System (NPPES). For example, Mohs surgeons identify themselves as follows:</w:t>
      </w:r>
    </w:p>
    <w:p w:rsidR="00EC4867" w:rsidRDefault="0074535D">
      <w:pPr>
        <w:pStyle w:val="ListParagraph"/>
        <w:numPr>
          <w:ilvl w:val="0"/>
          <w:numId w:val="1"/>
        </w:numPr>
        <w:tabs>
          <w:tab w:val="left" w:pos="820"/>
          <w:tab w:val="left" w:pos="821"/>
        </w:tabs>
        <w:rPr>
          <w:sz w:val="24"/>
        </w:rPr>
      </w:pPr>
      <w:r>
        <w:rPr>
          <w:sz w:val="24"/>
        </w:rPr>
        <w:t xml:space="preserve">Level I, </w:t>
      </w:r>
      <w:r>
        <w:rPr>
          <w:spacing w:val="-3"/>
          <w:sz w:val="24"/>
        </w:rPr>
        <w:t xml:space="preserve">Provider Type: </w:t>
      </w:r>
      <w:r>
        <w:rPr>
          <w:sz w:val="24"/>
        </w:rPr>
        <w:t>Allopathic &amp; Osteopathic Physician (Medicare Provider Type</w:t>
      </w:r>
      <w:r>
        <w:rPr>
          <w:spacing w:val="-33"/>
          <w:sz w:val="24"/>
        </w:rPr>
        <w:t xml:space="preserve"> </w:t>
      </w:r>
      <w:r>
        <w:rPr>
          <w:sz w:val="24"/>
        </w:rPr>
        <w:t>20)</w:t>
      </w:r>
    </w:p>
    <w:p w:rsidR="00EC4867" w:rsidRDefault="0074535D">
      <w:pPr>
        <w:pStyle w:val="ListParagraph"/>
        <w:numPr>
          <w:ilvl w:val="0"/>
          <w:numId w:val="1"/>
        </w:numPr>
        <w:tabs>
          <w:tab w:val="left" w:pos="820"/>
          <w:tab w:val="left" w:pos="821"/>
        </w:tabs>
        <w:rPr>
          <w:sz w:val="24"/>
        </w:rPr>
      </w:pPr>
      <w:r>
        <w:rPr>
          <w:sz w:val="24"/>
        </w:rPr>
        <w:t xml:space="preserve">Level II, </w:t>
      </w:r>
      <w:r>
        <w:rPr>
          <w:spacing w:val="-3"/>
          <w:sz w:val="24"/>
        </w:rPr>
        <w:t xml:space="preserve">Classification: </w:t>
      </w:r>
      <w:r>
        <w:rPr>
          <w:sz w:val="24"/>
        </w:rPr>
        <w:t xml:space="preserve">Dermatology </w:t>
      </w:r>
      <w:r>
        <w:rPr>
          <w:sz w:val="24"/>
        </w:rPr>
        <w:t>(207N00000X) (Medicare Specialty Code</w:t>
      </w:r>
      <w:r>
        <w:rPr>
          <w:spacing w:val="-23"/>
          <w:sz w:val="24"/>
        </w:rPr>
        <w:t xml:space="preserve"> </w:t>
      </w:r>
      <w:r>
        <w:rPr>
          <w:sz w:val="24"/>
        </w:rPr>
        <w:t>07)</w:t>
      </w:r>
    </w:p>
    <w:p w:rsidR="00EC4867" w:rsidRDefault="0074535D">
      <w:pPr>
        <w:pStyle w:val="ListParagraph"/>
        <w:numPr>
          <w:ilvl w:val="0"/>
          <w:numId w:val="1"/>
        </w:numPr>
        <w:tabs>
          <w:tab w:val="left" w:pos="820"/>
          <w:tab w:val="left" w:pos="821"/>
        </w:tabs>
        <w:rPr>
          <w:sz w:val="24"/>
        </w:rPr>
      </w:pPr>
      <w:r>
        <w:rPr>
          <w:sz w:val="24"/>
        </w:rPr>
        <w:t>Level</w:t>
      </w:r>
      <w:r>
        <w:rPr>
          <w:spacing w:val="-8"/>
          <w:sz w:val="24"/>
        </w:rPr>
        <w:t xml:space="preserve"> </w:t>
      </w:r>
      <w:r>
        <w:rPr>
          <w:sz w:val="24"/>
        </w:rPr>
        <w:t>III,</w:t>
      </w:r>
      <w:r>
        <w:rPr>
          <w:spacing w:val="-13"/>
          <w:sz w:val="24"/>
        </w:rPr>
        <w:t xml:space="preserve"> </w:t>
      </w:r>
      <w:r>
        <w:rPr>
          <w:sz w:val="24"/>
        </w:rPr>
        <w:t>Area</w:t>
      </w:r>
      <w:r>
        <w:rPr>
          <w:spacing w:val="-12"/>
          <w:sz w:val="24"/>
        </w:rPr>
        <w:t xml:space="preserve"> </w:t>
      </w:r>
      <w:r>
        <w:rPr>
          <w:sz w:val="24"/>
        </w:rPr>
        <w:t>of</w:t>
      </w:r>
      <w:r>
        <w:rPr>
          <w:spacing w:val="-15"/>
          <w:sz w:val="24"/>
        </w:rPr>
        <w:t xml:space="preserve"> </w:t>
      </w:r>
      <w:r>
        <w:rPr>
          <w:sz w:val="24"/>
        </w:rPr>
        <w:t>Specialization:</w:t>
      </w:r>
      <w:r>
        <w:rPr>
          <w:spacing w:val="-8"/>
          <w:sz w:val="24"/>
        </w:rPr>
        <w:t xml:space="preserve"> </w:t>
      </w:r>
      <w:r>
        <w:rPr>
          <w:sz w:val="24"/>
        </w:rPr>
        <w:t>MOHS</w:t>
      </w:r>
      <w:r>
        <w:rPr>
          <w:spacing w:val="-13"/>
          <w:sz w:val="24"/>
        </w:rPr>
        <w:t xml:space="preserve"> </w:t>
      </w:r>
      <w:r>
        <w:rPr>
          <w:sz w:val="24"/>
        </w:rPr>
        <w:t>Micrographic</w:t>
      </w:r>
      <w:r>
        <w:rPr>
          <w:spacing w:val="-11"/>
          <w:sz w:val="24"/>
        </w:rPr>
        <w:t xml:space="preserve"> </w:t>
      </w:r>
      <w:r>
        <w:rPr>
          <w:sz w:val="24"/>
        </w:rPr>
        <w:t>Surgery</w:t>
      </w:r>
      <w:r>
        <w:rPr>
          <w:spacing w:val="-10"/>
          <w:sz w:val="24"/>
        </w:rPr>
        <w:t xml:space="preserve"> </w:t>
      </w:r>
      <w:r>
        <w:rPr>
          <w:sz w:val="24"/>
        </w:rPr>
        <w:t>(207ND0101X)</w:t>
      </w:r>
    </w:p>
    <w:p w:rsidR="00EC4867" w:rsidRDefault="00EC4867">
      <w:pPr>
        <w:pStyle w:val="BodyText"/>
        <w:spacing w:before="4"/>
      </w:pPr>
    </w:p>
    <w:p w:rsidR="00EC4867" w:rsidRDefault="0074535D">
      <w:pPr>
        <w:spacing w:before="1"/>
        <w:ind w:left="100" w:right="105"/>
        <w:rPr>
          <w:i/>
          <w:sz w:val="24"/>
        </w:rPr>
      </w:pPr>
      <w:r>
        <w:rPr>
          <w:i/>
          <w:spacing w:val="-3"/>
          <w:sz w:val="24"/>
        </w:rPr>
        <w:t xml:space="preserve">We urge </w:t>
      </w:r>
      <w:r>
        <w:rPr>
          <w:i/>
          <w:sz w:val="24"/>
        </w:rPr>
        <w:t xml:space="preserve">CMS to establish a stars measure that would </w:t>
      </w:r>
      <w:r>
        <w:rPr>
          <w:i/>
          <w:spacing w:val="-3"/>
          <w:sz w:val="24"/>
        </w:rPr>
        <w:t xml:space="preserve">award </w:t>
      </w:r>
      <w:r>
        <w:rPr>
          <w:i/>
          <w:sz w:val="24"/>
        </w:rPr>
        <w:t xml:space="preserve">points to </w:t>
      </w:r>
      <w:r>
        <w:rPr>
          <w:i/>
          <w:spacing w:val="-5"/>
          <w:sz w:val="24"/>
        </w:rPr>
        <w:t xml:space="preserve">MA </w:t>
      </w:r>
      <w:r>
        <w:rPr>
          <w:i/>
          <w:spacing w:val="-3"/>
          <w:sz w:val="24"/>
        </w:rPr>
        <w:t xml:space="preserve">plans that maintain </w:t>
      </w:r>
      <w:r>
        <w:rPr>
          <w:i/>
          <w:sz w:val="24"/>
        </w:rPr>
        <w:t xml:space="preserve">an adequate </w:t>
      </w:r>
      <w:r>
        <w:rPr>
          <w:i/>
          <w:spacing w:val="-4"/>
          <w:sz w:val="24"/>
        </w:rPr>
        <w:t xml:space="preserve">network </w:t>
      </w:r>
      <w:r>
        <w:rPr>
          <w:i/>
          <w:sz w:val="24"/>
        </w:rPr>
        <w:t xml:space="preserve">of physicians </w:t>
      </w:r>
      <w:r>
        <w:rPr>
          <w:i/>
          <w:spacing w:val="-3"/>
          <w:sz w:val="24"/>
        </w:rPr>
        <w:t xml:space="preserve">who participate </w:t>
      </w:r>
      <w:r>
        <w:rPr>
          <w:i/>
          <w:sz w:val="24"/>
        </w:rPr>
        <w:t xml:space="preserve">in </w:t>
      </w:r>
      <w:r>
        <w:rPr>
          <w:i/>
          <w:spacing w:val="-4"/>
          <w:sz w:val="24"/>
        </w:rPr>
        <w:t xml:space="preserve">CMS </w:t>
      </w:r>
      <w:r>
        <w:rPr>
          <w:i/>
          <w:sz w:val="24"/>
        </w:rPr>
        <w:t xml:space="preserve">quality </w:t>
      </w:r>
      <w:r>
        <w:rPr>
          <w:i/>
          <w:spacing w:val="-3"/>
          <w:sz w:val="24"/>
        </w:rPr>
        <w:t xml:space="preserve">improvement programs, </w:t>
      </w:r>
      <w:r>
        <w:rPr>
          <w:i/>
          <w:sz w:val="24"/>
        </w:rPr>
        <w:t xml:space="preserve">such </w:t>
      </w:r>
      <w:r>
        <w:rPr>
          <w:i/>
          <w:spacing w:val="-3"/>
          <w:sz w:val="24"/>
        </w:rPr>
        <w:t xml:space="preserve">as </w:t>
      </w:r>
      <w:r>
        <w:rPr>
          <w:i/>
          <w:sz w:val="24"/>
        </w:rPr>
        <w:t xml:space="preserve">the Merit-based Incentive </w:t>
      </w:r>
      <w:r>
        <w:rPr>
          <w:i/>
          <w:spacing w:val="-4"/>
          <w:sz w:val="24"/>
        </w:rPr>
        <w:t xml:space="preserve">Payment </w:t>
      </w:r>
      <w:r>
        <w:rPr>
          <w:i/>
          <w:spacing w:val="-3"/>
          <w:sz w:val="24"/>
        </w:rPr>
        <w:t xml:space="preserve">System (MIPS) </w:t>
      </w:r>
      <w:r>
        <w:rPr>
          <w:i/>
          <w:spacing w:val="-2"/>
          <w:sz w:val="24"/>
        </w:rPr>
        <w:t xml:space="preserve">and </w:t>
      </w:r>
      <w:r>
        <w:rPr>
          <w:i/>
          <w:spacing w:val="-3"/>
          <w:sz w:val="24"/>
        </w:rPr>
        <w:t xml:space="preserve">Alternative </w:t>
      </w:r>
      <w:r>
        <w:rPr>
          <w:i/>
          <w:spacing w:val="-4"/>
          <w:sz w:val="24"/>
        </w:rPr>
        <w:t xml:space="preserve">Payment </w:t>
      </w:r>
      <w:r>
        <w:rPr>
          <w:i/>
          <w:sz w:val="24"/>
        </w:rPr>
        <w:t xml:space="preserve">Models </w:t>
      </w:r>
      <w:r>
        <w:rPr>
          <w:i/>
          <w:spacing w:val="-3"/>
          <w:sz w:val="24"/>
        </w:rPr>
        <w:t xml:space="preserve">(APMs). </w:t>
      </w:r>
      <w:r>
        <w:rPr>
          <w:sz w:val="24"/>
        </w:rPr>
        <w:t xml:space="preserve">Mohs surgeons engaged in these programs are supporting broad efforts to improve quality and reduce resource </w:t>
      </w:r>
      <w:r>
        <w:rPr>
          <w:sz w:val="24"/>
        </w:rPr>
        <w:t>use, which has tremendous benefits for MA plans and their enrollees. A stars measure that recognizes MA plans for maintaining high-quality, cost-efficient physicians on their provider panels may encourage MA plans to retain Mohs surgeons “in-network” and e</w:t>
      </w:r>
      <w:r>
        <w:rPr>
          <w:sz w:val="24"/>
        </w:rPr>
        <w:t xml:space="preserve">nsure enrollees have access to expert skin cancer care and treatment. </w:t>
      </w:r>
      <w:r>
        <w:rPr>
          <w:i/>
          <w:spacing w:val="-3"/>
          <w:sz w:val="24"/>
        </w:rPr>
        <w:t xml:space="preserve">The </w:t>
      </w:r>
      <w:r>
        <w:rPr>
          <w:i/>
          <w:sz w:val="24"/>
        </w:rPr>
        <w:t xml:space="preserve">weight </w:t>
      </w:r>
      <w:r>
        <w:rPr>
          <w:i/>
          <w:spacing w:val="-2"/>
          <w:sz w:val="24"/>
        </w:rPr>
        <w:t xml:space="preserve">for </w:t>
      </w:r>
      <w:r>
        <w:rPr>
          <w:i/>
          <w:sz w:val="24"/>
        </w:rPr>
        <w:t xml:space="preserve">this measure should be at least 1.5. </w:t>
      </w:r>
    </w:p>
    <w:p w:rsidR="00EC4867" w:rsidRDefault="00EC4867">
      <w:pPr>
        <w:rPr>
          <w:sz w:val="24"/>
        </w:rPr>
        <w:sectPr w:rsidR="00EC4867">
          <w:pgSz w:w="12240" w:h="15840"/>
          <w:pgMar w:top="1240" w:right="1260" w:bottom="280" w:left="1340" w:header="720" w:footer="720" w:gutter="0"/>
          <w:cols w:space="720"/>
        </w:sectPr>
      </w:pPr>
    </w:p>
    <w:p w:rsidR="00EC4867" w:rsidRDefault="0074535D">
      <w:pPr>
        <w:spacing w:before="82"/>
        <w:ind w:left="100" w:right="106"/>
        <w:rPr>
          <w:i/>
          <w:sz w:val="24"/>
        </w:rPr>
      </w:pPr>
      <w:r>
        <w:rPr>
          <w:i/>
          <w:spacing w:val="-3"/>
          <w:sz w:val="24"/>
        </w:rPr>
        <w:lastRenderedPageBreak/>
        <w:t xml:space="preserve">We urge CMS </w:t>
      </w:r>
      <w:r>
        <w:rPr>
          <w:i/>
          <w:sz w:val="24"/>
        </w:rPr>
        <w:t xml:space="preserve">to </w:t>
      </w:r>
      <w:r>
        <w:rPr>
          <w:i/>
          <w:spacing w:val="-3"/>
          <w:sz w:val="24"/>
        </w:rPr>
        <w:t xml:space="preserve">develop </w:t>
      </w:r>
      <w:r>
        <w:rPr>
          <w:i/>
          <w:sz w:val="24"/>
        </w:rPr>
        <w:t xml:space="preserve">a </w:t>
      </w:r>
      <w:r>
        <w:rPr>
          <w:i/>
          <w:spacing w:val="-3"/>
          <w:sz w:val="24"/>
        </w:rPr>
        <w:t xml:space="preserve">survey </w:t>
      </w:r>
      <w:r>
        <w:rPr>
          <w:i/>
          <w:sz w:val="24"/>
        </w:rPr>
        <w:t xml:space="preserve">of </w:t>
      </w:r>
      <w:r>
        <w:rPr>
          <w:i/>
          <w:spacing w:val="-3"/>
          <w:sz w:val="24"/>
        </w:rPr>
        <w:t xml:space="preserve">physician’s experiences </w:t>
      </w:r>
      <w:r>
        <w:rPr>
          <w:i/>
          <w:sz w:val="24"/>
        </w:rPr>
        <w:t xml:space="preserve">with MA </w:t>
      </w:r>
      <w:r>
        <w:rPr>
          <w:i/>
          <w:spacing w:val="-3"/>
          <w:sz w:val="24"/>
        </w:rPr>
        <w:t xml:space="preserve">plans </w:t>
      </w:r>
      <w:r>
        <w:rPr>
          <w:i/>
          <w:spacing w:val="-4"/>
          <w:sz w:val="24"/>
        </w:rPr>
        <w:t xml:space="preserve">and </w:t>
      </w:r>
      <w:r>
        <w:rPr>
          <w:i/>
          <w:sz w:val="24"/>
        </w:rPr>
        <w:t xml:space="preserve">establish a stars measure that would </w:t>
      </w:r>
      <w:r>
        <w:rPr>
          <w:i/>
          <w:spacing w:val="-4"/>
          <w:sz w:val="24"/>
        </w:rPr>
        <w:t xml:space="preserve">award </w:t>
      </w:r>
      <w:r>
        <w:rPr>
          <w:i/>
          <w:spacing w:val="-3"/>
          <w:sz w:val="24"/>
        </w:rPr>
        <w:t>poi</w:t>
      </w:r>
      <w:r>
        <w:rPr>
          <w:i/>
          <w:spacing w:val="-3"/>
          <w:sz w:val="24"/>
        </w:rPr>
        <w:t xml:space="preserve">nts </w:t>
      </w:r>
      <w:r>
        <w:rPr>
          <w:i/>
          <w:spacing w:val="-4"/>
          <w:sz w:val="24"/>
        </w:rPr>
        <w:t xml:space="preserve">to </w:t>
      </w:r>
      <w:r>
        <w:rPr>
          <w:i/>
          <w:sz w:val="24"/>
        </w:rPr>
        <w:t xml:space="preserve">MA </w:t>
      </w:r>
      <w:r>
        <w:rPr>
          <w:i/>
          <w:spacing w:val="-3"/>
          <w:sz w:val="24"/>
        </w:rPr>
        <w:t xml:space="preserve">plans based </w:t>
      </w:r>
      <w:r>
        <w:rPr>
          <w:i/>
          <w:sz w:val="24"/>
        </w:rPr>
        <w:t xml:space="preserve">on </w:t>
      </w:r>
      <w:r>
        <w:rPr>
          <w:i/>
          <w:spacing w:val="-3"/>
          <w:sz w:val="24"/>
        </w:rPr>
        <w:t xml:space="preserve">survey responses. </w:t>
      </w:r>
      <w:r>
        <w:rPr>
          <w:sz w:val="24"/>
        </w:rPr>
        <w:t xml:space="preserve">The survey of physicians should focus on a broad number of issues that physicians face in their engagements with MA plans, but most importantly, network adequacy. </w:t>
      </w:r>
      <w:r>
        <w:rPr>
          <w:spacing w:val="-3"/>
          <w:sz w:val="24"/>
        </w:rPr>
        <w:t xml:space="preserve">As </w:t>
      </w:r>
      <w:r>
        <w:rPr>
          <w:sz w:val="24"/>
        </w:rPr>
        <w:t>noted above, Mohs surgeons have been excluded from MA plans at unprecedented rates, are seldom offered a sensible explanation regarding the circumstances for their termination, nor are they afforded a reasonable opportunity to dispute or challenge the deci</w:t>
      </w:r>
      <w:r>
        <w:rPr>
          <w:sz w:val="24"/>
        </w:rPr>
        <w:t>sion. This is unacceptable. We believe the survey should delve into these issues in great detail, providing specialists the opportunity to share important information with CMS about their experiences in learning about their terminations and in attempting t</w:t>
      </w:r>
      <w:r>
        <w:rPr>
          <w:sz w:val="24"/>
        </w:rPr>
        <w:t xml:space="preserve">o appeal. ACMS would </w:t>
      </w:r>
      <w:r>
        <w:rPr>
          <w:spacing w:val="-3"/>
          <w:sz w:val="24"/>
        </w:rPr>
        <w:t xml:space="preserve">be </w:t>
      </w:r>
      <w:r>
        <w:rPr>
          <w:sz w:val="24"/>
        </w:rPr>
        <w:t xml:space="preserve">pleased to work closely with the agency to develop questions. </w:t>
      </w:r>
      <w:r>
        <w:rPr>
          <w:i/>
          <w:sz w:val="24"/>
        </w:rPr>
        <w:t xml:space="preserve">The weight </w:t>
      </w:r>
      <w:r>
        <w:rPr>
          <w:i/>
          <w:spacing w:val="-2"/>
          <w:sz w:val="24"/>
        </w:rPr>
        <w:t xml:space="preserve">for </w:t>
      </w:r>
      <w:r>
        <w:rPr>
          <w:i/>
          <w:sz w:val="24"/>
        </w:rPr>
        <w:t>this measure should be at least 3.0.</w:t>
      </w:r>
    </w:p>
    <w:p w:rsidR="00EC4867" w:rsidRDefault="00EC4867">
      <w:pPr>
        <w:pStyle w:val="BodyText"/>
        <w:spacing w:before="11"/>
        <w:rPr>
          <w:i/>
          <w:sz w:val="23"/>
        </w:rPr>
      </w:pPr>
    </w:p>
    <w:p w:rsidR="00EC4867" w:rsidRDefault="0074535D">
      <w:pPr>
        <w:pStyle w:val="BodyText"/>
        <w:ind w:left="100" w:right="114"/>
      </w:pPr>
      <w:r>
        <w:t>We would also be happy to share our members specific experiences, as well as how we’ve worked with Optum on improving</w:t>
      </w:r>
      <w:r>
        <w:t xml:space="preserve"> data analytics for skin cancer measures that MA plans could use to compare Mohs surgeons based on quality and cost. Unfortunately, while these efforts have been helpful, because MA plans are not required to maintain an adequate network of subspecialists, </w:t>
      </w:r>
      <w:r>
        <w:t>there is no incentive to adopt updated algorithms to equitably evaluate the efficiency and cost of Mohs surgeons.</w:t>
      </w:r>
    </w:p>
    <w:p w:rsidR="00EC4867" w:rsidRDefault="00EC4867">
      <w:pPr>
        <w:pStyle w:val="BodyText"/>
        <w:spacing w:before="6"/>
        <w:rPr>
          <w:sz w:val="25"/>
        </w:rPr>
      </w:pPr>
    </w:p>
    <w:p w:rsidR="00EC4867" w:rsidRDefault="0074535D">
      <w:pPr>
        <w:pStyle w:val="BodyText"/>
        <w:ind w:left="4510" w:right="4532"/>
        <w:jc w:val="center"/>
      </w:pPr>
      <w:bookmarkStart w:id="1" w:name="*****"/>
      <w:bookmarkEnd w:id="1"/>
      <w:r>
        <w:rPr>
          <w:color w:val="2D74B5"/>
        </w:rPr>
        <w:t>*****</w:t>
      </w:r>
    </w:p>
    <w:p w:rsidR="00EC4867" w:rsidRDefault="00EC4867">
      <w:pPr>
        <w:pStyle w:val="BodyText"/>
        <w:spacing w:before="11"/>
        <w:rPr>
          <w:sz w:val="23"/>
        </w:rPr>
      </w:pPr>
    </w:p>
    <w:p w:rsidR="00EC4867" w:rsidRDefault="0074535D">
      <w:pPr>
        <w:pStyle w:val="BodyText"/>
        <w:ind w:left="100" w:right="117"/>
        <w:jc w:val="both"/>
      </w:pPr>
      <w:r>
        <w:t xml:space="preserve">We appreciate the opportunity to provide feedback on this important issue. If you have any questions about our comments, please contact Emily L. Graham, RHIA, CCS-P, Consultant to the American College of Mohs Surgery at 703-975-6395 or </w:t>
      </w:r>
      <w:hyperlink r:id="rId6">
        <w:r>
          <w:rPr>
            <w:color w:val="0000FF"/>
            <w:u w:val="single" w:color="0000FF"/>
          </w:rPr>
          <w:t>egraham@hhs.com</w:t>
        </w:r>
      </w:hyperlink>
      <w:r>
        <w:t>.</w:t>
      </w:r>
    </w:p>
    <w:p w:rsidR="00EC4867" w:rsidRDefault="00EC4867">
      <w:pPr>
        <w:pStyle w:val="BodyText"/>
        <w:spacing w:before="11"/>
        <w:rPr>
          <w:sz w:val="23"/>
        </w:rPr>
      </w:pPr>
    </w:p>
    <w:p w:rsidR="00EC4867" w:rsidRDefault="0074535D">
      <w:pPr>
        <w:pStyle w:val="BodyText"/>
        <w:spacing w:before="1"/>
        <w:ind w:left="100"/>
      </w:pPr>
      <w:r>
        <w:t>Sincerely,</w:t>
      </w:r>
    </w:p>
    <w:p w:rsidR="00EC4867" w:rsidRDefault="0074535D">
      <w:pPr>
        <w:pStyle w:val="BodyText"/>
        <w:spacing w:before="9"/>
        <w:rPr>
          <w:sz w:val="20"/>
        </w:rPr>
      </w:pPr>
      <w:r>
        <w:rPr>
          <w:noProof/>
        </w:rPr>
        <w:drawing>
          <wp:anchor distT="0" distB="0" distL="0" distR="0" simplePos="0" relativeHeight="1048" behindDoc="0" locked="0" layoutInCell="1" allowOverlap="1">
            <wp:simplePos x="0" y="0"/>
            <wp:positionH relativeFrom="page">
              <wp:posOffset>948855</wp:posOffset>
            </wp:positionH>
            <wp:positionV relativeFrom="paragraph">
              <wp:posOffset>185849</wp:posOffset>
            </wp:positionV>
            <wp:extent cx="1402500" cy="3562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02500" cy="356235"/>
                    </a:xfrm>
                    <a:prstGeom prst="rect">
                      <a:avLst/>
                    </a:prstGeom>
                  </pic:spPr>
                </pic:pic>
              </a:graphicData>
            </a:graphic>
          </wp:anchor>
        </w:drawing>
      </w:r>
    </w:p>
    <w:p w:rsidR="00EC4867" w:rsidRDefault="0074535D">
      <w:pPr>
        <w:pStyle w:val="BodyText"/>
        <w:spacing w:line="242" w:lineRule="auto"/>
        <w:ind w:left="100" w:right="7148"/>
      </w:pPr>
      <w:r>
        <w:t>Allison Vidimos, RPh, MD President, ACMS</w:t>
      </w:r>
    </w:p>
    <w:p w:rsidR="00EC4867" w:rsidRDefault="0074535D">
      <w:pPr>
        <w:pStyle w:val="BodyText"/>
        <w:spacing w:before="6"/>
        <w:rPr>
          <w:sz w:val="20"/>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183906</wp:posOffset>
            </wp:positionV>
            <wp:extent cx="1820144" cy="6858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820144" cy="685800"/>
                    </a:xfrm>
                    <a:prstGeom prst="rect">
                      <a:avLst/>
                    </a:prstGeom>
                  </pic:spPr>
                </pic:pic>
              </a:graphicData>
            </a:graphic>
          </wp:anchor>
        </w:drawing>
      </w:r>
    </w:p>
    <w:p w:rsidR="00EC4867" w:rsidRDefault="0074535D">
      <w:pPr>
        <w:pStyle w:val="BodyText"/>
        <w:ind w:left="100"/>
      </w:pPr>
      <w:r>
        <w:t>Brent Moody, MD</w:t>
      </w:r>
    </w:p>
    <w:p w:rsidR="00EC4867" w:rsidRDefault="0074535D">
      <w:pPr>
        <w:pStyle w:val="BodyText"/>
        <w:spacing w:before="2"/>
        <w:ind w:left="100"/>
      </w:pPr>
      <w:r>
        <w:t>Chair, ACMS Public Policy Committee</w:t>
      </w:r>
    </w:p>
    <w:p w:rsidR="00EC4867" w:rsidRDefault="0074535D">
      <w:pPr>
        <w:pStyle w:val="BodyText"/>
        <w:spacing w:before="1"/>
        <w:rPr>
          <w:sz w:val="22"/>
        </w:rPr>
      </w:pPr>
      <w:r>
        <w:rPr>
          <w:noProof/>
        </w:rPr>
        <w:drawing>
          <wp:anchor distT="0" distB="0" distL="0" distR="0" simplePos="0" relativeHeight="1096" behindDoc="0" locked="0" layoutInCell="1" allowOverlap="1">
            <wp:simplePos x="0" y="0"/>
            <wp:positionH relativeFrom="page">
              <wp:posOffset>969010</wp:posOffset>
            </wp:positionH>
            <wp:positionV relativeFrom="paragraph">
              <wp:posOffset>196275</wp:posOffset>
            </wp:positionV>
            <wp:extent cx="1425187" cy="7620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425187" cy="762000"/>
                    </a:xfrm>
                    <a:prstGeom prst="rect">
                      <a:avLst/>
                    </a:prstGeom>
                  </pic:spPr>
                </pic:pic>
              </a:graphicData>
            </a:graphic>
          </wp:anchor>
        </w:drawing>
      </w:r>
    </w:p>
    <w:p w:rsidR="00EC4867" w:rsidRDefault="00EC4867">
      <w:pPr>
        <w:pStyle w:val="BodyText"/>
        <w:rPr>
          <w:sz w:val="22"/>
        </w:rPr>
      </w:pPr>
    </w:p>
    <w:p w:rsidR="00EC4867" w:rsidRDefault="0074535D">
      <w:pPr>
        <w:pStyle w:val="BodyText"/>
        <w:spacing w:before="1"/>
        <w:ind w:left="100"/>
      </w:pPr>
      <w:r>
        <w:t>Howard Rogers, MD</w:t>
      </w:r>
    </w:p>
    <w:p w:rsidR="00EC4867" w:rsidRDefault="0074535D">
      <w:pPr>
        <w:pStyle w:val="BodyText"/>
        <w:spacing w:before="2"/>
        <w:ind w:left="100"/>
      </w:pPr>
      <w:r>
        <w:t>Chair, ACMS Private Sector Advocacy Task Force</w:t>
      </w:r>
    </w:p>
    <w:p w:rsidR="00EC4867" w:rsidRDefault="00EC4867">
      <w:pPr>
        <w:sectPr w:rsidR="00EC4867">
          <w:pgSz w:w="12240" w:h="15840"/>
          <w:pgMar w:top="1240" w:right="1220" w:bottom="280" w:left="1340" w:header="720" w:footer="720" w:gutter="0"/>
          <w:cols w:space="720"/>
        </w:sectPr>
      </w:pPr>
    </w:p>
    <w:p w:rsidR="00EC4867" w:rsidRDefault="00EC4867">
      <w:pPr>
        <w:pStyle w:val="BodyText"/>
        <w:spacing w:before="4"/>
        <w:rPr>
          <w:rFonts w:ascii="Times New Roman"/>
          <w:sz w:val="17"/>
        </w:rPr>
      </w:pPr>
      <w:bookmarkStart w:id="2" w:name="_GoBack"/>
      <w:bookmarkEnd w:id="2"/>
    </w:p>
    <w:sectPr w:rsidR="00EC4867">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11397"/>
    <w:multiLevelType w:val="hybridMultilevel"/>
    <w:tmpl w:val="6200FE80"/>
    <w:lvl w:ilvl="0" w:tplc="1826B9C8">
      <w:numFmt w:val="bullet"/>
      <w:lvlText w:val=""/>
      <w:lvlJc w:val="left"/>
      <w:pPr>
        <w:ind w:left="821" w:hanging="361"/>
      </w:pPr>
      <w:rPr>
        <w:rFonts w:ascii="Symbol" w:eastAsia="Symbol" w:hAnsi="Symbol" w:cs="Symbol" w:hint="default"/>
        <w:w w:val="100"/>
        <w:sz w:val="24"/>
        <w:szCs w:val="24"/>
      </w:rPr>
    </w:lvl>
    <w:lvl w:ilvl="1" w:tplc="BA087B8C">
      <w:numFmt w:val="bullet"/>
      <w:lvlText w:val="•"/>
      <w:lvlJc w:val="left"/>
      <w:pPr>
        <w:ind w:left="1702" w:hanging="361"/>
      </w:pPr>
      <w:rPr>
        <w:rFonts w:hint="default"/>
      </w:rPr>
    </w:lvl>
    <w:lvl w:ilvl="2" w:tplc="142089E0">
      <w:numFmt w:val="bullet"/>
      <w:lvlText w:val="•"/>
      <w:lvlJc w:val="left"/>
      <w:pPr>
        <w:ind w:left="2584" w:hanging="361"/>
      </w:pPr>
      <w:rPr>
        <w:rFonts w:hint="default"/>
      </w:rPr>
    </w:lvl>
    <w:lvl w:ilvl="3" w:tplc="FE52218A">
      <w:numFmt w:val="bullet"/>
      <w:lvlText w:val="•"/>
      <w:lvlJc w:val="left"/>
      <w:pPr>
        <w:ind w:left="3466" w:hanging="361"/>
      </w:pPr>
      <w:rPr>
        <w:rFonts w:hint="default"/>
      </w:rPr>
    </w:lvl>
    <w:lvl w:ilvl="4" w:tplc="2BD4E970">
      <w:numFmt w:val="bullet"/>
      <w:lvlText w:val="•"/>
      <w:lvlJc w:val="left"/>
      <w:pPr>
        <w:ind w:left="4348" w:hanging="361"/>
      </w:pPr>
      <w:rPr>
        <w:rFonts w:hint="default"/>
      </w:rPr>
    </w:lvl>
    <w:lvl w:ilvl="5" w:tplc="059EC830">
      <w:numFmt w:val="bullet"/>
      <w:lvlText w:val="•"/>
      <w:lvlJc w:val="left"/>
      <w:pPr>
        <w:ind w:left="5230" w:hanging="361"/>
      </w:pPr>
      <w:rPr>
        <w:rFonts w:hint="default"/>
      </w:rPr>
    </w:lvl>
    <w:lvl w:ilvl="6" w:tplc="6FF487E2">
      <w:numFmt w:val="bullet"/>
      <w:lvlText w:val="•"/>
      <w:lvlJc w:val="left"/>
      <w:pPr>
        <w:ind w:left="6112" w:hanging="361"/>
      </w:pPr>
      <w:rPr>
        <w:rFonts w:hint="default"/>
      </w:rPr>
    </w:lvl>
    <w:lvl w:ilvl="7" w:tplc="5FC8FADE">
      <w:numFmt w:val="bullet"/>
      <w:lvlText w:val="•"/>
      <w:lvlJc w:val="left"/>
      <w:pPr>
        <w:ind w:left="6994" w:hanging="361"/>
      </w:pPr>
      <w:rPr>
        <w:rFonts w:hint="default"/>
      </w:rPr>
    </w:lvl>
    <w:lvl w:ilvl="8" w:tplc="DDCEB322">
      <w:numFmt w:val="bullet"/>
      <w:lvlText w:val="•"/>
      <w:lvlJc w:val="left"/>
      <w:pPr>
        <w:ind w:left="7876"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C4867"/>
    <w:rsid w:val="0074535D"/>
    <w:rsid w:val="00EC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7B9DA-F2DD-41C4-8214-C99BDB58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graham@hh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6342</Characters>
  <Application>Microsoft Office Word</Application>
  <DocSecurity>0</DocSecurity>
  <Lines>126</Lines>
  <Paragraphs>27</Paragraphs>
  <ScaleCrop>false</ScaleCrop>
  <Company>CMS</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lludwig</dc:creator>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vt:lpwstr>
  </property>
  <property fmtid="{D5CDD505-2E9C-101B-9397-08002B2CF9AE}" pid="4" name="LastSaved">
    <vt:filetime>2018-06-15T00:00:00Z</vt:filetime>
  </property>
</Properties>
</file>