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27" w:rsidRDefault="00EA0607">
      <w:pPr>
        <w:spacing w:before="72"/>
        <w:ind w:right="511"/>
        <w:jc w:val="right"/>
        <w:rPr>
          <w:b/>
          <w:sz w:val="20"/>
        </w:rPr>
      </w:pPr>
      <w:r>
        <w:rPr>
          <w:b/>
          <w:color w:val="0460A9"/>
          <w:sz w:val="20"/>
        </w:rPr>
        <w:t>Novartis Services, Inc.</w:t>
      </w:r>
    </w:p>
    <w:p w:rsidR="00BE0927" w:rsidRDefault="00EA0607">
      <w:pPr>
        <w:spacing w:before="2" w:line="207" w:lineRule="exact"/>
        <w:ind w:right="1229"/>
        <w:jc w:val="right"/>
        <w:rPr>
          <w:sz w:val="18"/>
        </w:rPr>
      </w:pPr>
      <w:r>
        <w:rPr>
          <w:sz w:val="18"/>
        </w:rPr>
        <w:t>One Health Plaza</w:t>
      </w:r>
    </w:p>
    <w:p w:rsidR="00BE0927" w:rsidRDefault="00EA0607">
      <w:pPr>
        <w:spacing w:line="207" w:lineRule="exact"/>
        <w:ind w:left="7236"/>
        <w:rPr>
          <w:sz w:val="18"/>
        </w:rPr>
      </w:pPr>
      <w:r>
        <w:rPr>
          <w:noProof/>
        </w:rPr>
        <w:drawing>
          <wp:anchor distT="0" distB="0" distL="0" distR="0" simplePos="0" relativeHeight="251658240" behindDoc="0" locked="0" layoutInCell="1" allowOverlap="1">
            <wp:simplePos x="0" y="0"/>
            <wp:positionH relativeFrom="page">
              <wp:posOffset>904875</wp:posOffset>
            </wp:positionH>
            <wp:positionV relativeFrom="paragraph">
              <wp:posOffset>11777</wp:posOffset>
            </wp:positionV>
            <wp:extent cx="1810384" cy="3301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0384" cy="330199"/>
                    </a:xfrm>
                    <a:prstGeom prst="rect">
                      <a:avLst/>
                    </a:prstGeom>
                  </pic:spPr>
                </pic:pic>
              </a:graphicData>
            </a:graphic>
          </wp:anchor>
        </w:drawing>
      </w:r>
      <w:r>
        <w:rPr>
          <w:sz w:val="18"/>
        </w:rPr>
        <w:t>East Hanover, NJ 07936</w:t>
      </w:r>
    </w:p>
    <w:p w:rsidR="00BE0927" w:rsidRDefault="00EA0607">
      <w:pPr>
        <w:spacing w:before="114"/>
        <w:ind w:right="1200"/>
        <w:jc w:val="right"/>
        <w:rPr>
          <w:b/>
          <w:sz w:val="18"/>
        </w:rPr>
      </w:pPr>
      <w:r>
        <w:rPr>
          <w:b/>
          <w:sz w:val="18"/>
        </w:rPr>
        <w:t>Leigh Anne Leas</w:t>
      </w:r>
    </w:p>
    <w:p w:rsidR="00BE0927" w:rsidRDefault="00EA0607">
      <w:pPr>
        <w:spacing w:before="3"/>
        <w:ind w:left="7236" w:right="92"/>
        <w:rPr>
          <w:sz w:val="18"/>
        </w:rPr>
      </w:pPr>
      <w:r>
        <w:rPr>
          <w:sz w:val="18"/>
        </w:rPr>
        <w:t>US Country Head, Public Policy Telephone +862-778-3284</w:t>
      </w:r>
    </w:p>
    <w:p w:rsidR="00BE0927" w:rsidRDefault="00BE0927">
      <w:pPr>
        <w:pStyle w:val="BodyText"/>
        <w:rPr>
          <w:sz w:val="20"/>
        </w:rPr>
      </w:pPr>
    </w:p>
    <w:p w:rsidR="00BE0927" w:rsidRDefault="00BE0927">
      <w:pPr>
        <w:pStyle w:val="BodyText"/>
        <w:rPr>
          <w:sz w:val="20"/>
        </w:rPr>
      </w:pPr>
    </w:p>
    <w:p w:rsidR="00BE0927" w:rsidRDefault="00BE0927">
      <w:pPr>
        <w:pStyle w:val="BodyText"/>
        <w:spacing w:before="1"/>
        <w:rPr>
          <w:sz w:val="20"/>
        </w:rPr>
      </w:pPr>
    </w:p>
    <w:p w:rsidR="00BE0927" w:rsidRDefault="00EA0607">
      <w:pPr>
        <w:pStyle w:val="BodyText"/>
        <w:spacing w:before="93"/>
        <w:ind w:left="120"/>
        <w:jc w:val="both"/>
      </w:pPr>
      <w:r>
        <w:t>January 16, 2018</w:t>
      </w:r>
    </w:p>
    <w:p w:rsidR="00BE0927" w:rsidRDefault="00BE0927">
      <w:pPr>
        <w:pStyle w:val="BodyText"/>
        <w:rPr>
          <w:sz w:val="24"/>
        </w:rPr>
      </w:pPr>
    </w:p>
    <w:p w:rsidR="00BE0927" w:rsidRDefault="00BE0927">
      <w:pPr>
        <w:pStyle w:val="BodyText"/>
        <w:rPr>
          <w:sz w:val="24"/>
        </w:rPr>
      </w:pPr>
    </w:p>
    <w:p w:rsidR="00BE0927" w:rsidRDefault="00EA0607">
      <w:pPr>
        <w:spacing w:before="1"/>
        <w:ind w:left="119"/>
        <w:jc w:val="both"/>
      </w:pPr>
      <w:r>
        <w:rPr>
          <w:b/>
        </w:rPr>
        <w:t xml:space="preserve">VIA ELECTRONIC SUBMISSION </w:t>
      </w:r>
      <w:r>
        <w:t xml:space="preserve">at </w:t>
      </w:r>
      <w:hyperlink r:id="rId8">
        <w:r>
          <w:t>www.regulations.gov</w:t>
        </w:r>
      </w:hyperlink>
    </w:p>
    <w:p w:rsidR="00BE0927" w:rsidRDefault="00BE0927">
      <w:pPr>
        <w:pStyle w:val="BodyText"/>
        <w:rPr>
          <w:sz w:val="24"/>
        </w:rPr>
      </w:pPr>
    </w:p>
    <w:p w:rsidR="00BE0927" w:rsidRDefault="00BE0927">
      <w:pPr>
        <w:pStyle w:val="BodyText"/>
        <w:spacing w:before="9"/>
        <w:rPr>
          <w:sz w:val="26"/>
        </w:rPr>
      </w:pPr>
    </w:p>
    <w:p w:rsidR="00BE0927" w:rsidRDefault="00EA0607">
      <w:pPr>
        <w:pStyle w:val="BodyText"/>
        <w:spacing w:before="1"/>
        <w:ind w:left="136" w:right="6801"/>
      </w:pPr>
      <w:r>
        <w:t>The Honorable Seema Verma Administrator</w:t>
      </w:r>
    </w:p>
    <w:p w:rsidR="00BE0927" w:rsidRDefault="00EA0607">
      <w:pPr>
        <w:pStyle w:val="BodyText"/>
        <w:ind w:left="136" w:right="5529"/>
      </w:pPr>
      <w:r>
        <w:t>Centers for Medicare &amp; Medicaid Services Department of Health and Human Services 200 Independence Avenue, S.W. Washington, D.C.</w:t>
      </w:r>
      <w:r>
        <w:rPr>
          <w:spacing w:val="53"/>
        </w:rPr>
        <w:t xml:space="preserve"> </w:t>
      </w:r>
      <w:r>
        <w:t>20201</w:t>
      </w:r>
    </w:p>
    <w:p w:rsidR="00BE0927" w:rsidRDefault="00BE0927">
      <w:pPr>
        <w:pStyle w:val="BodyText"/>
        <w:spacing w:before="2"/>
        <w:rPr>
          <w:sz w:val="24"/>
        </w:rPr>
      </w:pPr>
    </w:p>
    <w:p w:rsidR="00BE0927" w:rsidRDefault="00EA0607">
      <w:pPr>
        <w:pStyle w:val="Heading1"/>
        <w:spacing w:line="264" w:lineRule="auto"/>
        <w:ind w:left="120" w:right="397" w:firstLine="0"/>
        <w:rPr>
          <w:u w:val="none"/>
        </w:rPr>
      </w:pPr>
      <w:r>
        <w:rPr>
          <w:u w:val="none"/>
        </w:rPr>
        <w:t>Re:  Medicare Program; Contract Year 2019 Policy and Technical Changes to the Medicare Advantage, Medicare Cost Plan, Medicare Fee-for-Service, the Medicare Prescription</w:t>
      </w:r>
      <w:r>
        <w:rPr>
          <w:spacing w:val="-7"/>
          <w:u w:val="none"/>
        </w:rPr>
        <w:t xml:space="preserve"> </w:t>
      </w:r>
      <w:r>
        <w:rPr>
          <w:u w:val="none"/>
        </w:rPr>
        <w:t>Drug</w:t>
      </w:r>
      <w:r>
        <w:rPr>
          <w:spacing w:val="-7"/>
          <w:u w:val="none"/>
        </w:rPr>
        <w:t xml:space="preserve"> </w:t>
      </w:r>
      <w:r>
        <w:rPr>
          <w:u w:val="none"/>
        </w:rPr>
        <w:t>Benefit</w:t>
      </w:r>
      <w:r>
        <w:rPr>
          <w:spacing w:val="-8"/>
          <w:u w:val="none"/>
        </w:rPr>
        <w:t xml:space="preserve"> </w:t>
      </w:r>
      <w:r>
        <w:rPr>
          <w:u w:val="none"/>
        </w:rPr>
        <w:t>Programs,</w:t>
      </w:r>
      <w:r>
        <w:rPr>
          <w:spacing w:val="-8"/>
          <w:u w:val="none"/>
        </w:rPr>
        <w:t xml:space="preserve"> </w:t>
      </w:r>
      <w:r>
        <w:rPr>
          <w:u w:val="none"/>
        </w:rPr>
        <w:t>and</w:t>
      </w:r>
      <w:r>
        <w:rPr>
          <w:spacing w:val="-10"/>
          <w:u w:val="none"/>
        </w:rPr>
        <w:t xml:space="preserve"> </w:t>
      </w:r>
      <w:r>
        <w:rPr>
          <w:u w:val="none"/>
        </w:rPr>
        <w:t>the</w:t>
      </w:r>
      <w:r>
        <w:rPr>
          <w:spacing w:val="-7"/>
          <w:u w:val="none"/>
        </w:rPr>
        <w:t xml:space="preserve"> </w:t>
      </w:r>
      <w:r>
        <w:rPr>
          <w:spacing w:val="-3"/>
          <w:u w:val="none"/>
        </w:rPr>
        <w:t>PACE</w:t>
      </w:r>
      <w:r>
        <w:rPr>
          <w:spacing w:val="-8"/>
          <w:u w:val="none"/>
        </w:rPr>
        <w:t xml:space="preserve"> </w:t>
      </w:r>
      <w:r>
        <w:rPr>
          <w:u w:val="none"/>
        </w:rPr>
        <w:t>Program;</w:t>
      </w:r>
      <w:r>
        <w:rPr>
          <w:spacing w:val="-6"/>
          <w:u w:val="none"/>
        </w:rPr>
        <w:t xml:space="preserve"> </w:t>
      </w:r>
      <w:r>
        <w:rPr>
          <w:u w:val="none"/>
        </w:rPr>
        <w:t>Proposed</w:t>
      </w:r>
      <w:r>
        <w:rPr>
          <w:spacing w:val="-7"/>
          <w:u w:val="none"/>
        </w:rPr>
        <w:t xml:space="preserve"> </w:t>
      </w:r>
      <w:r>
        <w:rPr>
          <w:u w:val="none"/>
        </w:rPr>
        <w:t>Rule(CMS-4182-P)</w:t>
      </w:r>
    </w:p>
    <w:p w:rsidR="00BE0927" w:rsidRDefault="00BE0927">
      <w:pPr>
        <w:pStyle w:val="BodyText"/>
        <w:spacing w:before="3"/>
        <w:rPr>
          <w:b/>
          <w:sz w:val="24"/>
        </w:rPr>
      </w:pPr>
    </w:p>
    <w:p w:rsidR="00BE0927" w:rsidRDefault="00EA0607">
      <w:pPr>
        <w:pStyle w:val="BodyText"/>
        <w:ind w:left="120"/>
        <w:jc w:val="both"/>
      </w:pPr>
      <w:r>
        <w:t>Dear Administr</w:t>
      </w:r>
      <w:r>
        <w:t>ator Verma:</w:t>
      </w:r>
    </w:p>
    <w:p w:rsidR="00BE0927" w:rsidRDefault="00BE0927">
      <w:pPr>
        <w:pStyle w:val="BodyText"/>
        <w:spacing w:before="4"/>
        <w:rPr>
          <w:sz w:val="26"/>
        </w:rPr>
      </w:pPr>
    </w:p>
    <w:p w:rsidR="00BE0927" w:rsidRDefault="00EA0607">
      <w:pPr>
        <w:spacing w:before="1" w:line="264" w:lineRule="auto"/>
        <w:ind w:left="120" w:right="393"/>
        <w:jc w:val="both"/>
      </w:pPr>
      <w:r>
        <w:t>Novartis</w:t>
      </w:r>
      <w:r>
        <w:rPr>
          <w:spacing w:val="-5"/>
        </w:rPr>
        <w:t xml:space="preserve"> </w:t>
      </w:r>
      <w:r>
        <w:t>Services,</w:t>
      </w:r>
      <w:r>
        <w:rPr>
          <w:spacing w:val="-6"/>
        </w:rPr>
        <w:t xml:space="preserve"> </w:t>
      </w:r>
      <w:r>
        <w:t>Inc.</w:t>
      </w:r>
      <w:r>
        <w:rPr>
          <w:spacing w:val="-6"/>
        </w:rPr>
        <w:t xml:space="preserve"> </w:t>
      </w:r>
      <w:r>
        <w:t>is</w:t>
      </w:r>
      <w:r>
        <w:rPr>
          <w:spacing w:val="-9"/>
        </w:rPr>
        <w:t xml:space="preserve"> </w:t>
      </w:r>
      <w:r>
        <w:t>submitting</w:t>
      </w:r>
      <w:r>
        <w:rPr>
          <w:spacing w:val="-7"/>
        </w:rPr>
        <w:t xml:space="preserve"> </w:t>
      </w:r>
      <w:r>
        <w:t>this</w:t>
      </w:r>
      <w:r>
        <w:rPr>
          <w:spacing w:val="-7"/>
        </w:rPr>
        <w:t xml:space="preserve"> </w:t>
      </w:r>
      <w:r>
        <w:t>letter</w:t>
      </w:r>
      <w:r>
        <w:rPr>
          <w:spacing w:val="-6"/>
        </w:rPr>
        <w:t xml:space="preserve"> </w:t>
      </w:r>
      <w:r>
        <w:t>on</w:t>
      </w:r>
      <w:r>
        <w:rPr>
          <w:spacing w:val="-7"/>
        </w:rPr>
        <w:t xml:space="preserve"> </w:t>
      </w:r>
      <w:r>
        <w:t>behalf</w:t>
      </w:r>
      <w:r>
        <w:rPr>
          <w:spacing w:val="-4"/>
        </w:rPr>
        <w:t xml:space="preserve"> </w:t>
      </w:r>
      <w:r>
        <w:t>of</w:t>
      </w:r>
      <w:r>
        <w:rPr>
          <w:spacing w:val="-6"/>
        </w:rPr>
        <w:t xml:space="preserve"> </w:t>
      </w:r>
      <w:r>
        <w:t>Novartis</w:t>
      </w:r>
      <w:r>
        <w:rPr>
          <w:spacing w:val="-7"/>
        </w:rPr>
        <w:t xml:space="preserve"> </w:t>
      </w:r>
      <w:r>
        <w:t>Pharmaceuticals</w:t>
      </w:r>
      <w:r>
        <w:rPr>
          <w:spacing w:val="-5"/>
        </w:rPr>
        <w:t xml:space="preserve"> </w:t>
      </w:r>
      <w:r>
        <w:t>Corporation (“NPC”),</w:t>
      </w:r>
      <w:r>
        <w:rPr>
          <w:spacing w:val="-18"/>
        </w:rPr>
        <w:t xml:space="preserve"> </w:t>
      </w:r>
      <w:r>
        <w:t>Sandoz</w:t>
      </w:r>
      <w:r>
        <w:rPr>
          <w:spacing w:val="-18"/>
        </w:rPr>
        <w:t xml:space="preserve"> </w:t>
      </w:r>
      <w:r>
        <w:t>Inc.</w:t>
      </w:r>
      <w:r>
        <w:rPr>
          <w:spacing w:val="-18"/>
        </w:rPr>
        <w:t xml:space="preserve"> </w:t>
      </w:r>
      <w:r>
        <w:t>(“Sandoz”)</w:t>
      </w:r>
      <w:r>
        <w:rPr>
          <w:spacing w:val="-16"/>
        </w:rPr>
        <w:t xml:space="preserve"> </w:t>
      </w:r>
      <w:r>
        <w:t>and</w:t>
      </w:r>
      <w:r>
        <w:rPr>
          <w:spacing w:val="-18"/>
        </w:rPr>
        <w:t xml:space="preserve"> </w:t>
      </w:r>
      <w:r>
        <w:t>Alcon</w:t>
      </w:r>
      <w:r>
        <w:rPr>
          <w:spacing w:val="-18"/>
        </w:rPr>
        <w:t xml:space="preserve"> </w:t>
      </w:r>
      <w:r>
        <w:t>Laboratories,</w:t>
      </w:r>
      <w:r>
        <w:rPr>
          <w:spacing w:val="-19"/>
        </w:rPr>
        <w:t xml:space="preserve"> </w:t>
      </w:r>
      <w:r>
        <w:t>Inc.</w:t>
      </w:r>
      <w:r>
        <w:rPr>
          <w:spacing w:val="-18"/>
        </w:rPr>
        <w:t xml:space="preserve"> </w:t>
      </w:r>
      <w:r>
        <w:t>(“Alcon”).</w:t>
      </w:r>
      <w:r>
        <w:rPr>
          <w:spacing w:val="19"/>
        </w:rPr>
        <w:t xml:space="preserve"> </w:t>
      </w:r>
      <w:r>
        <w:t>We</w:t>
      </w:r>
      <w:r>
        <w:rPr>
          <w:spacing w:val="-17"/>
        </w:rPr>
        <w:t xml:space="preserve"> </w:t>
      </w:r>
      <w:r>
        <w:t>refer</w:t>
      </w:r>
      <w:r>
        <w:rPr>
          <w:spacing w:val="-20"/>
        </w:rPr>
        <w:t xml:space="preserve"> </w:t>
      </w:r>
      <w:r>
        <w:t>to</w:t>
      </w:r>
      <w:r>
        <w:rPr>
          <w:spacing w:val="-18"/>
        </w:rPr>
        <w:t xml:space="preserve"> </w:t>
      </w:r>
      <w:r>
        <w:t>NPC,</w:t>
      </w:r>
      <w:r>
        <w:rPr>
          <w:spacing w:val="-18"/>
        </w:rPr>
        <w:t xml:space="preserve"> </w:t>
      </w:r>
      <w:r>
        <w:t xml:space="preserve">Sandoz, and Alcon collectively herein as “Novartis.” </w:t>
      </w:r>
      <w:r>
        <w:rPr>
          <w:spacing w:val="3"/>
        </w:rPr>
        <w:t xml:space="preserve">We </w:t>
      </w:r>
      <w:r>
        <w:t xml:space="preserve">appreciate the opportunity to provide comments in response to the </w:t>
      </w:r>
      <w:r>
        <w:rPr>
          <w:i/>
        </w:rPr>
        <w:t>Medicare Program; Contract Year 2019 Policy and Technical Changes to the Medicare Advantage, Medicare Cost Plan, Medicare Fee-for-Service, the Medicare Prescription Drug Benefit Programs,</w:t>
      </w:r>
      <w:r>
        <w:rPr>
          <w:i/>
        </w:rPr>
        <w:t xml:space="preserve"> and the PACE Program </w:t>
      </w:r>
      <w:r>
        <w:t>Proposed Rule issued on November 16, 2017 (“Proposed Rule”) by the Centers for Medicare &amp; Medicaid Services</w:t>
      </w:r>
      <w:r>
        <w:rPr>
          <w:spacing w:val="-25"/>
        </w:rPr>
        <w:t xml:space="preserve"> </w:t>
      </w:r>
      <w:r>
        <w:t>(CMS).</w:t>
      </w:r>
    </w:p>
    <w:p w:rsidR="00BE0927" w:rsidRDefault="00BE0927">
      <w:pPr>
        <w:pStyle w:val="BodyText"/>
        <w:spacing w:before="3"/>
        <w:rPr>
          <w:sz w:val="24"/>
        </w:rPr>
      </w:pPr>
    </w:p>
    <w:p w:rsidR="00BE0927" w:rsidRDefault="00EA0607">
      <w:pPr>
        <w:pStyle w:val="BodyText"/>
        <w:spacing w:line="264" w:lineRule="auto"/>
        <w:ind w:left="120" w:right="396"/>
        <w:jc w:val="both"/>
      </w:pPr>
      <w:r>
        <w:t>NPC</w:t>
      </w:r>
      <w:r>
        <w:rPr>
          <w:spacing w:val="-11"/>
        </w:rPr>
        <w:t xml:space="preserve"> </w:t>
      </w:r>
      <w:r>
        <w:t>researches,</w:t>
      </w:r>
      <w:r>
        <w:rPr>
          <w:spacing w:val="-9"/>
        </w:rPr>
        <w:t xml:space="preserve"> </w:t>
      </w:r>
      <w:r>
        <w:t>develops,</w:t>
      </w:r>
      <w:r>
        <w:rPr>
          <w:spacing w:val="-12"/>
        </w:rPr>
        <w:t xml:space="preserve"> </w:t>
      </w:r>
      <w:r>
        <w:t>manufactures,</w:t>
      </w:r>
      <w:r>
        <w:rPr>
          <w:spacing w:val="-12"/>
        </w:rPr>
        <w:t xml:space="preserve"> </w:t>
      </w:r>
      <w:r>
        <w:t>and</w:t>
      </w:r>
      <w:r>
        <w:rPr>
          <w:spacing w:val="-13"/>
        </w:rPr>
        <w:t xml:space="preserve"> </w:t>
      </w:r>
      <w:r>
        <w:t>markets</w:t>
      </w:r>
      <w:r>
        <w:rPr>
          <w:spacing w:val="-13"/>
        </w:rPr>
        <w:t xml:space="preserve"> </w:t>
      </w:r>
      <w:r>
        <w:t>innovative</w:t>
      </w:r>
      <w:r>
        <w:rPr>
          <w:spacing w:val="-11"/>
        </w:rPr>
        <w:t xml:space="preserve"> </w:t>
      </w:r>
      <w:r>
        <w:t>medicines</w:t>
      </w:r>
      <w:r>
        <w:rPr>
          <w:spacing w:val="-10"/>
        </w:rPr>
        <w:t xml:space="preserve"> </w:t>
      </w:r>
      <w:r>
        <w:t>aimed</w:t>
      </w:r>
      <w:r>
        <w:rPr>
          <w:spacing w:val="-11"/>
        </w:rPr>
        <w:t xml:space="preserve"> </w:t>
      </w:r>
      <w:r>
        <w:t>at</w:t>
      </w:r>
      <w:r>
        <w:rPr>
          <w:spacing w:val="-9"/>
        </w:rPr>
        <w:t xml:space="preserve"> </w:t>
      </w:r>
      <w:r>
        <w:t xml:space="preserve">improving patients’ lives. </w:t>
      </w:r>
      <w:r>
        <w:rPr>
          <w:spacing w:val="3"/>
        </w:rPr>
        <w:t xml:space="preserve">We </w:t>
      </w:r>
      <w:r>
        <w:t>offer a broad range of medicines for cancer, cardiovascular disease, inflammatory disease, infectious disease, neurological disease, eye disease, organ transplantation, respiratory disease, and skin</w:t>
      </w:r>
      <w:r>
        <w:rPr>
          <w:spacing w:val="-25"/>
        </w:rPr>
        <w:t xml:space="preserve"> </w:t>
      </w:r>
      <w:r>
        <w:t>conditions.</w:t>
      </w:r>
    </w:p>
    <w:p w:rsidR="00BE0927" w:rsidRDefault="00BE0927">
      <w:pPr>
        <w:pStyle w:val="BodyText"/>
        <w:spacing w:before="2"/>
        <w:rPr>
          <w:sz w:val="24"/>
        </w:rPr>
      </w:pPr>
    </w:p>
    <w:p w:rsidR="00BE0927" w:rsidRDefault="00EA0607">
      <w:pPr>
        <w:pStyle w:val="BodyText"/>
        <w:spacing w:before="1" w:line="264" w:lineRule="auto"/>
        <w:ind w:left="120" w:right="395"/>
        <w:jc w:val="both"/>
      </w:pPr>
      <w:r>
        <w:t>Sandoz is a leader in generic pharmaceutical</w:t>
      </w:r>
      <w:r>
        <w:t>s and biosimilars, providing access to a broad portfolio of high-quality, cost-effective prescription drugs. Sandoz launched the first biosimilar approved</w:t>
      </w:r>
      <w:r>
        <w:rPr>
          <w:spacing w:val="-10"/>
        </w:rPr>
        <w:t xml:space="preserve"> </w:t>
      </w:r>
      <w:r>
        <w:t>under</w:t>
      </w:r>
      <w:r>
        <w:rPr>
          <w:spacing w:val="-11"/>
        </w:rPr>
        <w:t xml:space="preserve"> </w:t>
      </w:r>
      <w:r>
        <w:t>the</w:t>
      </w:r>
      <w:r>
        <w:rPr>
          <w:spacing w:val="-10"/>
        </w:rPr>
        <w:t xml:space="preserve"> </w:t>
      </w:r>
      <w:r>
        <w:t>Biologics</w:t>
      </w:r>
      <w:r>
        <w:rPr>
          <w:spacing w:val="-9"/>
        </w:rPr>
        <w:t xml:space="preserve"> </w:t>
      </w:r>
      <w:r>
        <w:t>Price</w:t>
      </w:r>
      <w:r>
        <w:rPr>
          <w:spacing w:val="-10"/>
        </w:rPr>
        <w:t xml:space="preserve"> </w:t>
      </w:r>
      <w:r>
        <w:t>Competition</w:t>
      </w:r>
      <w:r>
        <w:rPr>
          <w:spacing w:val="-12"/>
        </w:rPr>
        <w:t xml:space="preserve"> </w:t>
      </w:r>
      <w:r>
        <w:t>and</w:t>
      </w:r>
      <w:r>
        <w:rPr>
          <w:spacing w:val="-10"/>
        </w:rPr>
        <w:t xml:space="preserve"> </w:t>
      </w:r>
      <w:r>
        <w:t>Innovation</w:t>
      </w:r>
      <w:r>
        <w:rPr>
          <w:spacing w:val="-10"/>
        </w:rPr>
        <w:t xml:space="preserve"> </w:t>
      </w:r>
      <w:r>
        <w:t>Act</w:t>
      </w:r>
      <w:r>
        <w:rPr>
          <w:spacing w:val="-7"/>
        </w:rPr>
        <w:t xml:space="preserve"> </w:t>
      </w:r>
      <w:r>
        <w:t>pathway</w:t>
      </w:r>
      <w:r>
        <w:rPr>
          <w:spacing w:val="-12"/>
        </w:rPr>
        <w:t xml:space="preserve"> </w:t>
      </w:r>
      <w:r>
        <w:t>in</w:t>
      </w:r>
      <w:r>
        <w:rPr>
          <w:spacing w:val="-10"/>
        </w:rPr>
        <w:t xml:space="preserve"> </w:t>
      </w:r>
      <w:r>
        <w:t>the</w:t>
      </w:r>
      <w:r>
        <w:rPr>
          <w:spacing w:val="-10"/>
        </w:rPr>
        <w:t xml:space="preserve"> </w:t>
      </w:r>
      <w:r>
        <w:t>United</w:t>
      </w:r>
      <w:r>
        <w:rPr>
          <w:spacing w:val="-10"/>
        </w:rPr>
        <w:t xml:space="preserve"> </w:t>
      </w:r>
      <w:r>
        <w:t>States.</w:t>
      </w:r>
    </w:p>
    <w:p w:rsidR="00BE0927" w:rsidRDefault="00BE0927">
      <w:pPr>
        <w:pStyle w:val="BodyText"/>
        <w:spacing w:before="1"/>
        <w:rPr>
          <w:sz w:val="24"/>
        </w:rPr>
      </w:pPr>
    </w:p>
    <w:p w:rsidR="00BE0927" w:rsidRDefault="00EA0607">
      <w:pPr>
        <w:pStyle w:val="BodyText"/>
        <w:spacing w:line="264" w:lineRule="auto"/>
        <w:ind w:left="120" w:right="397"/>
      </w:pPr>
      <w:r>
        <w:t>Alcon is a le</w:t>
      </w:r>
      <w:r>
        <w:t>ader in the research, development, manufacturing, and marketing of eye care products, including surgical devices and vision care products.</w:t>
      </w:r>
    </w:p>
    <w:p w:rsidR="00BE0927" w:rsidRDefault="00BE0927">
      <w:pPr>
        <w:pStyle w:val="BodyText"/>
        <w:spacing w:before="3"/>
        <w:rPr>
          <w:sz w:val="24"/>
        </w:rPr>
      </w:pPr>
    </w:p>
    <w:p w:rsidR="00BE0927" w:rsidRDefault="00EA0607">
      <w:pPr>
        <w:pStyle w:val="BodyText"/>
        <w:spacing w:line="264" w:lineRule="auto"/>
        <w:ind w:left="120"/>
      </w:pPr>
      <w:r>
        <w:t xml:space="preserve">Novartis’ mission is to discover new ways to improve and extend people's lives. We use science- based innovation to </w:t>
      </w:r>
      <w:r>
        <w:t>address some of society's most challenging healthcare issues. We discover</w:t>
      </w:r>
    </w:p>
    <w:p w:rsidR="00BE0927" w:rsidRDefault="00BE0927">
      <w:pPr>
        <w:spacing w:line="264" w:lineRule="auto"/>
        <w:sectPr w:rsidR="00BE0927">
          <w:footerReference w:type="default" r:id="rId9"/>
          <w:type w:val="continuous"/>
          <w:pgSz w:w="12240" w:h="15840"/>
          <w:pgMar w:top="400" w:right="1040" w:bottom="920" w:left="1320" w:header="720" w:footer="732" w:gutter="0"/>
          <w:pgNumType w:start="1"/>
          <w:cols w:space="720"/>
        </w:sectPr>
      </w:pPr>
    </w:p>
    <w:p w:rsidR="00BE0927" w:rsidRDefault="00EA0607">
      <w:pPr>
        <w:pStyle w:val="BodyText"/>
        <w:spacing w:before="77" w:line="264" w:lineRule="auto"/>
        <w:ind w:left="120" w:right="59"/>
      </w:pPr>
      <w:r>
        <w:lastRenderedPageBreak/>
        <w:t>and develop breakthrough treatments and find new ways to deliver them to as many people as possible.</w:t>
      </w:r>
    </w:p>
    <w:p w:rsidR="00BE0927" w:rsidRDefault="00BE0927">
      <w:pPr>
        <w:pStyle w:val="BodyText"/>
        <w:rPr>
          <w:sz w:val="24"/>
        </w:rPr>
      </w:pPr>
    </w:p>
    <w:p w:rsidR="00BE0927" w:rsidRDefault="00BE0927">
      <w:pPr>
        <w:pStyle w:val="BodyText"/>
        <w:spacing w:before="2"/>
        <w:rPr>
          <w:sz w:val="24"/>
        </w:rPr>
      </w:pPr>
    </w:p>
    <w:p w:rsidR="00BE0927" w:rsidRDefault="00EA0607">
      <w:pPr>
        <w:pStyle w:val="Heading1"/>
        <w:numPr>
          <w:ilvl w:val="0"/>
          <w:numId w:val="1"/>
        </w:numPr>
        <w:tabs>
          <w:tab w:val="left" w:pos="839"/>
          <w:tab w:val="left" w:pos="841"/>
        </w:tabs>
        <w:ind w:hanging="720"/>
        <w:jc w:val="left"/>
        <w:rPr>
          <w:u w:val="none"/>
        </w:rPr>
      </w:pPr>
      <w:r>
        <w:rPr>
          <w:u w:val="thick"/>
        </w:rPr>
        <w:t>Overview of Novartis’</w:t>
      </w:r>
      <w:r>
        <w:rPr>
          <w:spacing w:val="-9"/>
          <w:u w:val="thick"/>
        </w:rPr>
        <w:t xml:space="preserve"> </w:t>
      </w:r>
      <w:r>
        <w:rPr>
          <w:u w:val="thick"/>
        </w:rPr>
        <w:t>Comments</w:t>
      </w:r>
    </w:p>
    <w:p w:rsidR="00BE0927" w:rsidRDefault="00BE0927">
      <w:pPr>
        <w:pStyle w:val="BodyText"/>
        <w:spacing w:before="1"/>
        <w:rPr>
          <w:b/>
          <w:sz w:val="16"/>
        </w:rPr>
      </w:pPr>
    </w:p>
    <w:p w:rsidR="00BE0927" w:rsidRDefault="00EA0607">
      <w:pPr>
        <w:pStyle w:val="BodyText"/>
        <w:spacing w:before="94" w:line="264" w:lineRule="auto"/>
        <w:ind w:left="119" w:right="113"/>
        <w:jc w:val="both"/>
      </w:pPr>
      <w:r>
        <w:t>Novartis appreciates CMS’ interest in obtaining stakeholder feedback regarding changes to the Medicare Part D benefit. Prescription medicines are a critical component of achieving positive health outcomes and improving quality of life for patients. Therefo</w:t>
      </w:r>
      <w:r>
        <w:t>re, it is essential that patients are able to access the most appropriate medicines for their condition and circumstance. We encourage CMS to ensure that any policy changes preserve or expand patient access to affordable prescription therapies.</w:t>
      </w:r>
    </w:p>
    <w:p w:rsidR="00BE0927" w:rsidRDefault="00BE0927">
      <w:pPr>
        <w:pStyle w:val="BodyText"/>
        <w:spacing w:before="3"/>
        <w:rPr>
          <w:sz w:val="24"/>
        </w:rPr>
      </w:pPr>
    </w:p>
    <w:p w:rsidR="00BE0927" w:rsidRDefault="00EA0607">
      <w:pPr>
        <w:pStyle w:val="BodyText"/>
        <w:spacing w:line="264" w:lineRule="auto"/>
        <w:ind w:left="119" w:right="115"/>
        <w:jc w:val="both"/>
      </w:pPr>
      <w:r>
        <w:t>Our comments are focused on four aspects of the Proposed Rule: (1) the request for</w:t>
      </w:r>
      <w:r>
        <w:rPr>
          <w:spacing w:val="-39"/>
        </w:rPr>
        <w:t xml:space="preserve"> </w:t>
      </w:r>
      <w:r>
        <w:t>information regarding manufacturer rebates; (2) Part D tiering exceptions; (3) expedited substitutions of certain generics; and (4) treatment of follow-on biological product</w:t>
      </w:r>
      <w:r>
        <w:t>s as generics in certain circumstances.</w:t>
      </w:r>
    </w:p>
    <w:p w:rsidR="00BE0927" w:rsidRDefault="00BE0927">
      <w:pPr>
        <w:pStyle w:val="BodyText"/>
        <w:spacing w:before="3"/>
        <w:rPr>
          <w:sz w:val="24"/>
        </w:rPr>
      </w:pPr>
    </w:p>
    <w:p w:rsidR="00BE0927" w:rsidRDefault="00EA0607">
      <w:pPr>
        <w:pStyle w:val="BodyText"/>
        <w:spacing w:line="264" w:lineRule="auto"/>
        <w:ind w:left="119" w:right="114"/>
        <w:jc w:val="both"/>
      </w:pPr>
      <w:r>
        <w:t>As discussed more fully below, we are particularly interested in ensuring beneficiaries share in the savings achieved through manufacturer rebates. In addition, we appreciate CMS’ request for comments on the tiering</w:t>
      </w:r>
      <w:r>
        <w:t xml:space="preserve"> exceptions proposals. We believe the exceptions process should apply to the specialty tier and urge CMS not to finalize any new barriers to the exceptions process. </w:t>
      </w:r>
      <w:r>
        <w:rPr>
          <w:spacing w:val="-3"/>
        </w:rPr>
        <w:t xml:space="preserve">For </w:t>
      </w:r>
      <w:r>
        <w:t>purposes of the expedited substitution of generics, we urge CMS to require advance noti</w:t>
      </w:r>
      <w:r>
        <w:t xml:space="preserve">ce to beneficiaries, prior to the substitution. Such notice is important to avoid beneficiary confusion and, potentially, a disruption in therapy. </w:t>
      </w:r>
      <w:r>
        <w:rPr>
          <w:spacing w:val="3"/>
        </w:rPr>
        <w:t xml:space="preserve">We </w:t>
      </w:r>
      <w:r>
        <w:t xml:space="preserve">also applaud CMS’ efforts to put forth policies designed to provide greater access to biosimilars in Part </w:t>
      </w:r>
      <w:r>
        <w:t>D. In furtherance of that goal, as discussed more fully below, we believe changes to the current structure of the coverage gap discount</w:t>
      </w:r>
      <w:r>
        <w:rPr>
          <w:spacing w:val="-3"/>
        </w:rPr>
        <w:t xml:space="preserve"> </w:t>
      </w:r>
      <w:r>
        <w:t>program</w:t>
      </w:r>
      <w:r>
        <w:rPr>
          <w:spacing w:val="-5"/>
        </w:rPr>
        <w:t xml:space="preserve"> </w:t>
      </w:r>
      <w:r>
        <w:t>must</w:t>
      </w:r>
      <w:r>
        <w:rPr>
          <w:spacing w:val="-5"/>
        </w:rPr>
        <w:t xml:space="preserve"> </w:t>
      </w:r>
      <w:r>
        <w:t>be</w:t>
      </w:r>
      <w:r>
        <w:rPr>
          <w:spacing w:val="-4"/>
        </w:rPr>
        <w:t xml:space="preserve"> </w:t>
      </w:r>
      <w:r>
        <w:t>made</w:t>
      </w:r>
      <w:r>
        <w:rPr>
          <w:spacing w:val="-6"/>
        </w:rPr>
        <w:t xml:space="preserve"> </w:t>
      </w:r>
      <w:r>
        <w:t>to</w:t>
      </w:r>
      <w:r>
        <w:rPr>
          <w:spacing w:val="-6"/>
        </w:rPr>
        <w:t xml:space="preserve"> </w:t>
      </w:r>
      <w:r>
        <w:t>incentivize</w:t>
      </w:r>
      <w:r>
        <w:rPr>
          <w:spacing w:val="-4"/>
        </w:rPr>
        <w:t xml:space="preserve"> </w:t>
      </w:r>
      <w:r>
        <w:t>increased</w:t>
      </w:r>
      <w:r>
        <w:rPr>
          <w:spacing w:val="-3"/>
        </w:rPr>
        <w:t xml:space="preserve"> </w:t>
      </w:r>
      <w:r>
        <w:t>use</w:t>
      </w:r>
      <w:r>
        <w:rPr>
          <w:spacing w:val="-6"/>
        </w:rPr>
        <w:t xml:space="preserve"> </w:t>
      </w:r>
      <w:r>
        <w:t>of</w:t>
      </w:r>
      <w:r>
        <w:rPr>
          <w:spacing w:val="-3"/>
        </w:rPr>
        <w:t xml:space="preserve"> </w:t>
      </w:r>
      <w:r>
        <w:t>lower-cost</w:t>
      </w:r>
      <w:r>
        <w:rPr>
          <w:spacing w:val="-7"/>
        </w:rPr>
        <w:t xml:space="preserve"> </w:t>
      </w:r>
      <w:r>
        <w:t>biosimilars</w:t>
      </w:r>
      <w:r>
        <w:rPr>
          <w:spacing w:val="-4"/>
        </w:rPr>
        <w:t xml:space="preserve"> </w:t>
      </w:r>
      <w:r>
        <w:t>in</w:t>
      </w:r>
      <w:r>
        <w:rPr>
          <w:spacing w:val="-4"/>
        </w:rPr>
        <w:t xml:space="preserve"> </w:t>
      </w:r>
      <w:r>
        <w:t>the</w:t>
      </w:r>
      <w:r>
        <w:rPr>
          <w:spacing w:val="-6"/>
        </w:rPr>
        <w:t xml:space="preserve"> </w:t>
      </w:r>
      <w:r>
        <w:t>Part D</w:t>
      </w:r>
      <w:r>
        <w:rPr>
          <w:spacing w:val="-2"/>
        </w:rPr>
        <w:t xml:space="preserve"> </w:t>
      </w:r>
      <w:r>
        <w:t>program.</w:t>
      </w:r>
    </w:p>
    <w:p w:rsidR="00BE0927" w:rsidRDefault="00BE0927">
      <w:pPr>
        <w:pStyle w:val="BodyText"/>
        <w:rPr>
          <w:sz w:val="24"/>
        </w:rPr>
      </w:pPr>
    </w:p>
    <w:p w:rsidR="00BE0927" w:rsidRDefault="00BE0927">
      <w:pPr>
        <w:pStyle w:val="BodyText"/>
        <w:spacing w:before="2"/>
        <w:rPr>
          <w:sz w:val="24"/>
        </w:rPr>
      </w:pPr>
    </w:p>
    <w:p w:rsidR="00BE0927" w:rsidRDefault="00EA0607">
      <w:pPr>
        <w:pStyle w:val="Heading1"/>
        <w:numPr>
          <w:ilvl w:val="0"/>
          <w:numId w:val="1"/>
        </w:numPr>
        <w:tabs>
          <w:tab w:val="left" w:pos="839"/>
          <w:tab w:val="left" w:pos="841"/>
        </w:tabs>
        <w:ind w:right="117" w:hanging="720"/>
        <w:jc w:val="left"/>
        <w:rPr>
          <w:u w:val="none"/>
        </w:rPr>
      </w:pPr>
      <w:r>
        <w:rPr>
          <w:u w:val="thick"/>
        </w:rPr>
        <w:t>Request for Informa</w:t>
      </w:r>
      <w:r>
        <w:rPr>
          <w:u w:val="thick"/>
        </w:rPr>
        <w:t xml:space="preserve">tion Regarding the Application of Manufacturer Rebates </w:t>
      </w:r>
      <w:r>
        <w:rPr>
          <w:spacing w:val="-3"/>
          <w:u w:val="thick"/>
        </w:rPr>
        <w:t xml:space="preserve">and </w:t>
      </w:r>
      <w:r>
        <w:rPr>
          <w:u w:val="thick"/>
        </w:rPr>
        <w:t>Pharmacy Price Concessions to Drug Prices at the Point of</w:t>
      </w:r>
      <w:r>
        <w:rPr>
          <w:spacing w:val="-16"/>
          <w:u w:val="thick"/>
        </w:rPr>
        <w:t xml:space="preserve"> </w:t>
      </w:r>
      <w:r>
        <w:rPr>
          <w:u w:val="thick"/>
        </w:rPr>
        <w:t>Sale</w:t>
      </w:r>
    </w:p>
    <w:p w:rsidR="00BE0927" w:rsidRDefault="00BE0927">
      <w:pPr>
        <w:pStyle w:val="BodyText"/>
        <w:spacing w:before="4"/>
        <w:rPr>
          <w:b/>
          <w:sz w:val="16"/>
        </w:rPr>
      </w:pPr>
    </w:p>
    <w:p w:rsidR="00BE0927" w:rsidRDefault="00EA0607">
      <w:pPr>
        <w:pStyle w:val="BodyText"/>
        <w:spacing w:before="94" w:line="264" w:lineRule="auto"/>
        <w:ind w:left="119" w:right="113"/>
        <w:jc w:val="both"/>
      </w:pPr>
      <w:r>
        <w:t>In</w:t>
      </w:r>
      <w:r>
        <w:rPr>
          <w:spacing w:val="-4"/>
        </w:rPr>
        <w:t xml:space="preserve"> </w:t>
      </w:r>
      <w:r>
        <w:t>the</w:t>
      </w:r>
      <w:r>
        <w:rPr>
          <w:spacing w:val="-4"/>
        </w:rPr>
        <w:t xml:space="preserve"> </w:t>
      </w:r>
      <w:r>
        <w:t>Proposed</w:t>
      </w:r>
      <w:r>
        <w:rPr>
          <w:spacing w:val="-5"/>
        </w:rPr>
        <w:t xml:space="preserve"> </w:t>
      </w:r>
      <w:r>
        <w:t>Rule,</w:t>
      </w:r>
      <w:r>
        <w:rPr>
          <w:spacing w:val="-3"/>
        </w:rPr>
        <w:t xml:space="preserve"> </w:t>
      </w:r>
      <w:r>
        <w:rPr>
          <w:spacing w:val="-2"/>
        </w:rPr>
        <w:t>CMS</w:t>
      </w:r>
      <w:r>
        <w:rPr>
          <w:spacing w:val="-4"/>
        </w:rPr>
        <w:t xml:space="preserve"> </w:t>
      </w:r>
      <w:r>
        <w:t>requests</w:t>
      </w:r>
      <w:r>
        <w:rPr>
          <w:spacing w:val="-5"/>
        </w:rPr>
        <w:t xml:space="preserve"> </w:t>
      </w:r>
      <w:r>
        <w:t>information</w:t>
      </w:r>
      <w:r>
        <w:rPr>
          <w:spacing w:val="-5"/>
        </w:rPr>
        <w:t xml:space="preserve"> </w:t>
      </w:r>
      <w:r>
        <w:t>on</w:t>
      </w:r>
      <w:r>
        <w:rPr>
          <w:spacing w:val="-4"/>
        </w:rPr>
        <w:t xml:space="preserve"> </w:t>
      </w:r>
      <w:r>
        <w:t>whether</w:t>
      </w:r>
      <w:r>
        <w:rPr>
          <w:spacing w:val="-3"/>
        </w:rPr>
        <w:t xml:space="preserve"> </w:t>
      </w:r>
      <w:r>
        <w:t>it</w:t>
      </w:r>
      <w:r>
        <w:rPr>
          <w:spacing w:val="-3"/>
        </w:rPr>
        <w:t xml:space="preserve"> </w:t>
      </w:r>
      <w:r>
        <w:t>should</w:t>
      </w:r>
      <w:r>
        <w:rPr>
          <w:spacing w:val="-5"/>
        </w:rPr>
        <w:t xml:space="preserve"> </w:t>
      </w:r>
      <w:r>
        <w:t>require</w:t>
      </w:r>
      <w:r>
        <w:rPr>
          <w:spacing w:val="-4"/>
        </w:rPr>
        <w:t xml:space="preserve"> </w:t>
      </w:r>
      <w:r>
        <w:t>Part</w:t>
      </w:r>
      <w:r>
        <w:rPr>
          <w:spacing w:val="-5"/>
        </w:rPr>
        <w:t xml:space="preserve"> </w:t>
      </w:r>
      <w:r>
        <w:t>D</w:t>
      </w:r>
      <w:r>
        <w:rPr>
          <w:spacing w:val="-5"/>
        </w:rPr>
        <w:t xml:space="preserve"> </w:t>
      </w:r>
      <w:r>
        <w:t>sponsors</w:t>
      </w:r>
      <w:r>
        <w:rPr>
          <w:spacing w:val="-5"/>
        </w:rPr>
        <w:t xml:space="preserve"> </w:t>
      </w:r>
      <w:r>
        <w:t xml:space="preserve">to include a minimum percentage of manufacturer rebates and all pharmacy price concessions received for a covered Part D drug in the drug’s negotiated price at the point of sale. </w:t>
      </w:r>
      <w:r>
        <w:rPr>
          <w:spacing w:val="-3"/>
        </w:rPr>
        <w:t xml:space="preserve">CMS </w:t>
      </w:r>
      <w:r>
        <w:t>recognizes</w:t>
      </w:r>
      <w:r>
        <w:rPr>
          <w:spacing w:val="-17"/>
        </w:rPr>
        <w:t xml:space="preserve"> </w:t>
      </w:r>
      <w:r>
        <w:t>that</w:t>
      </w:r>
      <w:r>
        <w:rPr>
          <w:spacing w:val="-20"/>
        </w:rPr>
        <w:t xml:space="preserve"> </w:t>
      </w:r>
      <w:r>
        <w:t>manufacturer</w:t>
      </w:r>
      <w:r>
        <w:rPr>
          <w:spacing w:val="-18"/>
        </w:rPr>
        <w:t xml:space="preserve"> </w:t>
      </w:r>
      <w:r>
        <w:t>rebates</w:t>
      </w:r>
      <w:r>
        <w:rPr>
          <w:spacing w:val="-19"/>
        </w:rPr>
        <w:t xml:space="preserve"> </w:t>
      </w:r>
      <w:r>
        <w:t>and</w:t>
      </w:r>
      <w:r>
        <w:rPr>
          <w:spacing w:val="-17"/>
        </w:rPr>
        <w:t xml:space="preserve"> </w:t>
      </w:r>
      <w:r>
        <w:t>pharmacy</w:t>
      </w:r>
      <w:r>
        <w:rPr>
          <w:spacing w:val="-19"/>
        </w:rPr>
        <w:t xml:space="preserve"> </w:t>
      </w:r>
      <w:r>
        <w:t>price</w:t>
      </w:r>
      <w:r>
        <w:rPr>
          <w:spacing w:val="-17"/>
        </w:rPr>
        <w:t xml:space="preserve"> </w:t>
      </w:r>
      <w:r>
        <w:t>concessions</w:t>
      </w:r>
      <w:r>
        <w:rPr>
          <w:spacing w:val="-15"/>
        </w:rPr>
        <w:t xml:space="preserve"> </w:t>
      </w:r>
      <w:r>
        <w:t>have</w:t>
      </w:r>
      <w:r>
        <w:rPr>
          <w:spacing w:val="-17"/>
        </w:rPr>
        <w:t xml:space="preserve"> </w:t>
      </w:r>
      <w:r>
        <w:t>the</w:t>
      </w:r>
      <w:r>
        <w:rPr>
          <w:spacing w:val="-19"/>
        </w:rPr>
        <w:t xml:space="preserve"> </w:t>
      </w:r>
      <w:r>
        <w:t>potential</w:t>
      </w:r>
      <w:r>
        <w:rPr>
          <w:spacing w:val="-20"/>
        </w:rPr>
        <w:t xml:space="preserve"> </w:t>
      </w:r>
      <w:r>
        <w:t>to</w:t>
      </w:r>
      <w:r>
        <w:rPr>
          <w:spacing w:val="-16"/>
        </w:rPr>
        <w:t xml:space="preserve"> </w:t>
      </w:r>
      <w:r>
        <w:t>lower beneficiaries’ premiums. However, the rebates and price concessions are not reflected in the beneficiaries’ cost-sharing. CMS notes that Part D sponsors are allowed, but generally not required,</w:t>
      </w:r>
      <w:r>
        <w:rPr>
          <w:spacing w:val="-7"/>
        </w:rPr>
        <w:t xml:space="preserve"> </w:t>
      </w:r>
      <w:r>
        <w:t>to</w:t>
      </w:r>
      <w:r>
        <w:rPr>
          <w:spacing w:val="-9"/>
        </w:rPr>
        <w:t xml:space="preserve"> </w:t>
      </w:r>
      <w:r>
        <w:t>apply</w:t>
      </w:r>
      <w:r>
        <w:rPr>
          <w:spacing w:val="-8"/>
        </w:rPr>
        <w:t xml:space="preserve"> </w:t>
      </w:r>
      <w:r>
        <w:t>rebates</w:t>
      </w:r>
      <w:r>
        <w:rPr>
          <w:spacing w:val="-6"/>
        </w:rPr>
        <w:t xml:space="preserve"> </w:t>
      </w:r>
      <w:r>
        <w:t>and</w:t>
      </w:r>
      <w:r>
        <w:rPr>
          <w:spacing w:val="-6"/>
        </w:rPr>
        <w:t xml:space="preserve"> </w:t>
      </w:r>
      <w:r>
        <w:t>other</w:t>
      </w:r>
      <w:r>
        <w:rPr>
          <w:spacing w:val="-8"/>
        </w:rPr>
        <w:t xml:space="preserve"> </w:t>
      </w:r>
      <w:r>
        <w:t>price</w:t>
      </w:r>
      <w:r>
        <w:rPr>
          <w:spacing w:val="-9"/>
        </w:rPr>
        <w:t xml:space="preserve"> </w:t>
      </w:r>
      <w:r>
        <w:t>conces</w:t>
      </w:r>
      <w:r>
        <w:t>sions</w:t>
      </w:r>
      <w:r>
        <w:rPr>
          <w:spacing w:val="-6"/>
        </w:rPr>
        <w:t xml:space="preserve"> </w:t>
      </w:r>
      <w:r>
        <w:t>at</w:t>
      </w:r>
      <w:r>
        <w:rPr>
          <w:spacing w:val="-7"/>
        </w:rPr>
        <w:t xml:space="preserve"> </w:t>
      </w:r>
      <w:r>
        <w:t>the</w:t>
      </w:r>
      <w:r>
        <w:rPr>
          <w:spacing w:val="-9"/>
        </w:rPr>
        <w:t xml:space="preserve"> </w:t>
      </w:r>
      <w:r>
        <w:t>point</w:t>
      </w:r>
      <w:r>
        <w:rPr>
          <w:spacing w:val="-5"/>
        </w:rPr>
        <w:t xml:space="preserve"> </w:t>
      </w:r>
      <w:r>
        <w:t>of</w:t>
      </w:r>
      <w:r>
        <w:rPr>
          <w:spacing w:val="-7"/>
        </w:rPr>
        <w:t xml:space="preserve"> </w:t>
      </w:r>
      <w:r>
        <w:t>sale</w:t>
      </w:r>
      <w:r>
        <w:rPr>
          <w:spacing w:val="-9"/>
        </w:rPr>
        <w:t xml:space="preserve"> </w:t>
      </w:r>
      <w:r>
        <w:t>to</w:t>
      </w:r>
      <w:r>
        <w:rPr>
          <w:spacing w:val="-6"/>
        </w:rPr>
        <w:t xml:space="preserve"> </w:t>
      </w:r>
      <w:r>
        <w:t>lower</w:t>
      </w:r>
      <w:r>
        <w:rPr>
          <w:spacing w:val="-5"/>
        </w:rPr>
        <w:t xml:space="preserve"> </w:t>
      </w:r>
      <w:r>
        <w:t>the</w:t>
      </w:r>
      <w:r>
        <w:rPr>
          <w:spacing w:val="-9"/>
        </w:rPr>
        <w:t xml:space="preserve"> </w:t>
      </w:r>
      <w:r>
        <w:t>price</w:t>
      </w:r>
      <w:r>
        <w:rPr>
          <w:spacing w:val="-6"/>
        </w:rPr>
        <w:t xml:space="preserve"> </w:t>
      </w:r>
      <w:r>
        <w:t>upon which beneficiary cost-sharing is calculated. CMS notes that “only very rarely” have sponsors elected</w:t>
      </w:r>
      <w:r>
        <w:rPr>
          <w:spacing w:val="-11"/>
        </w:rPr>
        <w:t xml:space="preserve"> </w:t>
      </w:r>
      <w:r>
        <w:t>to</w:t>
      </w:r>
      <w:r>
        <w:rPr>
          <w:spacing w:val="-11"/>
        </w:rPr>
        <w:t xml:space="preserve"> </w:t>
      </w:r>
      <w:r>
        <w:t>include</w:t>
      </w:r>
      <w:r>
        <w:rPr>
          <w:spacing w:val="-11"/>
        </w:rPr>
        <w:t xml:space="preserve"> </w:t>
      </w:r>
      <w:r>
        <w:t>rebates</w:t>
      </w:r>
      <w:r>
        <w:rPr>
          <w:spacing w:val="-11"/>
        </w:rPr>
        <w:t xml:space="preserve"> </w:t>
      </w:r>
      <w:r>
        <w:t>and</w:t>
      </w:r>
      <w:r>
        <w:rPr>
          <w:spacing w:val="-11"/>
        </w:rPr>
        <w:t xml:space="preserve"> </w:t>
      </w:r>
      <w:r>
        <w:t>other</w:t>
      </w:r>
      <w:r>
        <w:rPr>
          <w:spacing w:val="-10"/>
        </w:rPr>
        <w:t xml:space="preserve"> </w:t>
      </w:r>
      <w:r>
        <w:t>price</w:t>
      </w:r>
      <w:r>
        <w:rPr>
          <w:spacing w:val="-11"/>
        </w:rPr>
        <w:t xml:space="preserve"> </w:t>
      </w:r>
      <w:r>
        <w:t>concessions</w:t>
      </w:r>
      <w:r>
        <w:rPr>
          <w:spacing w:val="-11"/>
        </w:rPr>
        <w:t xml:space="preserve"> </w:t>
      </w:r>
      <w:r>
        <w:t>in</w:t>
      </w:r>
      <w:r>
        <w:rPr>
          <w:spacing w:val="-11"/>
        </w:rPr>
        <w:t xml:space="preserve"> </w:t>
      </w:r>
      <w:r>
        <w:t>the</w:t>
      </w:r>
      <w:r>
        <w:rPr>
          <w:spacing w:val="-11"/>
        </w:rPr>
        <w:t xml:space="preserve"> </w:t>
      </w:r>
      <w:r>
        <w:t>negotiated</w:t>
      </w:r>
      <w:r>
        <w:rPr>
          <w:spacing w:val="-11"/>
        </w:rPr>
        <w:t xml:space="preserve"> </w:t>
      </w:r>
      <w:r>
        <w:t>price</w:t>
      </w:r>
      <w:r>
        <w:rPr>
          <w:spacing w:val="-11"/>
        </w:rPr>
        <w:t xml:space="preserve"> </w:t>
      </w:r>
      <w:r>
        <w:t>at</w:t>
      </w:r>
      <w:r>
        <w:rPr>
          <w:spacing w:val="-10"/>
        </w:rPr>
        <w:t xml:space="preserve"> </w:t>
      </w:r>
      <w:r>
        <w:t>the</w:t>
      </w:r>
      <w:r>
        <w:rPr>
          <w:spacing w:val="-11"/>
        </w:rPr>
        <w:t xml:space="preserve"> </w:t>
      </w:r>
      <w:r>
        <w:t>point-of-sale.</w:t>
      </w:r>
    </w:p>
    <w:p w:rsidR="00BE0927" w:rsidRDefault="00BE0927">
      <w:pPr>
        <w:pStyle w:val="BodyText"/>
        <w:spacing w:before="3"/>
        <w:rPr>
          <w:sz w:val="24"/>
        </w:rPr>
      </w:pPr>
    </w:p>
    <w:p w:rsidR="00BE0927" w:rsidRDefault="00EA0607">
      <w:pPr>
        <w:pStyle w:val="BodyText"/>
        <w:spacing w:line="264" w:lineRule="auto"/>
        <w:ind w:left="119" w:right="115"/>
        <w:jc w:val="both"/>
      </w:pPr>
      <w:r>
        <w:t>We commend CMS for requesting information on this important topic. We share CMS’ concern that beneficiaries and taxpayers are not benefitting from manufacturer rebates and discounts as</w:t>
      </w:r>
    </w:p>
    <w:p w:rsidR="00BE0927" w:rsidRDefault="00BE0927">
      <w:pPr>
        <w:spacing w:line="264" w:lineRule="auto"/>
        <w:jc w:val="both"/>
        <w:sectPr w:rsidR="00BE0927">
          <w:pgSz w:w="12240" w:h="15840"/>
          <w:pgMar w:top="1360" w:right="1320" w:bottom="920" w:left="1320" w:header="0" w:footer="732" w:gutter="0"/>
          <w:cols w:space="720"/>
        </w:sectPr>
      </w:pPr>
    </w:p>
    <w:p w:rsidR="00BE0927" w:rsidRDefault="00EA0607">
      <w:pPr>
        <w:pStyle w:val="BodyText"/>
        <w:spacing w:before="77" w:line="264" w:lineRule="auto"/>
        <w:ind w:left="119" w:right="115"/>
        <w:jc w:val="both"/>
      </w:pPr>
      <w:r>
        <w:lastRenderedPageBreak/>
        <w:t>originally anticipated when the Part D program was establ</w:t>
      </w:r>
      <w:r>
        <w:t>ished. We believe it is important to reduce beneficiary costs and better align incentives for Part D sponsors with the interests of beneficiaries and taxpayers.</w:t>
      </w:r>
    </w:p>
    <w:p w:rsidR="00BE0927" w:rsidRDefault="00BE0927">
      <w:pPr>
        <w:pStyle w:val="BodyText"/>
        <w:spacing w:before="2"/>
        <w:rPr>
          <w:sz w:val="24"/>
        </w:rPr>
      </w:pPr>
    </w:p>
    <w:p w:rsidR="00BE0927" w:rsidRDefault="00EA0607">
      <w:pPr>
        <w:pStyle w:val="BodyText"/>
        <w:spacing w:line="261" w:lineRule="auto"/>
        <w:ind w:left="119" w:right="114"/>
        <w:jc w:val="both"/>
      </w:pPr>
      <w:r>
        <w:t xml:space="preserve">While the sum of manufacturer rebates and discounts has greatly risen, currently amounting to </w:t>
      </w:r>
      <w:r>
        <w:t xml:space="preserve">over $100 billion per year, the price that patients pay for their prescription medicines has </w:t>
      </w:r>
      <w:r>
        <w:rPr>
          <w:spacing w:val="-3"/>
        </w:rPr>
        <w:t>not</w:t>
      </w:r>
      <w:r>
        <w:rPr>
          <w:spacing w:val="55"/>
        </w:rPr>
        <w:t xml:space="preserve"> </w:t>
      </w:r>
      <w:r>
        <w:t>comparably decreased.</w:t>
      </w:r>
      <w:hyperlink w:anchor="_bookmark0" w:history="1">
        <w:r>
          <w:rPr>
            <w:position w:val="8"/>
            <w:sz w:val="14"/>
          </w:rPr>
          <w:t>1</w:t>
        </w:r>
      </w:hyperlink>
      <w:r>
        <w:rPr>
          <w:position w:val="8"/>
          <w:sz w:val="14"/>
        </w:rPr>
        <w:t xml:space="preserve"> </w:t>
      </w:r>
      <w:r>
        <w:t>In addition, the share of gross drug expenditures realized by non- manufacturer entities such as plan spon</w:t>
      </w:r>
      <w:r>
        <w:t>sors has increased. These expenditures are largely composed of the rebates and discounts paid by manufacturers.</w:t>
      </w:r>
      <w:hyperlink w:anchor="_bookmark1" w:history="1">
        <w:r>
          <w:rPr>
            <w:position w:val="8"/>
            <w:sz w:val="14"/>
          </w:rPr>
          <w:t>2</w:t>
        </w:r>
      </w:hyperlink>
      <w:r>
        <w:rPr>
          <w:position w:val="8"/>
          <w:sz w:val="14"/>
        </w:rPr>
        <w:t xml:space="preserve">  </w:t>
      </w:r>
      <w:r>
        <w:t xml:space="preserve">In 2015, more than one-third </w:t>
      </w:r>
      <w:r>
        <w:rPr>
          <w:spacing w:val="-3"/>
        </w:rPr>
        <w:t xml:space="preserve">of </w:t>
      </w:r>
      <w:r>
        <w:t xml:space="preserve">a brand medicine’s list price was rebated back to health plans, the government, </w:t>
      </w:r>
      <w:r>
        <w:t>or kept by other stakeholders.</w:t>
      </w:r>
      <w:hyperlink w:anchor="_bookmark2" w:history="1">
        <w:r>
          <w:rPr>
            <w:position w:val="8"/>
            <w:sz w:val="14"/>
          </w:rPr>
          <w:t>3</w:t>
        </w:r>
      </w:hyperlink>
      <w:r>
        <w:rPr>
          <w:position w:val="8"/>
          <w:sz w:val="14"/>
        </w:rPr>
        <w:t xml:space="preserve"> </w:t>
      </w:r>
      <w:r>
        <w:t>Rebates can reduce net cost of certain diabetes, asthma, high cholesterol, and hepatitis</w:t>
      </w:r>
      <w:r>
        <w:rPr>
          <w:spacing w:val="-13"/>
        </w:rPr>
        <w:t xml:space="preserve"> </w:t>
      </w:r>
      <w:r>
        <w:t>therapies</w:t>
      </w:r>
      <w:r>
        <w:rPr>
          <w:spacing w:val="-13"/>
        </w:rPr>
        <w:t xml:space="preserve"> </w:t>
      </w:r>
      <w:r>
        <w:t>by</w:t>
      </w:r>
      <w:r>
        <w:rPr>
          <w:spacing w:val="-13"/>
        </w:rPr>
        <w:t xml:space="preserve"> </w:t>
      </w:r>
      <w:r>
        <w:t>up</w:t>
      </w:r>
      <w:r>
        <w:rPr>
          <w:spacing w:val="-16"/>
        </w:rPr>
        <w:t xml:space="preserve"> </w:t>
      </w:r>
      <w:r>
        <w:t>to</w:t>
      </w:r>
      <w:r>
        <w:rPr>
          <w:spacing w:val="-11"/>
        </w:rPr>
        <w:t xml:space="preserve"> </w:t>
      </w:r>
      <w:r>
        <w:t>30</w:t>
      </w:r>
      <w:r>
        <w:rPr>
          <w:spacing w:val="-14"/>
        </w:rPr>
        <w:t xml:space="preserve"> </w:t>
      </w:r>
      <w:r>
        <w:t>percent</w:t>
      </w:r>
      <w:r>
        <w:rPr>
          <w:spacing w:val="-12"/>
        </w:rPr>
        <w:t xml:space="preserve"> </w:t>
      </w:r>
      <w:r>
        <w:t>to</w:t>
      </w:r>
      <w:r>
        <w:rPr>
          <w:spacing w:val="-14"/>
        </w:rPr>
        <w:t xml:space="preserve"> </w:t>
      </w:r>
      <w:r>
        <w:t>55</w:t>
      </w:r>
      <w:r>
        <w:rPr>
          <w:spacing w:val="-14"/>
        </w:rPr>
        <w:t xml:space="preserve"> </w:t>
      </w:r>
      <w:r>
        <w:t>percent.</w:t>
      </w:r>
      <w:hyperlink w:anchor="_bookmark3" w:history="1">
        <w:r>
          <w:rPr>
            <w:position w:val="8"/>
            <w:sz w:val="14"/>
          </w:rPr>
          <w:t>4</w:t>
        </w:r>
      </w:hyperlink>
      <w:r>
        <w:rPr>
          <w:spacing w:val="-7"/>
          <w:position w:val="8"/>
          <w:sz w:val="14"/>
        </w:rPr>
        <w:t xml:space="preserve"> </w:t>
      </w:r>
      <w:r>
        <w:t>However,</w:t>
      </w:r>
      <w:r>
        <w:rPr>
          <w:spacing w:val="-10"/>
        </w:rPr>
        <w:t xml:space="preserve"> </w:t>
      </w:r>
      <w:r>
        <w:t>patients</w:t>
      </w:r>
      <w:r>
        <w:rPr>
          <w:spacing w:val="-13"/>
        </w:rPr>
        <w:t xml:space="preserve"> </w:t>
      </w:r>
      <w:r>
        <w:t>are</w:t>
      </w:r>
      <w:r>
        <w:rPr>
          <w:spacing w:val="-14"/>
        </w:rPr>
        <w:t xml:space="preserve"> </w:t>
      </w:r>
      <w:r>
        <w:t>typical</w:t>
      </w:r>
      <w:r>
        <w:t>ly</w:t>
      </w:r>
      <w:r>
        <w:rPr>
          <w:spacing w:val="-13"/>
        </w:rPr>
        <w:t xml:space="preserve"> </w:t>
      </w:r>
      <w:r>
        <w:t>paying</w:t>
      </w:r>
      <w:r>
        <w:rPr>
          <w:spacing w:val="-9"/>
        </w:rPr>
        <w:t xml:space="preserve"> </w:t>
      </w:r>
      <w:r>
        <w:t>cost- sharing amounts based on the list price of the drug, which does not take into account these substantial</w:t>
      </w:r>
      <w:r>
        <w:rPr>
          <w:spacing w:val="-6"/>
        </w:rPr>
        <w:t xml:space="preserve"> </w:t>
      </w:r>
      <w:r>
        <w:t>discounts.</w:t>
      </w:r>
    </w:p>
    <w:p w:rsidR="00BE0927" w:rsidRDefault="00BE0927">
      <w:pPr>
        <w:pStyle w:val="BodyText"/>
        <w:spacing w:before="5"/>
        <w:rPr>
          <w:sz w:val="24"/>
        </w:rPr>
      </w:pPr>
    </w:p>
    <w:p w:rsidR="00BE0927" w:rsidRDefault="00EA0607">
      <w:pPr>
        <w:pStyle w:val="BodyText"/>
        <w:spacing w:line="264" w:lineRule="auto"/>
        <w:ind w:left="119" w:right="113"/>
        <w:jc w:val="both"/>
      </w:pPr>
      <w:r>
        <w:t>Novartis, like many other pharmaceutical manufacturing companies, negotiates with sponsors to provide</w:t>
      </w:r>
      <w:r>
        <w:rPr>
          <w:spacing w:val="-7"/>
        </w:rPr>
        <w:t xml:space="preserve"> </w:t>
      </w:r>
      <w:r>
        <w:t>rebates</w:t>
      </w:r>
      <w:r>
        <w:rPr>
          <w:spacing w:val="-9"/>
        </w:rPr>
        <w:t xml:space="preserve"> </w:t>
      </w:r>
      <w:r>
        <w:t>and</w:t>
      </w:r>
      <w:r>
        <w:rPr>
          <w:spacing w:val="-7"/>
        </w:rPr>
        <w:t xml:space="preserve"> </w:t>
      </w:r>
      <w:r>
        <w:t>price</w:t>
      </w:r>
      <w:r>
        <w:rPr>
          <w:spacing w:val="-7"/>
        </w:rPr>
        <w:t xml:space="preserve"> </w:t>
      </w:r>
      <w:r>
        <w:t>concessions</w:t>
      </w:r>
      <w:r>
        <w:rPr>
          <w:spacing w:val="-9"/>
        </w:rPr>
        <w:t xml:space="preserve"> </w:t>
      </w:r>
      <w:r>
        <w:t>on</w:t>
      </w:r>
      <w:r>
        <w:rPr>
          <w:spacing w:val="-7"/>
        </w:rPr>
        <w:t xml:space="preserve"> </w:t>
      </w:r>
      <w:r>
        <w:t>our</w:t>
      </w:r>
      <w:r>
        <w:rPr>
          <w:spacing w:val="-6"/>
        </w:rPr>
        <w:t xml:space="preserve"> </w:t>
      </w:r>
      <w:r>
        <w:t>products,</w:t>
      </w:r>
      <w:r>
        <w:rPr>
          <w:spacing w:val="-8"/>
        </w:rPr>
        <w:t xml:space="preserve"> </w:t>
      </w:r>
      <w:r>
        <w:t>which</w:t>
      </w:r>
      <w:r>
        <w:rPr>
          <w:spacing w:val="-7"/>
        </w:rPr>
        <w:t xml:space="preserve"> </w:t>
      </w:r>
      <w:r>
        <w:t>are</w:t>
      </w:r>
      <w:r>
        <w:rPr>
          <w:spacing w:val="-7"/>
        </w:rPr>
        <w:t xml:space="preserve"> </w:t>
      </w:r>
      <w:r>
        <w:t>intended</w:t>
      </w:r>
      <w:r>
        <w:rPr>
          <w:spacing w:val="-7"/>
        </w:rPr>
        <w:t xml:space="preserve"> </w:t>
      </w:r>
      <w:r>
        <w:t>to</w:t>
      </w:r>
      <w:r>
        <w:rPr>
          <w:spacing w:val="-10"/>
        </w:rPr>
        <w:t xml:space="preserve"> </w:t>
      </w:r>
      <w:r>
        <w:t>benefit</w:t>
      </w:r>
      <w:r>
        <w:rPr>
          <w:spacing w:val="-11"/>
        </w:rPr>
        <w:t xml:space="preserve"> </w:t>
      </w:r>
      <w:r>
        <w:t>the</w:t>
      </w:r>
      <w:r>
        <w:rPr>
          <w:spacing w:val="-7"/>
        </w:rPr>
        <w:t xml:space="preserve"> </w:t>
      </w:r>
      <w:r>
        <w:t>patient. In 2016, the gross price, or list price, of our products increased by 6.2 percent, but the net price, or</w:t>
      </w:r>
      <w:r>
        <w:rPr>
          <w:spacing w:val="-3"/>
        </w:rPr>
        <w:t xml:space="preserve"> </w:t>
      </w:r>
      <w:r>
        <w:t>the</w:t>
      </w:r>
      <w:r>
        <w:rPr>
          <w:spacing w:val="-6"/>
        </w:rPr>
        <w:t xml:space="preserve"> </w:t>
      </w:r>
      <w:r>
        <w:t>amount</w:t>
      </w:r>
      <w:r>
        <w:rPr>
          <w:spacing w:val="-3"/>
        </w:rPr>
        <w:t xml:space="preserve"> </w:t>
      </w:r>
      <w:r>
        <w:t>paid</w:t>
      </w:r>
      <w:r>
        <w:rPr>
          <w:spacing w:val="-4"/>
        </w:rPr>
        <w:t xml:space="preserve"> </w:t>
      </w:r>
      <w:r>
        <w:t>by</w:t>
      </w:r>
      <w:r>
        <w:rPr>
          <w:spacing w:val="-6"/>
        </w:rPr>
        <w:t xml:space="preserve"> </w:t>
      </w:r>
      <w:r>
        <w:t>sponsors,</w:t>
      </w:r>
      <w:r>
        <w:rPr>
          <w:spacing w:val="-5"/>
        </w:rPr>
        <w:t xml:space="preserve"> </w:t>
      </w:r>
      <w:r>
        <w:t>decreased</w:t>
      </w:r>
      <w:r>
        <w:rPr>
          <w:spacing w:val="-4"/>
        </w:rPr>
        <w:t xml:space="preserve"> </w:t>
      </w:r>
      <w:r>
        <w:t>by</w:t>
      </w:r>
      <w:r>
        <w:rPr>
          <w:spacing w:val="-6"/>
        </w:rPr>
        <w:t xml:space="preserve"> </w:t>
      </w:r>
      <w:r>
        <w:t>2</w:t>
      </w:r>
      <w:r>
        <w:rPr>
          <w:spacing w:val="-6"/>
        </w:rPr>
        <w:t xml:space="preserve"> </w:t>
      </w:r>
      <w:r>
        <w:t>percent.</w:t>
      </w:r>
      <w:r>
        <w:rPr>
          <w:spacing w:val="-5"/>
        </w:rPr>
        <w:t xml:space="preserve"> </w:t>
      </w:r>
      <w:r>
        <w:t>This</w:t>
      </w:r>
      <w:r>
        <w:rPr>
          <w:spacing w:val="-4"/>
        </w:rPr>
        <w:t xml:space="preserve"> </w:t>
      </w:r>
      <w:r>
        <w:t>difference</w:t>
      </w:r>
      <w:r>
        <w:rPr>
          <w:spacing w:val="-4"/>
        </w:rPr>
        <w:t xml:space="preserve"> </w:t>
      </w:r>
      <w:r>
        <w:t>is</w:t>
      </w:r>
      <w:r>
        <w:rPr>
          <w:spacing w:val="-4"/>
        </w:rPr>
        <w:t xml:space="preserve"> </w:t>
      </w:r>
      <w:r>
        <w:t>largely</w:t>
      </w:r>
      <w:r>
        <w:rPr>
          <w:spacing w:val="-6"/>
        </w:rPr>
        <w:t xml:space="preserve"> </w:t>
      </w:r>
      <w:r>
        <w:t>a</w:t>
      </w:r>
      <w:r>
        <w:rPr>
          <w:spacing w:val="-4"/>
        </w:rPr>
        <w:t xml:space="preserve"> </w:t>
      </w:r>
      <w:r>
        <w:t>result</w:t>
      </w:r>
      <w:r>
        <w:rPr>
          <w:spacing w:val="-3"/>
        </w:rPr>
        <w:t xml:space="preserve"> </w:t>
      </w:r>
      <w:r>
        <w:t>of</w:t>
      </w:r>
      <w:r>
        <w:rPr>
          <w:spacing w:val="-5"/>
        </w:rPr>
        <w:t xml:space="preserve"> </w:t>
      </w:r>
      <w:r>
        <w:t>the rebates and price concessions that were negotiated by sponsors and other stakeholders in the supply chain. In the U.S., the total amount of annual rebates and discounts on Novartis products increased from 38 percent in 2012 to 48 percent i</w:t>
      </w:r>
      <w:r>
        <w:t>n 2016.</w:t>
      </w:r>
      <w:hyperlink w:anchor="_bookmark4" w:history="1">
        <w:r>
          <w:rPr>
            <w:position w:val="8"/>
            <w:sz w:val="14"/>
          </w:rPr>
          <w:t>5</w:t>
        </w:r>
      </w:hyperlink>
      <w:r>
        <w:rPr>
          <w:position w:val="8"/>
          <w:sz w:val="14"/>
        </w:rPr>
        <w:t xml:space="preserve"> </w:t>
      </w:r>
      <w:r>
        <w:t>Unfortunately, patients are not receiving a corresponding discount when they pay for their prescription</w:t>
      </w:r>
      <w:r>
        <w:rPr>
          <w:spacing w:val="-35"/>
        </w:rPr>
        <w:t xml:space="preserve"> </w:t>
      </w:r>
      <w:r>
        <w:t>medicines.</w:t>
      </w:r>
    </w:p>
    <w:p w:rsidR="00BE0927" w:rsidRDefault="00BE0927">
      <w:pPr>
        <w:pStyle w:val="BodyText"/>
        <w:spacing w:before="3"/>
        <w:rPr>
          <w:sz w:val="24"/>
        </w:rPr>
      </w:pPr>
    </w:p>
    <w:p w:rsidR="00BE0927" w:rsidRDefault="00EA0607">
      <w:pPr>
        <w:pStyle w:val="BodyText"/>
        <w:spacing w:line="264" w:lineRule="auto"/>
        <w:ind w:left="119" w:right="112"/>
        <w:jc w:val="both"/>
      </w:pPr>
      <w:r>
        <w:t>We encourage the agency to implement a requirement that sponsors include a minimum percentage of manu</w:t>
      </w:r>
      <w:r>
        <w:t>facturer rebates and discounts in the drug’s negotiated price at the point of sale to lower patient costs and better align incentives. We believe this change alone could result in significantly reduced costs for millions of beneficiaries and material savin</w:t>
      </w:r>
      <w:r>
        <w:t>gs for taxpayers. Importantly, as CMS explores this policy more fully, we urge the agency to ensure it maintains the confidentiality of proprietary information and avoids cross-subsidization of competing medicines, as we believe these requirements are crit</w:t>
      </w:r>
      <w:r>
        <w:t>ical to preserving competition. We appreciate that CMS appears to understand this concern and is interested in protecting the confidentiality of such information, including the manufacturer/sponsor/PBM pricing relationship with respect to an individual pro</w:t>
      </w:r>
      <w:r>
        <w:t>duct.</w:t>
      </w:r>
    </w:p>
    <w:p w:rsidR="00BE0927" w:rsidRDefault="00BE0927">
      <w:pPr>
        <w:pStyle w:val="BodyText"/>
        <w:rPr>
          <w:sz w:val="20"/>
        </w:rPr>
      </w:pPr>
    </w:p>
    <w:p w:rsidR="00BE0927" w:rsidRDefault="00BE0927">
      <w:pPr>
        <w:pStyle w:val="BodyText"/>
        <w:rPr>
          <w:sz w:val="20"/>
        </w:rPr>
      </w:pPr>
    </w:p>
    <w:p w:rsidR="00BE0927" w:rsidRDefault="00BE0927">
      <w:pPr>
        <w:pStyle w:val="BodyText"/>
        <w:rPr>
          <w:sz w:val="20"/>
        </w:rPr>
      </w:pPr>
    </w:p>
    <w:p w:rsidR="00BE0927" w:rsidRDefault="00EA0607">
      <w:pPr>
        <w:pStyle w:val="BodyText"/>
        <w:spacing w:before="1"/>
        <w:rPr>
          <w:sz w:val="12"/>
        </w:rPr>
      </w:pPr>
      <w:r>
        <w:pict>
          <v:line id="_x0000_s2053" style="position:absolute;z-index:1048;mso-wrap-distance-left:0;mso-wrap-distance-right:0;mso-position-horizontal-relative:page" from="1in,9.2pt" to="3in,9.2pt" strokeweight=".16969mm">
            <w10:wrap type="topAndBottom" anchorx="page"/>
          </v:line>
        </w:pict>
      </w:r>
    </w:p>
    <w:p w:rsidR="00BE0927" w:rsidRDefault="00EA0607">
      <w:pPr>
        <w:spacing w:before="55"/>
        <w:ind w:left="120" w:right="118"/>
        <w:jc w:val="both"/>
        <w:rPr>
          <w:rFonts w:ascii="Times New Roman"/>
          <w:sz w:val="20"/>
        </w:rPr>
      </w:pPr>
      <w:bookmarkStart w:id="0" w:name="_bookmark0"/>
      <w:bookmarkEnd w:id="0"/>
      <w:r>
        <w:rPr>
          <w:rFonts w:ascii="Times New Roman"/>
          <w:position w:val="7"/>
          <w:sz w:val="13"/>
        </w:rPr>
        <w:t xml:space="preserve">1 </w:t>
      </w:r>
      <w:r>
        <w:rPr>
          <w:rFonts w:ascii="Times New Roman"/>
          <w:sz w:val="20"/>
        </w:rPr>
        <w:t xml:space="preserve">The Pharmaceutical Supply Chain: Gross Drug Expenditures Realized By Stakeholders. Berkeley Research Group (January 2017). Available at </w:t>
      </w:r>
      <w:hyperlink r:id="rId10">
        <w:r>
          <w:rPr>
            <w:rFonts w:ascii="Times New Roman"/>
            <w:color w:val="0000FF"/>
            <w:sz w:val="20"/>
            <w:u w:val="single" w:color="0000FF"/>
          </w:rPr>
          <w:t>https://www.thinkbrg.com/media/publication/863_Vandervelde_PhRMA-January-</w:t>
        </w:r>
      </w:hyperlink>
      <w:r>
        <w:rPr>
          <w:rFonts w:ascii="Times New Roman"/>
          <w:color w:val="0000FF"/>
          <w:sz w:val="20"/>
          <w:u w:val="single" w:color="0000FF"/>
        </w:rPr>
        <w:t xml:space="preserve"> </w:t>
      </w:r>
      <w:hyperlink r:id="rId11">
        <w:r>
          <w:rPr>
            <w:rFonts w:ascii="Times New Roman"/>
            <w:color w:val="0000FF"/>
            <w:sz w:val="20"/>
            <w:u w:val="single" w:color="0000FF"/>
          </w:rPr>
          <w:t>2017_WEB-FINAL.pdf</w:t>
        </w:r>
        <w:r>
          <w:rPr>
            <w:rFonts w:ascii="Times New Roman"/>
            <w:sz w:val="20"/>
          </w:rPr>
          <w:t>.</w:t>
        </w:r>
      </w:hyperlink>
    </w:p>
    <w:p w:rsidR="00BE0927" w:rsidRDefault="00EA0607">
      <w:pPr>
        <w:spacing w:line="228" w:lineRule="exact"/>
        <w:ind w:left="120"/>
        <w:jc w:val="both"/>
        <w:rPr>
          <w:rFonts w:ascii="Times New Roman"/>
          <w:i/>
          <w:sz w:val="20"/>
        </w:rPr>
      </w:pPr>
      <w:bookmarkStart w:id="1" w:name="_bookmark1"/>
      <w:bookmarkEnd w:id="1"/>
      <w:r>
        <w:rPr>
          <w:rFonts w:ascii="Times New Roman"/>
          <w:position w:val="7"/>
          <w:sz w:val="13"/>
        </w:rPr>
        <w:t xml:space="preserve">2 </w:t>
      </w:r>
      <w:r>
        <w:rPr>
          <w:rFonts w:ascii="Times New Roman"/>
          <w:i/>
          <w:sz w:val="20"/>
        </w:rPr>
        <w:t>Id.</w:t>
      </w:r>
    </w:p>
    <w:p w:rsidR="00BE0927" w:rsidRDefault="00EA0607">
      <w:pPr>
        <w:ind w:left="120" w:right="116"/>
        <w:jc w:val="both"/>
        <w:rPr>
          <w:rFonts w:ascii="Times New Roman"/>
          <w:sz w:val="20"/>
        </w:rPr>
      </w:pPr>
      <w:bookmarkStart w:id="2" w:name="_bookmark2"/>
      <w:bookmarkEnd w:id="2"/>
      <w:r>
        <w:rPr>
          <w:rFonts w:ascii="Times New Roman"/>
          <w:position w:val="7"/>
          <w:sz w:val="13"/>
        </w:rPr>
        <w:t>3</w:t>
      </w:r>
      <w:r>
        <w:rPr>
          <w:rFonts w:ascii="Times New Roman"/>
          <w:spacing w:val="-4"/>
          <w:position w:val="7"/>
          <w:sz w:val="13"/>
        </w:rPr>
        <w:t xml:space="preserve"> </w:t>
      </w:r>
      <w:r>
        <w:rPr>
          <w:rFonts w:ascii="Times New Roman"/>
          <w:sz w:val="20"/>
        </w:rPr>
        <w:t>Follow</w:t>
      </w:r>
      <w:r>
        <w:rPr>
          <w:rFonts w:ascii="Times New Roman"/>
          <w:spacing w:val="-10"/>
          <w:sz w:val="20"/>
        </w:rPr>
        <w:t xml:space="preserve"> </w:t>
      </w:r>
      <w:r>
        <w:rPr>
          <w:rFonts w:ascii="Times New Roman"/>
          <w:sz w:val="20"/>
        </w:rPr>
        <w:t>the</w:t>
      </w:r>
      <w:r>
        <w:rPr>
          <w:rFonts w:ascii="Times New Roman"/>
          <w:spacing w:val="-6"/>
          <w:sz w:val="20"/>
        </w:rPr>
        <w:t xml:space="preserve"> </w:t>
      </w:r>
      <w:r>
        <w:rPr>
          <w:rFonts w:ascii="Times New Roman"/>
          <w:sz w:val="20"/>
        </w:rPr>
        <w:t>Dollar</w:t>
      </w:r>
      <w:r>
        <w:rPr>
          <w:rFonts w:ascii="Times New Roman"/>
          <w:spacing w:val="-6"/>
          <w:sz w:val="20"/>
        </w:rPr>
        <w:t xml:space="preserve"> </w:t>
      </w:r>
      <w:r>
        <w:rPr>
          <w:rFonts w:ascii="Times New Roman"/>
          <w:sz w:val="20"/>
        </w:rPr>
        <w:t>Report,</w:t>
      </w:r>
      <w:r>
        <w:rPr>
          <w:rFonts w:ascii="Times New Roman"/>
          <w:spacing w:val="-6"/>
          <w:sz w:val="20"/>
        </w:rPr>
        <w:t xml:space="preserve"> </w:t>
      </w:r>
      <w:r>
        <w:rPr>
          <w:rFonts w:ascii="Times New Roman"/>
          <w:sz w:val="20"/>
        </w:rPr>
        <w:t>Pharmaceutical</w:t>
      </w:r>
      <w:r>
        <w:rPr>
          <w:rFonts w:ascii="Times New Roman"/>
          <w:spacing w:val="-7"/>
          <w:sz w:val="20"/>
        </w:rPr>
        <w:t xml:space="preserve"> </w:t>
      </w:r>
      <w:r>
        <w:rPr>
          <w:rFonts w:ascii="Times New Roman"/>
          <w:sz w:val="20"/>
        </w:rPr>
        <w:t>Manufacturers</w:t>
      </w:r>
      <w:r>
        <w:rPr>
          <w:rFonts w:ascii="Times New Roman"/>
          <w:spacing w:val="-7"/>
          <w:sz w:val="20"/>
        </w:rPr>
        <w:t xml:space="preserve"> </w:t>
      </w:r>
      <w:r>
        <w:rPr>
          <w:rFonts w:ascii="Times New Roman"/>
          <w:sz w:val="20"/>
        </w:rPr>
        <w:t>of</w:t>
      </w:r>
      <w:r>
        <w:rPr>
          <w:rFonts w:ascii="Times New Roman"/>
          <w:spacing w:val="-6"/>
          <w:sz w:val="20"/>
        </w:rPr>
        <w:t xml:space="preserve"> </w:t>
      </w:r>
      <w:r>
        <w:rPr>
          <w:rFonts w:ascii="Times New Roman"/>
          <w:sz w:val="20"/>
        </w:rPr>
        <w:t>American</w:t>
      </w:r>
      <w:r>
        <w:rPr>
          <w:rFonts w:ascii="Times New Roman"/>
          <w:spacing w:val="-8"/>
          <w:sz w:val="20"/>
        </w:rPr>
        <w:t xml:space="preserve"> </w:t>
      </w:r>
      <w:r>
        <w:rPr>
          <w:rFonts w:ascii="Times New Roman"/>
          <w:sz w:val="20"/>
        </w:rPr>
        <w:t>(November</w:t>
      </w:r>
      <w:r>
        <w:rPr>
          <w:rFonts w:ascii="Times New Roman"/>
          <w:spacing w:val="-6"/>
          <w:sz w:val="20"/>
        </w:rPr>
        <w:t xml:space="preserve"> </w:t>
      </w:r>
      <w:r>
        <w:rPr>
          <w:rFonts w:ascii="Times New Roman"/>
          <w:sz w:val="20"/>
        </w:rPr>
        <w:t>2017).</w:t>
      </w:r>
      <w:r>
        <w:rPr>
          <w:rFonts w:ascii="Times New Roman"/>
          <w:spacing w:val="-8"/>
          <w:sz w:val="20"/>
        </w:rPr>
        <w:t xml:space="preserve"> </w:t>
      </w:r>
      <w:r>
        <w:rPr>
          <w:rFonts w:ascii="Times New Roman"/>
          <w:sz w:val="20"/>
        </w:rPr>
        <w:t>Available</w:t>
      </w:r>
      <w:r>
        <w:rPr>
          <w:rFonts w:ascii="Times New Roman"/>
          <w:spacing w:val="-6"/>
          <w:sz w:val="20"/>
        </w:rPr>
        <w:t xml:space="preserve"> </w:t>
      </w:r>
      <w:r>
        <w:rPr>
          <w:rFonts w:ascii="Times New Roman"/>
          <w:sz w:val="20"/>
        </w:rPr>
        <w:t>at</w:t>
      </w:r>
      <w:r>
        <w:rPr>
          <w:rFonts w:ascii="Times New Roman"/>
          <w:spacing w:val="-4"/>
          <w:sz w:val="20"/>
        </w:rPr>
        <w:t xml:space="preserve"> </w:t>
      </w:r>
      <w:hyperlink r:id="rId12">
        <w:r>
          <w:rPr>
            <w:rFonts w:ascii="Times New Roman"/>
            <w:color w:val="0000FF"/>
            <w:sz w:val="20"/>
            <w:u w:val="single" w:color="0000FF"/>
          </w:rPr>
          <w:t>http</w:t>
        </w:r>
        <w:r>
          <w:rPr>
            <w:rFonts w:ascii="Times New Roman"/>
            <w:color w:val="0000FF"/>
            <w:sz w:val="20"/>
            <w:u w:val="single" w:color="0000FF"/>
          </w:rPr>
          <w:t>://phrma-</w:t>
        </w:r>
      </w:hyperlink>
      <w:r>
        <w:rPr>
          <w:rFonts w:ascii="Times New Roman"/>
          <w:color w:val="0000FF"/>
          <w:sz w:val="20"/>
          <w:u w:val="single" w:color="0000FF"/>
        </w:rPr>
        <w:t xml:space="preserve"> </w:t>
      </w:r>
      <w:hyperlink r:id="rId13">
        <w:r>
          <w:rPr>
            <w:rFonts w:ascii="Times New Roman"/>
            <w:color w:val="0000FF"/>
            <w:sz w:val="20"/>
            <w:u w:val="single" w:color="0000FF"/>
          </w:rPr>
          <w:t>docs.phrma.org/files/dmfile/Follow-the-Dollar-Report.pdf</w:t>
        </w:r>
        <w:r>
          <w:rPr>
            <w:rFonts w:ascii="Times New Roman"/>
            <w:sz w:val="20"/>
          </w:rPr>
          <w:t>.</w:t>
        </w:r>
      </w:hyperlink>
    </w:p>
    <w:p w:rsidR="00BE0927" w:rsidRDefault="00EA0607">
      <w:pPr>
        <w:ind w:left="120" w:right="117"/>
        <w:jc w:val="both"/>
        <w:rPr>
          <w:rFonts w:ascii="Times New Roman"/>
          <w:sz w:val="20"/>
        </w:rPr>
      </w:pPr>
      <w:bookmarkStart w:id="3" w:name="_bookmark3"/>
      <w:bookmarkEnd w:id="3"/>
      <w:r>
        <w:rPr>
          <w:rFonts w:ascii="Times New Roman"/>
          <w:position w:val="7"/>
          <w:sz w:val="13"/>
        </w:rPr>
        <w:t xml:space="preserve">4 </w:t>
      </w:r>
      <w:r>
        <w:rPr>
          <w:rFonts w:ascii="Times New Roman"/>
          <w:sz w:val="20"/>
        </w:rPr>
        <w:t xml:space="preserve">Estimate of Medicare Part D Costs After Accounting for Manufacturer Rebates. QuintilesIMS (October 2016).Available at </w:t>
      </w:r>
      <w:hyperlink r:id="rId14">
        <w:r>
          <w:rPr>
            <w:rFonts w:ascii="Times New Roman"/>
            <w:color w:val="0000FF"/>
            <w:sz w:val="20"/>
            <w:u w:val="single" w:color="0000FF"/>
          </w:rPr>
          <w:t>https://www.iqvia.com/-/media/iqvia/pdfs/institute-reports/estimate-of-medicare-part-d-costs-</w:t>
        </w:r>
      </w:hyperlink>
      <w:r>
        <w:rPr>
          <w:rFonts w:ascii="Times New Roman"/>
          <w:color w:val="0000FF"/>
          <w:sz w:val="20"/>
          <w:u w:val="single" w:color="0000FF"/>
        </w:rPr>
        <w:t xml:space="preserve"> </w:t>
      </w:r>
      <w:hyperlink r:id="rId15">
        <w:r>
          <w:rPr>
            <w:rFonts w:ascii="Times New Roman"/>
            <w:color w:val="0000FF"/>
            <w:sz w:val="20"/>
            <w:u w:val="single" w:color="0000FF"/>
          </w:rPr>
          <w:t>after-accounting-for-manufacturer-rebates.pdf?la=en&amp;hash=7E7A1481237F5B1DC1547A629130EF2CB2E68652</w:t>
        </w:r>
        <w:r>
          <w:rPr>
            <w:rFonts w:ascii="Times New Roman"/>
            <w:sz w:val="20"/>
          </w:rPr>
          <w:t>.</w:t>
        </w:r>
      </w:hyperlink>
    </w:p>
    <w:p w:rsidR="00BE0927" w:rsidRDefault="00EA0607">
      <w:pPr>
        <w:ind w:left="120" w:right="122" w:hanging="1"/>
        <w:jc w:val="both"/>
        <w:rPr>
          <w:rFonts w:ascii="Times New Roman"/>
          <w:sz w:val="20"/>
        </w:rPr>
      </w:pPr>
      <w:bookmarkStart w:id="4" w:name="_bookmark4"/>
      <w:bookmarkEnd w:id="4"/>
      <w:r>
        <w:rPr>
          <w:rFonts w:ascii="Times New Roman"/>
          <w:position w:val="7"/>
          <w:sz w:val="13"/>
        </w:rPr>
        <w:t xml:space="preserve">5 </w:t>
      </w:r>
      <w:r>
        <w:rPr>
          <w:rFonts w:ascii="Times New Roman"/>
          <w:sz w:val="20"/>
        </w:rPr>
        <w:t>Novartis 2016 US Transparen</w:t>
      </w:r>
      <w:r>
        <w:rPr>
          <w:rFonts w:ascii="Times New Roman"/>
          <w:sz w:val="20"/>
        </w:rPr>
        <w:t>cy and Patient Access Report. Available at</w:t>
      </w:r>
      <w:hyperlink r:id="rId16">
        <w:r>
          <w:rPr>
            <w:rFonts w:ascii="Times New Roman"/>
            <w:color w:val="0000FF"/>
            <w:sz w:val="20"/>
            <w:u w:val="single" w:color="0000FF"/>
          </w:rPr>
          <w:t>https://www.novartis.com/sites/www.novartis.com/files/us-transparency-patient-access-report-20</w:t>
        </w:r>
        <w:r>
          <w:rPr>
            <w:rFonts w:ascii="Times New Roman"/>
            <w:color w:val="0000FF"/>
            <w:sz w:val="20"/>
            <w:u w:val="single" w:color="0000FF"/>
          </w:rPr>
          <w:t>16.pdf</w:t>
        </w:r>
        <w:r>
          <w:rPr>
            <w:rFonts w:ascii="Times New Roman"/>
            <w:sz w:val="20"/>
          </w:rPr>
          <w:t>.</w:t>
        </w:r>
      </w:hyperlink>
    </w:p>
    <w:p w:rsidR="00BE0927" w:rsidRDefault="00BE0927">
      <w:pPr>
        <w:jc w:val="both"/>
        <w:rPr>
          <w:rFonts w:ascii="Times New Roman"/>
          <w:sz w:val="20"/>
        </w:rPr>
        <w:sectPr w:rsidR="00BE0927">
          <w:pgSz w:w="12240" w:h="15840"/>
          <w:pgMar w:top="1360" w:right="1320" w:bottom="920" w:left="1320" w:header="0" w:footer="732" w:gutter="0"/>
          <w:cols w:space="720"/>
        </w:sectPr>
      </w:pPr>
    </w:p>
    <w:p w:rsidR="00BE0927" w:rsidRDefault="00EA0607">
      <w:pPr>
        <w:pStyle w:val="Heading1"/>
        <w:numPr>
          <w:ilvl w:val="0"/>
          <w:numId w:val="1"/>
        </w:numPr>
        <w:tabs>
          <w:tab w:val="left" w:pos="839"/>
          <w:tab w:val="left" w:pos="841"/>
        </w:tabs>
        <w:spacing w:before="75"/>
        <w:ind w:hanging="720"/>
        <w:jc w:val="left"/>
        <w:rPr>
          <w:u w:val="none"/>
        </w:rPr>
      </w:pPr>
      <w:r>
        <w:rPr>
          <w:u w:val="thick"/>
        </w:rPr>
        <w:lastRenderedPageBreak/>
        <w:t>Part D Tiering</w:t>
      </w:r>
      <w:r>
        <w:rPr>
          <w:spacing w:val="-7"/>
          <w:u w:val="thick"/>
        </w:rPr>
        <w:t xml:space="preserve"> </w:t>
      </w:r>
      <w:r>
        <w:rPr>
          <w:u w:val="thick"/>
        </w:rPr>
        <w:t>Exceptions</w:t>
      </w:r>
    </w:p>
    <w:p w:rsidR="00BE0927" w:rsidRDefault="00BE0927">
      <w:pPr>
        <w:pStyle w:val="BodyText"/>
        <w:spacing w:before="2"/>
        <w:rPr>
          <w:b/>
          <w:sz w:val="16"/>
        </w:rPr>
      </w:pPr>
    </w:p>
    <w:p w:rsidR="00BE0927" w:rsidRDefault="00EA0607">
      <w:pPr>
        <w:pStyle w:val="BodyText"/>
        <w:spacing w:before="93" w:line="264" w:lineRule="auto"/>
        <w:ind w:left="120" w:right="114"/>
        <w:jc w:val="both"/>
      </w:pPr>
      <w:r>
        <w:t xml:space="preserve">CMS proposes to revise existing policy related to tiering exceptions. As </w:t>
      </w:r>
      <w:r>
        <w:rPr>
          <w:spacing w:val="-2"/>
        </w:rPr>
        <w:t xml:space="preserve">CMS </w:t>
      </w:r>
      <w:r>
        <w:t>recognizes in the Proposed Rule, under the current regulatory framework, there may be times when the tiering exceptions are applied more stringently than appropriate. Excessively restrictive tiering can impact enrollee access to therapies and/or require th</w:t>
      </w:r>
      <w:r>
        <w:t xml:space="preserve">em to pay more for the therapy than they should. </w:t>
      </w:r>
      <w:r>
        <w:rPr>
          <w:spacing w:val="3"/>
        </w:rPr>
        <w:t xml:space="preserve">We </w:t>
      </w:r>
      <w:r>
        <w:t>believe that ensuring enrollee access to a properly functioning tiering exceptions process is critical. When the requisite criteria are met, these exceptions enable beneficiaries to obtain prescription dr</w:t>
      </w:r>
      <w:r>
        <w:t>ugs in a higher cost-sharing tier at the more favorable cost-sharing applicable to alternative drugs on a lower cost-sharing tier of the plan’s formulary. However,</w:t>
      </w:r>
      <w:r>
        <w:rPr>
          <w:spacing w:val="-37"/>
        </w:rPr>
        <w:t xml:space="preserve"> </w:t>
      </w:r>
      <w:r>
        <w:t>we are</w:t>
      </w:r>
      <w:r>
        <w:rPr>
          <w:spacing w:val="-16"/>
        </w:rPr>
        <w:t xml:space="preserve"> </w:t>
      </w:r>
      <w:r>
        <w:t>concerned</w:t>
      </w:r>
      <w:r>
        <w:rPr>
          <w:spacing w:val="-16"/>
        </w:rPr>
        <w:t xml:space="preserve"> </w:t>
      </w:r>
      <w:r>
        <w:t>by</w:t>
      </w:r>
      <w:r>
        <w:rPr>
          <w:spacing w:val="-18"/>
        </w:rPr>
        <w:t xml:space="preserve"> </w:t>
      </w:r>
      <w:r>
        <w:t>CMS’</w:t>
      </w:r>
      <w:r>
        <w:rPr>
          <w:spacing w:val="-17"/>
        </w:rPr>
        <w:t xml:space="preserve"> </w:t>
      </w:r>
      <w:r>
        <w:t>proposal</w:t>
      </w:r>
      <w:r>
        <w:rPr>
          <w:spacing w:val="-17"/>
        </w:rPr>
        <w:t xml:space="preserve"> </w:t>
      </w:r>
      <w:r>
        <w:t>to</w:t>
      </w:r>
      <w:r>
        <w:rPr>
          <w:spacing w:val="-16"/>
        </w:rPr>
        <w:t xml:space="preserve"> </w:t>
      </w:r>
      <w:r>
        <w:t>allow</w:t>
      </w:r>
      <w:r>
        <w:rPr>
          <w:spacing w:val="-19"/>
        </w:rPr>
        <w:t xml:space="preserve"> </w:t>
      </w:r>
      <w:r>
        <w:t>plans</w:t>
      </w:r>
      <w:r>
        <w:rPr>
          <w:spacing w:val="-16"/>
        </w:rPr>
        <w:t xml:space="preserve"> </w:t>
      </w:r>
      <w:r>
        <w:t>to</w:t>
      </w:r>
      <w:r>
        <w:rPr>
          <w:spacing w:val="-16"/>
        </w:rPr>
        <w:t xml:space="preserve"> </w:t>
      </w:r>
      <w:r>
        <w:t>place</w:t>
      </w:r>
      <w:r>
        <w:rPr>
          <w:spacing w:val="-15"/>
        </w:rPr>
        <w:t xml:space="preserve"> </w:t>
      </w:r>
      <w:r>
        <w:t>additional</w:t>
      </w:r>
      <w:r>
        <w:rPr>
          <w:spacing w:val="-17"/>
        </w:rPr>
        <w:t xml:space="preserve"> </w:t>
      </w:r>
      <w:r>
        <w:t>limitations</w:t>
      </w:r>
      <w:r>
        <w:rPr>
          <w:spacing w:val="-16"/>
        </w:rPr>
        <w:t xml:space="preserve"> </w:t>
      </w:r>
      <w:r>
        <w:t>on</w:t>
      </w:r>
      <w:r>
        <w:rPr>
          <w:spacing w:val="-16"/>
        </w:rPr>
        <w:t xml:space="preserve"> </w:t>
      </w:r>
      <w:r>
        <w:t>tiering</w:t>
      </w:r>
      <w:r>
        <w:rPr>
          <w:spacing w:val="-14"/>
        </w:rPr>
        <w:t xml:space="preserve"> </w:t>
      </w:r>
      <w:r>
        <w:t>exceptions requests. For instance, CMS proposes limiting the exceptions process for certain drug types (e.g., brand, biologics, and follow-on biologics) to a preferred tier that contains the same type of alternative drug for treating the enrollee’s conditi</w:t>
      </w:r>
      <w:r>
        <w:t xml:space="preserve">on. CMS also proposes an interpretation </w:t>
      </w:r>
      <w:r>
        <w:rPr>
          <w:spacing w:val="-3"/>
        </w:rPr>
        <w:t xml:space="preserve">of </w:t>
      </w:r>
      <w:r>
        <w:t>“same</w:t>
      </w:r>
      <w:r>
        <w:rPr>
          <w:spacing w:val="-10"/>
        </w:rPr>
        <w:t xml:space="preserve"> </w:t>
      </w:r>
      <w:r>
        <w:t>condition”</w:t>
      </w:r>
      <w:r>
        <w:rPr>
          <w:spacing w:val="-9"/>
        </w:rPr>
        <w:t xml:space="preserve"> </w:t>
      </w:r>
      <w:r>
        <w:t>that</w:t>
      </w:r>
      <w:r>
        <w:rPr>
          <w:spacing w:val="-8"/>
        </w:rPr>
        <w:t xml:space="preserve"> </w:t>
      </w:r>
      <w:r>
        <w:t>we</w:t>
      </w:r>
      <w:r>
        <w:rPr>
          <w:spacing w:val="-7"/>
        </w:rPr>
        <w:t xml:space="preserve"> </w:t>
      </w:r>
      <w:r>
        <w:t>believe</w:t>
      </w:r>
      <w:r>
        <w:rPr>
          <w:spacing w:val="-7"/>
        </w:rPr>
        <w:t xml:space="preserve"> </w:t>
      </w:r>
      <w:r>
        <w:t>will</w:t>
      </w:r>
      <w:r>
        <w:rPr>
          <w:spacing w:val="-8"/>
        </w:rPr>
        <w:t xml:space="preserve"> </w:t>
      </w:r>
      <w:r>
        <w:t>limit</w:t>
      </w:r>
      <w:r>
        <w:rPr>
          <w:spacing w:val="-6"/>
        </w:rPr>
        <w:t xml:space="preserve"> </w:t>
      </w:r>
      <w:r>
        <w:t>exception</w:t>
      </w:r>
      <w:r>
        <w:rPr>
          <w:spacing w:val="-7"/>
        </w:rPr>
        <w:t xml:space="preserve"> </w:t>
      </w:r>
      <w:r>
        <w:t>requests</w:t>
      </w:r>
      <w:r>
        <w:rPr>
          <w:spacing w:val="-9"/>
        </w:rPr>
        <w:t xml:space="preserve"> </w:t>
      </w:r>
      <w:r>
        <w:t>and</w:t>
      </w:r>
      <w:r>
        <w:rPr>
          <w:spacing w:val="-10"/>
        </w:rPr>
        <w:t xml:space="preserve"> </w:t>
      </w:r>
      <w:r>
        <w:t>negatively</w:t>
      </w:r>
      <w:r>
        <w:rPr>
          <w:spacing w:val="-9"/>
        </w:rPr>
        <w:t xml:space="preserve"> </w:t>
      </w:r>
      <w:r>
        <w:t>impact</w:t>
      </w:r>
      <w:r>
        <w:rPr>
          <w:spacing w:val="-8"/>
        </w:rPr>
        <w:t xml:space="preserve"> </w:t>
      </w:r>
      <w:r>
        <w:t>beneficiaries. Given the importance of the exceptions process as a protection for beneficiaries, we urge CMS not to finalize any new barriers to tiering</w:t>
      </w:r>
      <w:r>
        <w:rPr>
          <w:spacing w:val="-20"/>
        </w:rPr>
        <w:t xml:space="preserve"> </w:t>
      </w:r>
      <w:r>
        <w:t>exceptions.</w:t>
      </w:r>
    </w:p>
    <w:p w:rsidR="00BE0927" w:rsidRDefault="00BE0927">
      <w:pPr>
        <w:pStyle w:val="BodyText"/>
        <w:spacing w:before="2"/>
        <w:rPr>
          <w:sz w:val="24"/>
        </w:rPr>
      </w:pPr>
    </w:p>
    <w:p w:rsidR="00BE0927" w:rsidRDefault="00EA0607">
      <w:pPr>
        <w:pStyle w:val="BodyText"/>
        <w:spacing w:line="264" w:lineRule="auto"/>
        <w:ind w:left="120" w:right="117"/>
        <w:jc w:val="both"/>
      </w:pPr>
      <w:r>
        <w:t>In</w:t>
      </w:r>
      <w:r>
        <w:rPr>
          <w:spacing w:val="-6"/>
        </w:rPr>
        <w:t xml:space="preserve"> </w:t>
      </w:r>
      <w:r>
        <w:t>addition,</w:t>
      </w:r>
      <w:r>
        <w:rPr>
          <w:spacing w:val="-5"/>
        </w:rPr>
        <w:t xml:space="preserve"> </w:t>
      </w:r>
      <w:r>
        <w:rPr>
          <w:spacing w:val="-2"/>
        </w:rPr>
        <w:t>CMS</w:t>
      </w:r>
      <w:r>
        <w:rPr>
          <w:spacing w:val="-7"/>
        </w:rPr>
        <w:t xml:space="preserve"> </w:t>
      </w:r>
      <w:r>
        <w:t>proposes</w:t>
      </w:r>
      <w:r>
        <w:rPr>
          <w:spacing w:val="-6"/>
        </w:rPr>
        <w:t xml:space="preserve"> </w:t>
      </w:r>
      <w:r>
        <w:t>to</w:t>
      </w:r>
      <w:r>
        <w:rPr>
          <w:spacing w:val="-9"/>
        </w:rPr>
        <w:t xml:space="preserve"> </w:t>
      </w:r>
      <w:r>
        <w:t>retain</w:t>
      </w:r>
      <w:r>
        <w:rPr>
          <w:spacing w:val="-9"/>
        </w:rPr>
        <w:t xml:space="preserve"> </w:t>
      </w:r>
      <w:r>
        <w:t>the</w:t>
      </w:r>
      <w:r>
        <w:rPr>
          <w:spacing w:val="-6"/>
        </w:rPr>
        <w:t xml:space="preserve"> </w:t>
      </w:r>
      <w:r>
        <w:t>current</w:t>
      </w:r>
      <w:r>
        <w:rPr>
          <w:spacing w:val="-7"/>
        </w:rPr>
        <w:t xml:space="preserve"> </w:t>
      </w:r>
      <w:r>
        <w:t>regulatory</w:t>
      </w:r>
      <w:r>
        <w:rPr>
          <w:spacing w:val="-8"/>
        </w:rPr>
        <w:t xml:space="preserve"> </w:t>
      </w:r>
      <w:r>
        <w:t>provision</w:t>
      </w:r>
      <w:r>
        <w:rPr>
          <w:spacing w:val="-6"/>
        </w:rPr>
        <w:t xml:space="preserve"> </w:t>
      </w:r>
      <w:r>
        <w:t>that</w:t>
      </w:r>
      <w:r>
        <w:rPr>
          <w:spacing w:val="-7"/>
        </w:rPr>
        <w:t xml:space="preserve"> </w:t>
      </w:r>
      <w:r>
        <w:t>permits</w:t>
      </w:r>
      <w:r>
        <w:rPr>
          <w:spacing w:val="-8"/>
        </w:rPr>
        <w:t xml:space="preserve"> </w:t>
      </w:r>
      <w:r>
        <w:t>plan</w:t>
      </w:r>
      <w:r>
        <w:rPr>
          <w:spacing w:val="-6"/>
        </w:rPr>
        <w:t xml:space="preserve"> </w:t>
      </w:r>
      <w:r>
        <w:t>spo</w:t>
      </w:r>
      <w:r>
        <w:t>nsors</w:t>
      </w:r>
      <w:r>
        <w:rPr>
          <w:spacing w:val="-8"/>
        </w:rPr>
        <w:t xml:space="preserve"> </w:t>
      </w:r>
      <w:r>
        <w:t xml:space="preserve">to disallow tiering exceptions for any drug that is on a plan’s specialty tier. Patients with certain health conditions that require medication on a specialty tier are often particularly vulnerable. Prescription therapies, in these cases, can become </w:t>
      </w:r>
      <w:r>
        <w:t>cost prohibitive for individuals who rely on a specific</w:t>
      </w:r>
      <w:r>
        <w:rPr>
          <w:spacing w:val="-5"/>
        </w:rPr>
        <w:t xml:space="preserve"> </w:t>
      </w:r>
      <w:r>
        <w:t>therapy</w:t>
      </w:r>
      <w:r>
        <w:rPr>
          <w:spacing w:val="-5"/>
        </w:rPr>
        <w:t xml:space="preserve"> </w:t>
      </w:r>
      <w:r>
        <w:t>to</w:t>
      </w:r>
      <w:r>
        <w:rPr>
          <w:spacing w:val="-3"/>
        </w:rPr>
        <w:t xml:space="preserve"> </w:t>
      </w:r>
      <w:r>
        <w:t>sustain</w:t>
      </w:r>
      <w:r>
        <w:rPr>
          <w:spacing w:val="-3"/>
        </w:rPr>
        <w:t xml:space="preserve"> </w:t>
      </w:r>
      <w:r>
        <w:t>or</w:t>
      </w:r>
      <w:r>
        <w:rPr>
          <w:spacing w:val="-4"/>
        </w:rPr>
        <w:t xml:space="preserve"> </w:t>
      </w:r>
      <w:r>
        <w:t>improve</w:t>
      </w:r>
      <w:r>
        <w:rPr>
          <w:spacing w:val="-3"/>
        </w:rPr>
        <w:t xml:space="preserve"> </w:t>
      </w:r>
      <w:r>
        <w:t>their</w:t>
      </w:r>
      <w:r>
        <w:rPr>
          <w:spacing w:val="-5"/>
        </w:rPr>
        <w:t xml:space="preserve"> </w:t>
      </w:r>
      <w:r>
        <w:t>quality</w:t>
      </w:r>
      <w:r>
        <w:rPr>
          <w:spacing w:val="-4"/>
        </w:rPr>
        <w:t xml:space="preserve"> </w:t>
      </w:r>
      <w:r>
        <w:t>of</w:t>
      </w:r>
      <w:r>
        <w:rPr>
          <w:spacing w:val="-1"/>
        </w:rPr>
        <w:t xml:space="preserve"> </w:t>
      </w:r>
      <w:r>
        <w:t>life.</w:t>
      </w:r>
      <w:r>
        <w:rPr>
          <w:spacing w:val="-4"/>
        </w:rPr>
        <w:t xml:space="preserve"> </w:t>
      </w:r>
      <w:r>
        <w:t>As</w:t>
      </w:r>
      <w:r>
        <w:rPr>
          <w:spacing w:val="-5"/>
        </w:rPr>
        <w:t xml:space="preserve"> </w:t>
      </w:r>
      <w:r>
        <w:t>we</w:t>
      </w:r>
      <w:r>
        <w:rPr>
          <w:spacing w:val="-3"/>
        </w:rPr>
        <w:t xml:space="preserve"> </w:t>
      </w:r>
      <w:r>
        <w:t>have</w:t>
      </w:r>
      <w:r>
        <w:rPr>
          <w:spacing w:val="-3"/>
        </w:rPr>
        <w:t xml:space="preserve"> </w:t>
      </w:r>
      <w:r>
        <w:t>noted</w:t>
      </w:r>
      <w:r>
        <w:rPr>
          <w:spacing w:val="-5"/>
        </w:rPr>
        <w:t xml:space="preserve"> </w:t>
      </w:r>
      <w:r>
        <w:t>in</w:t>
      </w:r>
      <w:r>
        <w:rPr>
          <w:spacing w:val="-3"/>
        </w:rPr>
        <w:t xml:space="preserve"> </w:t>
      </w:r>
      <w:r>
        <w:t>previous</w:t>
      </w:r>
      <w:r>
        <w:rPr>
          <w:spacing w:val="-2"/>
        </w:rPr>
        <w:t xml:space="preserve"> </w:t>
      </w:r>
      <w:r>
        <w:t>comment letters, studies have found a link between cost sharing and medication adherence.</w:t>
      </w:r>
      <w:hyperlink w:anchor="_bookmark5" w:history="1">
        <w:r>
          <w:rPr>
            <w:position w:val="8"/>
            <w:sz w:val="14"/>
          </w:rPr>
          <w:t>6</w:t>
        </w:r>
      </w:hyperlink>
      <w:r>
        <w:rPr>
          <w:position w:val="8"/>
          <w:sz w:val="14"/>
        </w:rPr>
        <w:t xml:space="preserve"> </w:t>
      </w:r>
      <w:r>
        <w:t>Nonadherence decreases health outcomes and increases cost to the health care system as a whole.</w:t>
      </w:r>
      <w:hyperlink w:anchor="_bookmark6" w:history="1">
        <w:r>
          <w:rPr>
            <w:position w:val="8"/>
            <w:sz w:val="14"/>
          </w:rPr>
          <w:t>7</w:t>
        </w:r>
      </w:hyperlink>
      <w:r>
        <w:rPr>
          <w:position w:val="8"/>
          <w:sz w:val="14"/>
        </w:rPr>
        <w:t xml:space="preserve"> </w:t>
      </w:r>
      <w:r>
        <w:rPr>
          <w:spacing w:val="3"/>
        </w:rPr>
        <w:t xml:space="preserve">We </w:t>
      </w:r>
      <w:r>
        <w:t>encourage CMS to eliminate the tiering exemption for the specialty tier in future rulemaking,</w:t>
      </w:r>
      <w:r>
        <w:rPr>
          <w:spacing w:val="-16"/>
        </w:rPr>
        <w:t xml:space="preserve"> </w:t>
      </w:r>
      <w:r>
        <w:t>as</w:t>
      </w:r>
      <w:r>
        <w:rPr>
          <w:spacing w:val="-17"/>
        </w:rPr>
        <w:t xml:space="preserve"> </w:t>
      </w:r>
      <w:r>
        <w:t>this</w:t>
      </w:r>
      <w:r>
        <w:rPr>
          <w:spacing w:val="-14"/>
        </w:rPr>
        <w:t xml:space="preserve"> </w:t>
      </w:r>
      <w:r>
        <w:t>exemption</w:t>
      </w:r>
      <w:r>
        <w:rPr>
          <w:spacing w:val="-15"/>
        </w:rPr>
        <w:t xml:space="preserve"> </w:t>
      </w:r>
      <w:r>
        <w:t>effectively</w:t>
      </w:r>
      <w:r>
        <w:rPr>
          <w:spacing w:val="-17"/>
        </w:rPr>
        <w:t xml:space="preserve"> </w:t>
      </w:r>
      <w:r>
        <w:t>discriminates</w:t>
      </w:r>
      <w:r>
        <w:rPr>
          <w:spacing w:val="-14"/>
        </w:rPr>
        <w:t xml:space="preserve"> </w:t>
      </w:r>
      <w:r>
        <w:t>against</w:t>
      </w:r>
      <w:r>
        <w:rPr>
          <w:spacing w:val="-13"/>
        </w:rPr>
        <w:t xml:space="preserve"> </w:t>
      </w:r>
      <w:r>
        <w:t>beneficiaries</w:t>
      </w:r>
      <w:r>
        <w:rPr>
          <w:spacing w:val="-14"/>
        </w:rPr>
        <w:t xml:space="preserve"> </w:t>
      </w:r>
      <w:r>
        <w:t>needing</w:t>
      </w:r>
      <w:r>
        <w:rPr>
          <w:spacing w:val="-15"/>
        </w:rPr>
        <w:t xml:space="preserve"> </w:t>
      </w:r>
      <w:r>
        <w:t>drugs</w:t>
      </w:r>
      <w:r>
        <w:rPr>
          <w:spacing w:val="-17"/>
        </w:rPr>
        <w:t xml:space="preserve"> </w:t>
      </w:r>
      <w:r>
        <w:t>on</w:t>
      </w:r>
      <w:r>
        <w:rPr>
          <w:spacing w:val="-17"/>
        </w:rPr>
        <w:t xml:space="preserve"> </w:t>
      </w:r>
      <w:r>
        <w:t>the specialty tier and can lead to significant financial hardship or barriers to</w:t>
      </w:r>
      <w:r>
        <w:rPr>
          <w:spacing w:val="-28"/>
        </w:rPr>
        <w:t xml:space="preserve"> </w:t>
      </w:r>
      <w:r>
        <w:t>access.</w:t>
      </w:r>
    </w:p>
    <w:p w:rsidR="00BE0927" w:rsidRDefault="00BE0927">
      <w:pPr>
        <w:pStyle w:val="BodyText"/>
        <w:spacing w:before="2"/>
        <w:rPr>
          <w:sz w:val="24"/>
        </w:rPr>
      </w:pPr>
    </w:p>
    <w:p w:rsidR="00BE0927" w:rsidRDefault="00EA0607">
      <w:pPr>
        <w:pStyle w:val="BodyText"/>
        <w:spacing w:line="264" w:lineRule="auto"/>
        <w:ind w:left="120" w:right="117"/>
        <w:jc w:val="both"/>
      </w:pPr>
      <w:r>
        <w:t>Finally, CMS believes the proposed changes to the tiering exceptions regulations will make the process more acce</w:t>
      </w:r>
      <w:r>
        <w:t>ssible and transparent for enrollees. To that end, we encourage CMS to ensure that enrollees have easy access to plan information describing the tiering exceptions in plain language so they are better equipped to manage their care, including the associated</w:t>
      </w:r>
      <w:r>
        <w:t xml:space="preserve"> costs.</w:t>
      </w:r>
    </w:p>
    <w:p w:rsidR="00BE0927" w:rsidRDefault="00BE0927">
      <w:pPr>
        <w:pStyle w:val="BodyText"/>
        <w:rPr>
          <w:sz w:val="24"/>
        </w:rPr>
      </w:pPr>
    </w:p>
    <w:p w:rsidR="00BE0927" w:rsidRDefault="00BE0927">
      <w:pPr>
        <w:pStyle w:val="BodyText"/>
        <w:spacing w:before="2"/>
        <w:rPr>
          <w:sz w:val="24"/>
        </w:rPr>
      </w:pPr>
    </w:p>
    <w:p w:rsidR="00BE0927" w:rsidRDefault="00EA0607">
      <w:pPr>
        <w:pStyle w:val="Heading1"/>
        <w:numPr>
          <w:ilvl w:val="0"/>
          <w:numId w:val="1"/>
        </w:numPr>
        <w:tabs>
          <w:tab w:val="left" w:pos="840"/>
        </w:tabs>
        <w:ind w:left="839" w:hanging="719"/>
        <w:jc w:val="both"/>
        <w:rPr>
          <w:u w:val="none"/>
        </w:rPr>
      </w:pPr>
      <w:r>
        <w:rPr>
          <w:u w:val="thick"/>
        </w:rPr>
        <w:t>Expedited</w:t>
      </w:r>
      <w:r>
        <w:rPr>
          <w:spacing w:val="-15"/>
          <w:u w:val="thick"/>
        </w:rPr>
        <w:t xml:space="preserve"> </w:t>
      </w:r>
      <w:r>
        <w:rPr>
          <w:u w:val="thick"/>
        </w:rPr>
        <w:t>Substitutions</w:t>
      </w:r>
      <w:r>
        <w:rPr>
          <w:spacing w:val="-12"/>
          <w:u w:val="thick"/>
        </w:rPr>
        <w:t xml:space="preserve"> </w:t>
      </w:r>
      <w:r>
        <w:rPr>
          <w:u w:val="thick"/>
        </w:rPr>
        <w:t>of</w:t>
      </w:r>
      <w:r>
        <w:rPr>
          <w:spacing w:val="-13"/>
          <w:u w:val="thick"/>
        </w:rPr>
        <w:t xml:space="preserve"> </w:t>
      </w:r>
      <w:r>
        <w:rPr>
          <w:u w:val="thick"/>
        </w:rPr>
        <w:t>Certain</w:t>
      </w:r>
      <w:r>
        <w:rPr>
          <w:spacing w:val="-15"/>
          <w:u w:val="thick"/>
        </w:rPr>
        <w:t xml:space="preserve"> </w:t>
      </w:r>
      <w:r>
        <w:rPr>
          <w:u w:val="thick"/>
        </w:rPr>
        <w:t>Generics</w:t>
      </w:r>
      <w:r>
        <w:rPr>
          <w:spacing w:val="-14"/>
          <w:u w:val="thick"/>
        </w:rPr>
        <w:t xml:space="preserve"> </w:t>
      </w:r>
      <w:r>
        <w:rPr>
          <w:u w:val="thick"/>
        </w:rPr>
        <w:t>and</w:t>
      </w:r>
      <w:r>
        <w:rPr>
          <w:spacing w:val="-12"/>
          <w:u w:val="thick"/>
        </w:rPr>
        <w:t xml:space="preserve"> </w:t>
      </w:r>
      <w:r>
        <w:rPr>
          <w:u w:val="thick"/>
        </w:rPr>
        <w:t>Other</w:t>
      </w:r>
      <w:r>
        <w:rPr>
          <w:spacing w:val="-14"/>
          <w:u w:val="thick"/>
        </w:rPr>
        <w:t xml:space="preserve"> </w:t>
      </w:r>
      <w:r>
        <w:rPr>
          <w:u w:val="thick"/>
        </w:rPr>
        <w:t>Midyear</w:t>
      </w:r>
      <w:r>
        <w:rPr>
          <w:spacing w:val="-12"/>
          <w:u w:val="thick"/>
        </w:rPr>
        <w:t xml:space="preserve"> </w:t>
      </w:r>
      <w:r>
        <w:rPr>
          <w:u w:val="thick"/>
        </w:rPr>
        <w:t>Formulary</w:t>
      </w:r>
      <w:r>
        <w:rPr>
          <w:spacing w:val="-17"/>
          <w:u w:val="thick"/>
        </w:rPr>
        <w:t xml:space="preserve"> </w:t>
      </w:r>
      <w:r>
        <w:rPr>
          <w:u w:val="thick"/>
        </w:rPr>
        <w:t>Changes</w:t>
      </w:r>
    </w:p>
    <w:p w:rsidR="00BE0927" w:rsidRDefault="00BE0927">
      <w:pPr>
        <w:pStyle w:val="BodyText"/>
        <w:rPr>
          <w:b/>
          <w:sz w:val="20"/>
        </w:rPr>
      </w:pPr>
    </w:p>
    <w:p w:rsidR="00BE0927" w:rsidRDefault="00EA0607">
      <w:pPr>
        <w:pStyle w:val="BodyText"/>
        <w:spacing w:before="2"/>
        <w:rPr>
          <w:b/>
          <w:sz w:val="10"/>
        </w:rPr>
      </w:pPr>
      <w:r>
        <w:pict>
          <v:line id="_x0000_s2052" style="position:absolute;z-index:1072;mso-wrap-distance-left:0;mso-wrap-distance-right:0;mso-position-horizontal-relative:page" from="1in,8.1pt" to="3in,8.1pt" strokeweight=".48pt">
            <w10:wrap type="topAndBottom" anchorx="page"/>
          </v:line>
        </w:pict>
      </w:r>
    </w:p>
    <w:p w:rsidR="00BE0927" w:rsidRDefault="00EA0607">
      <w:pPr>
        <w:spacing w:before="53" w:line="264" w:lineRule="auto"/>
        <w:ind w:left="119" w:right="59"/>
        <w:rPr>
          <w:rFonts w:ascii="Times New Roman"/>
          <w:sz w:val="20"/>
        </w:rPr>
      </w:pPr>
      <w:bookmarkStart w:id="5" w:name="_bookmark5"/>
      <w:bookmarkEnd w:id="5"/>
      <w:r>
        <w:rPr>
          <w:rFonts w:ascii="Times New Roman"/>
          <w:position w:val="7"/>
          <w:sz w:val="13"/>
        </w:rPr>
        <w:t xml:space="preserve">6 </w:t>
      </w:r>
      <w:r>
        <w:rPr>
          <w:rFonts w:ascii="Times New Roman"/>
          <w:sz w:val="20"/>
        </w:rPr>
        <w:t xml:space="preserve">Dusetzina SB, et al., Cost sharing and adherence to tyrosine kinase inhibitors for patients with chronic myeloid leukemia. </w:t>
      </w:r>
      <w:r>
        <w:rPr>
          <w:rFonts w:ascii="Times New Roman"/>
          <w:color w:val="0000FF"/>
          <w:sz w:val="20"/>
        </w:rPr>
        <w:t>J Clin Oncol</w:t>
      </w:r>
      <w:r>
        <w:rPr>
          <w:rFonts w:ascii="Times New Roman"/>
          <w:sz w:val="20"/>
        </w:rPr>
        <w:t xml:space="preserve">. 2014 Feb 1;32(4):306-11. Available at </w:t>
      </w:r>
      <w:hyperlink r:id="rId17">
        <w:r>
          <w:rPr>
            <w:rFonts w:ascii="Times New Roman"/>
            <w:color w:val="0000FF"/>
            <w:sz w:val="20"/>
            <w:u w:val="single" w:color="0000FF"/>
          </w:rPr>
          <w:t>https://www.ncbi.nlm.nih.gov/pubmed/?term=J+Clin+Oncol.+2014+Feb+1%3B32(4)%3A306-118</w:t>
        </w:r>
      </w:hyperlink>
      <w:r>
        <w:rPr>
          <w:rFonts w:ascii="Times New Roman"/>
          <w:sz w:val="20"/>
        </w:rPr>
        <w:t>; and Doshi JA, et</w:t>
      </w:r>
      <w:r>
        <w:rPr>
          <w:rFonts w:ascii="Times New Roman"/>
          <w:sz w:val="20"/>
        </w:rPr>
        <w:t xml:space="preserve"> al., Impact of cost sharing on specialty drug utilization and outcomes: a review of the evidence and future directions. Am J Manag Care. 2016 Mar;22(3):188-97. Available at </w:t>
      </w:r>
      <w:r>
        <w:rPr>
          <w:rFonts w:ascii="Times New Roman"/>
          <w:color w:val="0000FF"/>
          <w:sz w:val="20"/>
        </w:rPr>
        <w:t>https://</w:t>
      </w:r>
      <w:hyperlink r:id="rId18">
        <w:r>
          <w:rPr>
            <w:rFonts w:ascii="Times New Roman"/>
            <w:color w:val="0000FF"/>
            <w:sz w:val="20"/>
          </w:rPr>
          <w:t>www.ncbi.nlm.nih.gov/pubmed/?term=Am+J+Manag+Care.+2016+Mar%3B22(3)%3A188-97</w:t>
        </w:r>
        <w:r>
          <w:rPr>
            <w:rFonts w:ascii="Times New Roman"/>
            <w:sz w:val="20"/>
          </w:rPr>
          <w:t>.</w:t>
        </w:r>
      </w:hyperlink>
    </w:p>
    <w:p w:rsidR="00BE0927" w:rsidRDefault="00EA0607">
      <w:pPr>
        <w:spacing w:line="206" w:lineRule="exact"/>
        <w:ind w:left="119"/>
        <w:rPr>
          <w:rFonts w:ascii="Times New Roman"/>
          <w:sz w:val="20"/>
        </w:rPr>
      </w:pPr>
      <w:bookmarkStart w:id="6" w:name="_bookmark6"/>
      <w:bookmarkEnd w:id="6"/>
      <w:r>
        <w:rPr>
          <w:rFonts w:ascii="Times New Roman"/>
          <w:position w:val="7"/>
          <w:sz w:val="13"/>
        </w:rPr>
        <w:t xml:space="preserve">7 </w:t>
      </w:r>
      <w:r>
        <w:rPr>
          <w:rFonts w:ascii="Times New Roman"/>
          <w:sz w:val="20"/>
        </w:rPr>
        <w:t xml:space="preserve">Egede LE, et al., Longitudinal effects of medication nonadherence on glycemic control. </w:t>
      </w:r>
      <w:r>
        <w:rPr>
          <w:rFonts w:ascii="Times New Roman"/>
          <w:color w:val="0000FF"/>
          <w:sz w:val="20"/>
        </w:rPr>
        <w:t>Ann Pharmacother</w:t>
      </w:r>
      <w:r>
        <w:rPr>
          <w:rFonts w:ascii="Times New Roman"/>
          <w:sz w:val="20"/>
        </w:rPr>
        <w:t>.   2014</w:t>
      </w:r>
    </w:p>
    <w:p w:rsidR="00BE0927" w:rsidRDefault="00EA0607">
      <w:pPr>
        <w:spacing w:before="24" w:line="264" w:lineRule="auto"/>
        <w:ind w:left="120" w:right="119" w:hanging="1"/>
        <w:jc w:val="both"/>
        <w:rPr>
          <w:rFonts w:ascii="Times New Roman" w:hAnsi="Times New Roman"/>
          <w:sz w:val="20"/>
        </w:rPr>
      </w:pPr>
      <w:r>
        <w:rPr>
          <w:rFonts w:ascii="Times New Roman" w:hAnsi="Times New Roman"/>
          <w:sz w:val="20"/>
        </w:rPr>
        <w:t xml:space="preserve">May;48(5):562-70. Available at </w:t>
      </w:r>
      <w:hyperlink r:id="rId19">
        <w:r>
          <w:rPr>
            <w:rFonts w:ascii="Times New Roman" w:hAnsi="Times New Roman"/>
            <w:color w:val="0000FF"/>
            <w:sz w:val="20"/>
            <w:u w:val="single" w:color="0000FF"/>
          </w:rPr>
          <w:t xml:space="preserve">https://www.ncbi.nlm.nih.gov/pubmed/24586059 </w:t>
        </w:r>
      </w:hyperlink>
      <w:r>
        <w:rPr>
          <w:rFonts w:ascii="Times New Roman" w:hAnsi="Times New Roman"/>
          <w:sz w:val="20"/>
        </w:rPr>
        <w:t xml:space="preserve">; and Aurel O Luga and Maura J McGuira, Adherence and health care costs. Risk Manag Healthc Policy. 2014; 7: 35–44. </w:t>
      </w:r>
      <w:r>
        <w:rPr>
          <w:rFonts w:ascii="Times New Roman" w:hAnsi="Times New Roman"/>
          <w:sz w:val="20"/>
        </w:rPr>
        <w:t xml:space="preserve">Available at </w:t>
      </w:r>
      <w:r>
        <w:rPr>
          <w:rFonts w:ascii="Times New Roman" w:hAnsi="Times New Roman"/>
          <w:color w:val="0000FF"/>
          <w:sz w:val="20"/>
        </w:rPr>
        <w:t>https://</w:t>
      </w:r>
      <w:hyperlink r:id="rId20">
        <w:r>
          <w:rPr>
            <w:rFonts w:ascii="Times New Roman" w:hAnsi="Times New Roman"/>
            <w:color w:val="0000FF"/>
            <w:sz w:val="20"/>
          </w:rPr>
          <w:t>www.ncbi.nlm.nih.gov/pmc/articles/PMC3934668/</w:t>
        </w:r>
        <w:r>
          <w:rPr>
            <w:rFonts w:ascii="Times New Roman" w:hAnsi="Times New Roman"/>
            <w:sz w:val="20"/>
          </w:rPr>
          <w:t>.</w:t>
        </w:r>
      </w:hyperlink>
    </w:p>
    <w:p w:rsidR="00BE0927" w:rsidRDefault="00BE0927">
      <w:pPr>
        <w:spacing w:line="264" w:lineRule="auto"/>
        <w:jc w:val="both"/>
        <w:rPr>
          <w:rFonts w:ascii="Times New Roman" w:hAnsi="Times New Roman"/>
          <w:sz w:val="20"/>
        </w:rPr>
        <w:sectPr w:rsidR="00BE0927">
          <w:footerReference w:type="default" r:id="rId21"/>
          <w:pgSz w:w="12240" w:h="15840"/>
          <w:pgMar w:top="1360" w:right="1320" w:bottom="920" w:left="1320" w:header="0" w:footer="732" w:gutter="0"/>
          <w:pgNumType w:start="4"/>
          <w:cols w:space="720"/>
        </w:sectPr>
      </w:pPr>
    </w:p>
    <w:p w:rsidR="00BE0927" w:rsidRDefault="00BE0927">
      <w:pPr>
        <w:pStyle w:val="BodyText"/>
        <w:spacing w:before="7"/>
        <w:rPr>
          <w:rFonts w:ascii="Times New Roman"/>
          <w:sz w:val="10"/>
        </w:rPr>
      </w:pPr>
    </w:p>
    <w:p w:rsidR="00BE0927" w:rsidRDefault="00EA0607">
      <w:pPr>
        <w:pStyle w:val="BodyText"/>
        <w:spacing w:before="94" w:line="264" w:lineRule="auto"/>
        <w:ind w:left="119" w:right="113"/>
        <w:jc w:val="both"/>
      </w:pPr>
      <w:r>
        <w:t xml:space="preserve">In this section, CMS proposes certain changes designed to provide plans with greater formulary flexibility, including enabling immediate generic substitutions for branded products in certain instances. More specifically, CMS proposes to permit Part D plan </w:t>
      </w:r>
      <w:r>
        <w:t>sponsors that meet the necessary requirements to immediately remove brand name drugs (or to make changes in their preferred or tiered cost sharing status) when those sponsors replace the brand drugs (or add to their</w:t>
      </w:r>
      <w:r>
        <w:rPr>
          <w:spacing w:val="-13"/>
        </w:rPr>
        <w:t xml:space="preserve"> </w:t>
      </w:r>
      <w:r>
        <w:t>formularies)</w:t>
      </w:r>
      <w:r>
        <w:rPr>
          <w:spacing w:val="-11"/>
        </w:rPr>
        <w:t xml:space="preserve"> </w:t>
      </w:r>
      <w:r>
        <w:t>therapeutically</w:t>
      </w:r>
      <w:r>
        <w:rPr>
          <w:spacing w:val="-14"/>
        </w:rPr>
        <w:t xml:space="preserve"> </w:t>
      </w:r>
      <w:r>
        <w:t>equivalent</w:t>
      </w:r>
      <w:r>
        <w:rPr>
          <w:spacing w:val="-10"/>
        </w:rPr>
        <w:t xml:space="preserve"> </w:t>
      </w:r>
      <w:r>
        <w:t>newly</w:t>
      </w:r>
      <w:r>
        <w:rPr>
          <w:spacing w:val="-12"/>
        </w:rPr>
        <w:t xml:space="preserve"> </w:t>
      </w:r>
      <w:r>
        <w:t>approved</w:t>
      </w:r>
      <w:r>
        <w:rPr>
          <w:spacing w:val="-12"/>
        </w:rPr>
        <w:t xml:space="preserve"> </w:t>
      </w:r>
      <w:r>
        <w:t>generics,</w:t>
      </w:r>
      <w:r>
        <w:rPr>
          <w:spacing w:val="-11"/>
        </w:rPr>
        <w:t xml:space="preserve"> </w:t>
      </w:r>
      <w:r>
        <w:t>rather</w:t>
      </w:r>
      <w:r>
        <w:rPr>
          <w:spacing w:val="-11"/>
        </w:rPr>
        <w:t xml:space="preserve"> </w:t>
      </w:r>
      <w:r>
        <w:t>than</w:t>
      </w:r>
      <w:r>
        <w:rPr>
          <w:spacing w:val="-12"/>
        </w:rPr>
        <w:t xml:space="preserve"> </w:t>
      </w:r>
      <w:r>
        <w:t>waiting</w:t>
      </w:r>
      <w:r>
        <w:rPr>
          <w:spacing w:val="-10"/>
        </w:rPr>
        <w:t xml:space="preserve"> </w:t>
      </w:r>
      <w:r>
        <w:t>until</w:t>
      </w:r>
      <w:r>
        <w:rPr>
          <w:spacing w:val="-13"/>
        </w:rPr>
        <w:t xml:space="preserve"> </w:t>
      </w:r>
      <w:r>
        <w:t>the direct notice and formulary change requests requirements have been met. The generic would need to be offered at the same or a lower cost-sharing amount and with the same or less restrictive utilization</w:t>
      </w:r>
      <w:r>
        <w:t xml:space="preserve"> management criteria. This substitution policy would not apply to follow-on biologics. Under this proposal, enrollees would only have to be notified in advance that plans have the ability to make such changes. After making a substitution, plans would be re</w:t>
      </w:r>
      <w:r>
        <w:t>quired to provide information to affected enrollees (among others) about any specific generic substitutions that</w:t>
      </w:r>
      <w:r>
        <w:rPr>
          <w:spacing w:val="-3"/>
        </w:rPr>
        <w:t xml:space="preserve"> </w:t>
      </w:r>
      <w:r>
        <w:t>occur.</w:t>
      </w:r>
    </w:p>
    <w:p w:rsidR="00BE0927" w:rsidRDefault="00BE0927">
      <w:pPr>
        <w:pStyle w:val="BodyText"/>
        <w:spacing w:before="3"/>
        <w:rPr>
          <w:sz w:val="24"/>
        </w:rPr>
      </w:pPr>
    </w:p>
    <w:p w:rsidR="00BE0927" w:rsidRDefault="00EA0607">
      <w:pPr>
        <w:pStyle w:val="BodyText"/>
        <w:spacing w:line="264" w:lineRule="auto"/>
        <w:ind w:left="120" w:right="114"/>
        <w:jc w:val="both"/>
      </w:pPr>
      <w:r>
        <w:t>While we are supportive of generic substitution when appropriate, we are concerned about the lack of advance notice to beneficiaries pr</w:t>
      </w:r>
      <w:r>
        <w:t>ior to the substitution. In the Proposed Rule, as support for these changes, CMS refers to MedPAC recommendations made in 2016 relating to Part D. Those recommendations do include streamlining formulary changes to enable plans to remove brand-name drugs up</w:t>
      </w:r>
      <w:r>
        <w:t>on addition of therapeutically equivalent generics, but they do not change the beneficiary notice requirements. MedPAC’s discussion of this proposal explicitly states that “[a]ffected enrollees would continue to receive a 60-day written notice before the f</w:t>
      </w:r>
      <w:r>
        <w:t>ormulary change…”</w:t>
      </w:r>
      <w:hyperlink w:anchor="_bookmark7" w:history="1">
        <w:r>
          <w:rPr>
            <w:position w:val="8"/>
            <w:sz w:val="14"/>
          </w:rPr>
          <w:t>8</w:t>
        </w:r>
      </w:hyperlink>
      <w:r>
        <w:rPr>
          <w:position w:val="8"/>
          <w:sz w:val="14"/>
        </w:rPr>
        <w:t xml:space="preserve"> </w:t>
      </w:r>
      <w:r>
        <w:t>Like MedPAC, we believe it is important to retain this advance notice requirement for beneficiaries.</w:t>
      </w:r>
    </w:p>
    <w:p w:rsidR="00BE0927" w:rsidRDefault="00BE0927">
      <w:pPr>
        <w:pStyle w:val="BodyText"/>
        <w:spacing w:before="3"/>
        <w:rPr>
          <w:sz w:val="24"/>
        </w:rPr>
      </w:pPr>
    </w:p>
    <w:p w:rsidR="00BE0927" w:rsidRDefault="00EA0607">
      <w:pPr>
        <w:pStyle w:val="BodyText"/>
        <w:spacing w:line="264" w:lineRule="auto"/>
        <w:ind w:left="120" w:right="113"/>
        <w:jc w:val="both"/>
      </w:pPr>
      <w:r>
        <w:t>As a practical matter, without sufficient notice, many beneficiaries will show up at the pharmacy to</w:t>
      </w:r>
      <w:r>
        <w:rPr>
          <w:spacing w:val="-9"/>
        </w:rPr>
        <w:t xml:space="preserve"> </w:t>
      </w:r>
      <w:r>
        <w:t>get</w:t>
      </w:r>
      <w:r>
        <w:rPr>
          <w:spacing w:val="-7"/>
        </w:rPr>
        <w:t xml:space="preserve"> </w:t>
      </w:r>
      <w:r>
        <w:t>their</w:t>
      </w:r>
      <w:r>
        <w:rPr>
          <w:spacing w:val="-5"/>
        </w:rPr>
        <w:t xml:space="preserve"> </w:t>
      </w:r>
      <w:r>
        <w:t>prescription</w:t>
      </w:r>
      <w:r>
        <w:rPr>
          <w:spacing w:val="-6"/>
        </w:rPr>
        <w:t xml:space="preserve"> </w:t>
      </w:r>
      <w:r>
        <w:t>and</w:t>
      </w:r>
      <w:r>
        <w:rPr>
          <w:spacing w:val="-6"/>
        </w:rPr>
        <w:t xml:space="preserve"> </w:t>
      </w:r>
      <w:r>
        <w:t>will</w:t>
      </w:r>
      <w:r>
        <w:rPr>
          <w:spacing w:val="-7"/>
        </w:rPr>
        <w:t xml:space="preserve"> </w:t>
      </w:r>
      <w:r>
        <w:t>be</w:t>
      </w:r>
      <w:r>
        <w:rPr>
          <w:spacing w:val="-6"/>
        </w:rPr>
        <w:t xml:space="preserve"> </w:t>
      </w:r>
      <w:r>
        <w:t>confused</w:t>
      </w:r>
      <w:r>
        <w:rPr>
          <w:spacing w:val="-9"/>
        </w:rPr>
        <w:t xml:space="preserve"> </w:t>
      </w:r>
      <w:r>
        <w:t>and</w:t>
      </w:r>
      <w:r>
        <w:rPr>
          <w:spacing w:val="-9"/>
        </w:rPr>
        <w:t xml:space="preserve"> </w:t>
      </w:r>
      <w:r>
        <w:t>upset</w:t>
      </w:r>
      <w:r>
        <w:rPr>
          <w:spacing w:val="-5"/>
        </w:rPr>
        <w:t xml:space="preserve"> </w:t>
      </w:r>
      <w:r>
        <w:t>about</w:t>
      </w:r>
      <w:r>
        <w:rPr>
          <w:spacing w:val="-5"/>
        </w:rPr>
        <w:t xml:space="preserve"> </w:t>
      </w:r>
      <w:r>
        <w:t>a</w:t>
      </w:r>
      <w:r>
        <w:rPr>
          <w:spacing w:val="-9"/>
        </w:rPr>
        <w:t xml:space="preserve"> </w:t>
      </w:r>
      <w:r>
        <w:t>substitution</w:t>
      </w:r>
      <w:r>
        <w:rPr>
          <w:spacing w:val="-7"/>
        </w:rPr>
        <w:t xml:space="preserve"> </w:t>
      </w:r>
      <w:r>
        <w:t>for</w:t>
      </w:r>
      <w:r>
        <w:rPr>
          <w:spacing w:val="-5"/>
        </w:rPr>
        <w:t xml:space="preserve"> </w:t>
      </w:r>
      <w:r>
        <w:t>which</w:t>
      </w:r>
      <w:r>
        <w:rPr>
          <w:spacing w:val="-6"/>
        </w:rPr>
        <w:t xml:space="preserve"> </w:t>
      </w:r>
      <w:r>
        <w:t>they</w:t>
      </w:r>
      <w:r>
        <w:rPr>
          <w:spacing w:val="-8"/>
        </w:rPr>
        <w:t xml:space="preserve"> </w:t>
      </w:r>
      <w:r>
        <w:t>had</w:t>
      </w:r>
      <w:r>
        <w:rPr>
          <w:spacing w:val="-6"/>
        </w:rPr>
        <w:t xml:space="preserve"> </w:t>
      </w:r>
      <w:r>
        <w:t xml:space="preserve">no notice. The drug will look different than what they are used to and will unnecessarily lead to frustration. </w:t>
      </w:r>
      <w:r>
        <w:rPr>
          <w:spacing w:val="3"/>
        </w:rPr>
        <w:t xml:space="preserve">We </w:t>
      </w:r>
      <w:r>
        <w:t>urge CMS to require advance notice before substitution. Advance notice gives the</w:t>
      </w:r>
      <w:r>
        <w:rPr>
          <w:spacing w:val="-9"/>
        </w:rPr>
        <w:t xml:space="preserve"> </w:t>
      </w:r>
      <w:r>
        <w:t>beneficiary</w:t>
      </w:r>
      <w:r>
        <w:rPr>
          <w:spacing w:val="-11"/>
        </w:rPr>
        <w:t xml:space="preserve"> </w:t>
      </w:r>
      <w:r>
        <w:t>an</w:t>
      </w:r>
      <w:r>
        <w:rPr>
          <w:spacing w:val="-9"/>
        </w:rPr>
        <w:t xml:space="preserve"> </w:t>
      </w:r>
      <w:r>
        <w:t>opportunity</w:t>
      </w:r>
      <w:r>
        <w:rPr>
          <w:spacing w:val="-11"/>
        </w:rPr>
        <w:t xml:space="preserve"> </w:t>
      </w:r>
      <w:r>
        <w:t>to</w:t>
      </w:r>
      <w:r>
        <w:rPr>
          <w:spacing w:val="-9"/>
        </w:rPr>
        <w:t xml:space="preserve"> </w:t>
      </w:r>
      <w:r>
        <w:t>discuss</w:t>
      </w:r>
      <w:r>
        <w:rPr>
          <w:spacing w:val="-11"/>
        </w:rPr>
        <w:t xml:space="preserve"> </w:t>
      </w:r>
      <w:r>
        <w:t>the</w:t>
      </w:r>
      <w:r>
        <w:rPr>
          <w:spacing w:val="-9"/>
        </w:rPr>
        <w:t xml:space="preserve"> </w:t>
      </w:r>
      <w:r>
        <w:t>change</w:t>
      </w:r>
      <w:r>
        <w:rPr>
          <w:spacing w:val="-9"/>
        </w:rPr>
        <w:t xml:space="preserve"> </w:t>
      </w:r>
      <w:r>
        <w:t>with</w:t>
      </w:r>
      <w:r>
        <w:rPr>
          <w:spacing w:val="-9"/>
        </w:rPr>
        <w:t xml:space="preserve"> </w:t>
      </w:r>
      <w:r>
        <w:t>their</w:t>
      </w:r>
      <w:r>
        <w:rPr>
          <w:spacing w:val="-8"/>
        </w:rPr>
        <w:t xml:space="preserve"> </w:t>
      </w:r>
      <w:r>
        <w:t>provider</w:t>
      </w:r>
      <w:r>
        <w:rPr>
          <w:spacing w:val="-5"/>
        </w:rPr>
        <w:t xml:space="preserve"> </w:t>
      </w:r>
      <w:r>
        <w:t>so</w:t>
      </w:r>
      <w:r>
        <w:rPr>
          <w:spacing w:val="-11"/>
        </w:rPr>
        <w:t xml:space="preserve"> </w:t>
      </w:r>
      <w:r>
        <w:t>that,</w:t>
      </w:r>
      <w:r>
        <w:rPr>
          <w:spacing w:val="-7"/>
        </w:rPr>
        <w:t xml:space="preserve"> </w:t>
      </w:r>
      <w:r>
        <w:t>at</w:t>
      </w:r>
      <w:r>
        <w:rPr>
          <w:spacing w:val="-7"/>
        </w:rPr>
        <w:t xml:space="preserve"> </w:t>
      </w:r>
      <w:r>
        <w:t>a</w:t>
      </w:r>
      <w:r>
        <w:rPr>
          <w:spacing w:val="-11"/>
        </w:rPr>
        <w:t xml:space="preserve"> </w:t>
      </w:r>
      <w:r>
        <w:t>minimum,</w:t>
      </w:r>
      <w:r>
        <w:rPr>
          <w:spacing w:val="-10"/>
        </w:rPr>
        <w:t xml:space="preserve"> </w:t>
      </w:r>
      <w:r>
        <w:t>the beneficiary</w:t>
      </w:r>
      <w:r>
        <w:rPr>
          <w:spacing w:val="-6"/>
        </w:rPr>
        <w:t xml:space="preserve"> </w:t>
      </w:r>
      <w:r>
        <w:t>can</w:t>
      </w:r>
      <w:r>
        <w:rPr>
          <w:spacing w:val="-4"/>
        </w:rPr>
        <w:t xml:space="preserve"> </w:t>
      </w:r>
      <w:r>
        <w:t>understand</w:t>
      </w:r>
      <w:r>
        <w:rPr>
          <w:spacing w:val="-4"/>
        </w:rPr>
        <w:t xml:space="preserve"> </w:t>
      </w:r>
      <w:r>
        <w:t>the</w:t>
      </w:r>
      <w:r>
        <w:rPr>
          <w:spacing w:val="-6"/>
        </w:rPr>
        <w:t xml:space="preserve"> </w:t>
      </w:r>
      <w:r>
        <w:t>nature</w:t>
      </w:r>
      <w:r>
        <w:rPr>
          <w:spacing w:val="-6"/>
        </w:rPr>
        <w:t xml:space="preserve"> </w:t>
      </w:r>
      <w:r>
        <w:t>of</w:t>
      </w:r>
      <w:r>
        <w:rPr>
          <w:spacing w:val="-5"/>
        </w:rPr>
        <w:t xml:space="preserve"> </w:t>
      </w:r>
      <w:r>
        <w:t>the</w:t>
      </w:r>
      <w:r>
        <w:rPr>
          <w:spacing w:val="-6"/>
        </w:rPr>
        <w:t xml:space="preserve"> </w:t>
      </w:r>
      <w:r>
        <w:t>change</w:t>
      </w:r>
      <w:r>
        <w:rPr>
          <w:spacing w:val="-6"/>
        </w:rPr>
        <w:t xml:space="preserve"> </w:t>
      </w:r>
      <w:r>
        <w:t>and</w:t>
      </w:r>
      <w:r>
        <w:rPr>
          <w:spacing w:val="-6"/>
        </w:rPr>
        <w:t xml:space="preserve"> </w:t>
      </w:r>
      <w:r>
        <w:t>have</w:t>
      </w:r>
      <w:r>
        <w:rPr>
          <w:spacing w:val="-4"/>
        </w:rPr>
        <w:t xml:space="preserve"> </w:t>
      </w:r>
      <w:r>
        <w:t>an</w:t>
      </w:r>
      <w:r>
        <w:rPr>
          <w:spacing w:val="-6"/>
        </w:rPr>
        <w:t xml:space="preserve"> </w:t>
      </w:r>
      <w:r>
        <w:t>opportunity</w:t>
      </w:r>
      <w:r>
        <w:rPr>
          <w:spacing w:val="-6"/>
        </w:rPr>
        <w:t xml:space="preserve"> </w:t>
      </w:r>
      <w:r>
        <w:t>to</w:t>
      </w:r>
      <w:r>
        <w:rPr>
          <w:spacing w:val="-4"/>
        </w:rPr>
        <w:t xml:space="preserve"> </w:t>
      </w:r>
      <w:r>
        <w:t>ask</w:t>
      </w:r>
      <w:r>
        <w:rPr>
          <w:spacing w:val="-5"/>
        </w:rPr>
        <w:t xml:space="preserve"> </w:t>
      </w:r>
      <w:r>
        <w:t>questions</w:t>
      </w:r>
      <w:r>
        <w:rPr>
          <w:spacing w:val="-6"/>
        </w:rPr>
        <w:t xml:space="preserve"> </w:t>
      </w:r>
      <w:r>
        <w:t>of the prescriber. Advance notice minimizes any disruption or confusion associated with the substitution and makes it more likely that the beneficiary will continue the course of treatment as prescribed.</w:t>
      </w:r>
    </w:p>
    <w:p w:rsidR="00BE0927" w:rsidRDefault="00BE0927">
      <w:pPr>
        <w:pStyle w:val="BodyText"/>
        <w:spacing w:before="3"/>
        <w:rPr>
          <w:sz w:val="24"/>
        </w:rPr>
      </w:pPr>
    </w:p>
    <w:p w:rsidR="00BE0927" w:rsidRDefault="00EA0607">
      <w:pPr>
        <w:pStyle w:val="BodyText"/>
        <w:spacing w:line="264" w:lineRule="auto"/>
        <w:ind w:left="120" w:right="115"/>
        <w:jc w:val="both"/>
      </w:pPr>
      <w:r>
        <w:t>In this section, CMS also proposes to</w:t>
      </w:r>
      <w:r>
        <w:t xml:space="preserve"> decrease the amount of direct notice for other mid-year changes from 60 to 30 days and to limit the 60-day refill requirement to one month. These are established protections for beneficiaries and we urge CMS not to diminish these as proposed.</w:t>
      </w:r>
    </w:p>
    <w:p w:rsidR="00BE0927" w:rsidRDefault="00BE0927">
      <w:pPr>
        <w:pStyle w:val="BodyText"/>
        <w:rPr>
          <w:sz w:val="24"/>
        </w:rPr>
      </w:pPr>
    </w:p>
    <w:p w:rsidR="00BE0927" w:rsidRDefault="00BE0927">
      <w:pPr>
        <w:pStyle w:val="BodyText"/>
        <w:spacing w:before="3"/>
        <w:rPr>
          <w:sz w:val="24"/>
        </w:rPr>
      </w:pPr>
    </w:p>
    <w:p w:rsidR="00BE0927" w:rsidRDefault="00EA0607">
      <w:pPr>
        <w:pStyle w:val="Heading1"/>
        <w:numPr>
          <w:ilvl w:val="0"/>
          <w:numId w:val="1"/>
        </w:numPr>
        <w:tabs>
          <w:tab w:val="left" w:pos="839"/>
          <w:tab w:val="left" w:pos="841"/>
        </w:tabs>
        <w:ind w:right="115" w:hanging="720"/>
        <w:jc w:val="left"/>
        <w:rPr>
          <w:u w:val="none"/>
        </w:rPr>
      </w:pPr>
      <w:r>
        <w:rPr>
          <w:u w:val="thick"/>
        </w:rPr>
        <w:t>Treatment of Follow-On Biological Products as Generics for Non-LIS Catastrophic and LIS Cost</w:t>
      </w:r>
      <w:r>
        <w:rPr>
          <w:spacing w:val="-4"/>
          <w:u w:val="thick"/>
        </w:rPr>
        <w:t xml:space="preserve"> </w:t>
      </w:r>
      <w:r>
        <w:rPr>
          <w:u w:val="thick"/>
        </w:rPr>
        <w:t>Sharing</w:t>
      </w:r>
    </w:p>
    <w:p w:rsidR="00BE0927" w:rsidRDefault="00BE0927">
      <w:pPr>
        <w:pStyle w:val="BodyText"/>
        <w:rPr>
          <w:b/>
          <w:sz w:val="20"/>
        </w:rPr>
      </w:pPr>
    </w:p>
    <w:p w:rsidR="00BE0927" w:rsidRDefault="00BE0927">
      <w:pPr>
        <w:pStyle w:val="BodyText"/>
        <w:rPr>
          <w:b/>
          <w:sz w:val="20"/>
        </w:rPr>
      </w:pPr>
    </w:p>
    <w:p w:rsidR="00BE0927" w:rsidRDefault="00EA0607">
      <w:pPr>
        <w:pStyle w:val="BodyText"/>
        <w:rPr>
          <w:b/>
          <w:sz w:val="23"/>
        </w:rPr>
      </w:pPr>
      <w:r>
        <w:pict>
          <v:line id="_x0000_s2051" style="position:absolute;z-index:1096;mso-wrap-distance-left:0;mso-wrap-distance-right:0;mso-position-horizontal-relative:page" from="1in,15.45pt" to="3in,15.45pt" strokeweight=".48pt">
            <w10:wrap type="topAndBottom" anchorx="page"/>
          </v:line>
        </w:pict>
      </w:r>
    </w:p>
    <w:p w:rsidR="00BE0927" w:rsidRDefault="00EA0607">
      <w:pPr>
        <w:spacing w:before="55"/>
        <w:ind w:left="120" w:right="78"/>
        <w:rPr>
          <w:rFonts w:ascii="Times New Roman"/>
          <w:sz w:val="20"/>
        </w:rPr>
      </w:pPr>
      <w:bookmarkStart w:id="7" w:name="_bookmark7"/>
      <w:bookmarkEnd w:id="7"/>
      <w:r>
        <w:rPr>
          <w:rFonts w:ascii="Times New Roman"/>
          <w:position w:val="7"/>
          <w:sz w:val="13"/>
        </w:rPr>
        <w:t xml:space="preserve">8 </w:t>
      </w:r>
      <w:r>
        <w:rPr>
          <w:rFonts w:ascii="Times New Roman"/>
          <w:sz w:val="20"/>
        </w:rPr>
        <w:t xml:space="preserve">MedPAC June 2016 Report to the Congress. Available at </w:t>
      </w:r>
      <w:hyperlink r:id="rId22">
        <w:r>
          <w:rPr>
            <w:rFonts w:ascii="Times New Roman"/>
            <w:color w:val="0000FF"/>
            <w:sz w:val="20"/>
            <w:u w:val="single" w:color="0000FF"/>
          </w:rPr>
          <w:t>http://www.medpac.gov/docs/default-source/reports/june-</w:t>
        </w:r>
      </w:hyperlink>
      <w:r>
        <w:rPr>
          <w:rFonts w:ascii="Times New Roman"/>
          <w:color w:val="0000FF"/>
          <w:sz w:val="20"/>
          <w:u w:val="single" w:color="0000FF"/>
        </w:rPr>
        <w:t xml:space="preserve"> </w:t>
      </w:r>
      <w:hyperlink r:id="rId23">
        <w:r>
          <w:rPr>
            <w:rFonts w:ascii="Times New Roman"/>
            <w:color w:val="0000FF"/>
            <w:sz w:val="20"/>
            <w:u w:val="single" w:color="0000FF"/>
          </w:rPr>
          <w:t>2016-report-to-the-congress-medicare-and-the-health-care-delivery-system.pdf?sfvrsn=0</w:t>
        </w:r>
        <w:r>
          <w:rPr>
            <w:rFonts w:ascii="Times New Roman"/>
            <w:sz w:val="20"/>
          </w:rPr>
          <w:t>.</w:t>
        </w:r>
      </w:hyperlink>
    </w:p>
    <w:p w:rsidR="00BE0927" w:rsidRDefault="00BE0927">
      <w:pPr>
        <w:rPr>
          <w:rFonts w:ascii="Times New Roman"/>
          <w:sz w:val="20"/>
        </w:rPr>
        <w:sectPr w:rsidR="00BE0927">
          <w:pgSz w:w="12240" w:h="15840"/>
          <w:pgMar w:top="1500" w:right="1320" w:bottom="920" w:left="1320" w:header="0" w:footer="732" w:gutter="0"/>
          <w:cols w:space="720"/>
        </w:sectPr>
      </w:pPr>
    </w:p>
    <w:p w:rsidR="00BE0927" w:rsidRDefault="00EA0607">
      <w:pPr>
        <w:pStyle w:val="BodyText"/>
        <w:spacing w:before="77" w:line="264" w:lineRule="auto"/>
        <w:ind w:left="120" w:right="114"/>
        <w:jc w:val="both"/>
      </w:pPr>
      <w:r>
        <w:lastRenderedPageBreak/>
        <w:t>CMS proposes to revise the definition</w:t>
      </w:r>
      <w:r>
        <w:t xml:space="preserve"> of generic drug to include follow-on biological products solely for the purpose of non-LIS catastrophic cost sharing and LIS cost-sharing in any phase of the</w:t>
      </w:r>
      <w:r>
        <w:rPr>
          <w:spacing w:val="-6"/>
        </w:rPr>
        <w:t xml:space="preserve"> </w:t>
      </w:r>
      <w:r>
        <w:t>benefit.</w:t>
      </w:r>
      <w:r>
        <w:rPr>
          <w:spacing w:val="49"/>
        </w:rPr>
        <w:t xml:space="preserve"> </w:t>
      </w:r>
      <w:r>
        <w:t>CMS</w:t>
      </w:r>
      <w:r>
        <w:rPr>
          <w:spacing w:val="-7"/>
        </w:rPr>
        <w:t xml:space="preserve"> </w:t>
      </w:r>
      <w:r>
        <w:t>makes</w:t>
      </w:r>
      <w:r>
        <w:rPr>
          <w:spacing w:val="-11"/>
        </w:rPr>
        <w:t xml:space="preserve"> </w:t>
      </w:r>
      <w:r>
        <w:t>clear</w:t>
      </w:r>
      <w:r>
        <w:rPr>
          <w:spacing w:val="-8"/>
        </w:rPr>
        <w:t xml:space="preserve"> </w:t>
      </w:r>
      <w:r>
        <w:t>that</w:t>
      </w:r>
      <w:r>
        <w:rPr>
          <w:spacing w:val="-10"/>
        </w:rPr>
        <w:t xml:space="preserve"> </w:t>
      </w:r>
      <w:r>
        <w:t>they</w:t>
      </w:r>
      <w:r>
        <w:rPr>
          <w:spacing w:val="-8"/>
        </w:rPr>
        <w:t xml:space="preserve"> </w:t>
      </w:r>
      <w:r>
        <w:t>do</w:t>
      </w:r>
      <w:r>
        <w:rPr>
          <w:spacing w:val="-6"/>
        </w:rPr>
        <w:t xml:space="preserve"> </w:t>
      </w:r>
      <w:r>
        <w:t>not</w:t>
      </w:r>
      <w:r>
        <w:rPr>
          <w:spacing w:val="-7"/>
        </w:rPr>
        <w:t xml:space="preserve"> </w:t>
      </w:r>
      <w:r>
        <w:t>consider</w:t>
      </w:r>
      <w:r>
        <w:rPr>
          <w:spacing w:val="-8"/>
        </w:rPr>
        <w:t xml:space="preserve"> </w:t>
      </w:r>
      <w:r>
        <w:t>follow-on</w:t>
      </w:r>
      <w:r>
        <w:rPr>
          <w:spacing w:val="-6"/>
        </w:rPr>
        <w:t xml:space="preserve"> </w:t>
      </w:r>
      <w:r>
        <w:t>biologics</w:t>
      </w:r>
      <w:r>
        <w:rPr>
          <w:spacing w:val="-8"/>
        </w:rPr>
        <w:t xml:space="preserve"> </w:t>
      </w:r>
      <w:r>
        <w:t>to</w:t>
      </w:r>
      <w:r>
        <w:rPr>
          <w:spacing w:val="-6"/>
        </w:rPr>
        <w:t xml:space="preserve"> </w:t>
      </w:r>
      <w:r>
        <w:t>be</w:t>
      </w:r>
      <w:r>
        <w:rPr>
          <w:spacing w:val="-11"/>
        </w:rPr>
        <w:t xml:space="preserve"> </w:t>
      </w:r>
      <w:r>
        <w:t>generics</w:t>
      </w:r>
      <w:r>
        <w:rPr>
          <w:spacing w:val="-11"/>
        </w:rPr>
        <w:t xml:space="preserve"> </w:t>
      </w:r>
      <w:r>
        <w:t>for</w:t>
      </w:r>
      <w:r>
        <w:rPr>
          <w:spacing w:val="-8"/>
        </w:rPr>
        <w:t xml:space="preserve"> </w:t>
      </w:r>
      <w:r>
        <w:t>any oth</w:t>
      </w:r>
      <w:r>
        <w:t xml:space="preserve">er purpose of Part D. </w:t>
      </w:r>
      <w:r>
        <w:rPr>
          <w:spacing w:val="-2"/>
        </w:rPr>
        <w:t xml:space="preserve">CMS </w:t>
      </w:r>
      <w:r>
        <w:t>believes this provision would improve incentives to use follow-on products over reference products and reduce costs to Part D enrollees and the Part D</w:t>
      </w:r>
      <w:r>
        <w:rPr>
          <w:spacing w:val="-37"/>
        </w:rPr>
        <w:t xml:space="preserve"> </w:t>
      </w:r>
      <w:r>
        <w:t>program.</w:t>
      </w:r>
    </w:p>
    <w:p w:rsidR="00BE0927" w:rsidRDefault="00BE0927">
      <w:pPr>
        <w:pStyle w:val="BodyText"/>
        <w:spacing w:before="2"/>
        <w:rPr>
          <w:sz w:val="24"/>
        </w:rPr>
      </w:pPr>
    </w:p>
    <w:p w:rsidR="00BE0927" w:rsidRDefault="00EA0607">
      <w:pPr>
        <w:pStyle w:val="BodyText"/>
        <w:spacing w:line="264" w:lineRule="auto"/>
        <w:ind w:left="119" w:right="113"/>
        <w:jc w:val="both"/>
      </w:pPr>
      <w:r>
        <w:t xml:space="preserve">We applaud CMS for working to provide greater access to biosimilars. </w:t>
      </w:r>
      <w:r>
        <w:t>As a company, we have invested heavily in this space and understand the positive impact that can flow from a healthy biosimilar market, both in terms of patient access to lifesaving therapies and lower costs to patients and payers.</w:t>
      </w:r>
    </w:p>
    <w:p w:rsidR="00BE0927" w:rsidRDefault="00BE0927">
      <w:pPr>
        <w:pStyle w:val="BodyText"/>
        <w:rPr>
          <w:sz w:val="24"/>
        </w:rPr>
      </w:pPr>
    </w:p>
    <w:p w:rsidR="00BE0927" w:rsidRDefault="00EA0607">
      <w:pPr>
        <w:pStyle w:val="BodyText"/>
        <w:spacing w:line="264" w:lineRule="auto"/>
        <w:ind w:left="119" w:right="114"/>
        <w:jc w:val="both"/>
      </w:pPr>
      <w:r>
        <w:t>The emerging biosimilar</w:t>
      </w:r>
      <w:r>
        <w:t>s market in the United States holds great potential to increase patient access to life-saving therapies, lower patient costs, and bring savings to the healthcare system broadly.</w:t>
      </w:r>
      <w:r>
        <w:rPr>
          <w:spacing w:val="-11"/>
        </w:rPr>
        <w:t xml:space="preserve"> </w:t>
      </w:r>
      <w:r>
        <w:t>A</w:t>
      </w:r>
      <w:r>
        <w:rPr>
          <w:spacing w:val="-13"/>
        </w:rPr>
        <w:t xml:space="preserve"> </w:t>
      </w:r>
      <w:r>
        <w:t>recent</w:t>
      </w:r>
      <w:r>
        <w:rPr>
          <w:spacing w:val="-13"/>
        </w:rPr>
        <w:t xml:space="preserve"> </w:t>
      </w:r>
      <w:r>
        <w:t>report</w:t>
      </w:r>
      <w:r>
        <w:rPr>
          <w:spacing w:val="-13"/>
        </w:rPr>
        <w:t xml:space="preserve"> </w:t>
      </w:r>
      <w:r>
        <w:t>from</w:t>
      </w:r>
      <w:r>
        <w:rPr>
          <w:spacing w:val="-13"/>
        </w:rPr>
        <w:t xml:space="preserve"> </w:t>
      </w:r>
      <w:r>
        <w:t>the</w:t>
      </w:r>
      <w:r>
        <w:rPr>
          <w:spacing w:val="-11"/>
        </w:rPr>
        <w:t xml:space="preserve"> </w:t>
      </w:r>
      <w:r>
        <w:t>RAND</w:t>
      </w:r>
      <w:r>
        <w:rPr>
          <w:spacing w:val="-13"/>
        </w:rPr>
        <w:t xml:space="preserve"> </w:t>
      </w:r>
      <w:r>
        <w:t>Corporation,</w:t>
      </w:r>
      <w:r>
        <w:rPr>
          <w:spacing w:val="-11"/>
        </w:rPr>
        <w:t xml:space="preserve"> </w:t>
      </w:r>
      <w:r>
        <w:t>a</w:t>
      </w:r>
      <w:r>
        <w:rPr>
          <w:spacing w:val="-12"/>
        </w:rPr>
        <w:t xml:space="preserve"> </w:t>
      </w:r>
      <w:r>
        <w:t>nonprofit</w:t>
      </w:r>
      <w:r>
        <w:rPr>
          <w:spacing w:val="-13"/>
        </w:rPr>
        <w:t xml:space="preserve"> </w:t>
      </w:r>
      <w:r>
        <w:t>research</w:t>
      </w:r>
      <w:r>
        <w:rPr>
          <w:spacing w:val="-15"/>
        </w:rPr>
        <w:t xml:space="preserve"> </w:t>
      </w:r>
      <w:r>
        <w:t>organization,</w:t>
      </w:r>
      <w:r>
        <w:rPr>
          <w:spacing w:val="-9"/>
        </w:rPr>
        <w:t xml:space="preserve"> </w:t>
      </w:r>
      <w:r>
        <w:t>estimates that</w:t>
      </w:r>
      <w:r>
        <w:rPr>
          <w:spacing w:val="-7"/>
        </w:rPr>
        <w:t xml:space="preserve"> </w:t>
      </w:r>
      <w:r>
        <w:t>biosimilars</w:t>
      </w:r>
      <w:r>
        <w:rPr>
          <w:spacing w:val="-11"/>
        </w:rPr>
        <w:t xml:space="preserve"> </w:t>
      </w:r>
      <w:r>
        <w:t>will</w:t>
      </w:r>
      <w:r>
        <w:rPr>
          <w:spacing w:val="-9"/>
        </w:rPr>
        <w:t xml:space="preserve"> </w:t>
      </w:r>
      <w:r>
        <w:t>lead</w:t>
      </w:r>
      <w:r>
        <w:rPr>
          <w:spacing w:val="-9"/>
        </w:rPr>
        <w:t xml:space="preserve"> </w:t>
      </w:r>
      <w:r>
        <w:t>to</w:t>
      </w:r>
      <w:r>
        <w:rPr>
          <w:spacing w:val="-9"/>
        </w:rPr>
        <w:t xml:space="preserve"> </w:t>
      </w:r>
      <w:r>
        <w:t>a</w:t>
      </w:r>
      <w:r>
        <w:rPr>
          <w:spacing w:val="-9"/>
        </w:rPr>
        <w:t xml:space="preserve"> </w:t>
      </w:r>
      <w:r>
        <w:t>“$54</w:t>
      </w:r>
      <w:r>
        <w:rPr>
          <w:spacing w:val="-9"/>
        </w:rPr>
        <w:t xml:space="preserve"> </w:t>
      </w:r>
      <w:r>
        <w:t>billion</w:t>
      </w:r>
      <w:r>
        <w:rPr>
          <w:spacing w:val="-9"/>
        </w:rPr>
        <w:t xml:space="preserve"> </w:t>
      </w:r>
      <w:r>
        <w:t>reduction</w:t>
      </w:r>
      <w:r>
        <w:rPr>
          <w:spacing w:val="-11"/>
        </w:rPr>
        <w:t xml:space="preserve"> </w:t>
      </w:r>
      <w:r>
        <w:t>in</w:t>
      </w:r>
      <w:r>
        <w:rPr>
          <w:spacing w:val="-9"/>
        </w:rPr>
        <w:t xml:space="preserve"> </w:t>
      </w:r>
      <w:r>
        <w:t>direct</w:t>
      </w:r>
      <w:r>
        <w:rPr>
          <w:spacing w:val="-7"/>
        </w:rPr>
        <w:t xml:space="preserve"> </w:t>
      </w:r>
      <w:r>
        <w:t>spending</w:t>
      </w:r>
      <w:r>
        <w:rPr>
          <w:spacing w:val="-6"/>
        </w:rPr>
        <w:t xml:space="preserve"> </w:t>
      </w:r>
      <w:r>
        <w:t>on</w:t>
      </w:r>
      <w:r>
        <w:rPr>
          <w:spacing w:val="-9"/>
        </w:rPr>
        <w:t xml:space="preserve"> </w:t>
      </w:r>
      <w:r>
        <w:t>biologic</w:t>
      </w:r>
      <w:r>
        <w:rPr>
          <w:spacing w:val="-8"/>
        </w:rPr>
        <w:t xml:space="preserve"> </w:t>
      </w:r>
      <w:r>
        <w:t>drugs</w:t>
      </w:r>
      <w:r>
        <w:rPr>
          <w:spacing w:val="-11"/>
        </w:rPr>
        <w:t xml:space="preserve"> </w:t>
      </w:r>
      <w:r>
        <w:t>from</w:t>
      </w:r>
      <w:r>
        <w:rPr>
          <w:spacing w:val="-8"/>
        </w:rPr>
        <w:t xml:space="preserve"> </w:t>
      </w:r>
      <w:r>
        <w:t>2018- 2027,</w:t>
      </w:r>
      <w:r>
        <w:rPr>
          <w:spacing w:val="-6"/>
        </w:rPr>
        <w:t xml:space="preserve"> </w:t>
      </w:r>
      <w:r>
        <w:t>or</w:t>
      </w:r>
      <w:r>
        <w:rPr>
          <w:spacing w:val="-6"/>
        </w:rPr>
        <w:t xml:space="preserve"> </w:t>
      </w:r>
      <w:r>
        <w:t>about</w:t>
      </w:r>
      <w:r>
        <w:rPr>
          <w:spacing w:val="-4"/>
        </w:rPr>
        <w:t xml:space="preserve"> </w:t>
      </w:r>
      <w:r>
        <w:t>3%</w:t>
      </w:r>
      <w:r>
        <w:rPr>
          <w:spacing w:val="-6"/>
        </w:rPr>
        <w:t xml:space="preserve"> </w:t>
      </w:r>
      <w:r>
        <w:t>of</w:t>
      </w:r>
      <w:r>
        <w:rPr>
          <w:spacing w:val="-6"/>
        </w:rPr>
        <w:t xml:space="preserve"> </w:t>
      </w:r>
      <w:r>
        <w:t>total</w:t>
      </w:r>
      <w:r>
        <w:rPr>
          <w:spacing w:val="-6"/>
        </w:rPr>
        <w:t xml:space="preserve"> </w:t>
      </w:r>
      <w:r>
        <w:t>estimated</w:t>
      </w:r>
      <w:r>
        <w:rPr>
          <w:spacing w:val="-6"/>
        </w:rPr>
        <w:t xml:space="preserve"> </w:t>
      </w:r>
      <w:r>
        <w:t>biologic</w:t>
      </w:r>
      <w:r>
        <w:rPr>
          <w:spacing w:val="-6"/>
        </w:rPr>
        <w:t xml:space="preserve"> </w:t>
      </w:r>
      <w:r>
        <w:t>spending</w:t>
      </w:r>
      <w:r>
        <w:rPr>
          <w:spacing w:val="-5"/>
        </w:rPr>
        <w:t xml:space="preserve"> </w:t>
      </w:r>
      <w:r>
        <w:t>over</w:t>
      </w:r>
      <w:r>
        <w:rPr>
          <w:spacing w:val="-6"/>
        </w:rPr>
        <w:t xml:space="preserve"> </w:t>
      </w:r>
      <w:r>
        <w:t>the</w:t>
      </w:r>
      <w:r>
        <w:rPr>
          <w:spacing w:val="-6"/>
        </w:rPr>
        <w:t xml:space="preserve"> </w:t>
      </w:r>
      <w:r>
        <w:t>same</w:t>
      </w:r>
      <w:r>
        <w:rPr>
          <w:spacing w:val="-5"/>
        </w:rPr>
        <w:t xml:space="preserve"> </w:t>
      </w:r>
      <w:r>
        <w:t>period,</w:t>
      </w:r>
      <w:r>
        <w:rPr>
          <w:spacing w:val="-4"/>
        </w:rPr>
        <w:t xml:space="preserve"> </w:t>
      </w:r>
      <w:r>
        <w:t>with</w:t>
      </w:r>
      <w:r>
        <w:rPr>
          <w:spacing w:val="-5"/>
        </w:rPr>
        <w:t xml:space="preserve"> </w:t>
      </w:r>
      <w:r>
        <w:t>a</w:t>
      </w:r>
      <w:r>
        <w:rPr>
          <w:spacing w:val="-9"/>
        </w:rPr>
        <w:t xml:space="preserve"> </w:t>
      </w:r>
      <w:r>
        <w:t>range</w:t>
      </w:r>
      <w:r>
        <w:rPr>
          <w:spacing w:val="-6"/>
        </w:rPr>
        <w:t xml:space="preserve"> </w:t>
      </w:r>
      <w:r>
        <w:t>of</w:t>
      </w:r>
      <w:r>
        <w:rPr>
          <w:spacing w:val="-4"/>
        </w:rPr>
        <w:t xml:space="preserve"> </w:t>
      </w:r>
      <w:r>
        <w:t>$24 to $150 billion.”</w:t>
      </w:r>
      <w:hyperlink w:anchor="_bookmark8" w:history="1">
        <w:r>
          <w:rPr>
            <w:position w:val="8"/>
            <w:sz w:val="14"/>
          </w:rPr>
          <w:t>9</w:t>
        </w:r>
      </w:hyperlink>
      <w:r>
        <w:rPr>
          <w:position w:val="8"/>
          <w:sz w:val="14"/>
        </w:rPr>
        <w:t xml:space="preserve"> </w:t>
      </w:r>
      <w:r>
        <w:t>However, savings hinge on a variety of factors, including regulatory and policy changes</w:t>
      </w:r>
      <w:r>
        <w:rPr>
          <w:spacing w:val="-13"/>
        </w:rPr>
        <w:t xml:space="preserve"> </w:t>
      </w:r>
      <w:r>
        <w:t>that</w:t>
      </w:r>
      <w:r>
        <w:rPr>
          <w:spacing w:val="-12"/>
        </w:rPr>
        <w:t xml:space="preserve"> </w:t>
      </w:r>
      <w:r>
        <w:t>shape</w:t>
      </w:r>
      <w:r>
        <w:rPr>
          <w:spacing w:val="-14"/>
        </w:rPr>
        <w:t xml:space="preserve"> </w:t>
      </w:r>
      <w:r>
        <w:t>the</w:t>
      </w:r>
      <w:r>
        <w:rPr>
          <w:spacing w:val="-11"/>
        </w:rPr>
        <w:t xml:space="preserve"> </w:t>
      </w:r>
      <w:r>
        <w:t>biosimilar</w:t>
      </w:r>
      <w:r>
        <w:rPr>
          <w:spacing w:val="-10"/>
        </w:rPr>
        <w:t xml:space="preserve"> </w:t>
      </w:r>
      <w:r>
        <w:t>market.</w:t>
      </w:r>
      <w:r>
        <w:rPr>
          <w:spacing w:val="-10"/>
        </w:rPr>
        <w:t xml:space="preserve"> </w:t>
      </w:r>
      <w:r>
        <w:rPr>
          <w:spacing w:val="-2"/>
        </w:rPr>
        <w:t>CMS</w:t>
      </w:r>
      <w:r>
        <w:rPr>
          <w:spacing w:val="-12"/>
        </w:rPr>
        <w:t xml:space="preserve"> </w:t>
      </w:r>
      <w:r>
        <w:t>will</w:t>
      </w:r>
      <w:r>
        <w:rPr>
          <w:spacing w:val="-12"/>
        </w:rPr>
        <w:t xml:space="preserve"> </w:t>
      </w:r>
      <w:r>
        <w:t>play</w:t>
      </w:r>
      <w:r>
        <w:rPr>
          <w:spacing w:val="-13"/>
        </w:rPr>
        <w:t xml:space="preserve"> </w:t>
      </w:r>
      <w:r>
        <w:t>a</w:t>
      </w:r>
      <w:r>
        <w:rPr>
          <w:spacing w:val="-11"/>
        </w:rPr>
        <w:t xml:space="preserve"> </w:t>
      </w:r>
      <w:r>
        <w:t>critical</w:t>
      </w:r>
      <w:r>
        <w:rPr>
          <w:spacing w:val="-12"/>
        </w:rPr>
        <w:t xml:space="preserve"> </w:t>
      </w:r>
      <w:r>
        <w:t>role</w:t>
      </w:r>
      <w:r>
        <w:rPr>
          <w:spacing w:val="-11"/>
        </w:rPr>
        <w:t xml:space="preserve"> </w:t>
      </w:r>
      <w:r>
        <w:t>in</w:t>
      </w:r>
      <w:r>
        <w:rPr>
          <w:spacing w:val="-14"/>
        </w:rPr>
        <w:t xml:space="preserve"> </w:t>
      </w:r>
      <w:r>
        <w:t>the</w:t>
      </w:r>
      <w:r>
        <w:rPr>
          <w:spacing w:val="-16"/>
        </w:rPr>
        <w:t xml:space="preserve"> </w:t>
      </w:r>
      <w:r>
        <w:t>development</w:t>
      </w:r>
      <w:r>
        <w:rPr>
          <w:spacing w:val="-10"/>
        </w:rPr>
        <w:t xml:space="preserve"> </w:t>
      </w:r>
      <w:r>
        <w:t>of</w:t>
      </w:r>
      <w:r>
        <w:rPr>
          <w:spacing w:val="-10"/>
        </w:rPr>
        <w:t xml:space="preserve"> </w:t>
      </w:r>
      <w:r>
        <w:t>these important</w:t>
      </w:r>
      <w:r>
        <w:rPr>
          <w:spacing w:val="-5"/>
        </w:rPr>
        <w:t xml:space="preserve"> </w:t>
      </w:r>
      <w:r>
        <w:t>policies.</w:t>
      </w:r>
    </w:p>
    <w:p w:rsidR="00BE0927" w:rsidRDefault="00BE0927">
      <w:pPr>
        <w:pStyle w:val="BodyText"/>
        <w:spacing w:before="3"/>
        <w:rPr>
          <w:sz w:val="24"/>
        </w:rPr>
      </w:pPr>
    </w:p>
    <w:p w:rsidR="00BE0927" w:rsidRDefault="00EA0607">
      <w:pPr>
        <w:pStyle w:val="BodyText"/>
        <w:spacing w:line="264" w:lineRule="auto"/>
        <w:ind w:left="119" w:right="111"/>
        <w:jc w:val="both"/>
        <w:rPr>
          <w:sz w:val="14"/>
        </w:rPr>
      </w:pPr>
      <w:r>
        <w:t>Within the context of the Medicare Part D program, c</w:t>
      </w:r>
      <w:r>
        <w:t>urrently, there is a disincentive to utilize biosimilars because they are excluded from the coverage gap discount program. The impact of this exclusion is significant and has implications for patients, Part D plans, and taxpayers. Under the current structu</w:t>
      </w:r>
      <w:r>
        <w:t>re, patients face a higher cost sharing amount for biosimilars than for branded biologics and they remain in the coverage gap or “donut hole” longer as any discount offered to the plan on the biosimilar would not count toward the patient’s true out-of-pock</w:t>
      </w:r>
      <w:r>
        <w:t>et costs. In addition, the cost of the biosimilar to the plan is higher, making it very unlikely for a plan sponsor to incentivize the use of biosimilars in Part D.</w:t>
      </w:r>
      <w:hyperlink w:anchor="_bookmark9" w:history="1">
        <w:r>
          <w:rPr>
            <w:position w:val="8"/>
            <w:sz w:val="14"/>
          </w:rPr>
          <w:t>10</w:t>
        </w:r>
      </w:hyperlink>
      <w:r>
        <w:rPr>
          <w:position w:val="8"/>
          <w:sz w:val="14"/>
        </w:rPr>
        <w:t xml:space="preserve"> </w:t>
      </w:r>
      <w:r>
        <w:t>The exclusion of biosimilars from the discount program also</w:t>
      </w:r>
      <w:r>
        <w:t xml:space="preserve"> costs taxpayers. A study conducted by The Moran Company in October 2017 estimates that inclusion of biosimilars in the coverage gap discount program could result in $1 billion in savings to the federal government.</w:t>
      </w:r>
      <w:hyperlink w:anchor="_bookmark10" w:history="1">
        <w:r>
          <w:rPr>
            <w:position w:val="8"/>
            <w:sz w:val="14"/>
          </w:rPr>
          <w:t>11</w:t>
        </w:r>
      </w:hyperlink>
    </w:p>
    <w:p w:rsidR="00BE0927" w:rsidRDefault="00BE0927">
      <w:pPr>
        <w:pStyle w:val="BodyText"/>
        <w:spacing w:before="2"/>
        <w:rPr>
          <w:sz w:val="24"/>
        </w:rPr>
      </w:pPr>
    </w:p>
    <w:p w:rsidR="00BE0927" w:rsidRDefault="00EA0607">
      <w:pPr>
        <w:pStyle w:val="BodyText"/>
        <w:spacing w:line="264" w:lineRule="auto"/>
        <w:ind w:left="119" w:right="115"/>
        <w:jc w:val="both"/>
      </w:pPr>
      <w:r>
        <w:rPr>
          <w:spacing w:val="2"/>
        </w:rPr>
        <w:t xml:space="preserve">We </w:t>
      </w:r>
      <w:r>
        <w:t>encourage CMS to use its full authority to develop policy that removes the financial disincentive to utilize biosimilars given the current structure of the coverage gap discount program.</w:t>
      </w:r>
      <w:r>
        <w:rPr>
          <w:spacing w:val="28"/>
        </w:rPr>
        <w:t xml:space="preserve"> </w:t>
      </w:r>
      <w:r>
        <w:t>To</w:t>
      </w:r>
      <w:r>
        <w:rPr>
          <w:spacing w:val="-18"/>
        </w:rPr>
        <w:t xml:space="preserve"> </w:t>
      </w:r>
      <w:r>
        <w:t>the</w:t>
      </w:r>
      <w:r>
        <w:rPr>
          <w:spacing w:val="-18"/>
        </w:rPr>
        <w:t xml:space="preserve"> </w:t>
      </w:r>
      <w:r>
        <w:t>extent</w:t>
      </w:r>
      <w:r>
        <w:rPr>
          <w:spacing w:val="-17"/>
        </w:rPr>
        <w:t xml:space="preserve"> </w:t>
      </w:r>
      <w:r>
        <w:t>the</w:t>
      </w:r>
      <w:r>
        <w:rPr>
          <w:spacing w:val="-16"/>
        </w:rPr>
        <w:t xml:space="preserve"> </w:t>
      </w:r>
      <w:r>
        <w:t>agency</w:t>
      </w:r>
      <w:r>
        <w:rPr>
          <w:spacing w:val="-18"/>
        </w:rPr>
        <w:t xml:space="preserve"> </w:t>
      </w:r>
      <w:r>
        <w:t>believes</w:t>
      </w:r>
      <w:r>
        <w:rPr>
          <w:spacing w:val="-16"/>
        </w:rPr>
        <w:t xml:space="preserve"> </w:t>
      </w:r>
      <w:r>
        <w:t>certain</w:t>
      </w:r>
      <w:r>
        <w:rPr>
          <w:spacing w:val="-16"/>
        </w:rPr>
        <w:t xml:space="preserve"> </w:t>
      </w:r>
      <w:r>
        <w:t>statutory</w:t>
      </w:r>
      <w:r>
        <w:rPr>
          <w:spacing w:val="-18"/>
        </w:rPr>
        <w:t xml:space="preserve"> </w:t>
      </w:r>
      <w:r>
        <w:t>changes</w:t>
      </w:r>
      <w:r>
        <w:rPr>
          <w:spacing w:val="-18"/>
        </w:rPr>
        <w:t xml:space="preserve"> </w:t>
      </w:r>
      <w:r>
        <w:t>are</w:t>
      </w:r>
      <w:r>
        <w:rPr>
          <w:spacing w:val="-18"/>
        </w:rPr>
        <w:t xml:space="preserve"> </w:t>
      </w:r>
      <w:r>
        <w:t>requi</w:t>
      </w:r>
      <w:r>
        <w:t>red,</w:t>
      </w:r>
      <w:r>
        <w:rPr>
          <w:spacing w:val="-15"/>
        </w:rPr>
        <w:t xml:space="preserve"> </w:t>
      </w:r>
      <w:r>
        <w:t>we</w:t>
      </w:r>
      <w:r>
        <w:rPr>
          <w:spacing w:val="-16"/>
        </w:rPr>
        <w:t xml:space="preserve"> </w:t>
      </w:r>
      <w:r>
        <w:t>encourage the agency to work with Congress in making those</w:t>
      </w:r>
      <w:r>
        <w:rPr>
          <w:spacing w:val="-18"/>
        </w:rPr>
        <w:t xml:space="preserve"> </w:t>
      </w:r>
      <w:r>
        <w:t>changes.</w:t>
      </w:r>
    </w:p>
    <w:p w:rsidR="00BE0927" w:rsidRDefault="00EA0607">
      <w:pPr>
        <w:pStyle w:val="BodyText"/>
        <w:spacing w:before="8"/>
        <w:rPr>
          <w:sz w:val="23"/>
        </w:rPr>
      </w:pPr>
      <w:r>
        <w:pict>
          <v:line id="_x0000_s2050" style="position:absolute;z-index:1120;mso-wrap-distance-left:0;mso-wrap-distance-right:0;mso-position-horizontal-relative:page" from="1in,15.85pt" to="3in,15.85pt" strokeweight=".16969mm">
            <w10:wrap type="topAndBottom" anchorx="page"/>
          </v:line>
        </w:pict>
      </w:r>
    </w:p>
    <w:p w:rsidR="00BE0927" w:rsidRDefault="00EA0607">
      <w:pPr>
        <w:spacing w:before="55"/>
        <w:ind w:left="120" w:right="116" w:hanging="1"/>
        <w:jc w:val="both"/>
        <w:rPr>
          <w:rFonts w:ascii="Times New Roman"/>
          <w:sz w:val="20"/>
        </w:rPr>
      </w:pPr>
      <w:bookmarkStart w:id="8" w:name="_bookmark8"/>
      <w:bookmarkEnd w:id="8"/>
      <w:r>
        <w:rPr>
          <w:rFonts w:ascii="Times New Roman"/>
          <w:position w:val="7"/>
          <w:sz w:val="13"/>
        </w:rPr>
        <w:t xml:space="preserve">9 </w:t>
      </w:r>
      <w:r>
        <w:rPr>
          <w:rFonts w:ascii="Times New Roman"/>
          <w:sz w:val="20"/>
        </w:rPr>
        <w:t>Mulcahy, Andrew W., Jakub P. Hlavka and Spencer R. Case. Biosimilar Cost Savings in the United States: Initial Experience and Future Potential. Santa Monica, CA: RAND Corporation, 2017. Available at https://</w:t>
      </w:r>
      <w:hyperlink r:id="rId24">
        <w:r>
          <w:rPr>
            <w:rFonts w:ascii="Times New Roman"/>
            <w:sz w:val="20"/>
          </w:rPr>
          <w:t>www.rand.org/pubs/perspectives/PE264.html.</w:t>
        </w:r>
      </w:hyperlink>
    </w:p>
    <w:p w:rsidR="00BE0927" w:rsidRDefault="00EA0607">
      <w:pPr>
        <w:tabs>
          <w:tab w:val="left" w:pos="1081"/>
          <w:tab w:val="left" w:pos="1600"/>
          <w:tab w:val="left" w:pos="2889"/>
          <w:tab w:val="left" w:pos="4038"/>
          <w:tab w:val="left" w:pos="4501"/>
          <w:tab w:val="left" w:pos="5132"/>
          <w:tab w:val="left" w:pos="6455"/>
          <w:tab w:val="left" w:pos="7139"/>
          <w:tab w:val="left" w:pos="7566"/>
          <w:tab w:val="left" w:pos="8701"/>
        </w:tabs>
        <w:ind w:left="119" w:right="116"/>
        <w:rPr>
          <w:rFonts w:ascii="Times New Roman" w:hAnsi="Times New Roman"/>
          <w:sz w:val="20"/>
        </w:rPr>
      </w:pPr>
      <w:bookmarkStart w:id="9" w:name="_bookmark9"/>
      <w:bookmarkEnd w:id="9"/>
      <w:r>
        <w:rPr>
          <w:rFonts w:ascii="Times New Roman" w:hAnsi="Times New Roman"/>
          <w:position w:val="7"/>
          <w:sz w:val="13"/>
        </w:rPr>
        <w:t>10</w:t>
      </w:r>
      <w:r>
        <w:rPr>
          <w:rFonts w:ascii="Times New Roman" w:hAnsi="Times New Roman"/>
          <w:spacing w:val="-4"/>
          <w:position w:val="7"/>
          <w:sz w:val="13"/>
        </w:rPr>
        <w:t xml:space="preserve"> </w:t>
      </w:r>
      <w:r>
        <w:rPr>
          <w:rFonts w:ascii="Times New Roman" w:hAnsi="Times New Roman"/>
          <w:sz w:val="20"/>
        </w:rPr>
        <w:t>As</w:t>
      </w:r>
      <w:r>
        <w:rPr>
          <w:rFonts w:ascii="Times New Roman" w:hAnsi="Times New Roman"/>
          <w:spacing w:val="-6"/>
          <w:sz w:val="20"/>
        </w:rPr>
        <w:t xml:space="preserve"> </w:t>
      </w:r>
      <w:r>
        <w:rPr>
          <w:rFonts w:ascii="Times New Roman" w:hAnsi="Times New Roman"/>
          <w:sz w:val="20"/>
        </w:rPr>
        <w:t>evidence</w:t>
      </w:r>
      <w:r>
        <w:rPr>
          <w:rFonts w:ascii="Times New Roman" w:hAnsi="Times New Roman"/>
          <w:spacing w:val="-5"/>
          <w:sz w:val="20"/>
        </w:rPr>
        <w:t xml:space="preserve"> </w:t>
      </w:r>
      <w:r>
        <w:rPr>
          <w:rFonts w:ascii="Times New Roman" w:hAnsi="Times New Roman"/>
          <w:sz w:val="20"/>
        </w:rPr>
        <w:t>of</w:t>
      </w:r>
      <w:r>
        <w:rPr>
          <w:rFonts w:ascii="Times New Roman" w:hAnsi="Times New Roman"/>
          <w:spacing w:val="-7"/>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concern</w:t>
      </w:r>
      <w:r>
        <w:rPr>
          <w:rFonts w:ascii="Times New Roman" w:hAnsi="Times New Roman"/>
          <w:spacing w:val="-2"/>
          <w:sz w:val="20"/>
        </w:rPr>
        <w:t xml:space="preserve"> </w:t>
      </w:r>
      <w:r>
        <w:rPr>
          <w:rFonts w:ascii="Times New Roman" w:hAnsi="Times New Roman"/>
          <w:sz w:val="20"/>
        </w:rPr>
        <w:t>with</w:t>
      </w:r>
      <w:r>
        <w:rPr>
          <w:rFonts w:ascii="Times New Roman" w:hAnsi="Times New Roman"/>
          <w:spacing w:val="-7"/>
          <w:sz w:val="20"/>
        </w:rPr>
        <w:t xml:space="preserve"> </w:t>
      </w:r>
      <w:r>
        <w:rPr>
          <w:rFonts w:ascii="Times New Roman" w:hAnsi="Times New Roman"/>
          <w:sz w:val="20"/>
        </w:rPr>
        <w:t>this</w:t>
      </w:r>
      <w:r>
        <w:rPr>
          <w:rFonts w:ascii="Times New Roman" w:hAnsi="Times New Roman"/>
          <w:spacing w:val="-6"/>
          <w:sz w:val="20"/>
        </w:rPr>
        <w:t xml:space="preserve"> </w:t>
      </w:r>
      <w:r>
        <w:rPr>
          <w:rFonts w:ascii="Times New Roman" w:hAnsi="Times New Roman"/>
          <w:sz w:val="20"/>
        </w:rPr>
        <w:t>issue,</w:t>
      </w:r>
      <w:r>
        <w:rPr>
          <w:rFonts w:ascii="Times New Roman" w:hAnsi="Times New Roman"/>
          <w:spacing w:val="-5"/>
          <w:sz w:val="20"/>
        </w:rPr>
        <w:t xml:space="preserve"> </w:t>
      </w:r>
      <w:r>
        <w:rPr>
          <w:rFonts w:ascii="Times New Roman" w:hAnsi="Times New Roman"/>
          <w:sz w:val="20"/>
        </w:rPr>
        <w:t>in</w:t>
      </w:r>
      <w:r>
        <w:rPr>
          <w:rFonts w:ascii="Times New Roman" w:hAnsi="Times New Roman"/>
          <w:spacing w:val="-7"/>
          <w:sz w:val="20"/>
        </w:rPr>
        <w:t xml:space="preserve"> </w:t>
      </w:r>
      <w:r>
        <w:rPr>
          <w:rFonts w:ascii="Times New Roman" w:hAnsi="Times New Roman"/>
          <w:sz w:val="20"/>
        </w:rPr>
        <w:t>its</w:t>
      </w:r>
      <w:r>
        <w:rPr>
          <w:rFonts w:ascii="Times New Roman" w:hAnsi="Times New Roman"/>
          <w:spacing w:val="-6"/>
          <w:sz w:val="20"/>
        </w:rPr>
        <w:t xml:space="preserve"> </w:t>
      </w:r>
      <w:r>
        <w:rPr>
          <w:rFonts w:ascii="Times New Roman" w:hAnsi="Times New Roman"/>
          <w:sz w:val="20"/>
        </w:rPr>
        <w:t>November</w:t>
      </w:r>
      <w:r>
        <w:rPr>
          <w:rFonts w:ascii="Times New Roman" w:hAnsi="Times New Roman"/>
          <w:spacing w:val="-2"/>
          <w:sz w:val="20"/>
        </w:rPr>
        <w:t xml:space="preserve"> </w:t>
      </w:r>
      <w:r>
        <w:rPr>
          <w:rFonts w:ascii="Times New Roman" w:hAnsi="Times New Roman"/>
          <w:sz w:val="20"/>
        </w:rPr>
        <w:t>meeting,</w:t>
      </w:r>
      <w:r>
        <w:rPr>
          <w:rFonts w:ascii="Times New Roman" w:hAnsi="Times New Roman"/>
          <w:spacing w:val="-2"/>
          <w:sz w:val="20"/>
        </w:rPr>
        <w:t xml:space="preserve"> </w:t>
      </w: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Medicare</w:t>
      </w:r>
      <w:r>
        <w:rPr>
          <w:rFonts w:ascii="Times New Roman" w:hAnsi="Times New Roman"/>
          <w:spacing w:val="-5"/>
          <w:sz w:val="20"/>
        </w:rPr>
        <w:t xml:space="preserve"> </w:t>
      </w:r>
      <w:r>
        <w:rPr>
          <w:rFonts w:ascii="Times New Roman" w:hAnsi="Times New Roman"/>
          <w:sz w:val="20"/>
        </w:rPr>
        <w:t>Payment</w:t>
      </w:r>
      <w:r>
        <w:rPr>
          <w:rFonts w:ascii="Times New Roman" w:hAnsi="Times New Roman"/>
          <w:spacing w:val="-3"/>
          <w:sz w:val="20"/>
        </w:rPr>
        <w:t xml:space="preserve"> </w:t>
      </w:r>
      <w:r>
        <w:rPr>
          <w:rFonts w:ascii="Times New Roman" w:hAnsi="Times New Roman"/>
          <w:sz w:val="20"/>
        </w:rPr>
        <w:t>Advisory</w:t>
      </w:r>
      <w:r>
        <w:rPr>
          <w:rFonts w:ascii="Times New Roman" w:hAnsi="Times New Roman"/>
          <w:spacing w:val="-7"/>
          <w:sz w:val="20"/>
        </w:rPr>
        <w:t xml:space="preserve"> </w:t>
      </w:r>
      <w:r>
        <w:rPr>
          <w:rFonts w:ascii="Times New Roman" w:hAnsi="Times New Roman"/>
          <w:sz w:val="20"/>
        </w:rPr>
        <w:t>Commission (MedPAC) discussed the need to refine the coverage gap discount program to “make it more likely that Part D plan sponsors</w:t>
      </w:r>
      <w:r>
        <w:rPr>
          <w:rFonts w:ascii="Times New Roman" w:hAnsi="Times New Roman"/>
          <w:sz w:val="20"/>
        </w:rPr>
        <w:tab/>
        <w:t>put</w:t>
      </w:r>
      <w:r>
        <w:rPr>
          <w:rFonts w:ascii="Times New Roman" w:hAnsi="Times New Roman"/>
          <w:sz w:val="20"/>
        </w:rPr>
        <w:tab/>
        <w:t>lower-priced</w:t>
      </w:r>
      <w:r>
        <w:rPr>
          <w:rFonts w:ascii="Times New Roman" w:hAnsi="Times New Roman"/>
          <w:sz w:val="20"/>
        </w:rPr>
        <w:tab/>
        <w:t>biosimilars</w:t>
      </w:r>
      <w:r>
        <w:rPr>
          <w:rFonts w:ascii="Times New Roman" w:hAnsi="Times New Roman"/>
          <w:sz w:val="20"/>
        </w:rPr>
        <w:tab/>
        <w:t>on</w:t>
      </w:r>
      <w:r>
        <w:rPr>
          <w:rFonts w:ascii="Times New Roman" w:hAnsi="Times New Roman"/>
          <w:sz w:val="20"/>
        </w:rPr>
        <w:tab/>
        <w:t>their</w:t>
      </w:r>
      <w:r>
        <w:rPr>
          <w:rFonts w:ascii="Times New Roman" w:hAnsi="Times New Roman"/>
          <w:sz w:val="20"/>
        </w:rPr>
        <w:tab/>
        <w:t>formularies.”</w:t>
      </w:r>
      <w:r>
        <w:rPr>
          <w:rFonts w:ascii="Times New Roman" w:hAnsi="Times New Roman"/>
          <w:sz w:val="20"/>
        </w:rPr>
        <w:tab/>
        <w:t>(p.15</w:t>
      </w:r>
      <w:r>
        <w:rPr>
          <w:rFonts w:ascii="Times New Roman" w:hAnsi="Times New Roman"/>
          <w:sz w:val="20"/>
        </w:rPr>
        <w:tab/>
        <w:t>of</w:t>
      </w:r>
      <w:r>
        <w:rPr>
          <w:rFonts w:ascii="Times New Roman" w:hAnsi="Times New Roman"/>
          <w:sz w:val="20"/>
        </w:rPr>
        <w:tab/>
        <w:t>transcript).</w:t>
      </w:r>
      <w:r>
        <w:rPr>
          <w:rFonts w:ascii="Times New Roman" w:hAnsi="Times New Roman"/>
          <w:sz w:val="20"/>
        </w:rPr>
        <w:tab/>
        <w:t>Available at</w:t>
      </w:r>
      <w:hyperlink r:id="rId25">
        <w:r>
          <w:rPr>
            <w:rFonts w:ascii="Times New Roman" w:hAnsi="Times New Roman"/>
            <w:color w:val="0000FF"/>
            <w:sz w:val="20"/>
            <w:u w:val="single" w:color="0000FF"/>
          </w:rPr>
          <w:t>http://www.medpac.gov/docs/default-source/default-document-library/november-2017-</w:t>
        </w:r>
      </w:hyperlink>
      <w:r>
        <w:rPr>
          <w:rFonts w:ascii="Times New Roman" w:hAnsi="Times New Roman"/>
          <w:color w:val="0000FF"/>
          <w:sz w:val="20"/>
          <w:u w:val="single" w:color="0000FF"/>
        </w:rPr>
        <w:t xml:space="preserve"> </w:t>
      </w:r>
      <w:hyperlink r:id="rId26">
        <w:r>
          <w:rPr>
            <w:rFonts w:ascii="Times New Roman" w:hAnsi="Times New Roman"/>
            <w:color w:val="0000FF"/>
            <w:sz w:val="20"/>
            <w:u w:val="single" w:color="0000FF"/>
          </w:rPr>
          <w:t>transcriptsf1b311adfa9c665e80adff00009edf9c.pdf?sfvrsn=0</w:t>
        </w:r>
        <w:r>
          <w:rPr>
            <w:rFonts w:ascii="Times New Roman" w:hAnsi="Times New Roman"/>
            <w:sz w:val="20"/>
          </w:rPr>
          <w:t>.</w:t>
        </w:r>
      </w:hyperlink>
    </w:p>
    <w:p w:rsidR="00BE0927" w:rsidRDefault="00EA0607">
      <w:pPr>
        <w:ind w:left="120" w:right="116"/>
        <w:jc w:val="both"/>
        <w:rPr>
          <w:rFonts w:ascii="Times New Roman" w:hAnsi="Times New Roman"/>
          <w:sz w:val="20"/>
        </w:rPr>
      </w:pPr>
      <w:bookmarkStart w:id="10" w:name="_bookmark10"/>
      <w:bookmarkEnd w:id="10"/>
      <w:r>
        <w:rPr>
          <w:rFonts w:ascii="Times New Roman" w:hAnsi="Times New Roman"/>
          <w:position w:val="7"/>
          <w:sz w:val="13"/>
        </w:rPr>
        <w:t>11</w:t>
      </w:r>
      <w:r>
        <w:rPr>
          <w:rFonts w:ascii="Times New Roman" w:hAnsi="Times New Roman"/>
          <w:spacing w:val="-10"/>
          <w:position w:val="7"/>
          <w:sz w:val="13"/>
        </w:rPr>
        <w:t xml:space="preserve"> </w:t>
      </w:r>
      <w:r>
        <w:rPr>
          <w:rFonts w:ascii="Times New Roman" w:hAnsi="Times New Roman"/>
          <w:sz w:val="20"/>
        </w:rPr>
        <w:t>“Biosimilar</w:t>
      </w:r>
      <w:r>
        <w:rPr>
          <w:rFonts w:ascii="Times New Roman" w:hAnsi="Times New Roman"/>
          <w:spacing w:val="-15"/>
          <w:sz w:val="20"/>
        </w:rPr>
        <w:t xml:space="preserve"> </w:t>
      </w:r>
      <w:r>
        <w:rPr>
          <w:rFonts w:ascii="Times New Roman" w:hAnsi="Times New Roman"/>
          <w:sz w:val="20"/>
        </w:rPr>
        <w:t>Inclusion</w:t>
      </w:r>
      <w:r>
        <w:rPr>
          <w:rFonts w:ascii="Times New Roman" w:hAnsi="Times New Roman"/>
          <w:spacing w:val="-15"/>
          <w:sz w:val="20"/>
        </w:rPr>
        <w:t xml:space="preserve"> </w:t>
      </w:r>
      <w:r>
        <w:rPr>
          <w:rFonts w:ascii="Times New Roman" w:hAnsi="Times New Roman"/>
          <w:sz w:val="20"/>
        </w:rPr>
        <w:t>in</w:t>
      </w:r>
      <w:r>
        <w:rPr>
          <w:rFonts w:ascii="Times New Roman" w:hAnsi="Times New Roman"/>
          <w:spacing w:val="-15"/>
          <w:sz w:val="20"/>
        </w:rPr>
        <w:t xml:space="preserve"> </w:t>
      </w:r>
      <w:r>
        <w:rPr>
          <w:rFonts w:ascii="Times New Roman" w:hAnsi="Times New Roman"/>
          <w:sz w:val="20"/>
        </w:rPr>
        <w:t>Manufacturer</w:t>
      </w:r>
      <w:r>
        <w:rPr>
          <w:rFonts w:ascii="Times New Roman" w:hAnsi="Times New Roman"/>
          <w:spacing w:val="-15"/>
          <w:sz w:val="20"/>
        </w:rPr>
        <w:t xml:space="preserve"> </w:t>
      </w:r>
      <w:r>
        <w:rPr>
          <w:rFonts w:ascii="Times New Roman" w:hAnsi="Times New Roman"/>
          <w:sz w:val="20"/>
        </w:rPr>
        <w:t>Coverage</w:t>
      </w:r>
      <w:r>
        <w:rPr>
          <w:rFonts w:ascii="Times New Roman" w:hAnsi="Times New Roman"/>
          <w:spacing w:val="-16"/>
          <w:sz w:val="20"/>
        </w:rPr>
        <w:t xml:space="preserve"> </w:t>
      </w:r>
      <w:r>
        <w:rPr>
          <w:rFonts w:ascii="Times New Roman" w:hAnsi="Times New Roman"/>
          <w:sz w:val="20"/>
        </w:rPr>
        <w:t>Gap</w:t>
      </w:r>
      <w:r>
        <w:rPr>
          <w:rFonts w:ascii="Times New Roman" w:hAnsi="Times New Roman"/>
          <w:spacing w:val="-15"/>
          <w:sz w:val="20"/>
        </w:rPr>
        <w:t xml:space="preserve"> </w:t>
      </w:r>
      <w:r>
        <w:rPr>
          <w:rFonts w:ascii="Times New Roman" w:hAnsi="Times New Roman"/>
          <w:sz w:val="20"/>
        </w:rPr>
        <w:t>Discount</w:t>
      </w:r>
      <w:r>
        <w:rPr>
          <w:rFonts w:ascii="Times New Roman" w:hAnsi="Times New Roman"/>
          <w:spacing w:val="-16"/>
          <w:sz w:val="20"/>
        </w:rPr>
        <w:t xml:space="preserve"> </w:t>
      </w:r>
      <w:r>
        <w:rPr>
          <w:rFonts w:ascii="Times New Roman" w:hAnsi="Times New Roman"/>
          <w:sz w:val="20"/>
        </w:rPr>
        <w:t>Program:</w:t>
      </w:r>
      <w:r>
        <w:rPr>
          <w:rFonts w:ascii="Times New Roman" w:hAnsi="Times New Roman"/>
          <w:spacing w:val="-14"/>
          <w:sz w:val="20"/>
        </w:rPr>
        <w:t xml:space="preserve"> </w:t>
      </w:r>
      <w:r>
        <w:rPr>
          <w:rFonts w:ascii="Times New Roman" w:hAnsi="Times New Roman"/>
          <w:sz w:val="20"/>
        </w:rPr>
        <w:t>Fiscal</w:t>
      </w:r>
      <w:r>
        <w:rPr>
          <w:rFonts w:ascii="Times New Roman" w:hAnsi="Times New Roman"/>
          <w:spacing w:val="-14"/>
          <w:sz w:val="20"/>
        </w:rPr>
        <w:t xml:space="preserve"> </w:t>
      </w:r>
      <w:r>
        <w:rPr>
          <w:rFonts w:ascii="Times New Roman" w:hAnsi="Times New Roman"/>
          <w:sz w:val="20"/>
        </w:rPr>
        <w:t>Implications,”</w:t>
      </w:r>
      <w:r>
        <w:rPr>
          <w:rFonts w:ascii="Times New Roman" w:hAnsi="Times New Roman"/>
          <w:spacing w:val="-16"/>
          <w:sz w:val="20"/>
        </w:rPr>
        <w:t xml:space="preserve"> </w:t>
      </w:r>
      <w:r>
        <w:rPr>
          <w:rFonts w:ascii="Times New Roman" w:hAnsi="Times New Roman"/>
          <w:sz w:val="20"/>
        </w:rPr>
        <w:t>T</w:t>
      </w:r>
      <w:r>
        <w:rPr>
          <w:rFonts w:ascii="Times New Roman" w:hAnsi="Times New Roman"/>
          <w:sz w:val="20"/>
        </w:rPr>
        <w:t>he</w:t>
      </w:r>
      <w:r>
        <w:rPr>
          <w:rFonts w:ascii="Times New Roman" w:hAnsi="Times New Roman"/>
          <w:spacing w:val="-16"/>
          <w:sz w:val="20"/>
        </w:rPr>
        <w:t xml:space="preserve"> </w:t>
      </w:r>
      <w:r>
        <w:rPr>
          <w:rFonts w:ascii="Times New Roman" w:hAnsi="Times New Roman"/>
          <w:sz w:val="20"/>
        </w:rPr>
        <w:t>Moran</w:t>
      </w:r>
      <w:r>
        <w:rPr>
          <w:rFonts w:ascii="Times New Roman" w:hAnsi="Times New Roman"/>
          <w:spacing w:val="-17"/>
          <w:sz w:val="20"/>
        </w:rPr>
        <w:t xml:space="preserve"> </w:t>
      </w:r>
      <w:r>
        <w:rPr>
          <w:rFonts w:ascii="Times New Roman" w:hAnsi="Times New Roman"/>
          <w:sz w:val="20"/>
        </w:rPr>
        <w:t xml:space="preserve">Company (October 2017). Available at </w:t>
      </w:r>
      <w:hyperlink r:id="rId27">
        <w:r>
          <w:rPr>
            <w:rFonts w:ascii="Times New Roman" w:hAnsi="Times New Roman"/>
            <w:color w:val="0000FF"/>
            <w:sz w:val="20"/>
            <w:u w:val="single" w:color="0000FF"/>
          </w:rPr>
          <w:t>https://accessiblemeds.org/sites/default/files/2017-11/AAM-Biosimilars-in-Coverage-</w:t>
        </w:r>
      </w:hyperlink>
      <w:r>
        <w:rPr>
          <w:rFonts w:ascii="Times New Roman" w:hAnsi="Times New Roman"/>
          <w:color w:val="0000FF"/>
          <w:sz w:val="20"/>
          <w:u w:val="single" w:color="0000FF"/>
        </w:rPr>
        <w:t xml:space="preserve"> </w:t>
      </w:r>
      <w:hyperlink r:id="rId28">
        <w:r>
          <w:rPr>
            <w:rFonts w:ascii="Times New Roman" w:hAnsi="Times New Roman"/>
            <w:color w:val="0000FF"/>
            <w:sz w:val="20"/>
            <w:u w:val="single" w:color="0000FF"/>
          </w:rPr>
          <w:t>Gap-10-05-2017.pdf</w:t>
        </w:r>
        <w:r>
          <w:rPr>
            <w:rFonts w:ascii="Times New Roman" w:hAnsi="Times New Roman"/>
            <w:sz w:val="20"/>
          </w:rPr>
          <w:t>.</w:t>
        </w:r>
      </w:hyperlink>
    </w:p>
    <w:p w:rsidR="00BE0927" w:rsidRDefault="00BE0927">
      <w:pPr>
        <w:jc w:val="both"/>
        <w:rPr>
          <w:rFonts w:ascii="Times New Roman" w:hAnsi="Times New Roman"/>
          <w:sz w:val="20"/>
        </w:rPr>
        <w:sectPr w:rsidR="00BE0927">
          <w:pgSz w:w="12240" w:h="15840"/>
          <w:pgMar w:top="1360" w:right="1320" w:bottom="920" w:left="1320" w:header="0" w:footer="732" w:gutter="0"/>
          <w:cols w:space="720"/>
        </w:sectPr>
      </w:pPr>
    </w:p>
    <w:p w:rsidR="00BE0927" w:rsidRDefault="00BE0927">
      <w:pPr>
        <w:pStyle w:val="BodyText"/>
        <w:rPr>
          <w:rFonts w:ascii="Times New Roman"/>
          <w:sz w:val="20"/>
        </w:rPr>
      </w:pPr>
      <w:bookmarkStart w:id="11" w:name="_GoBack"/>
    </w:p>
    <w:p w:rsidR="00BE0927" w:rsidRDefault="00BE0927">
      <w:pPr>
        <w:pStyle w:val="BodyText"/>
        <w:spacing w:before="2"/>
        <w:rPr>
          <w:rFonts w:ascii="Times New Roman"/>
        </w:rPr>
      </w:pPr>
    </w:p>
    <w:p w:rsidR="00BE0927" w:rsidRDefault="00EA0607">
      <w:pPr>
        <w:pStyle w:val="ListParagraph"/>
        <w:numPr>
          <w:ilvl w:val="0"/>
          <w:numId w:val="1"/>
        </w:numPr>
        <w:tabs>
          <w:tab w:val="left" w:pos="956"/>
        </w:tabs>
        <w:spacing w:before="93"/>
        <w:ind w:left="955" w:hanging="717"/>
        <w:jc w:val="both"/>
        <w:rPr>
          <w:b/>
          <w:sz w:val="21"/>
          <w:u w:val="none"/>
        </w:rPr>
      </w:pPr>
      <w:r>
        <w:rPr>
          <w:b/>
          <w:w w:val="105"/>
          <w:sz w:val="21"/>
          <w:u w:val="thick"/>
        </w:rPr>
        <w:t>Conclusion</w:t>
      </w:r>
    </w:p>
    <w:p w:rsidR="00BE0927" w:rsidRDefault="00BE0927">
      <w:pPr>
        <w:pStyle w:val="BodyText"/>
        <w:spacing w:before="7"/>
        <w:rPr>
          <w:b/>
          <w:sz w:val="24"/>
        </w:rPr>
      </w:pPr>
    </w:p>
    <w:p w:rsidR="00BE0927" w:rsidRDefault="00EA0607">
      <w:pPr>
        <w:spacing w:before="1" w:line="276" w:lineRule="auto"/>
        <w:ind w:left="222" w:right="108" w:firstLine="14"/>
        <w:jc w:val="both"/>
        <w:rPr>
          <w:sz w:val="21"/>
        </w:rPr>
      </w:pPr>
      <w:r>
        <w:rPr>
          <w:w w:val="105"/>
          <w:sz w:val="21"/>
        </w:rPr>
        <w:t>Novartis</w:t>
      </w:r>
      <w:r>
        <w:rPr>
          <w:spacing w:val="-1"/>
          <w:w w:val="105"/>
          <w:sz w:val="21"/>
        </w:rPr>
        <w:t xml:space="preserve"> </w:t>
      </w:r>
      <w:r>
        <w:rPr>
          <w:w w:val="105"/>
          <w:sz w:val="21"/>
        </w:rPr>
        <w:t>appreciates</w:t>
      </w:r>
      <w:r>
        <w:rPr>
          <w:spacing w:val="2"/>
          <w:w w:val="105"/>
          <w:sz w:val="21"/>
        </w:rPr>
        <w:t xml:space="preserve"> </w:t>
      </w:r>
      <w:r>
        <w:rPr>
          <w:w w:val="105"/>
          <w:sz w:val="21"/>
        </w:rPr>
        <w:t>the</w:t>
      </w:r>
      <w:r>
        <w:rPr>
          <w:spacing w:val="-12"/>
          <w:w w:val="105"/>
          <w:sz w:val="21"/>
        </w:rPr>
        <w:t xml:space="preserve"> </w:t>
      </w:r>
      <w:r>
        <w:rPr>
          <w:w w:val="105"/>
          <w:sz w:val="21"/>
        </w:rPr>
        <w:t>opportunity</w:t>
      </w:r>
      <w:r>
        <w:rPr>
          <w:spacing w:val="3"/>
          <w:w w:val="105"/>
          <w:sz w:val="21"/>
        </w:rPr>
        <w:t xml:space="preserve"> </w:t>
      </w:r>
      <w:r>
        <w:rPr>
          <w:w w:val="105"/>
          <w:sz w:val="21"/>
        </w:rPr>
        <w:t>to</w:t>
      </w:r>
      <w:r>
        <w:rPr>
          <w:spacing w:val="-1"/>
          <w:w w:val="105"/>
          <w:sz w:val="21"/>
        </w:rPr>
        <w:t xml:space="preserve"> </w:t>
      </w:r>
      <w:r>
        <w:rPr>
          <w:w w:val="105"/>
          <w:sz w:val="21"/>
        </w:rPr>
        <w:t>comment on</w:t>
      </w:r>
      <w:r>
        <w:rPr>
          <w:spacing w:val="-23"/>
          <w:w w:val="105"/>
          <w:sz w:val="21"/>
        </w:rPr>
        <w:t xml:space="preserve"> </w:t>
      </w:r>
      <w:r>
        <w:rPr>
          <w:w w:val="105"/>
          <w:sz w:val="21"/>
        </w:rPr>
        <w:t>the</w:t>
      </w:r>
      <w:r>
        <w:rPr>
          <w:spacing w:val="-14"/>
          <w:w w:val="105"/>
          <w:sz w:val="21"/>
        </w:rPr>
        <w:t xml:space="preserve"> </w:t>
      </w:r>
      <w:r>
        <w:rPr>
          <w:w w:val="105"/>
          <w:sz w:val="21"/>
        </w:rPr>
        <w:t>Proposed</w:t>
      </w:r>
      <w:r>
        <w:rPr>
          <w:spacing w:val="-7"/>
          <w:w w:val="105"/>
          <w:sz w:val="21"/>
        </w:rPr>
        <w:t xml:space="preserve"> </w:t>
      </w:r>
      <w:r>
        <w:rPr>
          <w:w w:val="105"/>
          <w:sz w:val="21"/>
        </w:rPr>
        <w:t>Rule.</w:t>
      </w:r>
      <w:r>
        <w:rPr>
          <w:spacing w:val="-13"/>
          <w:w w:val="105"/>
          <w:sz w:val="21"/>
        </w:rPr>
        <w:t xml:space="preserve"> </w:t>
      </w:r>
      <w:r>
        <w:rPr>
          <w:w w:val="105"/>
          <w:sz w:val="21"/>
        </w:rPr>
        <w:t>As</w:t>
      </w:r>
      <w:r>
        <w:rPr>
          <w:spacing w:val="-10"/>
          <w:w w:val="105"/>
          <w:sz w:val="21"/>
        </w:rPr>
        <w:t xml:space="preserve"> </w:t>
      </w:r>
      <w:r>
        <w:rPr>
          <w:w w:val="105"/>
          <w:sz w:val="21"/>
        </w:rPr>
        <w:t>discussed</w:t>
      </w:r>
      <w:r>
        <w:rPr>
          <w:spacing w:val="-1"/>
          <w:w w:val="105"/>
          <w:sz w:val="21"/>
        </w:rPr>
        <w:t xml:space="preserve"> </w:t>
      </w:r>
      <w:r>
        <w:rPr>
          <w:w w:val="105"/>
          <w:sz w:val="21"/>
        </w:rPr>
        <w:t>above,</w:t>
      </w:r>
      <w:r>
        <w:rPr>
          <w:spacing w:val="-3"/>
          <w:w w:val="105"/>
          <w:sz w:val="21"/>
        </w:rPr>
        <w:t xml:space="preserve"> </w:t>
      </w:r>
      <w:r>
        <w:rPr>
          <w:w w:val="105"/>
          <w:sz w:val="21"/>
        </w:rPr>
        <w:t>we urge CMS to implement policies that will require beneficiaries to benefit from manufacturer rebates</w:t>
      </w:r>
      <w:r>
        <w:rPr>
          <w:spacing w:val="-6"/>
          <w:w w:val="105"/>
          <w:sz w:val="21"/>
        </w:rPr>
        <w:t xml:space="preserve"> </w:t>
      </w:r>
      <w:r>
        <w:rPr>
          <w:w w:val="105"/>
          <w:sz w:val="21"/>
        </w:rPr>
        <w:t>and</w:t>
      </w:r>
      <w:r>
        <w:rPr>
          <w:spacing w:val="-26"/>
          <w:w w:val="105"/>
          <w:sz w:val="21"/>
        </w:rPr>
        <w:t xml:space="preserve"> </w:t>
      </w:r>
      <w:r>
        <w:rPr>
          <w:w w:val="105"/>
          <w:sz w:val="21"/>
        </w:rPr>
        <w:t>price</w:t>
      </w:r>
      <w:r>
        <w:rPr>
          <w:spacing w:val="-9"/>
          <w:w w:val="105"/>
          <w:sz w:val="21"/>
        </w:rPr>
        <w:t xml:space="preserve"> </w:t>
      </w:r>
      <w:r>
        <w:rPr>
          <w:w w:val="105"/>
          <w:sz w:val="21"/>
        </w:rPr>
        <w:t>discounts.</w:t>
      </w:r>
      <w:r>
        <w:rPr>
          <w:spacing w:val="-5"/>
          <w:w w:val="105"/>
          <w:sz w:val="21"/>
        </w:rPr>
        <w:t xml:space="preserve"> </w:t>
      </w:r>
      <w:r>
        <w:rPr>
          <w:w w:val="105"/>
          <w:sz w:val="21"/>
        </w:rPr>
        <w:t>In addition,</w:t>
      </w:r>
      <w:r>
        <w:rPr>
          <w:spacing w:val="-2"/>
          <w:w w:val="105"/>
          <w:sz w:val="21"/>
        </w:rPr>
        <w:t xml:space="preserve"> </w:t>
      </w:r>
      <w:r>
        <w:rPr>
          <w:w w:val="105"/>
          <w:sz w:val="21"/>
        </w:rPr>
        <w:t>we</w:t>
      </w:r>
      <w:r>
        <w:rPr>
          <w:spacing w:val="-13"/>
          <w:w w:val="105"/>
          <w:sz w:val="21"/>
        </w:rPr>
        <w:t xml:space="preserve"> </w:t>
      </w:r>
      <w:r>
        <w:rPr>
          <w:w w:val="105"/>
          <w:sz w:val="21"/>
        </w:rPr>
        <w:t>appreciate</w:t>
      </w:r>
      <w:r>
        <w:rPr>
          <w:spacing w:val="-2"/>
          <w:w w:val="105"/>
          <w:sz w:val="21"/>
        </w:rPr>
        <w:t xml:space="preserve"> </w:t>
      </w:r>
      <w:r>
        <w:rPr>
          <w:w w:val="105"/>
          <w:sz w:val="21"/>
        </w:rPr>
        <w:t>CMS'</w:t>
      </w:r>
      <w:r>
        <w:rPr>
          <w:spacing w:val="-5"/>
          <w:w w:val="105"/>
          <w:sz w:val="21"/>
        </w:rPr>
        <w:t xml:space="preserve"> </w:t>
      </w:r>
      <w:r>
        <w:rPr>
          <w:w w:val="105"/>
          <w:sz w:val="21"/>
        </w:rPr>
        <w:t>request</w:t>
      </w:r>
      <w:r>
        <w:rPr>
          <w:spacing w:val="-7"/>
          <w:w w:val="105"/>
          <w:sz w:val="21"/>
        </w:rPr>
        <w:t xml:space="preserve"> </w:t>
      </w:r>
      <w:r>
        <w:rPr>
          <w:w w:val="105"/>
          <w:sz w:val="21"/>
        </w:rPr>
        <w:t>for</w:t>
      </w:r>
      <w:r>
        <w:rPr>
          <w:spacing w:val="-9"/>
          <w:w w:val="105"/>
          <w:sz w:val="21"/>
        </w:rPr>
        <w:t xml:space="preserve"> </w:t>
      </w:r>
      <w:r>
        <w:rPr>
          <w:w w:val="105"/>
          <w:sz w:val="21"/>
        </w:rPr>
        <w:t>comments</w:t>
      </w:r>
      <w:r>
        <w:rPr>
          <w:spacing w:val="7"/>
          <w:w w:val="105"/>
          <w:sz w:val="21"/>
        </w:rPr>
        <w:t xml:space="preserve"> </w:t>
      </w:r>
      <w:r>
        <w:rPr>
          <w:w w:val="105"/>
          <w:sz w:val="21"/>
        </w:rPr>
        <w:t>on</w:t>
      </w:r>
      <w:r>
        <w:rPr>
          <w:spacing w:val="-24"/>
          <w:w w:val="105"/>
          <w:sz w:val="21"/>
        </w:rPr>
        <w:t xml:space="preserve"> </w:t>
      </w:r>
      <w:r>
        <w:rPr>
          <w:w w:val="105"/>
          <w:sz w:val="21"/>
        </w:rPr>
        <w:t>the</w:t>
      </w:r>
      <w:r>
        <w:rPr>
          <w:spacing w:val="-16"/>
          <w:w w:val="105"/>
          <w:sz w:val="21"/>
        </w:rPr>
        <w:t xml:space="preserve"> </w:t>
      </w:r>
      <w:r>
        <w:rPr>
          <w:w w:val="105"/>
          <w:sz w:val="21"/>
        </w:rPr>
        <w:t>tiering exceptions proposals. We believe the exceptions process should apply to the specialty tier and urge CMS not to establish any new barriers to the exceptions process. For purposes of the expedited substitution of generics, we urge CMS to require adva</w:t>
      </w:r>
      <w:r>
        <w:rPr>
          <w:w w:val="105"/>
          <w:sz w:val="21"/>
        </w:rPr>
        <w:t>nce notice to beneficiaries, prior to the substitution. Such notice is important to avoid beneficiary confusion and, potentially, a disruption in therapy. We also applaud CMS' efforts to provide greater access to biosimilars in Part D and believe changes t</w:t>
      </w:r>
      <w:r>
        <w:rPr>
          <w:w w:val="105"/>
          <w:sz w:val="21"/>
        </w:rPr>
        <w:t>o the current structure of the coverage gap discount program must be</w:t>
      </w:r>
      <w:r>
        <w:rPr>
          <w:spacing w:val="-13"/>
          <w:w w:val="105"/>
          <w:sz w:val="21"/>
        </w:rPr>
        <w:t xml:space="preserve"> </w:t>
      </w:r>
      <w:r>
        <w:rPr>
          <w:w w:val="105"/>
          <w:sz w:val="21"/>
        </w:rPr>
        <w:t>made</w:t>
      </w:r>
      <w:r>
        <w:rPr>
          <w:spacing w:val="-16"/>
          <w:w w:val="105"/>
          <w:sz w:val="21"/>
        </w:rPr>
        <w:t xml:space="preserve"> </w:t>
      </w:r>
      <w:r>
        <w:rPr>
          <w:w w:val="105"/>
          <w:sz w:val="21"/>
        </w:rPr>
        <w:t>to</w:t>
      </w:r>
      <w:r>
        <w:rPr>
          <w:spacing w:val="-8"/>
          <w:w w:val="105"/>
          <w:sz w:val="21"/>
        </w:rPr>
        <w:t xml:space="preserve"> </w:t>
      </w:r>
      <w:r>
        <w:rPr>
          <w:w w:val="105"/>
          <w:sz w:val="21"/>
        </w:rPr>
        <w:t>incentivize increased</w:t>
      </w:r>
      <w:r>
        <w:rPr>
          <w:spacing w:val="-6"/>
          <w:w w:val="105"/>
          <w:sz w:val="21"/>
        </w:rPr>
        <w:t xml:space="preserve"> </w:t>
      </w:r>
      <w:r>
        <w:rPr>
          <w:w w:val="105"/>
          <w:sz w:val="21"/>
        </w:rPr>
        <w:t>use</w:t>
      </w:r>
      <w:r>
        <w:rPr>
          <w:spacing w:val="-12"/>
          <w:w w:val="105"/>
          <w:sz w:val="21"/>
        </w:rPr>
        <w:t xml:space="preserve"> </w:t>
      </w:r>
      <w:r>
        <w:rPr>
          <w:w w:val="105"/>
          <w:sz w:val="21"/>
        </w:rPr>
        <w:t>of</w:t>
      </w:r>
      <w:r>
        <w:rPr>
          <w:spacing w:val="-17"/>
          <w:w w:val="105"/>
          <w:sz w:val="21"/>
        </w:rPr>
        <w:t xml:space="preserve"> </w:t>
      </w:r>
      <w:r>
        <w:rPr>
          <w:w w:val="105"/>
          <w:sz w:val="21"/>
        </w:rPr>
        <w:t>lower-cost</w:t>
      </w:r>
      <w:r>
        <w:rPr>
          <w:spacing w:val="-3"/>
          <w:w w:val="105"/>
          <w:sz w:val="21"/>
        </w:rPr>
        <w:t xml:space="preserve"> </w:t>
      </w:r>
      <w:r>
        <w:rPr>
          <w:w w:val="105"/>
          <w:sz w:val="21"/>
        </w:rPr>
        <w:t>biosimilars</w:t>
      </w:r>
      <w:r>
        <w:rPr>
          <w:spacing w:val="-1"/>
          <w:w w:val="105"/>
          <w:sz w:val="21"/>
        </w:rPr>
        <w:t xml:space="preserve"> </w:t>
      </w:r>
      <w:r>
        <w:rPr>
          <w:w w:val="105"/>
          <w:sz w:val="21"/>
        </w:rPr>
        <w:t>in</w:t>
      </w:r>
      <w:r>
        <w:rPr>
          <w:spacing w:val="-9"/>
          <w:w w:val="105"/>
          <w:sz w:val="21"/>
        </w:rPr>
        <w:t xml:space="preserve"> </w:t>
      </w:r>
      <w:r>
        <w:rPr>
          <w:w w:val="105"/>
          <w:sz w:val="21"/>
        </w:rPr>
        <w:t>the</w:t>
      </w:r>
      <w:r>
        <w:rPr>
          <w:spacing w:val="-20"/>
          <w:w w:val="105"/>
          <w:sz w:val="21"/>
        </w:rPr>
        <w:t xml:space="preserve"> </w:t>
      </w:r>
      <w:r>
        <w:rPr>
          <w:w w:val="105"/>
          <w:sz w:val="21"/>
        </w:rPr>
        <w:t>Part</w:t>
      </w:r>
      <w:r>
        <w:rPr>
          <w:spacing w:val="-13"/>
          <w:w w:val="105"/>
          <w:sz w:val="21"/>
        </w:rPr>
        <w:t xml:space="preserve"> </w:t>
      </w:r>
      <w:r>
        <w:rPr>
          <w:w w:val="105"/>
          <w:sz w:val="21"/>
        </w:rPr>
        <w:t>D</w:t>
      </w:r>
      <w:r>
        <w:rPr>
          <w:spacing w:val="-15"/>
          <w:w w:val="105"/>
          <w:sz w:val="21"/>
        </w:rPr>
        <w:t xml:space="preserve"> </w:t>
      </w:r>
      <w:r>
        <w:rPr>
          <w:w w:val="105"/>
          <w:sz w:val="21"/>
        </w:rPr>
        <w:t>program.</w:t>
      </w:r>
      <w:r>
        <w:rPr>
          <w:spacing w:val="-9"/>
          <w:w w:val="105"/>
          <w:sz w:val="21"/>
        </w:rPr>
        <w:t xml:space="preserve"> </w:t>
      </w:r>
      <w:r>
        <w:rPr>
          <w:w w:val="105"/>
          <w:sz w:val="21"/>
        </w:rPr>
        <w:t>We</w:t>
      </w:r>
      <w:r>
        <w:rPr>
          <w:spacing w:val="-19"/>
          <w:w w:val="105"/>
          <w:sz w:val="21"/>
        </w:rPr>
        <w:t xml:space="preserve"> </w:t>
      </w:r>
      <w:r>
        <w:rPr>
          <w:w w:val="105"/>
          <w:sz w:val="21"/>
        </w:rPr>
        <w:t>strongly encourage the agency to continue engaging stakeholders on these issues to ensure the goal of</w:t>
      </w:r>
      <w:r>
        <w:rPr>
          <w:w w:val="105"/>
          <w:sz w:val="21"/>
        </w:rPr>
        <w:t xml:space="preserve"> increasing patient access to affordable treatment is appropriately</w:t>
      </w:r>
      <w:r>
        <w:rPr>
          <w:spacing w:val="-15"/>
          <w:w w:val="105"/>
          <w:sz w:val="21"/>
        </w:rPr>
        <w:t xml:space="preserve"> </w:t>
      </w:r>
      <w:r>
        <w:rPr>
          <w:w w:val="105"/>
          <w:sz w:val="21"/>
        </w:rPr>
        <w:t>advanced.</w:t>
      </w:r>
    </w:p>
    <w:p w:rsidR="00BE0927" w:rsidRDefault="00BE0927">
      <w:pPr>
        <w:pStyle w:val="BodyText"/>
      </w:pPr>
    </w:p>
    <w:p w:rsidR="00BE0927" w:rsidRDefault="00BE0927">
      <w:pPr>
        <w:pStyle w:val="BodyText"/>
        <w:spacing w:before="8"/>
        <w:rPr>
          <w:sz w:val="17"/>
        </w:rPr>
      </w:pPr>
    </w:p>
    <w:p w:rsidR="00BE0927" w:rsidRDefault="00EA0607">
      <w:pPr>
        <w:tabs>
          <w:tab w:val="left" w:pos="821"/>
          <w:tab w:val="left" w:pos="1541"/>
        </w:tabs>
        <w:ind w:left="110"/>
        <w:jc w:val="center"/>
        <w:rPr>
          <w:sz w:val="28"/>
        </w:rPr>
      </w:pPr>
      <w:r>
        <w:rPr>
          <w:w w:val="105"/>
          <w:position w:val="1"/>
          <w:sz w:val="25"/>
        </w:rPr>
        <w:t>•</w:t>
      </w:r>
      <w:r>
        <w:rPr>
          <w:w w:val="105"/>
          <w:position w:val="1"/>
          <w:sz w:val="25"/>
        </w:rPr>
        <w:tab/>
      </w:r>
      <w:r>
        <w:rPr>
          <w:w w:val="105"/>
          <w:sz w:val="28"/>
        </w:rPr>
        <w:t>•</w:t>
      </w:r>
      <w:r>
        <w:rPr>
          <w:w w:val="105"/>
          <w:sz w:val="28"/>
        </w:rPr>
        <w:tab/>
        <w:t>•</w:t>
      </w:r>
    </w:p>
    <w:p w:rsidR="00BE0927" w:rsidRDefault="00BE0927">
      <w:pPr>
        <w:pStyle w:val="BodyText"/>
        <w:rPr>
          <w:sz w:val="30"/>
        </w:rPr>
      </w:pPr>
    </w:p>
    <w:p w:rsidR="00BE0927" w:rsidRDefault="00BE0927">
      <w:pPr>
        <w:pStyle w:val="BodyText"/>
        <w:rPr>
          <w:sz w:val="30"/>
        </w:rPr>
      </w:pPr>
    </w:p>
    <w:p w:rsidR="00BE0927" w:rsidRDefault="00EA0607">
      <w:pPr>
        <w:spacing w:before="183" w:line="278" w:lineRule="auto"/>
        <w:ind w:left="216" w:right="135" w:hanging="2"/>
        <w:jc w:val="both"/>
        <w:rPr>
          <w:sz w:val="21"/>
        </w:rPr>
      </w:pPr>
      <w:r>
        <w:rPr>
          <w:w w:val="105"/>
          <w:sz w:val="21"/>
        </w:rPr>
        <w:t>Novartis greatly appreciates CMS'</w:t>
      </w:r>
      <w:r>
        <w:rPr>
          <w:w w:val="105"/>
          <w:sz w:val="21"/>
        </w:rPr>
        <w:t xml:space="preserve"> consideration of these comments. We would be happy to discuss them at greater length. If you have any questions, please do not hesitate to contact me at (862) 778-3284.</w:t>
      </w:r>
    </w:p>
    <w:p w:rsidR="00BE0927" w:rsidRDefault="00EA0607">
      <w:pPr>
        <w:spacing w:before="189"/>
        <w:ind w:left="118"/>
        <w:jc w:val="both"/>
        <w:rPr>
          <w:rFonts w:ascii="Times New Roman"/>
          <w:sz w:val="92"/>
        </w:rPr>
      </w:pPr>
      <w:r>
        <w:rPr>
          <w:rFonts w:ascii="Times New Roman"/>
          <w:w w:val="250"/>
          <w:sz w:val="92"/>
        </w:rPr>
        <w:t>01</w:t>
      </w:r>
    </w:p>
    <w:p w:rsidR="00BE0927" w:rsidRDefault="00EA0607">
      <w:pPr>
        <w:spacing w:before="144"/>
        <w:ind w:left="110" w:right="7430"/>
        <w:jc w:val="center"/>
        <w:rPr>
          <w:sz w:val="21"/>
        </w:rPr>
      </w:pPr>
      <w:r>
        <w:rPr>
          <w:w w:val="300"/>
          <w:sz w:val="21"/>
        </w:rPr>
        <w:t>Leas</w:t>
      </w:r>
    </w:p>
    <w:p w:rsidR="00BE0927" w:rsidRDefault="00EA0607">
      <w:pPr>
        <w:spacing w:before="24" w:line="278" w:lineRule="auto"/>
        <w:ind w:left="208" w:right="4479"/>
        <w:rPr>
          <w:sz w:val="21"/>
        </w:rPr>
      </w:pPr>
      <w:r>
        <w:rPr>
          <w:w w:val="105"/>
          <w:sz w:val="21"/>
        </w:rPr>
        <w:t>Vice President and US Country Head, Public Policy Novartis Services, Inc.</w:t>
      </w:r>
      <w:bookmarkEnd w:id="11"/>
    </w:p>
    <w:sectPr w:rsidR="00BE0927">
      <w:footerReference w:type="default" r:id="rId29"/>
      <w:pgSz w:w="12240" w:h="15840"/>
      <w:pgMar w:top="1500" w:right="1520" w:bottom="900" w:left="1000" w:header="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A0607">
      <w:r>
        <w:separator/>
      </w:r>
    </w:p>
  </w:endnote>
  <w:endnote w:type="continuationSeparator" w:id="0">
    <w:p w:rsidR="00000000" w:rsidRDefault="00EA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7" w:rsidRDefault="00EA0607">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301.6pt;margin-top:744.4pt;width:8.75pt;height:11.55pt;z-index:-6496;mso-position-horizontal-relative:page;mso-position-vertical-relative:page" filled="f" stroked="f">
          <v:textbox inset="0,0,0,0">
            <w:txbxContent>
              <w:p w:rsidR="00BE0927" w:rsidRDefault="00EA0607">
                <w:pPr>
                  <w:spacing w:before="15"/>
                  <w:ind w:left="40"/>
                  <w:rPr>
                    <w:sz w:val="17"/>
                  </w:rPr>
                </w:pPr>
                <w:r>
                  <w:fldChar w:fldCharType="begin"/>
                </w:r>
                <w:r>
                  <w:rPr>
                    <w:sz w:val="17"/>
                  </w:rPr>
                  <w:instrText xml:space="preserve"> PAGE </w:instrText>
                </w:r>
                <w:r>
                  <w:fldChar w:fldCharType="separate"/>
                </w:r>
                <w:r>
                  <w:rPr>
                    <w:noProof/>
                    <w:sz w:val="17"/>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7" w:rsidRDefault="00EA0607">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01.6pt;margin-top:744.4pt;width:8.75pt;height:11.55pt;z-index:-6472;mso-position-horizontal-relative:page;mso-position-vertical-relative:page" filled="f" stroked="f">
          <v:textbox inset="0,0,0,0">
            <w:txbxContent>
              <w:p w:rsidR="00BE0927" w:rsidRDefault="00EA0607">
                <w:pPr>
                  <w:spacing w:before="15"/>
                  <w:ind w:left="40"/>
                  <w:rPr>
                    <w:sz w:val="17"/>
                  </w:rPr>
                </w:pPr>
                <w:r>
                  <w:fldChar w:fldCharType="begin"/>
                </w:r>
                <w:r>
                  <w:rPr>
                    <w:sz w:val="17"/>
                  </w:rPr>
                  <w:instrText xml:space="preserve"> PAGE </w:instrText>
                </w:r>
                <w:r>
                  <w:fldChar w:fldCharType="separate"/>
                </w:r>
                <w:r>
                  <w:rPr>
                    <w:noProof/>
                    <w:sz w:val="17"/>
                  </w:rPr>
                  <w:t>6</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27" w:rsidRDefault="00EA060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1.3pt;margin-top:745.25pt;width:6.75pt;height:10.95pt;z-index:-6448;mso-position-horizontal-relative:page;mso-position-vertical-relative:page" filled="f" stroked="f">
          <v:textbox inset="0,0,0,0">
            <w:txbxContent>
              <w:p w:rsidR="00BE0927" w:rsidRDefault="00EA0607">
                <w:pPr>
                  <w:spacing w:before="14"/>
                  <w:ind w:left="20"/>
                  <w:rPr>
                    <w:sz w:val="16"/>
                  </w:rPr>
                </w:pPr>
                <w:r>
                  <w:rPr>
                    <w:w w:val="105"/>
                    <w:sz w:val="16"/>
                  </w:rPr>
                  <w:t>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A0607">
      <w:r>
        <w:separator/>
      </w:r>
    </w:p>
  </w:footnote>
  <w:footnote w:type="continuationSeparator" w:id="0">
    <w:p w:rsidR="00000000" w:rsidRDefault="00EA0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0527"/>
    <w:multiLevelType w:val="hybridMultilevel"/>
    <w:tmpl w:val="9DBEFF16"/>
    <w:lvl w:ilvl="0" w:tplc="B330B77C">
      <w:start w:val="1"/>
      <w:numFmt w:val="upperRoman"/>
      <w:lvlText w:val="%1."/>
      <w:lvlJc w:val="left"/>
      <w:pPr>
        <w:ind w:left="840" w:hanging="721"/>
        <w:jc w:val="right"/>
      </w:pPr>
      <w:rPr>
        <w:rFonts w:hint="default"/>
        <w:b/>
        <w:bCs/>
        <w:spacing w:val="0"/>
        <w:w w:val="100"/>
      </w:rPr>
    </w:lvl>
    <w:lvl w:ilvl="1" w:tplc="8E92EF86">
      <w:numFmt w:val="bullet"/>
      <w:lvlText w:val="•"/>
      <w:lvlJc w:val="left"/>
      <w:pPr>
        <w:ind w:left="1716" w:hanging="721"/>
      </w:pPr>
      <w:rPr>
        <w:rFonts w:hint="default"/>
      </w:rPr>
    </w:lvl>
    <w:lvl w:ilvl="2" w:tplc="7F0C69EE">
      <w:numFmt w:val="bullet"/>
      <w:lvlText w:val="•"/>
      <w:lvlJc w:val="left"/>
      <w:pPr>
        <w:ind w:left="2592" w:hanging="721"/>
      </w:pPr>
      <w:rPr>
        <w:rFonts w:hint="default"/>
      </w:rPr>
    </w:lvl>
    <w:lvl w:ilvl="3" w:tplc="69BE0C9C">
      <w:numFmt w:val="bullet"/>
      <w:lvlText w:val="•"/>
      <w:lvlJc w:val="left"/>
      <w:pPr>
        <w:ind w:left="3468" w:hanging="721"/>
      </w:pPr>
      <w:rPr>
        <w:rFonts w:hint="default"/>
      </w:rPr>
    </w:lvl>
    <w:lvl w:ilvl="4" w:tplc="1B608E96">
      <w:numFmt w:val="bullet"/>
      <w:lvlText w:val="•"/>
      <w:lvlJc w:val="left"/>
      <w:pPr>
        <w:ind w:left="4344" w:hanging="721"/>
      </w:pPr>
      <w:rPr>
        <w:rFonts w:hint="default"/>
      </w:rPr>
    </w:lvl>
    <w:lvl w:ilvl="5" w:tplc="9CA28D54">
      <w:numFmt w:val="bullet"/>
      <w:lvlText w:val="•"/>
      <w:lvlJc w:val="left"/>
      <w:pPr>
        <w:ind w:left="5220" w:hanging="721"/>
      </w:pPr>
      <w:rPr>
        <w:rFonts w:hint="default"/>
      </w:rPr>
    </w:lvl>
    <w:lvl w:ilvl="6" w:tplc="5980D75C">
      <w:numFmt w:val="bullet"/>
      <w:lvlText w:val="•"/>
      <w:lvlJc w:val="left"/>
      <w:pPr>
        <w:ind w:left="6096" w:hanging="721"/>
      </w:pPr>
      <w:rPr>
        <w:rFonts w:hint="default"/>
      </w:rPr>
    </w:lvl>
    <w:lvl w:ilvl="7" w:tplc="A51E0072">
      <w:numFmt w:val="bullet"/>
      <w:lvlText w:val="•"/>
      <w:lvlJc w:val="left"/>
      <w:pPr>
        <w:ind w:left="6972" w:hanging="721"/>
      </w:pPr>
      <w:rPr>
        <w:rFonts w:hint="default"/>
      </w:rPr>
    </w:lvl>
    <w:lvl w:ilvl="8" w:tplc="4F1C761E">
      <w:numFmt w:val="bullet"/>
      <w:lvlText w:val="•"/>
      <w:lvlJc w:val="left"/>
      <w:pPr>
        <w:ind w:left="7848"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E0927"/>
    <w:rsid w:val="00BE0927"/>
    <w:rsid w:val="00EA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BECD2F34-BBA8-4CA0-8480-A0C8B458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40" w:hanging="7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phrma-docs.phrma.org/files/dmfile/Follow-the-Dollar-Report.pdf" TargetMode="External"/><Relationship Id="rId18" Type="http://schemas.openxmlformats.org/officeDocument/2006/relationships/hyperlink" Target="http://www.ncbi.nlm.nih.gov/pubmed/?term=Am%2BJ%2BManag%2BCare.%2B2016%2BMar%3B22(3)%3A188-97" TargetMode="External"/><Relationship Id="rId26" Type="http://schemas.openxmlformats.org/officeDocument/2006/relationships/hyperlink" Target="http://www.medpac.gov/docs/default-source/default-document-library/november-2017-transcriptsf1b311adfa9c665e80adff00009edf9c.pdf?sfvrsn=0"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phrma-docs.phrma.org/files/dmfile/Follow-the-Dollar-Report.pdf" TargetMode="External"/><Relationship Id="rId17" Type="http://schemas.openxmlformats.org/officeDocument/2006/relationships/hyperlink" Target="https://www.ncbi.nlm.nih.gov/pubmed/?term=J%2BClin%2BOncol.%2B2014%2BFeb%2B1%3B32(4)%3A306-118" TargetMode="External"/><Relationship Id="rId25" Type="http://schemas.openxmlformats.org/officeDocument/2006/relationships/hyperlink" Target="http://www.medpac.gov/docs/default-source/default-document-library/november-2017-transcriptsf1b311adfa9c665e80adff00009edf9c.pdf?sfvrsn=0" TargetMode="External"/><Relationship Id="rId2" Type="http://schemas.openxmlformats.org/officeDocument/2006/relationships/styles" Target="styles.xml"/><Relationship Id="rId16" Type="http://schemas.openxmlformats.org/officeDocument/2006/relationships/hyperlink" Target="https://www.novartis.com/sites/www.novartis.com/files/us-transparency-patient-access-report-2016.pdf" TargetMode="External"/><Relationship Id="rId20" Type="http://schemas.openxmlformats.org/officeDocument/2006/relationships/hyperlink" Target="http://www.ncbi.nlm.nih.gov/pmc/articles/PMC3934668/"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inkbrg.com/media/publication/863_Vandervelde_PhRMA-January-2017_WEB-FINAL.pdf" TargetMode="External"/><Relationship Id="rId24" Type="http://schemas.openxmlformats.org/officeDocument/2006/relationships/hyperlink" Target="http://www.rand.org/pubs/perspectives/PE264.html" TargetMode="External"/><Relationship Id="rId5" Type="http://schemas.openxmlformats.org/officeDocument/2006/relationships/footnotes" Target="footnotes.xml"/><Relationship Id="rId15" Type="http://schemas.openxmlformats.org/officeDocument/2006/relationships/hyperlink" Target="https://www.iqvia.com/-/media/iqvia/pdfs/institute-reports/estimate-of-medicare-part-d-costs-after-accounting-for-manufacturer-rebates.pdf?la=en&amp;amp;hash=7E7A1481237F5B1DC1547A629130EF2CB2E68652" TargetMode="External"/><Relationship Id="rId23" Type="http://schemas.openxmlformats.org/officeDocument/2006/relationships/hyperlink" Target="http://www.medpac.gov/docs/default-source/reports/june-2016-report-to-the-congress-medicare-and-the-health-care-delivery-system.pdf?sfvrsn=0" TargetMode="External"/><Relationship Id="rId28" Type="http://schemas.openxmlformats.org/officeDocument/2006/relationships/hyperlink" Target="https://accessiblemeds.org/sites/default/files/2017-11/AAM-Biosimilars-in-Coverage-Gap-10-05-2017.pdf" TargetMode="External"/><Relationship Id="rId10" Type="http://schemas.openxmlformats.org/officeDocument/2006/relationships/hyperlink" Target="https://www.thinkbrg.com/media/publication/863_Vandervelde_PhRMA-January-2017_WEB-FINAL.pdf" TargetMode="External"/><Relationship Id="rId19" Type="http://schemas.openxmlformats.org/officeDocument/2006/relationships/hyperlink" Target="https://www.ncbi.nlm.nih.gov/pubmed/2458605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qvia.com/-/media/iqvia/pdfs/institute-reports/estimate-of-medicare-part-d-costs-after-accounting-for-manufacturer-rebates.pdf?la=en&amp;amp;hash=7E7A1481237F5B1DC1547A629130EF2CB2E68652" TargetMode="External"/><Relationship Id="rId22" Type="http://schemas.openxmlformats.org/officeDocument/2006/relationships/hyperlink" Target="http://www.medpac.gov/docs/default-source/reports/june-2016-report-to-the-congress-medicare-and-the-health-care-delivery-system.pdf?sfvrsn=0" TargetMode="External"/><Relationship Id="rId27" Type="http://schemas.openxmlformats.org/officeDocument/2006/relationships/hyperlink" Target="https://accessiblemeds.org/sites/default/files/2017-11/AAM-Biosimilars-in-Coverage-Gap-10-05-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3026</Words>
  <Characters>18118</Characters>
  <Application>Microsoft Office Word</Application>
  <DocSecurity>0</DocSecurity>
  <Lines>322</Lines>
  <Paragraphs>61</Paragraphs>
  <ScaleCrop>false</ScaleCrop>
  <Company>CMS</Company>
  <LinksUpToDate>false</LinksUpToDate>
  <CharactersWithSpaces>21082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Lacey L. Withington</dc:creator>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