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CD2" w:rsidRDefault="00D52CD2">
      <w:pPr>
        <w:pStyle w:val="BodyText"/>
        <w:rPr>
          <w:rFonts w:ascii="Times New Roman"/>
          <w:sz w:val="20"/>
        </w:rPr>
      </w:pPr>
    </w:p>
    <w:p w:rsidR="00D52CD2" w:rsidRDefault="00D52CD2">
      <w:pPr>
        <w:pStyle w:val="BodyText"/>
        <w:rPr>
          <w:rFonts w:ascii="Times New Roman"/>
          <w:sz w:val="20"/>
        </w:rPr>
      </w:pPr>
    </w:p>
    <w:p w:rsidR="00D52CD2" w:rsidRDefault="00D52CD2">
      <w:pPr>
        <w:pStyle w:val="BodyText"/>
        <w:spacing w:before="1"/>
        <w:rPr>
          <w:rFonts w:ascii="Times New Roman"/>
          <w:sz w:val="18"/>
        </w:rPr>
      </w:pPr>
    </w:p>
    <w:p w:rsidR="00D52CD2" w:rsidRDefault="00464A41">
      <w:pPr>
        <w:spacing w:before="96"/>
        <w:ind w:left="1265"/>
        <w:rPr>
          <w:rFonts w:ascii="Arial"/>
          <w:sz w:val="16"/>
        </w:rPr>
      </w:pPr>
      <w:r>
        <w:pict>
          <v:group id="_x0000_s1027" style="position:absolute;left:0;text-align:left;margin-left:72.05pt;margin-top:-33.35pt;width:39.75pt;height:45.7pt;z-index:251658240;mso-position-horizontal-relative:page" coordorigin="1441,-667" coordsize="795,9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91" type="#_x0000_t75" style="position:absolute;left:1473;top:-637;width:398;height:238">
              <v:imagedata r:id="rId7" o:title=""/>
            </v:shape>
            <v:shape id="_x0000_s1190" type="#_x0000_t75" style="position:absolute;left:1473;top:-617;width:735;height:811">
              <v:imagedata r:id="rId8" o:title=""/>
            </v:shape>
            <v:shape id="_x0000_s1189" type="#_x0000_t75" style="position:absolute;left:1816;top:113;width:148;height:104">
              <v:imagedata r:id="rId9" o:title=""/>
            </v:shape>
            <v:shape id="_x0000_s1188" style="position:absolute;left:1494;top:-611;width:694;height:798" coordorigin="1494,-611" coordsize="694,798" path="m1840,-611r-10,6l1818,-597r-11,8l1797,-584r-13,6l1772,-572r-10,8l1749,-558r-16,6l1718,-546r-16,6l1687,-534r-16,6l1654,-522r-17,3l1620,-513r-16,4l1589,-505r-16,4l1558,-497r-16,4l1527,-491r-16,3l1496,-484r-2,156l1494,-46r17,7l1525,-33r15,8l1554,-17r15,6l1583,-3r15,7l1610,12r27,16l1664,46r25,18l1716,81r27,20l1768,123r27,21l1820,168r4,2l1828,174r2,4l1835,182r3,2l1840,186r3,l1868,162r25,-22l1917,119r27,-20l1969,79r28,-17l2021,44r25,-16l2062,18,2079,8r19,-9l2115,-11r16,-8l2150,-29r19,-8l2188,-46r,-438l2164,-488r-20,-5l2123,-497r-21,-6l2081,-507r-41,-12l2019,-524r-19,-8l1978,-540r-23,-10l1934,-558r-19,-10l1895,-578r-19,-11l1857,-599r-17,-12xe" fillcolor="#00006f" stroked="f">
              <v:path arrowok="t"/>
            </v:shape>
            <v:shape id="_x0000_s1187" type="#_x0000_t75" style="position:absolute;left:1504;top:-605;width:395;height:254">
              <v:imagedata r:id="rId10" o:title=""/>
            </v:shape>
            <v:shape id="_x0000_s1186" style="position:absolute;left:1506;top:-568;width:403;height:229" coordorigin="1506,-568" coordsize="403,229" path="m1901,-568r-2,l1506,-352r,12l1909,-562r,-2l1905,-564r,-2l1901,-566r,-2xe" fillcolor="#6f87c8" stroked="f">
              <v:path arrowok="t"/>
            </v:shape>
            <v:shape id="_x0000_s1185" style="position:absolute;left:1506;top:-562;width:416;height:233" coordorigin="1506,-562" coordsize="416,233" path="m1913,-562r-4,l1506,-340r,10l1922,-558r-5,l1917,-560r-4,l1913,-562xe" fillcolor="#758bca" stroked="f">
              <v:path arrowok="t"/>
            </v:shape>
            <v:shape id="_x0000_s1184" style="position:absolute;left:1506;top:-558;width:426;height:240" coordorigin="1506,-558" coordsize="426,240" path="m1922,-558r-416,228l1506,-318r426,-234l1930,-552r-2,-2l1926,-554r-2,-2l1922,-556r,-2xe" fillcolor="#7991cc" stroked="f">
              <v:path arrowok="t"/>
            </v:shape>
            <v:shape id="_x0000_s1183" style="position:absolute;left:1506;top:-552;width:438;height:247" coordorigin="1506,-552" coordsize="438,247" path="m1932,-552r-426,234l1506,-306r438,-240l1942,-548r-2,l1938,-550r-4,l1932,-552xe" fillcolor="#7e94cd" stroked="f">
              <v:path arrowok="t"/>
            </v:shape>
            <v:shape id="_x0000_s1182" style="position:absolute;left:1506;top:-546;width:449;height:253" coordorigin="1506,-546" coordsize="449,253" path="m1946,-546r-2,l1506,-306r,12l1955,-542r-2,l1951,-544r-2,l1946,-546xe" fillcolor="#8499ce" stroked="f">
              <v:path arrowok="t"/>
            </v:shape>
            <v:shape id="_x0000_s1181" style="position:absolute;left:1506;top:-542;width:461;height:260" coordorigin="1506,-542" coordsize="461,260" path="m1955,-542r-449,248l1506,-283r461,-253l1965,-536r,-2l1961,-538r-2,-2l1957,-540r-2,-2xe" fillcolor="#889dcf" stroked="f">
              <v:path arrowok="t"/>
            </v:shape>
            <v:shape id="_x0000_s1180" style="position:absolute;left:1506;top:-536;width:474;height:266" coordorigin="1506,-536" coordsize="474,266" path="m1971,-536r-4,l1506,-283r,12l1980,-532r-2,l1975,-534r-4,l1971,-536xe" fillcolor="#8ea0d1" stroked="f">
              <v:path arrowok="t"/>
            </v:shape>
            <v:shape id="_x0000_s1179" style="position:absolute;left:1506;top:-532;width:486;height:272" coordorigin="1506,-532" coordsize="486,272" path="m1980,-532r-474,261l1506,-261r486,-265l1990,-528r-2,l1986,-530r-4,l1980,-532xe" fillcolor="#92a4d2" stroked="f">
              <v:path arrowok="t"/>
            </v:shape>
            <v:shape id="_x0000_s1178" style="position:absolute;left:1506;top:-526;width:498;height:278" coordorigin="1506,-526" coordsize="498,278" path="m1997,-526r-5,l1506,-261r,12l2004,-522r-2,l2002,-524r-4,l1997,-526xe" fillcolor="#99a9d2" stroked="f">
              <v:path arrowok="t"/>
            </v:shape>
            <v:shape id="_x0000_s1177" style="position:absolute;left:1506;top:-522;width:513;height:286" coordorigin="1506,-522" coordsize="513,286" path="m2009,-522r-5,l1506,-249r,12l2019,-519r-2,l2015,-521r-4,l2009,-522xe" fillcolor="#9eacd3" stroked="f">
              <v:path arrowok="t"/>
            </v:shape>
            <v:shape id="_x0000_s1176" style="position:absolute;left:1506;top:-519;width:525;height:294" coordorigin="1506,-519" coordsize="525,294" path="m2019,-519r-513,282l1506,-226r525,-289l2028,-515r,-2l2021,-517r-2,-2xe" fillcolor="#a2b1d4" stroked="f">
              <v:path arrowok="t"/>
            </v:shape>
            <v:shape id="_x0000_s1175" style="position:absolute;left:1506;top:-515;width:540;height:302" coordorigin="1506,-515" coordsize="540,302" path="m2033,-515r-2,l1506,-226r,12l2046,-511r-4,l2040,-513r-4,l2033,-515xe" fillcolor="#a8b6d5" stroked="f">
              <v:path arrowok="t"/>
            </v:shape>
            <v:shape id="_x0000_s1174" style="position:absolute;left:1506;top:-511;width:553;height:310" coordorigin="1506,-511" coordsize="553,310" path="m2046,-511r-540,297l1506,-202r553,-305l2057,-507r-2,-2l2048,-509r-2,-2xe" fillcolor="#acb9d7" stroked="f">
              <v:path arrowok="t"/>
            </v:shape>
            <v:shape id="_x0000_s1173" style="position:absolute;left:1506;top:-507;width:567;height:315" coordorigin="1506,-507" coordsize="567,315" path="m2060,-507r-1,l1506,-202r,10l2073,-503r-4,l2069,-505r-7,l2060,-507xe" fillcolor="#b1bdd9" stroked="f">
              <v:path arrowok="t"/>
            </v:shape>
            <v:shape id="_x0000_s1172" style="position:absolute;left:1506;top:-503;width:582;height:323" coordorigin="1506,-503" coordsize="582,323" path="m2077,-503r-4,l1506,-192r,12l2088,-499r-2,-2l2079,-501r-2,-2xe" fillcolor="#b7c2da" stroked="f">
              <v:path arrowok="t"/>
            </v:shape>
            <v:shape id="_x0000_s1171" style="position:absolute;left:1506;top:-499;width:596;height:331" coordorigin="1506,-499" coordsize="596,331" path="m2094,-499r-6,l1506,-180r,12l2102,-497r-6,l2094,-499xe" fillcolor="#bbc5db" stroked="f">
              <v:path arrowok="t"/>
            </v:shape>
            <v:shape id="_x0000_s1170" style="position:absolute;left:1506;top:-497;width:611;height:341" coordorigin="1506,-497" coordsize="611,341" path="m2102,-497r-596,329l1506,-157r611,-336l2113,-495r-9,l2102,-497xe" fillcolor="#c1c9dc" stroked="f">
              <v:path arrowok="t"/>
            </v:shape>
            <v:shape id="_x0000_s1169" style="position:absolute;left:1506;top:-493;width:625;height:349" coordorigin="1506,-493" coordsize="625,349" path="m2117,-493r-611,336l1506,-145r625,-344l2117,-493xe" fillcolor="#c6cfde" stroked="f">
              <v:path arrowok="t"/>
            </v:shape>
            <v:shape id="_x0000_s1168" style="position:absolute;left:1506;top:-489;width:640;height:357" coordorigin="1506,-489" coordsize="640,357" path="m2131,-489r-625,344l1506,-133r640,-353l2131,-489xe" fillcolor="#c4cdde" stroked="f">
              <v:path arrowok="t"/>
            </v:shape>
            <v:shape id="_x0000_s1167" style="position:absolute;left:1506;top:-486;width:654;height:363" coordorigin="1506,-486" coordsize="654,363" path="m2146,-486r-640,353l1506,-123r654,-359l2146,-486xe" fillcolor="#c1c9dd" stroked="f">
              <v:path arrowok="t"/>
            </v:shape>
            <v:shape id="_x0000_s1166" style="position:absolute;left:1506;top:-482;width:669;height:371" coordorigin="1506,-482" coordsize="669,371" path="m2160,-482r-654,359l1506,-111r669,-369l2160,-482xe" fillcolor="#bdc7dc" stroked="f">
              <v:path arrowok="t"/>
            </v:shape>
            <v:shape id="_x0000_s1165" style="position:absolute;left:1506;top:-480;width:671;height:381" coordorigin="1506,-480" coordsize="671,381" path="m2177,-480r-2,l1506,-111r,12l2177,-468r,-12xe" fillcolor="#b9c5db" stroked="f">
              <v:path arrowok="t"/>
            </v:shape>
            <v:shape id="_x0000_s1164" style="position:absolute;left:1506;top:-468;width:671;height:380" coordorigin="1506,-468" coordsize="671,380" path="m2177,-468l1506,-99r,11l2177,-456r,-12xe" fillcolor="#b7c2db" stroked="f">
              <v:path arrowok="t"/>
            </v:shape>
            <v:shape id="_x0000_s1163" style="position:absolute;left:1506;top:-456;width:671;height:381" coordorigin="1506,-456" coordsize="671,381" path="m2177,-456l1506,-88r,12l2177,-446r,-10xe" fillcolor="#b4c0da" stroked="f">
              <v:path arrowok="t"/>
            </v:shape>
            <v:shape id="_x0000_s1162" style="position:absolute;left:1506;top:-446;width:671;height:383" coordorigin="1506,-446" coordsize="671,383" path="m2177,-446l1506,-76r,12l2177,-434r,-12xe" fillcolor="#b0bcd9" stroked="f">
              <v:path arrowok="t"/>
            </v:shape>
            <v:shape id="_x0000_s1161" style="position:absolute;left:1506;top:-434;width:671;height:380" coordorigin="1506,-434" coordsize="671,380" path="m2177,-434l1506,-64r,10l2177,-423r,-11xe" fillcolor="#acb9d7" stroked="f">
              <v:path arrowok="t"/>
            </v:shape>
            <v:shape id="_x0000_s1160" style="position:absolute;left:1506;top:-423;width:671;height:375" coordorigin="1506,-423" coordsize="671,375" path="m2177,-423l1506,-54r3,2l1511,-52r2,2l1515,-50r2,2l2177,-411r,-12xe" fillcolor="#aab8d7" stroked="f">
              <v:path arrowok="t"/>
            </v:shape>
            <v:shape id="_x0000_s1159" style="position:absolute;left:1517;top:-411;width:660;height:369" coordorigin="1517,-411" coordsize="660,369" path="m2177,-411l1517,-48r2,l1521,-46r2,l1525,-45r2,l1529,-43r648,-356l2177,-411xe" fillcolor="#a7b5d6" stroked="f">
              <v:path arrowok="t"/>
            </v:shape>
            <v:shape id="_x0000_s1158" style="position:absolute;left:1529;top:-399;width:648;height:361" coordorigin="1529,-399" coordsize="648,361" path="m2177,-399l1529,-43r2,l1533,-41r2,l1538,-39r2,l2177,-387r,-12xe" fillcolor="#a3b1d5" stroked="f">
              <v:path arrowok="t"/>
            </v:shape>
            <v:shape id="_x0000_s1157" style="position:absolute;left:1540;top:-387;width:638;height:355" coordorigin="1540,-387" coordsize="638,355" path="m2177,-387l1540,-39r4,4l1546,-35r2,2l1550,-33r627,-342l2177,-387xe" fillcolor="#9fafd4" stroked="f">
              <v:path arrowok="t"/>
            </v:shape>
            <v:shape id="_x0000_s1156" style="position:absolute;left:1550;top:-375;width:627;height:349" coordorigin="1550,-375" coordsize="627,349" path="m2177,-375l1550,-33r2,2l1554,-31r2,2l1558,-29r2,2l1562,-27r615,-338l2177,-375xe" fillcolor="#9dacd4" stroked="f">
              <v:path arrowok="t"/>
            </v:shape>
            <v:shape id="_x0000_s1155" style="position:absolute;left:1562;top:-365;width:615;height:345" coordorigin="1562,-365" coordsize="615,345" path="m2177,-365l1562,-27r2,2l1567,-25r,2l1569,-23r2,2l1573,-21r604,-333l2177,-365xe" fillcolor="#9aabd3" stroked="f">
              <v:path arrowok="t"/>
            </v:shape>
            <v:shape id="_x0000_s1154" style="position:absolute;left:1573;top:-354;width:605;height:339" coordorigin="1573,-354" coordsize="605,339" path="m2177,-354l1573,-21r2,2l1577,-19r2,2l1581,-17r,2l1583,-15r594,-327l2177,-354xe" fillcolor="#96a8d2" stroked="f">
              <v:path arrowok="t"/>
            </v:shape>
            <v:shape id="_x0000_s1153" style="position:absolute;left:1583;top:-342;width:594;height:333" coordorigin="1583,-342" coordsize="594,333" path="m2177,-342l1583,-15r2,2l1587,-13r2,2l1591,-11r3,2l2177,-330r,-12xe" fillcolor="#92a4d2" stroked="f">
              <v:path arrowok="t"/>
            </v:shape>
            <v:shape id="_x0000_s1152" style="position:absolute;left:1594;top:-330;width:584;height:327" coordorigin="1594,-330" coordsize="584,327" path="m2177,-330l1594,-9r2,2l1598,-7r2,2l1602,-5r2,2l2177,-318r,-12xe" fillcolor="#90a2d2" stroked="f">
              <v:path arrowok="t"/>
            </v:shape>
            <v:shape id="_x0000_s1151" style="position:absolute;left:1604;top:-318;width:573;height:321" coordorigin="1604,-318" coordsize="573,321" path="m2177,-318l1604,-3r2,2l1608,-1r2,2l1613,1r2,1l2177,-306r,-12xe" fillcolor="#8d9fd1" stroked="f">
              <v:path arrowok="t"/>
            </v:shape>
            <v:shape id="_x0000_s1150" style="position:absolute;left:1615;top:-306;width:563;height:315" coordorigin="1615,-306" coordsize="563,315" path="m2177,-306l1615,2r1,2l1618,4r5,4l2177,-296r,-10xe" fillcolor="#899dd0" stroked="f">
              <v:path arrowok="t"/>
            </v:shape>
            <v:shape id="_x0000_s1149" style="position:absolute;left:1623;top:-296;width:555;height:311" coordorigin="1623,-296" coordsize="555,311" path="m2177,-296l1623,8r2,l1627,10r2,l1629,12r2,l1631,14r2,l2177,-285r,-11xe" fillcolor="#859bcf" stroked="f">
              <v:path arrowok="t"/>
            </v:shape>
            <v:shape id="_x0000_s1148" style="position:absolute;left:1633;top:-285;width:544;height:306" coordorigin="1633,-285" coordsize="544,306" path="m2177,-285l1633,14r2,l1635,16r2,l1637,18r5,l1642,20r2,l2177,-273r,-12xe" fillcolor="#8397cf" stroked="f">
              <v:path arrowok="t"/>
            </v:shape>
            <v:shape id="_x0000_s1147" style="position:absolute;left:1644;top:-273;width:534;height:300" coordorigin="1644,-273" coordsize="534,300" path="m2177,-273l1644,20r,2l1646,22r1,2l1649,24r3,2l2177,-261r,-12xe" fillcolor="#8094ce" stroked="f">
              <v:path arrowok="t"/>
            </v:shape>
            <v:shape id="_x0000_s1146" style="position:absolute;left:1652;top:-261;width:526;height:294" coordorigin="1652,-261" coordsize="526,294" path="m2177,-261l1652,26r2,2l1656,28r4,4l1662,32r515,-281l2177,-261xe" fillcolor="#7b92cd" stroked="f">
              <v:path arrowok="t"/>
            </v:shape>
            <v:shape id="_x0000_s1145" style="position:absolute;left:1662;top:-249;width:515;height:290" coordorigin="1662,-249" coordsize="515,290" path="m2177,-249l1662,32r,2l1664,34r2,2l1668,36r,2l1671,38r,2l2177,-237r,-12xe" fillcolor="#7990cc" stroked="f">
              <v:path arrowok="t"/>
            </v:shape>
            <v:shape id="_x0000_s1144" style="position:absolute;left:1671;top:-237;width:507;height:284" coordorigin="1671,-237" coordsize="507,284" path="m2177,-237l1671,40r2,l1675,42r2,l1677,44r1,l1678,46r3,l2177,-227r,-10xe" fillcolor="#768ecc" stroked="f">
              <v:path arrowok="t"/>
            </v:shape>
            <v:shape id="_x0000_s1143" style="position:absolute;left:1681;top:-227;width:497;height:280" coordorigin="1681,-227" coordsize="497,280" path="m2177,-227l1681,46r2,2l1685,48r,2l1687,50r2,2l2177,-216r,-11xe" fillcolor="#738aca" stroked="f">
              <v:path arrowok="t"/>
            </v:shape>
            <v:shape id="_x0000_s1142" style="position:absolute;left:1689;top:-216;width:488;height:276" coordorigin="1689,-216" coordsize="488,276" path="m2177,-216l1689,52r2,2l1693,54r7,6l2177,-204r,-12xe" fillcolor="#6e87c9" stroked="f">
              <v:path arrowok="t"/>
            </v:shape>
            <v:shape id="_x0000_s1141" style="position:absolute;left:1700;top:-204;width:478;height:270" coordorigin="1700,-204" coordsize="478,270" path="m2177,-204l1700,60r2,l1702,62r2,l1704,64r4,l1708,66r469,-258l2177,-204xe" fillcolor="#6c85c8" stroked="f">
              <v:path arrowok="t"/>
            </v:shape>
            <v:shape id="_x0000_s1140" style="position:absolute;left:1708;top:-192;width:469;height:264" coordorigin="1708,-192" coordsize="469,264" path="m2177,-192l1708,66r2,l1710,67r2,l1716,71r461,-251l2177,-192xe" fillcolor="#6983c8" stroked="f">
              <v:path arrowok="t"/>
            </v:shape>
            <v:shape id="_x0000_s1139" style="position:absolute;left:1716;top:-180;width:462;height:260" coordorigin="1716,-180" coordsize="462,260" path="m2177,-180l1716,71r2,l1718,73r2,l1720,75r2,l1722,77r2,l1726,79r451,-247l2177,-180xe" fillcolor="#6680c7" stroked="f">
              <v:path arrowok="t"/>
            </v:shape>
            <v:shape id="_x0000_s1138" style="position:absolute;left:1726;top:-168;width:451;height:254" coordorigin="1726,-168" coordsize="451,254" path="m2177,-168l1726,79r3,l1729,81r2,l1731,83r2,l1735,85r442,-244l2177,-168xe" fillcolor="#617dc6" stroked="f">
              <v:path arrowok="t"/>
            </v:shape>
            <v:shape id="_x0000_s1137" style="position:absolute;left:1735;top:-159;width:443;height:251" coordorigin="1735,-159" coordsize="443,251" path="m2177,-159l1735,85r2,l1737,87r2,l1739,89r2,l1743,91r434,-238l2177,-159xe" fillcolor="#5f7ac5" stroked="f">
              <v:path arrowok="t"/>
            </v:shape>
            <v:shape id="_x0000_s1136" style="position:absolute;left:1743;top:-147;width:435;height:247" coordorigin="1743,-147" coordsize="435,247" path="m2177,-147l1743,91r4,4l1749,95r,2l1751,97r,2l2177,-135r,-12xe" fillcolor="#5c78c5" stroked="f">
              <v:path arrowok="t"/>
            </v:shape>
            <v:shape id="_x0000_s1135" style="position:absolute;left:1751;top:-135;width:426;height:240" coordorigin="1751,-135" coordsize="426,240" path="m2177,-135l1751,99r2,l1753,101r2,l1758,103r2,l1760,105r2,l2177,-123r,-12xe" fillcolor="#5876c5" stroked="f">
              <v:path arrowok="t"/>
            </v:shape>
            <v:shape id="_x0000_s1134" style="position:absolute;left:1762;top:-123;width:416;height:237" coordorigin="1762,-123" coordsize="416,237" path="m2177,-123l1762,105r,2l1764,107r6,6l2177,-111r,-12xe" fillcolor="#5473c4" stroked="f">
              <v:path arrowok="t"/>
            </v:shape>
            <v:shape id="_x0000_s1133" style="position:absolute;left:1770;top:-111;width:407;height:231" coordorigin="1770,-111" coordsize="407,231" path="m2177,-111l1770,113r2,l1772,115r2,l1774,117r2,l1776,119r2,l2177,-99r,-12xe" fillcolor="#526fc3" stroked="f">
              <v:path arrowok="t"/>
            </v:shape>
            <v:shape id="_x0000_s1132" type="#_x0000_t75" style="position:absolute;left:1778;top:-99;width:399;height:275">
              <v:imagedata r:id="rId11" o:title=""/>
            </v:shape>
            <v:shape id="_x0000_s1131" type="#_x0000_t75" style="position:absolute;left:1555;top:-379;width:572;height:172">
              <v:imagedata r:id="rId12" o:title=""/>
            </v:shape>
            <v:shape id="_x0000_s1130" type="#_x0000_t75" style="position:absolute;left:1441;top:-667;width:792;height:644">
              <v:imagedata r:id="rId13" o:title=""/>
            </v:shape>
            <v:shape id="_x0000_s1129" style="position:absolute;left:1444;top:-522;width:29;height:500" coordorigin="1444,-522" coordsize="29,500" path="m1473,-499r,464l1444,-23r,-499l1473,-499e" filled="f" strokecolor="white" strokeweight=".00931mm">
              <v:path arrowok="t"/>
            </v:shape>
            <v:shape id="_x0000_s1128" style="position:absolute;left:2220;top:-27;width:13;height:6" coordorigin="2220,-27" coordsize="13,6" path="m2233,-27r-13,l2233,-21r,-6xe" fillcolor="#00386b" stroked="f">
              <v:path arrowok="t"/>
            </v:shape>
            <v:shape id="_x0000_s1127" style="position:absolute;left:2206;top:-31;width:27;height:4" coordorigin="2206,-31" coordsize="27,4" path="m2233,-31r-27,l2220,-27r13,l2233,-31xe" fillcolor="#043a6c" stroked="f">
              <v:path arrowok="t"/>
            </v:shape>
            <v:line id="_x0000_s1126" style="position:absolute" from="2206,-34" to="2233,-34" strokecolor="#093e6f" strokeweight=".09692mm"/>
            <v:line id="_x0000_s1125" style="position:absolute" from="2206,-39" to="2233,-39" strokecolor="#0e4373" strokeweight=".07047mm"/>
            <v:line id="_x0000_s1124" style="position:absolute" from="2206,-44" to="2233,-44" strokecolor="#134676" strokeweight=".1057mm"/>
            <v:line id="_x0000_s1123" style="position:absolute" from="2206,-48" to="2233,-48" strokecolor="#184a79" strokeweight=".07047mm"/>
            <v:line id="_x0000_s1122" style="position:absolute" from="2206,-53" to="2233,-53" strokecolor="#1e4f7b" strokeweight=".1057mm"/>
            <v:line id="_x0000_s1121" style="position:absolute" from="2206,-58" to="2233,-58" strokecolor="#22527e" strokeweight=".07047mm"/>
            <v:line id="_x0000_s1120" style="position:absolute" from="2206,-63" to="2233,-63" strokecolor="#285682" strokeweight=".09692mm"/>
            <v:line id="_x0000_s1119" style="position:absolute" from="2206,-69" to="2233,-69" strokecolor="#2c5b85" strokeweight=".1057mm"/>
            <v:line id="_x0000_s1118" style="position:absolute" from="2206,-74" to="2233,-74" strokecolor="#315f87" strokeweight=".07047mm"/>
            <v:line id="_x0000_s1117" style="position:absolute" from="2206,-79" to="2233,-79" strokecolor="#376189" strokeweight=".1057mm"/>
            <v:line id="_x0000_s1116" style="position:absolute" from="2206,-84" to="2233,-84" strokecolor="#3b668d" strokeweight=".07047mm"/>
            <v:line id="_x0000_s1115" style="position:absolute" from="2206,-89" to="2233,-89" strokecolor="#416a90" strokeweight=".1057mm"/>
            <v:line id="_x0000_s1114" style="position:absolute" from="2206,-94" to="2233,-94" strokecolor="#466d92" strokeweight=".07047mm"/>
            <v:line id="_x0000_s1113" style="position:absolute" from="2206,-99" to="2233,-99" strokecolor="#4a7195" strokeweight=".09692mm"/>
            <v:line id="_x0000_s1112" style="position:absolute" from="2206,-103" to="2233,-103" strokecolor="#507699" strokeweight=".07047mm"/>
            <v:line id="_x0000_s1111" style="position:absolute" from="2206,-108" to="2233,-108" strokecolor="#54799c" strokeweight=".1057mm"/>
            <v:line id="_x0000_s1110" style="position:absolute" from="2206,-113" to="2233,-113" strokecolor="#5a7d9f" strokeweight=".07047mm"/>
            <v:line id="_x0000_s1109" style="position:absolute" from="2206,-118" to="2233,-118" strokecolor="#5f82a1" strokeweight=".1057mm"/>
            <v:line id="_x0000_s1108" style="position:absolute" from="2206,-123" to="2233,-123" strokecolor="#6385a4" strokeweight=".07047mm"/>
            <v:line id="_x0000_s1107" style="position:absolute" from="2206,-128" to="2233,-128" strokecolor="#6988a7" strokeweight=".09692mm"/>
            <v:line id="_x0000_s1106" style="position:absolute" from="2206,-133" to="2233,-133" strokecolor="#6d8daa" strokeweight=".07047mm"/>
            <v:line id="_x0000_s1105" style="position:absolute" from="2206,-138" to="2233,-138" strokecolor="#7391ac" strokeweight=".1057mm"/>
            <v:line id="_x0000_s1104" style="position:absolute" from="2206,-143" to="2233,-143" strokecolor="#7894af" strokeweight=".07047mm"/>
            <v:line id="_x0000_s1103" style="position:absolute" from="2206,-148" to="2233,-148" strokecolor="#7c99b3" strokeweight=".1057mm"/>
            <v:line id="_x0000_s1102" style="position:absolute" from="2206,-154" to="2233,-154" strokecolor="#829db6" strokeweight=".1057mm"/>
            <v:line id="_x0000_s1101" style="position:absolute" from="2206,-159" to="2233,-159" strokecolor="#86a0b8" strokeweight=".07047mm"/>
            <v:line id="_x0000_s1100" style="position:absolute" from="2206,-164" to="2233,-164" strokecolor="#8ba4bb" strokeweight=".09692mm"/>
            <v:line id="_x0000_s1099" style="position:absolute" from="2206,-168" to="2233,-168" strokecolor="#91a9be" strokeweight=".07047mm"/>
            <v:line id="_x0000_s1098" style="position:absolute" from="2206,-173" to="2233,-173" strokecolor="#95acc2" strokeweight=".1057mm"/>
            <v:line id="_x0000_s1097" style="position:absolute" from="2206,-178" to="2233,-178" strokecolor="#9bafc4" strokeweight=".07047mm"/>
            <v:line id="_x0000_s1096" style="position:absolute" from="2206,-183" to="2233,-183" strokecolor="#9fb4c6" strokeweight=".1057mm"/>
            <v:line id="_x0000_s1095" style="position:absolute" from="2206,-188" to="2233,-188" strokecolor="#a4b8c9" strokeweight=".07047mm"/>
            <v:line id="_x0000_s1094" style="position:absolute" from="2206,-193" to="2233,-193" strokecolor="#aabbcd" strokeweight=".09692mm"/>
            <v:line id="_x0000_s1093" style="position:absolute" from="2206,-198" to="2233,-198" strokecolor="#aec0d0" strokeweight=".07047mm"/>
            <v:line id="_x0000_s1092" style="position:absolute" from="2206,-203" to="2233,-203" strokecolor="#b4c4d2" strokeweight=".1057mm"/>
            <v:line id="_x0000_s1091" style="position:absolute" from="2206,-208" to="2233,-208" strokecolor="#b8c7d5" strokeweight=".07047mm"/>
            <v:line id="_x0000_s1090" style="position:absolute" from="2206,-213" to="2233,-213" strokecolor="#bdccd9" strokeweight=".1057mm"/>
            <v:line id="_x0000_s1089" style="position:absolute" from="2206,-218" to="2233,-218" strokecolor="#c3d0dc" strokeweight=".07047mm"/>
            <v:line id="_x0000_s1088" style="position:absolute" from="2206,-223" to="2233,-223" strokecolor="#c7d3df" strokeweight=".1057mm"/>
            <v:line id="_x0000_s1087" style="position:absolute" from="2206,-228" to="2233,-228" strokecolor="#cdd6e0" strokeweight=".06167mm"/>
            <v:line id="_x0000_s1086" style="position:absolute" from="2206,-232" to="2233,-232" strokecolor="#d2dbe3" strokeweight=".1057mm"/>
            <v:line id="_x0000_s1085" style="position:absolute" from="2206,-238" to="2233,-238" strokecolor="#d6dfe7" strokeweight=".1057mm"/>
            <v:line id="_x0000_s1084" style="position:absolute" from="2206,-243" to="2233,-243" strokecolor="#dce2ea" strokeweight=".07047mm"/>
            <v:line id="_x0000_s1083" style="position:absolute" from="2206,-248" to="2233,-248" strokecolor="#e0e7ec" strokeweight=".1057mm"/>
            <v:line id="_x0000_s1082" style="position:absolute" from="2206,-253" to="2233,-253" strokecolor="#e6ebef" strokeweight=".07047mm"/>
            <v:line id="_x0000_s1081" style="position:absolute" from="2206,-258" to="2233,-258" strokecolor="#ebeef3" strokeweight=".09692mm"/>
            <v:line id="_x0000_s1080" style="position:absolute" from="2206,-263" to="2233,-263" strokecolor="#eff3f6" strokeweight=".07047mm"/>
            <v:line id="_x0000_s1079" style="position:absolute" from="2206,-268" to="2233,-268" strokecolor="#f5f7f8" strokeweight=".1057mm"/>
            <v:line id="_x0000_s1078" style="position:absolute" from="2206,-273" to="2233,-273" strokecolor="#f9fafb" strokeweight=".07047mm"/>
            <v:line id="_x0000_s1077" style="position:absolute" from="2206,-283" to="2233,-283" strokecolor="#f9fafb" strokeweight=".07047mm"/>
            <v:line id="_x0000_s1076" style="position:absolute" from="2206,-288" to="2233,-288" strokecolor="#f5f7f8" strokeweight=".1057mm"/>
            <v:line id="_x0000_s1075" style="position:absolute" from="2206,-292" to="2233,-292" strokecolor="#eff3f6" strokeweight=".06167mm"/>
            <v:line id="_x0000_s1074" style="position:absolute" from="2206,-297" to="2233,-297" strokecolor="#ebeef3" strokeweight=".1057mm"/>
            <v:line id="_x0000_s1073" style="position:absolute" from="2206,-302" to="2233,-302" strokecolor="#e4ebef" strokeweight=".07047mm"/>
            <v:line id="_x0000_s1072" style="position:absolute" from="2206,-307" to="2233,-307" strokecolor="#dfe7ec" strokeweight=".1057mm"/>
            <v:line id="_x0000_s1071" style="position:absolute" from="2206,-312" to="2233,-312" strokecolor="#dbe2ea" strokeweight=".07047mm"/>
            <v:line id="_x0000_s1070" style="position:absolute" from="2206,-317" to="2233,-317" strokecolor="#d5dfe7" strokeweight=".1057mm"/>
            <v:line id="_x0000_s1069" style="position:absolute" from="2206,-322" to="2233,-322" strokecolor="#d1dbe3" strokeweight=".07047mm"/>
            <v:line id="_x0000_s1068" style="position:absolute" from="2206,-327" to="2233,-327" strokecolor="#cad6e0" strokeweight=".09692mm"/>
            <v:line id="_x0000_s1067" style="position:absolute" from="2206,-333" to="2233,-333" strokecolor="#c5d2de" strokeweight=".1057mm"/>
            <v:line id="_x0000_s1066" style="position:absolute" from="2206,-338" to="2233,-338" strokecolor="#c1cfdb" strokeweight=".07047mm"/>
            <v:line id="_x0000_s1065" style="position:absolute" from="2206,-343" to="2233,-343" strokecolor="#bbcad7" strokeweight=".1057mm"/>
            <v:line id="_x0000_s1064" style="position:absolute" from="2206,-348" to="2233,-348" strokecolor="#b7c6d4" strokeweight=".07047mm"/>
            <v:line id="_x0000_s1063" style="position:absolute" from="2206,-353" to="2233,-353" strokecolor="#b0c3d2" strokeweight=".1057mm"/>
            <v:line id="_x0000_s1062" style="position:absolute" from="2206,-357" to="2233,-357" strokecolor="#acbecf" strokeweight=".06167mm"/>
            <v:line id="_x0000_s1061" style="position:absolute" from="2206,-362" to="2233,-362" strokecolor="#a7b9cc" strokeweight=".1057mm"/>
            <v:line id="_x0000_s1060" style="position:absolute" from="2206,-367" to="2233,-367" strokecolor="#a1b6c8" strokeweight=".07047mm"/>
            <v:line id="_x0000_s1059" style="position:absolute" from="2206,-372" to="2233,-372" strokecolor="#9db1c5" strokeweight=".1057mm"/>
            <v:line id="_x0000_s1058" style="position:absolute" from="2206,-377" to="2233,-377" strokecolor="#96adc3" strokeweight=".07047mm"/>
            <v:line id="_x0000_s1057" style="position:absolute" from="2206,-382" to="2233,-382" strokecolor="#92aac0" strokeweight=".1057mm"/>
            <v:line id="_x0000_s1056" style="position:absolute" from="2206,-387" to="2233,-387" strokecolor="#8da6bc" strokeweight=".07047mm"/>
            <v:line id="_x0000_s1055" style="position:absolute" from="2206,-392" to="2233,-392" strokecolor="#87a1b9" strokeweight=".09692mm"/>
            <v:line id="_x0000_s1054" style="position:absolute" from="2206,-397" to="2233,-397" strokecolor="#839eb7" strokeweight=".07047mm"/>
            <v:line id="_x0000_s1053" style="position:absolute" from="2206,-402" to="2233,-402" strokecolor="#7c9ab4" strokeweight=".1057mm"/>
            <v:line id="_x0000_s1052" style="position:absolute" from="2206,-407" to="2233,-407" strokecolor="#7895b0" strokeweight=".07047mm"/>
            <v:line id="_x0000_s1051" style="position:absolute" from="2206,-412" to="2233,-412" strokecolor="#7392ad" strokeweight=".1057mm"/>
            <v:line id="_x0000_s1050" style="position:absolute" from="2206,-418" to="2233,-418" strokecolor="#6d8eab" strokeweight=".1057mm"/>
            <v:line id="_x0000_s1049" style="position:absolute" from="2206,-422" to="2233,-422" strokecolor="#6989a8" strokeweight=".06167mm"/>
            <v:line id="_x0000_s1048" style="position:absolute" from="2206,-427" to="2233,-427" strokecolor="#6285a4" strokeweight=".1057mm"/>
            <v:line id="_x0000_s1047" style="position:absolute" from="2206,-432" to="2233,-432" strokecolor="#5e82a1" strokeweight=".07047mm"/>
            <v:line id="_x0000_s1046" style="position:absolute" from="2206,-437" to="2233,-437" strokecolor="#587d9f" strokeweight=".1057mm"/>
            <v:line id="_x0000_s1045" style="position:absolute" from="2206,-442" to="2233,-442" strokecolor="#53799c" strokeweight=".07047mm"/>
            <v:line id="_x0000_s1044" style="position:absolute" from="2206,-447" to="2233,-447" strokecolor="#4f7599" strokeweight=".1057mm"/>
            <v:line id="_x0000_s1043" style="position:absolute" from="2206,-452" to="2233,-452" strokecolor="#487095" strokeweight=".07047mm"/>
            <v:line id="_x0000_s1042" style="position:absolute" from="2206,-457" to="2233,-457" strokecolor="#446c92" strokeweight=".09692mm"/>
            <v:line id="_x0000_s1041" style="position:absolute" from="2206,-462" to="2233,-462" strokecolor="#3e6990" strokeweight=".07047mm"/>
            <v:line id="_x0000_s1040" style="position:absolute" from="2206,-467" to="2233,-467" strokecolor="#39648d" strokeweight=".1057mm"/>
            <v:line id="_x0000_s1039" style="position:absolute" from="2206,-472" to="2233,-472" strokecolor="#356089" strokeweight=".07047mm"/>
            <v:line id="_x0000_s1038" style="position:absolute" from="2206,-477" to="2233,-477" strokecolor="#2e5d86" strokeweight=".1057mm"/>
            <v:line id="_x0000_s1037" style="position:absolute" from="2206,-482" to="2233,-482" strokecolor="#2a5884" strokeweight=".07047mm"/>
            <v:line id="_x0000_s1036" style="position:absolute" from="2206,-486" to="2233,-486" strokecolor="#245481" strokeweight=".09692mm"/>
            <v:line id="_x0000_s1035" style="position:absolute" from="2206,-491" to="2233,-491" strokecolor="#1f517d" strokeweight=".07047mm"/>
            <v:line id="_x0000_s1034" style="position:absolute" from="2206,-496" to="2233,-496" strokecolor="#1b4d7a" strokeweight=".1057mm"/>
            <v:shape id="_x0000_s1033" style="position:absolute;left:2206;top:-505;width:27;height:6" coordorigin="2206,-505" coordsize="27,6" path="m2233,-505r-23,l2206,-501r,2l2233,-499r,-6xe" fillcolor="#154878" stroked="f">
              <v:path arrowok="t"/>
            </v:shape>
            <v:shape id="_x0000_s1032" style="position:absolute;left:2210;top:-509;width:23;height:4" coordorigin="2210,-509" coordsize="23,4" path="m2233,-509r-14,l2210,-505r23,l2233,-509xe" fillcolor="#0f4575" stroked="f">
              <v:path arrowok="t"/>
            </v:shape>
            <v:shape id="_x0000_s1031" style="position:absolute;left:2219;top:-515;width:15;height:6" coordorigin="2219,-515" coordsize="15,6" path="m2233,-515r-9,l2219,-509r14,l2233,-515xe" fillcolor="#0a4171" stroked="f">
              <v:path arrowok="t"/>
            </v:shape>
            <v:shape id="_x0000_s1030" style="position:absolute;left:2224;top:-519;width:9;height:4" coordorigin="2224,-519" coordsize="9,4" path="m2233,-519r-9,4l2233,-515r,-4xe" fillcolor="#00386b" stroked="f">
              <v:path arrowok="t"/>
            </v:shape>
            <v:shape id="_x0000_s1029" style="position:absolute;left:2206;top:-519;width:27;height:498" coordorigin="2206,-519" coordsize="27,498" path="m2206,-501r,468l2233,-21r,-498l2206,-501e" filled="f" strokecolor="white" strokeweight=".00931mm">
              <v:path arrowok="t"/>
            </v:shape>
            <v:shape id="_x0000_s1028" type="#_x0000_t75" style="position:absolute;left:1446;top:-35;width:785;height:282">
              <v:imagedata r:id="rId14" o:title=""/>
            </v:shape>
            <w10:wrap anchorx="page"/>
          </v:group>
        </w:pict>
      </w:r>
      <w:r>
        <w:rPr>
          <w:rFonts w:ascii="Arial"/>
          <w:sz w:val="16"/>
        </w:rPr>
        <w:t>101 Jim Wright Freeway South, Suite 200, Fort Worth, TX 76108-2252, Phone: (817) 246-6760</w:t>
      </w:r>
    </w:p>
    <w:p w:rsidR="00D52CD2" w:rsidRDefault="00464A41">
      <w:pPr>
        <w:pStyle w:val="BodyText"/>
        <w:spacing w:before="9"/>
        <w:rPr>
          <w:rFonts w:ascii="Arial"/>
          <w:sz w:val="12"/>
        </w:rPr>
      </w:pPr>
      <w:r>
        <w:pict>
          <v:line id="_x0000_s1026" style="position:absolute;z-index:251657216;mso-wrap-distance-left:0;mso-wrap-distance-right:0;mso-position-horizontal-relative:page" from="1in,9.7pt" to="7in,9.7pt">
            <w10:wrap type="topAndBottom" anchorx="page"/>
          </v:line>
        </w:pict>
      </w:r>
    </w:p>
    <w:p w:rsidR="00D52CD2" w:rsidRDefault="00D52CD2">
      <w:pPr>
        <w:pStyle w:val="BodyText"/>
        <w:rPr>
          <w:rFonts w:ascii="Arial"/>
          <w:sz w:val="20"/>
        </w:rPr>
      </w:pPr>
    </w:p>
    <w:p w:rsidR="00D52CD2" w:rsidRDefault="00D52CD2">
      <w:pPr>
        <w:pStyle w:val="BodyText"/>
        <w:rPr>
          <w:rFonts w:ascii="Arial"/>
          <w:sz w:val="20"/>
        </w:rPr>
      </w:pPr>
    </w:p>
    <w:p w:rsidR="00D52CD2" w:rsidRDefault="00D52CD2">
      <w:pPr>
        <w:pStyle w:val="BodyText"/>
        <w:rPr>
          <w:rFonts w:ascii="Arial"/>
          <w:sz w:val="20"/>
        </w:rPr>
      </w:pPr>
    </w:p>
    <w:p w:rsidR="00D52CD2" w:rsidRDefault="00D52CD2">
      <w:pPr>
        <w:pStyle w:val="BodyText"/>
        <w:rPr>
          <w:rFonts w:ascii="Arial"/>
          <w:sz w:val="20"/>
        </w:rPr>
      </w:pPr>
    </w:p>
    <w:p w:rsidR="00D52CD2" w:rsidRDefault="00D52CD2">
      <w:pPr>
        <w:pStyle w:val="BodyText"/>
        <w:rPr>
          <w:rFonts w:ascii="Arial"/>
          <w:sz w:val="20"/>
        </w:rPr>
      </w:pPr>
    </w:p>
    <w:p w:rsidR="00D52CD2" w:rsidRDefault="00D52CD2">
      <w:pPr>
        <w:pStyle w:val="BodyText"/>
        <w:rPr>
          <w:rFonts w:ascii="Arial"/>
          <w:sz w:val="20"/>
        </w:rPr>
      </w:pPr>
    </w:p>
    <w:p w:rsidR="00D52CD2" w:rsidRDefault="00D52CD2">
      <w:pPr>
        <w:pStyle w:val="BodyText"/>
        <w:spacing w:before="6"/>
        <w:rPr>
          <w:rFonts w:ascii="Arial"/>
          <w:sz w:val="18"/>
        </w:rPr>
      </w:pPr>
    </w:p>
    <w:p w:rsidR="00D52CD2" w:rsidRDefault="00464A41">
      <w:pPr>
        <w:pStyle w:val="BodyText"/>
        <w:spacing w:before="57"/>
        <w:ind w:left="120"/>
      </w:pPr>
      <w:r>
        <w:t>January 16, 2018</w:t>
      </w:r>
    </w:p>
    <w:p w:rsidR="00D52CD2" w:rsidRDefault="00D52CD2">
      <w:pPr>
        <w:pStyle w:val="BodyText"/>
        <w:spacing w:before="10"/>
        <w:rPr>
          <w:sz w:val="21"/>
        </w:rPr>
      </w:pPr>
    </w:p>
    <w:p w:rsidR="00D52CD2" w:rsidRDefault="00464A41">
      <w:pPr>
        <w:pStyle w:val="BodyText"/>
        <w:ind w:left="120" w:right="5539"/>
      </w:pPr>
      <w:r>
        <w:t>Centers for Medicare &amp; Medicaid Services, Department of Health and Human Services, Attention: CMS-4182-P</w:t>
      </w:r>
    </w:p>
    <w:p w:rsidR="00D52CD2" w:rsidRDefault="00464A41">
      <w:pPr>
        <w:pStyle w:val="ListParagraph"/>
        <w:numPr>
          <w:ilvl w:val="1"/>
          <w:numId w:val="9"/>
        </w:numPr>
        <w:tabs>
          <w:tab w:val="left" w:pos="543"/>
        </w:tabs>
        <w:ind w:hanging="422"/>
      </w:pPr>
      <w:r>
        <w:t>Box</w:t>
      </w:r>
      <w:r>
        <w:rPr>
          <w:spacing w:val="-4"/>
        </w:rPr>
        <w:t xml:space="preserve"> </w:t>
      </w:r>
      <w:r>
        <w:t>8013</w:t>
      </w:r>
    </w:p>
    <w:p w:rsidR="00D52CD2" w:rsidRDefault="00464A41">
      <w:pPr>
        <w:pStyle w:val="BodyText"/>
        <w:spacing w:before="1" w:line="400" w:lineRule="auto"/>
        <w:ind w:left="120" w:right="6907"/>
      </w:pPr>
      <w:r>
        <w:t xml:space="preserve">Baltimore, MD 21244-8013 </w:t>
      </w:r>
      <w:hyperlink r:id="rId15">
        <w:r>
          <w:rPr>
            <w:color w:val="0000FF"/>
            <w:u w:val="single" w:color="0000FF"/>
          </w:rPr>
          <w:t>http://www.regulations.gov</w:t>
        </w:r>
      </w:hyperlink>
    </w:p>
    <w:p w:rsidR="00D52CD2" w:rsidRDefault="00464A41">
      <w:pPr>
        <w:pStyle w:val="BodyText"/>
        <w:spacing w:before="2"/>
        <w:ind w:left="120"/>
      </w:pPr>
      <w:r>
        <w:t>RE: PDX Comments to CMS-4182-P</w:t>
      </w:r>
    </w:p>
    <w:p w:rsidR="00D52CD2" w:rsidRDefault="00464A41">
      <w:pPr>
        <w:spacing w:before="179" w:line="259" w:lineRule="auto"/>
        <w:ind w:left="120" w:right="297"/>
      </w:pPr>
      <w:r>
        <w:t xml:space="preserve">PDX, Inc appreciates the opportunity to review and submit comments to CMS – 4182-P: </w:t>
      </w:r>
      <w:r>
        <w:rPr>
          <w:i/>
        </w:rPr>
        <w:t xml:space="preserve">Medicare </w:t>
      </w:r>
      <w:r>
        <w:rPr>
          <w:i/>
        </w:rPr>
        <w:t>Program; Contract Year 2019 Policy and Technical Changes to the Medicare Advantage, Medicare Cost Plan, Medicare Fee-for-Service, the Medicare Prescription Drug Benefit Programs, and the PACE Program</w:t>
      </w:r>
      <w:r>
        <w:t>.</w:t>
      </w:r>
    </w:p>
    <w:p w:rsidR="00D52CD2" w:rsidRDefault="00464A41">
      <w:pPr>
        <w:pStyle w:val="BodyText"/>
        <w:spacing w:before="158" w:line="259" w:lineRule="auto"/>
        <w:ind w:left="120" w:right="99"/>
      </w:pPr>
      <w:r>
        <w:t>PDX, Inc. is a technology company built on a foundation</w:t>
      </w:r>
      <w:r>
        <w:t xml:space="preserve"> of and a commitment to Community Pharmacy. For over 30 years, we have and continue to provide innovative solutions and an integrated comprehensive suite of product and services to meet the needs of pharmacy. The partners that use our systems operate in al</w:t>
      </w:r>
      <w:r>
        <w:t>l 50 states, the District of Columbia, Puerto Rico, US Virgin Islands, and Guam. Our system-partners include individual pharmacies and chain pharmacies with up to and in some cases more than 1,000 sites and for a total of nearly 10,000 pharmacy sites.</w:t>
      </w:r>
    </w:p>
    <w:p w:rsidR="00D52CD2" w:rsidRDefault="00464A41">
      <w:pPr>
        <w:pStyle w:val="BodyText"/>
        <w:spacing w:before="158" w:line="403" w:lineRule="auto"/>
        <w:ind w:left="120" w:right="1527"/>
      </w:pPr>
      <w:r>
        <w:t>We r</w:t>
      </w:r>
      <w:r>
        <w:t>espectfully ask that CMS thoughtfully review the comments on the following pages. Should CMS have any questions related to these comments, please contact:</w:t>
      </w:r>
    </w:p>
    <w:p w:rsidR="00D52CD2" w:rsidRDefault="00464A41">
      <w:pPr>
        <w:pStyle w:val="BodyText"/>
        <w:spacing w:line="266" w:lineRule="exact"/>
        <w:ind w:left="120"/>
      </w:pPr>
      <w:r>
        <w:t>Leann Lewis</w:t>
      </w:r>
    </w:p>
    <w:p w:rsidR="00D52CD2" w:rsidRDefault="00464A41">
      <w:pPr>
        <w:pStyle w:val="BodyText"/>
        <w:ind w:left="120" w:right="6969"/>
      </w:pPr>
      <w:r>
        <w:t xml:space="preserve">Director, Industry Relations </w:t>
      </w:r>
      <w:hyperlink r:id="rId16">
        <w:r>
          <w:rPr>
            <w:color w:val="0000FF"/>
            <w:u w:val="single" w:color="0000FF"/>
          </w:rPr>
          <w:t>llewis@pdxinc.co</w:t>
        </w:r>
        <w:r>
          <w:rPr>
            <w:color w:val="0000FF"/>
            <w:u w:val="single" w:color="0000FF"/>
          </w:rPr>
          <w:t>m</w:t>
        </w:r>
      </w:hyperlink>
    </w:p>
    <w:p w:rsidR="00D52CD2" w:rsidRDefault="00464A41">
      <w:pPr>
        <w:pStyle w:val="BodyText"/>
        <w:ind w:left="120"/>
      </w:pPr>
      <w:r>
        <w:t>Phone: 817-935-7454</w:t>
      </w:r>
    </w:p>
    <w:p w:rsidR="00D52CD2" w:rsidRDefault="00D52CD2">
      <w:pPr>
        <w:sectPr w:rsidR="00D52CD2">
          <w:type w:val="continuous"/>
          <w:pgSz w:w="12240" w:h="15840"/>
          <w:pgMar w:top="720" w:right="1360" w:bottom="280" w:left="1320" w:header="720" w:footer="720" w:gutter="0"/>
          <w:cols w:space="720"/>
        </w:sectPr>
      </w:pPr>
    </w:p>
    <w:p w:rsidR="00D52CD2" w:rsidRDefault="00464A41">
      <w:pPr>
        <w:pStyle w:val="Heading2"/>
        <w:spacing w:before="39"/>
      </w:pPr>
      <w:r>
        <w:lastRenderedPageBreak/>
        <w:t>Naming of NCPDP SCRIPT Version 2017071</w:t>
      </w:r>
    </w:p>
    <w:p w:rsidR="00D52CD2" w:rsidRDefault="00D52CD2">
      <w:pPr>
        <w:pStyle w:val="BodyText"/>
        <w:spacing w:before="9"/>
        <w:rPr>
          <w:b/>
          <w:i/>
          <w:sz w:val="23"/>
        </w:rPr>
      </w:pPr>
    </w:p>
    <w:p w:rsidR="00D52CD2" w:rsidRDefault="00464A41">
      <w:pPr>
        <w:pStyle w:val="BodyText"/>
        <w:spacing w:before="1"/>
        <w:ind w:left="100"/>
      </w:pPr>
      <w:r>
        <w:rPr>
          <w:color w:val="2E5395"/>
        </w:rPr>
        <w:t>General Comments</w:t>
      </w:r>
    </w:p>
    <w:p w:rsidR="00D52CD2" w:rsidRDefault="00D52CD2">
      <w:pPr>
        <w:pStyle w:val="BodyText"/>
        <w:spacing w:before="7"/>
        <w:rPr>
          <w:sz w:val="25"/>
        </w:rPr>
      </w:pPr>
    </w:p>
    <w:p w:rsidR="00D52CD2" w:rsidRDefault="00464A41">
      <w:pPr>
        <w:pStyle w:val="BodyText"/>
        <w:spacing w:line="256" w:lineRule="auto"/>
        <w:ind w:left="100" w:right="201"/>
      </w:pPr>
      <w:r>
        <w:t>PDX concurs with NCPDP recommendations that this rule or a future rule adopt the NCPDP transactions for electronic prior authorization (ePA) within SCRIPT version 2017071.</w:t>
      </w:r>
    </w:p>
    <w:p w:rsidR="00D52CD2" w:rsidRDefault="00464A41">
      <w:pPr>
        <w:pStyle w:val="ListParagraph"/>
        <w:numPr>
          <w:ilvl w:val="0"/>
          <w:numId w:val="8"/>
        </w:numPr>
        <w:tabs>
          <w:tab w:val="left" w:pos="1180"/>
          <w:tab w:val="left" w:pos="1181"/>
        </w:tabs>
        <w:spacing w:before="3" w:line="259" w:lineRule="auto"/>
        <w:ind w:right="132"/>
      </w:pPr>
      <w:r>
        <w:t>As a result of the an ePrescribing pilot conducted in 2006, and other studies, it wa</w:t>
      </w:r>
      <w:r>
        <w:t>s determined that the HIPAA named ACS X12N 278 is not sufficient for ePrescribing workflows and exchanging information related to prior authorizations for drug benefit. Therefore, NCPDP began work to create the NCPDP SCRIPT ePA</w:t>
      </w:r>
      <w:r>
        <w:rPr>
          <w:spacing w:val="-24"/>
        </w:rPr>
        <w:t xml:space="preserve"> </w:t>
      </w:r>
      <w:r>
        <w:t>transactions.</w:t>
      </w:r>
    </w:p>
    <w:p w:rsidR="00D52CD2" w:rsidRDefault="00464A41">
      <w:pPr>
        <w:pStyle w:val="ListParagraph"/>
        <w:numPr>
          <w:ilvl w:val="0"/>
          <w:numId w:val="8"/>
        </w:numPr>
        <w:tabs>
          <w:tab w:val="left" w:pos="1180"/>
          <w:tab w:val="left" w:pos="1181"/>
        </w:tabs>
        <w:spacing w:line="259" w:lineRule="auto"/>
        <w:ind w:right="167"/>
      </w:pPr>
      <w:r>
        <w:t>Currently, the NCPDP SCRIPT ePA transactions have been adopted by more than 60% (</w:t>
      </w:r>
      <w:hyperlink r:id="rId17">
        <w:r>
          <w:rPr>
            <w:color w:val="0000FF"/>
            <w:u w:val="single" w:color="0000FF"/>
          </w:rPr>
          <w:t>https://epascorecard.covermymeds.com/</w:t>
        </w:r>
      </w:hyperlink>
      <w:r>
        <w:t>) of pharmacy benefit managers. The use of these transactions significantly reduc</w:t>
      </w:r>
      <w:r>
        <w:t>es the approval time of prior authorizations to hours instead of days leading to speedier access to therapy for the patient which results in improved outcomes.</w:t>
      </w:r>
    </w:p>
    <w:p w:rsidR="00D52CD2" w:rsidRDefault="00D52CD2">
      <w:pPr>
        <w:pStyle w:val="BodyText"/>
      </w:pPr>
    </w:p>
    <w:p w:rsidR="00D52CD2" w:rsidRDefault="00D52CD2">
      <w:pPr>
        <w:pStyle w:val="BodyText"/>
        <w:spacing w:before="4"/>
        <w:rPr>
          <w:sz w:val="25"/>
        </w:rPr>
      </w:pPr>
    </w:p>
    <w:p w:rsidR="00D52CD2" w:rsidRDefault="00464A41">
      <w:pPr>
        <w:pStyle w:val="BodyText"/>
        <w:spacing w:line="259" w:lineRule="auto"/>
        <w:ind w:left="100" w:right="896"/>
      </w:pPr>
      <w:r>
        <w:rPr>
          <w:color w:val="2E5395"/>
        </w:rPr>
        <w:t>56438: 8. E-Prescribing and the Part D Prescription Drug Program; Updating Part D E-Prescribin</w:t>
      </w:r>
      <w:r>
        <w:rPr>
          <w:color w:val="2E5395"/>
        </w:rPr>
        <w:t>g Standards</w:t>
      </w:r>
    </w:p>
    <w:p w:rsidR="00D52CD2" w:rsidRDefault="00464A41">
      <w:pPr>
        <w:pStyle w:val="ListParagraph"/>
        <w:numPr>
          <w:ilvl w:val="2"/>
          <w:numId w:val="9"/>
        </w:numPr>
        <w:tabs>
          <w:tab w:val="left" w:pos="1039"/>
        </w:tabs>
        <w:ind w:hanging="218"/>
        <w:rPr>
          <w:i/>
        </w:rPr>
      </w:pPr>
      <w:r>
        <w:rPr>
          <w:i/>
        </w:rPr>
        <w:t>Legislative</w:t>
      </w:r>
      <w:r>
        <w:rPr>
          <w:i/>
          <w:spacing w:val="-9"/>
        </w:rPr>
        <w:t xml:space="preserve"> </w:t>
      </w:r>
      <w:r>
        <w:rPr>
          <w:i/>
        </w:rPr>
        <w:t>Background</w:t>
      </w:r>
    </w:p>
    <w:p w:rsidR="00D52CD2" w:rsidRDefault="00464A41">
      <w:pPr>
        <w:spacing w:before="22" w:line="259" w:lineRule="auto"/>
        <w:ind w:left="820" w:right="112"/>
        <w:rPr>
          <w:i/>
        </w:rPr>
      </w:pPr>
      <w:r>
        <w:rPr>
          <w:i/>
        </w:rPr>
        <w:t>…There is no requirement that prescribers or dispensers implement ePrescribing. However, prescribers and dispensers who electronically transmit prescription and certain other information for covered drugs prescribed for M</w:t>
      </w:r>
      <w:r>
        <w:rPr>
          <w:i/>
        </w:rPr>
        <w:t>edicare Part D eligible beneficiaries, directly or through an intermediary, are required to comply with any applicable standards that are in effect.</w:t>
      </w:r>
    </w:p>
    <w:p w:rsidR="00D52CD2" w:rsidRDefault="00D52CD2">
      <w:pPr>
        <w:pStyle w:val="BodyText"/>
        <w:spacing w:before="7"/>
        <w:rPr>
          <w:i/>
          <w:sz w:val="23"/>
        </w:rPr>
      </w:pPr>
    </w:p>
    <w:p w:rsidR="00D52CD2" w:rsidRDefault="00464A41">
      <w:pPr>
        <w:pStyle w:val="Heading1"/>
        <w:spacing w:before="1"/>
      </w:pPr>
      <w:r>
        <w:t>PDX Comment:</w:t>
      </w:r>
    </w:p>
    <w:p w:rsidR="00D52CD2" w:rsidRDefault="00464A41">
      <w:pPr>
        <w:pStyle w:val="BodyText"/>
        <w:spacing w:before="22" w:line="259" w:lineRule="auto"/>
        <w:ind w:left="100" w:right="307"/>
      </w:pPr>
      <w:r>
        <w:t>PDX concurs with NCPDP and recommends this rule be inclusive of all entities that electronica</w:t>
      </w:r>
      <w:r>
        <w:t xml:space="preserve">lly exchange the SCRIPT transactions referenced in this rule and is not limited to just prescribers and dispensers. Including all such entities will make it more likely for the industry to meet the objectives of MMA (Medicare Modernization Act) to improve </w:t>
      </w:r>
      <w:r>
        <w:t>‘‘(i) patient safety; (ii) the quality of care provided to patients; and (iii) efficiencies, including cost savings, in the delivery of care.”</w:t>
      </w:r>
    </w:p>
    <w:p w:rsidR="00D52CD2" w:rsidRDefault="00D52CD2">
      <w:pPr>
        <w:pStyle w:val="BodyText"/>
        <w:spacing w:before="10"/>
        <w:rPr>
          <w:sz w:val="23"/>
        </w:rPr>
      </w:pPr>
    </w:p>
    <w:p w:rsidR="00D52CD2" w:rsidRDefault="00464A41">
      <w:pPr>
        <w:pStyle w:val="BodyText"/>
        <w:spacing w:line="259" w:lineRule="auto"/>
        <w:ind w:left="100" w:right="100"/>
      </w:pPr>
      <w:r>
        <w:t>PDX also concurs with NCPDP comments and recommends that any references to the use of transactions be based on t</w:t>
      </w:r>
      <w:r>
        <w:t>he business cases documented within the SCRIPT standard and the entities performing the electronic communication and should not reference specific types of individuals and entities. The business cases supported by NCPDP SCRIPT Version 2017071 reflect parti</w:t>
      </w:r>
      <w:r>
        <w:t>cipation by multiple entities such as prescribers, dispensers, facilities, and payers who offer services throughout the continuum of care.  This clarifies a misconception that all entities are required to support all the transactions.</w:t>
      </w:r>
    </w:p>
    <w:p w:rsidR="00D52CD2" w:rsidRDefault="00D52CD2">
      <w:pPr>
        <w:spacing w:line="259" w:lineRule="auto"/>
        <w:sectPr w:rsidR="00D52CD2">
          <w:footerReference w:type="default" r:id="rId18"/>
          <w:pgSz w:w="12240" w:h="15840"/>
          <w:pgMar w:top="1400" w:right="1320" w:bottom="1140" w:left="1340" w:header="0" w:footer="952" w:gutter="0"/>
          <w:pgNumType w:start="2"/>
          <w:cols w:space="720"/>
        </w:sectPr>
      </w:pPr>
    </w:p>
    <w:p w:rsidR="00D52CD2" w:rsidRDefault="00D52CD2">
      <w:pPr>
        <w:pStyle w:val="BodyText"/>
        <w:rPr>
          <w:sz w:val="20"/>
        </w:rPr>
      </w:pPr>
    </w:p>
    <w:p w:rsidR="00D52CD2" w:rsidRDefault="00D52CD2">
      <w:pPr>
        <w:pStyle w:val="BodyText"/>
        <w:rPr>
          <w:sz w:val="20"/>
        </w:rPr>
      </w:pPr>
    </w:p>
    <w:p w:rsidR="00D52CD2" w:rsidRDefault="00D52CD2">
      <w:pPr>
        <w:pStyle w:val="BodyText"/>
        <w:rPr>
          <w:sz w:val="20"/>
        </w:rPr>
      </w:pPr>
    </w:p>
    <w:p w:rsidR="00D52CD2" w:rsidRDefault="00D52CD2">
      <w:pPr>
        <w:pStyle w:val="BodyText"/>
        <w:spacing w:before="5"/>
        <w:rPr>
          <w:sz w:val="25"/>
        </w:rPr>
      </w:pPr>
    </w:p>
    <w:p w:rsidR="00D52CD2" w:rsidRDefault="00464A41">
      <w:pPr>
        <w:pStyle w:val="BodyText"/>
        <w:spacing w:before="56"/>
        <w:ind w:left="100"/>
      </w:pPr>
      <w:r>
        <w:rPr>
          <w:color w:val="2E5395"/>
        </w:rPr>
        <w:t>56439: Adoption of NCPDP SCRIPT version 2017071</w:t>
      </w:r>
    </w:p>
    <w:p w:rsidR="00D52CD2" w:rsidRDefault="00D52CD2">
      <w:pPr>
        <w:pStyle w:val="BodyText"/>
        <w:spacing w:before="6"/>
        <w:rPr>
          <w:sz w:val="25"/>
        </w:rPr>
      </w:pPr>
    </w:p>
    <w:p w:rsidR="00D52CD2" w:rsidRDefault="00464A41">
      <w:pPr>
        <w:pStyle w:val="Heading1"/>
      </w:pPr>
      <w:r>
        <w:t>PDX Comment:</w:t>
      </w:r>
    </w:p>
    <w:p w:rsidR="00D52CD2" w:rsidRDefault="00464A41">
      <w:pPr>
        <w:pStyle w:val="BodyText"/>
        <w:spacing w:before="21" w:line="259" w:lineRule="auto"/>
        <w:ind w:left="100" w:right="130"/>
      </w:pPr>
      <w:r>
        <w:t xml:space="preserve">PDX agrees with the decision to move to the NCPDP SCRIPT Version 2017071. There have been many new messages and features added to the NCPDP SCRIPT Standard that are needed by the industry which will improve patient safety, interoperability, and efficiency </w:t>
      </w:r>
      <w:r>
        <w:t>throughout the health care system.</w:t>
      </w:r>
    </w:p>
    <w:p w:rsidR="00D52CD2" w:rsidRDefault="00D52CD2">
      <w:pPr>
        <w:pStyle w:val="BodyText"/>
        <w:spacing w:before="9"/>
        <w:rPr>
          <w:sz w:val="23"/>
        </w:rPr>
      </w:pPr>
    </w:p>
    <w:p w:rsidR="00D52CD2" w:rsidRDefault="00464A41">
      <w:pPr>
        <w:pStyle w:val="BodyText"/>
        <w:spacing w:before="1" w:line="259" w:lineRule="auto"/>
        <w:ind w:left="100" w:right="130"/>
      </w:pPr>
      <w:r>
        <w:t>However, the timelines for the use of the NCPDP SCRIPT Version 2017071 need to be reconciled with other government programs requiring the use of SCRIPT Version 10.6 (such as the CMS Electronic Health Record Incentive Program Stage 3 and the ONC 2015 Editio</w:t>
      </w:r>
      <w:r>
        <w:t>n Health IT Certification Criteria) prior to any compliance date if CMS expects successful adoption throughout the industry. Requirements naming different versions of SCRIPT for different programs confuses the industry as to which is the appropriate standa</w:t>
      </w:r>
      <w:r>
        <w:t>rd and will negatively impact industry adoption of Version 2017071 under this proposed rule.</w:t>
      </w:r>
    </w:p>
    <w:p w:rsidR="00D52CD2" w:rsidRDefault="00D52CD2">
      <w:pPr>
        <w:pStyle w:val="BodyText"/>
      </w:pPr>
    </w:p>
    <w:p w:rsidR="00D52CD2" w:rsidRDefault="00D52CD2">
      <w:pPr>
        <w:pStyle w:val="BodyText"/>
        <w:spacing w:before="5"/>
        <w:rPr>
          <w:sz w:val="25"/>
        </w:rPr>
      </w:pPr>
    </w:p>
    <w:p w:rsidR="00D52CD2" w:rsidRDefault="00464A41">
      <w:pPr>
        <w:pStyle w:val="BodyText"/>
        <w:ind w:left="100"/>
      </w:pPr>
      <w:r>
        <w:rPr>
          <w:color w:val="2E5395"/>
        </w:rPr>
        <w:t>56439: Adoption of NCPDP SCRIPT version 2017071</w:t>
      </w:r>
    </w:p>
    <w:p w:rsidR="00D52CD2" w:rsidRDefault="00D52CD2">
      <w:pPr>
        <w:pStyle w:val="BodyText"/>
        <w:spacing w:before="4"/>
        <w:rPr>
          <w:sz w:val="25"/>
        </w:rPr>
      </w:pPr>
    </w:p>
    <w:p w:rsidR="00D52CD2" w:rsidRDefault="00464A41">
      <w:pPr>
        <w:pStyle w:val="Heading1"/>
      </w:pPr>
      <w:r>
        <w:t>PDX Comment:</w:t>
      </w:r>
    </w:p>
    <w:p w:rsidR="00D52CD2" w:rsidRDefault="00464A41">
      <w:pPr>
        <w:pStyle w:val="BodyText"/>
        <w:spacing w:before="21" w:line="259" w:lineRule="auto"/>
        <w:ind w:left="100" w:right="120"/>
      </w:pPr>
      <w:r>
        <w:t>PDX echoes the comments from NCPDP that throughout the NPRM, the SCRIPT Standard transactions are i</w:t>
      </w:r>
      <w:r>
        <w:t>ncorrectly referenced, either with an incorrect name, or a single name referencing multiple transactions. PDX requests that in the final rule, all transactions are referenced by the names stated in the NCPDP SCRIPT Implementation Guide version 20170701, se</w:t>
      </w:r>
      <w:r>
        <w:t>ction 4.2, as listed in the table below. Definitions for these each of these transactions may be referenced in the NCPDP SCRIPT Implementation Guide version 20170701, section 4.2.</w:t>
      </w:r>
    </w:p>
    <w:p w:rsidR="00D52CD2" w:rsidRDefault="00D52CD2">
      <w:pPr>
        <w:pStyle w:val="BodyText"/>
        <w:rPr>
          <w:sz w:val="20"/>
        </w:rPr>
      </w:pPr>
    </w:p>
    <w:p w:rsidR="00D52CD2" w:rsidRDefault="00D52CD2">
      <w:pPr>
        <w:pStyle w:val="BodyText"/>
        <w:rPr>
          <w:sz w:val="20"/>
        </w:rPr>
      </w:pPr>
    </w:p>
    <w:p w:rsidR="00D52CD2" w:rsidRDefault="00D52CD2">
      <w:pPr>
        <w:pStyle w:val="BodyText"/>
        <w:rPr>
          <w:sz w:val="20"/>
        </w:rPr>
      </w:pPr>
    </w:p>
    <w:p w:rsidR="00D52CD2" w:rsidRDefault="00D52CD2">
      <w:pPr>
        <w:pStyle w:val="BodyText"/>
        <w:spacing w:before="7"/>
        <w:rPr>
          <w:sz w:val="13"/>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3"/>
        <w:gridCol w:w="1774"/>
        <w:gridCol w:w="2871"/>
        <w:gridCol w:w="2336"/>
      </w:tblGrid>
      <w:tr w:rsidR="00D52CD2">
        <w:trPr>
          <w:trHeight w:hRule="exact" w:val="1085"/>
        </w:trPr>
        <w:tc>
          <w:tcPr>
            <w:tcW w:w="1313" w:type="dxa"/>
          </w:tcPr>
          <w:p w:rsidR="00D52CD2" w:rsidRDefault="00464A41">
            <w:pPr>
              <w:pStyle w:val="TableParagraph"/>
              <w:spacing w:before="4" w:line="237" w:lineRule="auto"/>
              <w:ind w:right="219"/>
              <w:rPr>
                <w:b/>
              </w:rPr>
            </w:pPr>
            <w:r>
              <w:rPr>
                <w:b/>
              </w:rPr>
              <w:t>Applicable Page # (s)</w:t>
            </w:r>
          </w:p>
        </w:tc>
        <w:tc>
          <w:tcPr>
            <w:tcW w:w="1774" w:type="dxa"/>
          </w:tcPr>
          <w:p w:rsidR="00D52CD2" w:rsidRDefault="00464A41">
            <w:pPr>
              <w:pStyle w:val="TableParagraph"/>
              <w:spacing w:before="1"/>
              <w:ind w:right="168"/>
              <w:rPr>
                <w:b/>
              </w:rPr>
            </w:pPr>
            <w:r>
              <w:rPr>
                <w:b/>
              </w:rPr>
              <w:t>Name as published in the NPRM</w:t>
            </w:r>
          </w:p>
        </w:tc>
        <w:tc>
          <w:tcPr>
            <w:tcW w:w="2871" w:type="dxa"/>
          </w:tcPr>
          <w:p w:rsidR="00D52CD2" w:rsidRDefault="00464A41">
            <w:pPr>
              <w:pStyle w:val="TableParagraph"/>
              <w:spacing w:before="4" w:line="237" w:lineRule="auto"/>
              <w:ind w:left="100" w:right="428"/>
              <w:rPr>
                <w:b/>
              </w:rPr>
            </w:pPr>
            <w:r>
              <w:rPr>
                <w:b/>
              </w:rPr>
              <w:t>Name as published in</w:t>
            </w:r>
            <w:r>
              <w:rPr>
                <w:b/>
              </w:rPr>
              <w:t xml:space="preserve"> the NCPDP Standard</w:t>
            </w:r>
          </w:p>
        </w:tc>
        <w:tc>
          <w:tcPr>
            <w:tcW w:w="2336" w:type="dxa"/>
          </w:tcPr>
          <w:p w:rsidR="00D52CD2" w:rsidRDefault="00464A41">
            <w:pPr>
              <w:pStyle w:val="TableParagraph"/>
              <w:spacing w:before="1"/>
              <w:rPr>
                <w:b/>
              </w:rPr>
            </w:pPr>
            <w:r>
              <w:rPr>
                <w:b/>
              </w:rPr>
              <w:t>Additional Comments</w:t>
            </w:r>
          </w:p>
        </w:tc>
      </w:tr>
      <w:tr w:rsidR="00D52CD2">
        <w:trPr>
          <w:trHeight w:hRule="exact" w:val="817"/>
        </w:trPr>
        <w:tc>
          <w:tcPr>
            <w:tcW w:w="1313" w:type="dxa"/>
          </w:tcPr>
          <w:p w:rsidR="00D52CD2" w:rsidRDefault="00464A41">
            <w:pPr>
              <w:pStyle w:val="TableParagraph"/>
              <w:spacing w:line="268" w:lineRule="exact"/>
            </w:pPr>
            <w:r>
              <w:t>56439;</w:t>
            </w:r>
          </w:p>
          <w:p w:rsidR="00D52CD2" w:rsidRDefault="00464A41">
            <w:pPr>
              <w:pStyle w:val="TableParagraph"/>
            </w:pPr>
            <w:r>
              <w:t>56440;</w:t>
            </w:r>
          </w:p>
          <w:p w:rsidR="00D52CD2" w:rsidRDefault="00464A41">
            <w:pPr>
              <w:pStyle w:val="TableParagraph"/>
            </w:pPr>
            <w:r>
              <w:t>56513</w:t>
            </w:r>
          </w:p>
        </w:tc>
        <w:tc>
          <w:tcPr>
            <w:tcW w:w="1774" w:type="dxa"/>
          </w:tcPr>
          <w:p w:rsidR="00D52CD2" w:rsidRDefault="00464A41">
            <w:pPr>
              <w:pStyle w:val="TableParagraph"/>
              <w:ind w:right="103"/>
            </w:pPr>
            <w:r>
              <w:t>Prescription drug administration message</w:t>
            </w:r>
          </w:p>
        </w:tc>
        <w:tc>
          <w:tcPr>
            <w:tcW w:w="2871" w:type="dxa"/>
          </w:tcPr>
          <w:p w:rsidR="00D52CD2" w:rsidRDefault="00464A41">
            <w:pPr>
              <w:pStyle w:val="TableParagraph"/>
              <w:spacing w:line="268" w:lineRule="exact"/>
              <w:ind w:left="100"/>
            </w:pPr>
            <w:r>
              <w:t>DrugAdministration</w:t>
            </w:r>
          </w:p>
        </w:tc>
        <w:tc>
          <w:tcPr>
            <w:tcW w:w="2336" w:type="dxa"/>
          </w:tcPr>
          <w:p w:rsidR="00D52CD2" w:rsidRDefault="00D52CD2"/>
        </w:tc>
      </w:tr>
      <w:tr w:rsidR="00D52CD2">
        <w:trPr>
          <w:trHeight w:hRule="exact" w:val="816"/>
        </w:trPr>
        <w:tc>
          <w:tcPr>
            <w:tcW w:w="1313" w:type="dxa"/>
          </w:tcPr>
          <w:p w:rsidR="00D52CD2" w:rsidRDefault="00464A41">
            <w:pPr>
              <w:pStyle w:val="TableParagraph"/>
              <w:spacing w:line="268" w:lineRule="exact"/>
            </w:pPr>
            <w:r>
              <w:t>56439;</w:t>
            </w:r>
          </w:p>
          <w:p w:rsidR="00D52CD2" w:rsidRDefault="00464A41">
            <w:pPr>
              <w:pStyle w:val="TableParagraph"/>
            </w:pPr>
            <w:r>
              <w:t>56440;</w:t>
            </w:r>
          </w:p>
          <w:p w:rsidR="00D52CD2" w:rsidRDefault="00464A41">
            <w:pPr>
              <w:pStyle w:val="TableParagraph"/>
            </w:pPr>
            <w:r>
              <w:t>56513</w:t>
            </w:r>
          </w:p>
        </w:tc>
        <w:tc>
          <w:tcPr>
            <w:tcW w:w="1774" w:type="dxa"/>
          </w:tcPr>
          <w:p w:rsidR="00D52CD2" w:rsidRDefault="00464A41">
            <w:pPr>
              <w:pStyle w:val="TableParagraph"/>
              <w:ind w:right="103"/>
            </w:pPr>
            <w:r>
              <w:t>New prescription requests</w:t>
            </w:r>
          </w:p>
        </w:tc>
        <w:tc>
          <w:tcPr>
            <w:tcW w:w="2871" w:type="dxa"/>
          </w:tcPr>
          <w:p w:rsidR="00D52CD2" w:rsidRDefault="00464A41">
            <w:pPr>
              <w:pStyle w:val="TableParagraph"/>
              <w:spacing w:line="268" w:lineRule="exact"/>
              <w:ind w:left="100"/>
            </w:pPr>
            <w:r>
              <w:t>NewRxRequest</w:t>
            </w:r>
          </w:p>
        </w:tc>
        <w:tc>
          <w:tcPr>
            <w:tcW w:w="2336" w:type="dxa"/>
          </w:tcPr>
          <w:p w:rsidR="00D52CD2" w:rsidRDefault="00D52CD2"/>
        </w:tc>
      </w:tr>
      <w:tr w:rsidR="00D52CD2">
        <w:trPr>
          <w:trHeight w:hRule="exact" w:val="816"/>
        </w:trPr>
        <w:tc>
          <w:tcPr>
            <w:tcW w:w="1313" w:type="dxa"/>
          </w:tcPr>
          <w:p w:rsidR="00D52CD2" w:rsidRDefault="00464A41">
            <w:pPr>
              <w:pStyle w:val="TableParagraph"/>
              <w:spacing w:line="268" w:lineRule="exact"/>
            </w:pPr>
            <w:r>
              <w:t>56439;</w:t>
            </w:r>
          </w:p>
          <w:p w:rsidR="00D52CD2" w:rsidRDefault="00464A41">
            <w:pPr>
              <w:pStyle w:val="TableParagraph"/>
            </w:pPr>
            <w:r>
              <w:t>56440;</w:t>
            </w:r>
          </w:p>
          <w:p w:rsidR="00D52CD2" w:rsidRDefault="00464A41">
            <w:pPr>
              <w:pStyle w:val="TableParagraph"/>
            </w:pPr>
            <w:r>
              <w:t>56513</w:t>
            </w:r>
          </w:p>
        </w:tc>
        <w:tc>
          <w:tcPr>
            <w:tcW w:w="1774" w:type="dxa"/>
          </w:tcPr>
          <w:p w:rsidR="00D52CD2" w:rsidRDefault="00464A41">
            <w:pPr>
              <w:pStyle w:val="TableParagraph"/>
              <w:ind w:right="103"/>
            </w:pPr>
            <w:r>
              <w:t>New prescription response denials</w:t>
            </w:r>
          </w:p>
        </w:tc>
        <w:tc>
          <w:tcPr>
            <w:tcW w:w="2871" w:type="dxa"/>
          </w:tcPr>
          <w:p w:rsidR="00D52CD2" w:rsidRDefault="00464A41">
            <w:pPr>
              <w:pStyle w:val="TableParagraph"/>
              <w:spacing w:line="268" w:lineRule="exact"/>
              <w:ind w:left="151"/>
            </w:pPr>
            <w:r>
              <w:t>NewRxResponseDenied</w:t>
            </w:r>
          </w:p>
        </w:tc>
        <w:tc>
          <w:tcPr>
            <w:tcW w:w="2336" w:type="dxa"/>
          </w:tcPr>
          <w:p w:rsidR="00D52CD2" w:rsidRDefault="00D52CD2"/>
        </w:tc>
      </w:tr>
    </w:tbl>
    <w:p w:rsidR="00D52CD2" w:rsidRDefault="00D52CD2">
      <w:pPr>
        <w:sectPr w:rsidR="00D52CD2">
          <w:pgSz w:w="12240" w:h="15840"/>
          <w:pgMar w:top="1500" w:right="1320" w:bottom="1200" w:left="1340" w:header="0" w:footer="952" w:gutter="0"/>
          <w:cols w:space="720"/>
        </w:sect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3"/>
        <w:gridCol w:w="1774"/>
        <w:gridCol w:w="2871"/>
        <w:gridCol w:w="2336"/>
      </w:tblGrid>
      <w:tr w:rsidR="00D52CD2">
        <w:trPr>
          <w:trHeight w:hRule="exact" w:val="1085"/>
        </w:trPr>
        <w:tc>
          <w:tcPr>
            <w:tcW w:w="1313" w:type="dxa"/>
          </w:tcPr>
          <w:p w:rsidR="00D52CD2" w:rsidRDefault="00464A41">
            <w:pPr>
              <w:pStyle w:val="TableParagraph"/>
              <w:spacing w:before="1" w:line="268" w:lineRule="exact"/>
            </w:pPr>
            <w:r>
              <w:lastRenderedPageBreak/>
              <w:t>56439;</w:t>
            </w:r>
          </w:p>
          <w:p w:rsidR="00D52CD2" w:rsidRDefault="00464A41">
            <w:pPr>
              <w:pStyle w:val="TableParagraph"/>
              <w:spacing w:line="268" w:lineRule="exact"/>
            </w:pPr>
            <w:r>
              <w:t>56440;</w:t>
            </w:r>
          </w:p>
          <w:p w:rsidR="00D52CD2" w:rsidRDefault="00464A41">
            <w:pPr>
              <w:pStyle w:val="TableParagraph"/>
              <w:spacing w:before="1"/>
            </w:pPr>
            <w:r>
              <w:t>56513</w:t>
            </w:r>
          </w:p>
        </w:tc>
        <w:tc>
          <w:tcPr>
            <w:tcW w:w="1774" w:type="dxa"/>
          </w:tcPr>
          <w:p w:rsidR="00D52CD2" w:rsidRDefault="00464A41">
            <w:pPr>
              <w:pStyle w:val="TableParagraph"/>
              <w:spacing w:before="1"/>
              <w:ind w:right="105"/>
            </w:pPr>
            <w:r>
              <w:t>Prescription transfer message</w:t>
            </w:r>
          </w:p>
        </w:tc>
        <w:tc>
          <w:tcPr>
            <w:tcW w:w="2871" w:type="dxa"/>
          </w:tcPr>
          <w:p w:rsidR="00D52CD2" w:rsidRDefault="00464A41">
            <w:pPr>
              <w:pStyle w:val="TableParagraph"/>
              <w:spacing w:before="1"/>
              <w:ind w:left="100" w:right="865"/>
            </w:pPr>
            <w:r>
              <w:t>RxTransferRequest; RxTransferResponse; RxTransferConfirm</w:t>
            </w:r>
          </w:p>
        </w:tc>
        <w:tc>
          <w:tcPr>
            <w:tcW w:w="2336" w:type="dxa"/>
          </w:tcPr>
          <w:p w:rsidR="00D52CD2" w:rsidRDefault="00464A41">
            <w:pPr>
              <w:pStyle w:val="TableParagraph"/>
              <w:spacing w:before="1"/>
              <w:ind w:right="107"/>
            </w:pPr>
            <w:r>
              <w:t>These are three distinct transactions  and should to be referenced</w:t>
            </w:r>
            <w:r>
              <w:rPr>
                <w:spacing w:val="-2"/>
              </w:rPr>
              <w:t xml:space="preserve"> </w:t>
            </w:r>
            <w:r>
              <w:t>accordingly.</w:t>
            </w:r>
          </w:p>
        </w:tc>
      </w:tr>
      <w:tr w:rsidR="00D52CD2">
        <w:trPr>
          <w:trHeight w:hRule="exact" w:val="816"/>
        </w:trPr>
        <w:tc>
          <w:tcPr>
            <w:tcW w:w="1313" w:type="dxa"/>
          </w:tcPr>
          <w:p w:rsidR="00D52CD2" w:rsidRDefault="00464A41">
            <w:pPr>
              <w:pStyle w:val="TableParagraph"/>
              <w:spacing w:line="268" w:lineRule="exact"/>
            </w:pPr>
            <w:r>
              <w:t>56439;</w:t>
            </w:r>
          </w:p>
          <w:p w:rsidR="00D52CD2" w:rsidRDefault="00464A41">
            <w:pPr>
              <w:pStyle w:val="TableParagraph"/>
            </w:pPr>
            <w:r>
              <w:t>56440;</w:t>
            </w:r>
          </w:p>
          <w:p w:rsidR="00D52CD2" w:rsidRDefault="00464A41">
            <w:pPr>
              <w:pStyle w:val="TableParagraph"/>
            </w:pPr>
            <w:r>
              <w:t>56513</w:t>
            </w:r>
          </w:p>
        </w:tc>
        <w:tc>
          <w:tcPr>
            <w:tcW w:w="1774" w:type="dxa"/>
          </w:tcPr>
          <w:p w:rsidR="00D52CD2" w:rsidRDefault="00464A41">
            <w:pPr>
              <w:pStyle w:val="TableParagraph"/>
              <w:ind w:right="152"/>
            </w:pPr>
            <w:r>
              <w:t>Prescription fill indicator change</w:t>
            </w:r>
          </w:p>
        </w:tc>
        <w:tc>
          <w:tcPr>
            <w:tcW w:w="2871" w:type="dxa"/>
          </w:tcPr>
          <w:p w:rsidR="00D52CD2" w:rsidRDefault="00464A41">
            <w:pPr>
              <w:pStyle w:val="TableParagraph"/>
              <w:spacing w:line="268" w:lineRule="exact"/>
              <w:ind w:left="151"/>
            </w:pPr>
            <w:r>
              <w:t>RxFill</w:t>
            </w:r>
          </w:p>
        </w:tc>
        <w:tc>
          <w:tcPr>
            <w:tcW w:w="2336" w:type="dxa"/>
          </w:tcPr>
          <w:p w:rsidR="00D52CD2" w:rsidRDefault="00D52CD2"/>
        </w:tc>
      </w:tr>
      <w:tr w:rsidR="00D52CD2">
        <w:trPr>
          <w:trHeight w:hRule="exact" w:val="816"/>
        </w:trPr>
        <w:tc>
          <w:tcPr>
            <w:tcW w:w="1313" w:type="dxa"/>
          </w:tcPr>
          <w:p w:rsidR="00D52CD2" w:rsidRDefault="00464A41">
            <w:pPr>
              <w:pStyle w:val="TableParagraph"/>
              <w:spacing w:line="268" w:lineRule="exact"/>
            </w:pPr>
            <w:r>
              <w:t>56439;</w:t>
            </w:r>
          </w:p>
          <w:p w:rsidR="00D52CD2" w:rsidRDefault="00464A41">
            <w:pPr>
              <w:pStyle w:val="TableParagraph"/>
            </w:pPr>
            <w:r>
              <w:t>56440;</w:t>
            </w:r>
          </w:p>
          <w:p w:rsidR="00D52CD2" w:rsidRDefault="00464A41">
            <w:pPr>
              <w:pStyle w:val="TableParagraph"/>
            </w:pPr>
            <w:r>
              <w:t>56513</w:t>
            </w:r>
          </w:p>
        </w:tc>
        <w:tc>
          <w:tcPr>
            <w:tcW w:w="1774" w:type="dxa"/>
          </w:tcPr>
          <w:p w:rsidR="00D52CD2" w:rsidRDefault="00464A41">
            <w:pPr>
              <w:pStyle w:val="TableParagraph"/>
              <w:ind w:right="380"/>
            </w:pPr>
            <w:r>
              <w:t>Prescription recertification</w:t>
            </w:r>
          </w:p>
        </w:tc>
        <w:tc>
          <w:tcPr>
            <w:tcW w:w="2871" w:type="dxa"/>
          </w:tcPr>
          <w:p w:rsidR="00D52CD2" w:rsidRDefault="00464A41">
            <w:pPr>
              <w:pStyle w:val="TableParagraph"/>
              <w:spacing w:line="268" w:lineRule="exact"/>
              <w:ind w:left="100"/>
            </w:pPr>
            <w:r>
              <w:t>Recertification</w:t>
            </w:r>
          </w:p>
        </w:tc>
        <w:tc>
          <w:tcPr>
            <w:tcW w:w="2336" w:type="dxa"/>
          </w:tcPr>
          <w:p w:rsidR="00D52CD2" w:rsidRDefault="00D52CD2"/>
        </w:tc>
      </w:tr>
      <w:tr w:rsidR="00D52CD2">
        <w:trPr>
          <w:trHeight w:hRule="exact" w:val="1354"/>
        </w:trPr>
        <w:tc>
          <w:tcPr>
            <w:tcW w:w="1313" w:type="dxa"/>
          </w:tcPr>
          <w:p w:rsidR="00D52CD2" w:rsidRDefault="00464A41">
            <w:pPr>
              <w:pStyle w:val="TableParagraph"/>
              <w:spacing w:line="268" w:lineRule="exact"/>
            </w:pPr>
            <w:r>
              <w:t>56439;</w:t>
            </w:r>
          </w:p>
          <w:p w:rsidR="00D52CD2" w:rsidRDefault="00464A41">
            <w:pPr>
              <w:pStyle w:val="TableParagraph"/>
            </w:pPr>
            <w:r>
              <w:t>56440</w:t>
            </w:r>
          </w:p>
        </w:tc>
        <w:tc>
          <w:tcPr>
            <w:tcW w:w="1774" w:type="dxa"/>
          </w:tcPr>
          <w:p w:rsidR="00D52CD2" w:rsidRDefault="00464A41">
            <w:pPr>
              <w:pStyle w:val="TableParagraph"/>
              <w:ind w:right="190"/>
            </w:pPr>
            <w:r>
              <w:t>Risk Evaluation and Mitigation Strategy (REMS)initiation request</w:t>
            </w:r>
          </w:p>
        </w:tc>
        <w:tc>
          <w:tcPr>
            <w:tcW w:w="2871" w:type="dxa"/>
          </w:tcPr>
          <w:p w:rsidR="00D52CD2" w:rsidRDefault="00464A41">
            <w:pPr>
              <w:pStyle w:val="TableParagraph"/>
              <w:spacing w:line="268" w:lineRule="exact"/>
              <w:ind w:left="100"/>
            </w:pPr>
            <w:r>
              <w:t>REMSInitiationRequest</w:t>
            </w:r>
          </w:p>
        </w:tc>
        <w:tc>
          <w:tcPr>
            <w:tcW w:w="2336" w:type="dxa"/>
          </w:tcPr>
          <w:p w:rsidR="00D52CD2" w:rsidRDefault="00D52CD2"/>
        </w:tc>
      </w:tr>
      <w:tr w:rsidR="00D52CD2">
        <w:trPr>
          <w:trHeight w:hRule="exact" w:val="1082"/>
        </w:trPr>
        <w:tc>
          <w:tcPr>
            <w:tcW w:w="1313" w:type="dxa"/>
          </w:tcPr>
          <w:p w:rsidR="00D52CD2" w:rsidRDefault="00464A41">
            <w:pPr>
              <w:pStyle w:val="TableParagraph"/>
              <w:spacing w:line="268" w:lineRule="exact"/>
            </w:pPr>
            <w:r>
              <w:t>56439;</w:t>
            </w:r>
          </w:p>
          <w:p w:rsidR="00D52CD2" w:rsidRDefault="00464A41">
            <w:pPr>
              <w:pStyle w:val="TableParagraph"/>
            </w:pPr>
            <w:r>
              <w:t>56440</w:t>
            </w:r>
          </w:p>
        </w:tc>
        <w:tc>
          <w:tcPr>
            <w:tcW w:w="1774" w:type="dxa"/>
          </w:tcPr>
          <w:p w:rsidR="00D52CD2" w:rsidRDefault="00464A41">
            <w:pPr>
              <w:pStyle w:val="TableParagraph"/>
              <w:ind w:right="221"/>
              <w:jc w:val="both"/>
            </w:pPr>
            <w:r>
              <w:t>REMS initiation response, REMS request</w:t>
            </w:r>
          </w:p>
        </w:tc>
        <w:tc>
          <w:tcPr>
            <w:tcW w:w="2871" w:type="dxa"/>
          </w:tcPr>
          <w:p w:rsidR="00D52CD2" w:rsidRDefault="00464A41">
            <w:pPr>
              <w:pStyle w:val="TableParagraph"/>
              <w:ind w:left="100" w:right="501"/>
            </w:pPr>
            <w:r>
              <w:t>REMSInitiationResponse; REMSRequest</w:t>
            </w:r>
          </w:p>
        </w:tc>
        <w:tc>
          <w:tcPr>
            <w:tcW w:w="2336" w:type="dxa"/>
          </w:tcPr>
          <w:p w:rsidR="00D52CD2" w:rsidRDefault="00464A41">
            <w:pPr>
              <w:pStyle w:val="TableParagraph"/>
              <w:ind w:right="111"/>
            </w:pPr>
            <w:r>
              <w:t>These are two distinct transactions  and should to be referenced</w:t>
            </w:r>
            <w:r>
              <w:rPr>
                <w:spacing w:val="-2"/>
              </w:rPr>
              <w:t xml:space="preserve"> </w:t>
            </w:r>
            <w:r>
              <w:t>accordingly.</w:t>
            </w:r>
          </w:p>
        </w:tc>
      </w:tr>
      <w:tr w:rsidR="00D52CD2">
        <w:trPr>
          <w:trHeight w:hRule="exact" w:val="816"/>
        </w:trPr>
        <w:tc>
          <w:tcPr>
            <w:tcW w:w="1313" w:type="dxa"/>
          </w:tcPr>
          <w:p w:rsidR="00D52CD2" w:rsidRDefault="00464A41">
            <w:pPr>
              <w:pStyle w:val="TableParagraph"/>
              <w:spacing w:line="268" w:lineRule="exact"/>
            </w:pPr>
            <w:r>
              <w:t>56439;</w:t>
            </w:r>
          </w:p>
          <w:p w:rsidR="00D52CD2" w:rsidRDefault="00464A41">
            <w:pPr>
              <w:pStyle w:val="TableParagraph"/>
            </w:pPr>
            <w:r>
              <w:t>56440;</w:t>
            </w:r>
          </w:p>
          <w:p w:rsidR="00D52CD2" w:rsidRDefault="00464A41">
            <w:pPr>
              <w:pStyle w:val="TableParagraph"/>
            </w:pPr>
            <w:r>
              <w:t>56513</w:t>
            </w:r>
          </w:p>
        </w:tc>
        <w:tc>
          <w:tcPr>
            <w:tcW w:w="1774" w:type="dxa"/>
          </w:tcPr>
          <w:p w:rsidR="00D52CD2" w:rsidRDefault="00464A41">
            <w:pPr>
              <w:pStyle w:val="TableParagraph"/>
              <w:spacing w:line="268" w:lineRule="exact"/>
            </w:pPr>
            <w:r>
              <w:t>REMS response</w:t>
            </w:r>
          </w:p>
        </w:tc>
        <w:tc>
          <w:tcPr>
            <w:tcW w:w="2871" w:type="dxa"/>
          </w:tcPr>
          <w:p w:rsidR="00D52CD2" w:rsidRDefault="00464A41">
            <w:pPr>
              <w:pStyle w:val="TableParagraph"/>
              <w:spacing w:line="268" w:lineRule="exact"/>
              <w:ind w:left="100"/>
            </w:pPr>
            <w:r>
              <w:t>REMSResponse</w:t>
            </w:r>
          </w:p>
        </w:tc>
        <w:tc>
          <w:tcPr>
            <w:tcW w:w="2336" w:type="dxa"/>
          </w:tcPr>
          <w:p w:rsidR="00D52CD2" w:rsidRDefault="00D52CD2"/>
        </w:tc>
      </w:tr>
      <w:tr w:rsidR="00D52CD2">
        <w:trPr>
          <w:trHeight w:hRule="exact" w:val="1892"/>
        </w:trPr>
        <w:tc>
          <w:tcPr>
            <w:tcW w:w="1313" w:type="dxa"/>
          </w:tcPr>
          <w:p w:rsidR="00D52CD2" w:rsidRDefault="00464A41">
            <w:pPr>
              <w:pStyle w:val="TableParagraph"/>
              <w:spacing w:line="268" w:lineRule="exact"/>
            </w:pPr>
            <w:r>
              <w:t>56440;</w:t>
            </w:r>
          </w:p>
          <w:p w:rsidR="00D52CD2" w:rsidRDefault="00464A41">
            <w:pPr>
              <w:pStyle w:val="TableParagraph"/>
            </w:pPr>
            <w:r>
              <w:t>56513</w:t>
            </w:r>
          </w:p>
        </w:tc>
        <w:tc>
          <w:tcPr>
            <w:tcW w:w="1774" w:type="dxa"/>
          </w:tcPr>
          <w:p w:rsidR="00D52CD2" w:rsidRDefault="00464A41">
            <w:pPr>
              <w:pStyle w:val="TableParagraph"/>
              <w:ind w:right="297"/>
            </w:pPr>
            <w:r>
              <w:t>Refill/Resupply prescription request transaction</w:t>
            </w:r>
          </w:p>
        </w:tc>
        <w:tc>
          <w:tcPr>
            <w:tcW w:w="2871" w:type="dxa"/>
          </w:tcPr>
          <w:p w:rsidR="00D52CD2" w:rsidRDefault="00464A41">
            <w:pPr>
              <w:pStyle w:val="TableParagraph"/>
              <w:ind w:left="100" w:right="971"/>
            </w:pPr>
            <w:r>
              <w:t>RxRenewalRequest; Resupply</w:t>
            </w:r>
          </w:p>
        </w:tc>
        <w:tc>
          <w:tcPr>
            <w:tcW w:w="2336" w:type="dxa"/>
          </w:tcPr>
          <w:p w:rsidR="00D52CD2" w:rsidRDefault="00464A41">
            <w:pPr>
              <w:pStyle w:val="TableParagraph"/>
              <w:ind w:right="111"/>
            </w:pPr>
            <w:r>
              <w:t>These are two distinct transactions  and should to be referenced accordingly. RefillRequest has been renamed to RxRenewalRequest.</w:t>
            </w:r>
          </w:p>
        </w:tc>
      </w:tr>
      <w:tr w:rsidR="00D52CD2">
        <w:trPr>
          <w:trHeight w:hRule="exact" w:val="1351"/>
        </w:trPr>
        <w:tc>
          <w:tcPr>
            <w:tcW w:w="1313" w:type="dxa"/>
          </w:tcPr>
          <w:p w:rsidR="00D52CD2" w:rsidRDefault="00464A41">
            <w:pPr>
              <w:pStyle w:val="TableParagraph"/>
              <w:spacing w:line="268" w:lineRule="exact"/>
            </w:pPr>
            <w:r>
              <w:t>56440;</w:t>
            </w:r>
          </w:p>
          <w:p w:rsidR="00D52CD2" w:rsidRDefault="00464A41">
            <w:pPr>
              <w:pStyle w:val="TableParagraph"/>
            </w:pPr>
            <w:r>
              <w:t>56513</w:t>
            </w:r>
          </w:p>
        </w:tc>
        <w:tc>
          <w:tcPr>
            <w:tcW w:w="1774" w:type="dxa"/>
          </w:tcPr>
          <w:p w:rsidR="00D52CD2" w:rsidRDefault="00464A41">
            <w:pPr>
              <w:pStyle w:val="TableParagraph"/>
              <w:ind w:right="297"/>
            </w:pPr>
            <w:r>
              <w:t>Refill/Resupply prescription response transaction</w:t>
            </w:r>
          </w:p>
        </w:tc>
        <w:tc>
          <w:tcPr>
            <w:tcW w:w="2871" w:type="dxa"/>
          </w:tcPr>
          <w:p w:rsidR="00D52CD2" w:rsidRDefault="00464A41">
            <w:pPr>
              <w:pStyle w:val="TableParagraph"/>
              <w:spacing w:line="268" w:lineRule="exact"/>
              <w:ind w:left="100"/>
            </w:pPr>
            <w:r>
              <w:t>RxRenewalResponse</w:t>
            </w:r>
          </w:p>
        </w:tc>
        <w:tc>
          <w:tcPr>
            <w:tcW w:w="2336" w:type="dxa"/>
          </w:tcPr>
          <w:p w:rsidR="00D52CD2" w:rsidRDefault="00464A41">
            <w:pPr>
              <w:pStyle w:val="TableParagraph"/>
              <w:ind w:right="352"/>
            </w:pPr>
            <w:r>
              <w:t>There is no response for Resupply.</w:t>
            </w:r>
          </w:p>
          <w:p w:rsidR="00D52CD2" w:rsidRDefault="00464A41">
            <w:pPr>
              <w:pStyle w:val="TableParagraph"/>
              <w:spacing w:before="1"/>
              <w:ind w:right="308"/>
            </w:pPr>
            <w:r>
              <w:t>RefillResponse has been renamed to RxRenewalResponse.</w:t>
            </w:r>
          </w:p>
        </w:tc>
      </w:tr>
      <w:tr w:rsidR="00D52CD2">
        <w:trPr>
          <w:trHeight w:hRule="exact" w:val="547"/>
        </w:trPr>
        <w:tc>
          <w:tcPr>
            <w:tcW w:w="1313" w:type="dxa"/>
          </w:tcPr>
          <w:p w:rsidR="00D52CD2" w:rsidRDefault="00464A41">
            <w:pPr>
              <w:pStyle w:val="TableParagraph"/>
              <w:spacing w:line="268" w:lineRule="exact"/>
            </w:pPr>
            <w:r>
              <w:t>56440;</w:t>
            </w:r>
          </w:p>
          <w:p w:rsidR="00D52CD2" w:rsidRDefault="00464A41">
            <w:pPr>
              <w:pStyle w:val="TableParagraph"/>
            </w:pPr>
            <w:r>
              <w:t>56513</w:t>
            </w:r>
          </w:p>
        </w:tc>
        <w:tc>
          <w:tcPr>
            <w:tcW w:w="1774" w:type="dxa"/>
          </w:tcPr>
          <w:p w:rsidR="00D52CD2" w:rsidRDefault="00464A41">
            <w:pPr>
              <w:pStyle w:val="TableParagraph"/>
              <w:ind w:right="494"/>
            </w:pPr>
            <w:r>
              <w:t>Get message transaction</w:t>
            </w:r>
          </w:p>
        </w:tc>
        <w:tc>
          <w:tcPr>
            <w:tcW w:w="2871" w:type="dxa"/>
          </w:tcPr>
          <w:p w:rsidR="00D52CD2" w:rsidRDefault="00464A41">
            <w:pPr>
              <w:pStyle w:val="TableParagraph"/>
              <w:spacing w:line="268" w:lineRule="exact"/>
              <w:ind w:left="100"/>
            </w:pPr>
            <w:r>
              <w:t>GetMessage</w:t>
            </w:r>
          </w:p>
        </w:tc>
        <w:tc>
          <w:tcPr>
            <w:tcW w:w="2336" w:type="dxa"/>
          </w:tcPr>
          <w:p w:rsidR="00D52CD2" w:rsidRDefault="00D52CD2"/>
        </w:tc>
      </w:tr>
      <w:tr w:rsidR="00D52CD2">
        <w:trPr>
          <w:trHeight w:hRule="exact" w:val="547"/>
        </w:trPr>
        <w:tc>
          <w:tcPr>
            <w:tcW w:w="1313" w:type="dxa"/>
          </w:tcPr>
          <w:p w:rsidR="00D52CD2" w:rsidRDefault="00464A41">
            <w:pPr>
              <w:pStyle w:val="TableParagraph"/>
              <w:spacing w:line="268" w:lineRule="exact"/>
            </w:pPr>
            <w:r>
              <w:t>56440;</w:t>
            </w:r>
          </w:p>
          <w:p w:rsidR="00D52CD2" w:rsidRDefault="00464A41">
            <w:pPr>
              <w:pStyle w:val="TableParagraph"/>
            </w:pPr>
            <w:r>
              <w:t>56513</w:t>
            </w:r>
          </w:p>
        </w:tc>
        <w:tc>
          <w:tcPr>
            <w:tcW w:w="1774" w:type="dxa"/>
          </w:tcPr>
          <w:p w:rsidR="00D52CD2" w:rsidRDefault="00464A41">
            <w:pPr>
              <w:pStyle w:val="TableParagraph"/>
              <w:ind w:right="221"/>
            </w:pPr>
            <w:r>
              <w:t>Status response transaction</w:t>
            </w:r>
          </w:p>
        </w:tc>
        <w:tc>
          <w:tcPr>
            <w:tcW w:w="2871" w:type="dxa"/>
          </w:tcPr>
          <w:p w:rsidR="00D52CD2" w:rsidRDefault="00464A41">
            <w:pPr>
              <w:pStyle w:val="TableParagraph"/>
              <w:spacing w:line="268" w:lineRule="exact"/>
              <w:ind w:left="100"/>
            </w:pPr>
            <w:r>
              <w:t>Status</w:t>
            </w:r>
          </w:p>
        </w:tc>
        <w:tc>
          <w:tcPr>
            <w:tcW w:w="2336" w:type="dxa"/>
          </w:tcPr>
          <w:p w:rsidR="00D52CD2" w:rsidRDefault="00D52CD2"/>
        </w:tc>
      </w:tr>
      <w:tr w:rsidR="00D52CD2">
        <w:trPr>
          <w:trHeight w:hRule="exact" w:val="548"/>
        </w:trPr>
        <w:tc>
          <w:tcPr>
            <w:tcW w:w="1313" w:type="dxa"/>
          </w:tcPr>
          <w:p w:rsidR="00D52CD2" w:rsidRDefault="00464A41">
            <w:pPr>
              <w:pStyle w:val="TableParagraph"/>
              <w:spacing w:line="268" w:lineRule="exact"/>
            </w:pPr>
            <w:r>
              <w:t>56440;</w:t>
            </w:r>
          </w:p>
          <w:p w:rsidR="00D52CD2" w:rsidRDefault="00464A41">
            <w:pPr>
              <w:pStyle w:val="TableParagraph"/>
              <w:spacing w:before="1"/>
            </w:pPr>
            <w:r>
              <w:t>56513</w:t>
            </w:r>
          </w:p>
        </w:tc>
        <w:tc>
          <w:tcPr>
            <w:tcW w:w="1774" w:type="dxa"/>
          </w:tcPr>
          <w:p w:rsidR="00D52CD2" w:rsidRDefault="00464A41">
            <w:pPr>
              <w:pStyle w:val="TableParagraph"/>
              <w:ind w:right="323"/>
            </w:pPr>
            <w:r>
              <w:t>Error response transaction</w:t>
            </w:r>
          </w:p>
        </w:tc>
        <w:tc>
          <w:tcPr>
            <w:tcW w:w="2871" w:type="dxa"/>
          </w:tcPr>
          <w:p w:rsidR="00D52CD2" w:rsidRDefault="00464A41">
            <w:pPr>
              <w:pStyle w:val="TableParagraph"/>
              <w:spacing w:line="268" w:lineRule="exact"/>
              <w:ind w:left="100"/>
            </w:pPr>
            <w:r>
              <w:t>Error</w:t>
            </w:r>
          </w:p>
        </w:tc>
        <w:tc>
          <w:tcPr>
            <w:tcW w:w="2336" w:type="dxa"/>
          </w:tcPr>
          <w:p w:rsidR="00D52CD2" w:rsidRDefault="00D52CD2"/>
        </w:tc>
      </w:tr>
      <w:tr w:rsidR="00D52CD2">
        <w:trPr>
          <w:trHeight w:hRule="exact" w:val="816"/>
        </w:trPr>
        <w:tc>
          <w:tcPr>
            <w:tcW w:w="1313" w:type="dxa"/>
          </w:tcPr>
          <w:p w:rsidR="00D52CD2" w:rsidRDefault="00464A41">
            <w:pPr>
              <w:pStyle w:val="TableParagraph"/>
              <w:spacing w:line="268" w:lineRule="exact"/>
            </w:pPr>
            <w:r>
              <w:t>56440</w:t>
            </w:r>
          </w:p>
        </w:tc>
        <w:tc>
          <w:tcPr>
            <w:tcW w:w="1774" w:type="dxa"/>
          </w:tcPr>
          <w:p w:rsidR="00D52CD2" w:rsidRDefault="00464A41">
            <w:pPr>
              <w:pStyle w:val="TableParagraph"/>
              <w:ind w:right="103"/>
            </w:pPr>
            <w:r>
              <w:t>New prescription request transaction</w:t>
            </w:r>
          </w:p>
        </w:tc>
        <w:tc>
          <w:tcPr>
            <w:tcW w:w="2871" w:type="dxa"/>
          </w:tcPr>
          <w:p w:rsidR="00D52CD2" w:rsidRDefault="00464A41">
            <w:pPr>
              <w:pStyle w:val="TableParagraph"/>
              <w:spacing w:line="268" w:lineRule="exact"/>
              <w:ind w:left="100"/>
            </w:pPr>
            <w:r>
              <w:t>NewRxRequest</w:t>
            </w:r>
          </w:p>
        </w:tc>
        <w:tc>
          <w:tcPr>
            <w:tcW w:w="2336" w:type="dxa"/>
          </w:tcPr>
          <w:p w:rsidR="00D52CD2" w:rsidRDefault="00D52CD2"/>
        </w:tc>
      </w:tr>
      <w:tr w:rsidR="00D52CD2">
        <w:trPr>
          <w:trHeight w:hRule="exact" w:val="816"/>
        </w:trPr>
        <w:tc>
          <w:tcPr>
            <w:tcW w:w="1313" w:type="dxa"/>
          </w:tcPr>
          <w:p w:rsidR="00D52CD2" w:rsidRDefault="00464A41">
            <w:pPr>
              <w:pStyle w:val="TableParagraph"/>
              <w:spacing w:line="268" w:lineRule="exact"/>
            </w:pPr>
            <w:r>
              <w:t>56440;</w:t>
            </w:r>
          </w:p>
          <w:p w:rsidR="00D52CD2" w:rsidRDefault="00464A41">
            <w:pPr>
              <w:pStyle w:val="TableParagraph"/>
            </w:pPr>
            <w:r>
              <w:t>56513</w:t>
            </w:r>
          </w:p>
        </w:tc>
        <w:tc>
          <w:tcPr>
            <w:tcW w:w="1774" w:type="dxa"/>
          </w:tcPr>
          <w:p w:rsidR="00D52CD2" w:rsidRDefault="00464A41">
            <w:pPr>
              <w:pStyle w:val="TableParagraph"/>
              <w:ind w:right="262"/>
            </w:pPr>
            <w:r>
              <w:t>Prescription change request transaction</w:t>
            </w:r>
          </w:p>
        </w:tc>
        <w:tc>
          <w:tcPr>
            <w:tcW w:w="2871" w:type="dxa"/>
          </w:tcPr>
          <w:p w:rsidR="00D52CD2" w:rsidRDefault="00464A41">
            <w:pPr>
              <w:pStyle w:val="TableParagraph"/>
              <w:spacing w:line="268" w:lineRule="exact"/>
              <w:ind w:left="100"/>
            </w:pPr>
            <w:r>
              <w:t>RxChangeRequest</w:t>
            </w:r>
          </w:p>
        </w:tc>
        <w:tc>
          <w:tcPr>
            <w:tcW w:w="2336" w:type="dxa"/>
          </w:tcPr>
          <w:p w:rsidR="00D52CD2" w:rsidRDefault="00D52CD2"/>
        </w:tc>
      </w:tr>
    </w:tbl>
    <w:p w:rsidR="00D52CD2" w:rsidRDefault="00D52CD2">
      <w:pPr>
        <w:sectPr w:rsidR="00D52CD2">
          <w:pgSz w:w="12240" w:h="15840"/>
          <w:pgMar w:top="1440" w:right="1320" w:bottom="1140" w:left="1340" w:header="0" w:footer="952" w:gutter="0"/>
          <w:cols w:space="720"/>
        </w:sect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3"/>
        <w:gridCol w:w="1774"/>
        <w:gridCol w:w="2871"/>
        <w:gridCol w:w="2336"/>
      </w:tblGrid>
      <w:tr w:rsidR="00D52CD2">
        <w:trPr>
          <w:trHeight w:hRule="exact" w:val="816"/>
        </w:trPr>
        <w:tc>
          <w:tcPr>
            <w:tcW w:w="1313" w:type="dxa"/>
          </w:tcPr>
          <w:p w:rsidR="00D52CD2" w:rsidRDefault="00464A41">
            <w:pPr>
              <w:pStyle w:val="TableParagraph"/>
              <w:spacing w:before="1" w:line="268" w:lineRule="exact"/>
            </w:pPr>
            <w:r>
              <w:lastRenderedPageBreak/>
              <w:t>56440;</w:t>
            </w:r>
          </w:p>
          <w:p w:rsidR="00D52CD2" w:rsidRDefault="00464A41">
            <w:pPr>
              <w:pStyle w:val="TableParagraph"/>
              <w:spacing w:line="268" w:lineRule="exact"/>
            </w:pPr>
            <w:r>
              <w:t>56513</w:t>
            </w:r>
          </w:p>
        </w:tc>
        <w:tc>
          <w:tcPr>
            <w:tcW w:w="1774" w:type="dxa"/>
          </w:tcPr>
          <w:p w:rsidR="00D52CD2" w:rsidRDefault="00464A41">
            <w:pPr>
              <w:pStyle w:val="TableParagraph"/>
              <w:spacing w:before="1"/>
              <w:ind w:right="134"/>
            </w:pPr>
            <w:r>
              <w:t>Prescription change response transaction</w:t>
            </w:r>
          </w:p>
        </w:tc>
        <w:tc>
          <w:tcPr>
            <w:tcW w:w="2871" w:type="dxa"/>
          </w:tcPr>
          <w:p w:rsidR="00D52CD2" w:rsidRDefault="00464A41">
            <w:pPr>
              <w:pStyle w:val="TableParagraph"/>
              <w:spacing w:before="1"/>
              <w:ind w:left="100"/>
            </w:pPr>
            <w:r>
              <w:t>RxChangeResponse</w:t>
            </w:r>
          </w:p>
        </w:tc>
        <w:tc>
          <w:tcPr>
            <w:tcW w:w="2336" w:type="dxa"/>
          </w:tcPr>
          <w:p w:rsidR="00D52CD2" w:rsidRDefault="00D52CD2"/>
        </w:tc>
      </w:tr>
      <w:tr w:rsidR="00D52CD2">
        <w:trPr>
          <w:trHeight w:hRule="exact" w:val="547"/>
        </w:trPr>
        <w:tc>
          <w:tcPr>
            <w:tcW w:w="1313" w:type="dxa"/>
          </w:tcPr>
          <w:p w:rsidR="00D52CD2" w:rsidRDefault="00464A41">
            <w:pPr>
              <w:pStyle w:val="TableParagraph"/>
              <w:spacing w:line="268" w:lineRule="exact"/>
            </w:pPr>
            <w:r>
              <w:t>56440;</w:t>
            </w:r>
          </w:p>
          <w:p w:rsidR="00D52CD2" w:rsidRDefault="00464A41">
            <w:pPr>
              <w:pStyle w:val="TableParagraph"/>
            </w:pPr>
            <w:r>
              <w:t>56513</w:t>
            </w:r>
          </w:p>
        </w:tc>
        <w:tc>
          <w:tcPr>
            <w:tcW w:w="1774" w:type="dxa"/>
          </w:tcPr>
          <w:p w:rsidR="00D52CD2" w:rsidRDefault="00464A41">
            <w:pPr>
              <w:pStyle w:val="TableParagraph"/>
              <w:ind w:right="608"/>
            </w:pPr>
            <w:r>
              <w:t>Verification transaction</w:t>
            </w:r>
          </w:p>
        </w:tc>
        <w:tc>
          <w:tcPr>
            <w:tcW w:w="2871" w:type="dxa"/>
          </w:tcPr>
          <w:p w:rsidR="00D52CD2" w:rsidRDefault="00464A41">
            <w:pPr>
              <w:pStyle w:val="TableParagraph"/>
              <w:spacing w:line="268" w:lineRule="exact"/>
              <w:ind w:left="100"/>
            </w:pPr>
            <w:r>
              <w:t>Verify</w:t>
            </w:r>
          </w:p>
        </w:tc>
        <w:tc>
          <w:tcPr>
            <w:tcW w:w="2336" w:type="dxa"/>
          </w:tcPr>
          <w:p w:rsidR="00D52CD2" w:rsidRDefault="00D52CD2"/>
        </w:tc>
      </w:tr>
      <w:tr w:rsidR="00D52CD2">
        <w:trPr>
          <w:trHeight w:hRule="exact" w:val="1085"/>
        </w:trPr>
        <w:tc>
          <w:tcPr>
            <w:tcW w:w="1313" w:type="dxa"/>
          </w:tcPr>
          <w:p w:rsidR="00D52CD2" w:rsidRDefault="00464A41">
            <w:pPr>
              <w:pStyle w:val="TableParagraph"/>
              <w:spacing w:line="268" w:lineRule="exact"/>
            </w:pPr>
            <w:r>
              <w:t>56440;</w:t>
            </w:r>
          </w:p>
          <w:p w:rsidR="00D52CD2" w:rsidRDefault="00464A41">
            <w:pPr>
              <w:pStyle w:val="TableParagraph"/>
            </w:pPr>
            <w:r>
              <w:t>56513</w:t>
            </w:r>
          </w:p>
        </w:tc>
        <w:tc>
          <w:tcPr>
            <w:tcW w:w="1774" w:type="dxa"/>
          </w:tcPr>
          <w:p w:rsidR="00D52CD2" w:rsidRDefault="00464A41">
            <w:pPr>
              <w:pStyle w:val="TableParagraph"/>
              <w:ind w:right="92"/>
            </w:pPr>
            <w:r>
              <w:t>Password change transaction</w:t>
            </w:r>
          </w:p>
        </w:tc>
        <w:tc>
          <w:tcPr>
            <w:tcW w:w="2871" w:type="dxa"/>
          </w:tcPr>
          <w:p w:rsidR="00D52CD2" w:rsidRDefault="00464A41">
            <w:pPr>
              <w:pStyle w:val="TableParagraph"/>
              <w:spacing w:line="268" w:lineRule="exact"/>
              <w:ind w:left="100"/>
            </w:pPr>
            <w:r>
              <w:t>N/A</w:t>
            </w:r>
          </w:p>
        </w:tc>
        <w:tc>
          <w:tcPr>
            <w:tcW w:w="2336" w:type="dxa"/>
          </w:tcPr>
          <w:p w:rsidR="00D52CD2" w:rsidRDefault="00464A41">
            <w:pPr>
              <w:pStyle w:val="TableParagraph"/>
              <w:ind w:right="267"/>
            </w:pPr>
            <w:r>
              <w:t>As stated in our comments, this transaction should be removed.</w:t>
            </w:r>
          </w:p>
        </w:tc>
      </w:tr>
      <w:tr w:rsidR="00D52CD2">
        <w:trPr>
          <w:trHeight w:hRule="exact" w:val="1085"/>
        </w:trPr>
        <w:tc>
          <w:tcPr>
            <w:tcW w:w="1313" w:type="dxa"/>
          </w:tcPr>
          <w:p w:rsidR="00D52CD2" w:rsidRDefault="00464A41">
            <w:pPr>
              <w:pStyle w:val="TableParagraph"/>
              <w:spacing w:line="268" w:lineRule="exact"/>
            </w:pPr>
            <w:r>
              <w:t>56440;</w:t>
            </w:r>
          </w:p>
          <w:p w:rsidR="00D52CD2" w:rsidRDefault="00464A41">
            <w:pPr>
              <w:pStyle w:val="TableParagraph"/>
            </w:pPr>
            <w:r>
              <w:t>56513</w:t>
            </w:r>
          </w:p>
        </w:tc>
        <w:tc>
          <w:tcPr>
            <w:tcW w:w="1774" w:type="dxa"/>
          </w:tcPr>
          <w:p w:rsidR="00D52CD2" w:rsidRDefault="00464A41">
            <w:pPr>
              <w:pStyle w:val="TableParagraph"/>
              <w:ind w:right="562"/>
            </w:pPr>
            <w:r>
              <w:t>Cancel prescription request transaction</w:t>
            </w:r>
          </w:p>
        </w:tc>
        <w:tc>
          <w:tcPr>
            <w:tcW w:w="2871" w:type="dxa"/>
          </w:tcPr>
          <w:p w:rsidR="00D52CD2" w:rsidRDefault="00464A41">
            <w:pPr>
              <w:pStyle w:val="TableParagraph"/>
              <w:spacing w:line="268" w:lineRule="exact"/>
              <w:ind w:left="100"/>
            </w:pPr>
            <w:r>
              <w:t>CancelRx</w:t>
            </w:r>
          </w:p>
        </w:tc>
        <w:tc>
          <w:tcPr>
            <w:tcW w:w="2336" w:type="dxa"/>
          </w:tcPr>
          <w:p w:rsidR="00D52CD2" w:rsidRDefault="00D52CD2"/>
        </w:tc>
      </w:tr>
      <w:tr w:rsidR="00D52CD2">
        <w:trPr>
          <w:trHeight w:hRule="exact" w:val="1085"/>
        </w:trPr>
        <w:tc>
          <w:tcPr>
            <w:tcW w:w="1313" w:type="dxa"/>
          </w:tcPr>
          <w:p w:rsidR="00D52CD2" w:rsidRDefault="00464A41">
            <w:pPr>
              <w:pStyle w:val="TableParagraph"/>
              <w:spacing w:line="268" w:lineRule="exact"/>
            </w:pPr>
            <w:r>
              <w:t>56440;</w:t>
            </w:r>
          </w:p>
          <w:p w:rsidR="00D52CD2" w:rsidRDefault="00464A41">
            <w:pPr>
              <w:pStyle w:val="TableParagraph"/>
              <w:spacing w:before="1"/>
            </w:pPr>
            <w:r>
              <w:t>56513</w:t>
            </w:r>
          </w:p>
        </w:tc>
        <w:tc>
          <w:tcPr>
            <w:tcW w:w="1774" w:type="dxa"/>
          </w:tcPr>
          <w:p w:rsidR="00D52CD2" w:rsidRDefault="00464A41">
            <w:pPr>
              <w:pStyle w:val="TableParagraph"/>
              <w:ind w:right="562"/>
            </w:pPr>
            <w:r>
              <w:t>Cancel prescription response transaction</w:t>
            </w:r>
          </w:p>
        </w:tc>
        <w:tc>
          <w:tcPr>
            <w:tcW w:w="2871" w:type="dxa"/>
          </w:tcPr>
          <w:p w:rsidR="00D52CD2" w:rsidRDefault="00464A41">
            <w:pPr>
              <w:pStyle w:val="TableParagraph"/>
              <w:spacing w:line="268" w:lineRule="exact"/>
              <w:ind w:left="100"/>
            </w:pPr>
            <w:r>
              <w:t>CancelRxResponse</w:t>
            </w:r>
          </w:p>
        </w:tc>
        <w:tc>
          <w:tcPr>
            <w:tcW w:w="2336" w:type="dxa"/>
          </w:tcPr>
          <w:p w:rsidR="00D52CD2" w:rsidRDefault="00D52CD2"/>
        </w:tc>
      </w:tr>
      <w:tr w:rsidR="00D52CD2">
        <w:trPr>
          <w:trHeight w:hRule="exact" w:val="547"/>
        </w:trPr>
        <w:tc>
          <w:tcPr>
            <w:tcW w:w="1313" w:type="dxa"/>
          </w:tcPr>
          <w:p w:rsidR="00D52CD2" w:rsidRDefault="00464A41">
            <w:pPr>
              <w:pStyle w:val="TableParagraph"/>
              <w:spacing w:line="268" w:lineRule="exact"/>
            </w:pPr>
            <w:r>
              <w:t>56440;</w:t>
            </w:r>
          </w:p>
          <w:p w:rsidR="00D52CD2" w:rsidRDefault="00464A41">
            <w:pPr>
              <w:pStyle w:val="TableParagraph"/>
            </w:pPr>
            <w:r>
              <w:t>56513</w:t>
            </w:r>
          </w:p>
        </w:tc>
        <w:tc>
          <w:tcPr>
            <w:tcW w:w="1774" w:type="dxa"/>
          </w:tcPr>
          <w:p w:rsidR="00D52CD2" w:rsidRDefault="00464A41">
            <w:pPr>
              <w:pStyle w:val="TableParagraph"/>
              <w:ind w:right="614"/>
            </w:pPr>
            <w:r>
              <w:t>Fill status notification</w:t>
            </w:r>
          </w:p>
        </w:tc>
        <w:tc>
          <w:tcPr>
            <w:tcW w:w="2871" w:type="dxa"/>
          </w:tcPr>
          <w:p w:rsidR="00D52CD2" w:rsidRDefault="00464A41">
            <w:pPr>
              <w:pStyle w:val="TableParagraph"/>
              <w:spacing w:line="268" w:lineRule="exact"/>
              <w:ind w:left="100"/>
            </w:pPr>
            <w:r>
              <w:t>RxFill</w:t>
            </w:r>
          </w:p>
        </w:tc>
        <w:tc>
          <w:tcPr>
            <w:tcW w:w="2336" w:type="dxa"/>
          </w:tcPr>
          <w:p w:rsidR="00D52CD2" w:rsidRDefault="00D52CD2"/>
        </w:tc>
      </w:tr>
      <w:tr w:rsidR="00D52CD2">
        <w:trPr>
          <w:trHeight w:hRule="exact" w:val="545"/>
        </w:trPr>
        <w:tc>
          <w:tcPr>
            <w:tcW w:w="1313" w:type="dxa"/>
          </w:tcPr>
          <w:p w:rsidR="00D52CD2" w:rsidRDefault="00464A41">
            <w:pPr>
              <w:pStyle w:val="TableParagraph"/>
              <w:spacing w:line="268" w:lineRule="exact"/>
            </w:pPr>
            <w:r>
              <w:t>56513</w:t>
            </w:r>
          </w:p>
        </w:tc>
        <w:tc>
          <w:tcPr>
            <w:tcW w:w="1774" w:type="dxa"/>
          </w:tcPr>
          <w:p w:rsidR="00D52CD2" w:rsidRDefault="00464A41">
            <w:pPr>
              <w:pStyle w:val="TableParagraph"/>
              <w:spacing w:before="1" w:line="237" w:lineRule="auto"/>
              <w:ind w:right="273"/>
            </w:pPr>
            <w:r>
              <w:t>REMS initiation request</w:t>
            </w:r>
          </w:p>
        </w:tc>
        <w:tc>
          <w:tcPr>
            <w:tcW w:w="2871" w:type="dxa"/>
          </w:tcPr>
          <w:p w:rsidR="00D52CD2" w:rsidRDefault="00464A41">
            <w:pPr>
              <w:pStyle w:val="TableParagraph"/>
              <w:spacing w:line="268" w:lineRule="exact"/>
              <w:ind w:left="100"/>
            </w:pPr>
            <w:r>
              <w:t>REMSInitiationRequest</w:t>
            </w:r>
          </w:p>
        </w:tc>
        <w:tc>
          <w:tcPr>
            <w:tcW w:w="2336" w:type="dxa"/>
          </w:tcPr>
          <w:p w:rsidR="00D52CD2" w:rsidRDefault="00D52CD2"/>
        </w:tc>
      </w:tr>
      <w:tr w:rsidR="00D52CD2">
        <w:trPr>
          <w:trHeight w:hRule="exact" w:val="547"/>
        </w:trPr>
        <w:tc>
          <w:tcPr>
            <w:tcW w:w="1313" w:type="dxa"/>
          </w:tcPr>
          <w:p w:rsidR="00D52CD2" w:rsidRDefault="00464A41">
            <w:pPr>
              <w:pStyle w:val="TableParagraph"/>
              <w:spacing w:before="1"/>
            </w:pPr>
            <w:r>
              <w:t>56513</w:t>
            </w:r>
          </w:p>
        </w:tc>
        <w:tc>
          <w:tcPr>
            <w:tcW w:w="1774" w:type="dxa"/>
          </w:tcPr>
          <w:p w:rsidR="00D52CD2" w:rsidRDefault="00464A41">
            <w:pPr>
              <w:pStyle w:val="TableParagraph"/>
              <w:spacing w:before="4" w:line="237" w:lineRule="auto"/>
              <w:ind w:right="273"/>
            </w:pPr>
            <w:r>
              <w:t>REMS initiation response</w:t>
            </w:r>
          </w:p>
        </w:tc>
        <w:tc>
          <w:tcPr>
            <w:tcW w:w="2871" w:type="dxa"/>
          </w:tcPr>
          <w:p w:rsidR="00D52CD2" w:rsidRDefault="00464A41">
            <w:pPr>
              <w:pStyle w:val="TableParagraph"/>
              <w:spacing w:before="1"/>
              <w:ind w:left="100"/>
            </w:pPr>
            <w:r>
              <w:t>REMSInitiationResponse</w:t>
            </w:r>
          </w:p>
        </w:tc>
        <w:tc>
          <w:tcPr>
            <w:tcW w:w="2336" w:type="dxa"/>
          </w:tcPr>
          <w:p w:rsidR="00D52CD2" w:rsidRDefault="00D52CD2"/>
        </w:tc>
      </w:tr>
      <w:tr w:rsidR="00D52CD2">
        <w:trPr>
          <w:trHeight w:hRule="exact" w:val="281"/>
        </w:trPr>
        <w:tc>
          <w:tcPr>
            <w:tcW w:w="1313" w:type="dxa"/>
          </w:tcPr>
          <w:p w:rsidR="00D52CD2" w:rsidRDefault="00464A41">
            <w:pPr>
              <w:pStyle w:val="TableParagraph"/>
              <w:spacing w:before="1"/>
            </w:pPr>
            <w:r>
              <w:t>56513</w:t>
            </w:r>
          </w:p>
        </w:tc>
        <w:tc>
          <w:tcPr>
            <w:tcW w:w="1774" w:type="dxa"/>
          </w:tcPr>
          <w:p w:rsidR="00D52CD2" w:rsidRDefault="00464A41">
            <w:pPr>
              <w:pStyle w:val="TableParagraph"/>
              <w:spacing w:before="1"/>
            </w:pPr>
            <w:r>
              <w:t>REMS request</w:t>
            </w:r>
          </w:p>
        </w:tc>
        <w:tc>
          <w:tcPr>
            <w:tcW w:w="2871" w:type="dxa"/>
          </w:tcPr>
          <w:p w:rsidR="00D52CD2" w:rsidRDefault="00464A41">
            <w:pPr>
              <w:pStyle w:val="TableParagraph"/>
              <w:spacing w:before="1"/>
              <w:ind w:left="100"/>
            </w:pPr>
            <w:r>
              <w:t>REMSRequest</w:t>
            </w:r>
          </w:p>
        </w:tc>
        <w:tc>
          <w:tcPr>
            <w:tcW w:w="2336" w:type="dxa"/>
          </w:tcPr>
          <w:p w:rsidR="00D52CD2" w:rsidRDefault="00D52CD2"/>
        </w:tc>
      </w:tr>
      <w:tr w:rsidR="00D52CD2">
        <w:trPr>
          <w:trHeight w:hRule="exact" w:val="547"/>
        </w:trPr>
        <w:tc>
          <w:tcPr>
            <w:tcW w:w="1313" w:type="dxa"/>
          </w:tcPr>
          <w:p w:rsidR="00D52CD2" w:rsidRDefault="00464A41">
            <w:pPr>
              <w:pStyle w:val="TableParagraph"/>
              <w:spacing w:line="268" w:lineRule="exact"/>
            </w:pPr>
            <w:r>
              <w:t>56513</w:t>
            </w:r>
          </w:p>
        </w:tc>
        <w:tc>
          <w:tcPr>
            <w:tcW w:w="1774" w:type="dxa"/>
          </w:tcPr>
          <w:p w:rsidR="00D52CD2" w:rsidRDefault="00464A41">
            <w:pPr>
              <w:pStyle w:val="TableParagraph"/>
              <w:spacing w:before="1" w:line="237" w:lineRule="auto"/>
              <w:ind w:right="103"/>
            </w:pPr>
            <w:r>
              <w:t>New prescription transaction</w:t>
            </w:r>
          </w:p>
        </w:tc>
        <w:tc>
          <w:tcPr>
            <w:tcW w:w="2871" w:type="dxa"/>
          </w:tcPr>
          <w:p w:rsidR="00D52CD2" w:rsidRDefault="00464A41">
            <w:pPr>
              <w:pStyle w:val="TableParagraph"/>
              <w:spacing w:line="268" w:lineRule="exact"/>
              <w:ind w:left="100"/>
            </w:pPr>
            <w:r>
              <w:t>NewRx</w:t>
            </w:r>
          </w:p>
        </w:tc>
        <w:tc>
          <w:tcPr>
            <w:tcW w:w="2336" w:type="dxa"/>
          </w:tcPr>
          <w:p w:rsidR="00D52CD2" w:rsidRDefault="00D52CD2"/>
        </w:tc>
      </w:tr>
    </w:tbl>
    <w:p w:rsidR="00D52CD2" w:rsidRDefault="00D52CD2">
      <w:pPr>
        <w:pStyle w:val="BodyText"/>
        <w:spacing w:before="11"/>
        <w:rPr>
          <w:sz w:val="18"/>
        </w:rPr>
      </w:pPr>
    </w:p>
    <w:p w:rsidR="00D52CD2" w:rsidRDefault="00464A41">
      <w:pPr>
        <w:pStyle w:val="Heading1"/>
        <w:spacing w:before="57"/>
      </w:pPr>
      <w:r>
        <w:t>PDX Comment:</w:t>
      </w:r>
    </w:p>
    <w:p w:rsidR="00D52CD2" w:rsidRDefault="00464A41">
      <w:pPr>
        <w:pStyle w:val="BodyText"/>
        <w:spacing w:before="22" w:line="259" w:lineRule="auto"/>
        <w:ind w:left="100" w:right="136"/>
      </w:pPr>
      <w:r>
        <w:t>We also request that the following ePA transactions be included in the named transactions as previously requested:</w:t>
      </w:r>
    </w:p>
    <w:p w:rsidR="00D52CD2" w:rsidRDefault="00464A41">
      <w:pPr>
        <w:pStyle w:val="ListParagraph"/>
        <w:numPr>
          <w:ilvl w:val="0"/>
          <w:numId w:val="7"/>
        </w:numPr>
        <w:tabs>
          <w:tab w:val="left" w:pos="820"/>
          <w:tab w:val="left" w:pos="821"/>
        </w:tabs>
        <w:spacing w:before="1"/>
        <w:ind w:hanging="406"/>
      </w:pPr>
      <w:r>
        <w:t>PAInitiationRequest</w:t>
      </w:r>
    </w:p>
    <w:p w:rsidR="00D52CD2" w:rsidRDefault="00464A41">
      <w:pPr>
        <w:pStyle w:val="ListParagraph"/>
        <w:numPr>
          <w:ilvl w:val="0"/>
          <w:numId w:val="7"/>
        </w:numPr>
        <w:tabs>
          <w:tab w:val="left" w:pos="820"/>
          <w:tab w:val="left" w:pos="821"/>
        </w:tabs>
        <w:spacing w:before="20"/>
        <w:ind w:left="820"/>
      </w:pPr>
      <w:r>
        <w:t>PAInitiationResponse</w:t>
      </w:r>
    </w:p>
    <w:p w:rsidR="00D52CD2" w:rsidRDefault="00464A41">
      <w:pPr>
        <w:pStyle w:val="ListParagraph"/>
        <w:numPr>
          <w:ilvl w:val="0"/>
          <w:numId w:val="7"/>
        </w:numPr>
        <w:tabs>
          <w:tab w:val="left" w:pos="820"/>
          <w:tab w:val="left" w:pos="821"/>
        </w:tabs>
        <w:spacing w:before="22"/>
        <w:ind w:left="820"/>
      </w:pPr>
      <w:r>
        <w:t>PARequest</w:t>
      </w:r>
    </w:p>
    <w:p w:rsidR="00D52CD2" w:rsidRDefault="00464A41">
      <w:pPr>
        <w:pStyle w:val="ListParagraph"/>
        <w:numPr>
          <w:ilvl w:val="0"/>
          <w:numId w:val="7"/>
        </w:numPr>
        <w:tabs>
          <w:tab w:val="left" w:pos="820"/>
          <w:tab w:val="left" w:pos="821"/>
        </w:tabs>
        <w:spacing w:before="22"/>
        <w:ind w:left="820"/>
      </w:pPr>
      <w:r>
        <w:t>PAResponse</w:t>
      </w:r>
    </w:p>
    <w:p w:rsidR="00D52CD2" w:rsidRDefault="00464A41">
      <w:pPr>
        <w:pStyle w:val="ListParagraph"/>
        <w:numPr>
          <w:ilvl w:val="0"/>
          <w:numId w:val="7"/>
        </w:numPr>
        <w:tabs>
          <w:tab w:val="left" w:pos="820"/>
          <w:tab w:val="left" w:pos="821"/>
        </w:tabs>
        <w:spacing w:before="20"/>
        <w:ind w:left="820"/>
      </w:pPr>
      <w:r>
        <w:t>PAAppealRequest</w:t>
      </w:r>
    </w:p>
    <w:p w:rsidR="00D52CD2" w:rsidRDefault="00464A41">
      <w:pPr>
        <w:pStyle w:val="ListParagraph"/>
        <w:numPr>
          <w:ilvl w:val="0"/>
          <w:numId w:val="7"/>
        </w:numPr>
        <w:tabs>
          <w:tab w:val="left" w:pos="820"/>
          <w:tab w:val="left" w:pos="821"/>
        </w:tabs>
        <w:spacing w:before="22"/>
        <w:ind w:left="820"/>
      </w:pPr>
      <w:r>
        <w:t>PAAppealResponse</w:t>
      </w:r>
    </w:p>
    <w:p w:rsidR="00D52CD2" w:rsidRDefault="00464A41">
      <w:pPr>
        <w:pStyle w:val="ListParagraph"/>
        <w:numPr>
          <w:ilvl w:val="0"/>
          <w:numId w:val="7"/>
        </w:numPr>
        <w:tabs>
          <w:tab w:val="left" w:pos="820"/>
          <w:tab w:val="left" w:pos="821"/>
        </w:tabs>
        <w:spacing w:before="19"/>
        <w:ind w:left="820"/>
      </w:pPr>
      <w:r>
        <w:t>PACancelRequest</w:t>
      </w:r>
    </w:p>
    <w:p w:rsidR="00D52CD2" w:rsidRDefault="00464A41">
      <w:pPr>
        <w:pStyle w:val="ListParagraph"/>
        <w:numPr>
          <w:ilvl w:val="0"/>
          <w:numId w:val="7"/>
        </w:numPr>
        <w:tabs>
          <w:tab w:val="left" w:pos="820"/>
          <w:tab w:val="left" w:pos="821"/>
        </w:tabs>
        <w:spacing w:before="21"/>
        <w:ind w:left="820"/>
      </w:pPr>
      <w:r>
        <w:t>PACancelResponse</w:t>
      </w:r>
    </w:p>
    <w:p w:rsidR="00D52CD2" w:rsidRDefault="00D52CD2">
      <w:pPr>
        <w:pStyle w:val="BodyText"/>
        <w:spacing w:before="4"/>
        <w:rPr>
          <w:sz w:val="25"/>
        </w:rPr>
      </w:pPr>
    </w:p>
    <w:p w:rsidR="00D52CD2" w:rsidRDefault="00464A41">
      <w:pPr>
        <w:pStyle w:val="BodyText"/>
        <w:ind w:left="100"/>
      </w:pPr>
      <w:r>
        <w:rPr>
          <w:color w:val="2E5395"/>
        </w:rPr>
        <w:t>56440: Password change transaction</w:t>
      </w:r>
    </w:p>
    <w:p w:rsidR="00D52CD2" w:rsidRDefault="00D52CD2">
      <w:pPr>
        <w:pStyle w:val="BodyText"/>
        <w:spacing w:before="6"/>
        <w:rPr>
          <w:sz w:val="25"/>
        </w:rPr>
      </w:pPr>
    </w:p>
    <w:p w:rsidR="00D52CD2" w:rsidRDefault="00464A41">
      <w:pPr>
        <w:pStyle w:val="Heading1"/>
      </w:pPr>
      <w:r>
        <w:t>PDX Comment:</w:t>
      </w:r>
    </w:p>
    <w:p w:rsidR="00D52CD2" w:rsidRDefault="00464A41">
      <w:pPr>
        <w:pStyle w:val="BodyText"/>
        <w:spacing w:before="21" w:line="259" w:lineRule="auto"/>
        <w:ind w:left="100" w:right="347"/>
      </w:pPr>
      <w:r>
        <w:t>While the Password Change Transaction is available in the 201707 SCRIPT Standard, the use of this transaction has been replaced with alternative enhanced security authentication measures. To ensure</w:t>
      </w:r>
    </w:p>
    <w:p w:rsidR="00D52CD2" w:rsidRDefault="00D52CD2">
      <w:pPr>
        <w:spacing w:line="259" w:lineRule="auto"/>
        <w:sectPr w:rsidR="00D52CD2">
          <w:pgSz w:w="12240" w:h="15840"/>
          <w:pgMar w:top="1440" w:right="1320" w:bottom="1140" w:left="1340" w:header="0" w:footer="952" w:gutter="0"/>
          <w:cols w:space="720"/>
        </w:sectPr>
      </w:pPr>
    </w:p>
    <w:p w:rsidR="00D52CD2" w:rsidRDefault="00464A41">
      <w:pPr>
        <w:pStyle w:val="BodyText"/>
        <w:spacing w:before="39" w:line="259" w:lineRule="auto"/>
        <w:ind w:left="100" w:right="319"/>
      </w:pPr>
      <w:r>
        <w:lastRenderedPageBreak/>
        <w:t>continuation of use of these documented securi</w:t>
      </w:r>
      <w:r>
        <w:t>ty measures, PDX asks that CMS remove the reference to the Password Change Transaction within the final rule.</w:t>
      </w:r>
    </w:p>
    <w:p w:rsidR="00D52CD2" w:rsidRDefault="00D52CD2">
      <w:pPr>
        <w:pStyle w:val="BodyText"/>
        <w:spacing w:before="9"/>
        <w:rPr>
          <w:sz w:val="23"/>
        </w:rPr>
      </w:pPr>
    </w:p>
    <w:p w:rsidR="00D52CD2" w:rsidRDefault="00464A41">
      <w:pPr>
        <w:pStyle w:val="BodyText"/>
        <w:ind w:left="100"/>
      </w:pPr>
      <w:r>
        <w:rPr>
          <w:color w:val="2E5395"/>
        </w:rPr>
        <w:t>56440: Propose to incorporate NCPDP SCRIPT version 2017071</w:t>
      </w:r>
    </w:p>
    <w:p w:rsidR="00D52CD2" w:rsidRDefault="00464A41">
      <w:pPr>
        <w:spacing w:before="18" w:line="259" w:lineRule="auto"/>
        <w:ind w:left="820" w:right="123" w:firstLine="50"/>
        <w:rPr>
          <w:i/>
        </w:rPr>
      </w:pPr>
      <w:r>
        <w:rPr>
          <w:i/>
        </w:rPr>
        <w:t>… we propose to incorporate NCPDP SCRIPT version 2017071 by reference in our regulatio</w:t>
      </w:r>
      <w:r>
        <w:rPr>
          <w:i/>
        </w:rPr>
        <w:t>ns. We seek comment regarding our proposed retirement of NCPDP SCRIPT version 10.6 on December 31, 2018 and adoption of NCPDP SCRIPT Version 2017071 on January 1, 2019 as the official Part D e-prescribing standard for the e-prescribing functions outlined i</w:t>
      </w:r>
      <w:r>
        <w:rPr>
          <w:i/>
        </w:rPr>
        <w:t>n our proposed § 423.160(b)(1)(v) and (b)(2)(v), and for medication history as outlined in our proposed § 423.160(b)(4), effective January 1, 2019. We are also soliciting comments regarding the impact of these proposed effective dates on industry and other</w:t>
      </w:r>
      <w:r>
        <w:rPr>
          <w:i/>
        </w:rPr>
        <w:t xml:space="preserve"> interested</w:t>
      </w:r>
      <w:r>
        <w:rPr>
          <w:i/>
          <w:spacing w:val="-29"/>
        </w:rPr>
        <w:t xml:space="preserve"> </w:t>
      </w:r>
      <w:r>
        <w:rPr>
          <w:i/>
        </w:rPr>
        <w:t>stakeholders.</w:t>
      </w:r>
    </w:p>
    <w:p w:rsidR="00D52CD2" w:rsidRDefault="00D52CD2">
      <w:pPr>
        <w:pStyle w:val="BodyText"/>
        <w:spacing w:before="9"/>
        <w:rPr>
          <w:i/>
          <w:sz w:val="23"/>
        </w:rPr>
      </w:pPr>
    </w:p>
    <w:p w:rsidR="00D52CD2" w:rsidRDefault="00464A41">
      <w:pPr>
        <w:pStyle w:val="Heading1"/>
      </w:pPr>
      <w:r>
        <w:t>PDX Comment:</w:t>
      </w:r>
    </w:p>
    <w:p w:rsidR="00D52CD2" w:rsidRDefault="00464A41">
      <w:pPr>
        <w:pStyle w:val="BodyText"/>
        <w:spacing w:before="20" w:line="259" w:lineRule="auto"/>
        <w:ind w:left="100" w:right="206"/>
        <w:jc w:val="both"/>
      </w:pPr>
      <w:r>
        <w:t>PDX concurs with NCPDP comments which request a transition period be added to the implementation timeline as has been done successfully in the past implementation of the SCRIPT standard. We also add additional reasons as to why we believe the timelines sho</w:t>
      </w:r>
      <w:r>
        <w:t>uld be extended.</w:t>
      </w:r>
    </w:p>
    <w:p w:rsidR="00D52CD2" w:rsidRDefault="00D52CD2">
      <w:pPr>
        <w:pStyle w:val="BodyText"/>
        <w:spacing w:before="7"/>
        <w:rPr>
          <w:sz w:val="23"/>
        </w:rPr>
      </w:pPr>
    </w:p>
    <w:p w:rsidR="00D52CD2" w:rsidRDefault="00464A41">
      <w:pPr>
        <w:pStyle w:val="BodyText"/>
        <w:spacing w:line="259" w:lineRule="auto"/>
        <w:ind w:left="100" w:right="201"/>
      </w:pPr>
      <w:r>
        <w:t>PDX requests voluntary use date of the new standard as of the effective date of the Final Rule. We also request a sunset date for SCRIPT Version 10.6 be 24 months from the effective date. Having the transition period will decrease the ris</w:t>
      </w:r>
      <w:r>
        <w:t>k of healthcare delivery delays and interruption. The transition from SCRIPT Version 8.1 to SCRIPT Version 10.6 took approximately three years and provided an opportunity for early adopters to identify any possible issues that may impact implementation and</w:t>
      </w:r>
      <w:r>
        <w:t xml:space="preserve"> develop remediation plans. Additionally, there are many actions that must happen prior to the mandated use of SCRIPT Version 2017071, PDX does not believe that items listed below can be accomplished by 01-01-2019. These actions by electronic prescribing/E</w:t>
      </w:r>
      <w:r>
        <w:t>HR vendors, pharmacy software vendors, prescribers, pharmacies, payers, and intermediaries who route transactions include:</w:t>
      </w:r>
    </w:p>
    <w:p w:rsidR="00D52CD2" w:rsidRDefault="00464A41">
      <w:pPr>
        <w:pStyle w:val="ListParagraph"/>
        <w:numPr>
          <w:ilvl w:val="0"/>
          <w:numId w:val="6"/>
        </w:numPr>
        <w:tabs>
          <w:tab w:val="left" w:pos="1540"/>
          <w:tab w:val="left" w:pos="1541"/>
        </w:tabs>
      </w:pPr>
      <w:r>
        <w:t>Initial gap analysis between existing and proposed standard</w:t>
      </w:r>
      <w:r>
        <w:rPr>
          <w:spacing w:val="-17"/>
        </w:rPr>
        <w:t xml:space="preserve"> </w:t>
      </w:r>
      <w:r>
        <w:t>adoption.</w:t>
      </w:r>
    </w:p>
    <w:p w:rsidR="00D52CD2" w:rsidRDefault="00464A41">
      <w:pPr>
        <w:pStyle w:val="ListParagraph"/>
        <w:numPr>
          <w:ilvl w:val="0"/>
          <w:numId w:val="6"/>
        </w:numPr>
        <w:tabs>
          <w:tab w:val="left" w:pos="1540"/>
          <w:tab w:val="left" w:pos="1541"/>
        </w:tabs>
        <w:spacing w:before="21"/>
      </w:pPr>
      <w:r>
        <w:t>Roadmap of timelines and budgeting for</w:t>
      </w:r>
      <w:r>
        <w:rPr>
          <w:spacing w:val="-13"/>
        </w:rPr>
        <w:t xml:space="preserve"> </w:t>
      </w:r>
      <w:r>
        <w:t>changes</w:t>
      </w:r>
    </w:p>
    <w:p w:rsidR="00D52CD2" w:rsidRDefault="00464A41">
      <w:pPr>
        <w:pStyle w:val="ListParagraph"/>
        <w:numPr>
          <w:ilvl w:val="0"/>
          <w:numId w:val="6"/>
        </w:numPr>
        <w:tabs>
          <w:tab w:val="left" w:pos="1540"/>
          <w:tab w:val="left" w:pos="1541"/>
        </w:tabs>
        <w:spacing w:before="20"/>
      </w:pPr>
      <w:r>
        <w:t>Detailed System</w:t>
      </w:r>
      <w:r>
        <w:rPr>
          <w:spacing w:val="-5"/>
        </w:rPr>
        <w:t xml:space="preserve"> </w:t>
      </w:r>
      <w:r>
        <w:t>Design</w:t>
      </w:r>
    </w:p>
    <w:p w:rsidR="00D52CD2" w:rsidRDefault="00464A41">
      <w:pPr>
        <w:pStyle w:val="ListParagraph"/>
        <w:numPr>
          <w:ilvl w:val="0"/>
          <w:numId w:val="6"/>
        </w:numPr>
        <w:tabs>
          <w:tab w:val="left" w:pos="1540"/>
          <w:tab w:val="left" w:pos="1541"/>
        </w:tabs>
        <w:spacing w:before="18"/>
      </w:pPr>
      <w:r>
        <w:t>Systems</w:t>
      </w:r>
      <w:r>
        <w:rPr>
          <w:spacing w:val="-7"/>
        </w:rPr>
        <w:t xml:space="preserve"> </w:t>
      </w:r>
      <w:r>
        <w:t>Development</w:t>
      </w:r>
    </w:p>
    <w:p w:rsidR="00D52CD2" w:rsidRDefault="00464A41">
      <w:pPr>
        <w:pStyle w:val="ListParagraph"/>
        <w:numPr>
          <w:ilvl w:val="0"/>
          <w:numId w:val="6"/>
        </w:numPr>
        <w:tabs>
          <w:tab w:val="left" w:pos="1540"/>
          <w:tab w:val="left" w:pos="1541"/>
        </w:tabs>
        <w:spacing w:before="21"/>
      </w:pPr>
      <w:r>
        <w:t>Quality Assurance Testing in various</w:t>
      </w:r>
      <w:r>
        <w:rPr>
          <w:spacing w:val="-10"/>
        </w:rPr>
        <w:t xml:space="preserve"> </w:t>
      </w:r>
      <w:r>
        <w:t>phases</w:t>
      </w:r>
    </w:p>
    <w:p w:rsidR="00D52CD2" w:rsidRDefault="00464A41">
      <w:pPr>
        <w:pStyle w:val="ListParagraph"/>
        <w:numPr>
          <w:ilvl w:val="1"/>
          <w:numId w:val="6"/>
        </w:numPr>
        <w:tabs>
          <w:tab w:val="left" w:pos="2260"/>
          <w:tab w:val="left" w:pos="2261"/>
        </w:tabs>
        <w:spacing w:before="21"/>
      </w:pPr>
      <w:r>
        <w:t>Initial</w:t>
      </w:r>
      <w:r>
        <w:rPr>
          <w:spacing w:val="-1"/>
        </w:rPr>
        <w:t xml:space="preserve"> </w:t>
      </w:r>
      <w:r>
        <w:t>Testing</w:t>
      </w:r>
    </w:p>
    <w:p w:rsidR="00D52CD2" w:rsidRDefault="00464A41">
      <w:pPr>
        <w:pStyle w:val="ListParagraph"/>
        <w:numPr>
          <w:ilvl w:val="1"/>
          <w:numId w:val="6"/>
        </w:numPr>
        <w:tabs>
          <w:tab w:val="left" w:pos="2260"/>
          <w:tab w:val="left" w:pos="2261"/>
        </w:tabs>
        <w:spacing w:before="22"/>
      </w:pPr>
      <w:r>
        <w:t>Alpha and Beta</w:t>
      </w:r>
      <w:r>
        <w:rPr>
          <w:spacing w:val="-4"/>
        </w:rPr>
        <w:t xml:space="preserve"> </w:t>
      </w:r>
      <w:r>
        <w:t>Testing</w:t>
      </w:r>
    </w:p>
    <w:p w:rsidR="00D52CD2" w:rsidRDefault="00464A41">
      <w:pPr>
        <w:pStyle w:val="ListParagraph"/>
        <w:numPr>
          <w:ilvl w:val="1"/>
          <w:numId w:val="6"/>
        </w:numPr>
        <w:tabs>
          <w:tab w:val="left" w:pos="2260"/>
          <w:tab w:val="left" w:pos="2261"/>
        </w:tabs>
        <w:spacing w:before="19"/>
      </w:pPr>
      <w:r>
        <w:t>End User Pre-Implementation</w:t>
      </w:r>
      <w:r>
        <w:rPr>
          <w:spacing w:val="-16"/>
        </w:rPr>
        <w:t xml:space="preserve"> </w:t>
      </w:r>
      <w:r>
        <w:t>Testing</w:t>
      </w:r>
    </w:p>
    <w:p w:rsidR="00D52CD2" w:rsidRDefault="00464A41">
      <w:pPr>
        <w:pStyle w:val="ListParagraph"/>
        <w:numPr>
          <w:ilvl w:val="0"/>
          <w:numId w:val="6"/>
        </w:numPr>
        <w:tabs>
          <w:tab w:val="left" w:pos="1540"/>
          <w:tab w:val="left" w:pos="1541"/>
        </w:tabs>
        <w:spacing w:before="21"/>
      </w:pPr>
      <w:r>
        <w:t>Implementation</w:t>
      </w:r>
      <w:r>
        <w:rPr>
          <w:spacing w:val="-5"/>
        </w:rPr>
        <w:t xml:space="preserve"> </w:t>
      </w:r>
      <w:r>
        <w:t>Considerations</w:t>
      </w:r>
    </w:p>
    <w:p w:rsidR="00D52CD2" w:rsidRDefault="00464A41">
      <w:pPr>
        <w:pStyle w:val="ListParagraph"/>
        <w:numPr>
          <w:ilvl w:val="1"/>
          <w:numId w:val="6"/>
        </w:numPr>
        <w:tabs>
          <w:tab w:val="left" w:pos="2260"/>
          <w:tab w:val="left" w:pos="2261"/>
        </w:tabs>
        <w:spacing w:before="20"/>
      </w:pPr>
      <w:r>
        <w:t>Software and standards certification with</w:t>
      </w:r>
      <w:r>
        <w:rPr>
          <w:spacing w:val="-11"/>
        </w:rPr>
        <w:t xml:space="preserve"> </w:t>
      </w:r>
      <w:r>
        <w:t>intermediaries</w:t>
      </w:r>
    </w:p>
    <w:p w:rsidR="00D52CD2" w:rsidRDefault="00464A41">
      <w:pPr>
        <w:pStyle w:val="ListParagraph"/>
        <w:numPr>
          <w:ilvl w:val="1"/>
          <w:numId w:val="6"/>
        </w:numPr>
        <w:tabs>
          <w:tab w:val="left" w:pos="2260"/>
          <w:tab w:val="left" w:pos="2261"/>
        </w:tabs>
        <w:spacing w:before="21"/>
      </w:pPr>
      <w:r>
        <w:t>End User Procedures documentation and</w:t>
      </w:r>
      <w:r>
        <w:rPr>
          <w:spacing w:val="-11"/>
        </w:rPr>
        <w:t xml:space="preserve"> </w:t>
      </w:r>
      <w:r>
        <w:t>training</w:t>
      </w:r>
    </w:p>
    <w:p w:rsidR="00D52CD2" w:rsidRDefault="00464A41">
      <w:pPr>
        <w:pStyle w:val="ListParagraph"/>
        <w:numPr>
          <w:ilvl w:val="1"/>
          <w:numId w:val="6"/>
        </w:numPr>
        <w:tabs>
          <w:tab w:val="left" w:pos="2260"/>
          <w:tab w:val="left" w:pos="2261"/>
        </w:tabs>
        <w:spacing w:before="19"/>
      </w:pPr>
      <w:r>
        <w:t>Software deployment</w:t>
      </w:r>
      <w:r>
        <w:rPr>
          <w:spacing w:val="-13"/>
        </w:rPr>
        <w:t xml:space="preserve"> </w:t>
      </w:r>
      <w:r>
        <w:t>schedules</w:t>
      </w:r>
    </w:p>
    <w:p w:rsidR="00D52CD2" w:rsidRDefault="00464A41">
      <w:pPr>
        <w:pStyle w:val="ListParagraph"/>
        <w:numPr>
          <w:ilvl w:val="0"/>
          <w:numId w:val="6"/>
        </w:numPr>
        <w:tabs>
          <w:tab w:val="left" w:pos="1540"/>
          <w:tab w:val="left" w:pos="1541"/>
        </w:tabs>
        <w:spacing w:before="21" w:line="259" w:lineRule="auto"/>
        <w:ind w:right="201"/>
      </w:pPr>
      <w:r>
        <w:t>DEA Audits associated with electronic prescribing of controlled substances (EPCS) are required every two years. A short implementation period as proposed in the NPRM could require</w:t>
      </w:r>
      <w:r>
        <w:t xml:space="preserve"> virtually every entity involved in ePrescribing to conduct a costly and time consuming out of cycle audit. Given that many states are requiring or proposing mandatory EPCS</w:t>
      </w:r>
      <w:r>
        <w:rPr>
          <w:spacing w:val="-35"/>
        </w:rPr>
        <w:t xml:space="preserve"> </w:t>
      </w:r>
      <w:r>
        <w:t>due to the nationally declared opioid crisis, it could negatively impact</w:t>
      </w:r>
    </w:p>
    <w:p w:rsidR="00D52CD2" w:rsidRDefault="00D52CD2">
      <w:pPr>
        <w:spacing w:line="259" w:lineRule="auto"/>
        <w:sectPr w:rsidR="00D52CD2">
          <w:pgSz w:w="12240" w:h="15840"/>
          <w:pgMar w:top="1400" w:right="1320" w:bottom="1200" w:left="1340" w:header="0" w:footer="952" w:gutter="0"/>
          <w:cols w:space="720"/>
        </w:sectPr>
      </w:pPr>
    </w:p>
    <w:p w:rsidR="00D52CD2" w:rsidRDefault="00464A41">
      <w:pPr>
        <w:pStyle w:val="BodyText"/>
        <w:spacing w:before="39" w:line="259" w:lineRule="auto"/>
        <w:ind w:left="1540" w:right="201"/>
      </w:pPr>
      <w:r>
        <w:lastRenderedPageBreak/>
        <w:t>the ability to use the important tool of EPCS used to combat diversion of opioid and other controlled substance prescriptions.</w:t>
      </w:r>
    </w:p>
    <w:p w:rsidR="00D52CD2" w:rsidRDefault="00D52CD2">
      <w:pPr>
        <w:pStyle w:val="BodyText"/>
      </w:pPr>
    </w:p>
    <w:p w:rsidR="00D52CD2" w:rsidRDefault="00D52CD2">
      <w:pPr>
        <w:pStyle w:val="BodyText"/>
        <w:spacing w:before="4"/>
        <w:rPr>
          <w:sz w:val="25"/>
        </w:rPr>
      </w:pPr>
    </w:p>
    <w:p w:rsidR="00D52CD2" w:rsidRDefault="00464A41">
      <w:pPr>
        <w:pStyle w:val="BodyText"/>
        <w:spacing w:line="259" w:lineRule="auto"/>
        <w:ind w:left="100" w:right="253"/>
      </w:pPr>
      <w:r>
        <w:t>PDX recommends the regulatory compliance date for the NCPDP SCRIPT Standard Version 2017071 not occur between No</w:t>
      </w:r>
      <w:r>
        <w:t>vember 1 and January 31 due to the following reasons.</w:t>
      </w:r>
    </w:p>
    <w:p w:rsidR="00D52CD2" w:rsidRDefault="00464A41">
      <w:pPr>
        <w:pStyle w:val="ListParagraph"/>
        <w:numPr>
          <w:ilvl w:val="0"/>
          <w:numId w:val="7"/>
        </w:numPr>
        <w:tabs>
          <w:tab w:val="left" w:pos="865"/>
          <w:tab w:val="left" w:pos="866"/>
        </w:tabs>
        <w:spacing w:line="259" w:lineRule="auto"/>
        <w:ind w:right="404"/>
      </w:pPr>
      <w:r>
        <w:t>January 1 is the traditional date for both Medicare Part D and other plan year changes. We believe that compliance with the new SCRIPT version deserves its own timeline. A unique timeline would minimize</w:t>
      </w:r>
      <w:r>
        <w:t xml:space="preserve"> the risk of healthcare delivery delays and interruptions by not being coupled with the risks associated with the normal processing and administrative changes occurring with a new plan</w:t>
      </w:r>
      <w:r>
        <w:rPr>
          <w:spacing w:val="-5"/>
        </w:rPr>
        <w:t xml:space="preserve"> </w:t>
      </w:r>
      <w:r>
        <w:t>year.</w:t>
      </w:r>
    </w:p>
    <w:p w:rsidR="00D52CD2" w:rsidRDefault="00464A41">
      <w:pPr>
        <w:pStyle w:val="ListParagraph"/>
        <w:numPr>
          <w:ilvl w:val="0"/>
          <w:numId w:val="7"/>
        </w:numPr>
        <w:tabs>
          <w:tab w:val="left" w:pos="865"/>
          <w:tab w:val="left" w:pos="866"/>
        </w:tabs>
        <w:spacing w:line="259" w:lineRule="auto"/>
        <w:ind w:right="171"/>
      </w:pPr>
      <w:r>
        <w:t>Starting mid-November and running through mid-January, many pharm</w:t>
      </w:r>
      <w:r>
        <w:t xml:space="preserve">acies initiate what is called “code freeze” whereby software updates are </w:t>
      </w:r>
      <w:r>
        <w:rPr>
          <w:spacing w:val="-2"/>
        </w:rPr>
        <w:t xml:space="preserve">not </w:t>
      </w:r>
      <w:r>
        <w:t>performed on the systems to limit the possibility of disruptions to health care delivery and patient safety during the potential chaos of the first of the year plan</w:t>
      </w:r>
      <w:r>
        <w:rPr>
          <w:spacing w:val="-13"/>
        </w:rPr>
        <w:t xml:space="preserve"> </w:t>
      </w:r>
      <w:r>
        <w:t>changes.</w:t>
      </w:r>
    </w:p>
    <w:p w:rsidR="00D52CD2" w:rsidRDefault="00D52CD2">
      <w:pPr>
        <w:pStyle w:val="BodyText"/>
        <w:spacing w:before="6"/>
        <w:rPr>
          <w:sz w:val="23"/>
        </w:rPr>
      </w:pPr>
    </w:p>
    <w:p w:rsidR="00D52CD2" w:rsidRDefault="00464A41">
      <w:pPr>
        <w:pStyle w:val="BodyText"/>
        <w:spacing w:before="1"/>
        <w:ind w:left="100"/>
      </w:pPr>
      <w:r>
        <w:rPr>
          <w:color w:val="2E5395"/>
        </w:rPr>
        <w:t>5651</w:t>
      </w:r>
      <w:r>
        <w:rPr>
          <w:color w:val="2E5395"/>
        </w:rPr>
        <w:t>4: Medication history</w:t>
      </w:r>
    </w:p>
    <w:p w:rsidR="00D52CD2" w:rsidRDefault="00464A41">
      <w:pPr>
        <w:spacing w:before="22"/>
        <w:ind w:left="870"/>
        <w:rPr>
          <w:i/>
        </w:rPr>
      </w:pPr>
      <w:r>
        <w:rPr>
          <w:i/>
        </w:rPr>
        <w:t>(4) Medication history.</w:t>
      </w:r>
    </w:p>
    <w:p w:rsidR="00D52CD2" w:rsidRDefault="00D52CD2">
      <w:pPr>
        <w:pStyle w:val="BodyText"/>
        <w:spacing w:before="7"/>
        <w:rPr>
          <w:i/>
          <w:sz w:val="25"/>
        </w:rPr>
      </w:pPr>
    </w:p>
    <w:p w:rsidR="00D52CD2" w:rsidRDefault="00464A41">
      <w:pPr>
        <w:pStyle w:val="Heading1"/>
        <w:rPr>
          <w:b w:val="0"/>
        </w:rPr>
      </w:pPr>
      <w:r>
        <w:t>PDX Comment</w:t>
      </w:r>
      <w:r>
        <w:rPr>
          <w:b w:val="0"/>
        </w:rPr>
        <w:t>:</w:t>
      </w:r>
    </w:p>
    <w:p w:rsidR="00D52CD2" w:rsidRDefault="00464A41">
      <w:pPr>
        <w:pStyle w:val="BodyText"/>
        <w:spacing w:before="19" w:line="259" w:lineRule="auto"/>
        <w:ind w:left="100" w:right="105"/>
      </w:pPr>
      <w:r>
        <w:t>PDX concurs with NCPDP comments requesting CMS add medication history transactions to the list of transactions detailed in this rule. The use of the RxHistoryRequest and RxHistoryResponse transactions are an effective tool to help combat the opioid crisis.</w:t>
      </w:r>
      <w:r>
        <w:t xml:space="preserve"> These transactions are currently being used as Meaningful Use (MU) criteria and in states which allow for prescribers and pharmacies to obtain data from Prescription Drug Monitoring Programs (PDMP) to assist in clinical decisions for possible overuse or m</w:t>
      </w:r>
      <w:r>
        <w:t>isuse of controlled substances.</w:t>
      </w:r>
    </w:p>
    <w:p w:rsidR="00D52CD2" w:rsidRDefault="00D52CD2">
      <w:pPr>
        <w:pStyle w:val="BodyText"/>
        <w:spacing w:before="6"/>
        <w:rPr>
          <w:sz w:val="23"/>
        </w:rPr>
      </w:pPr>
    </w:p>
    <w:p w:rsidR="00D52CD2" w:rsidRDefault="00464A41">
      <w:pPr>
        <w:pStyle w:val="Heading2"/>
        <w:spacing w:line="266" w:lineRule="exact"/>
        <w:ind w:right="632"/>
      </w:pPr>
      <w:r>
        <w:t xml:space="preserve">Request for Information Regarding the Application of Manufacturer Rebates and Pharmacy Price </w:t>
      </w:r>
      <w:r>
        <w:t>Concessions to Drug Prices at the Point of Sale</w:t>
      </w:r>
    </w:p>
    <w:p w:rsidR="00D52CD2" w:rsidRDefault="00D52CD2">
      <w:pPr>
        <w:pStyle w:val="BodyText"/>
        <w:spacing w:before="7"/>
        <w:rPr>
          <w:b/>
          <w:i/>
          <w:sz w:val="27"/>
        </w:rPr>
      </w:pPr>
    </w:p>
    <w:p w:rsidR="00D52CD2" w:rsidRDefault="00464A41">
      <w:pPr>
        <w:pStyle w:val="BodyText"/>
        <w:ind w:left="100"/>
      </w:pPr>
      <w:r>
        <w:rPr>
          <w:color w:val="2E5395"/>
        </w:rPr>
        <w:t>General Comments</w:t>
      </w:r>
    </w:p>
    <w:p w:rsidR="00D52CD2" w:rsidRDefault="00D52CD2">
      <w:pPr>
        <w:pStyle w:val="BodyText"/>
        <w:spacing w:before="4"/>
        <w:rPr>
          <w:sz w:val="25"/>
        </w:rPr>
      </w:pPr>
    </w:p>
    <w:p w:rsidR="00D52CD2" w:rsidRDefault="00464A41">
      <w:pPr>
        <w:pStyle w:val="BodyText"/>
        <w:spacing w:line="259" w:lineRule="auto"/>
        <w:ind w:left="100" w:right="262"/>
      </w:pPr>
      <w:r>
        <w:t>PDX acknowledges that the use of manufacturer rebates by Plan s</w:t>
      </w:r>
      <w:r>
        <w:t>ponsors or their PBMS, and price concessions for the pharmacies is a complicated issue. We also believe that transparency of these pricing issues between not only Plan sponsors/PBMS and CMS, but also between plans and pharmacies at point of service is crit</w:t>
      </w:r>
      <w:r>
        <w:t>ical to providing the lowest cost to Part D beneficiaries and the lowest drug spend for CMS. However, we respectfully request CMS be mindful that many of the programs implemented by the plan sponsors have adversely affected many community pharmacies and th</w:t>
      </w:r>
      <w:r>
        <w:t>eir bottom line which could ultimately impact beneficiary access to care, medication adherence, and their needed medications.</w:t>
      </w:r>
    </w:p>
    <w:p w:rsidR="00D52CD2" w:rsidRDefault="00D52CD2">
      <w:pPr>
        <w:pStyle w:val="BodyText"/>
        <w:spacing w:before="7"/>
        <w:rPr>
          <w:sz w:val="23"/>
        </w:rPr>
      </w:pPr>
    </w:p>
    <w:p w:rsidR="00D52CD2" w:rsidRDefault="00464A41">
      <w:pPr>
        <w:pStyle w:val="BodyText"/>
        <w:spacing w:line="259" w:lineRule="auto"/>
        <w:ind w:left="100" w:right="491"/>
      </w:pPr>
      <w:r>
        <w:t>First, PDX recommends that CMS should clarify how DIR Fees reported by the Plans/PBMS to CMS to provide a clear distinction betwe</w:t>
      </w:r>
      <w:r>
        <w:t>en:</w:t>
      </w:r>
    </w:p>
    <w:p w:rsidR="00D52CD2" w:rsidRDefault="00464A41">
      <w:pPr>
        <w:pStyle w:val="ListParagraph"/>
        <w:numPr>
          <w:ilvl w:val="0"/>
          <w:numId w:val="7"/>
        </w:numPr>
        <w:tabs>
          <w:tab w:val="left" w:pos="820"/>
          <w:tab w:val="left" w:pos="821"/>
        </w:tabs>
        <w:spacing w:before="158"/>
        <w:ind w:left="820"/>
      </w:pPr>
      <w:r>
        <w:t>Manufacture</w:t>
      </w:r>
      <w:r>
        <w:rPr>
          <w:spacing w:val="-8"/>
        </w:rPr>
        <w:t xml:space="preserve"> </w:t>
      </w:r>
      <w:r>
        <w:t>Rebates</w:t>
      </w:r>
    </w:p>
    <w:p w:rsidR="00D52CD2" w:rsidRDefault="00D52CD2">
      <w:pPr>
        <w:sectPr w:rsidR="00D52CD2">
          <w:pgSz w:w="12240" w:h="15840"/>
          <w:pgMar w:top="1400" w:right="1320" w:bottom="1200" w:left="1340" w:header="0" w:footer="952" w:gutter="0"/>
          <w:cols w:space="720"/>
        </w:sectPr>
      </w:pPr>
    </w:p>
    <w:p w:rsidR="00D52CD2" w:rsidRDefault="00464A41">
      <w:pPr>
        <w:pStyle w:val="ListParagraph"/>
        <w:numPr>
          <w:ilvl w:val="0"/>
          <w:numId w:val="7"/>
        </w:numPr>
        <w:tabs>
          <w:tab w:val="left" w:pos="820"/>
          <w:tab w:val="left" w:pos="821"/>
        </w:tabs>
        <w:spacing w:before="79"/>
        <w:ind w:left="820"/>
      </w:pPr>
      <w:r>
        <w:lastRenderedPageBreak/>
        <w:t>Price Concessions or penalties applied to the pharmacy</w:t>
      </w:r>
      <w:r>
        <w:rPr>
          <w:spacing w:val="-17"/>
        </w:rPr>
        <w:t xml:space="preserve"> </w:t>
      </w:r>
      <w:r>
        <w:t>providers</w:t>
      </w:r>
    </w:p>
    <w:p w:rsidR="00D52CD2" w:rsidRDefault="00464A41">
      <w:pPr>
        <w:pStyle w:val="BodyText"/>
        <w:spacing w:before="182" w:line="259" w:lineRule="auto"/>
        <w:ind w:left="100" w:right="1454"/>
      </w:pPr>
      <w:r>
        <w:t>Second, CMS should provide clear categories of reporting the different types of price concessions applied to pharmacies including but not limited to:</w:t>
      </w:r>
    </w:p>
    <w:p w:rsidR="00D52CD2" w:rsidRDefault="00464A41">
      <w:pPr>
        <w:pStyle w:val="ListParagraph"/>
        <w:numPr>
          <w:ilvl w:val="0"/>
          <w:numId w:val="7"/>
        </w:numPr>
        <w:tabs>
          <w:tab w:val="left" w:pos="865"/>
          <w:tab w:val="left" w:pos="866"/>
        </w:tabs>
        <w:spacing w:before="158"/>
      </w:pPr>
      <w:r>
        <w:t>“Pay to Play” fees for network</w:t>
      </w:r>
      <w:r>
        <w:rPr>
          <w:spacing w:val="-10"/>
        </w:rPr>
        <w:t xml:space="preserve"> </w:t>
      </w:r>
      <w:r>
        <w:t>participation</w:t>
      </w:r>
    </w:p>
    <w:p w:rsidR="00D52CD2" w:rsidRDefault="00464A41">
      <w:pPr>
        <w:pStyle w:val="ListParagraph"/>
        <w:numPr>
          <w:ilvl w:val="0"/>
          <w:numId w:val="7"/>
        </w:numPr>
        <w:tabs>
          <w:tab w:val="left" w:pos="865"/>
          <w:tab w:val="left" w:pos="866"/>
        </w:tabs>
        <w:spacing w:before="21" w:line="256" w:lineRule="auto"/>
        <w:ind w:right="1988"/>
      </w:pPr>
      <w:r>
        <w:t>Price concessions for performance metrics (e.g. medication adherence, medication synchronization, brand/generic dispensing ratios, audit</w:t>
      </w:r>
      <w:r>
        <w:rPr>
          <w:spacing w:val="-24"/>
        </w:rPr>
        <w:t xml:space="preserve"> </w:t>
      </w:r>
      <w:r>
        <w:t>results)</w:t>
      </w:r>
    </w:p>
    <w:p w:rsidR="00D52CD2" w:rsidRDefault="00464A41">
      <w:pPr>
        <w:pStyle w:val="ListParagraph"/>
        <w:numPr>
          <w:ilvl w:val="0"/>
          <w:numId w:val="7"/>
        </w:numPr>
        <w:tabs>
          <w:tab w:val="left" w:pos="865"/>
          <w:tab w:val="left" w:pos="866"/>
        </w:tabs>
        <w:spacing w:before="3" w:line="259" w:lineRule="auto"/>
        <w:ind w:right="938"/>
      </w:pPr>
      <w:r>
        <w:t>Discrepancies between the target reimbursement rate in pharmacy a</w:t>
      </w:r>
      <w:r>
        <w:t>greements and</w:t>
      </w:r>
      <w:r>
        <w:rPr>
          <w:spacing w:val="-28"/>
        </w:rPr>
        <w:t xml:space="preserve"> </w:t>
      </w:r>
      <w:r>
        <w:t>aggregate contracted</w:t>
      </w:r>
      <w:r>
        <w:rPr>
          <w:spacing w:val="-3"/>
        </w:rPr>
        <w:t xml:space="preserve"> </w:t>
      </w:r>
      <w:r>
        <w:t>rate</w:t>
      </w:r>
    </w:p>
    <w:p w:rsidR="00D52CD2" w:rsidRDefault="00464A41">
      <w:pPr>
        <w:pStyle w:val="BodyText"/>
        <w:spacing w:before="159" w:line="259" w:lineRule="auto"/>
        <w:ind w:left="100" w:right="805"/>
      </w:pPr>
      <w:r>
        <w:t>Third, CMS should require a refinement or replacement of the “reasonably estimated at point of sale” to require the majority of pharmacy price concession to be reported at POS. The table below effectively demonstrate</w:t>
      </w:r>
      <w:r>
        <w:t>s the impact of retroactive DIR fees for 3 reporting periods in 2017. It clearly shows how a pharmacy assumes a net profit on an adjudicated claim and point of service, which quickly becomes a net loss once price concessions are applied. In many cases, the</w:t>
      </w:r>
      <w:r>
        <w:t>se fees impact pharmacy to the point of a prescription which appeared to have a net profit, becomes a net loss.</w:t>
      </w:r>
    </w:p>
    <w:p w:rsidR="00D52CD2" w:rsidRDefault="00D52CD2">
      <w:pPr>
        <w:pStyle w:val="BodyText"/>
        <w:spacing w:after="1"/>
        <w:rPr>
          <w:sz w:val="13"/>
        </w:rPr>
      </w:pPr>
    </w:p>
    <w:tbl>
      <w:tblPr>
        <w:tblW w:w="0" w:type="auto"/>
        <w:tblInd w:w="10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1E0" w:firstRow="1" w:lastRow="1" w:firstColumn="1" w:lastColumn="1" w:noHBand="0" w:noVBand="0"/>
      </w:tblPr>
      <w:tblGrid>
        <w:gridCol w:w="2081"/>
        <w:gridCol w:w="1421"/>
        <w:gridCol w:w="1700"/>
        <w:gridCol w:w="1200"/>
        <w:gridCol w:w="2081"/>
        <w:gridCol w:w="1538"/>
      </w:tblGrid>
      <w:tr w:rsidR="00D52CD2">
        <w:trPr>
          <w:trHeight w:hRule="exact" w:val="341"/>
        </w:trPr>
        <w:tc>
          <w:tcPr>
            <w:tcW w:w="2081" w:type="dxa"/>
            <w:tcBorders>
              <w:top w:val="nil"/>
              <w:bottom w:val="single" w:sz="4" w:space="0" w:color="FFFFFF"/>
              <w:right w:val="single" w:sz="4" w:space="0" w:color="000000"/>
            </w:tcBorders>
            <w:shd w:val="clear" w:color="auto" w:fill="404040"/>
          </w:tcPr>
          <w:p w:rsidR="00D52CD2" w:rsidRDefault="00D52CD2"/>
        </w:tc>
        <w:tc>
          <w:tcPr>
            <w:tcW w:w="1421" w:type="dxa"/>
            <w:vMerge w:val="restart"/>
            <w:tcBorders>
              <w:top w:val="single" w:sz="4" w:space="0" w:color="000000"/>
              <w:left w:val="single" w:sz="4" w:space="0" w:color="000000"/>
              <w:right w:val="single" w:sz="4" w:space="0" w:color="000000"/>
            </w:tcBorders>
            <w:shd w:val="clear" w:color="auto" w:fill="404040"/>
          </w:tcPr>
          <w:p w:rsidR="00D52CD2" w:rsidRDefault="00D52CD2">
            <w:pPr>
              <w:pStyle w:val="TableParagraph"/>
              <w:ind w:left="0"/>
              <w:rPr>
                <w:sz w:val="24"/>
              </w:rPr>
            </w:pPr>
          </w:p>
          <w:p w:rsidR="00D52CD2" w:rsidRDefault="00464A41">
            <w:pPr>
              <w:pStyle w:val="TableParagraph"/>
              <w:spacing w:before="193"/>
              <w:ind w:left="405" w:right="127" w:hanging="262"/>
              <w:rPr>
                <w:b/>
                <w:sz w:val="24"/>
              </w:rPr>
            </w:pPr>
            <w:r>
              <w:rPr>
                <w:b/>
                <w:color w:val="FFFFFF"/>
                <w:sz w:val="24"/>
              </w:rPr>
              <w:t>Total Claim Count</w:t>
            </w:r>
          </w:p>
        </w:tc>
        <w:tc>
          <w:tcPr>
            <w:tcW w:w="1700" w:type="dxa"/>
            <w:vMerge w:val="restart"/>
            <w:tcBorders>
              <w:top w:val="single" w:sz="4" w:space="0" w:color="000000"/>
              <w:left w:val="single" w:sz="4" w:space="0" w:color="000000"/>
              <w:right w:val="single" w:sz="4" w:space="0" w:color="000000"/>
            </w:tcBorders>
            <w:shd w:val="clear" w:color="auto" w:fill="404040"/>
          </w:tcPr>
          <w:p w:rsidR="00D52CD2" w:rsidRDefault="00D52CD2">
            <w:pPr>
              <w:pStyle w:val="TableParagraph"/>
              <w:ind w:left="0"/>
              <w:rPr>
                <w:sz w:val="24"/>
              </w:rPr>
            </w:pPr>
          </w:p>
          <w:p w:rsidR="00D52CD2" w:rsidRDefault="00464A41">
            <w:pPr>
              <w:pStyle w:val="TableParagraph"/>
              <w:spacing w:before="193"/>
              <w:ind w:left="115" w:right="119"/>
              <w:jc w:val="center"/>
              <w:rPr>
                <w:b/>
                <w:sz w:val="24"/>
              </w:rPr>
            </w:pPr>
            <w:r>
              <w:rPr>
                <w:b/>
                <w:color w:val="FFFFFF"/>
                <w:sz w:val="24"/>
              </w:rPr>
              <w:t>Total DIR Fees</w:t>
            </w:r>
          </w:p>
          <w:p w:rsidR="00D52CD2" w:rsidRDefault="00464A41">
            <w:pPr>
              <w:pStyle w:val="TableParagraph"/>
              <w:ind w:left="0" w:right="6"/>
              <w:jc w:val="center"/>
              <w:rPr>
                <w:b/>
                <w:sz w:val="24"/>
              </w:rPr>
            </w:pPr>
            <w:r>
              <w:rPr>
                <w:b/>
                <w:color w:val="FFFFFF"/>
                <w:sz w:val="24"/>
              </w:rPr>
              <w:t>$</w:t>
            </w:r>
          </w:p>
        </w:tc>
        <w:tc>
          <w:tcPr>
            <w:tcW w:w="1200" w:type="dxa"/>
            <w:tcBorders>
              <w:top w:val="single" w:sz="4" w:space="0" w:color="000000"/>
              <w:left w:val="single" w:sz="4" w:space="0" w:color="000000"/>
              <w:bottom w:val="single" w:sz="4" w:space="0" w:color="000000"/>
              <w:right w:val="single" w:sz="4" w:space="0" w:color="000000"/>
            </w:tcBorders>
            <w:shd w:val="clear" w:color="auto" w:fill="404040"/>
          </w:tcPr>
          <w:p w:rsidR="00D52CD2" w:rsidRDefault="00D52CD2"/>
        </w:tc>
        <w:tc>
          <w:tcPr>
            <w:tcW w:w="2081" w:type="dxa"/>
            <w:vMerge w:val="restart"/>
            <w:tcBorders>
              <w:top w:val="single" w:sz="4" w:space="0" w:color="000000"/>
              <w:left w:val="single" w:sz="4" w:space="0" w:color="000000"/>
              <w:right w:val="single" w:sz="4" w:space="0" w:color="000000"/>
            </w:tcBorders>
            <w:shd w:val="clear" w:color="auto" w:fill="404040"/>
          </w:tcPr>
          <w:p w:rsidR="00D52CD2" w:rsidRDefault="00D52CD2">
            <w:pPr>
              <w:pStyle w:val="TableParagraph"/>
              <w:ind w:left="0"/>
              <w:rPr>
                <w:sz w:val="24"/>
              </w:rPr>
            </w:pPr>
          </w:p>
          <w:p w:rsidR="00D52CD2" w:rsidRDefault="00464A41">
            <w:pPr>
              <w:pStyle w:val="TableParagraph"/>
              <w:spacing w:before="193"/>
              <w:ind w:left="146" w:right="149"/>
              <w:jc w:val="center"/>
              <w:rPr>
                <w:b/>
                <w:sz w:val="24"/>
              </w:rPr>
            </w:pPr>
            <w:r>
              <w:rPr>
                <w:b/>
                <w:color w:val="FFFFFF"/>
                <w:sz w:val="24"/>
              </w:rPr>
              <w:t>Total Gross Profit</w:t>
            </w:r>
          </w:p>
          <w:p w:rsidR="00D52CD2" w:rsidRDefault="00464A41">
            <w:pPr>
              <w:pStyle w:val="TableParagraph"/>
              <w:ind w:left="146" w:right="147"/>
              <w:jc w:val="center"/>
              <w:rPr>
                <w:b/>
                <w:sz w:val="24"/>
              </w:rPr>
            </w:pPr>
            <w:r>
              <w:rPr>
                <w:b/>
                <w:color w:val="FFFFFF"/>
                <w:sz w:val="24"/>
              </w:rPr>
              <w:t>$ After DIR</w:t>
            </w:r>
          </w:p>
        </w:tc>
        <w:tc>
          <w:tcPr>
            <w:tcW w:w="1538" w:type="dxa"/>
            <w:tcBorders>
              <w:top w:val="single" w:sz="4" w:space="0" w:color="000000"/>
              <w:left w:val="single" w:sz="4" w:space="0" w:color="000000"/>
              <w:bottom w:val="single" w:sz="4" w:space="0" w:color="000000"/>
              <w:right w:val="single" w:sz="4" w:space="0" w:color="000000"/>
            </w:tcBorders>
            <w:shd w:val="clear" w:color="auto" w:fill="404040"/>
          </w:tcPr>
          <w:p w:rsidR="00D52CD2" w:rsidRDefault="00D52CD2"/>
        </w:tc>
      </w:tr>
      <w:tr w:rsidR="00D52CD2">
        <w:trPr>
          <w:trHeight w:hRule="exact" w:val="341"/>
        </w:trPr>
        <w:tc>
          <w:tcPr>
            <w:tcW w:w="2081" w:type="dxa"/>
            <w:tcBorders>
              <w:top w:val="single" w:sz="4" w:space="0" w:color="FFFFFF"/>
              <w:bottom w:val="single" w:sz="4" w:space="0" w:color="FFFFFF"/>
              <w:right w:val="single" w:sz="4" w:space="0" w:color="000000"/>
            </w:tcBorders>
            <w:shd w:val="clear" w:color="auto" w:fill="404040"/>
          </w:tcPr>
          <w:p w:rsidR="00D52CD2" w:rsidRDefault="00D52CD2"/>
        </w:tc>
        <w:tc>
          <w:tcPr>
            <w:tcW w:w="1421" w:type="dxa"/>
            <w:vMerge/>
            <w:tcBorders>
              <w:left w:val="single" w:sz="4" w:space="0" w:color="000000"/>
              <w:right w:val="single" w:sz="4" w:space="0" w:color="000000"/>
            </w:tcBorders>
            <w:shd w:val="clear" w:color="auto" w:fill="404040"/>
          </w:tcPr>
          <w:p w:rsidR="00D52CD2" w:rsidRDefault="00D52CD2"/>
        </w:tc>
        <w:tc>
          <w:tcPr>
            <w:tcW w:w="1700" w:type="dxa"/>
            <w:vMerge/>
            <w:tcBorders>
              <w:left w:val="single" w:sz="4" w:space="0" w:color="000000"/>
              <w:right w:val="single" w:sz="4" w:space="0" w:color="000000"/>
            </w:tcBorders>
            <w:shd w:val="clear" w:color="auto" w:fill="404040"/>
          </w:tcPr>
          <w:p w:rsidR="00D52CD2" w:rsidRDefault="00D52CD2"/>
        </w:tc>
        <w:tc>
          <w:tcPr>
            <w:tcW w:w="1200" w:type="dxa"/>
            <w:tcBorders>
              <w:top w:val="single" w:sz="4" w:space="0" w:color="000000"/>
              <w:left w:val="single" w:sz="4" w:space="0" w:color="000000"/>
              <w:bottom w:val="single" w:sz="4" w:space="0" w:color="000000"/>
              <w:right w:val="single" w:sz="4" w:space="0" w:color="000000"/>
            </w:tcBorders>
            <w:shd w:val="clear" w:color="auto" w:fill="404040"/>
          </w:tcPr>
          <w:p w:rsidR="00D52CD2" w:rsidRDefault="00D52CD2"/>
        </w:tc>
        <w:tc>
          <w:tcPr>
            <w:tcW w:w="2081" w:type="dxa"/>
            <w:vMerge/>
            <w:tcBorders>
              <w:left w:val="single" w:sz="4" w:space="0" w:color="000000"/>
              <w:right w:val="single" w:sz="4" w:space="0" w:color="000000"/>
            </w:tcBorders>
            <w:shd w:val="clear" w:color="auto" w:fill="404040"/>
          </w:tcPr>
          <w:p w:rsidR="00D52CD2" w:rsidRDefault="00D52CD2"/>
        </w:tc>
        <w:tc>
          <w:tcPr>
            <w:tcW w:w="1538" w:type="dxa"/>
            <w:tcBorders>
              <w:top w:val="single" w:sz="4" w:space="0" w:color="000000"/>
              <w:left w:val="single" w:sz="4" w:space="0" w:color="000000"/>
              <w:bottom w:val="single" w:sz="4" w:space="0" w:color="000000"/>
              <w:right w:val="single" w:sz="4" w:space="0" w:color="000000"/>
            </w:tcBorders>
            <w:shd w:val="clear" w:color="auto" w:fill="404040"/>
          </w:tcPr>
          <w:p w:rsidR="00D52CD2" w:rsidRDefault="00D52CD2"/>
        </w:tc>
      </w:tr>
      <w:tr w:rsidR="00D52CD2">
        <w:trPr>
          <w:trHeight w:hRule="exact" w:val="888"/>
        </w:trPr>
        <w:tc>
          <w:tcPr>
            <w:tcW w:w="2081" w:type="dxa"/>
            <w:tcBorders>
              <w:top w:val="single" w:sz="4" w:space="0" w:color="FFFFFF"/>
              <w:bottom w:val="single" w:sz="4" w:space="0" w:color="CCC0DA"/>
              <w:right w:val="single" w:sz="4" w:space="0" w:color="000000"/>
            </w:tcBorders>
            <w:shd w:val="clear" w:color="auto" w:fill="404040"/>
          </w:tcPr>
          <w:p w:rsidR="00D52CD2" w:rsidRDefault="00D52CD2">
            <w:pPr>
              <w:pStyle w:val="TableParagraph"/>
              <w:spacing w:before="11"/>
              <w:ind w:left="0"/>
              <w:rPr>
                <w:sz w:val="23"/>
              </w:rPr>
            </w:pPr>
          </w:p>
          <w:p w:rsidR="00D52CD2" w:rsidRDefault="00464A41">
            <w:pPr>
              <w:pStyle w:val="TableParagraph"/>
              <w:ind w:left="470"/>
              <w:rPr>
                <w:b/>
                <w:sz w:val="24"/>
              </w:rPr>
            </w:pPr>
            <w:r>
              <w:rPr>
                <w:b/>
                <w:color w:val="FFFFFF"/>
                <w:sz w:val="24"/>
              </w:rPr>
              <w:t>Plan / PBM</w:t>
            </w:r>
          </w:p>
        </w:tc>
        <w:tc>
          <w:tcPr>
            <w:tcW w:w="1421" w:type="dxa"/>
            <w:vMerge/>
            <w:tcBorders>
              <w:left w:val="single" w:sz="4" w:space="0" w:color="000000"/>
              <w:bottom w:val="single" w:sz="4" w:space="0" w:color="000000"/>
              <w:right w:val="single" w:sz="4" w:space="0" w:color="000000"/>
            </w:tcBorders>
            <w:shd w:val="clear" w:color="auto" w:fill="404040"/>
          </w:tcPr>
          <w:p w:rsidR="00D52CD2" w:rsidRDefault="00D52CD2"/>
        </w:tc>
        <w:tc>
          <w:tcPr>
            <w:tcW w:w="1700" w:type="dxa"/>
            <w:vMerge/>
            <w:tcBorders>
              <w:left w:val="single" w:sz="4" w:space="0" w:color="000000"/>
              <w:bottom w:val="single" w:sz="4" w:space="0" w:color="000000"/>
              <w:right w:val="single" w:sz="4" w:space="0" w:color="000000"/>
            </w:tcBorders>
            <w:shd w:val="clear" w:color="auto" w:fill="404040"/>
          </w:tcPr>
          <w:p w:rsidR="00D52CD2" w:rsidRDefault="00D52CD2"/>
        </w:tc>
        <w:tc>
          <w:tcPr>
            <w:tcW w:w="1200" w:type="dxa"/>
            <w:tcBorders>
              <w:top w:val="single" w:sz="4" w:space="0" w:color="000000"/>
              <w:left w:val="single" w:sz="4" w:space="0" w:color="000000"/>
              <w:bottom w:val="single" w:sz="4" w:space="0" w:color="000000"/>
              <w:right w:val="single" w:sz="4" w:space="0" w:color="000000"/>
            </w:tcBorders>
            <w:shd w:val="clear" w:color="auto" w:fill="404040"/>
          </w:tcPr>
          <w:p w:rsidR="00D52CD2" w:rsidRDefault="00464A41">
            <w:pPr>
              <w:pStyle w:val="TableParagraph"/>
              <w:ind w:left="134" w:right="130" w:firstLine="52"/>
              <w:jc w:val="both"/>
              <w:rPr>
                <w:b/>
                <w:sz w:val="24"/>
              </w:rPr>
            </w:pPr>
            <w:r>
              <w:rPr>
                <w:b/>
                <w:color w:val="FFFFFF"/>
                <w:sz w:val="24"/>
              </w:rPr>
              <w:t>Average DIR Fee per claim</w:t>
            </w:r>
          </w:p>
        </w:tc>
        <w:tc>
          <w:tcPr>
            <w:tcW w:w="2081" w:type="dxa"/>
            <w:vMerge/>
            <w:tcBorders>
              <w:left w:val="single" w:sz="4" w:space="0" w:color="000000"/>
              <w:bottom w:val="single" w:sz="4" w:space="0" w:color="000000"/>
              <w:right w:val="single" w:sz="4" w:space="0" w:color="000000"/>
            </w:tcBorders>
            <w:shd w:val="clear" w:color="auto" w:fill="404040"/>
          </w:tcPr>
          <w:p w:rsidR="00D52CD2" w:rsidRDefault="00D52CD2"/>
        </w:tc>
        <w:tc>
          <w:tcPr>
            <w:tcW w:w="1538" w:type="dxa"/>
            <w:tcBorders>
              <w:top w:val="single" w:sz="4" w:space="0" w:color="000000"/>
              <w:left w:val="single" w:sz="4" w:space="0" w:color="000000"/>
              <w:bottom w:val="single" w:sz="4" w:space="0" w:color="000000"/>
              <w:right w:val="single" w:sz="4" w:space="0" w:color="000000"/>
            </w:tcBorders>
            <w:shd w:val="clear" w:color="auto" w:fill="404040"/>
          </w:tcPr>
          <w:p w:rsidR="00D52CD2" w:rsidRDefault="00464A41">
            <w:pPr>
              <w:pStyle w:val="TableParagraph"/>
              <w:ind w:left="175" w:right="177" w:firstLine="2"/>
              <w:jc w:val="center"/>
              <w:rPr>
                <w:b/>
                <w:sz w:val="24"/>
              </w:rPr>
            </w:pPr>
            <w:r>
              <w:rPr>
                <w:b/>
                <w:color w:val="FFFFFF"/>
                <w:sz w:val="24"/>
              </w:rPr>
              <w:t>Average Gross Profit Per Claim</w:t>
            </w:r>
          </w:p>
        </w:tc>
      </w:tr>
      <w:tr w:rsidR="00D52CD2">
        <w:trPr>
          <w:trHeight w:hRule="exact" w:val="346"/>
        </w:trPr>
        <w:tc>
          <w:tcPr>
            <w:tcW w:w="2081" w:type="dxa"/>
            <w:tcBorders>
              <w:top w:val="nil"/>
              <w:bottom w:val="single" w:sz="8" w:space="0" w:color="FFFFFF"/>
              <w:right w:val="single" w:sz="4" w:space="0" w:color="000000"/>
            </w:tcBorders>
            <w:shd w:val="clear" w:color="auto" w:fill="CCC0DA"/>
          </w:tcPr>
          <w:p w:rsidR="00D52CD2" w:rsidRDefault="00464A41">
            <w:pPr>
              <w:pStyle w:val="TableParagraph"/>
              <w:spacing w:before="23"/>
              <w:ind w:left="98"/>
              <w:rPr>
                <w:b/>
                <w:sz w:val="24"/>
              </w:rPr>
            </w:pPr>
            <w:r>
              <w:rPr>
                <w:b/>
                <w:sz w:val="24"/>
              </w:rPr>
              <w:t>Plan 1</w:t>
            </w:r>
          </w:p>
        </w:tc>
        <w:tc>
          <w:tcPr>
            <w:tcW w:w="1421" w:type="dxa"/>
            <w:tcBorders>
              <w:top w:val="single" w:sz="4" w:space="0" w:color="000000"/>
              <w:left w:val="single" w:sz="4" w:space="0" w:color="000000"/>
              <w:bottom w:val="single" w:sz="8" w:space="0" w:color="FFFFFF"/>
              <w:right w:val="single" w:sz="4" w:space="0" w:color="000000"/>
            </w:tcBorders>
            <w:shd w:val="clear" w:color="auto" w:fill="CCC0DA"/>
          </w:tcPr>
          <w:p w:rsidR="00D52CD2" w:rsidRDefault="00D52CD2"/>
        </w:tc>
        <w:tc>
          <w:tcPr>
            <w:tcW w:w="1700" w:type="dxa"/>
            <w:tcBorders>
              <w:top w:val="single" w:sz="4" w:space="0" w:color="000000"/>
              <w:left w:val="single" w:sz="4" w:space="0" w:color="000000"/>
              <w:bottom w:val="single" w:sz="8" w:space="0" w:color="FFFFFF"/>
              <w:right w:val="single" w:sz="4" w:space="0" w:color="000000"/>
            </w:tcBorders>
            <w:shd w:val="clear" w:color="auto" w:fill="CCC0DA"/>
          </w:tcPr>
          <w:p w:rsidR="00D52CD2" w:rsidRDefault="00D52CD2"/>
        </w:tc>
        <w:tc>
          <w:tcPr>
            <w:tcW w:w="1200" w:type="dxa"/>
            <w:tcBorders>
              <w:top w:val="single" w:sz="4" w:space="0" w:color="000000"/>
              <w:left w:val="single" w:sz="4" w:space="0" w:color="000000"/>
              <w:bottom w:val="single" w:sz="8" w:space="0" w:color="FFFFFF"/>
              <w:right w:val="single" w:sz="4" w:space="0" w:color="000000"/>
            </w:tcBorders>
            <w:shd w:val="clear" w:color="auto" w:fill="CCC0DA"/>
          </w:tcPr>
          <w:p w:rsidR="00D52CD2" w:rsidRDefault="00D52CD2"/>
        </w:tc>
        <w:tc>
          <w:tcPr>
            <w:tcW w:w="2081" w:type="dxa"/>
            <w:tcBorders>
              <w:top w:val="single" w:sz="4" w:space="0" w:color="000000"/>
              <w:left w:val="single" w:sz="4" w:space="0" w:color="000000"/>
              <w:bottom w:val="single" w:sz="8" w:space="0" w:color="FFFFFF"/>
              <w:right w:val="single" w:sz="4" w:space="0" w:color="000000"/>
            </w:tcBorders>
            <w:shd w:val="clear" w:color="auto" w:fill="CCC0DA"/>
          </w:tcPr>
          <w:p w:rsidR="00D52CD2" w:rsidRDefault="00D52CD2"/>
        </w:tc>
        <w:tc>
          <w:tcPr>
            <w:tcW w:w="1538" w:type="dxa"/>
            <w:tcBorders>
              <w:top w:val="single" w:sz="4" w:space="0" w:color="000000"/>
              <w:left w:val="single" w:sz="4" w:space="0" w:color="000000"/>
              <w:bottom w:val="single" w:sz="8" w:space="0" w:color="FFFFFF"/>
              <w:right w:val="single" w:sz="4" w:space="0" w:color="000000"/>
            </w:tcBorders>
            <w:shd w:val="clear" w:color="auto" w:fill="CCC0DA"/>
          </w:tcPr>
          <w:p w:rsidR="00D52CD2" w:rsidRDefault="00D52CD2"/>
        </w:tc>
      </w:tr>
      <w:tr w:rsidR="00D52CD2">
        <w:trPr>
          <w:trHeight w:hRule="exact" w:val="329"/>
        </w:trPr>
        <w:tc>
          <w:tcPr>
            <w:tcW w:w="2081" w:type="dxa"/>
            <w:tcBorders>
              <w:top w:val="single" w:sz="8" w:space="0" w:color="FFFFFF"/>
              <w:bottom w:val="single" w:sz="4" w:space="0" w:color="CCC0DA"/>
              <w:right w:val="single" w:sz="4" w:space="0" w:color="000000"/>
            </w:tcBorders>
            <w:shd w:val="clear" w:color="auto" w:fill="E3DFEB"/>
          </w:tcPr>
          <w:p w:rsidR="00D52CD2" w:rsidRDefault="00464A41">
            <w:pPr>
              <w:pStyle w:val="TableParagraph"/>
              <w:spacing w:before="11"/>
              <w:ind w:left="98"/>
              <w:rPr>
                <w:sz w:val="24"/>
              </w:rPr>
            </w:pPr>
            <w:r>
              <w:rPr>
                <w:sz w:val="24"/>
              </w:rPr>
              <w:t>2.5% of Ing Cost</w:t>
            </w:r>
          </w:p>
        </w:tc>
        <w:tc>
          <w:tcPr>
            <w:tcW w:w="1421" w:type="dxa"/>
            <w:tcBorders>
              <w:top w:val="single" w:sz="8" w:space="0" w:color="FFFFFF"/>
              <w:left w:val="single" w:sz="4" w:space="0" w:color="000000"/>
              <w:bottom w:val="single" w:sz="4" w:space="0" w:color="000000"/>
              <w:right w:val="single" w:sz="4" w:space="0" w:color="000000"/>
            </w:tcBorders>
            <w:shd w:val="clear" w:color="auto" w:fill="E3DFEB"/>
          </w:tcPr>
          <w:p w:rsidR="00D52CD2" w:rsidRDefault="00464A41">
            <w:pPr>
              <w:pStyle w:val="TableParagraph"/>
              <w:spacing w:before="11"/>
              <w:ind w:left="291" w:right="291"/>
              <w:jc w:val="center"/>
              <w:rPr>
                <w:sz w:val="24"/>
              </w:rPr>
            </w:pPr>
            <w:r>
              <w:rPr>
                <w:sz w:val="24"/>
              </w:rPr>
              <w:t>494,701</w:t>
            </w:r>
          </w:p>
        </w:tc>
        <w:tc>
          <w:tcPr>
            <w:tcW w:w="1700" w:type="dxa"/>
            <w:tcBorders>
              <w:top w:val="single" w:sz="8" w:space="0" w:color="FFFFFF"/>
              <w:left w:val="single" w:sz="4" w:space="0" w:color="000000"/>
              <w:bottom w:val="single" w:sz="4" w:space="0" w:color="000000"/>
              <w:right w:val="single" w:sz="4" w:space="0" w:color="000000"/>
            </w:tcBorders>
            <w:shd w:val="clear" w:color="auto" w:fill="E3DFEB"/>
          </w:tcPr>
          <w:p w:rsidR="00D52CD2" w:rsidRDefault="00464A41">
            <w:pPr>
              <w:pStyle w:val="TableParagraph"/>
              <w:spacing w:before="11"/>
              <w:ind w:left="112" w:right="119"/>
              <w:jc w:val="center"/>
              <w:rPr>
                <w:sz w:val="24"/>
              </w:rPr>
            </w:pPr>
            <w:r>
              <w:rPr>
                <w:sz w:val="24"/>
              </w:rPr>
              <w:t>$1,605,310.75</w:t>
            </w:r>
          </w:p>
        </w:tc>
        <w:tc>
          <w:tcPr>
            <w:tcW w:w="1200" w:type="dxa"/>
            <w:tcBorders>
              <w:top w:val="single" w:sz="8" w:space="0" w:color="FFFFFF"/>
              <w:left w:val="single" w:sz="4" w:space="0" w:color="000000"/>
              <w:bottom w:val="single" w:sz="4" w:space="0" w:color="000000"/>
              <w:right w:val="single" w:sz="4" w:space="0" w:color="000000"/>
            </w:tcBorders>
            <w:shd w:val="clear" w:color="auto" w:fill="E3DFEB"/>
          </w:tcPr>
          <w:p w:rsidR="00D52CD2" w:rsidRDefault="00464A41">
            <w:pPr>
              <w:pStyle w:val="TableParagraph"/>
              <w:spacing w:before="11"/>
              <w:ind w:left="301" w:right="302"/>
              <w:jc w:val="center"/>
              <w:rPr>
                <w:sz w:val="24"/>
              </w:rPr>
            </w:pPr>
            <w:r>
              <w:rPr>
                <w:sz w:val="24"/>
              </w:rPr>
              <w:t>$3.25</w:t>
            </w:r>
          </w:p>
        </w:tc>
        <w:tc>
          <w:tcPr>
            <w:tcW w:w="2081" w:type="dxa"/>
            <w:tcBorders>
              <w:top w:val="single" w:sz="8" w:space="0" w:color="FFFFFF"/>
              <w:left w:val="single" w:sz="4" w:space="0" w:color="000000"/>
              <w:bottom w:val="single" w:sz="4" w:space="0" w:color="000000"/>
              <w:right w:val="single" w:sz="4" w:space="0" w:color="000000"/>
            </w:tcBorders>
            <w:shd w:val="clear" w:color="auto" w:fill="E3DFEB"/>
          </w:tcPr>
          <w:p w:rsidR="00D52CD2" w:rsidRDefault="00464A41">
            <w:pPr>
              <w:pStyle w:val="TableParagraph"/>
              <w:spacing w:before="11"/>
              <w:ind w:left="146" w:right="146"/>
              <w:jc w:val="center"/>
              <w:rPr>
                <w:sz w:val="24"/>
              </w:rPr>
            </w:pPr>
            <w:r>
              <w:rPr>
                <w:sz w:val="24"/>
              </w:rPr>
              <w:t>$2,113,336.76</w:t>
            </w:r>
          </w:p>
        </w:tc>
        <w:tc>
          <w:tcPr>
            <w:tcW w:w="1538" w:type="dxa"/>
            <w:tcBorders>
              <w:top w:val="single" w:sz="8" w:space="0" w:color="FFFFFF"/>
              <w:left w:val="single" w:sz="4" w:space="0" w:color="000000"/>
              <w:bottom w:val="single" w:sz="4" w:space="0" w:color="000000"/>
              <w:right w:val="single" w:sz="4" w:space="0" w:color="000000"/>
            </w:tcBorders>
            <w:shd w:val="clear" w:color="auto" w:fill="E3DFEB"/>
          </w:tcPr>
          <w:p w:rsidR="00D52CD2" w:rsidRDefault="00464A41">
            <w:pPr>
              <w:pStyle w:val="TableParagraph"/>
              <w:spacing w:before="11"/>
              <w:ind w:left="395" w:right="399"/>
              <w:jc w:val="center"/>
              <w:rPr>
                <w:sz w:val="24"/>
              </w:rPr>
            </w:pPr>
            <w:r>
              <w:rPr>
                <w:sz w:val="24"/>
              </w:rPr>
              <w:t>$4.27</w:t>
            </w:r>
          </w:p>
        </w:tc>
      </w:tr>
      <w:tr w:rsidR="00D52CD2">
        <w:trPr>
          <w:trHeight w:hRule="exact" w:val="346"/>
        </w:trPr>
        <w:tc>
          <w:tcPr>
            <w:tcW w:w="2081" w:type="dxa"/>
            <w:tcBorders>
              <w:top w:val="nil"/>
              <w:bottom w:val="nil"/>
              <w:right w:val="single" w:sz="4" w:space="0" w:color="000000"/>
            </w:tcBorders>
            <w:shd w:val="clear" w:color="auto" w:fill="CCC0DA"/>
          </w:tcPr>
          <w:p w:rsidR="00D52CD2" w:rsidRDefault="00464A41">
            <w:pPr>
              <w:pStyle w:val="TableParagraph"/>
              <w:spacing w:before="23"/>
              <w:ind w:left="98"/>
              <w:rPr>
                <w:b/>
                <w:sz w:val="24"/>
              </w:rPr>
            </w:pPr>
            <w:r>
              <w:rPr>
                <w:b/>
                <w:sz w:val="24"/>
              </w:rPr>
              <w:t>Plan 2</w:t>
            </w:r>
          </w:p>
        </w:tc>
        <w:tc>
          <w:tcPr>
            <w:tcW w:w="1421" w:type="dxa"/>
            <w:tcBorders>
              <w:top w:val="single" w:sz="4" w:space="0" w:color="000000"/>
              <w:left w:val="single" w:sz="4" w:space="0" w:color="000000"/>
              <w:bottom w:val="single" w:sz="4" w:space="0" w:color="000000"/>
              <w:right w:val="single" w:sz="4" w:space="0" w:color="000000"/>
            </w:tcBorders>
            <w:shd w:val="clear" w:color="auto" w:fill="CCC0DA"/>
          </w:tcPr>
          <w:p w:rsidR="00D52CD2" w:rsidRDefault="00D52CD2"/>
        </w:tc>
        <w:tc>
          <w:tcPr>
            <w:tcW w:w="1700" w:type="dxa"/>
            <w:tcBorders>
              <w:top w:val="single" w:sz="4" w:space="0" w:color="000000"/>
              <w:left w:val="single" w:sz="4" w:space="0" w:color="000000"/>
              <w:bottom w:val="single" w:sz="4" w:space="0" w:color="000000"/>
              <w:right w:val="single" w:sz="4" w:space="0" w:color="000000"/>
            </w:tcBorders>
            <w:shd w:val="clear" w:color="auto" w:fill="CCC0DA"/>
          </w:tcPr>
          <w:p w:rsidR="00D52CD2" w:rsidRDefault="00D52CD2"/>
        </w:tc>
        <w:tc>
          <w:tcPr>
            <w:tcW w:w="1200" w:type="dxa"/>
            <w:tcBorders>
              <w:top w:val="single" w:sz="4" w:space="0" w:color="000000"/>
              <w:left w:val="single" w:sz="4" w:space="0" w:color="000000"/>
              <w:bottom w:val="single" w:sz="4" w:space="0" w:color="000000"/>
              <w:right w:val="single" w:sz="4" w:space="0" w:color="000000"/>
            </w:tcBorders>
            <w:shd w:val="clear" w:color="auto" w:fill="CCC0DA"/>
          </w:tcPr>
          <w:p w:rsidR="00D52CD2" w:rsidRDefault="00D52CD2"/>
        </w:tc>
        <w:tc>
          <w:tcPr>
            <w:tcW w:w="2081" w:type="dxa"/>
            <w:tcBorders>
              <w:top w:val="single" w:sz="4" w:space="0" w:color="000000"/>
              <w:left w:val="single" w:sz="4" w:space="0" w:color="000000"/>
              <w:bottom w:val="single" w:sz="4" w:space="0" w:color="000000"/>
              <w:right w:val="single" w:sz="4" w:space="0" w:color="000000"/>
            </w:tcBorders>
            <w:shd w:val="clear" w:color="auto" w:fill="CCC0DA"/>
          </w:tcPr>
          <w:p w:rsidR="00D52CD2" w:rsidRDefault="00D52CD2"/>
        </w:tc>
        <w:tc>
          <w:tcPr>
            <w:tcW w:w="1538" w:type="dxa"/>
            <w:tcBorders>
              <w:top w:val="single" w:sz="4" w:space="0" w:color="000000"/>
              <w:left w:val="single" w:sz="4" w:space="0" w:color="000000"/>
              <w:bottom w:val="single" w:sz="4" w:space="0" w:color="000000"/>
              <w:right w:val="single" w:sz="4" w:space="0" w:color="000000"/>
            </w:tcBorders>
            <w:shd w:val="clear" w:color="auto" w:fill="CCC0DA"/>
          </w:tcPr>
          <w:p w:rsidR="00D52CD2" w:rsidRDefault="00D52CD2"/>
        </w:tc>
      </w:tr>
      <w:tr w:rsidR="00D52CD2">
        <w:trPr>
          <w:trHeight w:hRule="exact" w:val="330"/>
        </w:trPr>
        <w:tc>
          <w:tcPr>
            <w:tcW w:w="2081" w:type="dxa"/>
            <w:tcBorders>
              <w:top w:val="nil"/>
              <w:bottom w:val="single" w:sz="4" w:space="0" w:color="CCC0DA"/>
              <w:right w:val="single" w:sz="4" w:space="0" w:color="000000"/>
            </w:tcBorders>
            <w:shd w:val="clear" w:color="auto" w:fill="E3DFEB"/>
          </w:tcPr>
          <w:p w:rsidR="00D52CD2" w:rsidRDefault="00464A41">
            <w:pPr>
              <w:pStyle w:val="TableParagraph"/>
              <w:spacing w:before="21"/>
              <w:ind w:left="98"/>
              <w:rPr>
                <w:sz w:val="24"/>
              </w:rPr>
            </w:pPr>
            <w:r>
              <w:rPr>
                <w:sz w:val="24"/>
              </w:rPr>
              <w:t>5.5% of Ing Cost</w:t>
            </w:r>
          </w:p>
        </w:tc>
        <w:tc>
          <w:tcPr>
            <w:tcW w:w="1421" w:type="dxa"/>
            <w:tcBorders>
              <w:top w:val="single" w:sz="4" w:space="0" w:color="000000"/>
              <w:left w:val="single" w:sz="4" w:space="0" w:color="000000"/>
              <w:bottom w:val="single" w:sz="4" w:space="0" w:color="000000"/>
              <w:right w:val="single" w:sz="4" w:space="0" w:color="000000"/>
            </w:tcBorders>
            <w:shd w:val="clear" w:color="auto" w:fill="E3DFEB"/>
          </w:tcPr>
          <w:p w:rsidR="00D52CD2" w:rsidRDefault="00464A41">
            <w:pPr>
              <w:pStyle w:val="TableParagraph"/>
              <w:spacing w:before="16"/>
              <w:ind w:left="291" w:right="288"/>
              <w:jc w:val="center"/>
              <w:rPr>
                <w:sz w:val="24"/>
              </w:rPr>
            </w:pPr>
            <w:r>
              <w:rPr>
                <w:sz w:val="24"/>
              </w:rPr>
              <w:t>235</w:t>
            </w:r>
          </w:p>
        </w:tc>
        <w:tc>
          <w:tcPr>
            <w:tcW w:w="1700" w:type="dxa"/>
            <w:tcBorders>
              <w:top w:val="single" w:sz="4" w:space="0" w:color="000000"/>
              <w:left w:val="single" w:sz="4" w:space="0" w:color="000000"/>
              <w:bottom w:val="single" w:sz="4" w:space="0" w:color="000000"/>
              <w:right w:val="single" w:sz="4" w:space="0" w:color="000000"/>
            </w:tcBorders>
            <w:shd w:val="clear" w:color="auto" w:fill="E3DFEB"/>
          </w:tcPr>
          <w:p w:rsidR="00D52CD2" w:rsidRDefault="00464A41">
            <w:pPr>
              <w:pStyle w:val="TableParagraph"/>
              <w:spacing w:before="16"/>
              <w:ind w:left="115" w:right="119"/>
              <w:jc w:val="center"/>
              <w:rPr>
                <w:sz w:val="24"/>
              </w:rPr>
            </w:pPr>
            <w:r>
              <w:rPr>
                <w:sz w:val="24"/>
              </w:rPr>
              <w:t>$584.95</w:t>
            </w:r>
          </w:p>
        </w:tc>
        <w:tc>
          <w:tcPr>
            <w:tcW w:w="1200" w:type="dxa"/>
            <w:tcBorders>
              <w:top w:val="single" w:sz="4" w:space="0" w:color="000000"/>
              <w:left w:val="single" w:sz="4" w:space="0" w:color="000000"/>
              <w:bottom w:val="single" w:sz="4" w:space="0" w:color="000000"/>
              <w:right w:val="single" w:sz="4" w:space="0" w:color="000000"/>
            </w:tcBorders>
            <w:shd w:val="clear" w:color="auto" w:fill="E3DFEB"/>
          </w:tcPr>
          <w:p w:rsidR="00D52CD2" w:rsidRDefault="00464A41">
            <w:pPr>
              <w:pStyle w:val="TableParagraph"/>
              <w:spacing w:before="16"/>
              <w:ind w:left="301" w:right="302"/>
              <w:jc w:val="center"/>
              <w:rPr>
                <w:sz w:val="24"/>
              </w:rPr>
            </w:pPr>
            <w:r>
              <w:rPr>
                <w:sz w:val="24"/>
              </w:rPr>
              <w:t>$2.49</w:t>
            </w:r>
          </w:p>
        </w:tc>
        <w:tc>
          <w:tcPr>
            <w:tcW w:w="2081" w:type="dxa"/>
            <w:tcBorders>
              <w:top w:val="single" w:sz="4" w:space="0" w:color="000000"/>
              <w:left w:val="single" w:sz="4" w:space="0" w:color="000000"/>
              <w:bottom w:val="single" w:sz="4" w:space="0" w:color="000000"/>
              <w:right w:val="single" w:sz="4" w:space="0" w:color="000000"/>
            </w:tcBorders>
            <w:shd w:val="clear" w:color="auto" w:fill="E3DFEB"/>
          </w:tcPr>
          <w:p w:rsidR="00D52CD2" w:rsidRDefault="00464A41">
            <w:pPr>
              <w:pStyle w:val="TableParagraph"/>
              <w:spacing w:before="16"/>
              <w:ind w:left="146" w:right="148"/>
              <w:jc w:val="center"/>
              <w:rPr>
                <w:sz w:val="24"/>
              </w:rPr>
            </w:pPr>
            <w:r>
              <w:rPr>
                <w:sz w:val="24"/>
              </w:rPr>
              <w:t>$280.61</w:t>
            </w:r>
          </w:p>
        </w:tc>
        <w:tc>
          <w:tcPr>
            <w:tcW w:w="1538" w:type="dxa"/>
            <w:tcBorders>
              <w:top w:val="single" w:sz="4" w:space="0" w:color="000000"/>
              <w:left w:val="single" w:sz="4" w:space="0" w:color="000000"/>
              <w:bottom w:val="single" w:sz="4" w:space="0" w:color="000000"/>
              <w:right w:val="single" w:sz="4" w:space="0" w:color="000000"/>
            </w:tcBorders>
            <w:shd w:val="clear" w:color="auto" w:fill="E3DFEB"/>
          </w:tcPr>
          <w:p w:rsidR="00D52CD2" w:rsidRDefault="00464A41">
            <w:pPr>
              <w:pStyle w:val="TableParagraph"/>
              <w:spacing w:before="16"/>
              <w:ind w:left="395" w:right="399"/>
              <w:jc w:val="center"/>
              <w:rPr>
                <w:sz w:val="24"/>
              </w:rPr>
            </w:pPr>
            <w:r>
              <w:rPr>
                <w:sz w:val="24"/>
              </w:rPr>
              <w:t>$1.19</w:t>
            </w:r>
          </w:p>
        </w:tc>
      </w:tr>
      <w:tr w:rsidR="00D52CD2">
        <w:trPr>
          <w:trHeight w:hRule="exact" w:val="344"/>
        </w:trPr>
        <w:tc>
          <w:tcPr>
            <w:tcW w:w="2081" w:type="dxa"/>
            <w:tcBorders>
              <w:top w:val="nil"/>
              <w:bottom w:val="nil"/>
              <w:right w:val="single" w:sz="4" w:space="0" w:color="000000"/>
            </w:tcBorders>
            <w:shd w:val="clear" w:color="auto" w:fill="CCC0DA"/>
          </w:tcPr>
          <w:p w:rsidR="00D52CD2" w:rsidRDefault="00464A41">
            <w:pPr>
              <w:pStyle w:val="TableParagraph"/>
              <w:spacing w:before="22"/>
              <w:ind w:left="98"/>
              <w:rPr>
                <w:b/>
                <w:sz w:val="24"/>
              </w:rPr>
            </w:pPr>
            <w:r>
              <w:rPr>
                <w:b/>
                <w:sz w:val="24"/>
              </w:rPr>
              <w:t>Plan 3</w:t>
            </w:r>
          </w:p>
        </w:tc>
        <w:tc>
          <w:tcPr>
            <w:tcW w:w="1421" w:type="dxa"/>
            <w:tcBorders>
              <w:top w:val="single" w:sz="4" w:space="0" w:color="000000"/>
              <w:left w:val="single" w:sz="4" w:space="0" w:color="000000"/>
              <w:bottom w:val="single" w:sz="4" w:space="0" w:color="000000"/>
              <w:right w:val="single" w:sz="4" w:space="0" w:color="000000"/>
            </w:tcBorders>
            <w:shd w:val="clear" w:color="auto" w:fill="CCC0DA"/>
          </w:tcPr>
          <w:p w:rsidR="00D52CD2" w:rsidRDefault="00D52CD2"/>
        </w:tc>
        <w:tc>
          <w:tcPr>
            <w:tcW w:w="1700" w:type="dxa"/>
            <w:tcBorders>
              <w:top w:val="single" w:sz="4" w:space="0" w:color="000000"/>
              <w:left w:val="single" w:sz="4" w:space="0" w:color="000000"/>
              <w:bottom w:val="single" w:sz="4" w:space="0" w:color="000000"/>
              <w:right w:val="single" w:sz="4" w:space="0" w:color="000000"/>
            </w:tcBorders>
            <w:shd w:val="clear" w:color="auto" w:fill="CCC0DA"/>
          </w:tcPr>
          <w:p w:rsidR="00D52CD2" w:rsidRDefault="00D52CD2"/>
        </w:tc>
        <w:tc>
          <w:tcPr>
            <w:tcW w:w="1200" w:type="dxa"/>
            <w:tcBorders>
              <w:top w:val="single" w:sz="4" w:space="0" w:color="000000"/>
              <w:left w:val="single" w:sz="4" w:space="0" w:color="000000"/>
              <w:bottom w:val="single" w:sz="4" w:space="0" w:color="000000"/>
              <w:right w:val="single" w:sz="4" w:space="0" w:color="000000"/>
            </w:tcBorders>
            <w:shd w:val="clear" w:color="auto" w:fill="CCC0DA"/>
          </w:tcPr>
          <w:p w:rsidR="00D52CD2" w:rsidRDefault="00D52CD2"/>
        </w:tc>
        <w:tc>
          <w:tcPr>
            <w:tcW w:w="2081" w:type="dxa"/>
            <w:tcBorders>
              <w:top w:val="single" w:sz="4" w:space="0" w:color="000000"/>
              <w:left w:val="single" w:sz="4" w:space="0" w:color="000000"/>
              <w:bottom w:val="single" w:sz="4" w:space="0" w:color="000000"/>
              <w:right w:val="single" w:sz="4" w:space="0" w:color="000000"/>
            </w:tcBorders>
            <w:shd w:val="clear" w:color="auto" w:fill="CCC0DA"/>
          </w:tcPr>
          <w:p w:rsidR="00D52CD2" w:rsidRDefault="00D52CD2"/>
        </w:tc>
        <w:tc>
          <w:tcPr>
            <w:tcW w:w="1538" w:type="dxa"/>
            <w:tcBorders>
              <w:top w:val="single" w:sz="4" w:space="0" w:color="000000"/>
              <w:left w:val="single" w:sz="4" w:space="0" w:color="000000"/>
              <w:bottom w:val="single" w:sz="4" w:space="0" w:color="000000"/>
              <w:right w:val="single" w:sz="4" w:space="0" w:color="000000"/>
            </w:tcBorders>
            <w:shd w:val="clear" w:color="auto" w:fill="CCC0DA"/>
          </w:tcPr>
          <w:p w:rsidR="00D52CD2" w:rsidRDefault="00D52CD2"/>
        </w:tc>
      </w:tr>
      <w:tr w:rsidR="00D52CD2">
        <w:trPr>
          <w:trHeight w:hRule="exact" w:val="602"/>
        </w:trPr>
        <w:tc>
          <w:tcPr>
            <w:tcW w:w="2081" w:type="dxa"/>
            <w:tcBorders>
              <w:top w:val="nil"/>
              <w:bottom w:val="nil"/>
              <w:right w:val="single" w:sz="4" w:space="0" w:color="000000"/>
            </w:tcBorders>
            <w:shd w:val="clear" w:color="auto" w:fill="E3DFEB"/>
          </w:tcPr>
          <w:p w:rsidR="00D52CD2" w:rsidRDefault="00464A41">
            <w:pPr>
              <w:pStyle w:val="TableParagraph"/>
              <w:spacing w:before="9" w:line="242" w:lineRule="auto"/>
              <w:ind w:left="98" w:right="696"/>
              <w:rPr>
                <w:sz w:val="24"/>
              </w:rPr>
            </w:pPr>
            <w:r>
              <w:rPr>
                <w:sz w:val="24"/>
              </w:rPr>
              <w:t>11% Ing Cost 34+DS</w:t>
            </w:r>
          </w:p>
        </w:tc>
        <w:tc>
          <w:tcPr>
            <w:tcW w:w="1421" w:type="dxa"/>
            <w:tcBorders>
              <w:top w:val="single" w:sz="4" w:space="0" w:color="000000"/>
              <w:left w:val="single" w:sz="4" w:space="0" w:color="000000"/>
              <w:bottom w:val="single" w:sz="4" w:space="0" w:color="000000"/>
              <w:right w:val="single" w:sz="4" w:space="0" w:color="000000"/>
            </w:tcBorders>
            <w:shd w:val="clear" w:color="auto" w:fill="E3DFEB"/>
          </w:tcPr>
          <w:p w:rsidR="00D52CD2" w:rsidRDefault="00464A41">
            <w:pPr>
              <w:pStyle w:val="TableParagraph"/>
              <w:spacing w:before="150"/>
              <w:ind w:left="291" w:right="291"/>
              <w:jc w:val="center"/>
              <w:rPr>
                <w:sz w:val="24"/>
              </w:rPr>
            </w:pPr>
            <w:r>
              <w:rPr>
                <w:sz w:val="24"/>
              </w:rPr>
              <w:t>23,209</w:t>
            </w:r>
          </w:p>
        </w:tc>
        <w:tc>
          <w:tcPr>
            <w:tcW w:w="1700" w:type="dxa"/>
            <w:tcBorders>
              <w:top w:val="single" w:sz="4" w:space="0" w:color="000000"/>
              <w:left w:val="single" w:sz="4" w:space="0" w:color="000000"/>
              <w:bottom w:val="single" w:sz="4" w:space="0" w:color="000000"/>
              <w:right w:val="single" w:sz="4" w:space="0" w:color="000000"/>
            </w:tcBorders>
            <w:shd w:val="clear" w:color="auto" w:fill="E3DFEB"/>
          </w:tcPr>
          <w:p w:rsidR="00D52CD2" w:rsidRDefault="00464A41">
            <w:pPr>
              <w:pStyle w:val="TableParagraph"/>
              <w:spacing w:before="150"/>
              <w:ind w:left="112" w:right="119"/>
              <w:jc w:val="center"/>
              <w:rPr>
                <w:sz w:val="24"/>
              </w:rPr>
            </w:pPr>
            <w:r>
              <w:rPr>
                <w:sz w:val="24"/>
              </w:rPr>
              <w:t>$199,265.56</w:t>
            </w:r>
          </w:p>
        </w:tc>
        <w:tc>
          <w:tcPr>
            <w:tcW w:w="1200" w:type="dxa"/>
            <w:tcBorders>
              <w:top w:val="single" w:sz="4" w:space="0" w:color="000000"/>
              <w:left w:val="single" w:sz="4" w:space="0" w:color="000000"/>
              <w:bottom w:val="single" w:sz="4" w:space="0" w:color="000000"/>
              <w:right w:val="single" w:sz="4" w:space="0" w:color="000000"/>
            </w:tcBorders>
            <w:shd w:val="clear" w:color="auto" w:fill="E3DFEB"/>
          </w:tcPr>
          <w:p w:rsidR="00D52CD2" w:rsidRDefault="00464A41">
            <w:pPr>
              <w:pStyle w:val="TableParagraph"/>
              <w:spacing w:before="150"/>
              <w:ind w:left="301" w:right="302"/>
              <w:jc w:val="center"/>
              <w:rPr>
                <w:sz w:val="24"/>
              </w:rPr>
            </w:pPr>
            <w:r>
              <w:rPr>
                <w:sz w:val="24"/>
              </w:rPr>
              <w:t>$8.59</w:t>
            </w:r>
          </w:p>
        </w:tc>
        <w:tc>
          <w:tcPr>
            <w:tcW w:w="2081" w:type="dxa"/>
            <w:tcBorders>
              <w:top w:val="single" w:sz="4" w:space="0" w:color="000000"/>
              <w:left w:val="single" w:sz="4" w:space="0" w:color="000000"/>
              <w:bottom w:val="single" w:sz="4" w:space="0" w:color="000000"/>
              <w:right w:val="single" w:sz="4" w:space="0" w:color="000000"/>
            </w:tcBorders>
            <w:shd w:val="clear" w:color="auto" w:fill="E3DFEB"/>
          </w:tcPr>
          <w:p w:rsidR="00D52CD2" w:rsidRDefault="00464A41">
            <w:pPr>
              <w:pStyle w:val="TableParagraph"/>
              <w:spacing w:before="150"/>
              <w:ind w:left="146" w:right="145"/>
              <w:jc w:val="center"/>
              <w:rPr>
                <w:sz w:val="24"/>
              </w:rPr>
            </w:pPr>
            <w:r>
              <w:rPr>
                <w:color w:val="FF0000"/>
                <w:sz w:val="24"/>
              </w:rPr>
              <w:t>($129,573.50)</w:t>
            </w:r>
          </w:p>
        </w:tc>
        <w:tc>
          <w:tcPr>
            <w:tcW w:w="1538" w:type="dxa"/>
            <w:tcBorders>
              <w:top w:val="single" w:sz="4" w:space="0" w:color="000000"/>
              <w:left w:val="single" w:sz="4" w:space="0" w:color="000000"/>
              <w:bottom w:val="single" w:sz="4" w:space="0" w:color="000000"/>
              <w:right w:val="single" w:sz="4" w:space="0" w:color="000000"/>
            </w:tcBorders>
            <w:shd w:val="clear" w:color="auto" w:fill="E3DFEB"/>
          </w:tcPr>
          <w:p w:rsidR="00D52CD2" w:rsidRDefault="00464A41">
            <w:pPr>
              <w:pStyle w:val="TableParagraph"/>
              <w:spacing w:before="150"/>
              <w:ind w:left="397" w:right="399"/>
              <w:jc w:val="center"/>
              <w:rPr>
                <w:sz w:val="24"/>
              </w:rPr>
            </w:pPr>
            <w:r>
              <w:rPr>
                <w:color w:val="FF0000"/>
                <w:sz w:val="24"/>
              </w:rPr>
              <w:t>($5.58)</w:t>
            </w:r>
          </w:p>
        </w:tc>
      </w:tr>
      <w:tr w:rsidR="00D52CD2">
        <w:trPr>
          <w:trHeight w:hRule="exact" w:val="595"/>
        </w:trPr>
        <w:tc>
          <w:tcPr>
            <w:tcW w:w="2081" w:type="dxa"/>
            <w:tcBorders>
              <w:top w:val="nil"/>
              <w:bottom w:val="single" w:sz="4" w:space="0" w:color="CCC0DA"/>
              <w:right w:val="single" w:sz="4" w:space="0" w:color="000000"/>
            </w:tcBorders>
            <w:shd w:val="clear" w:color="auto" w:fill="E3DFEB"/>
          </w:tcPr>
          <w:p w:rsidR="00D52CD2" w:rsidRDefault="00464A41">
            <w:pPr>
              <w:pStyle w:val="TableParagraph"/>
              <w:spacing w:before="4"/>
              <w:ind w:left="98" w:right="549"/>
              <w:rPr>
                <w:sz w:val="24"/>
              </w:rPr>
            </w:pPr>
            <w:r>
              <w:rPr>
                <w:sz w:val="24"/>
              </w:rPr>
              <w:t>9% Ing Cost-1- 33DS</w:t>
            </w:r>
          </w:p>
        </w:tc>
        <w:tc>
          <w:tcPr>
            <w:tcW w:w="1421" w:type="dxa"/>
            <w:tcBorders>
              <w:top w:val="single" w:sz="4" w:space="0" w:color="000000"/>
              <w:left w:val="single" w:sz="4" w:space="0" w:color="000000"/>
              <w:bottom w:val="single" w:sz="4" w:space="0" w:color="000000"/>
              <w:right w:val="single" w:sz="4" w:space="0" w:color="000000"/>
            </w:tcBorders>
            <w:shd w:val="clear" w:color="auto" w:fill="E3DFEB"/>
          </w:tcPr>
          <w:p w:rsidR="00D52CD2" w:rsidRDefault="00464A41">
            <w:pPr>
              <w:pStyle w:val="TableParagraph"/>
              <w:spacing w:before="146"/>
              <w:ind w:left="291" w:right="291"/>
              <w:jc w:val="center"/>
              <w:rPr>
                <w:sz w:val="24"/>
              </w:rPr>
            </w:pPr>
            <w:r>
              <w:rPr>
                <w:sz w:val="24"/>
              </w:rPr>
              <w:t>83,120</w:t>
            </w:r>
          </w:p>
        </w:tc>
        <w:tc>
          <w:tcPr>
            <w:tcW w:w="1700" w:type="dxa"/>
            <w:tcBorders>
              <w:top w:val="single" w:sz="4" w:space="0" w:color="000000"/>
              <w:left w:val="single" w:sz="4" w:space="0" w:color="000000"/>
              <w:bottom w:val="single" w:sz="4" w:space="0" w:color="000000"/>
              <w:right w:val="single" w:sz="4" w:space="0" w:color="000000"/>
            </w:tcBorders>
            <w:shd w:val="clear" w:color="auto" w:fill="E3DFEB"/>
          </w:tcPr>
          <w:p w:rsidR="00D52CD2" w:rsidRDefault="00464A41">
            <w:pPr>
              <w:pStyle w:val="TableParagraph"/>
              <w:spacing w:before="146"/>
              <w:ind w:left="112" w:right="119"/>
              <w:jc w:val="center"/>
              <w:rPr>
                <w:sz w:val="24"/>
              </w:rPr>
            </w:pPr>
            <w:r>
              <w:rPr>
                <w:sz w:val="24"/>
              </w:rPr>
              <w:t>$608,723.70</w:t>
            </w:r>
          </w:p>
        </w:tc>
        <w:tc>
          <w:tcPr>
            <w:tcW w:w="1200" w:type="dxa"/>
            <w:tcBorders>
              <w:top w:val="single" w:sz="4" w:space="0" w:color="000000"/>
              <w:left w:val="single" w:sz="4" w:space="0" w:color="000000"/>
              <w:bottom w:val="single" w:sz="4" w:space="0" w:color="000000"/>
              <w:right w:val="single" w:sz="4" w:space="0" w:color="000000"/>
            </w:tcBorders>
            <w:shd w:val="clear" w:color="auto" w:fill="E3DFEB"/>
          </w:tcPr>
          <w:p w:rsidR="00D52CD2" w:rsidRDefault="00464A41">
            <w:pPr>
              <w:pStyle w:val="TableParagraph"/>
              <w:spacing w:before="146"/>
              <w:ind w:left="301" w:right="302"/>
              <w:jc w:val="center"/>
              <w:rPr>
                <w:sz w:val="24"/>
              </w:rPr>
            </w:pPr>
            <w:r>
              <w:rPr>
                <w:sz w:val="24"/>
              </w:rPr>
              <w:t>$7.32</w:t>
            </w:r>
          </w:p>
        </w:tc>
        <w:tc>
          <w:tcPr>
            <w:tcW w:w="2081" w:type="dxa"/>
            <w:tcBorders>
              <w:top w:val="single" w:sz="4" w:space="0" w:color="000000"/>
              <w:left w:val="single" w:sz="4" w:space="0" w:color="000000"/>
              <w:bottom w:val="single" w:sz="4" w:space="0" w:color="000000"/>
              <w:right w:val="single" w:sz="4" w:space="0" w:color="000000"/>
            </w:tcBorders>
            <w:shd w:val="clear" w:color="auto" w:fill="E3DFEB"/>
          </w:tcPr>
          <w:p w:rsidR="00D52CD2" w:rsidRDefault="00464A41">
            <w:pPr>
              <w:pStyle w:val="TableParagraph"/>
              <w:spacing w:before="146"/>
              <w:ind w:left="146" w:right="145"/>
              <w:jc w:val="center"/>
              <w:rPr>
                <w:sz w:val="24"/>
              </w:rPr>
            </w:pPr>
            <w:r>
              <w:rPr>
                <w:color w:val="FF0000"/>
                <w:sz w:val="24"/>
              </w:rPr>
              <w:t>($172,342.56)</w:t>
            </w:r>
          </w:p>
        </w:tc>
        <w:tc>
          <w:tcPr>
            <w:tcW w:w="1538" w:type="dxa"/>
            <w:tcBorders>
              <w:top w:val="single" w:sz="4" w:space="0" w:color="000000"/>
              <w:left w:val="single" w:sz="4" w:space="0" w:color="000000"/>
              <w:bottom w:val="single" w:sz="4" w:space="0" w:color="000000"/>
              <w:right w:val="single" w:sz="4" w:space="0" w:color="000000"/>
            </w:tcBorders>
            <w:shd w:val="clear" w:color="auto" w:fill="E3DFEB"/>
          </w:tcPr>
          <w:p w:rsidR="00D52CD2" w:rsidRDefault="00464A41">
            <w:pPr>
              <w:pStyle w:val="TableParagraph"/>
              <w:spacing w:before="146"/>
              <w:ind w:left="397" w:right="399"/>
              <w:jc w:val="center"/>
              <w:rPr>
                <w:sz w:val="24"/>
              </w:rPr>
            </w:pPr>
            <w:r>
              <w:rPr>
                <w:color w:val="FF0000"/>
                <w:sz w:val="24"/>
              </w:rPr>
              <w:t>($2.07)</w:t>
            </w:r>
          </w:p>
        </w:tc>
      </w:tr>
      <w:tr w:rsidR="00D52CD2">
        <w:trPr>
          <w:trHeight w:hRule="exact" w:val="346"/>
        </w:trPr>
        <w:tc>
          <w:tcPr>
            <w:tcW w:w="2081" w:type="dxa"/>
            <w:tcBorders>
              <w:top w:val="nil"/>
              <w:bottom w:val="single" w:sz="8" w:space="0" w:color="FFFFFF"/>
              <w:right w:val="single" w:sz="4" w:space="0" w:color="000000"/>
            </w:tcBorders>
            <w:shd w:val="clear" w:color="auto" w:fill="CCC0DA"/>
          </w:tcPr>
          <w:p w:rsidR="00D52CD2" w:rsidRDefault="00464A41">
            <w:pPr>
              <w:pStyle w:val="TableParagraph"/>
              <w:spacing w:before="23"/>
              <w:ind w:left="98"/>
              <w:rPr>
                <w:b/>
                <w:sz w:val="24"/>
              </w:rPr>
            </w:pPr>
            <w:r>
              <w:rPr>
                <w:b/>
                <w:sz w:val="24"/>
              </w:rPr>
              <w:t>Plan 4</w:t>
            </w:r>
          </w:p>
        </w:tc>
        <w:tc>
          <w:tcPr>
            <w:tcW w:w="1421" w:type="dxa"/>
            <w:tcBorders>
              <w:top w:val="single" w:sz="4" w:space="0" w:color="000000"/>
              <w:left w:val="single" w:sz="4" w:space="0" w:color="000000"/>
              <w:bottom w:val="single" w:sz="8" w:space="0" w:color="FFFFFF"/>
              <w:right w:val="single" w:sz="4" w:space="0" w:color="000000"/>
            </w:tcBorders>
            <w:shd w:val="clear" w:color="auto" w:fill="CCC0DA"/>
          </w:tcPr>
          <w:p w:rsidR="00D52CD2" w:rsidRDefault="00D52CD2"/>
        </w:tc>
        <w:tc>
          <w:tcPr>
            <w:tcW w:w="1700" w:type="dxa"/>
            <w:tcBorders>
              <w:top w:val="single" w:sz="4" w:space="0" w:color="000000"/>
              <w:left w:val="single" w:sz="4" w:space="0" w:color="000000"/>
              <w:bottom w:val="single" w:sz="8" w:space="0" w:color="FFFFFF"/>
              <w:right w:val="single" w:sz="4" w:space="0" w:color="000000"/>
            </w:tcBorders>
            <w:shd w:val="clear" w:color="auto" w:fill="CCC0DA"/>
          </w:tcPr>
          <w:p w:rsidR="00D52CD2" w:rsidRDefault="00D52CD2"/>
        </w:tc>
        <w:tc>
          <w:tcPr>
            <w:tcW w:w="1200" w:type="dxa"/>
            <w:tcBorders>
              <w:top w:val="single" w:sz="4" w:space="0" w:color="000000"/>
              <w:left w:val="single" w:sz="4" w:space="0" w:color="000000"/>
              <w:bottom w:val="single" w:sz="8" w:space="0" w:color="FFFFFF"/>
              <w:right w:val="single" w:sz="4" w:space="0" w:color="000000"/>
            </w:tcBorders>
            <w:shd w:val="clear" w:color="auto" w:fill="CCC0DA"/>
          </w:tcPr>
          <w:p w:rsidR="00D52CD2" w:rsidRDefault="00D52CD2"/>
        </w:tc>
        <w:tc>
          <w:tcPr>
            <w:tcW w:w="2081" w:type="dxa"/>
            <w:tcBorders>
              <w:top w:val="single" w:sz="4" w:space="0" w:color="000000"/>
              <w:left w:val="single" w:sz="4" w:space="0" w:color="000000"/>
              <w:bottom w:val="single" w:sz="8" w:space="0" w:color="FFFFFF"/>
              <w:right w:val="single" w:sz="4" w:space="0" w:color="000000"/>
            </w:tcBorders>
            <w:shd w:val="clear" w:color="auto" w:fill="CCC0DA"/>
          </w:tcPr>
          <w:p w:rsidR="00D52CD2" w:rsidRDefault="00D52CD2"/>
        </w:tc>
        <w:tc>
          <w:tcPr>
            <w:tcW w:w="1538" w:type="dxa"/>
            <w:tcBorders>
              <w:top w:val="single" w:sz="4" w:space="0" w:color="000000"/>
              <w:left w:val="single" w:sz="4" w:space="0" w:color="000000"/>
              <w:bottom w:val="single" w:sz="8" w:space="0" w:color="FFFFFF"/>
              <w:right w:val="single" w:sz="4" w:space="0" w:color="000000"/>
            </w:tcBorders>
            <w:shd w:val="clear" w:color="auto" w:fill="CCC0DA"/>
          </w:tcPr>
          <w:p w:rsidR="00D52CD2" w:rsidRDefault="00D52CD2"/>
        </w:tc>
      </w:tr>
      <w:tr w:rsidR="00D52CD2">
        <w:trPr>
          <w:trHeight w:hRule="exact" w:val="329"/>
        </w:trPr>
        <w:tc>
          <w:tcPr>
            <w:tcW w:w="2081" w:type="dxa"/>
            <w:tcBorders>
              <w:top w:val="single" w:sz="8" w:space="0" w:color="FFFFFF"/>
              <w:bottom w:val="single" w:sz="4" w:space="0" w:color="CCC0DA"/>
              <w:right w:val="single" w:sz="4" w:space="0" w:color="000000"/>
            </w:tcBorders>
            <w:shd w:val="clear" w:color="auto" w:fill="E3DFEB"/>
          </w:tcPr>
          <w:p w:rsidR="00D52CD2" w:rsidRDefault="00464A41">
            <w:pPr>
              <w:pStyle w:val="TableParagraph"/>
              <w:spacing w:before="9"/>
              <w:ind w:left="98"/>
              <w:rPr>
                <w:sz w:val="24"/>
              </w:rPr>
            </w:pPr>
            <w:r>
              <w:rPr>
                <w:sz w:val="24"/>
              </w:rPr>
              <w:t>$9.25 per claim</w:t>
            </w:r>
          </w:p>
        </w:tc>
        <w:tc>
          <w:tcPr>
            <w:tcW w:w="1421" w:type="dxa"/>
            <w:tcBorders>
              <w:top w:val="single" w:sz="8" w:space="0" w:color="FFFFFF"/>
              <w:left w:val="single" w:sz="4" w:space="0" w:color="000000"/>
              <w:bottom w:val="single" w:sz="4" w:space="0" w:color="000000"/>
              <w:right w:val="single" w:sz="4" w:space="0" w:color="000000"/>
            </w:tcBorders>
            <w:shd w:val="clear" w:color="auto" w:fill="E3DFEB"/>
          </w:tcPr>
          <w:p w:rsidR="00D52CD2" w:rsidRDefault="00464A41">
            <w:pPr>
              <w:pStyle w:val="TableParagraph"/>
              <w:spacing w:before="9"/>
              <w:ind w:left="291" w:right="291"/>
              <w:jc w:val="center"/>
              <w:rPr>
                <w:sz w:val="24"/>
              </w:rPr>
            </w:pPr>
            <w:r>
              <w:rPr>
                <w:sz w:val="24"/>
              </w:rPr>
              <w:t>17,138</w:t>
            </w:r>
          </w:p>
        </w:tc>
        <w:tc>
          <w:tcPr>
            <w:tcW w:w="1700" w:type="dxa"/>
            <w:tcBorders>
              <w:top w:val="single" w:sz="8" w:space="0" w:color="FFFFFF"/>
              <w:left w:val="single" w:sz="4" w:space="0" w:color="000000"/>
              <w:bottom w:val="single" w:sz="4" w:space="0" w:color="000000"/>
              <w:right w:val="single" w:sz="4" w:space="0" w:color="000000"/>
            </w:tcBorders>
            <w:shd w:val="clear" w:color="auto" w:fill="E3DFEB"/>
          </w:tcPr>
          <w:p w:rsidR="00D52CD2" w:rsidRDefault="00464A41">
            <w:pPr>
              <w:pStyle w:val="TableParagraph"/>
              <w:spacing w:before="9"/>
              <w:ind w:left="112" w:right="119"/>
              <w:jc w:val="center"/>
              <w:rPr>
                <w:sz w:val="24"/>
              </w:rPr>
            </w:pPr>
            <w:r>
              <w:rPr>
                <w:sz w:val="24"/>
              </w:rPr>
              <w:t>$158,526.50</w:t>
            </w:r>
          </w:p>
        </w:tc>
        <w:tc>
          <w:tcPr>
            <w:tcW w:w="1200" w:type="dxa"/>
            <w:tcBorders>
              <w:top w:val="single" w:sz="8" w:space="0" w:color="FFFFFF"/>
              <w:left w:val="single" w:sz="4" w:space="0" w:color="000000"/>
              <w:bottom w:val="single" w:sz="4" w:space="0" w:color="000000"/>
              <w:right w:val="single" w:sz="4" w:space="0" w:color="000000"/>
            </w:tcBorders>
            <w:shd w:val="clear" w:color="auto" w:fill="E3DFEB"/>
          </w:tcPr>
          <w:p w:rsidR="00D52CD2" w:rsidRDefault="00464A41">
            <w:pPr>
              <w:pStyle w:val="TableParagraph"/>
              <w:spacing w:before="9"/>
              <w:ind w:left="301" w:right="302"/>
              <w:jc w:val="center"/>
              <w:rPr>
                <w:sz w:val="24"/>
              </w:rPr>
            </w:pPr>
            <w:r>
              <w:rPr>
                <w:sz w:val="24"/>
              </w:rPr>
              <w:t>$9.25</w:t>
            </w:r>
          </w:p>
        </w:tc>
        <w:tc>
          <w:tcPr>
            <w:tcW w:w="2081" w:type="dxa"/>
            <w:tcBorders>
              <w:top w:val="single" w:sz="8" w:space="0" w:color="FFFFFF"/>
              <w:left w:val="single" w:sz="4" w:space="0" w:color="000000"/>
              <w:bottom w:val="single" w:sz="4" w:space="0" w:color="000000"/>
              <w:right w:val="single" w:sz="4" w:space="0" w:color="000000"/>
            </w:tcBorders>
            <w:shd w:val="clear" w:color="auto" w:fill="E3DFEB"/>
          </w:tcPr>
          <w:p w:rsidR="00D52CD2" w:rsidRDefault="00464A41">
            <w:pPr>
              <w:pStyle w:val="TableParagraph"/>
              <w:spacing w:before="9"/>
              <w:ind w:left="146" w:right="146"/>
              <w:jc w:val="center"/>
              <w:rPr>
                <w:sz w:val="24"/>
              </w:rPr>
            </w:pPr>
            <w:r>
              <w:rPr>
                <w:sz w:val="24"/>
              </w:rPr>
              <w:t>$192,782.01</w:t>
            </w:r>
          </w:p>
        </w:tc>
        <w:tc>
          <w:tcPr>
            <w:tcW w:w="1538" w:type="dxa"/>
            <w:tcBorders>
              <w:top w:val="single" w:sz="8" w:space="0" w:color="FFFFFF"/>
              <w:left w:val="single" w:sz="4" w:space="0" w:color="000000"/>
              <w:bottom w:val="single" w:sz="4" w:space="0" w:color="000000"/>
              <w:right w:val="single" w:sz="4" w:space="0" w:color="000000"/>
            </w:tcBorders>
            <w:shd w:val="clear" w:color="auto" w:fill="E3DFEB"/>
          </w:tcPr>
          <w:p w:rsidR="00D52CD2" w:rsidRDefault="00464A41">
            <w:pPr>
              <w:pStyle w:val="TableParagraph"/>
              <w:spacing w:before="9"/>
              <w:ind w:left="397" w:right="398"/>
              <w:jc w:val="center"/>
              <w:rPr>
                <w:sz w:val="24"/>
              </w:rPr>
            </w:pPr>
            <w:r>
              <w:rPr>
                <w:sz w:val="24"/>
              </w:rPr>
              <w:t>$11.25</w:t>
            </w:r>
          </w:p>
        </w:tc>
      </w:tr>
      <w:tr w:rsidR="00D52CD2">
        <w:trPr>
          <w:trHeight w:hRule="exact" w:val="346"/>
        </w:trPr>
        <w:tc>
          <w:tcPr>
            <w:tcW w:w="2081" w:type="dxa"/>
            <w:tcBorders>
              <w:top w:val="nil"/>
              <w:bottom w:val="nil"/>
              <w:right w:val="single" w:sz="4" w:space="0" w:color="000000"/>
            </w:tcBorders>
            <w:shd w:val="clear" w:color="auto" w:fill="CCC0DA"/>
          </w:tcPr>
          <w:p w:rsidR="00D52CD2" w:rsidRDefault="00464A41">
            <w:pPr>
              <w:pStyle w:val="TableParagraph"/>
              <w:spacing w:before="23"/>
              <w:ind w:left="98"/>
              <w:rPr>
                <w:b/>
                <w:sz w:val="24"/>
              </w:rPr>
            </w:pPr>
            <w:r>
              <w:rPr>
                <w:b/>
                <w:sz w:val="24"/>
              </w:rPr>
              <w:t>Plan 5</w:t>
            </w:r>
          </w:p>
        </w:tc>
        <w:tc>
          <w:tcPr>
            <w:tcW w:w="1421" w:type="dxa"/>
            <w:tcBorders>
              <w:top w:val="single" w:sz="4" w:space="0" w:color="000000"/>
              <w:left w:val="single" w:sz="4" w:space="0" w:color="000000"/>
              <w:bottom w:val="single" w:sz="4" w:space="0" w:color="000000"/>
              <w:right w:val="single" w:sz="4" w:space="0" w:color="000000"/>
            </w:tcBorders>
            <w:shd w:val="clear" w:color="auto" w:fill="CCC0DA"/>
          </w:tcPr>
          <w:p w:rsidR="00D52CD2" w:rsidRDefault="00D52CD2"/>
        </w:tc>
        <w:tc>
          <w:tcPr>
            <w:tcW w:w="1700" w:type="dxa"/>
            <w:tcBorders>
              <w:top w:val="single" w:sz="4" w:space="0" w:color="000000"/>
              <w:left w:val="single" w:sz="4" w:space="0" w:color="000000"/>
              <w:bottom w:val="single" w:sz="4" w:space="0" w:color="000000"/>
              <w:right w:val="single" w:sz="4" w:space="0" w:color="000000"/>
            </w:tcBorders>
            <w:shd w:val="clear" w:color="auto" w:fill="CCC0DA"/>
          </w:tcPr>
          <w:p w:rsidR="00D52CD2" w:rsidRDefault="00D52CD2"/>
        </w:tc>
        <w:tc>
          <w:tcPr>
            <w:tcW w:w="1200" w:type="dxa"/>
            <w:tcBorders>
              <w:top w:val="single" w:sz="4" w:space="0" w:color="000000"/>
              <w:left w:val="single" w:sz="4" w:space="0" w:color="000000"/>
              <w:bottom w:val="single" w:sz="4" w:space="0" w:color="000000"/>
              <w:right w:val="single" w:sz="4" w:space="0" w:color="000000"/>
            </w:tcBorders>
            <w:shd w:val="clear" w:color="auto" w:fill="CCC0DA"/>
          </w:tcPr>
          <w:p w:rsidR="00D52CD2" w:rsidRDefault="00D52CD2"/>
        </w:tc>
        <w:tc>
          <w:tcPr>
            <w:tcW w:w="2081" w:type="dxa"/>
            <w:tcBorders>
              <w:top w:val="single" w:sz="4" w:space="0" w:color="000000"/>
              <w:left w:val="single" w:sz="4" w:space="0" w:color="000000"/>
              <w:bottom w:val="single" w:sz="4" w:space="0" w:color="000000"/>
              <w:right w:val="single" w:sz="4" w:space="0" w:color="000000"/>
            </w:tcBorders>
            <w:shd w:val="clear" w:color="auto" w:fill="CCC0DA"/>
          </w:tcPr>
          <w:p w:rsidR="00D52CD2" w:rsidRDefault="00D52CD2"/>
        </w:tc>
        <w:tc>
          <w:tcPr>
            <w:tcW w:w="1538" w:type="dxa"/>
            <w:tcBorders>
              <w:top w:val="single" w:sz="4" w:space="0" w:color="000000"/>
              <w:left w:val="single" w:sz="4" w:space="0" w:color="000000"/>
              <w:bottom w:val="single" w:sz="4" w:space="0" w:color="000000"/>
              <w:right w:val="single" w:sz="4" w:space="0" w:color="000000"/>
            </w:tcBorders>
            <w:shd w:val="clear" w:color="auto" w:fill="CCC0DA"/>
          </w:tcPr>
          <w:p w:rsidR="00D52CD2" w:rsidRDefault="00D52CD2"/>
        </w:tc>
      </w:tr>
      <w:tr w:rsidR="00D52CD2">
        <w:trPr>
          <w:trHeight w:hRule="exact" w:val="330"/>
        </w:trPr>
        <w:tc>
          <w:tcPr>
            <w:tcW w:w="2081" w:type="dxa"/>
            <w:tcBorders>
              <w:top w:val="nil"/>
              <w:bottom w:val="single" w:sz="4" w:space="0" w:color="CCC0DA"/>
              <w:right w:val="single" w:sz="4" w:space="0" w:color="000000"/>
            </w:tcBorders>
            <w:shd w:val="clear" w:color="auto" w:fill="E3DFEB"/>
          </w:tcPr>
          <w:p w:rsidR="00D52CD2" w:rsidRDefault="00464A41">
            <w:pPr>
              <w:pStyle w:val="TableParagraph"/>
              <w:spacing w:before="21"/>
              <w:ind w:left="98"/>
              <w:rPr>
                <w:sz w:val="24"/>
              </w:rPr>
            </w:pPr>
            <w:r>
              <w:rPr>
                <w:sz w:val="24"/>
              </w:rPr>
              <w:t>$5.00 per claim</w:t>
            </w:r>
          </w:p>
        </w:tc>
        <w:tc>
          <w:tcPr>
            <w:tcW w:w="1421" w:type="dxa"/>
            <w:tcBorders>
              <w:top w:val="single" w:sz="4" w:space="0" w:color="000000"/>
              <w:left w:val="single" w:sz="4" w:space="0" w:color="000000"/>
              <w:bottom w:val="single" w:sz="4" w:space="0" w:color="000000"/>
              <w:right w:val="single" w:sz="4" w:space="0" w:color="000000"/>
            </w:tcBorders>
            <w:shd w:val="clear" w:color="auto" w:fill="E3DFEB"/>
          </w:tcPr>
          <w:p w:rsidR="00D52CD2" w:rsidRDefault="00464A41">
            <w:pPr>
              <w:pStyle w:val="TableParagraph"/>
              <w:spacing w:before="16"/>
              <w:ind w:left="291" w:right="291"/>
              <w:jc w:val="center"/>
              <w:rPr>
                <w:sz w:val="24"/>
              </w:rPr>
            </w:pPr>
            <w:r>
              <w:rPr>
                <w:sz w:val="24"/>
              </w:rPr>
              <w:t>315,559</w:t>
            </w:r>
          </w:p>
        </w:tc>
        <w:tc>
          <w:tcPr>
            <w:tcW w:w="1700" w:type="dxa"/>
            <w:tcBorders>
              <w:top w:val="single" w:sz="4" w:space="0" w:color="000000"/>
              <w:left w:val="single" w:sz="4" w:space="0" w:color="000000"/>
              <w:bottom w:val="single" w:sz="4" w:space="0" w:color="000000"/>
              <w:right w:val="single" w:sz="4" w:space="0" w:color="000000"/>
            </w:tcBorders>
            <w:shd w:val="clear" w:color="auto" w:fill="E3DFEB"/>
          </w:tcPr>
          <w:p w:rsidR="00D52CD2" w:rsidRDefault="00464A41">
            <w:pPr>
              <w:pStyle w:val="TableParagraph"/>
              <w:spacing w:before="16"/>
              <w:ind w:left="112" w:right="119"/>
              <w:jc w:val="center"/>
              <w:rPr>
                <w:sz w:val="24"/>
              </w:rPr>
            </w:pPr>
            <w:r>
              <w:rPr>
                <w:sz w:val="24"/>
              </w:rPr>
              <w:t>$1,577,795.00</w:t>
            </w:r>
          </w:p>
        </w:tc>
        <w:tc>
          <w:tcPr>
            <w:tcW w:w="1200" w:type="dxa"/>
            <w:tcBorders>
              <w:top w:val="single" w:sz="4" w:space="0" w:color="000000"/>
              <w:left w:val="single" w:sz="4" w:space="0" w:color="000000"/>
              <w:bottom w:val="single" w:sz="4" w:space="0" w:color="000000"/>
              <w:right w:val="single" w:sz="4" w:space="0" w:color="000000"/>
            </w:tcBorders>
            <w:shd w:val="clear" w:color="auto" w:fill="E3DFEB"/>
          </w:tcPr>
          <w:p w:rsidR="00D52CD2" w:rsidRDefault="00464A41">
            <w:pPr>
              <w:pStyle w:val="TableParagraph"/>
              <w:spacing w:before="16"/>
              <w:ind w:left="301" w:right="302"/>
              <w:jc w:val="center"/>
              <w:rPr>
                <w:sz w:val="24"/>
              </w:rPr>
            </w:pPr>
            <w:r>
              <w:rPr>
                <w:sz w:val="24"/>
              </w:rPr>
              <w:t>$5.00</w:t>
            </w:r>
          </w:p>
        </w:tc>
        <w:tc>
          <w:tcPr>
            <w:tcW w:w="2081" w:type="dxa"/>
            <w:tcBorders>
              <w:top w:val="single" w:sz="4" w:space="0" w:color="000000"/>
              <w:left w:val="single" w:sz="4" w:space="0" w:color="000000"/>
              <w:bottom w:val="single" w:sz="4" w:space="0" w:color="000000"/>
              <w:right w:val="single" w:sz="4" w:space="0" w:color="000000"/>
            </w:tcBorders>
            <w:shd w:val="clear" w:color="auto" w:fill="E3DFEB"/>
          </w:tcPr>
          <w:p w:rsidR="00D52CD2" w:rsidRDefault="00464A41">
            <w:pPr>
              <w:pStyle w:val="TableParagraph"/>
              <w:spacing w:before="16"/>
              <w:ind w:left="146" w:right="146"/>
              <w:jc w:val="center"/>
              <w:rPr>
                <w:sz w:val="24"/>
              </w:rPr>
            </w:pPr>
            <w:r>
              <w:rPr>
                <w:sz w:val="24"/>
              </w:rPr>
              <w:t>$5,399,198.63</w:t>
            </w:r>
          </w:p>
        </w:tc>
        <w:tc>
          <w:tcPr>
            <w:tcW w:w="1538" w:type="dxa"/>
            <w:tcBorders>
              <w:top w:val="single" w:sz="4" w:space="0" w:color="000000"/>
              <w:left w:val="single" w:sz="4" w:space="0" w:color="000000"/>
              <w:bottom w:val="single" w:sz="4" w:space="0" w:color="000000"/>
              <w:right w:val="single" w:sz="4" w:space="0" w:color="000000"/>
            </w:tcBorders>
            <w:shd w:val="clear" w:color="auto" w:fill="E3DFEB"/>
          </w:tcPr>
          <w:p w:rsidR="00D52CD2" w:rsidRDefault="00464A41">
            <w:pPr>
              <w:pStyle w:val="TableParagraph"/>
              <w:spacing w:before="16"/>
              <w:ind w:left="397" w:right="398"/>
              <w:jc w:val="center"/>
              <w:rPr>
                <w:sz w:val="24"/>
              </w:rPr>
            </w:pPr>
            <w:r>
              <w:rPr>
                <w:sz w:val="24"/>
              </w:rPr>
              <w:t>$17.11</w:t>
            </w:r>
          </w:p>
        </w:tc>
      </w:tr>
      <w:tr w:rsidR="00D52CD2">
        <w:trPr>
          <w:trHeight w:hRule="exact" w:val="345"/>
        </w:trPr>
        <w:tc>
          <w:tcPr>
            <w:tcW w:w="2081" w:type="dxa"/>
            <w:tcBorders>
              <w:top w:val="nil"/>
              <w:bottom w:val="single" w:sz="8" w:space="0" w:color="FFFFFF"/>
              <w:right w:val="single" w:sz="4" w:space="0" w:color="000000"/>
            </w:tcBorders>
            <w:shd w:val="clear" w:color="auto" w:fill="CCC0DA"/>
          </w:tcPr>
          <w:p w:rsidR="00D52CD2" w:rsidRDefault="00464A41">
            <w:pPr>
              <w:pStyle w:val="TableParagraph"/>
              <w:spacing w:before="23"/>
              <w:ind w:left="98"/>
              <w:rPr>
                <w:b/>
                <w:sz w:val="24"/>
              </w:rPr>
            </w:pPr>
            <w:r>
              <w:rPr>
                <w:b/>
                <w:sz w:val="24"/>
              </w:rPr>
              <w:t>Plan 6</w:t>
            </w:r>
          </w:p>
        </w:tc>
        <w:tc>
          <w:tcPr>
            <w:tcW w:w="1421" w:type="dxa"/>
            <w:tcBorders>
              <w:top w:val="single" w:sz="4" w:space="0" w:color="000000"/>
              <w:left w:val="single" w:sz="4" w:space="0" w:color="000000"/>
              <w:bottom w:val="single" w:sz="8" w:space="0" w:color="FFFFFF"/>
              <w:right w:val="single" w:sz="4" w:space="0" w:color="000000"/>
            </w:tcBorders>
            <w:shd w:val="clear" w:color="auto" w:fill="CCC0DA"/>
          </w:tcPr>
          <w:p w:rsidR="00D52CD2" w:rsidRDefault="00D52CD2"/>
        </w:tc>
        <w:tc>
          <w:tcPr>
            <w:tcW w:w="1700" w:type="dxa"/>
            <w:tcBorders>
              <w:top w:val="single" w:sz="4" w:space="0" w:color="000000"/>
              <w:left w:val="single" w:sz="4" w:space="0" w:color="000000"/>
              <w:bottom w:val="single" w:sz="8" w:space="0" w:color="FFFFFF"/>
              <w:right w:val="single" w:sz="4" w:space="0" w:color="000000"/>
            </w:tcBorders>
            <w:shd w:val="clear" w:color="auto" w:fill="CCC0DA"/>
          </w:tcPr>
          <w:p w:rsidR="00D52CD2" w:rsidRDefault="00D52CD2"/>
        </w:tc>
        <w:tc>
          <w:tcPr>
            <w:tcW w:w="1200" w:type="dxa"/>
            <w:tcBorders>
              <w:top w:val="single" w:sz="4" w:space="0" w:color="000000"/>
              <w:left w:val="single" w:sz="4" w:space="0" w:color="000000"/>
              <w:bottom w:val="single" w:sz="8" w:space="0" w:color="FFFFFF"/>
              <w:right w:val="single" w:sz="4" w:space="0" w:color="000000"/>
            </w:tcBorders>
            <w:shd w:val="clear" w:color="auto" w:fill="CCC0DA"/>
          </w:tcPr>
          <w:p w:rsidR="00D52CD2" w:rsidRDefault="00D52CD2"/>
        </w:tc>
        <w:tc>
          <w:tcPr>
            <w:tcW w:w="2081" w:type="dxa"/>
            <w:tcBorders>
              <w:top w:val="single" w:sz="4" w:space="0" w:color="000000"/>
              <w:left w:val="single" w:sz="4" w:space="0" w:color="000000"/>
              <w:bottom w:val="single" w:sz="8" w:space="0" w:color="FFFFFF"/>
              <w:right w:val="single" w:sz="4" w:space="0" w:color="000000"/>
            </w:tcBorders>
            <w:shd w:val="clear" w:color="auto" w:fill="CCC0DA"/>
          </w:tcPr>
          <w:p w:rsidR="00D52CD2" w:rsidRDefault="00D52CD2"/>
        </w:tc>
        <w:tc>
          <w:tcPr>
            <w:tcW w:w="1538" w:type="dxa"/>
            <w:tcBorders>
              <w:top w:val="single" w:sz="4" w:space="0" w:color="000000"/>
              <w:left w:val="single" w:sz="4" w:space="0" w:color="000000"/>
              <w:bottom w:val="single" w:sz="8" w:space="0" w:color="FFFFFF"/>
              <w:right w:val="single" w:sz="4" w:space="0" w:color="000000"/>
            </w:tcBorders>
            <w:shd w:val="clear" w:color="auto" w:fill="CCC0DA"/>
          </w:tcPr>
          <w:p w:rsidR="00D52CD2" w:rsidRDefault="00D52CD2"/>
        </w:tc>
      </w:tr>
      <w:tr w:rsidR="00D52CD2">
        <w:trPr>
          <w:trHeight w:hRule="exact" w:val="331"/>
        </w:trPr>
        <w:tc>
          <w:tcPr>
            <w:tcW w:w="2081" w:type="dxa"/>
            <w:tcBorders>
              <w:top w:val="single" w:sz="8" w:space="0" w:color="FFFFFF"/>
              <w:bottom w:val="single" w:sz="4" w:space="0" w:color="CCC0DA"/>
              <w:right w:val="single" w:sz="4" w:space="0" w:color="000000"/>
            </w:tcBorders>
            <w:shd w:val="clear" w:color="auto" w:fill="E3DFEB"/>
          </w:tcPr>
          <w:p w:rsidR="00D52CD2" w:rsidRDefault="00464A41">
            <w:pPr>
              <w:pStyle w:val="TableParagraph"/>
              <w:spacing w:before="11"/>
              <w:ind w:left="98"/>
              <w:rPr>
                <w:sz w:val="24"/>
              </w:rPr>
            </w:pPr>
            <w:r>
              <w:rPr>
                <w:sz w:val="24"/>
              </w:rPr>
              <w:t>3% off Ing Cost</w:t>
            </w:r>
          </w:p>
        </w:tc>
        <w:tc>
          <w:tcPr>
            <w:tcW w:w="1421" w:type="dxa"/>
            <w:tcBorders>
              <w:top w:val="single" w:sz="8" w:space="0" w:color="FFFFFF"/>
              <w:left w:val="single" w:sz="4" w:space="0" w:color="000000"/>
              <w:bottom w:val="single" w:sz="4" w:space="0" w:color="000000"/>
              <w:right w:val="single" w:sz="4" w:space="0" w:color="000000"/>
            </w:tcBorders>
            <w:shd w:val="clear" w:color="auto" w:fill="E3DFEB"/>
          </w:tcPr>
          <w:p w:rsidR="00D52CD2" w:rsidRDefault="00464A41">
            <w:pPr>
              <w:pStyle w:val="TableParagraph"/>
              <w:spacing w:before="11"/>
              <w:ind w:left="291" w:right="291"/>
              <w:jc w:val="center"/>
              <w:rPr>
                <w:sz w:val="24"/>
              </w:rPr>
            </w:pPr>
            <w:r>
              <w:rPr>
                <w:sz w:val="24"/>
              </w:rPr>
              <w:t>6,833</w:t>
            </w:r>
          </w:p>
        </w:tc>
        <w:tc>
          <w:tcPr>
            <w:tcW w:w="1700" w:type="dxa"/>
            <w:tcBorders>
              <w:top w:val="single" w:sz="8" w:space="0" w:color="FFFFFF"/>
              <w:left w:val="single" w:sz="4" w:space="0" w:color="000000"/>
              <w:bottom w:val="single" w:sz="4" w:space="0" w:color="000000"/>
              <w:right w:val="single" w:sz="4" w:space="0" w:color="000000"/>
            </w:tcBorders>
            <w:shd w:val="clear" w:color="auto" w:fill="E3DFEB"/>
          </w:tcPr>
          <w:p w:rsidR="00D52CD2" w:rsidRDefault="00464A41">
            <w:pPr>
              <w:pStyle w:val="TableParagraph"/>
              <w:spacing w:before="11"/>
              <w:ind w:left="115" w:right="117"/>
              <w:jc w:val="center"/>
              <w:rPr>
                <w:sz w:val="24"/>
              </w:rPr>
            </w:pPr>
            <w:r>
              <w:rPr>
                <w:sz w:val="24"/>
              </w:rPr>
              <w:t>$18,522.93</w:t>
            </w:r>
          </w:p>
        </w:tc>
        <w:tc>
          <w:tcPr>
            <w:tcW w:w="1200" w:type="dxa"/>
            <w:tcBorders>
              <w:top w:val="single" w:sz="8" w:space="0" w:color="FFFFFF"/>
              <w:left w:val="single" w:sz="4" w:space="0" w:color="000000"/>
              <w:bottom w:val="single" w:sz="4" w:space="0" w:color="000000"/>
              <w:right w:val="single" w:sz="4" w:space="0" w:color="000000"/>
            </w:tcBorders>
            <w:shd w:val="clear" w:color="auto" w:fill="E3DFEB"/>
          </w:tcPr>
          <w:p w:rsidR="00D52CD2" w:rsidRDefault="00464A41">
            <w:pPr>
              <w:pStyle w:val="TableParagraph"/>
              <w:spacing w:before="11"/>
              <w:ind w:left="301" w:right="302"/>
              <w:jc w:val="center"/>
              <w:rPr>
                <w:sz w:val="24"/>
              </w:rPr>
            </w:pPr>
            <w:r>
              <w:rPr>
                <w:sz w:val="24"/>
              </w:rPr>
              <w:t>$2.71</w:t>
            </w:r>
          </w:p>
        </w:tc>
        <w:tc>
          <w:tcPr>
            <w:tcW w:w="2081" w:type="dxa"/>
            <w:tcBorders>
              <w:top w:val="single" w:sz="8" w:space="0" w:color="FFFFFF"/>
              <w:left w:val="single" w:sz="4" w:space="0" w:color="000000"/>
              <w:bottom w:val="single" w:sz="4" w:space="0" w:color="000000"/>
              <w:right w:val="single" w:sz="4" w:space="0" w:color="000000"/>
            </w:tcBorders>
            <w:shd w:val="clear" w:color="auto" w:fill="E3DFEB"/>
          </w:tcPr>
          <w:p w:rsidR="00D52CD2" w:rsidRDefault="00464A41">
            <w:pPr>
              <w:pStyle w:val="TableParagraph"/>
              <w:spacing w:before="11"/>
              <w:ind w:left="146" w:right="146"/>
              <w:jc w:val="center"/>
              <w:rPr>
                <w:sz w:val="24"/>
              </w:rPr>
            </w:pPr>
            <w:r>
              <w:rPr>
                <w:sz w:val="24"/>
              </w:rPr>
              <w:t>$173,117.82</w:t>
            </w:r>
          </w:p>
        </w:tc>
        <w:tc>
          <w:tcPr>
            <w:tcW w:w="1538" w:type="dxa"/>
            <w:tcBorders>
              <w:top w:val="single" w:sz="8" w:space="0" w:color="FFFFFF"/>
              <w:left w:val="single" w:sz="4" w:space="0" w:color="000000"/>
              <w:bottom w:val="single" w:sz="4" w:space="0" w:color="000000"/>
              <w:right w:val="single" w:sz="4" w:space="0" w:color="000000"/>
            </w:tcBorders>
            <w:shd w:val="clear" w:color="auto" w:fill="E3DFEB"/>
          </w:tcPr>
          <w:p w:rsidR="00D52CD2" w:rsidRDefault="00464A41">
            <w:pPr>
              <w:pStyle w:val="TableParagraph"/>
              <w:spacing w:before="11"/>
              <w:ind w:left="397" w:right="398"/>
              <w:jc w:val="center"/>
              <w:rPr>
                <w:sz w:val="24"/>
              </w:rPr>
            </w:pPr>
            <w:r>
              <w:rPr>
                <w:sz w:val="24"/>
              </w:rPr>
              <w:t>$25.34</w:t>
            </w:r>
          </w:p>
        </w:tc>
      </w:tr>
      <w:tr w:rsidR="00D52CD2">
        <w:trPr>
          <w:trHeight w:hRule="exact" w:val="344"/>
        </w:trPr>
        <w:tc>
          <w:tcPr>
            <w:tcW w:w="2081" w:type="dxa"/>
            <w:tcBorders>
              <w:top w:val="nil"/>
              <w:bottom w:val="single" w:sz="9" w:space="0" w:color="FFFFFF"/>
              <w:right w:val="single" w:sz="4" w:space="0" w:color="000000"/>
            </w:tcBorders>
            <w:shd w:val="clear" w:color="auto" w:fill="CCC0DA"/>
          </w:tcPr>
          <w:p w:rsidR="00D52CD2" w:rsidRDefault="00464A41">
            <w:pPr>
              <w:pStyle w:val="TableParagraph"/>
              <w:spacing w:before="23"/>
              <w:ind w:left="98"/>
              <w:rPr>
                <w:b/>
                <w:sz w:val="24"/>
              </w:rPr>
            </w:pPr>
            <w:r>
              <w:rPr>
                <w:b/>
                <w:sz w:val="24"/>
              </w:rPr>
              <w:t>Plan 7</w:t>
            </w:r>
          </w:p>
        </w:tc>
        <w:tc>
          <w:tcPr>
            <w:tcW w:w="1421" w:type="dxa"/>
            <w:tcBorders>
              <w:top w:val="single" w:sz="4" w:space="0" w:color="000000"/>
              <w:left w:val="single" w:sz="4" w:space="0" w:color="000000"/>
              <w:bottom w:val="single" w:sz="9" w:space="0" w:color="FFFFFF"/>
              <w:right w:val="single" w:sz="4" w:space="0" w:color="000000"/>
            </w:tcBorders>
            <w:shd w:val="clear" w:color="auto" w:fill="CCC0DA"/>
          </w:tcPr>
          <w:p w:rsidR="00D52CD2" w:rsidRDefault="00D52CD2"/>
        </w:tc>
        <w:tc>
          <w:tcPr>
            <w:tcW w:w="1700" w:type="dxa"/>
            <w:tcBorders>
              <w:top w:val="single" w:sz="4" w:space="0" w:color="000000"/>
              <w:left w:val="single" w:sz="4" w:space="0" w:color="000000"/>
              <w:bottom w:val="single" w:sz="9" w:space="0" w:color="FFFFFF"/>
              <w:right w:val="single" w:sz="4" w:space="0" w:color="000000"/>
            </w:tcBorders>
            <w:shd w:val="clear" w:color="auto" w:fill="CCC0DA"/>
          </w:tcPr>
          <w:p w:rsidR="00D52CD2" w:rsidRDefault="00D52CD2"/>
        </w:tc>
        <w:tc>
          <w:tcPr>
            <w:tcW w:w="1200" w:type="dxa"/>
            <w:tcBorders>
              <w:top w:val="single" w:sz="4" w:space="0" w:color="000000"/>
              <w:left w:val="single" w:sz="4" w:space="0" w:color="000000"/>
              <w:bottom w:val="single" w:sz="9" w:space="0" w:color="FFFFFF"/>
              <w:right w:val="single" w:sz="4" w:space="0" w:color="000000"/>
            </w:tcBorders>
            <w:shd w:val="clear" w:color="auto" w:fill="CCC0DA"/>
          </w:tcPr>
          <w:p w:rsidR="00D52CD2" w:rsidRDefault="00D52CD2"/>
        </w:tc>
        <w:tc>
          <w:tcPr>
            <w:tcW w:w="2081" w:type="dxa"/>
            <w:tcBorders>
              <w:top w:val="single" w:sz="4" w:space="0" w:color="000000"/>
              <w:left w:val="single" w:sz="4" w:space="0" w:color="000000"/>
              <w:bottom w:val="single" w:sz="9" w:space="0" w:color="FFFFFF"/>
              <w:right w:val="single" w:sz="4" w:space="0" w:color="000000"/>
            </w:tcBorders>
            <w:shd w:val="clear" w:color="auto" w:fill="CCC0DA"/>
          </w:tcPr>
          <w:p w:rsidR="00D52CD2" w:rsidRDefault="00D52CD2"/>
        </w:tc>
        <w:tc>
          <w:tcPr>
            <w:tcW w:w="1538" w:type="dxa"/>
            <w:tcBorders>
              <w:top w:val="single" w:sz="4" w:space="0" w:color="000000"/>
              <w:left w:val="single" w:sz="4" w:space="0" w:color="000000"/>
              <w:bottom w:val="single" w:sz="9" w:space="0" w:color="FFFFFF"/>
              <w:right w:val="single" w:sz="4" w:space="0" w:color="000000"/>
            </w:tcBorders>
            <w:shd w:val="clear" w:color="auto" w:fill="CCC0DA"/>
          </w:tcPr>
          <w:p w:rsidR="00D52CD2" w:rsidRDefault="00D52CD2"/>
        </w:tc>
      </w:tr>
      <w:tr w:rsidR="00D52CD2">
        <w:trPr>
          <w:trHeight w:hRule="exact" w:val="330"/>
        </w:trPr>
        <w:tc>
          <w:tcPr>
            <w:tcW w:w="2081" w:type="dxa"/>
            <w:tcBorders>
              <w:top w:val="single" w:sz="9" w:space="0" w:color="FFFFFF"/>
              <w:bottom w:val="single" w:sz="4" w:space="0" w:color="CCC0DA"/>
              <w:right w:val="single" w:sz="4" w:space="0" w:color="000000"/>
            </w:tcBorders>
            <w:shd w:val="clear" w:color="auto" w:fill="E3DFEB"/>
          </w:tcPr>
          <w:p w:rsidR="00D52CD2" w:rsidRDefault="00464A41">
            <w:pPr>
              <w:pStyle w:val="TableParagraph"/>
              <w:spacing w:before="9"/>
              <w:ind w:left="98"/>
              <w:rPr>
                <w:sz w:val="24"/>
              </w:rPr>
            </w:pPr>
            <w:r>
              <w:rPr>
                <w:sz w:val="24"/>
              </w:rPr>
              <w:t>$6.75/claim</w:t>
            </w:r>
          </w:p>
        </w:tc>
        <w:tc>
          <w:tcPr>
            <w:tcW w:w="1421" w:type="dxa"/>
            <w:tcBorders>
              <w:top w:val="single" w:sz="9" w:space="0" w:color="FFFFFF"/>
              <w:left w:val="single" w:sz="4" w:space="0" w:color="000000"/>
              <w:bottom w:val="single" w:sz="4" w:space="0" w:color="000000"/>
              <w:right w:val="single" w:sz="4" w:space="0" w:color="000000"/>
            </w:tcBorders>
            <w:shd w:val="clear" w:color="auto" w:fill="E3DFEB"/>
          </w:tcPr>
          <w:p w:rsidR="00D52CD2" w:rsidRDefault="00464A41">
            <w:pPr>
              <w:pStyle w:val="TableParagraph"/>
              <w:spacing w:before="9"/>
              <w:ind w:left="291" w:right="291"/>
              <w:jc w:val="center"/>
              <w:rPr>
                <w:sz w:val="24"/>
              </w:rPr>
            </w:pPr>
            <w:r>
              <w:rPr>
                <w:sz w:val="24"/>
              </w:rPr>
              <w:t>15,727</w:t>
            </w:r>
          </w:p>
        </w:tc>
        <w:tc>
          <w:tcPr>
            <w:tcW w:w="1700" w:type="dxa"/>
            <w:tcBorders>
              <w:top w:val="single" w:sz="9" w:space="0" w:color="FFFFFF"/>
              <w:left w:val="single" w:sz="4" w:space="0" w:color="000000"/>
              <w:bottom w:val="single" w:sz="4" w:space="0" w:color="000000"/>
              <w:right w:val="single" w:sz="4" w:space="0" w:color="000000"/>
            </w:tcBorders>
            <w:shd w:val="clear" w:color="auto" w:fill="E3DFEB"/>
          </w:tcPr>
          <w:p w:rsidR="00D52CD2" w:rsidRDefault="00464A41">
            <w:pPr>
              <w:pStyle w:val="TableParagraph"/>
              <w:spacing w:before="9"/>
              <w:ind w:left="112" w:right="119"/>
              <w:jc w:val="center"/>
              <w:rPr>
                <w:sz w:val="24"/>
              </w:rPr>
            </w:pPr>
            <w:r>
              <w:rPr>
                <w:sz w:val="24"/>
              </w:rPr>
              <w:t>$106,157.25</w:t>
            </w:r>
          </w:p>
        </w:tc>
        <w:tc>
          <w:tcPr>
            <w:tcW w:w="1200" w:type="dxa"/>
            <w:tcBorders>
              <w:top w:val="single" w:sz="9" w:space="0" w:color="FFFFFF"/>
              <w:left w:val="single" w:sz="4" w:space="0" w:color="000000"/>
              <w:bottom w:val="single" w:sz="4" w:space="0" w:color="000000"/>
              <w:right w:val="single" w:sz="4" w:space="0" w:color="000000"/>
            </w:tcBorders>
            <w:shd w:val="clear" w:color="auto" w:fill="E3DFEB"/>
          </w:tcPr>
          <w:p w:rsidR="00D52CD2" w:rsidRDefault="00464A41">
            <w:pPr>
              <w:pStyle w:val="TableParagraph"/>
              <w:spacing w:before="9"/>
              <w:ind w:left="301" w:right="302"/>
              <w:jc w:val="center"/>
              <w:rPr>
                <w:sz w:val="24"/>
              </w:rPr>
            </w:pPr>
            <w:r>
              <w:rPr>
                <w:sz w:val="24"/>
              </w:rPr>
              <w:t>$6.75</w:t>
            </w:r>
          </w:p>
        </w:tc>
        <w:tc>
          <w:tcPr>
            <w:tcW w:w="2081" w:type="dxa"/>
            <w:tcBorders>
              <w:top w:val="single" w:sz="9" w:space="0" w:color="FFFFFF"/>
              <w:left w:val="single" w:sz="4" w:space="0" w:color="000000"/>
              <w:bottom w:val="single" w:sz="4" w:space="0" w:color="000000"/>
              <w:right w:val="single" w:sz="4" w:space="0" w:color="000000"/>
            </w:tcBorders>
            <w:shd w:val="clear" w:color="auto" w:fill="E3DFEB"/>
          </w:tcPr>
          <w:p w:rsidR="00D52CD2" w:rsidRDefault="00464A41">
            <w:pPr>
              <w:pStyle w:val="TableParagraph"/>
              <w:spacing w:before="9"/>
              <w:ind w:left="146" w:right="146"/>
              <w:jc w:val="center"/>
              <w:rPr>
                <w:sz w:val="24"/>
              </w:rPr>
            </w:pPr>
            <w:r>
              <w:rPr>
                <w:sz w:val="24"/>
              </w:rPr>
              <w:t>$20,980.76</w:t>
            </w:r>
          </w:p>
        </w:tc>
        <w:tc>
          <w:tcPr>
            <w:tcW w:w="1538" w:type="dxa"/>
            <w:tcBorders>
              <w:top w:val="single" w:sz="9" w:space="0" w:color="FFFFFF"/>
              <w:left w:val="single" w:sz="4" w:space="0" w:color="000000"/>
              <w:bottom w:val="single" w:sz="4" w:space="0" w:color="000000"/>
              <w:right w:val="single" w:sz="4" w:space="0" w:color="000000"/>
            </w:tcBorders>
            <w:shd w:val="clear" w:color="auto" w:fill="E3DFEB"/>
          </w:tcPr>
          <w:p w:rsidR="00D52CD2" w:rsidRDefault="00464A41">
            <w:pPr>
              <w:pStyle w:val="TableParagraph"/>
              <w:spacing w:before="9"/>
              <w:ind w:left="395" w:right="399"/>
              <w:jc w:val="center"/>
              <w:rPr>
                <w:sz w:val="24"/>
              </w:rPr>
            </w:pPr>
            <w:r>
              <w:rPr>
                <w:sz w:val="24"/>
              </w:rPr>
              <w:t>$1.33</w:t>
            </w:r>
          </w:p>
        </w:tc>
      </w:tr>
      <w:tr w:rsidR="00D52CD2">
        <w:trPr>
          <w:trHeight w:hRule="exact" w:val="346"/>
        </w:trPr>
        <w:tc>
          <w:tcPr>
            <w:tcW w:w="2081" w:type="dxa"/>
            <w:tcBorders>
              <w:top w:val="nil"/>
              <w:bottom w:val="nil"/>
              <w:right w:val="single" w:sz="4" w:space="0" w:color="000000"/>
            </w:tcBorders>
            <w:shd w:val="clear" w:color="auto" w:fill="CCC0DA"/>
          </w:tcPr>
          <w:p w:rsidR="00D52CD2" w:rsidRDefault="00464A41">
            <w:pPr>
              <w:pStyle w:val="TableParagraph"/>
              <w:spacing w:before="23"/>
              <w:ind w:left="98"/>
              <w:rPr>
                <w:b/>
                <w:sz w:val="24"/>
              </w:rPr>
            </w:pPr>
            <w:r>
              <w:rPr>
                <w:b/>
                <w:sz w:val="24"/>
              </w:rPr>
              <w:t>Plan 8</w:t>
            </w:r>
          </w:p>
        </w:tc>
        <w:tc>
          <w:tcPr>
            <w:tcW w:w="1421" w:type="dxa"/>
            <w:tcBorders>
              <w:top w:val="single" w:sz="4" w:space="0" w:color="000000"/>
              <w:left w:val="single" w:sz="4" w:space="0" w:color="000000"/>
              <w:bottom w:val="single" w:sz="4" w:space="0" w:color="000000"/>
              <w:right w:val="single" w:sz="4" w:space="0" w:color="000000"/>
            </w:tcBorders>
            <w:shd w:val="clear" w:color="auto" w:fill="CCC0DA"/>
          </w:tcPr>
          <w:p w:rsidR="00D52CD2" w:rsidRDefault="00D52CD2"/>
        </w:tc>
        <w:tc>
          <w:tcPr>
            <w:tcW w:w="1700" w:type="dxa"/>
            <w:tcBorders>
              <w:top w:val="single" w:sz="4" w:space="0" w:color="000000"/>
              <w:left w:val="single" w:sz="4" w:space="0" w:color="000000"/>
              <w:bottom w:val="single" w:sz="4" w:space="0" w:color="000000"/>
              <w:right w:val="single" w:sz="4" w:space="0" w:color="000000"/>
            </w:tcBorders>
            <w:shd w:val="clear" w:color="auto" w:fill="CCC0DA"/>
          </w:tcPr>
          <w:p w:rsidR="00D52CD2" w:rsidRDefault="00D52CD2"/>
        </w:tc>
        <w:tc>
          <w:tcPr>
            <w:tcW w:w="1200" w:type="dxa"/>
            <w:tcBorders>
              <w:top w:val="single" w:sz="4" w:space="0" w:color="000000"/>
              <w:left w:val="single" w:sz="4" w:space="0" w:color="000000"/>
              <w:bottom w:val="single" w:sz="4" w:space="0" w:color="000000"/>
              <w:right w:val="single" w:sz="4" w:space="0" w:color="000000"/>
            </w:tcBorders>
            <w:shd w:val="clear" w:color="auto" w:fill="CCC0DA"/>
          </w:tcPr>
          <w:p w:rsidR="00D52CD2" w:rsidRDefault="00D52CD2"/>
        </w:tc>
        <w:tc>
          <w:tcPr>
            <w:tcW w:w="2081" w:type="dxa"/>
            <w:tcBorders>
              <w:top w:val="single" w:sz="4" w:space="0" w:color="000000"/>
              <w:left w:val="single" w:sz="4" w:space="0" w:color="000000"/>
              <w:bottom w:val="single" w:sz="4" w:space="0" w:color="000000"/>
              <w:right w:val="single" w:sz="4" w:space="0" w:color="000000"/>
            </w:tcBorders>
            <w:shd w:val="clear" w:color="auto" w:fill="CCC0DA"/>
          </w:tcPr>
          <w:p w:rsidR="00D52CD2" w:rsidRDefault="00D52CD2"/>
        </w:tc>
        <w:tc>
          <w:tcPr>
            <w:tcW w:w="1538" w:type="dxa"/>
            <w:tcBorders>
              <w:top w:val="single" w:sz="4" w:space="0" w:color="000000"/>
              <w:left w:val="single" w:sz="4" w:space="0" w:color="000000"/>
              <w:bottom w:val="single" w:sz="4" w:space="0" w:color="000000"/>
              <w:right w:val="single" w:sz="4" w:space="0" w:color="000000"/>
            </w:tcBorders>
            <w:shd w:val="clear" w:color="auto" w:fill="CCC0DA"/>
          </w:tcPr>
          <w:p w:rsidR="00D52CD2" w:rsidRDefault="00D52CD2"/>
        </w:tc>
      </w:tr>
      <w:tr w:rsidR="00D52CD2">
        <w:trPr>
          <w:trHeight w:hRule="exact" w:val="329"/>
        </w:trPr>
        <w:tc>
          <w:tcPr>
            <w:tcW w:w="2081" w:type="dxa"/>
            <w:tcBorders>
              <w:top w:val="nil"/>
              <w:bottom w:val="single" w:sz="4" w:space="0" w:color="404040"/>
              <w:right w:val="single" w:sz="4" w:space="0" w:color="000000"/>
            </w:tcBorders>
            <w:shd w:val="clear" w:color="auto" w:fill="E3DFEB"/>
          </w:tcPr>
          <w:p w:rsidR="00D52CD2" w:rsidRDefault="00464A41">
            <w:pPr>
              <w:pStyle w:val="TableParagraph"/>
              <w:spacing w:before="18"/>
              <w:ind w:left="98"/>
              <w:rPr>
                <w:sz w:val="24"/>
              </w:rPr>
            </w:pPr>
            <w:r>
              <w:rPr>
                <w:sz w:val="24"/>
              </w:rPr>
              <w:t>$5.50 per claim</w:t>
            </w:r>
          </w:p>
        </w:tc>
        <w:tc>
          <w:tcPr>
            <w:tcW w:w="1421" w:type="dxa"/>
            <w:tcBorders>
              <w:top w:val="single" w:sz="4" w:space="0" w:color="000000"/>
              <w:left w:val="single" w:sz="4" w:space="0" w:color="000000"/>
              <w:bottom w:val="single" w:sz="4" w:space="0" w:color="000000"/>
              <w:right w:val="single" w:sz="4" w:space="0" w:color="000000"/>
            </w:tcBorders>
            <w:shd w:val="clear" w:color="auto" w:fill="E3DFEB"/>
          </w:tcPr>
          <w:p w:rsidR="00D52CD2" w:rsidRDefault="00464A41">
            <w:pPr>
              <w:pStyle w:val="TableParagraph"/>
              <w:spacing w:before="14"/>
              <w:ind w:left="291" w:right="291"/>
              <w:jc w:val="center"/>
              <w:rPr>
                <w:sz w:val="24"/>
              </w:rPr>
            </w:pPr>
            <w:r>
              <w:rPr>
                <w:sz w:val="24"/>
              </w:rPr>
              <w:t>27,254</w:t>
            </w:r>
          </w:p>
        </w:tc>
        <w:tc>
          <w:tcPr>
            <w:tcW w:w="1700" w:type="dxa"/>
            <w:tcBorders>
              <w:top w:val="single" w:sz="4" w:space="0" w:color="000000"/>
              <w:left w:val="single" w:sz="4" w:space="0" w:color="000000"/>
              <w:bottom w:val="single" w:sz="4" w:space="0" w:color="000000"/>
              <w:right w:val="single" w:sz="4" w:space="0" w:color="000000"/>
            </w:tcBorders>
            <w:shd w:val="clear" w:color="auto" w:fill="E3DFEB"/>
          </w:tcPr>
          <w:p w:rsidR="00D52CD2" w:rsidRDefault="00464A41">
            <w:pPr>
              <w:pStyle w:val="TableParagraph"/>
              <w:spacing w:before="14"/>
              <w:ind w:left="112" w:right="119"/>
              <w:jc w:val="center"/>
              <w:rPr>
                <w:sz w:val="24"/>
              </w:rPr>
            </w:pPr>
            <w:r>
              <w:rPr>
                <w:sz w:val="24"/>
              </w:rPr>
              <w:t>$149,897.00</w:t>
            </w:r>
          </w:p>
        </w:tc>
        <w:tc>
          <w:tcPr>
            <w:tcW w:w="1200" w:type="dxa"/>
            <w:tcBorders>
              <w:top w:val="single" w:sz="4" w:space="0" w:color="000000"/>
              <w:left w:val="single" w:sz="4" w:space="0" w:color="000000"/>
              <w:bottom w:val="single" w:sz="4" w:space="0" w:color="000000"/>
              <w:right w:val="single" w:sz="4" w:space="0" w:color="000000"/>
            </w:tcBorders>
            <w:shd w:val="clear" w:color="auto" w:fill="E3DFEB"/>
          </w:tcPr>
          <w:p w:rsidR="00D52CD2" w:rsidRDefault="00464A41">
            <w:pPr>
              <w:pStyle w:val="TableParagraph"/>
              <w:spacing w:before="14"/>
              <w:ind w:left="301" w:right="302"/>
              <w:jc w:val="center"/>
              <w:rPr>
                <w:sz w:val="24"/>
              </w:rPr>
            </w:pPr>
            <w:r>
              <w:rPr>
                <w:sz w:val="24"/>
              </w:rPr>
              <w:t>$5.50</w:t>
            </w:r>
          </w:p>
        </w:tc>
        <w:tc>
          <w:tcPr>
            <w:tcW w:w="2081" w:type="dxa"/>
            <w:tcBorders>
              <w:top w:val="single" w:sz="4" w:space="0" w:color="000000"/>
              <w:left w:val="single" w:sz="4" w:space="0" w:color="000000"/>
              <w:bottom w:val="single" w:sz="4" w:space="0" w:color="000000"/>
              <w:right w:val="single" w:sz="4" w:space="0" w:color="000000"/>
            </w:tcBorders>
            <w:shd w:val="clear" w:color="auto" w:fill="E3DFEB"/>
          </w:tcPr>
          <w:p w:rsidR="00D52CD2" w:rsidRDefault="00464A41">
            <w:pPr>
              <w:pStyle w:val="TableParagraph"/>
              <w:spacing w:before="14"/>
              <w:ind w:left="146" w:right="146"/>
              <w:jc w:val="center"/>
              <w:rPr>
                <w:sz w:val="24"/>
              </w:rPr>
            </w:pPr>
            <w:r>
              <w:rPr>
                <w:color w:val="FF0000"/>
                <w:sz w:val="24"/>
              </w:rPr>
              <w:t>($44,239.99)</w:t>
            </w:r>
          </w:p>
        </w:tc>
        <w:tc>
          <w:tcPr>
            <w:tcW w:w="1538" w:type="dxa"/>
            <w:tcBorders>
              <w:top w:val="single" w:sz="4" w:space="0" w:color="000000"/>
              <w:left w:val="single" w:sz="4" w:space="0" w:color="000000"/>
              <w:bottom w:val="single" w:sz="4" w:space="0" w:color="000000"/>
              <w:right w:val="single" w:sz="4" w:space="0" w:color="000000"/>
            </w:tcBorders>
            <w:shd w:val="clear" w:color="auto" w:fill="E3DFEB"/>
          </w:tcPr>
          <w:p w:rsidR="00D52CD2" w:rsidRDefault="00464A41">
            <w:pPr>
              <w:pStyle w:val="TableParagraph"/>
              <w:spacing w:before="14"/>
              <w:ind w:left="397" w:right="399"/>
              <w:jc w:val="center"/>
              <w:rPr>
                <w:sz w:val="24"/>
              </w:rPr>
            </w:pPr>
            <w:r>
              <w:rPr>
                <w:color w:val="FF0000"/>
                <w:sz w:val="24"/>
              </w:rPr>
              <w:t>($1.62)</w:t>
            </w:r>
          </w:p>
        </w:tc>
      </w:tr>
      <w:tr w:rsidR="00D52CD2">
        <w:trPr>
          <w:trHeight w:hRule="exact" w:val="346"/>
        </w:trPr>
        <w:tc>
          <w:tcPr>
            <w:tcW w:w="2081" w:type="dxa"/>
            <w:tcBorders>
              <w:top w:val="nil"/>
              <w:right w:val="nil"/>
            </w:tcBorders>
            <w:shd w:val="clear" w:color="auto" w:fill="404040"/>
          </w:tcPr>
          <w:p w:rsidR="00D52CD2" w:rsidRDefault="00464A41">
            <w:pPr>
              <w:pStyle w:val="TableParagraph"/>
              <w:spacing w:before="23"/>
              <w:ind w:left="98"/>
              <w:rPr>
                <w:b/>
                <w:sz w:val="24"/>
              </w:rPr>
            </w:pPr>
            <w:r>
              <w:rPr>
                <w:b/>
                <w:color w:val="FFFFFF"/>
                <w:sz w:val="24"/>
              </w:rPr>
              <w:t>Grand Total</w:t>
            </w:r>
          </w:p>
        </w:tc>
        <w:tc>
          <w:tcPr>
            <w:tcW w:w="1421" w:type="dxa"/>
            <w:tcBorders>
              <w:top w:val="single" w:sz="4" w:space="0" w:color="000000"/>
              <w:left w:val="nil"/>
              <w:right w:val="nil"/>
            </w:tcBorders>
            <w:shd w:val="clear" w:color="auto" w:fill="404040"/>
          </w:tcPr>
          <w:p w:rsidR="00D52CD2" w:rsidRDefault="00464A41">
            <w:pPr>
              <w:pStyle w:val="TableParagraph"/>
              <w:spacing w:before="18"/>
              <w:ind w:left="294" w:right="294"/>
              <w:jc w:val="center"/>
              <w:rPr>
                <w:b/>
                <w:sz w:val="24"/>
              </w:rPr>
            </w:pPr>
            <w:r>
              <w:rPr>
                <w:b/>
                <w:color w:val="FFFFFF"/>
                <w:sz w:val="24"/>
              </w:rPr>
              <w:t>983,776</w:t>
            </w:r>
          </w:p>
        </w:tc>
        <w:tc>
          <w:tcPr>
            <w:tcW w:w="1700" w:type="dxa"/>
            <w:tcBorders>
              <w:top w:val="single" w:sz="4" w:space="0" w:color="000000"/>
              <w:left w:val="nil"/>
              <w:right w:val="nil"/>
            </w:tcBorders>
            <w:shd w:val="clear" w:color="auto" w:fill="404040"/>
          </w:tcPr>
          <w:p w:rsidR="00D52CD2" w:rsidRDefault="00464A41">
            <w:pPr>
              <w:pStyle w:val="TableParagraph"/>
              <w:spacing w:before="18"/>
              <w:ind w:left="125" w:right="130"/>
              <w:jc w:val="center"/>
              <w:rPr>
                <w:b/>
                <w:sz w:val="24"/>
              </w:rPr>
            </w:pPr>
            <w:r>
              <w:rPr>
                <w:b/>
                <w:color w:val="FFFFFF"/>
                <w:sz w:val="24"/>
              </w:rPr>
              <w:t>$4,424,783.64</w:t>
            </w:r>
          </w:p>
        </w:tc>
        <w:tc>
          <w:tcPr>
            <w:tcW w:w="1200" w:type="dxa"/>
            <w:tcBorders>
              <w:top w:val="single" w:sz="4" w:space="0" w:color="000000"/>
              <w:left w:val="nil"/>
              <w:right w:val="nil"/>
            </w:tcBorders>
            <w:shd w:val="clear" w:color="auto" w:fill="404040"/>
          </w:tcPr>
          <w:p w:rsidR="00D52CD2" w:rsidRDefault="00464A41">
            <w:pPr>
              <w:pStyle w:val="TableParagraph"/>
              <w:spacing w:before="18"/>
              <w:ind w:left="304" w:right="305"/>
              <w:jc w:val="center"/>
              <w:rPr>
                <w:b/>
                <w:sz w:val="24"/>
              </w:rPr>
            </w:pPr>
            <w:r>
              <w:rPr>
                <w:b/>
                <w:color w:val="FFFFFF"/>
                <w:sz w:val="24"/>
              </w:rPr>
              <w:t>$4.50</w:t>
            </w:r>
          </w:p>
        </w:tc>
        <w:tc>
          <w:tcPr>
            <w:tcW w:w="2081" w:type="dxa"/>
            <w:tcBorders>
              <w:top w:val="single" w:sz="4" w:space="0" w:color="000000"/>
              <w:left w:val="nil"/>
            </w:tcBorders>
            <w:shd w:val="clear" w:color="auto" w:fill="404040"/>
          </w:tcPr>
          <w:p w:rsidR="00D52CD2" w:rsidRDefault="00464A41">
            <w:pPr>
              <w:pStyle w:val="TableParagraph"/>
              <w:spacing w:before="18"/>
              <w:ind w:left="146" w:right="142"/>
              <w:jc w:val="center"/>
              <w:rPr>
                <w:b/>
                <w:sz w:val="24"/>
              </w:rPr>
            </w:pPr>
            <w:r>
              <w:rPr>
                <w:b/>
                <w:color w:val="FFFFFF"/>
                <w:sz w:val="24"/>
              </w:rPr>
              <w:t>$7,553,540.54</w:t>
            </w:r>
          </w:p>
        </w:tc>
        <w:tc>
          <w:tcPr>
            <w:tcW w:w="1538" w:type="dxa"/>
            <w:tcBorders>
              <w:top w:val="single" w:sz="4" w:space="0" w:color="000000"/>
              <w:right w:val="nil"/>
            </w:tcBorders>
            <w:shd w:val="clear" w:color="auto" w:fill="404040"/>
          </w:tcPr>
          <w:p w:rsidR="00D52CD2" w:rsidRDefault="00464A41">
            <w:pPr>
              <w:pStyle w:val="TableParagraph"/>
              <w:spacing w:before="18"/>
              <w:ind w:left="388" w:right="399"/>
              <w:jc w:val="center"/>
              <w:rPr>
                <w:b/>
                <w:sz w:val="24"/>
              </w:rPr>
            </w:pPr>
            <w:r>
              <w:rPr>
                <w:b/>
                <w:color w:val="FFFFFF"/>
                <w:sz w:val="24"/>
              </w:rPr>
              <w:t>$7.68</w:t>
            </w:r>
          </w:p>
        </w:tc>
      </w:tr>
    </w:tbl>
    <w:p w:rsidR="00D52CD2" w:rsidRDefault="00D52CD2">
      <w:pPr>
        <w:jc w:val="center"/>
        <w:rPr>
          <w:sz w:val="24"/>
        </w:rPr>
        <w:sectPr w:rsidR="00D52CD2">
          <w:pgSz w:w="12240" w:h="15840"/>
          <w:pgMar w:top="1360" w:right="640" w:bottom="1200" w:left="1340" w:header="0" w:footer="952" w:gutter="0"/>
          <w:cols w:space="720"/>
        </w:sectPr>
      </w:pPr>
    </w:p>
    <w:p w:rsidR="00D52CD2" w:rsidRDefault="00464A41">
      <w:pPr>
        <w:pStyle w:val="BodyText"/>
        <w:spacing w:before="41"/>
        <w:ind w:left="100"/>
      </w:pPr>
      <w:r>
        <w:rPr>
          <w:color w:val="2E5395"/>
        </w:rPr>
        <w:lastRenderedPageBreak/>
        <w:t>56419</w:t>
      </w:r>
    </w:p>
    <w:p w:rsidR="00D52CD2" w:rsidRDefault="00464A41">
      <w:pPr>
        <w:pStyle w:val="BodyText"/>
        <w:rPr>
          <w:sz w:val="27"/>
        </w:rPr>
      </w:pPr>
      <w:r>
        <w:br w:type="column"/>
      </w:r>
    </w:p>
    <w:p w:rsidR="00D52CD2" w:rsidRDefault="00464A41">
      <w:pPr>
        <w:spacing w:line="259" w:lineRule="auto"/>
        <w:ind w:left="100" w:right="138"/>
        <w:rPr>
          <w:i/>
        </w:rPr>
      </w:pPr>
      <w:r>
        <w:rPr>
          <w:i/>
        </w:rPr>
        <w:t>Request for Information Regarding the Application of Manufacturer Rebates and Pharmacy Price Concessions to Drug Prices at the Point of Sale</w:t>
      </w:r>
    </w:p>
    <w:p w:rsidR="00D52CD2" w:rsidRDefault="00D52CD2">
      <w:pPr>
        <w:spacing w:line="259" w:lineRule="auto"/>
        <w:sectPr w:rsidR="00D52CD2">
          <w:pgSz w:w="12240" w:h="15840"/>
          <w:pgMar w:top="1400" w:right="1320" w:bottom="1200" w:left="1340" w:header="0" w:footer="952" w:gutter="0"/>
          <w:cols w:num="2" w:space="720" w:equalWidth="0">
            <w:col w:w="659" w:space="61"/>
            <w:col w:w="8860"/>
          </w:cols>
        </w:sectPr>
      </w:pPr>
    </w:p>
    <w:p w:rsidR="00D52CD2" w:rsidRDefault="00D52CD2">
      <w:pPr>
        <w:pStyle w:val="BodyText"/>
        <w:spacing w:before="11"/>
        <w:rPr>
          <w:i/>
          <w:sz w:val="18"/>
        </w:rPr>
      </w:pPr>
    </w:p>
    <w:p w:rsidR="00D52CD2" w:rsidRDefault="00464A41">
      <w:pPr>
        <w:pStyle w:val="Heading1"/>
        <w:spacing w:before="57"/>
      </w:pPr>
      <w:r>
        <w:t>PDX Comment:</w:t>
      </w:r>
    </w:p>
    <w:p w:rsidR="00D52CD2" w:rsidRDefault="00464A41">
      <w:pPr>
        <w:pStyle w:val="BodyText"/>
        <w:spacing w:before="21" w:line="259" w:lineRule="auto"/>
        <w:ind w:left="100" w:right="201"/>
      </w:pPr>
      <w:r>
        <w:t>Manufacturers Rebates which are applied per claim and reimbursed to the plan should theoretically have limited if any negative effect on pharmacy reimbursement. Manufacturer Rebates do not impact the price the pharmacy pays for the drug from their supplier</w:t>
      </w:r>
      <w:r>
        <w:t>. If reported as part of negotiated price at time of adjudication in the response, it could negatively impact pharmacy reimbursement. However, it should be reported per claim to CMS in the PDE and not at end of year DIR reporting.</w:t>
      </w:r>
    </w:p>
    <w:p w:rsidR="00D52CD2" w:rsidRDefault="00464A41">
      <w:pPr>
        <w:pStyle w:val="BodyText"/>
        <w:spacing w:before="160"/>
        <w:ind w:left="100"/>
      </w:pPr>
      <w:r>
        <w:rPr>
          <w:color w:val="2E5395"/>
        </w:rPr>
        <w:t>56426 (1) All Pharmacy Pr</w:t>
      </w:r>
      <w:r>
        <w:rPr>
          <w:color w:val="2E5395"/>
        </w:rPr>
        <w:t>ice Concessions</w:t>
      </w:r>
    </w:p>
    <w:p w:rsidR="00D52CD2" w:rsidRDefault="00464A41">
      <w:pPr>
        <w:pStyle w:val="BodyText"/>
        <w:spacing w:before="19" w:line="259" w:lineRule="auto"/>
        <w:ind w:left="100" w:right="134"/>
      </w:pPr>
      <w:r>
        <w:t>PDX suggests that CMS develop guidance to ensure that ideally, all pharmacy price concessions be reported at point of service. However, this goal may be unrealistic given proposed CMS proposed guidance for “reasonably determined” at point o</w:t>
      </w:r>
      <w:r>
        <w:t>f sale. As cited by NCPA FAQ document (</w:t>
      </w:r>
      <w:hyperlink r:id="rId19">
        <w:r>
          <w:rPr>
            <w:color w:val="0000FF"/>
            <w:u w:val="single" w:color="0000FF"/>
          </w:rPr>
          <w:t>http://www.ncpa.co/pdf/faq-direct-indirect-remuneration-fees.pdf</w:t>
        </w:r>
      </w:hyperlink>
      <w:r>
        <w:t>), plans have been reluctant for full transparency, as well “some Pla</w:t>
      </w:r>
      <w:r>
        <w:t>ns/PBMs may intentionally structure their programs for 2016 to make it more difficult for their DIRs to be “reasonably determined” at the point of sale in anticipation of the pending CMS guidance” . An example might be some of the “Pay for Play” fees assoc</w:t>
      </w:r>
      <w:r>
        <w:t>iated with network participation.</w:t>
      </w:r>
    </w:p>
    <w:p w:rsidR="00D52CD2" w:rsidRDefault="00464A41">
      <w:pPr>
        <w:pStyle w:val="BodyText"/>
        <w:spacing w:before="158"/>
        <w:ind w:left="100"/>
      </w:pPr>
      <w:r>
        <w:rPr>
          <w:color w:val="2E5395"/>
        </w:rPr>
        <w:t>56427 (2) Lowest Possible Reimbursement</w:t>
      </w:r>
    </w:p>
    <w:p w:rsidR="00D52CD2" w:rsidRDefault="00464A41">
      <w:pPr>
        <w:pStyle w:val="BodyText"/>
        <w:spacing w:before="21" w:line="259" w:lineRule="auto"/>
        <w:ind w:left="100" w:right="130"/>
      </w:pPr>
      <w:r>
        <w:t>It is stated by CMS in the NPRM, “that pharmacies rarely receive an incentive payment above the original reimbursement rate for a covered claim. We gather that performance under most</w:t>
      </w:r>
      <w:r>
        <w:t xml:space="preserve"> arrangements dictates only the magnitude of the amount by which the original reimbursement is reduced, and most pharmacies do not achieve performance scores high enough to qualify for a substantial, if any, reduction in penalties”. However, we believe cha</w:t>
      </w:r>
      <w:r>
        <w:t xml:space="preserve">nge to Lowest Possible Reimbursement Rate for all pharmacies would negatively impact medium to high performing pharmacies and have limited impact to beneficiary out of pocket expenses. PDX suggests a compromise to where pharmacies are reimbursed based </w:t>
      </w:r>
      <w:r>
        <w:rPr>
          <w:spacing w:val="3"/>
        </w:rPr>
        <w:t xml:space="preserve">on </w:t>
      </w:r>
      <w:r>
        <w:t>c</w:t>
      </w:r>
      <w:r>
        <w:t>alculated rates based on previous performance, perhaps the last 1-2 reporting</w:t>
      </w:r>
      <w:r>
        <w:rPr>
          <w:spacing w:val="-26"/>
        </w:rPr>
        <w:t xml:space="preserve"> </w:t>
      </w:r>
      <w:r>
        <w:t>periods.</w:t>
      </w:r>
    </w:p>
    <w:p w:rsidR="00D52CD2" w:rsidRDefault="00464A41">
      <w:pPr>
        <w:pStyle w:val="BodyText"/>
        <w:spacing w:before="161" w:line="259" w:lineRule="auto"/>
        <w:ind w:left="100" w:right="133"/>
      </w:pPr>
      <w:r>
        <w:t>In terms of the cost to the beneficiary, we agree that is there is” a risk that pricing differential could potentially create a perverse incentive for beneficiaries to c</w:t>
      </w:r>
      <w:r>
        <w:t>hoose a lower performing pharmacy for the advantage of a lower price.” To mitigate this risk, we recommend that CMS consider alternative coinsurance/copay models, particularly coinsurance models, whereby, coinsurance is not entirely tied to pharmacy reimbu</w:t>
      </w:r>
      <w:r>
        <w:t>rsement (e.g. 20% of pharmacy reimbursement), but also include manufacturer rebates received by the plans.</w:t>
      </w:r>
    </w:p>
    <w:p w:rsidR="00D52CD2" w:rsidRDefault="00464A41">
      <w:pPr>
        <w:pStyle w:val="BodyText"/>
        <w:spacing w:before="161"/>
        <w:ind w:left="100"/>
      </w:pPr>
      <w:r>
        <w:rPr>
          <w:color w:val="2E5395"/>
        </w:rPr>
        <w:t>Closing comments</w:t>
      </w:r>
    </w:p>
    <w:p w:rsidR="00D52CD2" w:rsidRDefault="00D52CD2">
      <w:pPr>
        <w:pStyle w:val="BodyText"/>
      </w:pPr>
    </w:p>
    <w:p w:rsidR="00D52CD2" w:rsidRDefault="00D52CD2">
      <w:pPr>
        <w:pStyle w:val="BodyText"/>
        <w:spacing w:before="7"/>
        <w:rPr>
          <w:sz w:val="16"/>
        </w:rPr>
      </w:pPr>
    </w:p>
    <w:p w:rsidR="00D52CD2" w:rsidRDefault="00464A41">
      <w:pPr>
        <w:pStyle w:val="BodyText"/>
        <w:spacing w:line="259" w:lineRule="auto"/>
        <w:ind w:left="100" w:right="220"/>
      </w:pPr>
      <w:r>
        <w:t>Additionally, PDX respectfully requests that CMS review the appropriateness of the varied performance metrics applied by the plans to pharmacies. An example of one of these metrics is as brand/generic ratio thresholds which are unrealistic for pharmacies t</w:t>
      </w:r>
      <w:r>
        <w:t xml:space="preserve">o meet especially if brand drugs which are required as DAW (dispense as written) by the prescriber, or for beneficiaries who have gone through step therapy to obtain brand name drugs, are not excluded from the calculations and count against the pharmacies </w:t>
      </w:r>
      <w:r>
        <w:t>performance.  Another example would be in patient adherence metrics which can be</w:t>
      </w:r>
    </w:p>
    <w:p w:rsidR="00D52CD2" w:rsidRDefault="00D52CD2">
      <w:pPr>
        <w:spacing w:line="259" w:lineRule="auto"/>
        <w:sectPr w:rsidR="00D52CD2">
          <w:type w:val="continuous"/>
          <w:pgSz w:w="12240" w:h="15840"/>
          <w:pgMar w:top="720" w:right="1320" w:bottom="280" w:left="1340" w:header="720" w:footer="720" w:gutter="0"/>
          <w:cols w:space="720"/>
        </w:sectPr>
      </w:pPr>
    </w:p>
    <w:p w:rsidR="00D52CD2" w:rsidRDefault="00464A41">
      <w:pPr>
        <w:pStyle w:val="BodyText"/>
        <w:spacing w:before="39" w:line="259" w:lineRule="auto"/>
        <w:ind w:left="100" w:right="525"/>
      </w:pPr>
      <w:r>
        <w:lastRenderedPageBreak/>
        <w:t>optimized by medication synchronization or other services offered by pharmacies. If declined by the beneficiary due to a beneficiary’s inability to pay all copays on the same day of the month or other reasons, this should not count against a pharmacy willi</w:t>
      </w:r>
      <w:r>
        <w:t>ng to provide those services.</w:t>
      </w:r>
    </w:p>
    <w:p w:rsidR="00D52CD2" w:rsidRDefault="00464A41">
      <w:pPr>
        <w:pStyle w:val="BodyText"/>
        <w:spacing w:before="158" w:line="259" w:lineRule="auto"/>
        <w:ind w:left="100" w:right="176"/>
      </w:pPr>
      <w:r>
        <w:t xml:space="preserve">As stated in the NPRM, there have been comments from the plans/PBMS to as to the complexity in increasing transparency in pricing, DIR fees, and price concessions. Additionally, numerous articles and press releases by many of </w:t>
      </w:r>
      <w:r>
        <w:t>the plan sponsors or their PBMS cite the difficulties in doing so. We suggest that a definitive statement from CMS that this transparency is critical at point of sale. This benefits not only the beneficiary, but also the pharmacy industry and CMS in genera</w:t>
      </w:r>
      <w:r>
        <w:t>l. However, CMS must be mindful that any changes would require changes to standards that would require an adequate period to implement. The standards can be adapted, but given the reluctance by the plans/PBMS, we believe it will require a directive from CM</w:t>
      </w:r>
      <w:r>
        <w:t>S to force movement in this direction.</w:t>
      </w:r>
    </w:p>
    <w:p w:rsidR="00D52CD2" w:rsidRDefault="00D52CD2">
      <w:pPr>
        <w:pStyle w:val="BodyText"/>
      </w:pPr>
    </w:p>
    <w:p w:rsidR="00D52CD2" w:rsidRDefault="00464A41">
      <w:pPr>
        <w:pStyle w:val="Heading2"/>
        <w:spacing w:before="180"/>
      </w:pPr>
      <w:r>
        <w:t>Proposed Modifications to Opioid Policy</w:t>
      </w:r>
    </w:p>
    <w:p w:rsidR="00D52CD2" w:rsidRDefault="00D52CD2">
      <w:pPr>
        <w:pStyle w:val="BodyText"/>
        <w:spacing w:before="9"/>
        <w:rPr>
          <w:b/>
          <w:i/>
          <w:sz w:val="23"/>
        </w:rPr>
      </w:pPr>
    </w:p>
    <w:p w:rsidR="00D52CD2" w:rsidRDefault="00464A41">
      <w:pPr>
        <w:ind w:left="100"/>
        <w:rPr>
          <w:b/>
        </w:rPr>
      </w:pPr>
      <w:r>
        <w:rPr>
          <w:b/>
        </w:rPr>
        <w:t>PDX Comment:</w:t>
      </w:r>
    </w:p>
    <w:p w:rsidR="00D52CD2" w:rsidRDefault="00464A41">
      <w:pPr>
        <w:pStyle w:val="BodyText"/>
        <w:spacing w:before="19" w:line="259" w:lineRule="auto"/>
        <w:ind w:left="100" w:right="295"/>
      </w:pPr>
      <w:r>
        <w:t>PDX concurs with NCPDP recommendations that CMS work with other federal agencies and/ or departments (FDA, DEA, ONC) to ensure consistent coordinated efforts in d</w:t>
      </w:r>
      <w:r>
        <w:t>efining solutions to combat the opioid crisis.</w:t>
      </w:r>
    </w:p>
    <w:p w:rsidR="00D52CD2" w:rsidRDefault="00D52CD2">
      <w:pPr>
        <w:pStyle w:val="BodyText"/>
        <w:spacing w:before="7"/>
        <w:rPr>
          <w:sz w:val="23"/>
        </w:rPr>
      </w:pPr>
    </w:p>
    <w:p w:rsidR="00D52CD2" w:rsidRDefault="00464A41">
      <w:pPr>
        <w:pStyle w:val="BodyText"/>
        <w:ind w:left="100"/>
      </w:pPr>
      <w:r>
        <w:rPr>
          <w:color w:val="2E5395"/>
        </w:rPr>
        <w:t>56346: Exempted Beneficiary</w:t>
      </w:r>
    </w:p>
    <w:p w:rsidR="00D52CD2" w:rsidRDefault="00464A41">
      <w:pPr>
        <w:spacing w:before="21" w:line="259" w:lineRule="auto"/>
        <w:ind w:left="820" w:right="103"/>
        <w:rPr>
          <w:i/>
        </w:rPr>
      </w:pPr>
      <w:r>
        <w:rPr>
          <w:i/>
        </w:rPr>
        <w:t xml:space="preserve">Section 1860D–4(c)(5)(C)(ii) of the Act defines an exempted individual as one who receives hospice care, who is a resident of a long-term care facility for which frequently abused </w:t>
      </w:r>
      <w:r>
        <w:rPr>
          <w:i/>
        </w:rPr>
        <w:t>drugs are dispensed for residents through a contract with a single pharmacy, or who the Secretary elects to treat as an exempted individual. Consistent with this, we propose that an exempted beneficiary, with respect to a drug management program, would mea</w:t>
      </w:r>
      <w:r>
        <w:rPr>
          <w:i/>
        </w:rPr>
        <w:t>n an enrollee who: (1) Has elected to receive hospice care; (2) Is a resident of a long-term care facility, of a facility described in section 1905(d) of the Act, or of another facility for which frequently abused drugs are dispensed for residents</w:t>
      </w:r>
    </w:p>
    <w:p w:rsidR="00D52CD2" w:rsidRDefault="00D52CD2">
      <w:pPr>
        <w:pStyle w:val="BodyText"/>
        <w:rPr>
          <w:i/>
        </w:rPr>
      </w:pPr>
    </w:p>
    <w:p w:rsidR="00D52CD2" w:rsidRDefault="00464A41">
      <w:pPr>
        <w:pStyle w:val="Heading1"/>
      </w:pPr>
      <w:r>
        <w:t>PDX Com</w:t>
      </w:r>
      <w:r>
        <w:t>ment:</w:t>
      </w:r>
    </w:p>
    <w:p w:rsidR="00D52CD2" w:rsidRDefault="00464A41">
      <w:pPr>
        <w:pStyle w:val="BodyText"/>
        <w:spacing w:before="22" w:line="259" w:lineRule="auto"/>
        <w:ind w:left="100" w:right="440"/>
      </w:pPr>
      <w:r>
        <w:t xml:space="preserve">PDX thanks CMS for clarifying that the MED exemption applies to Long Term Care. PDX requests CMS specify if this exemption applies to all beneficiaries serviced by a Long Term Care pharmacy or if the exemption is limited to beneficiaries who live in </w:t>
      </w:r>
      <w:r>
        <w:t>certain types of residences.</w:t>
      </w:r>
    </w:p>
    <w:p w:rsidR="00D52CD2" w:rsidRDefault="00D52CD2">
      <w:pPr>
        <w:pStyle w:val="BodyText"/>
        <w:spacing w:before="2"/>
        <w:rPr>
          <w:sz w:val="19"/>
        </w:rPr>
      </w:pPr>
    </w:p>
    <w:p w:rsidR="00D52CD2" w:rsidRDefault="00D52CD2">
      <w:pPr>
        <w:rPr>
          <w:sz w:val="19"/>
        </w:rPr>
        <w:sectPr w:rsidR="00D52CD2">
          <w:footerReference w:type="default" r:id="rId20"/>
          <w:pgSz w:w="12240" w:h="15840"/>
          <w:pgMar w:top="1400" w:right="1320" w:bottom="1200" w:left="1340" w:header="0" w:footer="1012" w:gutter="0"/>
          <w:cols w:space="720"/>
        </w:sectPr>
      </w:pPr>
    </w:p>
    <w:p w:rsidR="00D52CD2" w:rsidRDefault="00464A41">
      <w:pPr>
        <w:pStyle w:val="BodyText"/>
        <w:spacing w:before="57"/>
        <w:ind w:left="100"/>
      </w:pPr>
      <w:r>
        <w:rPr>
          <w:color w:val="2E5395"/>
        </w:rPr>
        <w:t>56347</w:t>
      </w:r>
    </w:p>
    <w:p w:rsidR="00D52CD2" w:rsidRDefault="00464A41">
      <w:pPr>
        <w:pStyle w:val="BodyText"/>
        <w:spacing w:before="5"/>
        <w:rPr>
          <w:sz w:val="28"/>
        </w:rPr>
      </w:pPr>
      <w:r>
        <w:br w:type="column"/>
      </w:r>
    </w:p>
    <w:p w:rsidR="00D52CD2" w:rsidRDefault="00464A41">
      <w:pPr>
        <w:spacing w:line="256" w:lineRule="auto"/>
        <w:ind w:left="100" w:right="748"/>
        <w:rPr>
          <w:i/>
        </w:rPr>
      </w:pPr>
      <w:r>
        <w:rPr>
          <w:i/>
        </w:rPr>
        <w:t>We have not proposed to exempt these additional categories of beneficiaries, but we seek specific comment on whether to do so and our rationale…</w:t>
      </w:r>
    </w:p>
    <w:p w:rsidR="00D52CD2" w:rsidRDefault="00D52CD2">
      <w:pPr>
        <w:spacing w:line="256" w:lineRule="auto"/>
        <w:sectPr w:rsidR="00D52CD2">
          <w:type w:val="continuous"/>
          <w:pgSz w:w="12240" w:h="15840"/>
          <w:pgMar w:top="720" w:right="1320" w:bottom="280" w:left="1340" w:header="720" w:footer="720" w:gutter="0"/>
          <w:cols w:num="2" w:space="720" w:equalWidth="0">
            <w:col w:w="659" w:space="61"/>
            <w:col w:w="8860"/>
          </w:cols>
        </w:sectPr>
      </w:pPr>
    </w:p>
    <w:p w:rsidR="00D52CD2" w:rsidRDefault="00D52CD2">
      <w:pPr>
        <w:pStyle w:val="BodyText"/>
        <w:spacing w:before="4"/>
        <w:rPr>
          <w:i/>
          <w:sz w:val="19"/>
        </w:rPr>
      </w:pPr>
    </w:p>
    <w:p w:rsidR="00D52CD2" w:rsidRDefault="00464A41">
      <w:pPr>
        <w:pStyle w:val="Heading1"/>
        <w:spacing w:before="57"/>
      </w:pPr>
      <w:r>
        <w:t>PDX Comment:</w:t>
      </w:r>
    </w:p>
    <w:p w:rsidR="00D52CD2" w:rsidRDefault="00464A41">
      <w:pPr>
        <w:pStyle w:val="BodyText"/>
        <w:spacing w:before="19"/>
        <w:ind w:left="100" w:right="238"/>
      </w:pPr>
      <w:r>
        <w:t>PDX notes that plans are only able to identify exemptions either through the data provided by CMS, i.e. hospice status, or through case management, which could identify beneficiaries who are receiving palliative care.</w:t>
      </w:r>
    </w:p>
    <w:p w:rsidR="00D52CD2" w:rsidRDefault="00D52CD2">
      <w:pPr>
        <w:sectPr w:rsidR="00D52CD2">
          <w:type w:val="continuous"/>
          <w:pgSz w:w="12240" w:h="15840"/>
          <w:pgMar w:top="720" w:right="1320" w:bottom="280" w:left="1340" w:header="720" w:footer="720" w:gutter="0"/>
          <w:cols w:space="720"/>
        </w:sectPr>
      </w:pPr>
    </w:p>
    <w:p w:rsidR="00D52CD2" w:rsidRDefault="00464A41">
      <w:pPr>
        <w:pStyle w:val="BodyText"/>
        <w:spacing w:before="39" w:line="259" w:lineRule="auto"/>
        <w:ind w:left="100" w:right="383"/>
      </w:pPr>
      <w:r>
        <w:lastRenderedPageBreak/>
        <w:t xml:space="preserve">PDX supports </w:t>
      </w:r>
      <w:r>
        <w:t>CMS in their effort to apply new policies to minimize the effects of the opioid crisis, and we ask CMS to continue working with standards development organizations such as NCPDP, review legislation and regulation in various states, to leverage and make con</w:t>
      </w:r>
      <w:r>
        <w:t>sistent standards for exchanging information between healthcare partners (e.g. prescribers, pharmacies, plans) to ensure beneficiaries have appropriate and timely access to medications.</w:t>
      </w:r>
    </w:p>
    <w:p w:rsidR="00D52CD2" w:rsidRDefault="00D52CD2">
      <w:pPr>
        <w:pStyle w:val="BodyText"/>
        <w:spacing w:before="2"/>
        <w:rPr>
          <w:sz w:val="19"/>
        </w:rPr>
      </w:pPr>
    </w:p>
    <w:p w:rsidR="00D52CD2" w:rsidRDefault="00D52CD2">
      <w:pPr>
        <w:rPr>
          <w:sz w:val="19"/>
        </w:rPr>
        <w:sectPr w:rsidR="00D52CD2">
          <w:footerReference w:type="default" r:id="rId21"/>
          <w:pgSz w:w="12240" w:h="15840"/>
          <w:pgMar w:top="1400" w:right="1320" w:bottom="1200" w:left="1340" w:header="0" w:footer="1012" w:gutter="0"/>
          <w:pgNumType w:start="11"/>
          <w:cols w:space="720"/>
        </w:sectPr>
      </w:pPr>
    </w:p>
    <w:p w:rsidR="00D52CD2" w:rsidRDefault="00464A41">
      <w:pPr>
        <w:pStyle w:val="BodyText"/>
        <w:spacing w:before="56"/>
        <w:ind w:left="100"/>
      </w:pPr>
      <w:r>
        <w:rPr>
          <w:color w:val="2E5395"/>
        </w:rPr>
        <w:t>56351</w:t>
      </w:r>
    </w:p>
    <w:p w:rsidR="00D52CD2" w:rsidRDefault="00464A41">
      <w:pPr>
        <w:pStyle w:val="BodyText"/>
        <w:spacing w:before="5"/>
        <w:rPr>
          <w:sz w:val="28"/>
        </w:rPr>
      </w:pPr>
      <w:r>
        <w:br w:type="column"/>
      </w:r>
    </w:p>
    <w:p w:rsidR="00D52CD2" w:rsidRDefault="00464A41">
      <w:pPr>
        <w:spacing w:line="259" w:lineRule="auto"/>
        <w:ind w:left="100" w:right="531"/>
        <w:rPr>
          <w:i/>
        </w:rPr>
      </w:pPr>
      <w:r>
        <w:rPr>
          <w:i/>
        </w:rPr>
        <w:t>We intend to develop language for the initial notice. Therefore, the proposed regulatory text states that the notice must use language approved by the Secretary.</w:t>
      </w:r>
    </w:p>
    <w:p w:rsidR="00D52CD2" w:rsidRDefault="00464A41">
      <w:pPr>
        <w:pStyle w:val="ListParagraph"/>
        <w:numPr>
          <w:ilvl w:val="0"/>
          <w:numId w:val="5"/>
        </w:numPr>
        <w:tabs>
          <w:tab w:val="left" w:pos="405"/>
        </w:tabs>
        <w:spacing w:line="259" w:lineRule="auto"/>
        <w:ind w:right="559" w:firstLine="0"/>
        <w:rPr>
          <w:i/>
        </w:rPr>
      </w:pPr>
      <w:r>
        <w:rPr>
          <w:i/>
        </w:rPr>
        <w:t xml:space="preserve">Limitation on the Special Enrollment Period for LIS Beneficiaries With an At-Risk Status (§ </w:t>
      </w:r>
      <w:r>
        <w:rPr>
          <w:i/>
        </w:rPr>
        <w:t>423.38)</w:t>
      </w:r>
    </w:p>
    <w:p w:rsidR="00D52CD2" w:rsidRDefault="00D52CD2">
      <w:pPr>
        <w:spacing w:line="259" w:lineRule="auto"/>
        <w:sectPr w:rsidR="00D52CD2">
          <w:type w:val="continuous"/>
          <w:pgSz w:w="12240" w:h="15840"/>
          <w:pgMar w:top="720" w:right="1320" w:bottom="280" w:left="1340" w:header="720" w:footer="720" w:gutter="0"/>
          <w:cols w:num="2" w:space="720" w:equalWidth="0">
            <w:col w:w="659" w:space="61"/>
            <w:col w:w="8860"/>
          </w:cols>
        </w:sectPr>
      </w:pPr>
    </w:p>
    <w:p w:rsidR="00D52CD2" w:rsidRDefault="00D52CD2">
      <w:pPr>
        <w:pStyle w:val="BodyText"/>
        <w:spacing w:before="4"/>
        <w:rPr>
          <w:i/>
          <w:sz w:val="19"/>
        </w:rPr>
      </w:pPr>
    </w:p>
    <w:p w:rsidR="00D52CD2" w:rsidRDefault="00464A41">
      <w:pPr>
        <w:pStyle w:val="Heading1"/>
        <w:spacing w:before="57"/>
      </w:pPr>
      <w:r>
        <w:t>PDX Comment:</w:t>
      </w:r>
    </w:p>
    <w:p w:rsidR="00D52CD2" w:rsidRDefault="00464A41">
      <w:pPr>
        <w:pStyle w:val="BodyText"/>
        <w:spacing w:before="20"/>
        <w:ind w:left="100" w:right="178"/>
      </w:pPr>
      <w:r>
        <w:t>PDX concurs with NCPDP that there is concern that for this to be effective as envisioned, work needs to be done with standards development organizations (SDOs) (i.e. NCPDP and X12) so that the information is ava</w:t>
      </w:r>
      <w:r>
        <w:t>ilable to the stakeholders via the existing data exchange mechanisms. It is important for CMS to acknowledge the SDOs will need time to review and modify their standards to ensure the exchange of this information. In addition, once new standards are approv</w:t>
      </w:r>
      <w:r>
        <w:t>ed, systems developers and users will need time to plan and implement changes as outlined in the comments on the adoption of the new NCPDP SCRIPT standard.</w:t>
      </w:r>
    </w:p>
    <w:p w:rsidR="00D52CD2" w:rsidRDefault="00D52CD2">
      <w:pPr>
        <w:pStyle w:val="BodyText"/>
        <w:rPr>
          <w:sz w:val="19"/>
        </w:rPr>
      </w:pPr>
    </w:p>
    <w:p w:rsidR="00D52CD2" w:rsidRDefault="00D52CD2">
      <w:pPr>
        <w:rPr>
          <w:sz w:val="19"/>
        </w:rPr>
        <w:sectPr w:rsidR="00D52CD2">
          <w:type w:val="continuous"/>
          <w:pgSz w:w="12240" w:h="15840"/>
          <w:pgMar w:top="720" w:right="1320" w:bottom="280" w:left="1340" w:header="720" w:footer="720" w:gutter="0"/>
          <w:cols w:space="720"/>
        </w:sectPr>
      </w:pPr>
    </w:p>
    <w:p w:rsidR="00D52CD2" w:rsidRDefault="00464A41">
      <w:pPr>
        <w:pStyle w:val="BodyText"/>
        <w:spacing w:before="56"/>
        <w:ind w:left="100"/>
      </w:pPr>
      <w:r>
        <w:rPr>
          <w:color w:val="2E5395"/>
        </w:rPr>
        <w:t>56351</w:t>
      </w:r>
    </w:p>
    <w:p w:rsidR="00D52CD2" w:rsidRDefault="00464A41">
      <w:pPr>
        <w:pStyle w:val="BodyText"/>
        <w:spacing w:before="4"/>
        <w:rPr>
          <w:sz w:val="28"/>
        </w:rPr>
      </w:pPr>
      <w:r>
        <w:br w:type="column"/>
      </w:r>
    </w:p>
    <w:p w:rsidR="00D52CD2" w:rsidRDefault="00464A41">
      <w:pPr>
        <w:spacing w:before="1" w:line="259" w:lineRule="auto"/>
        <w:ind w:left="100" w:right="141"/>
        <w:rPr>
          <w:i/>
        </w:rPr>
      </w:pPr>
      <w:r>
        <w:rPr>
          <w:i/>
        </w:rPr>
        <w:t>We seek comment on whether this 6-month waiting period would reduce provider burden sufficiently to outweigh the additional case management, clinical contact and prescriber verification that providers may experience if a sponsor believes a beneficiary’s ac</w:t>
      </w:r>
      <w:r>
        <w:rPr>
          <w:i/>
        </w:rPr>
        <w:t>cess to coverage of frequently abused drugs should be limited to a selected prescriber(s). Comments should</w:t>
      </w:r>
      <w:r>
        <w:rPr>
          <w:i/>
          <w:spacing w:val="-4"/>
        </w:rPr>
        <w:t xml:space="preserve"> </w:t>
      </w:r>
      <w:r>
        <w:rPr>
          <w:i/>
        </w:rPr>
        <w:t>include</w:t>
      </w:r>
      <w:r>
        <w:rPr>
          <w:i/>
          <w:spacing w:val="-4"/>
        </w:rPr>
        <w:t xml:space="preserve"> </w:t>
      </w:r>
      <w:r>
        <w:rPr>
          <w:i/>
        </w:rPr>
        <w:t>the</w:t>
      </w:r>
      <w:r>
        <w:rPr>
          <w:i/>
          <w:spacing w:val="-4"/>
        </w:rPr>
        <w:t xml:space="preserve"> </w:t>
      </w:r>
      <w:r>
        <w:rPr>
          <w:i/>
        </w:rPr>
        <w:t>additional</w:t>
      </w:r>
      <w:r>
        <w:rPr>
          <w:i/>
          <w:spacing w:val="-4"/>
        </w:rPr>
        <w:t xml:space="preserve"> </w:t>
      </w:r>
      <w:r>
        <w:rPr>
          <w:i/>
        </w:rPr>
        <w:t>operational</w:t>
      </w:r>
      <w:r>
        <w:rPr>
          <w:i/>
          <w:spacing w:val="-4"/>
        </w:rPr>
        <w:t xml:space="preserve"> </w:t>
      </w:r>
      <w:r>
        <w:rPr>
          <w:i/>
        </w:rPr>
        <w:t>considerations</w:t>
      </w:r>
      <w:r>
        <w:rPr>
          <w:i/>
          <w:spacing w:val="-3"/>
        </w:rPr>
        <w:t xml:space="preserve"> </w:t>
      </w:r>
      <w:r>
        <w:rPr>
          <w:i/>
        </w:rPr>
        <w:t>for</w:t>
      </w:r>
      <w:r>
        <w:rPr>
          <w:i/>
          <w:spacing w:val="-5"/>
        </w:rPr>
        <w:t xml:space="preserve"> </w:t>
      </w:r>
      <w:r>
        <w:rPr>
          <w:i/>
        </w:rPr>
        <w:t>sponsors</w:t>
      </w:r>
      <w:r>
        <w:rPr>
          <w:i/>
          <w:spacing w:val="-5"/>
        </w:rPr>
        <w:t xml:space="preserve"> </w:t>
      </w:r>
      <w:r>
        <w:rPr>
          <w:i/>
        </w:rPr>
        <w:t>to</w:t>
      </w:r>
      <w:r>
        <w:rPr>
          <w:i/>
          <w:spacing w:val="-4"/>
        </w:rPr>
        <w:t xml:space="preserve"> </w:t>
      </w:r>
      <w:r>
        <w:rPr>
          <w:i/>
        </w:rPr>
        <w:t>implement</w:t>
      </w:r>
      <w:r>
        <w:rPr>
          <w:i/>
          <w:spacing w:val="-4"/>
        </w:rPr>
        <w:t xml:space="preserve"> </w:t>
      </w:r>
      <w:r>
        <w:rPr>
          <w:i/>
        </w:rPr>
        <w:t>this</w:t>
      </w:r>
      <w:r>
        <w:rPr>
          <w:i/>
          <w:spacing w:val="-4"/>
        </w:rPr>
        <w:t xml:space="preserve"> </w:t>
      </w:r>
      <w:r>
        <w:rPr>
          <w:i/>
        </w:rPr>
        <w:t>proposal.</w:t>
      </w:r>
    </w:p>
    <w:p w:rsidR="00D52CD2" w:rsidRDefault="00D52CD2">
      <w:pPr>
        <w:spacing w:line="259" w:lineRule="auto"/>
        <w:sectPr w:rsidR="00D52CD2">
          <w:type w:val="continuous"/>
          <w:pgSz w:w="12240" w:h="15840"/>
          <w:pgMar w:top="720" w:right="1320" w:bottom="280" w:left="1340" w:header="720" w:footer="720" w:gutter="0"/>
          <w:cols w:num="2" w:space="720" w:equalWidth="0">
            <w:col w:w="659" w:space="61"/>
            <w:col w:w="8860"/>
          </w:cols>
        </w:sectPr>
      </w:pPr>
    </w:p>
    <w:p w:rsidR="00D52CD2" w:rsidRDefault="00D52CD2">
      <w:pPr>
        <w:pStyle w:val="BodyText"/>
        <w:spacing w:before="5"/>
        <w:rPr>
          <w:i/>
          <w:sz w:val="17"/>
        </w:rPr>
      </w:pPr>
    </w:p>
    <w:p w:rsidR="00D52CD2" w:rsidRDefault="00464A41">
      <w:pPr>
        <w:pStyle w:val="Heading1"/>
        <w:spacing w:before="57"/>
      </w:pPr>
      <w:r>
        <w:t>PDX Comment:</w:t>
      </w:r>
    </w:p>
    <w:p w:rsidR="00D52CD2" w:rsidRDefault="00464A41">
      <w:pPr>
        <w:pStyle w:val="BodyText"/>
        <w:spacing w:before="2" w:line="237" w:lineRule="auto"/>
        <w:ind w:left="100" w:right="232"/>
      </w:pPr>
      <w:r>
        <w:t>PDX respectfully requ</w:t>
      </w:r>
      <w:r>
        <w:t>ests CMS verify that communication to a prescriber through existing mechanisms, such as drug utilization review (DUR) messaging, is not precluded by this rule.</w:t>
      </w:r>
    </w:p>
    <w:p w:rsidR="00D52CD2" w:rsidRDefault="00D52CD2">
      <w:pPr>
        <w:pStyle w:val="BodyText"/>
        <w:spacing w:before="9"/>
        <w:rPr>
          <w:sz w:val="23"/>
        </w:rPr>
      </w:pPr>
    </w:p>
    <w:p w:rsidR="00D52CD2" w:rsidRDefault="00464A41">
      <w:pPr>
        <w:pStyle w:val="BodyText"/>
        <w:spacing w:before="1"/>
        <w:ind w:left="100"/>
      </w:pPr>
      <w:r>
        <w:rPr>
          <w:color w:val="2E5395"/>
        </w:rPr>
        <w:t>56357: (4) Confirmation of Pharmacy and Prescriber Selection (§ 423.153(f)(13))</w:t>
      </w:r>
    </w:p>
    <w:p w:rsidR="00D52CD2" w:rsidRDefault="00D52CD2">
      <w:pPr>
        <w:pStyle w:val="BodyText"/>
        <w:spacing w:before="9"/>
        <w:rPr>
          <w:sz w:val="23"/>
        </w:rPr>
      </w:pPr>
    </w:p>
    <w:p w:rsidR="00D52CD2" w:rsidRDefault="00464A41">
      <w:pPr>
        <w:pStyle w:val="Heading1"/>
        <w:spacing w:before="1"/>
      </w:pPr>
      <w:r>
        <w:t>PDX Comment:</w:t>
      </w:r>
    </w:p>
    <w:p w:rsidR="00D52CD2" w:rsidRDefault="00464A41">
      <w:pPr>
        <w:pStyle w:val="BodyText"/>
        <w:ind w:left="100" w:right="291"/>
      </w:pPr>
      <w:r>
        <w:t>Again, PDX echoes NCPDP comments requesting CMS be mindful of the impact to our standards of any additional messaging requirements as well as impact to systems developers and pharmacy users.</w:t>
      </w:r>
    </w:p>
    <w:p w:rsidR="00D52CD2" w:rsidRDefault="00464A41">
      <w:pPr>
        <w:pStyle w:val="BodyText"/>
        <w:ind w:left="100" w:right="225"/>
      </w:pPr>
      <w:r>
        <w:t xml:space="preserve">Standards modifications timelines are controlled both by NCPDP’s </w:t>
      </w:r>
      <w:r>
        <w:rPr>
          <w:i/>
        </w:rPr>
        <w:t xml:space="preserve">Standing Operating Procedures </w:t>
      </w:r>
      <w:r>
        <w:t>and, for those standards named in other federal legislation (e.g. HIPAA), the associated rule-making process. These timelines need to be taken into consideration during rulemaking to ensure that the standards include the desir</w:t>
      </w:r>
      <w:r>
        <w:t>ed functionality.</w:t>
      </w:r>
    </w:p>
    <w:p w:rsidR="00D52CD2" w:rsidRDefault="00D52CD2">
      <w:pPr>
        <w:pStyle w:val="BodyText"/>
        <w:spacing w:before="2"/>
      </w:pPr>
    </w:p>
    <w:p w:rsidR="00D52CD2" w:rsidRDefault="00464A41">
      <w:pPr>
        <w:pStyle w:val="BodyText"/>
        <w:spacing w:before="1"/>
        <w:ind w:left="100" w:right="257"/>
      </w:pPr>
      <w:r>
        <w:t>Additionally, PDX requests that CMS be mindful of the beneficiary’s preference for prescriber and pharmacy preference with dealing with lock-in situations. In many cases, the familiar community pharmacy or prescriber can be critical in m</w:t>
      </w:r>
      <w:r>
        <w:t>anaging potential issues where by an unknown mail order of</w:t>
      </w:r>
    </w:p>
    <w:p w:rsidR="00D52CD2" w:rsidRDefault="00D52CD2">
      <w:pPr>
        <w:sectPr w:rsidR="00D52CD2">
          <w:type w:val="continuous"/>
          <w:pgSz w:w="12240" w:h="15840"/>
          <w:pgMar w:top="720" w:right="1320" w:bottom="280" w:left="1340" w:header="720" w:footer="720" w:gutter="0"/>
          <w:cols w:space="720"/>
        </w:sectPr>
      </w:pPr>
    </w:p>
    <w:p w:rsidR="00D52CD2" w:rsidRDefault="00464A41">
      <w:pPr>
        <w:pStyle w:val="BodyText"/>
        <w:spacing w:before="39"/>
        <w:ind w:left="100" w:right="497"/>
      </w:pPr>
      <w:r>
        <w:lastRenderedPageBreak/>
        <w:t>PBM owned pharmacy may not have the desired relationship to the beneficiary to resolve the issues related to case management.</w:t>
      </w:r>
    </w:p>
    <w:p w:rsidR="00D52CD2" w:rsidRDefault="00D52CD2">
      <w:pPr>
        <w:pStyle w:val="BodyText"/>
      </w:pPr>
    </w:p>
    <w:p w:rsidR="00D52CD2" w:rsidRDefault="00464A41">
      <w:pPr>
        <w:pStyle w:val="BodyText"/>
        <w:ind w:left="100"/>
      </w:pPr>
      <w:r>
        <w:rPr>
          <w:color w:val="2E5395"/>
        </w:rPr>
        <w:t>56357: (ix) Drug Management Program Appeals …</w:t>
      </w:r>
    </w:p>
    <w:p w:rsidR="00D52CD2" w:rsidRDefault="00D52CD2">
      <w:pPr>
        <w:pStyle w:val="BodyText"/>
        <w:spacing w:before="6"/>
        <w:rPr>
          <w:sz w:val="25"/>
        </w:rPr>
      </w:pPr>
    </w:p>
    <w:p w:rsidR="00D52CD2" w:rsidRDefault="00464A41">
      <w:pPr>
        <w:pStyle w:val="Heading1"/>
        <w:spacing w:before="1"/>
      </w:pPr>
      <w:r>
        <w:t>PDX Comment:</w:t>
      </w:r>
    </w:p>
    <w:p w:rsidR="00D52CD2" w:rsidRDefault="00464A41">
      <w:pPr>
        <w:pStyle w:val="BodyText"/>
        <w:spacing w:before="19" w:line="259" w:lineRule="auto"/>
        <w:ind w:left="100" w:right="119"/>
      </w:pPr>
      <w:r>
        <w:t>PDX echoes NCPDP’s request for clarification as to whether the beneficiary Notice of Appeal Rights (reject 569) should accompany any point-of-sale (POS) claim rejections regarding prescriber or pharmacy lock-in, or any additional beneficiary-s</w:t>
      </w:r>
      <w:r>
        <w:t>pecific POS edits recommended by CMS.</w:t>
      </w:r>
    </w:p>
    <w:p w:rsidR="00D52CD2" w:rsidRDefault="00D52CD2">
      <w:pPr>
        <w:pStyle w:val="BodyText"/>
      </w:pPr>
    </w:p>
    <w:p w:rsidR="00D52CD2" w:rsidRDefault="00D52CD2">
      <w:pPr>
        <w:pStyle w:val="BodyText"/>
        <w:spacing w:before="8"/>
        <w:rPr>
          <w:sz w:val="28"/>
        </w:rPr>
      </w:pPr>
    </w:p>
    <w:p w:rsidR="00D52CD2" w:rsidRDefault="00464A41">
      <w:pPr>
        <w:pStyle w:val="BodyText"/>
        <w:ind w:left="100"/>
      </w:pPr>
      <w:r>
        <w:rPr>
          <w:color w:val="2E5395"/>
        </w:rPr>
        <w:t>56486 12. Any willing pharmacy</w:t>
      </w:r>
    </w:p>
    <w:p w:rsidR="00D52CD2" w:rsidRDefault="00464A41">
      <w:pPr>
        <w:pStyle w:val="Heading1"/>
        <w:spacing w:before="21" w:line="268" w:lineRule="exact"/>
      </w:pPr>
      <w:r>
        <w:t>PDX Comment:</w:t>
      </w:r>
    </w:p>
    <w:p w:rsidR="00D52CD2" w:rsidRDefault="00464A41">
      <w:pPr>
        <w:pStyle w:val="BodyText"/>
        <w:ind w:left="100" w:right="718"/>
      </w:pPr>
      <w:r>
        <w:t>PDX agrees with CMS in that the changes to this policy would “help maintain beneficiary access to specialty drugs from community pharmacy”.</w:t>
      </w:r>
    </w:p>
    <w:p w:rsidR="00D52CD2" w:rsidRDefault="00D52CD2">
      <w:pPr>
        <w:pStyle w:val="BodyText"/>
        <w:spacing w:before="1"/>
      </w:pPr>
    </w:p>
    <w:p w:rsidR="00D52CD2" w:rsidRDefault="00464A41">
      <w:pPr>
        <w:pStyle w:val="BodyText"/>
        <w:ind w:left="100"/>
      </w:pPr>
      <w:r>
        <w:rPr>
          <w:color w:val="2E5395"/>
        </w:rPr>
        <w:t>56410: Proposed Change in Defin</w:t>
      </w:r>
      <w:r>
        <w:rPr>
          <w:color w:val="2E5395"/>
        </w:rPr>
        <w:t>ition of Retail Pharmacy</w:t>
      </w:r>
    </w:p>
    <w:p w:rsidR="00D52CD2" w:rsidRDefault="00464A41">
      <w:pPr>
        <w:spacing w:before="21" w:line="259" w:lineRule="auto"/>
        <w:ind w:left="100" w:right="160"/>
        <w:rPr>
          <w:i/>
        </w:rPr>
      </w:pPr>
      <w:r>
        <w:rPr>
          <w:i/>
        </w:rPr>
        <w:t>Proposed definition of Mail Order and Retail Pharmacy We solicit comment on our proposed definition of mail-order pharmacy and our proposed modification to the definition of retail pharmacy</w:t>
      </w:r>
    </w:p>
    <w:p w:rsidR="00D52CD2" w:rsidRDefault="00464A41">
      <w:pPr>
        <w:pStyle w:val="BodyText"/>
        <w:spacing w:before="158"/>
        <w:ind w:left="100"/>
      </w:pPr>
      <w:r>
        <w:t>PDX Comment:</w:t>
      </w:r>
    </w:p>
    <w:p w:rsidR="00D52CD2" w:rsidRDefault="00464A41">
      <w:pPr>
        <w:pStyle w:val="BodyText"/>
        <w:ind w:left="100" w:right="546"/>
      </w:pPr>
      <w:r>
        <w:t>PDX agrees with CMS that rev</w:t>
      </w:r>
      <w:r>
        <w:t>ising the definition of Retail pharmacy and adding a definition of Mail- Order Pharmacy would help to mitigate plan sponsors and PBMS ability to limit a pharmacy’s participation in a network based on ambiguity in the present rule definitions.</w:t>
      </w:r>
    </w:p>
    <w:p w:rsidR="00D52CD2" w:rsidRDefault="00D52CD2">
      <w:pPr>
        <w:pStyle w:val="BodyText"/>
      </w:pPr>
    </w:p>
    <w:p w:rsidR="00D52CD2" w:rsidRDefault="00D52CD2">
      <w:pPr>
        <w:pStyle w:val="BodyText"/>
      </w:pPr>
    </w:p>
    <w:p w:rsidR="00D52CD2" w:rsidRDefault="00D52CD2">
      <w:pPr>
        <w:pStyle w:val="BodyText"/>
        <w:spacing w:before="2"/>
        <w:rPr>
          <w:sz w:val="27"/>
        </w:rPr>
      </w:pPr>
    </w:p>
    <w:p w:rsidR="00D52CD2" w:rsidRDefault="00464A41">
      <w:pPr>
        <w:pStyle w:val="Heading2"/>
        <w:spacing w:before="1"/>
      </w:pPr>
      <w:r>
        <w:t xml:space="preserve">Precluded </w:t>
      </w:r>
      <w:r>
        <w:t>Providers</w:t>
      </w:r>
    </w:p>
    <w:p w:rsidR="00D52CD2" w:rsidRDefault="00D52CD2">
      <w:pPr>
        <w:pStyle w:val="BodyText"/>
        <w:spacing w:before="10"/>
        <w:rPr>
          <w:b/>
          <w:i/>
          <w:sz w:val="23"/>
        </w:rPr>
      </w:pPr>
    </w:p>
    <w:p w:rsidR="00D52CD2" w:rsidRDefault="00464A41">
      <w:pPr>
        <w:pStyle w:val="BodyText"/>
        <w:ind w:left="100"/>
      </w:pPr>
      <w:r>
        <w:rPr>
          <w:color w:val="2E5395"/>
        </w:rPr>
        <w:t>General Comments</w:t>
      </w:r>
    </w:p>
    <w:p w:rsidR="00D52CD2" w:rsidRDefault="00464A41">
      <w:pPr>
        <w:pStyle w:val="BodyText"/>
        <w:spacing w:before="19" w:line="259" w:lineRule="auto"/>
        <w:ind w:left="100" w:right="191"/>
      </w:pPr>
      <w:r>
        <w:t>PDX concurs with many of the NCPDP comments and agrees with CMS’ revised approach in leveraging a precluded provider process to prevent fraud, waste, and abuse risks and ensure patient safety. There are several factors however, that require CMS’ considerat</w:t>
      </w:r>
      <w:r>
        <w:t>ion to ensure a smooth implementation and prevent access to care risks.</w:t>
      </w:r>
    </w:p>
    <w:p w:rsidR="00D52CD2" w:rsidRDefault="00D52CD2">
      <w:pPr>
        <w:pStyle w:val="BodyText"/>
        <w:spacing w:before="7"/>
        <w:rPr>
          <w:sz w:val="23"/>
        </w:rPr>
      </w:pPr>
    </w:p>
    <w:p w:rsidR="00D52CD2" w:rsidRDefault="00464A41">
      <w:pPr>
        <w:pStyle w:val="BodyText"/>
        <w:spacing w:line="259" w:lineRule="auto"/>
        <w:ind w:left="100" w:right="121"/>
      </w:pPr>
      <w:r>
        <w:t>PDX concurs with NCPDP’s general comments related to the new approach of a Precluded Provider list. This new approach would enable payers to properly prepare for implementation of poi</w:t>
      </w:r>
      <w:r>
        <w:t>nt of service edits when adjudicating claims to minimize service disruption and affect patient adherence and patient care. These items include requests for clarification and other considerations as listed below:</w:t>
      </w:r>
    </w:p>
    <w:p w:rsidR="00D52CD2" w:rsidRDefault="00D52CD2">
      <w:pPr>
        <w:pStyle w:val="BodyText"/>
        <w:spacing w:before="10"/>
        <w:rPr>
          <w:sz w:val="23"/>
        </w:rPr>
      </w:pPr>
    </w:p>
    <w:p w:rsidR="00D52CD2" w:rsidRDefault="00464A41">
      <w:pPr>
        <w:pStyle w:val="ListParagraph"/>
        <w:numPr>
          <w:ilvl w:val="1"/>
          <w:numId w:val="5"/>
        </w:numPr>
        <w:tabs>
          <w:tab w:val="left" w:pos="820"/>
          <w:tab w:val="left" w:pos="821"/>
        </w:tabs>
      </w:pPr>
      <w:r>
        <w:t>A request for additional guidance on claims</w:t>
      </w:r>
      <w:r>
        <w:t xml:space="preserve"> for dual eligible</w:t>
      </w:r>
      <w:r>
        <w:rPr>
          <w:spacing w:val="-17"/>
        </w:rPr>
        <w:t xml:space="preserve"> </w:t>
      </w:r>
      <w:r>
        <w:t>beneficiaries</w:t>
      </w:r>
    </w:p>
    <w:p w:rsidR="00D52CD2" w:rsidRDefault="00464A41">
      <w:pPr>
        <w:pStyle w:val="ListParagraph"/>
        <w:numPr>
          <w:ilvl w:val="1"/>
          <w:numId w:val="5"/>
        </w:numPr>
        <w:tabs>
          <w:tab w:val="left" w:pos="820"/>
          <w:tab w:val="left" w:pos="821"/>
        </w:tabs>
        <w:spacing w:before="22"/>
      </w:pPr>
      <w:r>
        <w:t>Comprehensive file layout, and ability to access and download the</w:t>
      </w:r>
      <w:r>
        <w:rPr>
          <w:spacing w:val="-25"/>
        </w:rPr>
        <w:t xml:space="preserve"> </w:t>
      </w:r>
      <w:r>
        <w:t>file</w:t>
      </w:r>
    </w:p>
    <w:p w:rsidR="00D52CD2" w:rsidRDefault="00464A41">
      <w:pPr>
        <w:pStyle w:val="ListParagraph"/>
        <w:numPr>
          <w:ilvl w:val="1"/>
          <w:numId w:val="5"/>
        </w:numPr>
        <w:tabs>
          <w:tab w:val="left" w:pos="820"/>
          <w:tab w:val="left" w:pos="821"/>
        </w:tabs>
        <w:spacing w:before="19"/>
      </w:pPr>
      <w:r>
        <w:t>Sufficient file testing period, hierarchy of excluded provider</w:t>
      </w:r>
      <w:r>
        <w:rPr>
          <w:spacing w:val="-26"/>
        </w:rPr>
        <w:t xml:space="preserve"> </w:t>
      </w:r>
      <w:r>
        <w:t>files,</w:t>
      </w:r>
    </w:p>
    <w:p w:rsidR="00D52CD2" w:rsidRDefault="00D52CD2">
      <w:pPr>
        <w:sectPr w:rsidR="00D52CD2">
          <w:pgSz w:w="12240" w:h="15840"/>
          <w:pgMar w:top="1400" w:right="1320" w:bottom="1200" w:left="1340" w:header="0" w:footer="1012" w:gutter="0"/>
          <w:cols w:space="720"/>
        </w:sectPr>
      </w:pPr>
    </w:p>
    <w:p w:rsidR="00D52CD2" w:rsidRDefault="00464A41">
      <w:pPr>
        <w:pStyle w:val="ListParagraph"/>
        <w:numPr>
          <w:ilvl w:val="1"/>
          <w:numId w:val="5"/>
        </w:numPr>
        <w:tabs>
          <w:tab w:val="left" w:pos="820"/>
          <w:tab w:val="left" w:pos="821"/>
        </w:tabs>
        <w:spacing w:before="79" w:line="259" w:lineRule="auto"/>
        <w:ind w:right="288"/>
      </w:pPr>
      <w:r>
        <w:lastRenderedPageBreak/>
        <w:t>Timing of changes to the NCPDP standards also must be considered, as</w:t>
      </w:r>
      <w:r>
        <w:t xml:space="preserve"> previous code values specific to prescriber enrollment need to be sunsetted and new values may need to be created and well as time required for systems developers and pharmacy end users to</w:t>
      </w:r>
      <w:r>
        <w:rPr>
          <w:spacing w:val="-27"/>
        </w:rPr>
        <w:t xml:space="preserve"> </w:t>
      </w:r>
      <w:r>
        <w:t>implement.</w:t>
      </w:r>
    </w:p>
    <w:p w:rsidR="00D52CD2" w:rsidRDefault="00464A41">
      <w:pPr>
        <w:pStyle w:val="ListParagraph"/>
        <w:numPr>
          <w:ilvl w:val="1"/>
          <w:numId w:val="5"/>
        </w:numPr>
        <w:tabs>
          <w:tab w:val="left" w:pos="820"/>
          <w:tab w:val="left" w:pos="821"/>
        </w:tabs>
        <w:spacing w:line="259" w:lineRule="auto"/>
        <w:ind w:right="374"/>
      </w:pPr>
      <w:r>
        <w:t xml:space="preserve">From a rule perspective, PDX requests CMS consider the </w:t>
      </w:r>
      <w:r>
        <w:t>numerous risks associated to the proposed provisional coverage period and support an alternate approach that allows CMS to manage patient access to care concerns with the use of post-dated preclusion effective</w:t>
      </w:r>
      <w:r>
        <w:rPr>
          <w:spacing w:val="-28"/>
        </w:rPr>
        <w:t xml:space="preserve"> </w:t>
      </w:r>
      <w:r>
        <w:t>dates.</w:t>
      </w:r>
    </w:p>
    <w:p w:rsidR="00D52CD2" w:rsidRDefault="00464A41">
      <w:pPr>
        <w:pStyle w:val="ListParagraph"/>
        <w:numPr>
          <w:ilvl w:val="1"/>
          <w:numId w:val="5"/>
        </w:numPr>
        <w:tabs>
          <w:tab w:val="left" w:pos="820"/>
          <w:tab w:val="left" w:pos="821"/>
        </w:tabs>
        <w:spacing w:line="259" w:lineRule="auto"/>
        <w:ind w:right="177"/>
      </w:pPr>
      <w:r>
        <w:t>The request that CMS to consider the coordination that is necessary to ensure an effective and efficient implementation of the precluded provider process and request an effective date that is no earlier than January 1, 2020 and a minimum of 18 months after</w:t>
      </w:r>
      <w:r>
        <w:t xml:space="preserve"> the publication of necessary technical guidance and confirmed file</w:t>
      </w:r>
      <w:r>
        <w:rPr>
          <w:spacing w:val="-10"/>
        </w:rPr>
        <w:t xml:space="preserve"> </w:t>
      </w:r>
      <w:r>
        <w:t>layouts.</w:t>
      </w:r>
    </w:p>
    <w:p w:rsidR="00D52CD2" w:rsidRDefault="00D52CD2">
      <w:pPr>
        <w:pStyle w:val="BodyText"/>
      </w:pPr>
    </w:p>
    <w:p w:rsidR="00D52CD2" w:rsidRDefault="00D52CD2">
      <w:pPr>
        <w:pStyle w:val="BodyText"/>
        <w:spacing w:before="7"/>
        <w:rPr>
          <w:sz w:val="23"/>
        </w:rPr>
      </w:pPr>
    </w:p>
    <w:p w:rsidR="00D52CD2" w:rsidRDefault="00464A41">
      <w:pPr>
        <w:pStyle w:val="BodyText"/>
        <w:ind w:left="100" w:right="389"/>
      </w:pPr>
      <w:r>
        <w:t>To ensure standardization of processes, clear communications to the beneficiary, and prevent risks to patient access to care, PDX asks CMS to consider the following precluded provider operational processes:</w:t>
      </w:r>
    </w:p>
    <w:p w:rsidR="00D52CD2" w:rsidRDefault="00464A41">
      <w:pPr>
        <w:pStyle w:val="ListParagraph"/>
        <w:numPr>
          <w:ilvl w:val="0"/>
          <w:numId w:val="4"/>
        </w:numPr>
        <w:tabs>
          <w:tab w:val="left" w:pos="821"/>
        </w:tabs>
        <w:ind w:right="224"/>
      </w:pPr>
      <w:r>
        <w:t>CMS clarifies that the Precluded Provider criteri</w:t>
      </w:r>
      <w:r>
        <w:t>a will be distinctly different than the OIG Excluded provider criteria. This will eliminate duplication of provider IDs across the files and allow for clear and precise messaging to the beneficiary. If a provider is on both files, the plan sponsor would ha</w:t>
      </w:r>
      <w:r>
        <w:t>ve to send two different notices to the beneficiary, but only the OIG exclusion would be communicated at point of sale</w:t>
      </w:r>
      <w:r>
        <w:rPr>
          <w:color w:val="006FC0"/>
        </w:rPr>
        <w:t xml:space="preserve">, </w:t>
      </w:r>
      <w:r>
        <w:t>based on the hierarchy of prescriber validation</w:t>
      </w:r>
      <w:r>
        <w:rPr>
          <w:spacing w:val="-23"/>
        </w:rPr>
        <w:t xml:space="preserve"> </w:t>
      </w:r>
      <w:r>
        <w:t>rules.</w:t>
      </w:r>
    </w:p>
    <w:p w:rsidR="00D52CD2" w:rsidRDefault="00464A41">
      <w:pPr>
        <w:pStyle w:val="ListParagraph"/>
        <w:numPr>
          <w:ilvl w:val="0"/>
          <w:numId w:val="4"/>
        </w:numPr>
        <w:tabs>
          <w:tab w:val="left" w:pos="821"/>
        </w:tabs>
        <w:ind w:right="138"/>
      </w:pPr>
      <w:r>
        <w:t>CMS supports a consistent Operational Flow of events before the precluded provide</w:t>
      </w:r>
      <w:r>
        <w:t>r edit occurs at point of</w:t>
      </w:r>
      <w:r>
        <w:rPr>
          <w:spacing w:val="-6"/>
        </w:rPr>
        <w:t xml:space="preserve"> </w:t>
      </w:r>
      <w:r>
        <w:t>sale.</w:t>
      </w:r>
    </w:p>
    <w:p w:rsidR="00D52CD2" w:rsidRDefault="00464A41">
      <w:pPr>
        <w:pStyle w:val="ListParagraph"/>
        <w:numPr>
          <w:ilvl w:val="1"/>
          <w:numId w:val="4"/>
        </w:numPr>
        <w:tabs>
          <w:tab w:val="left" w:pos="1181"/>
        </w:tabs>
      </w:pPr>
      <w:r>
        <w:t>Recommended Operational</w:t>
      </w:r>
      <w:r>
        <w:rPr>
          <w:spacing w:val="-8"/>
        </w:rPr>
        <w:t xml:space="preserve"> </w:t>
      </w:r>
      <w:r>
        <w:t>Flow:</w:t>
      </w:r>
    </w:p>
    <w:p w:rsidR="00D52CD2" w:rsidRDefault="00464A41">
      <w:pPr>
        <w:pStyle w:val="ListParagraph"/>
        <w:numPr>
          <w:ilvl w:val="2"/>
          <w:numId w:val="4"/>
        </w:numPr>
        <w:tabs>
          <w:tab w:val="left" w:pos="1900"/>
          <w:tab w:val="left" w:pos="1901"/>
        </w:tabs>
        <w:ind w:hanging="470"/>
        <w:jc w:val="left"/>
      </w:pPr>
      <w:r>
        <w:t>CMS conducts analysis and identifies specific</w:t>
      </w:r>
      <w:r>
        <w:rPr>
          <w:spacing w:val="-19"/>
        </w:rPr>
        <w:t xml:space="preserve"> </w:t>
      </w:r>
      <w:r>
        <w:t>prescriber</w:t>
      </w:r>
    </w:p>
    <w:p w:rsidR="00D52CD2" w:rsidRDefault="00464A41">
      <w:pPr>
        <w:pStyle w:val="ListParagraph"/>
        <w:numPr>
          <w:ilvl w:val="2"/>
          <w:numId w:val="4"/>
        </w:numPr>
        <w:tabs>
          <w:tab w:val="left" w:pos="1900"/>
          <w:tab w:val="left" w:pos="1901"/>
        </w:tabs>
        <w:ind w:hanging="526"/>
        <w:jc w:val="left"/>
      </w:pPr>
      <w:r>
        <w:t>CMS notifies prescriber of pending precluded status and outlines appeal</w:t>
      </w:r>
      <w:r>
        <w:rPr>
          <w:spacing w:val="-21"/>
        </w:rPr>
        <w:t xml:space="preserve"> </w:t>
      </w:r>
      <w:r>
        <w:t>process</w:t>
      </w:r>
    </w:p>
    <w:p w:rsidR="00D52CD2" w:rsidRDefault="00464A41">
      <w:pPr>
        <w:pStyle w:val="ListParagraph"/>
        <w:numPr>
          <w:ilvl w:val="2"/>
          <w:numId w:val="4"/>
        </w:numPr>
        <w:tabs>
          <w:tab w:val="left" w:pos="1900"/>
          <w:tab w:val="left" w:pos="1901"/>
        </w:tabs>
        <w:ind w:hanging="581"/>
        <w:jc w:val="left"/>
      </w:pPr>
      <w:r>
        <w:t>Once appeal period has concluded, CMS notifies impacted</w:t>
      </w:r>
      <w:r>
        <w:rPr>
          <w:spacing w:val="-23"/>
        </w:rPr>
        <w:t xml:space="preserve"> </w:t>
      </w:r>
      <w:r>
        <w:t>b</w:t>
      </w:r>
      <w:r>
        <w:t>eneficiaries</w:t>
      </w:r>
    </w:p>
    <w:p w:rsidR="00D52CD2" w:rsidRDefault="00464A41">
      <w:pPr>
        <w:pStyle w:val="ListParagraph"/>
        <w:numPr>
          <w:ilvl w:val="2"/>
          <w:numId w:val="4"/>
        </w:numPr>
        <w:tabs>
          <w:tab w:val="left" w:pos="1901"/>
        </w:tabs>
        <w:ind w:right="319" w:hanging="595"/>
        <w:jc w:val="both"/>
      </w:pPr>
      <w:r>
        <w:t>CMS adds prescriber to precluded provider file with a future effective date, e.g.</w:t>
      </w:r>
      <w:r>
        <w:rPr>
          <w:spacing w:val="-28"/>
        </w:rPr>
        <w:t xml:space="preserve"> </w:t>
      </w:r>
      <w:r>
        <w:t>90 days after beneficiary notification. CMS to add precluded provider end date based on reenrollment bar</w:t>
      </w:r>
      <w:r>
        <w:rPr>
          <w:spacing w:val="-8"/>
        </w:rPr>
        <w:t xml:space="preserve"> </w:t>
      </w:r>
      <w:r>
        <w:t>criteria.</w:t>
      </w:r>
    </w:p>
    <w:p w:rsidR="00D52CD2" w:rsidRDefault="00464A41">
      <w:pPr>
        <w:pStyle w:val="BodyText"/>
        <w:ind w:left="2260" w:right="727"/>
      </w:pPr>
      <w:r>
        <w:t>**Note, if effective dates are not sufficientl</w:t>
      </w:r>
      <w:r>
        <w:t>y post-dated, it may create additional risks where CMS may need to support point of service override processes due to timing delays associated with monthly file updates.</w:t>
      </w:r>
    </w:p>
    <w:p w:rsidR="00D52CD2" w:rsidRDefault="00464A41">
      <w:pPr>
        <w:pStyle w:val="ListParagraph"/>
        <w:numPr>
          <w:ilvl w:val="1"/>
          <w:numId w:val="4"/>
        </w:numPr>
        <w:tabs>
          <w:tab w:val="left" w:pos="1181"/>
        </w:tabs>
        <w:spacing w:before="3"/>
        <w:ind w:right="134"/>
      </w:pPr>
      <w:r>
        <w:t>These steps allow CMS to manage the provisional fill period and any variances across p</w:t>
      </w:r>
      <w:r>
        <w:t>reclusion types or beneficiary risk levels (e.g. opioids), where plan sponsors would reject claims as of the preclusion effective date. The expectation would be that all preclusion dates would be post-dated, eliminating the need to support any variances in</w:t>
      </w:r>
      <w:r>
        <w:t xml:space="preserve"> the timing of file integration.</w:t>
      </w:r>
    </w:p>
    <w:p w:rsidR="00D52CD2" w:rsidRDefault="00464A41">
      <w:pPr>
        <w:pStyle w:val="ListParagraph"/>
        <w:numPr>
          <w:ilvl w:val="1"/>
          <w:numId w:val="4"/>
        </w:numPr>
        <w:tabs>
          <w:tab w:val="left" w:pos="1180"/>
          <w:tab w:val="left" w:pos="1181"/>
        </w:tabs>
        <w:ind w:right="148"/>
      </w:pPr>
      <w:r>
        <w:t>Regardless of who notifies the beneficiary, CMS would need procedures in place to address beneficiary questions. If plan sponsors notify the beneficiary, the plan sponsor has no access to the reason for the preclusion to be able to answer beneficiary quest</w:t>
      </w:r>
      <w:r>
        <w:t>ions. Additionally, CMS notification to the beneficiary would align with the beneficiary appeal process as outlined in section (4) Appeals (pg.</w:t>
      </w:r>
      <w:r>
        <w:rPr>
          <w:spacing w:val="-14"/>
        </w:rPr>
        <w:t xml:space="preserve"> </w:t>
      </w:r>
      <w:r>
        <w:t>56446).</w:t>
      </w:r>
    </w:p>
    <w:p w:rsidR="00D52CD2" w:rsidRDefault="00464A41">
      <w:pPr>
        <w:pStyle w:val="ListParagraph"/>
        <w:numPr>
          <w:ilvl w:val="1"/>
          <w:numId w:val="4"/>
        </w:numPr>
        <w:tabs>
          <w:tab w:val="left" w:pos="1181"/>
        </w:tabs>
        <w:ind w:right="221"/>
      </w:pPr>
      <w:r>
        <w:t>These recommendations will also mitigate point of service conflicts and beneficiary confusion with provi</w:t>
      </w:r>
      <w:r>
        <w:t>sional fill rules competing with existing prescriber validation rules (e.g.: DEA, state medical boards, etc.) and transitional fill</w:t>
      </w:r>
      <w:r>
        <w:rPr>
          <w:spacing w:val="-23"/>
        </w:rPr>
        <w:t xml:space="preserve"> </w:t>
      </w:r>
      <w:r>
        <w:t>processes.</w:t>
      </w:r>
    </w:p>
    <w:p w:rsidR="00D52CD2" w:rsidRDefault="00464A41">
      <w:pPr>
        <w:pStyle w:val="ListParagraph"/>
        <w:numPr>
          <w:ilvl w:val="0"/>
          <w:numId w:val="4"/>
        </w:numPr>
        <w:tabs>
          <w:tab w:val="left" w:pos="821"/>
        </w:tabs>
      </w:pPr>
      <w:r>
        <w:t>CMS to clarify whether the Medicare Part D precluded provider list will be shared with</w:t>
      </w:r>
      <w:r>
        <w:rPr>
          <w:spacing w:val="-24"/>
        </w:rPr>
        <w:t xml:space="preserve"> </w:t>
      </w:r>
      <w:r>
        <w:t>state</w:t>
      </w:r>
    </w:p>
    <w:p w:rsidR="00D52CD2" w:rsidRDefault="00464A41">
      <w:pPr>
        <w:pStyle w:val="BodyText"/>
        <w:ind w:left="820"/>
      </w:pPr>
      <w:r>
        <w:t>Medicaid programs fo</w:t>
      </w:r>
      <w:r>
        <w:t>r inclusion into the state’s Medicaid exclusion list. CMS provides additional</w:t>
      </w:r>
    </w:p>
    <w:p w:rsidR="00D52CD2" w:rsidRDefault="00D52CD2">
      <w:pPr>
        <w:sectPr w:rsidR="00D52CD2">
          <w:pgSz w:w="12240" w:h="15840"/>
          <w:pgMar w:top="1360" w:right="1320" w:bottom="1200" w:left="1340" w:header="0" w:footer="1012" w:gutter="0"/>
          <w:cols w:space="720"/>
        </w:sectPr>
      </w:pPr>
    </w:p>
    <w:p w:rsidR="00D52CD2" w:rsidRDefault="00464A41">
      <w:pPr>
        <w:pStyle w:val="BodyText"/>
        <w:spacing w:before="39"/>
        <w:ind w:left="820" w:right="116"/>
      </w:pPr>
      <w:r>
        <w:lastRenderedPageBreak/>
        <w:t>technical guidance for dual-eligible claims that would eliminate beneficiary confusion. PDX recommends that the precluded provider rule apply to both the Medicare a</w:t>
      </w:r>
      <w:r>
        <w:t>nd Medicaid benefits where coordination occurs between these programs under Medicare/Medicaid Plans (MMP) and Special Needs Plans</w:t>
      </w:r>
      <w:r>
        <w:rPr>
          <w:spacing w:val="-11"/>
        </w:rPr>
        <w:t xml:space="preserve"> </w:t>
      </w:r>
      <w:r>
        <w:t>(SNP).</w:t>
      </w:r>
    </w:p>
    <w:p w:rsidR="00D52CD2" w:rsidRDefault="00D52CD2">
      <w:pPr>
        <w:pStyle w:val="BodyText"/>
        <w:spacing w:before="9"/>
        <w:rPr>
          <w:sz w:val="23"/>
        </w:rPr>
      </w:pPr>
    </w:p>
    <w:p w:rsidR="00D52CD2" w:rsidRDefault="00464A41">
      <w:pPr>
        <w:pStyle w:val="BodyText"/>
        <w:ind w:left="100"/>
      </w:pPr>
      <w:r>
        <w:rPr>
          <w:color w:val="2E5395"/>
        </w:rPr>
        <w:t>56445: Timing of File Updates and Point of Service Edits</w:t>
      </w:r>
    </w:p>
    <w:p w:rsidR="00D52CD2" w:rsidRDefault="00D52CD2">
      <w:pPr>
        <w:pStyle w:val="BodyText"/>
        <w:spacing w:before="4"/>
        <w:rPr>
          <w:sz w:val="25"/>
        </w:rPr>
      </w:pPr>
    </w:p>
    <w:p w:rsidR="00D52CD2" w:rsidRDefault="00464A41">
      <w:pPr>
        <w:pStyle w:val="Heading1"/>
      </w:pPr>
      <w:r>
        <w:t>PDX Comment:</w:t>
      </w:r>
    </w:p>
    <w:p w:rsidR="00D52CD2" w:rsidRDefault="00464A41">
      <w:pPr>
        <w:pStyle w:val="BodyText"/>
        <w:spacing w:before="21" w:line="259" w:lineRule="auto"/>
        <w:ind w:left="100" w:right="139"/>
      </w:pPr>
      <w:r>
        <w:t>As previously noted, PDX concurs with NCPDP recommendations that CMS support a consistent Operational Flow and timeline for each step within the precluded provider process including the initial provider notification, appeal process, beneficiary notificatio</w:t>
      </w:r>
      <w:r>
        <w:t>n and adding the future effective date to the precluded provider file. This Operational Flow would allow files integrated into plan sponsors’ claim processing systems to always leverage future effective dates, eliminating the need to define a reasonable ti</w:t>
      </w:r>
      <w:r>
        <w:t>me period for file integration. Leveraging the aforementioned operational flow also mitigates risks of a provider being removed from the precluded provider file mid-month, as the appeals process would have been completed. Retroactive placement on the precl</w:t>
      </w:r>
      <w:r>
        <w:t>uded provider list could potentially causing plan recoupments from the pharmacies for which pharmacies have no recourse.</w:t>
      </w:r>
    </w:p>
    <w:p w:rsidR="00D52CD2" w:rsidRDefault="00D52CD2">
      <w:pPr>
        <w:pStyle w:val="BodyText"/>
        <w:spacing w:before="9"/>
        <w:rPr>
          <w:sz w:val="23"/>
        </w:rPr>
      </w:pPr>
    </w:p>
    <w:p w:rsidR="00D52CD2" w:rsidRDefault="00464A41">
      <w:pPr>
        <w:pStyle w:val="BodyText"/>
        <w:spacing w:line="256" w:lineRule="auto"/>
        <w:ind w:left="100" w:right="208"/>
      </w:pPr>
      <w:r>
        <w:t>In order to ensure a smooth implementation, PDX echoes NCPDP’s request for CMS’ support in defining the following technical details:</w:t>
      </w:r>
    </w:p>
    <w:p w:rsidR="00D52CD2" w:rsidRDefault="00464A41">
      <w:pPr>
        <w:pStyle w:val="ListParagraph"/>
        <w:numPr>
          <w:ilvl w:val="0"/>
          <w:numId w:val="3"/>
        </w:numPr>
        <w:tabs>
          <w:tab w:val="left" w:pos="821"/>
        </w:tabs>
        <w:spacing w:before="2"/>
        <w:ind w:right="476"/>
      </w:pPr>
      <w:r>
        <w:t>W</w:t>
      </w:r>
      <w:r>
        <w:t>e recommend CMS work closely with NCPDP and other industry stakeholders to define the minimum necessary attributes of the file</w:t>
      </w:r>
      <w:r>
        <w:rPr>
          <w:spacing w:val="-19"/>
        </w:rPr>
        <w:t xml:space="preserve"> </w:t>
      </w:r>
      <w:r>
        <w:t>layout.</w:t>
      </w:r>
    </w:p>
    <w:p w:rsidR="00D52CD2" w:rsidRDefault="00464A41">
      <w:pPr>
        <w:pStyle w:val="ListParagraph"/>
        <w:numPr>
          <w:ilvl w:val="0"/>
          <w:numId w:val="3"/>
        </w:numPr>
        <w:tabs>
          <w:tab w:val="left" w:pos="821"/>
        </w:tabs>
      </w:pPr>
      <w:r>
        <w:t>Location of published</w:t>
      </w:r>
      <w:r>
        <w:rPr>
          <w:spacing w:val="-9"/>
        </w:rPr>
        <w:t xml:space="preserve"> </w:t>
      </w:r>
      <w:r>
        <w:t>file.</w:t>
      </w:r>
    </w:p>
    <w:p w:rsidR="00D52CD2" w:rsidRDefault="00464A41">
      <w:pPr>
        <w:pStyle w:val="ListParagraph"/>
        <w:numPr>
          <w:ilvl w:val="0"/>
          <w:numId w:val="3"/>
        </w:numPr>
        <w:tabs>
          <w:tab w:val="left" w:pos="821"/>
        </w:tabs>
      </w:pPr>
      <w:r>
        <w:t>File access for all stakeholders, including plan sponsors, PBMs and pharmacy</w:t>
      </w:r>
      <w:r>
        <w:rPr>
          <w:spacing w:val="-26"/>
        </w:rPr>
        <w:t xml:space="preserve"> </w:t>
      </w:r>
      <w:r>
        <w:t>providers.</w:t>
      </w:r>
    </w:p>
    <w:p w:rsidR="00D52CD2" w:rsidRDefault="00464A41">
      <w:pPr>
        <w:pStyle w:val="ListParagraph"/>
        <w:numPr>
          <w:ilvl w:val="0"/>
          <w:numId w:val="3"/>
        </w:numPr>
        <w:tabs>
          <w:tab w:val="left" w:pos="821"/>
        </w:tabs>
      </w:pPr>
      <w:r>
        <w:t>Availability of sufficient testing</w:t>
      </w:r>
      <w:r>
        <w:rPr>
          <w:spacing w:val="-12"/>
        </w:rPr>
        <w:t xml:space="preserve"> </w:t>
      </w:r>
      <w:r>
        <w:t>period.</w:t>
      </w:r>
    </w:p>
    <w:p w:rsidR="00D52CD2" w:rsidRDefault="00464A41">
      <w:pPr>
        <w:pStyle w:val="ListParagraph"/>
        <w:numPr>
          <w:ilvl w:val="0"/>
          <w:numId w:val="3"/>
        </w:numPr>
        <w:tabs>
          <w:tab w:val="left" w:pos="821"/>
        </w:tabs>
        <w:ind w:right="715"/>
      </w:pPr>
      <w:r>
        <w:t>Clarification as to whether there will be any overlap between precluded providers and</w:t>
      </w:r>
      <w:r>
        <w:rPr>
          <w:spacing w:val="-25"/>
        </w:rPr>
        <w:t xml:space="preserve"> </w:t>
      </w:r>
      <w:r>
        <w:t>the following CMS provider exclusion</w:t>
      </w:r>
      <w:r>
        <w:rPr>
          <w:spacing w:val="-20"/>
        </w:rPr>
        <w:t xml:space="preserve"> </w:t>
      </w:r>
      <w:r>
        <w:t>files:</w:t>
      </w:r>
    </w:p>
    <w:p w:rsidR="00D52CD2" w:rsidRDefault="00464A41">
      <w:pPr>
        <w:pStyle w:val="ListParagraph"/>
        <w:numPr>
          <w:ilvl w:val="1"/>
          <w:numId w:val="3"/>
        </w:numPr>
        <w:tabs>
          <w:tab w:val="left" w:pos="1540"/>
          <w:tab w:val="left" w:pos="1541"/>
        </w:tabs>
      </w:pPr>
      <w:r>
        <w:t>LEIE (List of Excluded Individuals and</w:t>
      </w:r>
      <w:r>
        <w:rPr>
          <w:spacing w:val="-9"/>
        </w:rPr>
        <w:t xml:space="preserve"> </w:t>
      </w:r>
      <w:r>
        <w:t>Entities)</w:t>
      </w:r>
    </w:p>
    <w:p w:rsidR="00D52CD2" w:rsidRDefault="00464A41">
      <w:pPr>
        <w:pStyle w:val="ListParagraph"/>
        <w:numPr>
          <w:ilvl w:val="1"/>
          <w:numId w:val="3"/>
        </w:numPr>
        <w:tabs>
          <w:tab w:val="left" w:pos="1540"/>
          <w:tab w:val="left" w:pos="1541"/>
        </w:tabs>
        <w:spacing w:before="22"/>
      </w:pPr>
      <w:r>
        <w:t>MED (Medical Exclusion</w:t>
      </w:r>
      <w:r>
        <w:rPr>
          <w:spacing w:val="-10"/>
        </w:rPr>
        <w:t xml:space="preserve"> </w:t>
      </w:r>
      <w:r>
        <w:t>List)</w:t>
      </w:r>
    </w:p>
    <w:p w:rsidR="00D52CD2" w:rsidRDefault="00464A41">
      <w:pPr>
        <w:pStyle w:val="ListParagraph"/>
        <w:numPr>
          <w:ilvl w:val="1"/>
          <w:numId w:val="3"/>
        </w:numPr>
        <w:tabs>
          <w:tab w:val="left" w:pos="1540"/>
          <w:tab w:val="left" w:pos="1541"/>
        </w:tabs>
        <w:spacing w:before="21"/>
      </w:pPr>
      <w:r>
        <w:t>GSA/S</w:t>
      </w:r>
      <w:r>
        <w:t>AM (General Services Administration/System for Award</w:t>
      </w:r>
      <w:r>
        <w:rPr>
          <w:spacing w:val="-26"/>
        </w:rPr>
        <w:t xml:space="preserve"> </w:t>
      </w:r>
      <w:r>
        <w:t>Management)</w:t>
      </w:r>
    </w:p>
    <w:p w:rsidR="00D52CD2" w:rsidRDefault="00464A41">
      <w:pPr>
        <w:pStyle w:val="ListParagraph"/>
        <w:numPr>
          <w:ilvl w:val="0"/>
          <w:numId w:val="3"/>
        </w:numPr>
        <w:tabs>
          <w:tab w:val="left" w:pos="821"/>
        </w:tabs>
        <w:spacing w:before="21"/>
      </w:pPr>
      <w:r>
        <w:t>CMS confirmation that the following hierarchical order of edits is</w:t>
      </w:r>
      <w:r>
        <w:rPr>
          <w:spacing w:val="-25"/>
        </w:rPr>
        <w:t xml:space="preserve"> </w:t>
      </w:r>
      <w:r>
        <w:t>appropriate:</w:t>
      </w:r>
    </w:p>
    <w:p w:rsidR="00D52CD2" w:rsidRDefault="00464A41">
      <w:pPr>
        <w:pStyle w:val="ListParagraph"/>
        <w:numPr>
          <w:ilvl w:val="1"/>
          <w:numId w:val="3"/>
        </w:numPr>
        <w:tabs>
          <w:tab w:val="left" w:pos="1540"/>
          <w:tab w:val="left" w:pos="1541"/>
        </w:tabs>
      </w:pPr>
      <w:r>
        <w:t>LEIE</w:t>
      </w:r>
    </w:p>
    <w:p w:rsidR="00D52CD2" w:rsidRDefault="00464A41">
      <w:pPr>
        <w:pStyle w:val="ListParagraph"/>
        <w:numPr>
          <w:ilvl w:val="1"/>
          <w:numId w:val="3"/>
        </w:numPr>
        <w:tabs>
          <w:tab w:val="left" w:pos="1540"/>
          <w:tab w:val="left" w:pos="1541"/>
        </w:tabs>
        <w:spacing w:before="19"/>
      </w:pPr>
      <w:r>
        <w:t>MED</w:t>
      </w:r>
    </w:p>
    <w:p w:rsidR="00D52CD2" w:rsidRDefault="00464A41">
      <w:pPr>
        <w:pStyle w:val="ListParagraph"/>
        <w:numPr>
          <w:ilvl w:val="1"/>
          <w:numId w:val="3"/>
        </w:numPr>
        <w:tabs>
          <w:tab w:val="left" w:pos="1540"/>
          <w:tab w:val="left" w:pos="1541"/>
        </w:tabs>
        <w:spacing w:before="21"/>
      </w:pPr>
      <w:r>
        <w:t>GSA/SAM</w:t>
      </w:r>
    </w:p>
    <w:p w:rsidR="00D52CD2" w:rsidRDefault="00464A41">
      <w:pPr>
        <w:pStyle w:val="ListParagraph"/>
        <w:numPr>
          <w:ilvl w:val="1"/>
          <w:numId w:val="3"/>
        </w:numPr>
        <w:tabs>
          <w:tab w:val="left" w:pos="1540"/>
          <w:tab w:val="left" w:pos="1541"/>
        </w:tabs>
        <w:spacing w:before="21"/>
      </w:pPr>
      <w:r>
        <w:t>Precluded</w:t>
      </w:r>
      <w:r>
        <w:rPr>
          <w:spacing w:val="-5"/>
        </w:rPr>
        <w:t xml:space="preserve"> </w:t>
      </w:r>
      <w:r>
        <w:t>Provider</w:t>
      </w:r>
    </w:p>
    <w:p w:rsidR="00D52CD2" w:rsidRDefault="00464A41">
      <w:pPr>
        <w:pStyle w:val="ListParagraph"/>
        <w:numPr>
          <w:ilvl w:val="0"/>
          <w:numId w:val="3"/>
        </w:numPr>
        <w:tabs>
          <w:tab w:val="left" w:pos="821"/>
        </w:tabs>
        <w:spacing w:before="21"/>
        <w:ind w:right="134"/>
      </w:pPr>
      <w:r>
        <w:t>CMS confirmation that updates will only be made to the file once a month an</w:t>
      </w:r>
      <w:r>
        <w:t>d all records will be post-dated, eliminating conflicts between plan sponsor and CMS information due to a retroactive effective or termination</w:t>
      </w:r>
      <w:r>
        <w:rPr>
          <w:spacing w:val="-15"/>
        </w:rPr>
        <w:t xml:space="preserve"> </w:t>
      </w:r>
      <w:r>
        <w:t>date.</w:t>
      </w:r>
    </w:p>
    <w:p w:rsidR="00D52CD2" w:rsidRDefault="00D52CD2">
      <w:pPr>
        <w:pStyle w:val="BodyText"/>
      </w:pPr>
    </w:p>
    <w:p w:rsidR="00D52CD2" w:rsidRDefault="00464A41">
      <w:pPr>
        <w:pStyle w:val="BodyText"/>
        <w:spacing w:before="1"/>
        <w:ind w:left="100"/>
      </w:pPr>
      <w:r>
        <w:rPr>
          <w:color w:val="2E5395"/>
        </w:rPr>
        <w:t>56445 – 56446: Modifications to Provisional Coverage and Time Period</w:t>
      </w:r>
    </w:p>
    <w:p w:rsidR="00D52CD2" w:rsidRDefault="00464A41">
      <w:pPr>
        <w:spacing w:before="22"/>
        <w:ind w:left="820" w:right="413"/>
        <w:rPr>
          <w:i/>
        </w:rPr>
      </w:pPr>
      <w:r>
        <w:rPr>
          <w:i/>
        </w:rPr>
        <w:t>…We are proposing a 90-day provisiona</w:t>
      </w:r>
      <w:r>
        <w:rPr>
          <w:i/>
        </w:rPr>
        <w:t>l coverage period in lieu of a 3-month drug supply/90- day time period established in existing § 423.120(c)(6), which was described on page 6 in the Technical Guidance on Implementation of the Part D Prescriber Enrollment Requirement (Technical Guidance) i</w:t>
      </w:r>
      <w:r>
        <w:rPr>
          <w:i/>
        </w:rPr>
        <w:t>ssued on December 29, 2015 …</w:t>
      </w:r>
    </w:p>
    <w:p w:rsidR="00D52CD2" w:rsidRDefault="00464A41">
      <w:pPr>
        <w:ind w:left="820" w:right="208"/>
        <w:rPr>
          <w:i/>
        </w:rPr>
      </w:pPr>
      <w:r>
        <w:rPr>
          <w:i/>
        </w:rPr>
        <w:t>We seek specific comment on the modifications we are proposing as to the provisional coverage and time period.</w:t>
      </w:r>
    </w:p>
    <w:p w:rsidR="00D52CD2" w:rsidRDefault="00D52CD2">
      <w:pPr>
        <w:sectPr w:rsidR="00D52CD2">
          <w:pgSz w:w="12240" w:h="15840"/>
          <w:pgMar w:top="1400" w:right="1320" w:bottom="1200" w:left="1340" w:header="0" w:footer="1012" w:gutter="0"/>
          <w:cols w:space="720"/>
        </w:sectPr>
      </w:pPr>
    </w:p>
    <w:p w:rsidR="00D52CD2" w:rsidRDefault="00D52CD2">
      <w:pPr>
        <w:pStyle w:val="BodyText"/>
        <w:spacing w:before="3"/>
        <w:rPr>
          <w:i/>
          <w:sz w:val="14"/>
        </w:rPr>
      </w:pPr>
    </w:p>
    <w:p w:rsidR="00D52CD2" w:rsidRDefault="00464A41">
      <w:pPr>
        <w:pStyle w:val="Heading1"/>
        <w:spacing w:before="56"/>
      </w:pPr>
      <w:r>
        <w:t>PDX Comment:</w:t>
      </w:r>
    </w:p>
    <w:p w:rsidR="00D52CD2" w:rsidRDefault="00464A41">
      <w:pPr>
        <w:pStyle w:val="BodyText"/>
        <w:spacing w:before="21" w:line="259" w:lineRule="auto"/>
        <w:ind w:left="100" w:right="201"/>
      </w:pPr>
      <w:r>
        <w:t xml:space="preserve">The proposed rule places the responsibility of managing provisional coverage on the industry, and specifically timing considerations that could result in the pharmacy becoming the messenger to the patient that the patient’s prescriber is no longer a valid </w:t>
      </w:r>
      <w:r>
        <w:t>prescriber. Point of Sale is not the appropriate time for a patient to discover that their prescriber is no longer value. That communication should come from either CMS or the plan sponsor long before an edit is applied at point of sale to reject a claim t</w:t>
      </w:r>
      <w:r>
        <w:t>o provide beneficiary access and adherence to needed medications. PDX believes that CMS can simplify this process by postdating the effective date of the precluded provider. Industry management of the provisional period carries the following risks and conc</w:t>
      </w:r>
      <w:r>
        <w:t>erns:</w:t>
      </w:r>
    </w:p>
    <w:p w:rsidR="00D52CD2" w:rsidRDefault="00464A41">
      <w:pPr>
        <w:pStyle w:val="ListParagraph"/>
        <w:numPr>
          <w:ilvl w:val="0"/>
          <w:numId w:val="2"/>
        </w:numPr>
        <w:tabs>
          <w:tab w:val="left" w:pos="821"/>
        </w:tabs>
        <w:ind w:right="220"/>
      </w:pPr>
      <w:r>
        <w:t>Industry confusion as to whether remaining day’s supply would apply to the 90 day provisional coverage period, where prescriptions could require a shortened day’s supply, or the beneficiary could obtain up to 180 day’s supply of a medication. For</w:t>
      </w:r>
      <w:r>
        <w:rPr>
          <w:spacing w:val="-11"/>
        </w:rPr>
        <w:t xml:space="preserve"> </w:t>
      </w:r>
      <w:r>
        <w:t>Example:</w:t>
      </w:r>
    </w:p>
    <w:p w:rsidR="00D52CD2" w:rsidRDefault="00464A41">
      <w:pPr>
        <w:pStyle w:val="ListParagraph"/>
        <w:numPr>
          <w:ilvl w:val="1"/>
          <w:numId w:val="2"/>
        </w:numPr>
        <w:tabs>
          <w:tab w:val="left" w:pos="1540"/>
          <w:tab w:val="left" w:pos="1541"/>
        </w:tabs>
        <w:spacing w:before="1"/>
      </w:pPr>
      <w:r>
        <w:t>01/01/2020: Preclusion effective</w:t>
      </w:r>
      <w:r>
        <w:rPr>
          <w:spacing w:val="-18"/>
        </w:rPr>
        <w:t xml:space="preserve"> </w:t>
      </w:r>
      <w:r>
        <w:t>date</w:t>
      </w:r>
    </w:p>
    <w:p w:rsidR="00D52CD2" w:rsidRDefault="00464A41">
      <w:pPr>
        <w:pStyle w:val="ListParagraph"/>
        <w:numPr>
          <w:ilvl w:val="1"/>
          <w:numId w:val="2"/>
        </w:numPr>
        <w:tabs>
          <w:tab w:val="left" w:pos="1540"/>
          <w:tab w:val="left" w:pos="1541"/>
        </w:tabs>
        <w:spacing w:before="19"/>
      </w:pPr>
      <w:r>
        <w:t>01/02/2020: Beneficiary obtains a 90 day supply of</w:t>
      </w:r>
      <w:r>
        <w:rPr>
          <w:spacing w:val="-22"/>
        </w:rPr>
        <w:t xml:space="preserve"> </w:t>
      </w:r>
      <w:r>
        <w:t>medication</w:t>
      </w:r>
    </w:p>
    <w:p w:rsidR="00D52CD2" w:rsidRDefault="00464A41">
      <w:pPr>
        <w:pStyle w:val="ListParagraph"/>
        <w:numPr>
          <w:ilvl w:val="1"/>
          <w:numId w:val="2"/>
        </w:numPr>
        <w:tabs>
          <w:tab w:val="left" w:pos="1540"/>
          <w:tab w:val="left" w:pos="1541"/>
        </w:tabs>
        <w:spacing w:before="21" w:line="259" w:lineRule="auto"/>
        <w:ind w:right="162"/>
      </w:pPr>
      <w:r>
        <w:t>01/02/2020 – 04/01/2020: Provisional Coverage period set at the beneficiary/prescriber level</w:t>
      </w:r>
    </w:p>
    <w:p w:rsidR="00D52CD2" w:rsidRDefault="00464A41">
      <w:pPr>
        <w:pStyle w:val="ListParagraph"/>
        <w:numPr>
          <w:ilvl w:val="1"/>
          <w:numId w:val="2"/>
        </w:numPr>
        <w:tabs>
          <w:tab w:val="left" w:pos="1540"/>
          <w:tab w:val="left" w:pos="1541"/>
        </w:tabs>
        <w:spacing w:line="256" w:lineRule="auto"/>
        <w:ind w:right="692"/>
      </w:pPr>
      <w:r>
        <w:t>03/20/2020: Beneficiary requests prescription refill f</w:t>
      </w:r>
      <w:r>
        <w:t>or 90 day supply. It is unclear which of the following rules would</w:t>
      </w:r>
      <w:r>
        <w:rPr>
          <w:spacing w:val="-8"/>
        </w:rPr>
        <w:t xml:space="preserve"> </w:t>
      </w:r>
      <w:r>
        <w:t>apply:</w:t>
      </w:r>
    </w:p>
    <w:p w:rsidR="00D52CD2" w:rsidRDefault="00464A41">
      <w:pPr>
        <w:pStyle w:val="ListParagraph"/>
        <w:numPr>
          <w:ilvl w:val="2"/>
          <w:numId w:val="2"/>
        </w:numPr>
        <w:tabs>
          <w:tab w:val="left" w:pos="1900"/>
          <w:tab w:val="left" w:pos="1901"/>
        </w:tabs>
        <w:spacing w:before="3" w:line="259" w:lineRule="auto"/>
        <w:ind w:right="705"/>
      </w:pPr>
      <w:r>
        <w:t>90 day supply is covered, as the 03/20/2020 claim date of service is within the provisional coverage period;</w:t>
      </w:r>
      <w:r>
        <w:rPr>
          <w:spacing w:val="-9"/>
        </w:rPr>
        <w:t xml:space="preserve"> </w:t>
      </w:r>
      <w:r>
        <w:rPr>
          <w:b/>
        </w:rPr>
        <w:t>Or</w:t>
      </w:r>
      <w:r>
        <w:t>,</w:t>
      </w:r>
    </w:p>
    <w:p w:rsidR="00D52CD2" w:rsidRDefault="00464A41">
      <w:pPr>
        <w:pStyle w:val="ListParagraph"/>
        <w:numPr>
          <w:ilvl w:val="2"/>
          <w:numId w:val="2"/>
        </w:numPr>
        <w:tabs>
          <w:tab w:val="left" w:pos="1900"/>
          <w:tab w:val="left" w:pos="1901"/>
        </w:tabs>
        <w:spacing w:line="259" w:lineRule="auto"/>
        <w:ind w:right="399"/>
      </w:pPr>
      <w:r>
        <w:t>13 day’s supply is covered, as there are only 13 days remaining (03/2</w:t>
      </w:r>
      <w:r>
        <w:t>0 – 04/01) in the provisional coverage</w:t>
      </w:r>
      <w:r>
        <w:rPr>
          <w:spacing w:val="-7"/>
        </w:rPr>
        <w:t xml:space="preserve"> </w:t>
      </w:r>
      <w:r>
        <w:t>period</w:t>
      </w:r>
    </w:p>
    <w:p w:rsidR="00D52CD2" w:rsidRDefault="00464A41">
      <w:pPr>
        <w:pStyle w:val="ListParagraph"/>
        <w:numPr>
          <w:ilvl w:val="0"/>
          <w:numId w:val="2"/>
        </w:numPr>
        <w:tabs>
          <w:tab w:val="left" w:pos="821"/>
        </w:tabs>
        <w:ind w:right="215"/>
      </w:pPr>
      <w:r>
        <w:t>Unique provisional coverage rules based on the drug class will create beneficiary and prescriber confusion, as well as compromise existing claim adjudication hierarchical</w:t>
      </w:r>
      <w:r>
        <w:rPr>
          <w:spacing w:val="-25"/>
        </w:rPr>
        <w:t xml:space="preserve"> </w:t>
      </w:r>
      <w:r>
        <w:t>rules.</w:t>
      </w:r>
    </w:p>
    <w:p w:rsidR="00D52CD2" w:rsidRDefault="00464A41">
      <w:pPr>
        <w:pStyle w:val="ListParagraph"/>
        <w:numPr>
          <w:ilvl w:val="1"/>
          <w:numId w:val="2"/>
        </w:numPr>
        <w:tabs>
          <w:tab w:val="left" w:pos="1540"/>
          <w:tab w:val="left" w:pos="1541"/>
        </w:tabs>
        <w:spacing w:before="3" w:line="259" w:lineRule="auto"/>
        <w:ind w:right="550"/>
      </w:pPr>
      <w:r>
        <w:t>Placing edits on opioids contradicts CMS’ proposal that the definition of a drug is no longer</w:t>
      </w:r>
      <w:r>
        <w:rPr>
          <w:spacing w:val="-1"/>
        </w:rPr>
        <w:t xml:space="preserve"> </w:t>
      </w:r>
      <w:r>
        <w:t>needed.</w:t>
      </w:r>
    </w:p>
    <w:p w:rsidR="00D52CD2" w:rsidRDefault="00464A41">
      <w:pPr>
        <w:pStyle w:val="ListParagraph"/>
        <w:numPr>
          <w:ilvl w:val="1"/>
          <w:numId w:val="2"/>
        </w:numPr>
        <w:tabs>
          <w:tab w:val="left" w:pos="1540"/>
          <w:tab w:val="left" w:pos="1541"/>
        </w:tabs>
      </w:pPr>
      <w:r>
        <w:t>The provisions as stated lack clarity on the use of a “preclusion reason” to be able</w:t>
      </w:r>
      <w:r>
        <w:rPr>
          <w:spacing w:val="-16"/>
        </w:rPr>
        <w:t xml:space="preserve"> </w:t>
      </w:r>
      <w:r>
        <w:t>to</w:t>
      </w:r>
    </w:p>
    <w:p w:rsidR="00D52CD2" w:rsidRDefault="00464A41">
      <w:pPr>
        <w:pStyle w:val="BodyText"/>
        <w:spacing w:before="19"/>
        <w:ind w:left="1540"/>
      </w:pPr>
      <w:r>
        <w:t>identify when a different provisional coverage period would apply.</w:t>
      </w:r>
    </w:p>
    <w:p w:rsidR="00D52CD2" w:rsidRDefault="00464A41">
      <w:pPr>
        <w:pStyle w:val="ListParagraph"/>
        <w:numPr>
          <w:ilvl w:val="0"/>
          <w:numId w:val="2"/>
        </w:numPr>
        <w:tabs>
          <w:tab w:val="left" w:pos="821"/>
        </w:tabs>
        <w:spacing w:before="22"/>
        <w:ind w:right="272"/>
      </w:pPr>
      <w:r>
        <w:t>It is unclear if the revised provisional coverage period applies across a beneficiary’s lifetime (changing plans, changing pharmacies) as was outlined in the prescriber enrollment provisional coverage technical</w:t>
      </w:r>
      <w:r>
        <w:rPr>
          <w:spacing w:val="-5"/>
        </w:rPr>
        <w:t xml:space="preserve"> </w:t>
      </w:r>
      <w:r>
        <w:t>guidance.</w:t>
      </w:r>
    </w:p>
    <w:p w:rsidR="00D52CD2" w:rsidRDefault="00464A41">
      <w:pPr>
        <w:pStyle w:val="ListParagraph"/>
        <w:numPr>
          <w:ilvl w:val="0"/>
          <w:numId w:val="2"/>
        </w:numPr>
        <w:tabs>
          <w:tab w:val="left" w:pos="821"/>
        </w:tabs>
        <w:ind w:right="970"/>
      </w:pPr>
      <w:r>
        <w:t>Claims that meet both transitional</w:t>
      </w:r>
      <w:r>
        <w:t xml:space="preserve"> fill and provisional coverage criteria will result in the beneficiary receiving two different</w:t>
      </w:r>
      <w:r>
        <w:rPr>
          <w:spacing w:val="-10"/>
        </w:rPr>
        <w:t xml:space="preserve"> </w:t>
      </w:r>
      <w:r>
        <w:t>notices.</w:t>
      </w:r>
    </w:p>
    <w:p w:rsidR="00D52CD2" w:rsidRDefault="00464A41">
      <w:pPr>
        <w:pStyle w:val="ListParagraph"/>
        <w:numPr>
          <w:ilvl w:val="0"/>
          <w:numId w:val="2"/>
        </w:numPr>
        <w:tabs>
          <w:tab w:val="left" w:pos="821"/>
        </w:tabs>
        <w:ind w:right="190"/>
      </w:pPr>
      <w:r>
        <w:t>It is unclear how plan sponsors would coordinate the provisional coverage period and adhere to the following as referenced on pg.</w:t>
      </w:r>
      <w:r>
        <w:rPr>
          <w:spacing w:val="-13"/>
        </w:rPr>
        <w:t xml:space="preserve"> </w:t>
      </w:r>
      <w:r>
        <w:t>56446:</w:t>
      </w:r>
    </w:p>
    <w:p w:rsidR="00D52CD2" w:rsidRDefault="00464A41">
      <w:pPr>
        <w:pStyle w:val="ListParagraph"/>
        <w:numPr>
          <w:ilvl w:val="0"/>
          <w:numId w:val="1"/>
        </w:numPr>
        <w:tabs>
          <w:tab w:val="left" w:pos="1541"/>
        </w:tabs>
        <w:spacing w:before="2"/>
        <w:ind w:right="436"/>
        <w:rPr>
          <w:i/>
        </w:rPr>
      </w:pPr>
      <w:r>
        <w:rPr>
          <w:i/>
        </w:rPr>
        <w:t>In paragraph (c</w:t>
      </w:r>
      <w:r>
        <w:rPr>
          <w:i/>
        </w:rPr>
        <w:t xml:space="preserve">)(6)(iii), we propose to state: ‘‘A Part D plan sponsor may not submit a prescription drug event (PDE) record to CMS unless it includes on the PDE record the active and valid individual NPI of the prescriber of the drug, and the prescriber is not included </w:t>
      </w:r>
      <w:r>
        <w:rPr>
          <w:i/>
        </w:rPr>
        <w:t>on the preclusion list, defined in § 423.100, for the date of service.’’ This is to help ensure</w:t>
      </w:r>
      <w:r>
        <w:rPr>
          <w:i/>
          <w:spacing w:val="-1"/>
        </w:rPr>
        <w:t xml:space="preserve"> </w:t>
      </w:r>
      <w:r>
        <w:rPr>
          <w:i/>
        </w:rPr>
        <w:t>that—</w:t>
      </w:r>
    </w:p>
    <w:p w:rsidR="00D52CD2" w:rsidRDefault="00464A41">
      <w:pPr>
        <w:pStyle w:val="ListParagraph"/>
        <w:numPr>
          <w:ilvl w:val="1"/>
          <w:numId w:val="1"/>
        </w:numPr>
        <w:tabs>
          <w:tab w:val="left" w:pos="1886"/>
        </w:tabs>
        <w:rPr>
          <w:i/>
        </w:rPr>
      </w:pPr>
      <w:r>
        <w:rPr>
          <w:i/>
        </w:rPr>
        <w:t>the prescriber can be properly identified,</w:t>
      </w:r>
      <w:r>
        <w:rPr>
          <w:i/>
          <w:spacing w:val="-11"/>
        </w:rPr>
        <w:t xml:space="preserve"> </w:t>
      </w:r>
      <w:r>
        <w:rPr>
          <w:i/>
        </w:rPr>
        <w:t>and</w:t>
      </w:r>
    </w:p>
    <w:p w:rsidR="00D52CD2" w:rsidRDefault="00464A41">
      <w:pPr>
        <w:pStyle w:val="ListParagraph"/>
        <w:numPr>
          <w:ilvl w:val="1"/>
          <w:numId w:val="1"/>
        </w:numPr>
        <w:tabs>
          <w:tab w:val="left" w:pos="1838"/>
        </w:tabs>
        <w:ind w:left="1837" w:hanging="297"/>
        <w:rPr>
          <w:i/>
        </w:rPr>
      </w:pPr>
      <w:r>
        <w:rPr>
          <w:i/>
        </w:rPr>
        <w:t>prescribers who are on the preclusion list are not included in</w:t>
      </w:r>
      <w:r>
        <w:rPr>
          <w:i/>
          <w:spacing w:val="-27"/>
        </w:rPr>
        <w:t xml:space="preserve"> </w:t>
      </w:r>
      <w:r>
        <w:rPr>
          <w:i/>
        </w:rPr>
        <w:t>PDEs</w:t>
      </w:r>
    </w:p>
    <w:p w:rsidR="00D52CD2" w:rsidRDefault="00D52CD2">
      <w:pPr>
        <w:pStyle w:val="BodyText"/>
        <w:spacing w:before="6"/>
        <w:rPr>
          <w:i/>
          <w:sz w:val="23"/>
        </w:rPr>
      </w:pPr>
    </w:p>
    <w:p w:rsidR="00D52CD2" w:rsidRDefault="00464A41">
      <w:pPr>
        <w:pStyle w:val="BodyText"/>
        <w:ind w:left="820" w:right="587"/>
      </w:pPr>
      <w:r>
        <w:t>As previously stated, the PDX endorses the NCPDP recommended Operational Flow, which incorporates a 90-day time period managed by CMS. This eliminates the need for a point of</w:t>
      </w:r>
    </w:p>
    <w:p w:rsidR="00D52CD2" w:rsidRDefault="00D52CD2">
      <w:pPr>
        <w:sectPr w:rsidR="00D52CD2">
          <w:pgSz w:w="12240" w:h="15840"/>
          <w:pgMar w:top="1500" w:right="1320" w:bottom="1200" w:left="1340" w:header="0" w:footer="1012" w:gutter="0"/>
          <w:cols w:space="720"/>
        </w:sectPr>
      </w:pPr>
    </w:p>
    <w:p w:rsidR="00D52CD2" w:rsidRDefault="00464A41">
      <w:pPr>
        <w:pStyle w:val="BodyText"/>
        <w:spacing w:before="39"/>
        <w:ind w:left="820" w:right="342"/>
      </w:pPr>
      <w:r>
        <w:lastRenderedPageBreak/>
        <w:t>service provisional coverage period managed by the industry and the associated risks and concerns. It would also minimize the possibility of a patient showing up at the pharmacy to claim their medications would be unable to obtain their needed medication d</w:t>
      </w:r>
      <w:r>
        <w:t>ue to a failure of the plan sponsor or CMS to effectively communicate the precluded provider status.</w:t>
      </w:r>
    </w:p>
    <w:p w:rsidR="00D52CD2" w:rsidRDefault="00D52CD2">
      <w:pPr>
        <w:pStyle w:val="BodyText"/>
      </w:pPr>
    </w:p>
    <w:p w:rsidR="00D52CD2" w:rsidRDefault="00D52CD2">
      <w:pPr>
        <w:pStyle w:val="BodyText"/>
        <w:spacing w:before="9"/>
        <w:rPr>
          <w:sz w:val="23"/>
        </w:rPr>
      </w:pPr>
    </w:p>
    <w:p w:rsidR="00D52CD2" w:rsidRDefault="00464A41">
      <w:pPr>
        <w:pStyle w:val="BodyText"/>
        <w:spacing w:before="1"/>
        <w:ind w:left="100"/>
      </w:pPr>
      <w:r>
        <w:rPr>
          <w:color w:val="2E5395"/>
        </w:rPr>
        <w:t>56446: Timing of Appeals Process and Beneficiary Appeal Rights</w:t>
      </w:r>
    </w:p>
    <w:p w:rsidR="00D52CD2" w:rsidRDefault="00464A41">
      <w:pPr>
        <w:spacing w:before="19"/>
        <w:ind w:left="820"/>
        <w:rPr>
          <w:i/>
        </w:rPr>
      </w:pPr>
      <w:r>
        <w:rPr>
          <w:i/>
        </w:rPr>
        <w:t>We propose to revise § 498.3(b) to add a new paragraph (20) stating that a CMS determinati</w:t>
      </w:r>
      <w:r>
        <w:rPr>
          <w:i/>
        </w:rPr>
        <w:t>on</w:t>
      </w:r>
    </w:p>
    <w:p w:rsidR="00D52CD2" w:rsidRDefault="00464A41">
      <w:pPr>
        <w:ind w:left="820"/>
        <w:rPr>
          <w:i/>
        </w:rPr>
      </w:pPr>
      <w:r>
        <w:rPr>
          <w:i/>
        </w:rPr>
        <w:t>to include a prescriber on the preclusion list constitutes an initial determination…</w:t>
      </w:r>
    </w:p>
    <w:p w:rsidR="00D52CD2" w:rsidRDefault="00464A41">
      <w:pPr>
        <w:ind w:left="820" w:right="273"/>
        <w:rPr>
          <w:i/>
        </w:rPr>
      </w:pPr>
      <w:r>
        <w:rPr>
          <w:i/>
        </w:rPr>
        <w:t>… we propose that if CMS or the prescriber under paragraph (n)(2) is dissatisfied with a hearing decision as described in paragraph (n)(2), CMS or the prescriber may re</w:t>
      </w:r>
      <w:r>
        <w:rPr>
          <w:i/>
        </w:rPr>
        <w:t>quest review by the Departmental Appeals Board (DAB) and the prescriber may seek judicial review of the DAB’s decision…</w:t>
      </w:r>
    </w:p>
    <w:p w:rsidR="00D52CD2" w:rsidRDefault="00D52CD2">
      <w:pPr>
        <w:pStyle w:val="BodyText"/>
        <w:rPr>
          <w:i/>
        </w:rPr>
      </w:pPr>
    </w:p>
    <w:p w:rsidR="00D52CD2" w:rsidRDefault="00464A41">
      <w:pPr>
        <w:pStyle w:val="Heading1"/>
      </w:pPr>
      <w:r>
        <w:t>PDX Comment:</w:t>
      </w:r>
    </w:p>
    <w:p w:rsidR="00D52CD2" w:rsidRDefault="00464A41">
      <w:pPr>
        <w:pStyle w:val="BodyText"/>
        <w:spacing w:before="19"/>
        <w:ind w:left="100" w:right="130"/>
      </w:pPr>
      <w:r>
        <w:t>As noted previously in the NCPDP recommended Operational Flow, the appeals process would occur prior to the prescriber bei</w:t>
      </w:r>
      <w:r>
        <w:t>ng added to the preclusion list. This would eliminate point of service confusion if changes to the prescriber’s preclusion status occur, as a result of a latent appeal process.</w:t>
      </w:r>
    </w:p>
    <w:p w:rsidR="00D52CD2" w:rsidRDefault="00D52CD2">
      <w:pPr>
        <w:pStyle w:val="BodyText"/>
      </w:pPr>
    </w:p>
    <w:p w:rsidR="00D52CD2" w:rsidRDefault="00464A41">
      <w:pPr>
        <w:pStyle w:val="BodyText"/>
        <w:ind w:left="100" w:right="172"/>
      </w:pPr>
      <w:r>
        <w:t xml:space="preserve">Additionally, we request CMS to confirm that similar to the excluded provider </w:t>
      </w:r>
      <w:r>
        <w:t>guidance, plan sponsors will not return reject code 569 – “Provide Notice: Medicare Prescription Drug Coverage and Your Rights’ on claims that reject as a result of a precluded provider, thereby eliminating the need for the pharmacy to provide the notice t</w:t>
      </w:r>
      <w:r>
        <w:t>o the beneficiary.</w:t>
      </w:r>
    </w:p>
    <w:p w:rsidR="00D52CD2" w:rsidRDefault="00D52CD2">
      <w:pPr>
        <w:pStyle w:val="BodyText"/>
        <w:rPr>
          <w:sz w:val="20"/>
        </w:rPr>
      </w:pPr>
    </w:p>
    <w:p w:rsidR="00D52CD2" w:rsidRDefault="00D52CD2">
      <w:pPr>
        <w:pStyle w:val="BodyText"/>
        <w:spacing w:before="12"/>
        <w:rPr>
          <w:sz w:val="20"/>
        </w:rPr>
      </w:pPr>
    </w:p>
    <w:p w:rsidR="00D52CD2" w:rsidRDefault="00D52CD2">
      <w:pPr>
        <w:rPr>
          <w:sz w:val="20"/>
        </w:rPr>
        <w:sectPr w:rsidR="00D52CD2">
          <w:pgSz w:w="12240" w:h="15840"/>
          <w:pgMar w:top="1400" w:right="1320" w:bottom="1200" w:left="1340" w:header="0" w:footer="1012" w:gutter="0"/>
          <w:cols w:space="720"/>
        </w:sectPr>
      </w:pPr>
    </w:p>
    <w:p w:rsidR="00D52CD2" w:rsidRDefault="00464A41">
      <w:pPr>
        <w:pStyle w:val="BodyText"/>
        <w:spacing w:before="56"/>
        <w:ind w:left="100"/>
      </w:pPr>
      <w:r>
        <w:rPr>
          <w:color w:val="2E5395"/>
        </w:rPr>
        <w:t>56449</w:t>
      </w:r>
    </w:p>
    <w:p w:rsidR="00D52CD2" w:rsidRDefault="00464A41">
      <w:pPr>
        <w:pStyle w:val="BodyText"/>
        <w:spacing w:before="5"/>
        <w:rPr>
          <w:sz w:val="28"/>
        </w:rPr>
      </w:pPr>
      <w:r>
        <w:br w:type="column"/>
      </w:r>
    </w:p>
    <w:p w:rsidR="00D52CD2" w:rsidRDefault="00464A41">
      <w:pPr>
        <w:ind w:left="100" w:right="135"/>
        <w:rPr>
          <w:i/>
        </w:rPr>
      </w:pPr>
      <w:r>
        <w:rPr>
          <w:i/>
        </w:rPr>
        <w:t xml:space="preserve">We propose to revise this requirement to state than an MA organization shall not make payment </w:t>
      </w:r>
      <w:r>
        <w:rPr>
          <w:i/>
        </w:rPr>
        <w:t>for an item or service furnished by an individual or entity that is on the preclusion list (as defined in § 422.2). We also propose to remove the language beginning with ‘‘This requirement applies to all of the following providers and suppliers’’ along wit</w:t>
      </w:r>
      <w:r>
        <w:rPr>
          <w:i/>
        </w:rPr>
        <w:t>h the list of applicable providers, suppliers, and FDRs…</w:t>
      </w:r>
    </w:p>
    <w:p w:rsidR="00D52CD2" w:rsidRDefault="00D52CD2">
      <w:pPr>
        <w:sectPr w:rsidR="00D52CD2">
          <w:type w:val="continuous"/>
          <w:pgSz w:w="12240" w:h="15840"/>
          <w:pgMar w:top="720" w:right="1320" w:bottom="280" w:left="1340" w:header="720" w:footer="720" w:gutter="0"/>
          <w:cols w:num="2" w:space="720" w:equalWidth="0">
            <w:col w:w="659" w:space="61"/>
            <w:col w:w="8860"/>
          </w:cols>
        </w:sectPr>
      </w:pPr>
    </w:p>
    <w:p w:rsidR="00D52CD2" w:rsidRDefault="00D52CD2">
      <w:pPr>
        <w:pStyle w:val="BodyText"/>
        <w:spacing w:before="12"/>
        <w:rPr>
          <w:i/>
          <w:sz w:val="18"/>
        </w:rPr>
      </w:pPr>
    </w:p>
    <w:p w:rsidR="00D52CD2" w:rsidRDefault="00464A41">
      <w:pPr>
        <w:pStyle w:val="Heading1"/>
        <w:spacing w:before="56"/>
      </w:pPr>
      <w:r>
        <w:t>PDX Comment:</w:t>
      </w:r>
    </w:p>
    <w:p w:rsidR="00D52CD2" w:rsidRDefault="00464A41">
      <w:pPr>
        <w:pStyle w:val="BodyText"/>
        <w:spacing w:before="21" w:line="259" w:lineRule="auto"/>
        <w:ind w:left="100" w:right="101"/>
      </w:pPr>
      <w:r>
        <w:t>PDX requests CMS clarify how “entities” would be identified on the Precluded Provider file and whether the individual providers providing services under that enti</w:t>
      </w:r>
      <w:r>
        <w:t>ty would also be precluded. For example, if the individual providers under the entity are also precluded, the affiliated Type 1 NPIs will also be listed on precluded provider file.</w:t>
      </w:r>
    </w:p>
    <w:p w:rsidR="00D52CD2" w:rsidRDefault="00D52CD2">
      <w:pPr>
        <w:pStyle w:val="BodyText"/>
        <w:spacing w:before="9"/>
        <w:rPr>
          <w:sz w:val="23"/>
        </w:rPr>
      </w:pPr>
    </w:p>
    <w:p w:rsidR="00D52CD2" w:rsidRDefault="00464A41">
      <w:pPr>
        <w:pStyle w:val="Heading2"/>
      </w:pPr>
      <w:r>
        <w:t>Medication Therapy Management (MTM)</w:t>
      </w:r>
    </w:p>
    <w:p w:rsidR="00D52CD2" w:rsidRDefault="00D52CD2">
      <w:pPr>
        <w:pStyle w:val="BodyText"/>
        <w:spacing w:before="10"/>
        <w:rPr>
          <w:b/>
          <w:i/>
          <w:sz w:val="23"/>
        </w:rPr>
      </w:pPr>
    </w:p>
    <w:p w:rsidR="00D52CD2" w:rsidRDefault="00464A41">
      <w:pPr>
        <w:pStyle w:val="BodyText"/>
        <w:ind w:left="100"/>
      </w:pPr>
      <w:r>
        <w:rPr>
          <w:color w:val="2E5395"/>
        </w:rPr>
        <w:t>56458: (2) Medication Therapy Managem</w:t>
      </w:r>
      <w:r>
        <w:rPr>
          <w:color w:val="2E5395"/>
        </w:rPr>
        <w:t>ent (MTM) (§§ 422.2430 and 423.2430)</w:t>
      </w:r>
    </w:p>
    <w:p w:rsidR="00D52CD2" w:rsidRDefault="00464A41">
      <w:pPr>
        <w:spacing w:before="19"/>
        <w:ind w:left="820" w:right="199"/>
        <w:rPr>
          <w:i/>
        </w:rPr>
      </w:pPr>
      <w:r>
        <w:rPr>
          <w:i/>
        </w:rPr>
        <w:t xml:space="preserve">…We propose to modify our regulations at §§ 422.2430 and 423.2430 by adding new paragraph (a)(4)(i), which specifies that </w:t>
      </w:r>
      <w:r>
        <w:rPr>
          <w:i/>
          <w:u w:val="single"/>
        </w:rPr>
        <w:t xml:space="preserve">all MTM programs that comply with § 423.153(d) </w:t>
      </w:r>
      <w:r>
        <w:rPr>
          <w:i/>
        </w:rPr>
        <w:t xml:space="preserve">and are </w:t>
      </w:r>
      <w:r>
        <w:rPr>
          <w:i/>
          <w:u w:val="single"/>
        </w:rPr>
        <w:t xml:space="preserve">offered by Part D sponsors </w:t>
      </w:r>
      <w:r>
        <w:rPr>
          <w:i/>
        </w:rPr>
        <w:t>(including MA o</w:t>
      </w:r>
      <w:r>
        <w:rPr>
          <w:i/>
        </w:rPr>
        <w:t xml:space="preserve">rganizations that offer MA–PD plans (described in § 422.2420(a)(2)) </w:t>
      </w:r>
      <w:r>
        <w:rPr>
          <w:i/>
          <w:u w:val="single"/>
        </w:rPr>
        <w:t xml:space="preserve">are QIA </w:t>
      </w:r>
      <w:r>
        <w:rPr>
          <w:i/>
        </w:rPr>
        <w:t>…</w:t>
      </w:r>
    </w:p>
    <w:p w:rsidR="00D52CD2" w:rsidRDefault="00D52CD2">
      <w:pPr>
        <w:pStyle w:val="BodyText"/>
        <w:spacing w:before="2"/>
        <w:rPr>
          <w:i/>
          <w:sz w:val="19"/>
        </w:rPr>
      </w:pPr>
    </w:p>
    <w:p w:rsidR="00D52CD2" w:rsidRDefault="00464A41">
      <w:pPr>
        <w:pStyle w:val="Heading1"/>
        <w:spacing w:before="56"/>
      </w:pPr>
      <w:r>
        <w:t>PDX Comment:</w:t>
      </w:r>
    </w:p>
    <w:p w:rsidR="00D52CD2" w:rsidRDefault="00D52CD2">
      <w:pPr>
        <w:sectPr w:rsidR="00D52CD2">
          <w:type w:val="continuous"/>
          <w:pgSz w:w="12240" w:h="15840"/>
          <w:pgMar w:top="720" w:right="1320" w:bottom="280" w:left="1340" w:header="720" w:footer="720" w:gutter="0"/>
          <w:cols w:space="720"/>
        </w:sectPr>
      </w:pPr>
    </w:p>
    <w:p w:rsidR="00D52CD2" w:rsidRDefault="00464A41">
      <w:pPr>
        <w:pStyle w:val="BodyText"/>
        <w:spacing w:before="39"/>
        <w:ind w:left="100" w:right="221"/>
      </w:pPr>
      <w:bookmarkStart w:id="0" w:name="_GoBack"/>
      <w:r>
        <w:lastRenderedPageBreak/>
        <w:t xml:space="preserve">PDX encourages the adoption of the existing electronic standards for pharmacist professional services which enable support of drug management programs, </w:t>
      </w:r>
      <w:r>
        <w:t>including opioid management, and adherence programs to accomplish the goals outlined for MTM. However, PDX is also concerned that plan sponsors might impose requirements on pharmacies to perform such services. We also encourage that CMS consider pharmacist</w:t>
      </w:r>
      <w:r>
        <w:t xml:space="preserve"> and pharmacy payment for such services instead of plan sponsors penalizing pharmacies with retroactive DIR or price concessions for failing to provide such services like medication synchronization and other programs which increase adherence and patient ou</w:t>
      </w:r>
      <w:r>
        <w:t>tcomes. For example, a patient’s inability to utilize medication synchronization services due to an inability to pay all patient copays at the same day of the month, should not negatively impact a pharmacy’s bottom line when the pharmacy is willing to perf</w:t>
      </w:r>
      <w:r>
        <w:t>orm services which are declined by the patient.</w:t>
      </w:r>
    </w:p>
    <w:p w:rsidR="00D52CD2" w:rsidRDefault="00D52CD2">
      <w:pPr>
        <w:pStyle w:val="BodyText"/>
        <w:spacing w:before="9"/>
        <w:rPr>
          <w:sz w:val="23"/>
        </w:rPr>
      </w:pPr>
    </w:p>
    <w:p w:rsidR="00D52CD2" w:rsidRDefault="00464A41">
      <w:pPr>
        <w:pStyle w:val="Heading2"/>
      </w:pPr>
      <w:r>
        <w:t>Closing Comments</w:t>
      </w:r>
    </w:p>
    <w:p w:rsidR="00D52CD2" w:rsidRDefault="00D52CD2">
      <w:pPr>
        <w:pStyle w:val="BodyText"/>
        <w:spacing w:before="9"/>
        <w:rPr>
          <w:b/>
          <w:i/>
          <w:sz w:val="23"/>
        </w:rPr>
      </w:pPr>
    </w:p>
    <w:p w:rsidR="00D52CD2" w:rsidRDefault="00464A41">
      <w:pPr>
        <w:ind w:left="100"/>
        <w:rPr>
          <w:b/>
        </w:rPr>
      </w:pPr>
      <w:r>
        <w:rPr>
          <w:b/>
        </w:rPr>
        <w:t>Conclusion:</w:t>
      </w:r>
    </w:p>
    <w:p w:rsidR="00D52CD2" w:rsidRDefault="00464A41">
      <w:pPr>
        <w:pStyle w:val="BodyText"/>
        <w:spacing w:before="19"/>
        <w:ind w:left="100" w:right="113"/>
        <w:jc w:val="both"/>
      </w:pPr>
      <w:r>
        <w:t>PDX appreciates the opportunity to provide comments to CMS as they relate to standards, guidance and industry practices and implementation used to support the Medicare Part D prescription drug program. We thank CMS for their careful consideration of our co</w:t>
      </w:r>
      <w:r>
        <w:t>mments and respectfully request CMS be mindful of</w:t>
      </w:r>
      <w:r>
        <w:rPr>
          <w:spacing w:val="-13"/>
        </w:rPr>
        <w:t xml:space="preserve"> </w:t>
      </w:r>
      <w:r>
        <w:t>the</w:t>
      </w:r>
      <w:r>
        <w:rPr>
          <w:spacing w:val="-12"/>
        </w:rPr>
        <w:t xml:space="preserve"> </w:t>
      </w:r>
      <w:r>
        <w:t>potential</w:t>
      </w:r>
      <w:r>
        <w:rPr>
          <w:spacing w:val="-15"/>
        </w:rPr>
        <w:t xml:space="preserve"> </w:t>
      </w:r>
      <w:r>
        <w:t>impact</w:t>
      </w:r>
      <w:r>
        <w:rPr>
          <w:spacing w:val="-15"/>
        </w:rPr>
        <w:t xml:space="preserve"> </w:t>
      </w:r>
      <w:r>
        <w:t>to</w:t>
      </w:r>
      <w:r>
        <w:rPr>
          <w:spacing w:val="-13"/>
        </w:rPr>
        <w:t xml:space="preserve"> </w:t>
      </w:r>
      <w:r>
        <w:t>the</w:t>
      </w:r>
      <w:r>
        <w:rPr>
          <w:spacing w:val="-12"/>
        </w:rPr>
        <w:t xml:space="preserve"> </w:t>
      </w:r>
      <w:r>
        <w:t>industry.</w:t>
      </w:r>
      <w:r>
        <w:rPr>
          <w:spacing w:val="7"/>
        </w:rPr>
        <w:t xml:space="preserve"> </w:t>
      </w:r>
      <w:r>
        <w:t>Many</w:t>
      </w:r>
      <w:r>
        <w:rPr>
          <w:spacing w:val="-14"/>
        </w:rPr>
        <w:t xml:space="preserve"> </w:t>
      </w:r>
      <w:r>
        <w:t>factors</w:t>
      </w:r>
      <w:r>
        <w:rPr>
          <w:spacing w:val="-18"/>
        </w:rPr>
        <w:t xml:space="preserve"> </w:t>
      </w:r>
      <w:r>
        <w:t>and</w:t>
      </w:r>
      <w:r>
        <w:rPr>
          <w:spacing w:val="-14"/>
        </w:rPr>
        <w:t xml:space="preserve"> </w:t>
      </w:r>
      <w:r>
        <w:t>coordination</w:t>
      </w:r>
      <w:r>
        <w:rPr>
          <w:spacing w:val="-16"/>
        </w:rPr>
        <w:t xml:space="preserve"> </w:t>
      </w:r>
      <w:r>
        <w:t>of</w:t>
      </w:r>
      <w:r>
        <w:rPr>
          <w:spacing w:val="-15"/>
        </w:rPr>
        <w:t xml:space="preserve"> </w:t>
      </w:r>
      <w:r>
        <w:t>efforts</w:t>
      </w:r>
      <w:r>
        <w:rPr>
          <w:spacing w:val="-18"/>
        </w:rPr>
        <w:t xml:space="preserve"> </w:t>
      </w:r>
      <w:r>
        <w:t>are</w:t>
      </w:r>
      <w:r>
        <w:rPr>
          <w:spacing w:val="-13"/>
        </w:rPr>
        <w:t xml:space="preserve"> </w:t>
      </w:r>
      <w:r>
        <w:t>involved</w:t>
      </w:r>
      <w:r>
        <w:rPr>
          <w:spacing w:val="-13"/>
        </w:rPr>
        <w:t xml:space="preserve"> </w:t>
      </w:r>
      <w:r>
        <w:t>in</w:t>
      </w:r>
      <w:r>
        <w:rPr>
          <w:spacing w:val="-16"/>
        </w:rPr>
        <w:t xml:space="preserve"> </w:t>
      </w:r>
      <w:r>
        <w:t xml:space="preserve">successful implementation of programs and regulation including the HIPAA rule making process, standard developments, software development life cycle, and deployment processes. These timelines need to be taken into consideration during rulemaking to ensure </w:t>
      </w:r>
      <w:r>
        <w:t>that sufficient time it allowed for</w:t>
      </w:r>
      <w:r>
        <w:rPr>
          <w:spacing w:val="-27"/>
        </w:rPr>
        <w:t xml:space="preserve"> </w:t>
      </w:r>
      <w:r>
        <w:t>success.</w:t>
      </w:r>
      <w:bookmarkEnd w:id="0"/>
    </w:p>
    <w:sectPr w:rsidR="00D52CD2">
      <w:pgSz w:w="12240" w:h="15840"/>
      <w:pgMar w:top="1400" w:right="1320" w:bottom="1200" w:left="1340" w:header="0" w:footer="101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64A41">
      <w:r>
        <w:separator/>
      </w:r>
    </w:p>
  </w:endnote>
  <w:endnote w:type="continuationSeparator" w:id="0">
    <w:p w:rsidR="00000000" w:rsidRDefault="00464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CD2" w:rsidRDefault="00464A41">
    <w:pPr>
      <w:pStyle w:val="BodyText"/>
      <w:spacing w:line="14" w:lineRule="auto"/>
      <w:rPr>
        <w:sz w:val="16"/>
      </w:rPr>
    </w:pPr>
    <w:r>
      <w:pict>
        <v:shapetype id="_x0000_t202" coordsize="21600,21600" o:spt="202" path="m,l,21600r21600,l21600,xe">
          <v:stroke joinstyle="miter"/>
          <v:path gradientshapeok="t" o:connecttype="rect"/>
        </v:shapetype>
        <v:shape id="_x0000_s2054" type="#_x0000_t202" style="position:absolute;margin-left:71pt;margin-top:730.4pt;width:57.1pt;height:13.05pt;z-index:-32080;mso-position-horizontal-relative:page;mso-position-vertical-relative:page" filled="f" stroked="f">
          <v:textbox inset="0,0,0,0">
            <w:txbxContent>
              <w:p w:rsidR="00D52CD2" w:rsidRDefault="00464A41">
                <w:pPr>
                  <w:spacing w:line="245" w:lineRule="exact"/>
                  <w:ind w:left="20"/>
                  <w:rPr>
                    <w:b/>
                  </w:rPr>
                </w:pPr>
                <w:r>
                  <w:t xml:space="preserve">Page </w:t>
                </w:r>
                <w:r>
                  <w:fldChar w:fldCharType="begin"/>
                </w:r>
                <w:r>
                  <w:rPr>
                    <w:b/>
                  </w:rPr>
                  <w:instrText xml:space="preserve"> PAGE </w:instrText>
                </w:r>
                <w:r>
                  <w:fldChar w:fldCharType="separate"/>
                </w:r>
                <w:r>
                  <w:rPr>
                    <w:b/>
                    <w:noProof/>
                  </w:rPr>
                  <w:t>9</w:t>
                </w:r>
                <w:r>
                  <w:fldChar w:fldCharType="end"/>
                </w:r>
                <w:r>
                  <w:rPr>
                    <w:b/>
                  </w:rPr>
                  <w:t xml:space="preserve"> </w:t>
                </w:r>
                <w:r>
                  <w:t xml:space="preserve">of </w:t>
                </w:r>
                <w:r>
                  <w:rPr>
                    <w:b/>
                  </w:rPr>
                  <w:t>17</w:t>
                </w:r>
              </w:p>
            </w:txbxContent>
          </v:textbox>
          <w10:wrap anchorx="page" anchory="page"/>
        </v:shape>
      </w:pict>
    </w:r>
    <w:r>
      <w:pict>
        <v:shape id="_x0000_s2053" type="#_x0000_t202" style="position:absolute;margin-left:487.75pt;margin-top:730.4pt;width:53.45pt;height:13.05pt;z-index:-32056;mso-position-horizontal-relative:page;mso-position-vertical-relative:page" filled="f" stroked="f">
          <v:textbox inset="0,0,0,0">
            <w:txbxContent>
              <w:p w:rsidR="00D52CD2" w:rsidRDefault="00464A41">
                <w:pPr>
                  <w:pStyle w:val="BodyText"/>
                  <w:spacing w:line="245" w:lineRule="exact"/>
                  <w:ind w:left="20"/>
                </w:pPr>
                <w:r>
                  <w:t>01-16-2018</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CD2" w:rsidRDefault="00464A41">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71pt;margin-top:730.4pt;width:62.5pt;height:13.05pt;z-index:-32032;mso-position-horizontal-relative:page;mso-position-vertical-relative:page" filled="f" stroked="f">
          <v:textbox inset="0,0,0,0">
            <w:txbxContent>
              <w:p w:rsidR="00D52CD2" w:rsidRDefault="00464A41">
                <w:pPr>
                  <w:spacing w:line="245" w:lineRule="exact"/>
                  <w:ind w:left="20"/>
                  <w:rPr>
                    <w:b/>
                  </w:rPr>
                </w:pPr>
                <w:r>
                  <w:t xml:space="preserve">Page </w:t>
                </w:r>
                <w:r>
                  <w:rPr>
                    <w:b/>
                  </w:rPr>
                  <w:t xml:space="preserve">10 </w:t>
                </w:r>
                <w:r>
                  <w:t xml:space="preserve">of </w:t>
                </w:r>
                <w:r>
                  <w:rPr>
                    <w:b/>
                  </w:rPr>
                  <w:t>17</w:t>
                </w:r>
              </w:p>
            </w:txbxContent>
          </v:textbox>
          <w10:wrap anchorx="page" anchory="page"/>
        </v:shape>
      </w:pict>
    </w:r>
    <w:r>
      <w:pict>
        <v:shape id="_x0000_s2051" type="#_x0000_t202" style="position:absolute;margin-left:487.75pt;margin-top:730.4pt;width:53.45pt;height:13.05pt;z-index:-32008;mso-position-horizontal-relative:page;mso-position-vertical-relative:page" filled="f" stroked="f">
          <v:textbox inset="0,0,0,0">
            <w:txbxContent>
              <w:p w:rsidR="00D52CD2" w:rsidRDefault="00464A41">
                <w:pPr>
                  <w:pStyle w:val="BodyText"/>
                  <w:spacing w:line="245" w:lineRule="exact"/>
                  <w:ind w:left="20"/>
                </w:pPr>
                <w:r>
                  <w:t>01-16-2018</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CD2" w:rsidRDefault="00464A41">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71pt;margin-top:730.4pt;width:62.5pt;height:13.05pt;z-index:-31984;mso-position-horizontal-relative:page;mso-position-vertical-relative:page" filled="f" stroked="f">
          <v:textbox inset="0,0,0,0">
            <w:txbxContent>
              <w:p w:rsidR="00D52CD2" w:rsidRDefault="00464A41">
                <w:pPr>
                  <w:spacing w:line="245" w:lineRule="exact"/>
                  <w:ind w:left="20"/>
                  <w:rPr>
                    <w:b/>
                  </w:rPr>
                </w:pPr>
                <w:r>
                  <w:t xml:space="preserve">Page </w:t>
                </w:r>
                <w:r>
                  <w:fldChar w:fldCharType="begin"/>
                </w:r>
                <w:r>
                  <w:rPr>
                    <w:b/>
                  </w:rPr>
                  <w:instrText xml:space="preserve"> PAGE </w:instrText>
                </w:r>
                <w:r>
                  <w:fldChar w:fldCharType="separate"/>
                </w:r>
                <w:r>
                  <w:rPr>
                    <w:b/>
                    <w:noProof/>
                  </w:rPr>
                  <w:t>16</w:t>
                </w:r>
                <w:r>
                  <w:fldChar w:fldCharType="end"/>
                </w:r>
                <w:r>
                  <w:rPr>
                    <w:b/>
                  </w:rPr>
                  <w:t xml:space="preserve"> </w:t>
                </w:r>
                <w:r>
                  <w:t xml:space="preserve">of </w:t>
                </w:r>
                <w:r>
                  <w:rPr>
                    <w:b/>
                  </w:rPr>
                  <w:t>17</w:t>
                </w:r>
              </w:p>
            </w:txbxContent>
          </v:textbox>
          <w10:wrap anchorx="page" anchory="page"/>
        </v:shape>
      </w:pict>
    </w:r>
    <w:r>
      <w:pict>
        <v:shape id="_x0000_s2049" type="#_x0000_t202" style="position:absolute;margin-left:487.75pt;margin-top:730.4pt;width:53.45pt;height:13.05pt;z-index:-31960;mso-position-horizontal-relative:page;mso-position-vertical-relative:page" filled="f" stroked="f">
          <v:textbox inset="0,0,0,0">
            <w:txbxContent>
              <w:p w:rsidR="00D52CD2" w:rsidRDefault="00464A41">
                <w:pPr>
                  <w:pStyle w:val="BodyText"/>
                  <w:spacing w:line="245" w:lineRule="exact"/>
                  <w:ind w:left="20"/>
                </w:pPr>
                <w:r>
                  <w:t>01-16-2018</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64A41">
      <w:r>
        <w:separator/>
      </w:r>
    </w:p>
  </w:footnote>
  <w:footnote w:type="continuationSeparator" w:id="0">
    <w:p w:rsidR="00000000" w:rsidRDefault="00464A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B6CC3"/>
    <w:multiLevelType w:val="hybridMultilevel"/>
    <w:tmpl w:val="6922C158"/>
    <w:lvl w:ilvl="0" w:tplc="FF0C2416">
      <w:start w:val="1"/>
      <w:numFmt w:val="lowerLetter"/>
      <w:lvlText w:val="%1."/>
      <w:lvlJc w:val="left"/>
      <w:pPr>
        <w:ind w:left="1540" w:hanging="360"/>
        <w:jc w:val="left"/>
      </w:pPr>
      <w:rPr>
        <w:rFonts w:ascii="Calibri" w:eastAsia="Calibri" w:hAnsi="Calibri" w:cs="Calibri" w:hint="default"/>
        <w:i/>
        <w:spacing w:val="-1"/>
        <w:w w:val="100"/>
        <w:sz w:val="22"/>
        <w:szCs w:val="22"/>
      </w:rPr>
    </w:lvl>
    <w:lvl w:ilvl="1" w:tplc="C1CA0792">
      <w:start w:val="1"/>
      <w:numFmt w:val="decimal"/>
      <w:lvlText w:val="(%2)"/>
      <w:lvlJc w:val="left"/>
      <w:pPr>
        <w:ind w:left="1885" w:hanging="295"/>
        <w:jc w:val="left"/>
      </w:pPr>
      <w:rPr>
        <w:rFonts w:ascii="Calibri" w:eastAsia="Calibri" w:hAnsi="Calibri" w:cs="Calibri" w:hint="default"/>
        <w:i/>
        <w:spacing w:val="-1"/>
        <w:w w:val="100"/>
        <w:sz w:val="22"/>
        <w:szCs w:val="22"/>
      </w:rPr>
    </w:lvl>
    <w:lvl w:ilvl="2" w:tplc="E50A37B4">
      <w:numFmt w:val="bullet"/>
      <w:lvlText w:val="•"/>
      <w:lvlJc w:val="left"/>
      <w:pPr>
        <w:ind w:left="2735" w:hanging="295"/>
      </w:pPr>
      <w:rPr>
        <w:rFonts w:hint="default"/>
      </w:rPr>
    </w:lvl>
    <w:lvl w:ilvl="3" w:tplc="7E60B61E">
      <w:numFmt w:val="bullet"/>
      <w:lvlText w:val="•"/>
      <w:lvlJc w:val="left"/>
      <w:pPr>
        <w:ind w:left="3591" w:hanging="295"/>
      </w:pPr>
      <w:rPr>
        <w:rFonts w:hint="default"/>
      </w:rPr>
    </w:lvl>
    <w:lvl w:ilvl="4" w:tplc="2A848E18">
      <w:numFmt w:val="bullet"/>
      <w:lvlText w:val="•"/>
      <w:lvlJc w:val="left"/>
      <w:pPr>
        <w:ind w:left="4446" w:hanging="295"/>
      </w:pPr>
      <w:rPr>
        <w:rFonts w:hint="default"/>
      </w:rPr>
    </w:lvl>
    <w:lvl w:ilvl="5" w:tplc="D87C89A0">
      <w:numFmt w:val="bullet"/>
      <w:lvlText w:val="•"/>
      <w:lvlJc w:val="left"/>
      <w:pPr>
        <w:ind w:left="5302" w:hanging="295"/>
      </w:pPr>
      <w:rPr>
        <w:rFonts w:hint="default"/>
      </w:rPr>
    </w:lvl>
    <w:lvl w:ilvl="6" w:tplc="286064CC">
      <w:numFmt w:val="bullet"/>
      <w:lvlText w:val="•"/>
      <w:lvlJc w:val="left"/>
      <w:pPr>
        <w:ind w:left="6157" w:hanging="295"/>
      </w:pPr>
      <w:rPr>
        <w:rFonts w:hint="default"/>
      </w:rPr>
    </w:lvl>
    <w:lvl w:ilvl="7" w:tplc="4240EEFE">
      <w:numFmt w:val="bullet"/>
      <w:lvlText w:val="•"/>
      <w:lvlJc w:val="left"/>
      <w:pPr>
        <w:ind w:left="7013" w:hanging="295"/>
      </w:pPr>
      <w:rPr>
        <w:rFonts w:hint="default"/>
      </w:rPr>
    </w:lvl>
    <w:lvl w:ilvl="8" w:tplc="10C01018">
      <w:numFmt w:val="bullet"/>
      <w:lvlText w:val="•"/>
      <w:lvlJc w:val="left"/>
      <w:pPr>
        <w:ind w:left="7868" w:hanging="295"/>
      </w:pPr>
      <w:rPr>
        <w:rFonts w:hint="default"/>
      </w:rPr>
    </w:lvl>
  </w:abstractNum>
  <w:abstractNum w:abstractNumId="1" w15:restartNumberingAfterBreak="0">
    <w:nsid w:val="1AC658E9"/>
    <w:multiLevelType w:val="hybridMultilevel"/>
    <w:tmpl w:val="6B8C30E2"/>
    <w:lvl w:ilvl="0" w:tplc="961C4574">
      <w:start w:val="1"/>
      <w:numFmt w:val="decimal"/>
      <w:lvlText w:val="%1."/>
      <w:lvlJc w:val="left"/>
      <w:pPr>
        <w:ind w:left="820" w:hanging="360"/>
        <w:jc w:val="left"/>
      </w:pPr>
      <w:rPr>
        <w:rFonts w:ascii="Calibri" w:eastAsia="Calibri" w:hAnsi="Calibri" w:cs="Calibri" w:hint="default"/>
        <w:w w:val="100"/>
        <w:sz w:val="22"/>
        <w:szCs w:val="22"/>
      </w:rPr>
    </w:lvl>
    <w:lvl w:ilvl="1" w:tplc="F538F9A0">
      <w:numFmt w:val="bullet"/>
      <w:lvlText w:val="-"/>
      <w:lvlJc w:val="left"/>
      <w:pPr>
        <w:ind w:left="1540" w:hanging="360"/>
      </w:pPr>
      <w:rPr>
        <w:rFonts w:ascii="Calibri" w:eastAsia="Calibri" w:hAnsi="Calibri" w:cs="Calibri" w:hint="default"/>
        <w:w w:val="100"/>
        <w:sz w:val="22"/>
        <w:szCs w:val="22"/>
      </w:rPr>
    </w:lvl>
    <w:lvl w:ilvl="2" w:tplc="13AE3A42">
      <w:numFmt w:val="bullet"/>
      <w:lvlText w:val="•"/>
      <w:lvlJc w:val="left"/>
      <w:pPr>
        <w:ind w:left="2433" w:hanging="360"/>
      </w:pPr>
      <w:rPr>
        <w:rFonts w:hint="default"/>
      </w:rPr>
    </w:lvl>
    <w:lvl w:ilvl="3" w:tplc="409CF9FA">
      <w:numFmt w:val="bullet"/>
      <w:lvlText w:val="•"/>
      <w:lvlJc w:val="left"/>
      <w:pPr>
        <w:ind w:left="3326" w:hanging="360"/>
      </w:pPr>
      <w:rPr>
        <w:rFonts w:hint="default"/>
      </w:rPr>
    </w:lvl>
    <w:lvl w:ilvl="4" w:tplc="70F4B048">
      <w:numFmt w:val="bullet"/>
      <w:lvlText w:val="•"/>
      <w:lvlJc w:val="left"/>
      <w:pPr>
        <w:ind w:left="4220" w:hanging="360"/>
      </w:pPr>
      <w:rPr>
        <w:rFonts w:hint="default"/>
      </w:rPr>
    </w:lvl>
    <w:lvl w:ilvl="5" w:tplc="3EE091A8">
      <w:numFmt w:val="bullet"/>
      <w:lvlText w:val="•"/>
      <w:lvlJc w:val="left"/>
      <w:pPr>
        <w:ind w:left="5113" w:hanging="360"/>
      </w:pPr>
      <w:rPr>
        <w:rFonts w:hint="default"/>
      </w:rPr>
    </w:lvl>
    <w:lvl w:ilvl="6" w:tplc="5DDC387A">
      <w:numFmt w:val="bullet"/>
      <w:lvlText w:val="•"/>
      <w:lvlJc w:val="left"/>
      <w:pPr>
        <w:ind w:left="6006" w:hanging="360"/>
      </w:pPr>
      <w:rPr>
        <w:rFonts w:hint="default"/>
      </w:rPr>
    </w:lvl>
    <w:lvl w:ilvl="7" w:tplc="0388E4EA">
      <w:numFmt w:val="bullet"/>
      <w:lvlText w:val="•"/>
      <w:lvlJc w:val="left"/>
      <w:pPr>
        <w:ind w:left="6900" w:hanging="360"/>
      </w:pPr>
      <w:rPr>
        <w:rFonts w:hint="default"/>
      </w:rPr>
    </w:lvl>
    <w:lvl w:ilvl="8" w:tplc="9726221E">
      <w:numFmt w:val="bullet"/>
      <w:lvlText w:val="•"/>
      <w:lvlJc w:val="left"/>
      <w:pPr>
        <w:ind w:left="7793" w:hanging="360"/>
      </w:pPr>
      <w:rPr>
        <w:rFonts w:hint="default"/>
      </w:rPr>
    </w:lvl>
  </w:abstractNum>
  <w:abstractNum w:abstractNumId="2" w15:restartNumberingAfterBreak="0">
    <w:nsid w:val="1ADD4263"/>
    <w:multiLevelType w:val="hybridMultilevel"/>
    <w:tmpl w:val="31EC8326"/>
    <w:lvl w:ilvl="0" w:tplc="E3526C74">
      <w:numFmt w:val="bullet"/>
      <w:lvlText w:val=""/>
      <w:lvlJc w:val="left"/>
      <w:pPr>
        <w:ind w:left="866" w:hanging="360"/>
      </w:pPr>
      <w:rPr>
        <w:rFonts w:ascii="Symbol" w:eastAsia="Symbol" w:hAnsi="Symbol" w:cs="Symbol" w:hint="default"/>
        <w:w w:val="100"/>
        <w:sz w:val="22"/>
        <w:szCs w:val="22"/>
      </w:rPr>
    </w:lvl>
    <w:lvl w:ilvl="1" w:tplc="2A94C40C">
      <w:numFmt w:val="bullet"/>
      <w:lvlText w:val="•"/>
      <w:lvlJc w:val="left"/>
      <w:pPr>
        <w:ind w:left="1160" w:hanging="360"/>
      </w:pPr>
      <w:rPr>
        <w:rFonts w:hint="default"/>
      </w:rPr>
    </w:lvl>
    <w:lvl w:ilvl="2" w:tplc="801406D4">
      <w:numFmt w:val="bullet"/>
      <w:lvlText w:val="•"/>
      <w:lvlJc w:val="left"/>
      <w:pPr>
        <w:ind w:left="2095" w:hanging="360"/>
      </w:pPr>
      <w:rPr>
        <w:rFonts w:hint="default"/>
      </w:rPr>
    </w:lvl>
    <w:lvl w:ilvl="3" w:tplc="4DAA05E0">
      <w:numFmt w:val="bullet"/>
      <w:lvlText w:val="•"/>
      <w:lvlJc w:val="left"/>
      <w:pPr>
        <w:ind w:left="3031" w:hanging="360"/>
      </w:pPr>
      <w:rPr>
        <w:rFonts w:hint="default"/>
      </w:rPr>
    </w:lvl>
    <w:lvl w:ilvl="4" w:tplc="D6F06886">
      <w:numFmt w:val="bullet"/>
      <w:lvlText w:val="•"/>
      <w:lvlJc w:val="left"/>
      <w:pPr>
        <w:ind w:left="3966" w:hanging="360"/>
      </w:pPr>
      <w:rPr>
        <w:rFonts w:hint="default"/>
      </w:rPr>
    </w:lvl>
    <w:lvl w:ilvl="5" w:tplc="497C8170">
      <w:numFmt w:val="bullet"/>
      <w:lvlText w:val="•"/>
      <w:lvlJc w:val="left"/>
      <w:pPr>
        <w:ind w:left="4902" w:hanging="360"/>
      </w:pPr>
      <w:rPr>
        <w:rFonts w:hint="default"/>
      </w:rPr>
    </w:lvl>
    <w:lvl w:ilvl="6" w:tplc="08A86BAA">
      <w:numFmt w:val="bullet"/>
      <w:lvlText w:val="•"/>
      <w:lvlJc w:val="left"/>
      <w:pPr>
        <w:ind w:left="5837" w:hanging="360"/>
      </w:pPr>
      <w:rPr>
        <w:rFonts w:hint="default"/>
      </w:rPr>
    </w:lvl>
    <w:lvl w:ilvl="7" w:tplc="C79E87FC">
      <w:numFmt w:val="bullet"/>
      <w:lvlText w:val="•"/>
      <w:lvlJc w:val="left"/>
      <w:pPr>
        <w:ind w:left="6773" w:hanging="360"/>
      </w:pPr>
      <w:rPr>
        <w:rFonts w:hint="default"/>
      </w:rPr>
    </w:lvl>
    <w:lvl w:ilvl="8" w:tplc="64126622">
      <w:numFmt w:val="bullet"/>
      <w:lvlText w:val="•"/>
      <w:lvlJc w:val="left"/>
      <w:pPr>
        <w:ind w:left="7708" w:hanging="360"/>
      </w:pPr>
      <w:rPr>
        <w:rFonts w:hint="default"/>
      </w:rPr>
    </w:lvl>
  </w:abstractNum>
  <w:abstractNum w:abstractNumId="3" w15:restartNumberingAfterBreak="0">
    <w:nsid w:val="2683317B"/>
    <w:multiLevelType w:val="hybridMultilevel"/>
    <w:tmpl w:val="123C0C80"/>
    <w:lvl w:ilvl="0" w:tplc="006EFA06">
      <w:start w:val="1"/>
      <w:numFmt w:val="decimal"/>
      <w:lvlText w:val="%1."/>
      <w:lvlJc w:val="left"/>
      <w:pPr>
        <w:ind w:left="820" w:hanging="360"/>
        <w:jc w:val="left"/>
      </w:pPr>
      <w:rPr>
        <w:rFonts w:ascii="Calibri" w:eastAsia="Calibri" w:hAnsi="Calibri" w:cs="Calibri" w:hint="default"/>
        <w:w w:val="100"/>
        <w:sz w:val="22"/>
        <w:szCs w:val="22"/>
      </w:rPr>
    </w:lvl>
    <w:lvl w:ilvl="1" w:tplc="4D32007E">
      <w:start w:val="1"/>
      <w:numFmt w:val="lowerLetter"/>
      <w:lvlText w:val="%2."/>
      <w:lvlJc w:val="left"/>
      <w:pPr>
        <w:ind w:left="1180" w:hanging="360"/>
        <w:jc w:val="left"/>
      </w:pPr>
      <w:rPr>
        <w:rFonts w:ascii="Calibri" w:eastAsia="Calibri" w:hAnsi="Calibri" w:cs="Calibri" w:hint="default"/>
        <w:spacing w:val="-1"/>
        <w:w w:val="100"/>
        <w:sz w:val="22"/>
        <w:szCs w:val="22"/>
      </w:rPr>
    </w:lvl>
    <w:lvl w:ilvl="2" w:tplc="1C12609C">
      <w:start w:val="1"/>
      <w:numFmt w:val="upperRoman"/>
      <w:lvlText w:val="%3."/>
      <w:lvlJc w:val="left"/>
      <w:pPr>
        <w:ind w:left="1900" w:hanging="471"/>
        <w:jc w:val="right"/>
      </w:pPr>
      <w:rPr>
        <w:rFonts w:ascii="Calibri" w:eastAsia="Calibri" w:hAnsi="Calibri" w:cs="Calibri" w:hint="default"/>
        <w:spacing w:val="-1"/>
        <w:w w:val="100"/>
        <w:sz w:val="22"/>
        <w:szCs w:val="22"/>
      </w:rPr>
    </w:lvl>
    <w:lvl w:ilvl="3" w:tplc="D07A73E2">
      <w:numFmt w:val="bullet"/>
      <w:lvlText w:val="•"/>
      <w:lvlJc w:val="left"/>
      <w:pPr>
        <w:ind w:left="2860" w:hanging="471"/>
      </w:pPr>
      <w:rPr>
        <w:rFonts w:hint="default"/>
      </w:rPr>
    </w:lvl>
    <w:lvl w:ilvl="4" w:tplc="09E2A10C">
      <w:numFmt w:val="bullet"/>
      <w:lvlText w:val="•"/>
      <w:lvlJc w:val="left"/>
      <w:pPr>
        <w:ind w:left="3820" w:hanging="471"/>
      </w:pPr>
      <w:rPr>
        <w:rFonts w:hint="default"/>
      </w:rPr>
    </w:lvl>
    <w:lvl w:ilvl="5" w:tplc="D992359E">
      <w:numFmt w:val="bullet"/>
      <w:lvlText w:val="•"/>
      <w:lvlJc w:val="left"/>
      <w:pPr>
        <w:ind w:left="4780" w:hanging="471"/>
      </w:pPr>
      <w:rPr>
        <w:rFonts w:hint="default"/>
      </w:rPr>
    </w:lvl>
    <w:lvl w:ilvl="6" w:tplc="7758F862">
      <w:numFmt w:val="bullet"/>
      <w:lvlText w:val="•"/>
      <w:lvlJc w:val="left"/>
      <w:pPr>
        <w:ind w:left="5740" w:hanging="471"/>
      </w:pPr>
      <w:rPr>
        <w:rFonts w:hint="default"/>
      </w:rPr>
    </w:lvl>
    <w:lvl w:ilvl="7" w:tplc="7FAEBFF2">
      <w:numFmt w:val="bullet"/>
      <w:lvlText w:val="•"/>
      <w:lvlJc w:val="left"/>
      <w:pPr>
        <w:ind w:left="6700" w:hanging="471"/>
      </w:pPr>
      <w:rPr>
        <w:rFonts w:hint="default"/>
      </w:rPr>
    </w:lvl>
    <w:lvl w:ilvl="8" w:tplc="57943E38">
      <w:numFmt w:val="bullet"/>
      <w:lvlText w:val="•"/>
      <w:lvlJc w:val="left"/>
      <w:pPr>
        <w:ind w:left="7660" w:hanging="471"/>
      </w:pPr>
      <w:rPr>
        <w:rFonts w:hint="default"/>
      </w:rPr>
    </w:lvl>
  </w:abstractNum>
  <w:abstractNum w:abstractNumId="4" w15:restartNumberingAfterBreak="0">
    <w:nsid w:val="2D067B19"/>
    <w:multiLevelType w:val="multilevel"/>
    <w:tmpl w:val="86BAEE4C"/>
    <w:lvl w:ilvl="0">
      <w:start w:val="16"/>
      <w:numFmt w:val="upperLetter"/>
      <w:lvlText w:val="%1"/>
      <w:lvlJc w:val="left"/>
      <w:pPr>
        <w:ind w:left="542" w:hanging="423"/>
        <w:jc w:val="left"/>
      </w:pPr>
      <w:rPr>
        <w:rFonts w:hint="default"/>
      </w:rPr>
    </w:lvl>
    <w:lvl w:ilvl="1">
      <w:start w:val="15"/>
      <w:numFmt w:val="upperLetter"/>
      <w:lvlText w:val="%1.%2."/>
      <w:lvlJc w:val="left"/>
      <w:pPr>
        <w:ind w:left="542" w:hanging="423"/>
        <w:jc w:val="left"/>
      </w:pPr>
      <w:rPr>
        <w:rFonts w:ascii="Calibri" w:eastAsia="Calibri" w:hAnsi="Calibri" w:cs="Calibri" w:hint="default"/>
        <w:spacing w:val="-1"/>
        <w:w w:val="100"/>
        <w:sz w:val="22"/>
        <w:szCs w:val="22"/>
      </w:rPr>
    </w:lvl>
    <w:lvl w:ilvl="2">
      <w:start w:val="1"/>
      <w:numFmt w:val="lowerLetter"/>
      <w:lvlText w:val="%3."/>
      <w:lvlJc w:val="left"/>
      <w:pPr>
        <w:ind w:left="1038" w:hanging="219"/>
        <w:jc w:val="left"/>
      </w:pPr>
      <w:rPr>
        <w:rFonts w:ascii="Calibri" w:eastAsia="Calibri" w:hAnsi="Calibri" w:cs="Calibri" w:hint="default"/>
        <w:i/>
        <w:spacing w:val="-1"/>
        <w:w w:val="100"/>
        <w:sz w:val="22"/>
        <w:szCs w:val="22"/>
      </w:rPr>
    </w:lvl>
    <w:lvl w:ilvl="3">
      <w:numFmt w:val="bullet"/>
      <w:lvlText w:val="•"/>
      <w:lvlJc w:val="left"/>
      <w:pPr>
        <w:ind w:left="2928" w:hanging="219"/>
      </w:pPr>
      <w:rPr>
        <w:rFonts w:hint="default"/>
      </w:rPr>
    </w:lvl>
    <w:lvl w:ilvl="4">
      <w:numFmt w:val="bullet"/>
      <w:lvlText w:val="•"/>
      <w:lvlJc w:val="left"/>
      <w:pPr>
        <w:ind w:left="3873" w:hanging="219"/>
      </w:pPr>
      <w:rPr>
        <w:rFonts w:hint="default"/>
      </w:rPr>
    </w:lvl>
    <w:lvl w:ilvl="5">
      <w:numFmt w:val="bullet"/>
      <w:lvlText w:val="•"/>
      <w:lvlJc w:val="left"/>
      <w:pPr>
        <w:ind w:left="4817" w:hanging="219"/>
      </w:pPr>
      <w:rPr>
        <w:rFonts w:hint="default"/>
      </w:rPr>
    </w:lvl>
    <w:lvl w:ilvl="6">
      <w:numFmt w:val="bullet"/>
      <w:lvlText w:val="•"/>
      <w:lvlJc w:val="left"/>
      <w:pPr>
        <w:ind w:left="5762" w:hanging="219"/>
      </w:pPr>
      <w:rPr>
        <w:rFonts w:hint="default"/>
      </w:rPr>
    </w:lvl>
    <w:lvl w:ilvl="7">
      <w:numFmt w:val="bullet"/>
      <w:lvlText w:val="•"/>
      <w:lvlJc w:val="left"/>
      <w:pPr>
        <w:ind w:left="6706" w:hanging="219"/>
      </w:pPr>
      <w:rPr>
        <w:rFonts w:hint="default"/>
      </w:rPr>
    </w:lvl>
    <w:lvl w:ilvl="8">
      <w:numFmt w:val="bullet"/>
      <w:lvlText w:val="•"/>
      <w:lvlJc w:val="left"/>
      <w:pPr>
        <w:ind w:left="7651" w:hanging="219"/>
      </w:pPr>
      <w:rPr>
        <w:rFonts w:hint="default"/>
      </w:rPr>
    </w:lvl>
  </w:abstractNum>
  <w:abstractNum w:abstractNumId="5" w15:restartNumberingAfterBreak="0">
    <w:nsid w:val="3C43191B"/>
    <w:multiLevelType w:val="hybridMultilevel"/>
    <w:tmpl w:val="CA8E1D72"/>
    <w:lvl w:ilvl="0" w:tplc="F0EAC25C">
      <w:start w:val="2"/>
      <w:numFmt w:val="upperLetter"/>
      <w:lvlText w:val="(%1)"/>
      <w:lvlJc w:val="left"/>
      <w:pPr>
        <w:ind w:left="100" w:hanging="305"/>
        <w:jc w:val="left"/>
      </w:pPr>
      <w:rPr>
        <w:rFonts w:ascii="Calibri" w:eastAsia="Calibri" w:hAnsi="Calibri" w:cs="Calibri" w:hint="default"/>
        <w:i/>
        <w:spacing w:val="-1"/>
        <w:w w:val="100"/>
        <w:sz w:val="22"/>
        <w:szCs w:val="22"/>
      </w:rPr>
    </w:lvl>
    <w:lvl w:ilvl="1" w:tplc="F0942578">
      <w:numFmt w:val="bullet"/>
      <w:lvlText w:val=""/>
      <w:lvlJc w:val="left"/>
      <w:pPr>
        <w:ind w:left="820" w:hanging="360"/>
      </w:pPr>
      <w:rPr>
        <w:rFonts w:ascii="Symbol" w:eastAsia="Symbol" w:hAnsi="Symbol" w:cs="Symbol" w:hint="default"/>
        <w:w w:val="100"/>
        <w:sz w:val="22"/>
        <w:szCs w:val="22"/>
      </w:rPr>
    </w:lvl>
    <w:lvl w:ilvl="2" w:tplc="FA842752">
      <w:numFmt w:val="bullet"/>
      <w:lvlText w:val="•"/>
      <w:lvlJc w:val="left"/>
      <w:pPr>
        <w:ind w:left="1713" w:hanging="360"/>
      </w:pPr>
      <w:rPr>
        <w:rFonts w:hint="default"/>
      </w:rPr>
    </w:lvl>
    <w:lvl w:ilvl="3" w:tplc="E3608AB8">
      <w:numFmt w:val="bullet"/>
      <w:lvlText w:val="•"/>
      <w:lvlJc w:val="left"/>
      <w:pPr>
        <w:ind w:left="2606" w:hanging="360"/>
      </w:pPr>
      <w:rPr>
        <w:rFonts w:hint="default"/>
      </w:rPr>
    </w:lvl>
    <w:lvl w:ilvl="4" w:tplc="56C42F66">
      <w:numFmt w:val="bullet"/>
      <w:lvlText w:val="•"/>
      <w:lvlJc w:val="left"/>
      <w:pPr>
        <w:ind w:left="3500" w:hanging="360"/>
      </w:pPr>
      <w:rPr>
        <w:rFonts w:hint="default"/>
      </w:rPr>
    </w:lvl>
    <w:lvl w:ilvl="5" w:tplc="E4FC3494">
      <w:numFmt w:val="bullet"/>
      <w:lvlText w:val="•"/>
      <w:lvlJc w:val="left"/>
      <w:pPr>
        <w:ind w:left="4393" w:hanging="360"/>
      </w:pPr>
      <w:rPr>
        <w:rFonts w:hint="default"/>
      </w:rPr>
    </w:lvl>
    <w:lvl w:ilvl="6" w:tplc="9808FCC4">
      <w:numFmt w:val="bullet"/>
      <w:lvlText w:val="•"/>
      <w:lvlJc w:val="left"/>
      <w:pPr>
        <w:ind w:left="5286" w:hanging="360"/>
      </w:pPr>
      <w:rPr>
        <w:rFonts w:hint="default"/>
      </w:rPr>
    </w:lvl>
    <w:lvl w:ilvl="7" w:tplc="9CDE7E74">
      <w:numFmt w:val="bullet"/>
      <w:lvlText w:val="•"/>
      <w:lvlJc w:val="left"/>
      <w:pPr>
        <w:ind w:left="6180" w:hanging="360"/>
      </w:pPr>
      <w:rPr>
        <w:rFonts w:hint="default"/>
      </w:rPr>
    </w:lvl>
    <w:lvl w:ilvl="8" w:tplc="884C6C9A">
      <w:numFmt w:val="bullet"/>
      <w:lvlText w:val="•"/>
      <w:lvlJc w:val="left"/>
      <w:pPr>
        <w:ind w:left="7073" w:hanging="360"/>
      </w:pPr>
      <w:rPr>
        <w:rFonts w:hint="default"/>
      </w:rPr>
    </w:lvl>
  </w:abstractNum>
  <w:abstractNum w:abstractNumId="6" w15:restartNumberingAfterBreak="0">
    <w:nsid w:val="58237BC3"/>
    <w:multiLevelType w:val="hybridMultilevel"/>
    <w:tmpl w:val="9336283A"/>
    <w:lvl w:ilvl="0" w:tplc="7E38CE6A">
      <w:numFmt w:val="bullet"/>
      <w:lvlText w:val="o"/>
      <w:lvlJc w:val="left"/>
      <w:pPr>
        <w:ind w:left="1540" w:hanging="360"/>
      </w:pPr>
      <w:rPr>
        <w:rFonts w:ascii="Courier New" w:eastAsia="Courier New" w:hAnsi="Courier New" w:cs="Courier New" w:hint="default"/>
        <w:w w:val="99"/>
        <w:sz w:val="20"/>
        <w:szCs w:val="20"/>
      </w:rPr>
    </w:lvl>
    <w:lvl w:ilvl="1" w:tplc="61740896">
      <w:numFmt w:val="bullet"/>
      <w:lvlText w:val="▪"/>
      <w:lvlJc w:val="left"/>
      <w:pPr>
        <w:ind w:left="2260" w:hanging="360"/>
      </w:pPr>
      <w:rPr>
        <w:rFonts w:ascii="Microsoft Sans Serif" w:eastAsia="Microsoft Sans Serif" w:hAnsi="Microsoft Sans Serif" w:cs="Microsoft Sans Serif" w:hint="default"/>
        <w:w w:val="128"/>
        <w:sz w:val="20"/>
        <w:szCs w:val="20"/>
      </w:rPr>
    </w:lvl>
    <w:lvl w:ilvl="2" w:tplc="CE6A6E06">
      <w:numFmt w:val="bullet"/>
      <w:lvlText w:val="•"/>
      <w:lvlJc w:val="left"/>
      <w:pPr>
        <w:ind w:left="3073" w:hanging="360"/>
      </w:pPr>
      <w:rPr>
        <w:rFonts w:hint="default"/>
      </w:rPr>
    </w:lvl>
    <w:lvl w:ilvl="3" w:tplc="37DC6350">
      <w:numFmt w:val="bullet"/>
      <w:lvlText w:val="•"/>
      <w:lvlJc w:val="left"/>
      <w:pPr>
        <w:ind w:left="3886" w:hanging="360"/>
      </w:pPr>
      <w:rPr>
        <w:rFonts w:hint="default"/>
      </w:rPr>
    </w:lvl>
    <w:lvl w:ilvl="4" w:tplc="818C5A5E">
      <w:numFmt w:val="bullet"/>
      <w:lvlText w:val="•"/>
      <w:lvlJc w:val="left"/>
      <w:pPr>
        <w:ind w:left="4700" w:hanging="360"/>
      </w:pPr>
      <w:rPr>
        <w:rFonts w:hint="default"/>
      </w:rPr>
    </w:lvl>
    <w:lvl w:ilvl="5" w:tplc="5F049B92">
      <w:numFmt w:val="bullet"/>
      <w:lvlText w:val="•"/>
      <w:lvlJc w:val="left"/>
      <w:pPr>
        <w:ind w:left="5513" w:hanging="360"/>
      </w:pPr>
      <w:rPr>
        <w:rFonts w:hint="default"/>
      </w:rPr>
    </w:lvl>
    <w:lvl w:ilvl="6" w:tplc="BFB041A0">
      <w:numFmt w:val="bullet"/>
      <w:lvlText w:val="•"/>
      <w:lvlJc w:val="left"/>
      <w:pPr>
        <w:ind w:left="6326" w:hanging="360"/>
      </w:pPr>
      <w:rPr>
        <w:rFonts w:hint="default"/>
      </w:rPr>
    </w:lvl>
    <w:lvl w:ilvl="7" w:tplc="0682FA4E">
      <w:numFmt w:val="bullet"/>
      <w:lvlText w:val="•"/>
      <w:lvlJc w:val="left"/>
      <w:pPr>
        <w:ind w:left="7140" w:hanging="360"/>
      </w:pPr>
      <w:rPr>
        <w:rFonts w:hint="default"/>
      </w:rPr>
    </w:lvl>
    <w:lvl w:ilvl="8" w:tplc="48EA958A">
      <w:numFmt w:val="bullet"/>
      <w:lvlText w:val="•"/>
      <w:lvlJc w:val="left"/>
      <w:pPr>
        <w:ind w:left="7953" w:hanging="360"/>
      </w:pPr>
      <w:rPr>
        <w:rFonts w:hint="default"/>
      </w:rPr>
    </w:lvl>
  </w:abstractNum>
  <w:abstractNum w:abstractNumId="7" w15:restartNumberingAfterBreak="0">
    <w:nsid w:val="59491208"/>
    <w:multiLevelType w:val="hybridMultilevel"/>
    <w:tmpl w:val="C26ACD98"/>
    <w:lvl w:ilvl="0" w:tplc="E01A08FA">
      <w:numFmt w:val="bullet"/>
      <w:lvlText w:val="o"/>
      <w:lvlJc w:val="left"/>
      <w:pPr>
        <w:ind w:left="1180" w:hanging="360"/>
      </w:pPr>
      <w:rPr>
        <w:rFonts w:ascii="Courier New" w:eastAsia="Courier New" w:hAnsi="Courier New" w:cs="Courier New" w:hint="default"/>
        <w:w w:val="99"/>
        <w:sz w:val="20"/>
        <w:szCs w:val="20"/>
      </w:rPr>
    </w:lvl>
    <w:lvl w:ilvl="1" w:tplc="B7CECA46">
      <w:numFmt w:val="bullet"/>
      <w:lvlText w:val="•"/>
      <w:lvlJc w:val="left"/>
      <w:pPr>
        <w:ind w:left="2020" w:hanging="360"/>
      </w:pPr>
      <w:rPr>
        <w:rFonts w:hint="default"/>
      </w:rPr>
    </w:lvl>
    <w:lvl w:ilvl="2" w:tplc="74008890">
      <w:numFmt w:val="bullet"/>
      <w:lvlText w:val="•"/>
      <w:lvlJc w:val="left"/>
      <w:pPr>
        <w:ind w:left="2860" w:hanging="360"/>
      </w:pPr>
      <w:rPr>
        <w:rFonts w:hint="default"/>
      </w:rPr>
    </w:lvl>
    <w:lvl w:ilvl="3" w:tplc="8570A62A">
      <w:numFmt w:val="bullet"/>
      <w:lvlText w:val="•"/>
      <w:lvlJc w:val="left"/>
      <w:pPr>
        <w:ind w:left="3700" w:hanging="360"/>
      </w:pPr>
      <w:rPr>
        <w:rFonts w:hint="default"/>
      </w:rPr>
    </w:lvl>
    <w:lvl w:ilvl="4" w:tplc="43C686E2">
      <w:numFmt w:val="bullet"/>
      <w:lvlText w:val="•"/>
      <w:lvlJc w:val="left"/>
      <w:pPr>
        <w:ind w:left="4540" w:hanging="360"/>
      </w:pPr>
      <w:rPr>
        <w:rFonts w:hint="default"/>
      </w:rPr>
    </w:lvl>
    <w:lvl w:ilvl="5" w:tplc="ECCCF63A">
      <w:numFmt w:val="bullet"/>
      <w:lvlText w:val="•"/>
      <w:lvlJc w:val="left"/>
      <w:pPr>
        <w:ind w:left="5380" w:hanging="360"/>
      </w:pPr>
      <w:rPr>
        <w:rFonts w:hint="default"/>
      </w:rPr>
    </w:lvl>
    <w:lvl w:ilvl="6" w:tplc="B2389992">
      <w:numFmt w:val="bullet"/>
      <w:lvlText w:val="•"/>
      <w:lvlJc w:val="left"/>
      <w:pPr>
        <w:ind w:left="6220" w:hanging="360"/>
      </w:pPr>
      <w:rPr>
        <w:rFonts w:hint="default"/>
      </w:rPr>
    </w:lvl>
    <w:lvl w:ilvl="7" w:tplc="0C766768">
      <w:numFmt w:val="bullet"/>
      <w:lvlText w:val="•"/>
      <w:lvlJc w:val="left"/>
      <w:pPr>
        <w:ind w:left="7060" w:hanging="360"/>
      </w:pPr>
      <w:rPr>
        <w:rFonts w:hint="default"/>
      </w:rPr>
    </w:lvl>
    <w:lvl w:ilvl="8" w:tplc="897E31D6">
      <w:numFmt w:val="bullet"/>
      <w:lvlText w:val="•"/>
      <w:lvlJc w:val="left"/>
      <w:pPr>
        <w:ind w:left="7900" w:hanging="360"/>
      </w:pPr>
      <w:rPr>
        <w:rFonts w:hint="default"/>
      </w:rPr>
    </w:lvl>
  </w:abstractNum>
  <w:abstractNum w:abstractNumId="8" w15:restartNumberingAfterBreak="0">
    <w:nsid w:val="5C031F9B"/>
    <w:multiLevelType w:val="hybridMultilevel"/>
    <w:tmpl w:val="7CC4F810"/>
    <w:lvl w:ilvl="0" w:tplc="3628F95E">
      <w:start w:val="1"/>
      <w:numFmt w:val="decimal"/>
      <w:lvlText w:val="%1."/>
      <w:lvlJc w:val="left"/>
      <w:pPr>
        <w:ind w:left="820" w:hanging="360"/>
        <w:jc w:val="left"/>
      </w:pPr>
      <w:rPr>
        <w:rFonts w:ascii="Calibri" w:eastAsia="Calibri" w:hAnsi="Calibri" w:cs="Calibri" w:hint="default"/>
        <w:w w:val="100"/>
        <w:sz w:val="22"/>
        <w:szCs w:val="22"/>
      </w:rPr>
    </w:lvl>
    <w:lvl w:ilvl="1" w:tplc="24EA78BA">
      <w:numFmt w:val="bullet"/>
      <w:lvlText w:val="-"/>
      <w:lvlJc w:val="left"/>
      <w:pPr>
        <w:ind w:left="1540" w:hanging="360"/>
      </w:pPr>
      <w:rPr>
        <w:rFonts w:ascii="Calibri" w:eastAsia="Calibri" w:hAnsi="Calibri" w:cs="Calibri" w:hint="default"/>
        <w:w w:val="100"/>
        <w:sz w:val="22"/>
        <w:szCs w:val="22"/>
      </w:rPr>
    </w:lvl>
    <w:lvl w:ilvl="2" w:tplc="D7DA68E6">
      <w:numFmt w:val="bullet"/>
      <w:lvlText w:val="▪"/>
      <w:lvlJc w:val="left"/>
      <w:pPr>
        <w:ind w:left="1900" w:hanging="360"/>
      </w:pPr>
      <w:rPr>
        <w:rFonts w:ascii="Microsoft Sans Serif" w:eastAsia="Microsoft Sans Serif" w:hAnsi="Microsoft Sans Serif" w:cs="Microsoft Sans Serif" w:hint="default"/>
        <w:w w:val="129"/>
        <w:sz w:val="22"/>
        <w:szCs w:val="22"/>
      </w:rPr>
    </w:lvl>
    <w:lvl w:ilvl="3" w:tplc="CD92F5BE">
      <w:numFmt w:val="bullet"/>
      <w:lvlText w:val="•"/>
      <w:lvlJc w:val="left"/>
      <w:pPr>
        <w:ind w:left="2860" w:hanging="360"/>
      </w:pPr>
      <w:rPr>
        <w:rFonts w:hint="default"/>
      </w:rPr>
    </w:lvl>
    <w:lvl w:ilvl="4" w:tplc="45DEB5F4">
      <w:numFmt w:val="bullet"/>
      <w:lvlText w:val="•"/>
      <w:lvlJc w:val="left"/>
      <w:pPr>
        <w:ind w:left="3820" w:hanging="360"/>
      </w:pPr>
      <w:rPr>
        <w:rFonts w:hint="default"/>
      </w:rPr>
    </w:lvl>
    <w:lvl w:ilvl="5" w:tplc="FBB045C2">
      <w:numFmt w:val="bullet"/>
      <w:lvlText w:val="•"/>
      <w:lvlJc w:val="left"/>
      <w:pPr>
        <w:ind w:left="4780" w:hanging="360"/>
      </w:pPr>
      <w:rPr>
        <w:rFonts w:hint="default"/>
      </w:rPr>
    </w:lvl>
    <w:lvl w:ilvl="6" w:tplc="741A7A6E">
      <w:numFmt w:val="bullet"/>
      <w:lvlText w:val="•"/>
      <w:lvlJc w:val="left"/>
      <w:pPr>
        <w:ind w:left="5740" w:hanging="360"/>
      </w:pPr>
      <w:rPr>
        <w:rFonts w:hint="default"/>
      </w:rPr>
    </w:lvl>
    <w:lvl w:ilvl="7" w:tplc="66926DA4">
      <w:numFmt w:val="bullet"/>
      <w:lvlText w:val="•"/>
      <w:lvlJc w:val="left"/>
      <w:pPr>
        <w:ind w:left="6700" w:hanging="360"/>
      </w:pPr>
      <w:rPr>
        <w:rFonts w:hint="default"/>
      </w:rPr>
    </w:lvl>
    <w:lvl w:ilvl="8" w:tplc="CE9CBF1C">
      <w:numFmt w:val="bullet"/>
      <w:lvlText w:val="•"/>
      <w:lvlJc w:val="left"/>
      <w:pPr>
        <w:ind w:left="7660" w:hanging="360"/>
      </w:pPr>
      <w:rPr>
        <w:rFonts w:hint="default"/>
      </w:rPr>
    </w:lvl>
  </w:abstractNum>
  <w:num w:numId="1">
    <w:abstractNumId w:val="0"/>
  </w:num>
  <w:num w:numId="2">
    <w:abstractNumId w:val="8"/>
  </w:num>
  <w:num w:numId="3">
    <w:abstractNumId w:val="1"/>
  </w:num>
  <w:num w:numId="4">
    <w:abstractNumId w:val="3"/>
  </w:num>
  <w:num w:numId="5">
    <w:abstractNumId w:val="5"/>
  </w:num>
  <w:num w:numId="6">
    <w:abstractNumId w:val="6"/>
  </w:num>
  <w:num w:numId="7">
    <w:abstractNumId w:val="2"/>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D52CD2"/>
    <w:rsid w:val="00464A41"/>
    <w:rsid w:val="00D52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5:docId w15:val="{1ED4D2DC-A6D5-41F4-9014-44AA6FA4D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b/>
      <w:bCs/>
    </w:rPr>
  </w:style>
  <w:style w:type="paragraph" w:styleId="Heading2">
    <w:name w:val="heading 2"/>
    <w:basedOn w:val="Normal"/>
    <w:uiPriority w:val="1"/>
    <w:qFormat/>
    <w:pPr>
      <w:ind w:left="100"/>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ind w:left="1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pascorecard.covermymeds.com/" TargetMode="External"/><Relationship Id="rId2" Type="http://schemas.openxmlformats.org/officeDocument/2006/relationships/styles" Target="styles.xml"/><Relationship Id="rId16" Type="http://schemas.openxmlformats.org/officeDocument/2006/relationships/hyperlink" Target="mailto:llewis@pdxinc.com"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regulations.gov/"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www.ncpa.co/pdf/faq-direct-indirect-remuneration-fees.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6161</Words>
  <Characters>34997</Characters>
  <Application>Microsoft Office Word</Application>
  <DocSecurity>0</DocSecurity>
  <Lines>1666</Lines>
  <Paragraphs>484</Paragraphs>
  <ScaleCrop>false</ScaleCrop>
  <Company>CMS</Company>
  <LinksUpToDate>false</LinksUpToDate>
  <CharactersWithSpaces>40674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Leann Lewis</dc:creator>
  <cp:lastModifiedBy>Arthur Pignotti</cp:lastModifiedBy>
  <cp:revision>2</cp:revision>
  <dcterms:created xsi:type="dcterms:W3CDTF">2018-06-14T21:39:00Z</dcterms:created>
  <dcterms:modified xsi:type="dcterms:W3CDTF">2018-06-15T02:09:00Z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