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B82783F" w14:textId="7645A781" w:rsidR="0074141A" w:rsidRPr="00565D41" w:rsidRDefault="00C1067F" w:rsidP="0074141A">
      <w:pPr>
        <w:rPr>
          <w:rFonts w:ascii="Avenir 55 Roman" w:hAnsi="Avenir 55 Roman"/>
          <w:sz w:val="20"/>
          <w:szCs w:val="20"/>
        </w:rPr>
      </w:pPr>
      <w:r w:rsidRPr="00565D41">
        <w:rPr>
          <w:rFonts w:ascii="Avenir 55 Roman" w:hAnsi="Avenir 55 Roman"/>
          <w:sz w:val="20"/>
          <w:szCs w:val="20"/>
        </w:rPr>
        <w:t xml:space="preserve">Comments from Fallon Health (H9001) on </w:t>
      </w:r>
      <w:r w:rsidR="0074141A" w:rsidRPr="00565D41">
        <w:rPr>
          <w:rFonts w:ascii="Avenir 55 Roman" w:hAnsi="Avenir 55 Roman"/>
          <w:sz w:val="20"/>
          <w:szCs w:val="20"/>
        </w:rPr>
        <w:t>Medicare Program; Contract Year 2019 Policy and Technical Changes to the Medicare Advantage, Medicare Cost Plan, Medicare Fee-for-Service, the Medicare Prescription Drug Benefit Programs, and the PACE Program</w:t>
      </w:r>
    </w:p>
    <w:p w14:paraId="2AD4D4C3" w14:textId="77777777" w:rsidR="00024A4B" w:rsidRPr="00565D41" w:rsidRDefault="00024A4B" w:rsidP="00024A4B">
      <w:pPr>
        <w:pStyle w:val="PlainText"/>
        <w:rPr>
          <w:rFonts w:ascii="Avenir 55 Roman" w:hAnsi="Avenir 55 Roman"/>
          <w:bCs/>
          <w:iCs/>
          <w:sz w:val="20"/>
          <w:szCs w:val="20"/>
          <w:lang w:val="en"/>
        </w:rPr>
      </w:pPr>
    </w:p>
    <w:p w14:paraId="780EAF66" w14:textId="77777777" w:rsidR="009A3D65" w:rsidRPr="00565D41" w:rsidRDefault="009A3D65" w:rsidP="0074141A">
      <w:pPr>
        <w:pStyle w:val="PlainText"/>
        <w:rPr>
          <w:rFonts w:ascii="Avenir 55 Roman" w:hAnsi="Avenir 55 Roman"/>
          <w:i/>
          <w:iCs/>
          <w:sz w:val="20"/>
          <w:szCs w:val="20"/>
          <w:lang w:val="en"/>
        </w:rPr>
      </w:pPr>
    </w:p>
    <w:p w14:paraId="69221ADF" w14:textId="77777777" w:rsidR="00024A4B" w:rsidRPr="00803C2B" w:rsidRDefault="00024A4B" w:rsidP="00024A4B">
      <w:pPr>
        <w:pStyle w:val="PlainText"/>
        <w:rPr>
          <w:rFonts w:ascii="Avenir 55 Roman" w:hAnsi="Avenir 55 Roman"/>
          <w:b/>
          <w:bCs/>
          <w:iCs/>
          <w:sz w:val="20"/>
          <w:szCs w:val="20"/>
          <w:lang w:val="en"/>
        </w:rPr>
      </w:pPr>
      <w:r w:rsidRPr="00803C2B">
        <w:rPr>
          <w:rFonts w:ascii="Avenir 55 Roman" w:hAnsi="Avenir 55 Roman"/>
          <w:b/>
          <w:bCs/>
          <w:iCs/>
          <w:sz w:val="20"/>
          <w:szCs w:val="20"/>
          <w:lang w:val="en"/>
        </w:rPr>
        <w:t>A. Supporting Innovative Approaches to Improving Quality, Accessibility, and Affordability</w:t>
      </w:r>
    </w:p>
    <w:p w14:paraId="128394DE" w14:textId="7AA340C7" w:rsidR="00FE0EE5" w:rsidRPr="00803C2B" w:rsidRDefault="00024A4B" w:rsidP="00FE0EE5">
      <w:pPr>
        <w:pStyle w:val="PlainText"/>
        <w:rPr>
          <w:rFonts w:ascii="Avenir 55 Roman" w:hAnsi="Avenir 55 Roman"/>
          <w:b/>
          <w:i/>
          <w:iCs/>
          <w:sz w:val="20"/>
          <w:szCs w:val="20"/>
          <w:lang w:val="en"/>
        </w:rPr>
      </w:pPr>
      <w:r w:rsidRPr="00803C2B">
        <w:rPr>
          <w:rFonts w:ascii="Avenir 55 Roman" w:hAnsi="Avenir 55 Roman"/>
          <w:b/>
          <w:i/>
          <w:iCs/>
          <w:sz w:val="20"/>
          <w:szCs w:val="20"/>
          <w:lang w:val="en"/>
        </w:rPr>
        <w:t xml:space="preserve">1. </w:t>
      </w:r>
      <w:r w:rsidR="00FE0EE5" w:rsidRPr="00803C2B">
        <w:rPr>
          <w:rFonts w:ascii="Avenir 55 Roman" w:hAnsi="Avenir 55 Roman"/>
          <w:b/>
          <w:i/>
          <w:iCs/>
          <w:sz w:val="20"/>
          <w:szCs w:val="20"/>
          <w:lang w:val="en"/>
        </w:rPr>
        <w:t>Implementation of the Comprehensive Addiction and Recovery Act of 2016 (CARA) Provisions</w:t>
      </w:r>
    </w:p>
    <w:p w14:paraId="0A1382CA" w14:textId="77777777" w:rsidR="00803C2B" w:rsidRPr="00565D41" w:rsidRDefault="00803C2B" w:rsidP="00FE0EE5">
      <w:pPr>
        <w:pStyle w:val="PlainText"/>
        <w:rPr>
          <w:rFonts w:ascii="Avenir 55 Roman" w:hAnsi="Avenir 55 Roman"/>
          <w:b/>
          <w:i/>
          <w:iCs/>
          <w:sz w:val="20"/>
          <w:szCs w:val="20"/>
          <w:lang w:val="en"/>
        </w:rPr>
      </w:pPr>
    </w:p>
    <w:p w14:paraId="22E20090" w14:textId="44048151" w:rsidR="0074141A" w:rsidRPr="00803C2B" w:rsidRDefault="0033348F" w:rsidP="00276349">
      <w:pPr>
        <w:pStyle w:val="PlainText"/>
        <w:rPr>
          <w:rFonts w:ascii="Avenir 55 Roman" w:hAnsi="Avenir 55 Roman" w:cs="Arial"/>
          <w:sz w:val="20"/>
          <w:szCs w:val="20"/>
        </w:rPr>
      </w:pPr>
      <w:r w:rsidRPr="00803C2B">
        <w:rPr>
          <w:rFonts w:ascii="Avenir 55 Roman" w:hAnsi="Avenir 55 Roman" w:cs="Arial"/>
          <w:sz w:val="20"/>
          <w:szCs w:val="20"/>
        </w:rPr>
        <w:t>Fallon Health feels that l</w:t>
      </w:r>
      <w:r w:rsidR="0074141A" w:rsidRPr="00803C2B">
        <w:rPr>
          <w:rFonts w:ascii="Avenir 55 Roman" w:hAnsi="Avenir 55 Roman" w:cs="Arial"/>
          <w:sz w:val="20"/>
          <w:szCs w:val="20"/>
        </w:rPr>
        <w:t>imiting the pro</w:t>
      </w:r>
      <w:r w:rsidRPr="00803C2B">
        <w:rPr>
          <w:rFonts w:ascii="Avenir 55 Roman" w:hAnsi="Avenir 55 Roman" w:cs="Arial"/>
          <w:sz w:val="20"/>
          <w:szCs w:val="20"/>
        </w:rPr>
        <w:t xml:space="preserve">gram to only opioids will limit a health plan’s </w:t>
      </w:r>
      <w:r w:rsidR="0074141A" w:rsidRPr="00803C2B">
        <w:rPr>
          <w:rFonts w:ascii="Avenir 55 Roman" w:hAnsi="Avenir 55 Roman" w:cs="Arial"/>
          <w:sz w:val="20"/>
          <w:szCs w:val="20"/>
        </w:rPr>
        <w:t xml:space="preserve">ability to target and intervene on other potentially </w:t>
      </w:r>
      <w:r w:rsidRPr="00803C2B">
        <w:rPr>
          <w:rFonts w:ascii="Avenir 55 Roman" w:hAnsi="Avenir 55 Roman" w:cs="Arial"/>
          <w:sz w:val="20"/>
          <w:szCs w:val="20"/>
        </w:rPr>
        <w:t>misused</w:t>
      </w:r>
      <w:r w:rsidR="0074141A" w:rsidRPr="00803C2B">
        <w:rPr>
          <w:rFonts w:ascii="Avenir 55 Roman" w:hAnsi="Avenir 55 Roman" w:cs="Arial"/>
          <w:sz w:val="20"/>
          <w:szCs w:val="20"/>
        </w:rPr>
        <w:t xml:space="preserve"> controlled substances.</w:t>
      </w:r>
      <w:r w:rsidRPr="00803C2B">
        <w:rPr>
          <w:rFonts w:ascii="Avenir 55 Roman" w:hAnsi="Avenir 55 Roman" w:cs="Arial"/>
          <w:sz w:val="20"/>
          <w:szCs w:val="20"/>
        </w:rPr>
        <w:t xml:space="preserve"> We recommend CMS not limit this provision to opioid drugs. </w:t>
      </w:r>
    </w:p>
    <w:p w14:paraId="0239439E" w14:textId="77777777" w:rsidR="00276349" w:rsidRPr="00803C2B" w:rsidRDefault="00276349" w:rsidP="00276349">
      <w:pPr>
        <w:pStyle w:val="ListParagraph"/>
        <w:rPr>
          <w:rFonts w:ascii="Avenir 55 Roman" w:hAnsi="Avenir 55 Roman" w:cs="Arial"/>
          <w:sz w:val="20"/>
          <w:szCs w:val="20"/>
        </w:rPr>
      </w:pPr>
    </w:p>
    <w:p w14:paraId="533C53DA" w14:textId="77777777" w:rsidR="0074141A" w:rsidRPr="00803C2B" w:rsidRDefault="0074141A" w:rsidP="00276349">
      <w:pPr>
        <w:rPr>
          <w:rFonts w:ascii="Avenir 55 Roman" w:hAnsi="Avenir 55 Roman" w:cs="Arial"/>
          <w:sz w:val="20"/>
          <w:szCs w:val="20"/>
        </w:rPr>
      </w:pPr>
      <w:r w:rsidRPr="00803C2B">
        <w:rPr>
          <w:rFonts w:ascii="Avenir 55 Roman" w:hAnsi="Avenir 55 Roman" w:cs="Arial"/>
          <w:sz w:val="20"/>
          <w:szCs w:val="20"/>
        </w:rPr>
        <w:t>Fallon Health supports not requiring prescriber agreement to implement pharmacy lock as the beneficiary that is most likely to get a pharmacy lock is seeing multiple prescribers.</w:t>
      </w:r>
    </w:p>
    <w:p w14:paraId="11070985" w14:textId="77777777" w:rsidR="00276349" w:rsidRPr="00803C2B" w:rsidRDefault="00276349" w:rsidP="00276349">
      <w:pPr>
        <w:pStyle w:val="ListParagraph"/>
        <w:rPr>
          <w:rFonts w:ascii="Avenir 55 Roman" w:hAnsi="Avenir 55 Roman" w:cs="Arial"/>
          <w:sz w:val="20"/>
          <w:szCs w:val="20"/>
        </w:rPr>
      </w:pPr>
    </w:p>
    <w:p w14:paraId="4C69AD3C" w14:textId="106A6BBE" w:rsidR="0074141A" w:rsidRPr="00803C2B" w:rsidRDefault="0074141A" w:rsidP="00276349">
      <w:pPr>
        <w:rPr>
          <w:rFonts w:ascii="Avenir 55 Roman" w:hAnsi="Avenir 55 Roman" w:cs="Arial"/>
          <w:sz w:val="20"/>
          <w:szCs w:val="20"/>
        </w:rPr>
      </w:pPr>
      <w:r w:rsidRPr="00803C2B">
        <w:rPr>
          <w:rFonts w:ascii="Avenir 55 Roman" w:hAnsi="Avenir 55 Roman" w:cs="Arial"/>
          <w:sz w:val="20"/>
          <w:szCs w:val="20"/>
        </w:rPr>
        <w:t>Fallon Health supports not requiring a 6-month waiting period before initiating a prescriber lock.  This is 6</w:t>
      </w:r>
      <w:r w:rsidR="0033348F" w:rsidRPr="00803C2B">
        <w:rPr>
          <w:rFonts w:ascii="Avenir 55 Roman" w:hAnsi="Avenir 55 Roman" w:cs="Arial"/>
          <w:sz w:val="20"/>
          <w:szCs w:val="20"/>
        </w:rPr>
        <w:t> months</w:t>
      </w:r>
      <w:r w:rsidRPr="00803C2B">
        <w:rPr>
          <w:rFonts w:ascii="Avenir 55 Roman" w:hAnsi="Avenir 55 Roman" w:cs="Arial"/>
          <w:sz w:val="20"/>
          <w:szCs w:val="20"/>
        </w:rPr>
        <w:t xml:space="preserve"> of opioid fills that may not be medically necessary.  The longer the unnecessary mediations are continued, the more difficult it may be </w:t>
      </w:r>
      <w:r w:rsidR="0033348F" w:rsidRPr="00803C2B">
        <w:rPr>
          <w:rFonts w:ascii="Avenir 55 Roman" w:hAnsi="Avenir 55 Roman" w:cs="Arial"/>
          <w:sz w:val="20"/>
          <w:szCs w:val="20"/>
        </w:rPr>
        <w:t xml:space="preserve">for health plans </w:t>
      </w:r>
      <w:r w:rsidRPr="00803C2B">
        <w:rPr>
          <w:rFonts w:ascii="Avenir 55 Roman" w:hAnsi="Avenir 55 Roman" w:cs="Arial"/>
          <w:sz w:val="20"/>
          <w:szCs w:val="20"/>
        </w:rPr>
        <w:t>to reduce opioids and coordinate care.  </w:t>
      </w:r>
      <w:r w:rsidR="0033348F" w:rsidRPr="00803C2B">
        <w:rPr>
          <w:rFonts w:ascii="Avenir 55 Roman" w:hAnsi="Avenir 55 Roman" w:cs="Arial"/>
          <w:sz w:val="20"/>
          <w:szCs w:val="20"/>
        </w:rPr>
        <w:t>We feel that c</w:t>
      </w:r>
      <w:r w:rsidRPr="00803C2B">
        <w:rPr>
          <w:rFonts w:ascii="Avenir 55 Roman" w:hAnsi="Avenir 55 Roman" w:cs="Arial"/>
          <w:sz w:val="20"/>
          <w:szCs w:val="20"/>
        </w:rPr>
        <w:t xml:space="preserve">oordinating a member’s opioid therapy is best handled by the prescriber.  Locking the member to a prescriber (or a select few prescribers) re-enforces this relationship and prevents unnecessary opioids from being filled at all.  </w:t>
      </w:r>
    </w:p>
    <w:p w14:paraId="7BE1C6B5" w14:textId="77777777" w:rsidR="00515B43" w:rsidRPr="00803C2B" w:rsidRDefault="00515B43" w:rsidP="00276349">
      <w:pPr>
        <w:rPr>
          <w:rFonts w:ascii="Avenir 55 Roman" w:hAnsi="Avenir 55 Roman" w:cs="Arial"/>
          <w:sz w:val="20"/>
          <w:szCs w:val="20"/>
        </w:rPr>
      </w:pPr>
    </w:p>
    <w:p w14:paraId="0A66A252" w14:textId="77777777" w:rsidR="00515B43" w:rsidRPr="00803C2B" w:rsidRDefault="00515B43" w:rsidP="00515B43">
      <w:pPr>
        <w:pStyle w:val="PlainText"/>
        <w:rPr>
          <w:rFonts w:ascii="Avenir 55 Roman" w:hAnsi="Avenir 55 Roman"/>
          <w:iCs/>
          <w:sz w:val="20"/>
          <w:szCs w:val="20"/>
          <w:lang w:val="en"/>
        </w:rPr>
      </w:pPr>
      <w:r w:rsidRPr="00803C2B">
        <w:rPr>
          <w:rFonts w:ascii="Avenir 55 Roman" w:hAnsi="Avenir 55 Roman"/>
          <w:iCs/>
          <w:sz w:val="20"/>
          <w:szCs w:val="20"/>
          <w:lang w:val="en"/>
        </w:rPr>
        <w:t xml:space="preserve">The proposed rule would, for an individual identified as an at-risk beneficiary, restrict the beneficiary’s dual SEP until the date the beneficiary’s at-risk status is terminated based on a subsequent determination, including a  successful appeal, or at the end of a 12-month period calculated from the effective date the sponsor provided the beneficiary in the second notice whichever is sooner. Will a beneficiary identified as “at-risk” still be allowed to make enrollment and disenrollment decisions based upon the Annual Election Period (AEP) or will the SEP restrict all enrollment decisions for a 12-month period? We recommend that CMS provide more detail on this SEP restriction. </w:t>
      </w:r>
    </w:p>
    <w:p w14:paraId="79C51C65" w14:textId="77777777" w:rsidR="00515B43" w:rsidRPr="00803C2B" w:rsidRDefault="00515B43" w:rsidP="00515B43">
      <w:pPr>
        <w:pStyle w:val="PlainText"/>
        <w:rPr>
          <w:rFonts w:ascii="Avenir 55 Roman" w:hAnsi="Avenir 55 Roman"/>
          <w:iCs/>
          <w:sz w:val="20"/>
          <w:szCs w:val="20"/>
          <w:lang w:val="en"/>
        </w:rPr>
      </w:pPr>
    </w:p>
    <w:p w14:paraId="173F2AE1" w14:textId="44D6EB22" w:rsidR="00515B43" w:rsidRPr="00803C2B" w:rsidRDefault="00515B43" w:rsidP="00515B43">
      <w:pPr>
        <w:pStyle w:val="PlainText"/>
        <w:rPr>
          <w:rFonts w:ascii="Avenir 55 Roman" w:hAnsi="Avenir 55 Roman"/>
          <w:iCs/>
          <w:sz w:val="20"/>
          <w:szCs w:val="20"/>
          <w:lang w:val="en"/>
        </w:rPr>
      </w:pPr>
      <w:r w:rsidRPr="00803C2B">
        <w:rPr>
          <w:rFonts w:ascii="Avenir 55 Roman" w:hAnsi="Avenir 55 Roman"/>
          <w:iCs/>
          <w:sz w:val="20"/>
          <w:szCs w:val="20"/>
          <w:lang w:val="en"/>
        </w:rPr>
        <w:t xml:space="preserve">Finally, we recommend that CMS provide detail on how an organization will know that a beneficiary has been identified as “at-risk” and has had a SEP restriction placed upon them. Will CMS issue a report to plans or will this information be displayed in MARx?   </w:t>
      </w:r>
    </w:p>
    <w:p w14:paraId="1F90F622" w14:textId="77777777" w:rsidR="00515B43" w:rsidRPr="00276349" w:rsidRDefault="00515B43" w:rsidP="00276349">
      <w:pPr>
        <w:rPr>
          <w:rFonts w:ascii="Avenir 55 Roman" w:hAnsi="Avenir 55 Roman" w:cs="Arial"/>
          <w:color w:val="FF0000"/>
          <w:sz w:val="20"/>
          <w:szCs w:val="20"/>
        </w:rPr>
      </w:pPr>
    </w:p>
    <w:p w14:paraId="0D27A4E0" w14:textId="77777777" w:rsidR="0074141A" w:rsidRPr="00565D41" w:rsidRDefault="0074141A" w:rsidP="0074141A">
      <w:pPr>
        <w:pStyle w:val="PlainText"/>
        <w:rPr>
          <w:rFonts w:ascii="Avenir 55 Roman" w:hAnsi="Avenir 55 Roman"/>
          <w:sz w:val="20"/>
          <w:szCs w:val="20"/>
          <w:lang w:val="en"/>
        </w:rPr>
      </w:pPr>
    </w:p>
    <w:p w14:paraId="11A9EF5A" w14:textId="77777777" w:rsidR="00024A4B" w:rsidRPr="00803C2B" w:rsidRDefault="00024A4B" w:rsidP="00024A4B">
      <w:pPr>
        <w:pStyle w:val="PlainText"/>
        <w:rPr>
          <w:rFonts w:ascii="Avenir 55 Roman" w:hAnsi="Avenir 55 Roman"/>
          <w:b/>
          <w:bCs/>
          <w:iCs/>
          <w:sz w:val="20"/>
          <w:szCs w:val="20"/>
          <w:lang w:val="en"/>
        </w:rPr>
      </w:pPr>
      <w:r w:rsidRPr="00803C2B">
        <w:rPr>
          <w:rFonts w:ascii="Avenir 55 Roman" w:hAnsi="Avenir 55 Roman"/>
          <w:b/>
          <w:bCs/>
          <w:iCs/>
          <w:sz w:val="20"/>
          <w:szCs w:val="20"/>
          <w:lang w:val="en"/>
        </w:rPr>
        <w:t>A. Supporting Innovative Approaches to Improving Quality, Accessibility, and Affordability</w:t>
      </w:r>
    </w:p>
    <w:p w14:paraId="223C36B8" w14:textId="0D5E6342" w:rsidR="00276349" w:rsidRDefault="00024A4B" w:rsidP="0074141A">
      <w:pPr>
        <w:pStyle w:val="PlainText"/>
        <w:rPr>
          <w:rFonts w:ascii="Avenir 55 Roman" w:hAnsi="Avenir 55 Roman"/>
          <w:color w:val="FF0000"/>
          <w:sz w:val="20"/>
          <w:szCs w:val="20"/>
          <w:lang w:val="en"/>
        </w:rPr>
      </w:pPr>
      <w:r w:rsidRPr="00803C2B">
        <w:rPr>
          <w:rFonts w:ascii="Avenir 55 Roman" w:hAnsi="Avenir 55 Roman"/>
          <w:b/>
          <w:bCs/>
          <w:i/>
          <w:iCs/>
          <w:sz w:val="20"/>
          <w:szCs w:val="20"/>
          <w:lang w:val="en"/>
        </w:rPr>
        <w:t xml:space="preserve">7. </w:t>
      </w:r>
      <w:r w:rsidR="00FE0EE5" w:rsidRPr="00803C2B">
        <w:rPr>
          <w:rFonts w:ascii="Avenir 55 Roman" w:hAnsi="Avenir 55 Roman"/>
          <w:b/>
          <w:bCs/>
          <w:i/>
          <w:iCs/>
          <w:sz w:val="20"/>
          <w:szCs w:val="20"/>
          <w:lang w:val="en"/>
        </w:rPr>
        <w:t xml:space="preserve">Coordination of Enrollment and Disenrollment Through MA Organizations and Effective Dates of Coverage and Change of Coverage - </w:t>
      </w:r>
      <w:r w:rsidR="0074141A" w:rsidRPr="00803C2B">
        <w:rPr>
          <w:rFonts w:ascii="Avenir 55 Roman" w:hAnsi="Avenir 55 Roman"/>
          <w:b/>
          <w:bCs/>
          <w:i/>
          <w:iCs/>
          <w:sz w:val="20"/>
          <w:szCs w:val="20"/>
          <w:lang w:val="en"/>
        </w:rPr>
        <w:t>Default Enrollment</w:t>
      </w:r>
      <w:r w:rsidR="00422513">
        <w:rPr>
          <w:rFonts w:ascii="Avenir 55 Roman" w:hAnsi="Avenir 55 Roman"/>
          <w:b/>
          <w:bCs/>
          <w:i/>
          <w:iCs/>
          <w:sz w:val="20"/>
          <w:szCs w:val="20"/>
          <w:lang w:val="en"/>
        </w:rPr>
        <w:t xml:space="preserve"> </w:t>
      </w:r>
      <w:r w:rsidR="0074141A" w:rsidRPr="00565D41">
        <w:rPr>
          <w:rFonts w:ascii="Avenir 55 Roman" w:hAnsi="Avenir 55 Roman"/>
          <w:b/>
          <w:bCs/>
          <w:i/>
          <w:iCs/>
          <w:sz w:val="20"/>
          <w:szCs w:val="20"/>
          <w:lang w:val="en"/>
        </w:rPr>
        <w:br/>
      </w:r>
    </w:p>
    <w:p w14:paraId="1199CAB9" w14:textId="29F3F6B2" w:rsidR="0074141A" w:rsidRPr="00803C2B" w:rsidRDefault="0033348F" w:rsidP="0074141A">
      <w:pPr>
        <w:pStyle w:val="PlainText"/>
        <w:rPr>
          <w:rFonts w:ascii="Avenir 55 Roman" w:hAnsi="Avenir 55 Roman"/>
          <w:sz w:val="20"/>
          <w:szCs w:val="20"/>
          <w:lang w:val="en"/>
        </w:rPr>
      </w:pPr>
      <w:r w:rsidRPr="00803C2B">
        <w:rPr>
          <w:rFonts w:ascii="Avenir 55 Roman" w:hAnsi="Avenir 55 Roman"/>
          <w:sz w:val="20"/>
          <w:szCs w:val="20"/>
          <w:lang w:val="en"/>
        </w:rPr>
        <w:t xml:space="preserve">Fallon Health respectfully </w:t>
      </w:r>
      <w:r w:rsidR="0074141A" w:rsidRPr="00803C2B">
        <w:rPr>
          <w:rFonts w:ascii="Avenir 55 Roman" w:hAnsi="Avenir 55 Roman"/>
          <w:sz w:val="20"/>
          <w:szCs w:val="20"/>
          <w:lang w:val="en"/>
        </w:rPr>
        <w:t>request clarification of the applicability of the definition of “affiliated Medicaid managed care plan” in 42 CFR 422.66 to Medicaid Accountable Care Organizations (ACOs) in Massachusetts.  ACOs differ from traditional Medicaid managed care plans in a number of ways, most notably that most ACOs are essentially partnerships between an insurer and a provider organization.  Would an ACO that is a partnership between an insurer and a provider organization be considered an “affiliated managed care plan” in relation to a Medicare Advantage plan offered by the same insurer?  We believe that it should</w:t>
      </w:r>
      <w:r w:rsidRPr="00803C2B">
        <w:rPr>
          <w:rFonts w:ascii="Avenir 55 Roman" w:hAnsi="Avenir 55 Roman"/>
          <w:sz w:val="20"/>
          <w:szCs w:val="20"/>
          <w:lang w:val="en"/>
        </w:rPr>
        <w:t xml:space="preserve"> be consider as such</w:t>
      </w:r>
      <w:r w:rsidR="0074141A" w:rsidRPr="00803C2B">
        <w:rPr>
          <w:rFonts w:ascii="Avenir 55 Roman" w:hAnsi="Avenir 55 Roman"/>
          <w:sz w:val="20"/>
          <w:szCs w:val="20"/>
          <w:lang w:val="en"/>
        </w:rPr>
        <w:t xml:space="preserve">, but request </w:t>
      </w:r>
      <w:r w:rsidRPr="00803C2B">
        <w:rPr>
          <w:rFonts w:ascii="Avenir 55 Roman" w:hAnsi="Avenir 55 Roman"/>
          <w:sz w:val="20"/>
          <w:szCs w:val="20"/>
          <w:lang w:val="en"/>
        </w:rPr>
        <w:t xml:space="preserve">that CMS provide </w:t>
      </w:r>
      <w:r w:rsidR="0074141A" w:rsidRPr="00803C2B">
        <w:rPr>
          <w:rFonts w:ascii="Avenir 55 Roman" w:hAnsi="Avenir 55 Roman"/>
          <w:sz w:val="20"/>
          <w:szCs w:val="20"/>
          <w:lang w:val="en"/>
        </w:rPr>
        <w:t xml:space="preserve">clarification on this point.          </w:t>
      </w:r>
    </w:p>
    <w:p w14:paraId="4D856614" w14:textId="77777777" w:rsidR="00024A4B" w:rsidRPr="00565D41" w:rsidRDefault="00024A4B" w:rsidP="00024A4B">
      <w:pPr>
        <w:pStyle w:val="PlainText"/>
        <w:rPr>
          <w:rFonts w:ascii="Avenir 55 Roman" w:hAnsi="Avenir 55 Roman"/>
          <w:bCs/>
          <w:iCs/>
          <w:sz w:val="20"/>
          <w:szCs w:val="20"/>
          <w:lang w:val="en"/>
        </w:rPr>
      </w:pPr>
    </w:p>
    <w:p w14:paraId="7BECFBD0" w14:textId="77777777" w:rsidR="00024A4B" w:rsidRPr="00803C2B" w:rsidRDefault="00024A4B" w:rsidP="00024A4B">
      <w:pPr>
        <w:pStyle w:val="PlainText"/>
        <w:rPr>
          <w:rFonts w:ascii="Avenir 55 Roman" w:hAnsi="Avenir 55 Roman"/>
          <w:bCs/>
          <w:iCs/>
          <w:sz w:val="20"/>
          <w:szCs w:val="20"/>
          <w:lang w:val="en"/>
        </w:rPr>
      </w:pPr>
      <w:r w:rsidRPr="00803C2B">
        <w:rPr>
          <w:rFonts w:ascii="Avenir 55 Roman" w:hAnsi="Avenir 55 Roman"/>
          <w:bCs/>
          <w:iCs/>
          <w:sz w:val="20"/>
          <w:szCs w:val="20"/>
          <w:lang w:val="en"/>
        </w:rPr>
        <w:t>A. Supporting Innovative Approaches to Improving Quality, Accessibility, and Affordability</w:t>
      </w:r>
    </w:p>
    <w:p w14:paraId="29CACB7F" w14:textId="77777777" w:rsidR="00FE0EE5" w:rsidRPr="00803C2B" w:rsidRDefault="00FE0EE5" w:rsidP="0074141A">
      <w:pPr>
        <w:pStyle w:val="PlainText"/>
        <w:rPr>
          <w:rFonts w:ascii="Avenir 55 Roman" w:hAnsi="Avenir 55 Roman"/>
          <w:b/>
          <w:bCs/>
          <w:i/>
          <w:iCs/>
          <w:sz w:val="20"/>
          <w:szCs w:val="20"/>
          <w:lang w:val="en"/>
        </w:rPr>
      </w:pPr>
      <w:r w:rsidRPr="00803C2B">
        <w:rPr>
          <w:rFonts w:ascii="Avenir 55 Roman" w:hAnsi="Avenir 55 Roman"/>
          <w:b/>
          <w:bCs/>
          <w:i/>
          <w:iCs/>
          <w:sz w:val="20"/>
          <w:szCs w:val="20"/>
          <w:lang w:val="en"/>
        </w:rPr>
        <w:t xml:space="preserve">8. Passive Enrollment Flexibilities To Protect Continuity of Integrated Care for Dually Eligible Beneficiaries </w:t>
      </w:r>
    </w:p>
    <w:p w14:paraId="72D38250" w14:textId="77777777" w:rsidR="00276349" w:rsidRDefault="00276349" w:rsidP="0074141A">
      <w:pPr>
        <w:pStyle w:val="PlainText"/>
        <w:rPr>
          <w:rFonts w:ascii="Avenir 55 Roman" w:hAnsi="Avenir 55 Roman"/>
          <w:color w:val="FF0000"/>
          <w:sz w:val="20"/>
          <w:szCs w:val="20"/>
          <w:lang w:val="en"/>
        </w:rPr>
      </w:pPr>
    </w:p>
    <w:p w14:paraId="5080B819" w14:textId="0049B54C" w:rsidR="0074141A" w:rsidRPr="00803C2B" w:rsidRDefault="0033348F" w:rsidP="0074141A">
      <w:pPr>
        <w:pStyle w:val="PlainText"/>
        <w:rPr>
          <w:rFonts w:ascii="Avenir 55 Roman" w:hAnsi="Avenir 55 Roman"/>
          <w:sz w:val="20"/>
          <w:szCs w:val="20"/>
          <w:lang w:val="en"/>
        </w:rPr>
      </w:pPr>
      <w:r w:rsidRPr="00803C2B">
        <w:rPr>
          <w:rFonts w:ascii="Avenir 55 Roman" w:hAnsi="Avenir 55 Roman"/>
          <w:sz w:val="20"/>
          <w:szCs w:val="20"/>
          <w:lang w:val="en"/>
        </w:rPr>
        <w:lastRenderedPageBreak/>
        <w:t xml:space="preserve">We recommend that </w:t>
      </w:r>
      <w:r w:rsidR="00A51EDE" w:rsidRPr="00803C2B">
        <w:rPr>
          <w:rFonts w:ascii="Avenir 55 Roman" w:hAnsi="Avenir 55 Roman"/>
          <w:sz w:val="20"/>
          <w:szCs w:val="20"/>
          <w:lang w:val="en"/>
        </w:rPr>
        <w:t>CMS</w:t>
      </w:r>
      <w:r w:rsidRPr="00803C2B">
        <w:rPr>
          <w:rFonts w:ascii="Avenir 55 Roman" w:hAnsi="Avenir 55 Roman"/>
          <w:sz w:val="20"/>
          <w:szCs w:val="20"/>
          <w:lang w:val="en"/>
        </w:rPr>
        <w:t xml:space="preserve"> provide more clarification around which entity </w:t>
      </w:r>
      <w:r w:rsidR="0074141A" w:rsidRPr="00803C2B">
        <w:rPr>
          <w:rFonts w:ascii="Avenir 55 Roman" w:hAnsi="Avenir 55 Roman"/>
          <w:sz w:val="20"/>
          <w:szCs w:val="20"/>
          <w:lang w:val="en"/>
        </w:rPr>
        <w:t>would be managing or overseeing</w:t>
      </w:r>
      <w:r w:rsidR="00A51EDE" w:rsidRPr="00803C2B">
        <w:rPr>
          <w:rFonts w:ascii="Avenir 55 Roman" w:hAnsi="Avenir 55 Roman"/>
          <w:sz w:val="20"/>
          <w:szCs w:val="20"/>
          <w:lang w:val="en"/>
        </w:rPr>
        <w:t xml:space="preserve"> the passive enrollment process: </w:t>
      </w:r>
      <w:r w:rsidR="0074141A" w:rsidRPr="00803C2B">
        <w:rPr>
          <w:rFonts w:ascii="Avenir 55 Roman" w:hAnsi="Avenir 55 Roman"/>
          <w:sz w:val="20"/>
          <w:szCs w:val="20"/>
          <w:lang w:val="en"/>
        </w:rPr>
        <w:t>CMS</w:t>
      </w:r>
      <w:r w:rsidRPr="00803C2B">
        <w:rPr>
          <w:rFonts w:ascii="Avenir 55 Roman" w:hAnsi="Avenir 55 Roman"/>
          <w:sz w:val="20"/>
          <w:szCs w:val="20"/>
          <w:lang w:val="en"/>
        </w:rPr>
        <w:t xml:space="preserve">, </w:t>
      </w:r>
      <w:r w:rsidR="0074141A" w:rsidRPr="00803C2B">
        <w:rPr>
          <w:rFonts w:ascii="Avenir 55 Roman" w:hAnsi="Avenir 55 Roman"/>
          <w:sz w:val="20"/>
          <w:szCs w:val="20"/>
          <w:lang w:val="en"/>
        </w:rPr>
        <w:t>the state</w:t>
      </w:r>
      <w:r w:rsidRPr="00803C2B">
        <w:rPr>
          <w:rFonts w:ascii="Avenir 55 Roman" w:hAnsi="Avenir 55 Roman"/>
          <w:sz w:val="20"/>
          <w:szCs w:val="20"/>
          <w:lang w:val="en"/>
        </w:rPr>
        <w:t xml:space="preserve"> Medicaid agencies, or a combination of both working together</w:t>
      </w:r>
      <w:r w:rsidR="0074141A" w:rsidRPr="00803C2B">
        <w:rPr>
          <w:rFonts w:ascii="Avenir 55 Roman" w:hAnsi="Avenir 55 Roman"/>
          <w:sz w:val="20"/>
          <w:szCs w:val="20"/>
          <w:lang w:val="en"/>
        </w:rPr>
        <w:t xml:space="preserve">? </w:t>
      </w:r>
      <w:r w:rsidR="00A51EDE" w:rsidRPr="00803C2B">
        <w:rPr>
          <w:rFonts w:ascii="Avenir 55 Roman" w:hAnsi="Avenir 55 Roman"/>
          <w:sz w:val="20"/>
          <w:szCs w:val="20"/>
          <w:lang w:val="en"/>
        </w:rPr>
        <w:t xml:space="preserve">We also request more guidance for the process of passively enrollment eligible beneficiaries. </w:t>
      </w:r>
      <w:r w:rsidR="0074141A" w:rsidRPr="00803C2B">
        <w:rPr>
          <w:rFonts w:ascii="Avenir 55 Roman" w:hAnsi="Avenir 55 Roman"/>
          <w:sz w:val="20"/>
          <w:szCs w:val="20"/>
          <w:lang w:val="en"/>
        </w:rPr>
        <w:t xml:space="preserve">Would all remaining eligible D-SNPs within the state be given an equal share of the eligible </w:t>
      </w:r>
      <w:r w:rsidR="00A51EDE" w:rsidRPr="00803C2B">
        <w:rPr>
          <w:rFonts w:ascii="Avenir 55 Roman" w:hAnsi="Avenir 55 Roman"/>
          <w:sz w:val="20"/>
          <w:szCs w:val="20"/>
          <w:lang w:val="en"/>
        </w:rPr>
        <w:t>beneficiaries</w:t>
      </w:r>
      <w:r w:rsidR="0074141A" w:rsidRPr="00803C2B">
        <w:rPr>
          <w:rFonts w:ascii="Avenir 55 Roman" w:hAnsi="Avenir 55 Roman"/>
          <w:sz w:val="20"/>
          <w:szCs w:val="20"/>
          <w:lang w:val="en"/>
        </w:rPr>
        <w:t xml:space="preserve"> or would they be enrolled via some other process? We are </w:t>
      </w:r>
      <w:r w:rsidR="00A51EDE" w:rsidRPr="00803C2B">
        <w:rPr>
          <w:rFonts w:ascii="Avenir 55 Roman" w:hAnsi="Avenir 55 Roman"/>
          <w:sz w:val="20"/>
          <w:szCs w:val="20"/>
          <w:lang w:val="en"/>
        </w:rPr>
        <w:t xml:space="preserve">generally </w:t>
      </w:r>
      <w:r w:rsidR="0074141A" w:rsidRPr="00803C2B">
        <w:rPr>
          <w:rFonts w:ascii="Avenir 55 Roman" w:hAnsi="Avenir 55 Roman"/>
          <w:sz w:val="20"/>
          <w:szCs w:val="20"/>
          <w:lang w:val="en"/>
        </w:rPr>
        <w:t>in favor of this</w:t>
      </w:r>
      <w:r w:rsidR="00A51EDE" w:rsidRPr="00803C2B">
        <w:rPr>
          <w:rFonts w:ascii="Avenir 55 Roman" w:hAnsi="Avenir 55 Roman"/>
          <w:sz w:val="20"/>
          <w:szCs w:val="20"/>
          <w:lang w:val="en"/>
        </w:rPr>
        <w:t xml:space="preserve"> proposal so</w:t>
      </w:r>
      <w:r w:rsidR="0074141A" w:rsidRPr="00803C2B">
        <w:rPr>
          <w:rFonts w:ascii="Avenir 55 Roman" w:hAnsi="Avenir 55 Roman"/>
          <w:sz w:val="20"/>
          <w:szCs w:val="20"/>
          <w:lang w:val="en"/>
        </w:rPr>
        <w:t xml:space="preserve"> long as the passive enrollment process is explained in more detail and the </w:t>
      </w:r>
      <w:r w:rsidRPr="00803C2B">
        <w:rPr>
          <w:rFonts w:ascii="Avenir 55 Roman" w:hAnsi="Avenir 55 Roman"/>
          <w:sz w:val="20"/>
          <w:szCs w:val="20"/>
          <w:lang w:val="en"/>
        </w:rPr>
        <w:t xml:space="preserve">criterion for </w:t>
      </w:r>
      <w:r w:rsidR="00A51EDE" w:rsidRPr="00803C2B">
        <w:rPr>
          <w:rFonts w:ascii="Avenir 55 Roman" w:hAnsi="Avenir 55 Roman"/>
          <w:sz w:val="20"/>
          <w:szCs w:val="20"/>
          <w:lang w:val="en"/>
        </w:rPr>
        <w:t xml:space="preserve">distributing </w:t>
      </w:r>
      <w:r w:rsidRPr="00803C2B">
        <w:rPr>
          <w:rFonts w:ascii="Avenir 55 Roman" w:hAnsi="Avenir 55 Roman"/>
          <w:sz w:val="20"/>
          <w:szCs w:val="20"/>
          <w:lang w:val="en"/>
        </w:rPr>
        <w:t xml:space="preserve">those </w:t>
      </w:r>
      <w:r w:rsidR="00A51EDE" w:rsidRPr="00803C2B">
        <w:rPr>
          <w:rFonts w:ascii="Avenir 55 Roman" w:hAnsi="Avenir 55 Roman"/>
          <w:sz w:val="20"/>
          <w:szCs w:val="20"/>
          <w:lang w:val="en"/>
        </w:rPr>
        <w:t xml:space="preserve">eligible beneficiaries </w:t>
      </w:r>
      <w:r w:rsidRPr="00803C2B">
        <w:rPr>
          <w:rFonts w:ascii="Avenir 55 Roman" w:hAnsi="Avenir 55 Roman"/>
          <w:sz w:val="20"/>
          <w:szCs w:val="20"/>
          <w:lang w:val="en"/>
        </w:rPr>
        <w:t>is</w:t>
      </w:r>
      <w:r w:rsidR="0074141A" w:rsidRPr="00803C2B">
        <w:rPr>
          <w:rFonts w:ascii="Avenir 55 Roman" w:hAnsi="Avenir 55 Roman"/>
          <w:sz w:val="20"/>
          <w:szCs w:val="20"/>
          <w:lang w:val="en"/>
        </w:rPr>
        <w:t xml:space="preserve"> fair and equitable for all eligible D-SNPs.</w:t>
      </w:r>
      <w:r w:rsidRPr="00803C2B">
        <w:rPr>
          <w:rFonts w:ascii="Avenir 55 Roman" w:hAnsi="Avenir 55 Roman"/>
          <w:sz w:val="20"/>
          <w:szCs w:val="20"/>
          <w:lang w:val="en"/>
        </w:rPr>
        <w:t xml:space="preserve"> We respectfully request that CMS provide more detail on how the passive enrollment process will be overseen and how eligible </w:t>
      </w:r>
      <w:r w:rsidR="00386F69" w:rsidRPr="00803C2B">
        <w:rPr>
          <w:rFonts w:ascii="Avenir 55 Roman" w:hAnsi="Avenir 55 Roman"/>
          <w:sz w:val="20"/>
          <w:szCs w:val="20"/>
          <w:lang w:val="en"/>
        </w:rPr>
        <w:t xml:space="preserve">enrollees will be distributed among the participating D-SNPs in the state. </w:t>
      </w:r>
    </w:p>
    <w:p w14:paraId="75236800" w14:textId="77777777" w:rsidR="0074141A" w:rsidRPr="00565D41" w:rsidRDefault="0074141A" w:rsidP="0074141A">
      <w:pPr>
        <w:pStyle w:val="PlainText"/>
        <w:rPr>
          <w:rFonts w:ascii="Avenir 55 Roman" w:hAnsi="Avenir 55 Roman"/>
          <w:color w:val="FF0000"/>
          <w:sz w:val="20"/>
          <w:szCs w:val="20"/>
          <w:lang w:val="en"/>
        </w:rPr>
      </w:pPr>
    </w:p>
    <w:p w14:paraId="6A59CECB" w14:textId="77777777" w:rsidR="0074141A" w:rsidRPr="00565D41" w:rsidRDefault="0074141A" w:rsidP="0074141A">
      <w:pPr>
        <w:pStyle w:val="PlainText"/>
        <w:rPr>
          <w:rFonts w:ascii="Avenir 55 Roman" w:hAnsi="Avenir 55 Roman"/>
          <w:i/>
          <w:iCs/>
          <w:sz w:val="20"/>
          <w:szCs w:val="20"/>
          <w:lang w:val="en"/>
        </w:rPr>
      </w:pPr>
    </w:p>
    <w:p w14:paraId="63199F7B" w14:textId="77777777" w:rsidR="00173520" w:rsidRPr="00803C2B" w:rsidRDefault="00173520" w:rsidP="00173520">
      <w:pPr>
        <w:pStyle w:val="PlainText"/>
        <w:rPr>
          <w:rFonts w:ascii="Avenir 55 Roman" w:hAnsi="Avenir 55 Roman"/>
          <w:b/>
          <w:bCs/>
          <w:iCs/>
          <w:sz w:val="20"/>
          <w:szCs w:val="20"/>
          <w:lang w:val="en"/>
        </w:rPr>
      </w:pPr>
      <w:r w:rsidRPr="00803C2B">
        <w:rPr>
          <w:rFonts w:ascii="Avenir 55 Roman" w:hAnsi="Avenir 55 Roman"/>
          <w:b/>
          <w:bCs/>
          <w:iCs/>
          <w:sz w:val="20"/>
          <w:szCs w:val="20"/>
          <w:lang w:val="en"/>
        </w:rPr>
        <w:t>A. Supporting Innovative Approaches to Improving Quality, Accessibility, and Affordability</w:t>
      </w:r>
    </w:p>
    <w:p w14:paraId="261E9CD7" w14:textId="6908284B" w:rsidR="00FE0EE5" w:rsidRPr="00803C2B" w:rsidRDefault="00173520" w:rsidP="00FE0EE5">
      <w:pPr>
        <w:pStyle w:val="PlainText"/>
        <w:rPr>
          <w:rFonts w:ascii="Avenir 55 Roman" w:hAnsi="Avenir 55 Roman"/>
          <w:b/>
          <w:bCs/>
          <w:i/>
          <w:iCs/>
          <w:sz w:val="20"/>
          <w:szCs w:val="20"/>
          <w:lang w:val="en"/>
        </w:rPr>
      </w:pPr>
      <w:r w:rsidRPr="00803C2B">
        <w:rPr>
          <w:rFonts w:ascii="Avenir 55 Roman" w:hAnsi="Avenir 55 Roman"/>
          <w:b/>
          <w:bCs/>
          <w:i/>
          <w:iCs/>
          <w:sz w:val="20"/>
          <w:szCs w:val="20"/>
          <w:lang w:val="en"/>
        </w:rPr>
        <w:t xml:space="preserve">10. </w:t>
      </w:r>
      <w:r w:rsidR="00FE0EE5" w:rsidRPr="00803C2B">
        <w:rPr>
          <w:rFonts w:ascii="Avenir 55 Roman" w:hAnsi="Avenir 55 Roman"/>
          <w:b/>
          <w:bCs/>
          <w:i/>
          <w:iCs/>
          <w:sz w:val="20"/>
          <w:szCs w:val="20"/>
          <w:lang w:val="en"/>
        </w:rPr>
        <w:t>Establishing Limitations for the Part D Special Enrollment Period for Dual Eligible Beneficiaries</w:t>
      </w:r>
    </w:p>
    <w:p w14:paraId="72A05447" w14:textId="77777777" w:rsidR="0074141A" w:rsidRPr="00565D41" w:rsidRDefault="0074141A" w:rsidP="0074141A">
      <w:pPr>
        <w:pStyle w:val="PlainText"/>
        <w:rPr>
          <w:rFonts w:ascii="Avenir 55 Roman" w:hAnsi="Avenir 55 Roman"/>
          <w:color w:val="FF0000"/>
          <w:sz w:val="20"/>
          <w:szCs w:val="20"/>
          <w:lang w:val="en"/>
        </w:rPr>
      </w:pPr>
    </w:p>
    <w:p w14:paraId="0BCE25D3" w14:textId="6AC7A7D9" w:rsidR="0074141A" w:rsidRPr="00803C2B" w:rsidRDefault="00F231B0" w:rsidP="00276349">
      <w:pPr>
        <w:rPr>
          <w:rFonts w:ascii="Avenir 55 Roman" w:hAnsi="Avenir 55 Roman"/>
          <w:sz w:val="20"/>
          <w:szCs w:val="20"/>
          <w:lang w:val="en"/>
        </w:rPr>
      </w:pPr>
      <w:r w:rsidRPr="00803C2B">
        <w:rPr>
          <w:rFonts w:ascii="Avenir 55 Roman" w:hAnsi="Avenir 55 Roman"/>
          <w:sz w:val="20"/>
          <w:szCs w:val="20"/>
          <w:lang w:val="en"/>
        </w:rPr>
        <w:t>This proposal would results in</w:t>
      </w:r>
      <w:r w:rsidR="0074141A" w:rsidRPr="00803C2B">
        <w:rPr>
          <w:rFonts w:ascii="Avenir 55 Roman" w:hAnsi="Avenir 55 Roman"/>
          <w:sz w:val="20"/>
          <w:szCs w:val="20"/>
          <w:lang w:val="en"/>
        </w:rPr>
        <w:t xml:space="preserve"> enrollees not be</w:t>
      </w:r>
      <w:r w:rsidRPr="00803C2B">
        <w:rPr>
          <w:rFonts w:ascii="Avenir 55 Roman" w:hAnsi="Avenir 55 Roman"/>
          <w:sz w:val="20"/>
          <w:szCs w:val="20"/>
          <w:lang w:val="en"/>
        </w:rPr>
        <w:t>ing</w:t>
      </w:r>
      <w:r w:rsidR="0074141A" w:rsidRPr="00803C2B">
        <w:rPr>
          <w:rFonts w:ascii="Avenir 55 Roman" w:hAnsi="Avenir 55 Roman"/>
          <w:sz w:val="20"/>
          <w:szCs w:val="20"/>
          <w:lang w:val="en"/>
        </w:rPr>
        <w:t xml:space="preserve"> allowed to make changes outside of the two scenarios noted</w:t>
      </w:r>
      <w:r w:rsidRPr="00803C2B">
        <w:rPr>
          <w:rFonts w:ascii="Avenir 55 Roman" w:hAnsi="Avenir 55 Roman"/>
          <w:sz w:val="20"/>
          <w:szCs w:val="20"/>
          <w:lang w:val="en"/>
        </w:rPr>
        <w:t xml:space="preserve"> within the proposed rule</w:t>
      </w:r>
      <w:r w:rsidR="0074141A" w:rsidRPr="00803C2B">
        <w:rPr>
          <w:rFonts w:ascii="Avenir 55 Roman" w:hAnsi="Avenir 55 Roman"/>
          <w:sz w:val="20"/>
          <w:szCs w:val="20"/>
          <w:lang w:val="en"/>
        </w:rPr>
        <w:t xml:space="preserve"> [within a certain period of time after a CMS or State-initiated enrollment; or as a onetime annual opportunity that can be used at any time of the year]. </w:t>
      </w:r>
      <w:r w:rsidRPr="00803C2B">
        <w:rPr>
          <w:rFonts w:ascii="Avenir 55 Roman" w:hAnsi="Avenir 55 Roman"/>
          <w:sz w:val="20"/>
          <w:szCs w:val="20"/>
          <w:lang w:val="en"/>
        </w:rPr>
        <w:t xml:space="preserve"> Our organization is concerned about the impact this would have on our D-SNP and </w:t>
      </w:r>
      <w:r w:rsidR="00BD46B4" w:rsidRPr="00803C2B">
        <w:rPr>
          <w:rFonts w:ascii="Avenir 55 Roman" w:hAnsi="Avenir 55 Roman"/>
          <w:sz w:val="20"/>
          <w:szCs w:val="20"/>
          <w:lang w:val="en"/>
        </w:rPr>
        <w:t xml:space="preserve">Massachusetts’ </w:t>
      </w:r>
      <w:r w:rsidRPr="00803C2B">
        <w:rPr>
          <w:rFonts w:ascii="Avenir 55 Roman" w:hAnsi="Avenir 55 Roman"/>
          <w:sz w:val="20"/>
          <w:szCs w:val="20"/>
          <w:lang w:val="en"/>
        </w:rPr>
        <w:t xml:space="preserve">Senior Care Options (SCO) programs. If </w:t>
      </w:r>
      <w:r w:rsidR="00BD46B4" w:rsidRPr="00803C2B">
        <w:rPr>
          <w:rFonts w:ascii="Avenir 55 Roman" w:hAnsi="Avenir 55 Roman"/>
          <w:sz w:val="20"/>
          <w:szCs w:val="20"/>
          <w:lang w:val="en"/>
        </w:rPr>
        <w:t>FIDE plans</w:t>
      </w:r>
      <w:r w:rsidRPr="00803C2B">
        <w:rPr>
          <w:rFonts w:ascii="Avenir 55 Roman" w:hAnsi="Avenir 55 Roman"/>
          <w:sz w:val="20"/>
          <w:szCs w:val="20"/>
          <w:lang w:val="en"/>
        </w:rPr>
        <w:t xml:space="preserve"> contract with the state Medicaid agency requires </w:t>
      </w:r>
      <w:r w:rsidR="00BD46B4" w:rsidRPr="00803C2B">
        <w:rPr>
          <w:rFonts w:ascii="Avenir 55 Roman" w:hAnsi="Avenir 55 Roman"/>
          <w:sz w:val="20"/>
          <w:szCs w:val="20"/>
          <w:lang w:val="en"/>
        </w:rPr>
        <w:t>voluntary enrollment and disenrollment throughout the year this proposed rule will have significant impact</w:t>
      </w:r>
      <w:r w:rsidRPr="00803C2B">
        <w:rPr>
          <w:rFonts w:ascii="Avenir 55 Roman" w:hAnsi="Avenir 55 Roman"/>
          <w:sz w:val="20"/>
          <w:szCs w:val="20"/>
          <w:lang w:val="en"/>
        </w:rPr>
        <w:t>. On page 56375 of the federal register</w:t>
      </w:r>
      <w:r w:rsidR="002F230E" w:rsidRPr="00803C2B">
        <w:rPr>
          <w:rFonts w:ascii="Avenir 55 Roman" w:hAnsi="Avenir 55 Roman"/>
          <w:sz w:val="20"/>
          <w:szCs w:val="20"/>
          <w:lang w:val="en"/>
        </w:rPr>
        <w:t xml:space="preserve">, CMS </w:t>
      </w:r>
      <w:r w:rsidR="0074141A" w:rsidRPr="00803C2B">
        <w:rPr>
          <w:rFonts w:ascii="Avenir 55 Roman" w:hAnsi="Avenir 55 Roman"/>
          <w:sz w:val="20"/>
          <w:szCs w:val="20"/>
          <w:lang w:val="en"/>
        </w:rPr>
        <w:t xml:space="preserve">presents two alternatives that </w:t>
      </w:r>
      <w:r w:rsidR="002F230E" w:rsidRPr="00803C2B">
        <w:rPr>
          <w:rFonts w:ascii="Avenir 55 Roman" w:hAnsi="Avenir 55 Roman"/>
          <w:sz w:val="20"/>
          <w:szCs w:val="20"/>
          <w:lang w:val="en"/>
        </w:rPr>
        <w:t>were</w:t>
      </w:r>
      <w:r w:rsidR="0074141A" w:rsidRPr="00803C2B">
        <w:rPr>
          <w:rFonts w:ascii="Avenir 55 Roman" w:hAnsi="Avenir 55 Roman"/>
          <w:sz w:val="20"/>
          <w:szCs w:val="20"/>
          <w:lang w:val="en"/>
        </w:rPr>
        <w:t xml:space="preserve"> considered. The second of these alternatives would prohibit beneficiaries from using the SEP to elect a non-integrated MA-PD plan, but would allow continuous use of the dual SEP to allow eligible beneficiaries to enroll into FIDE SNPs or comparably integrated products for dually eligible beneficiaries. </w:t>
      </w:r>
      <w:r w:rsidR="002F230E" w:rsidRPr="00803C2B">
        <w:rPr>
          <w:rFonts w:ascii="Avenir 55 Roman" w:hAnsi="Avenir 55 Roman"/>
          <w:sz w:val="20"/>
          <w:szCs w:val="20"/>
          <w:lang w:val="en"/>
        </w:rPr>
        <w:t xml:space="preserve">Our organization recommends that, as in this second alternative, </w:t>
      </w:r>
      <w:r w:rsidR="0074141A" w:rsidRPr="00803C2B">
        <w:rPr>
          <w:rFonts w:ascii="Avenir 55 Roman" w:hAnsi="Avenir 55 Roman"/>
          <w:sz w:val="20"/>
          <w:szCs w:val="20"/>
          <w:lang w:val="en"/>
        </w:rPr>
        <w:t>the SEP still allow continuous enrollment into the D-SNP</w:t>
      </w:r>
      <w:r w:rsidR="002F230E" w:rsidRPr="00803C2B">
        <w:rPr>
          <w:rFonts w:ascii="Avenir 55 Roman" w:hAnsi="Avenir 55 Roman"/>
          <w:sz w:val="20"/>
          <w:szCs w:val="20"/>
          <w:lang w:val="en"/>
        </w:rPr>
        <w:t>s and SCO plans</w:t>
      </w:r>
      <w:r w:rsidR="0074141A" w:rsidRPr="00803C2B">
        <w:rPr>
          <w:rFonts w:ascii="Avenir 55 Roman" w:hAnsi="Avenir 55 Roman"/>
          <w:sz w:val="20"/>
          <w:szCs w:val="20"/>
          <w:lang w:val="en"/>
        </w:rPr>
        <w:t xml:space="preserve">. </w:t>
      </w:r>
    </w:p>
    <w:p w14:paraId="62180C0F" w14:textId="77777777" w:rsidR="00276349" w:rsidRPr="00803C2B" w:rsidRDefault="00276349" w:rsidP="00276349">
      <w:pPr>
        <w:pStyle w:val="PlainText"/>
        <w:rPr>
          <w:rFonts w:ascii="Avenir 55 Roman" w:eastAsiaTheme="minorEastAsia" w:hAnsi="Avenir 55 Roman" w:cstheme="minorBidi"/>
          <w:sz w:val="20"/>
          <w:szCs w:val="20"/>
          <w:lang w:val="en"/>
        </w:rPr>
      </w:pPr>
    </w:p>
    <w:p w14:paraId="3F94C020" w14:textId="26AD3F4F" w:rsidR="002F230E" w:rsidRPr="00803C2B" w:rsidRDefault="002F230E" w:rsidP="00276349">
      <w:pPr>
        <w:pStyle w:val="PlainText"/>
        <w:rPr>
          <w:rFonts w:ascii="Avenir 55 Roman" w:hAnsi="Avenir 55 Roman"/>
          <w:sz w:val="20"/>
          <w:szCs w:val="20"/>
          <w:lang w:val="en"/>
        </w:rPr>
      </w:pPr>
      <w:r w:rsidRPr="00803C2B">
        <w:rPr>
          <w:rFonts w:ascii="Avenir 55 Roman" w:hAnsi="Avenir 55 Roman"/>
          <w:sz w:val="20"/>
          <w:szCs w:val="20"/>
          <w:lang w:val="en"/>
        </w:rPr>
        <w:t xml:space="preserve">If the existing SEP is changed from an open-ended monthly SEP to one that may be used only in the following circumstances (1) within a certain period of time after a CMS or State-initiated enrollment; or (2) as a onetime annual opportunity that can be used at any time of the year, we request that CMS clarify how health plans are to determine if a member or enrollee has already made their one annual SEP election. </w:t>
      </w:r>
    </w:p>
    <w:p w14:paraId="7E8DD70E" w14:textId="77777777" w:rsidR="0074141A" w:rsidRPr="00565D41" w:rsidRDefault="0074141A" w:rsidP="0074141A">
      <w:pPr>
        <w:rPr>
          <w:rFonts w:ascii="Avenir 55 Roman" w:hAnsi="Avenir 55 Roman"/>
          <w:color w:val="FF0000"/>
          <w:sz w:val="20"/>
          <w:szCs w:val="20"/>
          <w:lang w:val="en"/>
        </w:rPr>
      </w:pPr>
    </w:p>
    <w:p w14:paraId="22803843" w14:textId="77777777" w:rsidR="0074141A" w:rsidRPr="00565D41" w:rsidRDefault="0074141A" w:rsidP="0074141A">
      <w:pPr>
        <w:pStyle w:val="PlainText"/>
        <w:rPr>
          <w:rFonts w:ascii="Avenir 55 Roman" w:hAnsi="Avenir 55 Roman"/>
          <w:color w:val="FF0000"/>
          <w:sz w:val="20"/>
          <w:szCs w:val="20"/>
          <w:lang w:val="en"/>
        </w:rPr>
      </w:pPr>
    </w:p>
    <w:p w14:paraId="32CE050B" w14:textId="77777777" w:rsidR="002B29E4" w:rsidRPr="00803C2B" w:rsidRDefault="002B29E4" w:rsidP="002B29E4">
      <w:pPr>
        <w:pStyle w:val="PlainText"/>
        <w:rPr>
          <w:rFonts w:ascii="Avenir 55 Roman" w:hAnsi="Avenir 55 Roman"/>
          <w:b/>
          <w:bCs/>
          <w:iCs/>
          <w:sz w:val="20"/>
          <w:szCs w:val="20"/>
          <w:lang w:val="en"/>
        </w:rPr>
      </w:pPr>
      <w:r w:rsidRPr="00803C2B">
        <w:rPr>
          <w:rFonts w:ascii="Avenir 55 Roman" w:hAnsi="Avenir 55 Roman"/>
          <w:b/>
          <w:bCs/>
          <w:iCs/>
          <w:sz w:val="20"/>
          <w:szCs w:val="20"/>
          <w:lang w:val="en"/>
        </w:rPr>
        <w:t>A. Supporting Innovative Approaches to Improving Quality, Accessibility, and Affordability</w:t>
      </w:r>
    </w:p>
    <w:p w14:paraId="4CC796A3" w14:textId="0CA28680" w:rsidR="00276349" w:rsidRPr="00276349" w:rsidRDefault="002B29E4" w:rsidP="00276349">
      <w:pPr>
        <w:rPr>
          <w:rFonts w:ascii="Avenir 55 Roman" w:hAnsi="Avenir 55 Roman" w:cs="Arial"/>
          <w:color w:val="FF0000"/>
          <w:sz w:val="20"/>
          <w:szCs w:val="20"/>
        </w:rPr>
      </w:pPr>
      <w:r w:rsidRPr="00803C2B">
        <w:rPr>
          <w:rFonts w:ascii="Avenir 55 Roman" w:hAnsi="Avenir 55 Roman"/>
          <w:b/>
          <w:sz w:val="20"/>
          <w:szCs w:val="20"/>
        </w:rPr>
        <w:t xml:space="preserve">11. Medicare Advantage and Part D Prescription Drug Plan Quality Rating System - </w:t>
      </w:r>
      <w:r w:rsidRPr="00803C2B">
        <w:rPr>
          <w:rFonts w:ascii="Avenir 55 Roman" w:hAnsi="Avenir 55 Roman"/>
          <w:b/>
          <w:bCs/>
          <w:iCs/>
          <w:sz w:val="20"/>
          <w:szCs w:val="20"/>
          <w:lang w:val="en"/>
        </w:rPr>
        <w:t>Ensure Additional Transparency for Star Ratings</w:t>
      </w:r>
      <w:r w:rsidRPr="00565D41">
        <w:rPr>
          <w:rFonts w:ascii="Avenir 55 Roman" w:hAnsi="Avenir 55 Roman"/>
          <w:b/>
          <w:bCs/>
          <w:i/>
          <w:iCs/>
          <w:sz w:val="20"/>
          <w:szCs w:val="20"/>
          <w:lang w:val="en"/>
        </w:rPr>
        <w:br/>
      </w:r>
    </w:p>
    <w:p w14:paraId="33EB9708" w14:textId="0CAD7ABA" w:rsidR="002B29E4" w:rsidRPr="00803C2B" w:rsidRDefault="002B29E4" w:rsidP="00276349">
      <w:pPr>
        <w:pStyle w:val="PlainText"/>
        <w:rPr>
          <w:rFonts w:ascii="Avenir 55 Roman" w:hAnsi="Avenir 55 Roman" w:cs="Arial"/>
          <w:sz w:val="20"/>
          <w:szCs w:val="20"/>
        </w:rPr>
      </w:pPr>
      <w:r w:rsidRPr="00803C2B">
        <w:rPr>
          <w:rFonts w:ascii="Avenir 55 Roman" w:hAnsi="Avenir 55 Roman" w:cs="Arial"/>
          <w:sz w:val="20"/>
          <w:szCs w:val="20"/>
        </w:rPr>
        <w:t>Fallon Health supports transparency in the Star rating cut points prior to the calendar year on which the ratings are based.  This allows for appropriate goal setting and allocating appropriate financial resources.</w:t>
      </w:r>
    </w:p>
    <w:p w14:paraId="700DE558" w14:textId="77777777" w:rsidR="002B29E4" w:rsidRDefault="002B29E4" w:rsidP="002B29E4">
      <w:pPr>
        <w:pStyle w:val="PlainText"/>
        <w:rPr>
          <w:rFonts w:ascii="Avenir 55 Roman" w:hAnsi="Avenir 55 Roman"/>
          <w:sz w:val="20"/>
          <w:szCs w:val="20"/>
          <w:lang w:val="en"/>
        </w:rPr>
      </w:pPr>
    </w:p>
    <w:p w14:paraId="298D3808" w14:textId="77777777" w:rsidR="00803C2B" w:rsidRDefault="00803C2B" w:rsidP="002B29E4">
      <w:pPr>
        <w:pStyle w:val="PlainText"/>
        <w:rPr>
          <w:rFonts w:ascii="Avenir 55 Roman" w:hAnsi="Avenir 55 Roman"/>
          <w:sz w:val="20"/>
          <w:szCs w:val="20"/>
          <w:lang w:val="en"/>
        </w:rPr>
      </w:pPr>
    </w:p>
    <w:p w14:paraId="29AB4AAC" w14:textId="77777777" w:rsidR="00803C2B" w:rsidRDefault="00803C2B" w:rsidP="002B29E4">
      <w:pPr>
        <w:pStyle w:val="PlainText"/>
        <w:rPr>
          <w:rFonts w:ascii="Avenir 55 Roman" w:hAnsi="Avenir 55 Roman"/>
          <w:sz w:val="20"/>
          <w:szCs w:val="20"/>
          <w:lang w:val="en"/>
        </w:rPr>
      </w:pPr>
    </w:p>
    <w:p w14:paraId="2B5C7211" w14:textId="77777777" w:rsidR="00803C2B" w:rsidRDefault="00803C2B" w:rsidP="002B29E4">
      <w:pPr>
        <w:pStyle w:val="PlainText"/>
        <w:rPr>
          <w:rFonts w:ascii="Avenir 55 Roman" w:hAnsi="Avenir 55 Roman"/>
          <w:sz w:val="20"/>
          <w:szCs w:val="20"/>
          <w:lang w:val="en"/>
        </w:rPr>
      </w:pPr>
    </w:p>
    <w:p w14:paraId="1490B7E4" w14:textId="77777777" w:rsidR="00803C2B" w:rsidRPr="00565D41" w:rsidRDefault="00803C2B" w:rsidP="002B29E4">
      <w:pPr>
        <w:pStyle w:val="PlainText"/>
        <w:rPr>
          <w:rFonts w:ascii="Avenir 55 Roman" w:hAnsi="Avenir 55 Roman"/>
          <w:sz w:val="20"/>
          <w:szCs w:val="20"/>
          <w:lang w:val="en"/>
        </w:rPr>
      </w:pPr>
    </w:p>
    <w:p w14:paraId="6DF6B909" w14:textId="77777777" w:rsidR="00173520" w:rsidRPr="00565D41" w:rsidRDefault="00173520" w:rsidP="0074141A">
      <w:pPr>
        <w:pStyle w:val="PlainText"/>
        <w:rPr>
          <w:rFonts w:ascii="Avenir 55 Roman" w:hAnsi="Avenir 55 Roman"/>
          <w:b/>
          <w:bCs/>
          <w:i/>
          <w:iCs/>
          <w:sz w:val="20"/>
          <w:szCs w:val="20"/>
          <w:lang w:val="en"/>
        </w:rPr>
      </w:pPr>
    </w:p>
    <w:p w14:paraId="2D258735" w14:textId="77777777" w:rsidR="00173520" w:rsidRPr="00803C2B" w:rsidRDefault="00173520" w:rsidP="00173520">
      <w:pPr>
        <w:pStyle w:val="PlainText"/>
        <w:rPr>
          <w:rFonts w:ascii="Avenir 55 Roman" w:hAnsi="Avenir 55 Roman"/>
          <w:b/>
          <w:bCs/>
          <w:iCs/>
          <w:sz w:val="20"/>
          <w:szCs w:val="20"/>
          <w:lang w:val="en"/>
        </w:rPr>
      </w:pPr>
      <w:r w:rsidRPr="00803C2B">
        <w:rPr>
          <w:rFonts w:ascii="Avenir 55 Roman" w:hAnsi="Avenir 55 Roman"/>
          <w:b/>
          <w:bCs/>
          <w:iCs/>
          <w:sz w:val="20"/>
          <w:szCs w:val="20"/>
          <w:lang w:val="en"/>
        </w:rPr>
        <w:t>A. Supporting Innovative Approaches to Improving Quality, Accessibility, and Affordability</w:t>
      </w:r>
    </w:p>
    <w:p w14:paraId="5CE2292E" w14:textId="7649E9FD" w:rsidR="0074141A" w:rsidRPr="00565D41" w:rsidRDefault="00FE0EE5" w:rsidP="0074141A">
      <w:pPr>
        <w:pStyle w:val="PlainText"/>
        <w:rPr>
          <w:rFonts w:ascii="Avenir 55 Roman" w:hAnsi="Avenir 55 Roman"/>
          <w:sz w:val="20"/>
          <w:szCs w:val="20"/>
          <w:lang w:val="en"/>
        </w:rPr>
      </w:pPr>
      <w:r w:rsidRPr="00803C2B">
        <w:rPr>
          <w:rFonts w:ascii="Avenir 55 Roman" w:hAnsi="Avenir 55 Roman"/>
          <w:b/>
          <w:bCs/>
          <w:i/>
          <w:iCs/>
          <w:sz w:val="20"/>
          <w:szCs w:val="20"/>
          <w:lang w:val="en"/>
        </w:rPr>
        <w:t>12. Any Willing Pharmacy Standard Terms and Conditions and Better Define Pharmacy Types</w:t>
      </w:r>
      <w:r w:rsidRPr="00565D41">
        <w:rPr>
          <w:rFonts w:ascii="Avenir 55 Roman" w:hAnsi="Avenir 55 Roman"/>
          <w:b/>
          <w:bCs/>
          <w:i/>
          <w:iCs/>
          <w:sz w:val="20"/>
          <w:szCs w:val="20"/>
          <w:lang w:val="en"/>
        </w:rPr>
        <w:t xml:space="preserve"> </w:t>
      </w:r>
      <w:r w:rsidR="0074141A" w:rsidRPr="00565D41">
        <w:rPr>
          <w:rFonts w:ascii="Avenir 55 Roman" w:hAnsi="Avenir 55 Roman"/>
          <w:b/>
          <w:bCs/>
          <w:i/>
          <w:iCs/>
          <w:sz w:val="20"/>
          <w:szCs w:val="20"/>
          <w:lang w:val="en"/>
        </w:rPr>
        <w:br/>
      </w:r>
    </w:p>
    <w:p w14:paraId="52920BA8" w14:textId="37852703" w:rsidR="0074141A" w:rsidRPr="00803C2B" w:rsidRDefault="0074141A" w:rsidP="00386F69">
      <w:pPr>
        <w:rPr>
          <w:rFonts w:ascii="Avenir 55 Roman" w:hAnsi="Avenir 55 Roman" w:cs="Arial"/>
          <w:sz w:val="20"/>
          <w:szCs w:val="20"/>
        </w:rPr>
      </w:pPr>
      <w:r w:rsidRPr="00803C2B">
        <w:rPr>
          <w:rFonts w:ascii="Avenir 55 Roman" w:hAnsi="Avenir 55 Roman" w:cs="Arial"/>
          <w:sz w:val="20"/>
          <w:szCs w:val="20"/>
        </w:rPr>
        <w:t xml:space="preserve">If CMS issues a final rule that is interpreted to mean that plans should allow any pharmacy to join preferred networks, then </w:t>
      </w:r>
      <w:r w:rsidR="00386F69" w:rsidRPr="00803C2B">
        <w:rPr>
          <w:rFonts w:ascii="Avenir 55 Roman" w:hAnsi="Avenir 55 Roman" w:cs="Arial"/>
          <w:sz w:val="20"/>
          <w:szCs w:val="20"/>
        </w:rPr>
        <w:t xml:space="preserve">some Medicare Advantage plans </w:t>
      </w:r>
      <w:r w:rsidRPr="00803C2B">
        <w:rPr>
          <w:rFonts w:ascii="Avenir 55 Roman" w:hAnsi="Avenir 55 Roman" w:cs="Arial"/>
          <w:sz w:val="20"/>
          <w:szCs w:val="20"/>
        </w:rPr>
        <w:t xml:space="preserve">may need to open preferred cost-sharing networks </w:t>
      </w:r>
      <w:r w:rsidR="00386F69" w:rsidRPr="00803C2B">
        <w:rPr>
          <w:rFonts w:ascii="Avenir 55 Roman" w:hAnsi="Avenir 55 Roman" w:cs="Arial"/>
          <w:sz w:val="20"/>
          <w:szCs w:val="20"/>
        </w:rPr>
        <w:t>to</w:t>
      </w:r>
      <w:r w:rsidRPr="00803C2B">
        <w:rPr>
          <w:rFonts w:ascii="Avenir 55 Roman" w:hAnsi="Avenir 55 Roman" w:cs="Arial"/>
          <w:sz w:val="20"/>
          <w:szCs w:val="20"/>
        </w:rPr>
        <w:t xml:space="preserve"> additional pharmacies to join in order to comply with the “Any Willing Provider” requirements. This </w:t>
      </w:r>
      <w:r w:rsidR="00386F69" w:rsidRPr="00803C2B">
        <w:rPr>
          <w:rFonts w:ascii="Avenir 55 Roman" w:hAnsi="Avenir 55 Roman" w:cs="Arial"/>
          <w:sz w:val="20"/>
          <w:szCs w:val="20"/>
        </w:rPr>
        <w:t>would certainly</w:t>
      </w:r>
      <w:r w:rsidRPr="00803C2B">
        <w:rPr>
          <w:rFonts w:ascii="Avenir 55 Roman" w:hAnsi="Avenir 55 Roman" w:cs="Arial"/>
          <w:sz w:val="20"/>
          <w:szCs w:val="20"/>
        </w:rPr>
        <w:t xml:space="preserve"> diminish the benefits and cost savings associated with </w:t>
      </w:r>
      <w:r w:rsidR="00386F69" w:rsidRPr="00803C2B">
        <w:rPr>
          <w:rFonts w:ascii="Avenir 55 Roman" w:hAnsi="Avenir 55 Roman" w:cs="Arial"/>
          <w:sz w:val="20"/>
          <w:szCs w:val="20"/>
        </w:rPr>
        <w:t xml:space="preserve">a health plan </w:t>
      </w:r>
      <w:r w:rsidRPr="00803C2B">
        <w:rPr>
          <w:rFonts w:ascii="Avenir 55 Roman" w:hAnsi="Avenir 55 Roman" w:cs="Arial"/>
          <w:sz w:val="20"/>
          <w:szCs w:val="20"/>
        </w:rPr>
        <w:t>establishing preferred networks and has the potential to increase costs across the entire Part D Program.</w:t>
      </w:r>
      <w:r w:rsidR="00386F69" w:rsidRPr="00803C2B">
        <w:rPr>
          <w:rFonts w:ascii="Avenir 55 Roman" w:hAnsi="Avenir 55 Roman" w:cs="Arial"/>
          <w:sz w:val="20"/>
          <w:szCs w:val="20"/>
        </w:rPr>
        <w:t xml:space="preserve"> </w:t>
      </w:r>
      <w:r w:rsidRPr="00803C2B">
        <w:rPr>
          <w:rFonts w:ascii="Avenir 55 Roman" w:hAnsi="Avenir 55 Roman" w:cs="Arial"/>
          <w:sz w:val="20"/>
          <w:szCs w:val="20"/>
        </w:rPr>
        <w:t xml:space="preserve">Fallon Health opposes any changes to the Any Willing Provider requirement that would have the effect of eliminating the concept of preferred </w:t>
      </w:r>
      <w:r w:rsidR="00386F69" w:rsidRPr="00803C2B">
        <w:rPr>
          <w:rFonts w:ascii="Avenir 55 Roman" w:hAnsi="Avenir 55 Roman" w:cs="Arial"/>
          <w:sz w:val="20"/>
          <w:szCs w:val="20"/>
        </w:rPr>
        <w:t>pharmacies. Fallon</w:t>
      </w:r>
      <w:r w:rsidRPr="00803C2B">
        <w:rPr>
          <w:rFonts w:ascii="Avenir 55 Roman" w:hAnsi="Avenir 55 Roman" w:cs="Arial"/>
          <w:sz w:val="20"/>
          <w:szCs w:val="20"/>
        </w:rPr>
        <w:t xml:space="preserve"> Health </w:t>
      </w:r>
      <w:r w:rsidR="00386F69" w:rsidRPr="00803C2B">
        <w:rPr>
          <w:rFonts w:ascii="Avenir 55 Roman" w:hAnsi="Avenir 55 Roman" w:cs="Arial"/>
          <w:sz w:val="20"/>
          <w:szCs w:val="20"/>
        </w:rPr>
        <w:t xml:space="preserve">recommends that CMS </w:t>
      </w:r>
      <w:r w:rsidRPr="00803C2B">
        <w:rPr>
          <w:rFonts w:ascii="Avenir 55 Roman" w:hAnsi="Avenir 55 Roman" w:cs="Arial"/>
          <w:sz w:val="20"/>
          <w:szCs w:val="20"/>
        </w:rPr>
        <w:t xml:space="preserve">maintain the current rules which allow preferred pharmacies, since </w:t>
      </w:r>
      <w:r w:rsidR="00386F69" w:rsidRPr="00803C2B">
        <w:rPr>
          <w:rFonts w:ascii="Avenir 55 Roman" w:hAnsi="Avenir 55 Roman" w:cs="Arial"/>
          <w:sz w:val="20"/>
          <w:szCs w:val="20"/>
        </w:rPr>
        <w:t>this will result</w:t>
      </w:r>
      <w:r w:rsidRPr="00803C2B">
        <w:rPr>
          <w:rFonts w:ascii="Avenir 55 Roman" w:hAnsi="Avenir 55 Roman" w:cs="Arial"/>
          <w:sz w:val="20"/>
          <w:szCs w:val="20"/>
        </w:rPr>
        <w:t xml:space="preserve"> in significant cost savings to beneficiaries and the Medicare Program.</w:t>
      </w:r>
    </w:p>
    <w:p w14:paraId="47D61A67" w14:textId="77777777" w:rsidR="0074141A" w:rsidRPr="00565D41" w:rsidRDefault="0074141A" w:rsidP="0074141A">
      <w:pPr>
        <w:pStyle w:val="PlainText"/>
        <w:rPr>
          <w:rFonts w:ascii="Avenir 55 Roman" w:hAnsi="Avenir 55 Roman"/>
          <w:sz w:val="20"/>
          <w:szCs w:val="20"/>
          <w:lang w:val="en"/>
        </w:rPr>
      </w:pPr>
    </w:p>
    <w:p w14:paraId="73287B42" w14:textId="77777777" w:rsidR="0074141A" w:rsidRPr="00565D41" w:rsidRDefault="0074141A" w:rsidP="0074141A">
      <w:pPr>
        <w:pStyle w:val="PlainText"/>
        <w:rPr>
          <w:rFonts w:ascii="Avenir 55 Roman" w:hAnsi="Avenir 55 Roman"/>
          <w:i/>
          <w:iCs/>
          <w:sz w:val="20"/>
          <w:szCs w:val="20"/>
          <w:lang w:val="en"/>
        </w:rPr>
      </w:pPr>
    </w:p>
    <w:p w14:paraId="7D2C786E" w14:textId="3DF518C1" w:rsidR="00FE0EE5" w:rsidRPr="00803C2B" w:rsidRDefault="00173520" w:rsidP="00173520">
      <w:pPr>
        <w:pStyle w:val="PlainText"/>
        <w:rPr>
          <w:rFonts w:ascii="Avenir 55 Roman" w:hAnsi="Avenir 55 Roman"/>
          <w:b/>
          <w:bCs/>
          <w:iCs/>
          <w:sz w:val="20"/>
          <w:szCs w:val="20"/>
          <w:lang w:val="en"/>
        </w:rPr>
      </w:pPr>
      <w:r w:rsidRPr="00803C2B">
        <w:rPr>
          <w:rFonts w:ascii="Avenir 55 Roman" w:hAnsi="Avenir 55 Roman"/>
          <w:b/>
          <w:bCs/>
          <w:iCs/>
          <w:sz w:val="20"/>
          <w:szCs w:val="20"/>
          <w:lang w:val="en"/>
        </w:rPr>
        <w:t>A. Supporting Innovative Approaches to Improving Quality, Accessibility, and Affordability</w:t>
      </w:r>
    </w:p>
    <w:p w14:paraId="69025CB5" w14:textId="78FEB3B0" w:rsidR="00FE0EE5" w:rsidRPr="00803C2B" w:rsidRDefault="00173520" w:rsidP="00FE0EE5">
      <w:pPr>
        <w:pStyle w:val="PlainText"/>
        <w:rPr>
          <w:rFonts w:ascii="Avenir 55 Roman" w:hAnsi="Avenir 55 Roman"/>
          <w:b/>
          <w:bCs/>
          <w:i/>
          <w:iCs/>
          <w:sz w:val="20"/>
          <w:szCs w:val="20"/>
          <w:lang w:val="en"/>
        </w:rPr>
      </w:pPr>
      <w:r w:rsidRPr="00803C2B">
        <w:rPr>
          <w:rFonts w:ascii="Avenir 55 Roman" w:hAnsi="Avenir 55 Roman"/>
          <w:b/>
          <w:bCs/>
          <w:i/>
          <w:iCs/>
          <w:sz w:val="20"/>
          <w:szCs w:val="20"/>
          <w:lang w:val="en"/>
        </w:rPr>
        <w:t xml:space="preserve">17. </w:t>
      </w:r>
      <w:r w:rsidR="00FE0EE5" w:rsidRPr="00803C2B">
        <w:rPr>
          <w:rFonts w:ascii="Avenir 55 Roman" w:hAnsi="Avenir 55 Roman"/>
          <w:b/>
          <w:bCs/>
          <w:i/>
          <w:iCs/>
          <w:sz w:val="20"/>
          <w:szCs w:val="20"/>
          <w:lang w:val="en"/>
        </w:rPr>
        <w:t xml:space="preserve">Application of Manufacturer Rebates and Pharmacy Price Concessions to Drug Prices at the Point of Sale </w:t>
      </w:r>
    </w:p>
    <w:p w14:paraId="730D8D2F" w14:textId="2A747770" w:rsidR="0074141A" w:rsidRPr="00565D41" w:rsidRDefault="00515B43" w:rsidP="00FE0EE5">
      <w:pPr>
        <w:pStyle w:val="PlainText"/>
        <w:rPr>
          <w:rFonts w:ascii="Avenir 55 Roman" w:hAnsi="Avenir 55 Roman"/>
          <w:sz w:val="20"/>
          <w:szCs w:val="20"/>
          <w:lang w:val="en"/>
        </w:rPr>
      </w:pPr>
      <w:r>
        <w:rPr>
          <w:rFonts w:ascii="Avenir 55 Roman" w:hAnsi="Avenir 55 Roman"/>
          <w:sz w:val="20"/>
          <w:szCs w:val="20"/>
          <w:lang w:val="en"/>
        </w:rPr>
        <w:t xml:space="preserve"> </w:t>
      </w:r>
    </w:p>
    <w:p w14:paraId="30B065D4" w14:textId="0CD34B19" w:rsidR="0074141A" w:rsidRPr="00803C2B" w:rsidRDefault="0074141A" w:rsidP="00276349">
      <w:pPr>
        <w:pStyle w:val="Default"/>
        <w:rPr>
          <w:rFonts w:ascii="Avenir 55 Roman" w:hAnsi="Avenir 55 Roman"/>
          <w:color w:val="auto"/>
          <w:sz w:val="20"/>
          <w:szCs w:val="20"/>
        </w:rPr>
      </w:pPr>
      <w:r w:rsidRPr="00803C2B">
        <w:rPr>
          <w:rFonts w:ascii="Avenir 55 Roman" w:hAnsi="Avenir 55 Roman"/>
          <w:color w:val="auto"/>
          <w:sz w:val="20"/>
          <w:szCs w:val="20"/>
        </w:rPr>
        <w:t>Requiring manufacturer rebates to be passed through at POS would increase member drug price volatility, increase taxpayer costs, increase government spending (and thus taxpayer costs) and provide a financial windfall for manufacturers (based on CMS’s own financial impact estimates).</w:t>
      </w:r>
      <w:r w:rsidR="00F231B0" w:rsidRPr="00803C2B">
        <w:rPr>
          <w:rFonts w:ascii="Avenir 55 Roman" w:hAnsi="Avenir 55 Roman"/>
          <w:color w:val="auto"/>
          <w:sz w:val="20"/>
          <w:szCs w:val="20"/>
        </w:rPr>
        <w:t xml:space="preserve"> </w:t>
      </w:r>
      <w:r w:rsidRPr="00803C2B">
        <w:rPr>
          <w:rFonts w:ascii="Avenir 55 Roman" w:hAnsi="Avenir 55 Roman"/>
          <w:color w:val="auto"/>
          <w:sz w:val="20"/>
          <w:szCs w:val="20"/>
        </w:rPr>
        <w:t>In addition, this would provide manufacturers with insights into rebates across Plans and encourages manufacturers to reduce rebates. It also greatly increases administrative costs.</w:t>
      </w:r>
      <w:r w:rsidR="00F231B0" w:rsidRPr="00803C2B">
        <w:rPr>
          <w:rFonts w:ascii="Avenir 55 Roman" w:hAnsi="Avenir 55 Roman"/>
          <w:color w:val="auto"/>
          <w:sz w:val="20"/>
          <w:szCs w:val="20"/>
        </w:rPr>
        <w:t xml:space="preserve"> </w:t>
      </w:r>
      <w:r w:rsidRPr="00803C2B">
        <w:rPr>
          <w:rFonts w:ascii="Avenir 55 Roman" w:hAnsi="Avenir 55 Roman"/>
          <w:color w:val="auto"/>
          <w:sz w:val="20"/>
          <w:szCs w:val="20"/>
        </w:rPr>
        <w:t>Such a policy would increase beneficiary premiums (since currently rebate monies are used to lower premiums across the board for all beneficiaries), which could result in fewer people signing up for Part D and thus reduce Medicare beneficiary access to medications.</w:t>
      </w:r>
    </w:p>
    <w:p w14:paraId="3E25FAB5" w14:textId="77777777" w:rsidR="00276349" w:rsidRPr="00803C2B" w:rsidRDefault="00276349" w:rsidP="00276349">
      <w:pPr>
        <w:pStyle w:val="ListParagraph"/>
        <w:rPr>
          <w:rFonts w:ascii="Avenir 55 Roman" w:hAnsi="Avenir 55 Roman" w:cs="Arial"/>
          <w:sz w:val="20"/>
          <w:szCs w:val="20"/>
        </w:rPr>
      </w:pPr>
    </w:p>
    <w:p w14:paraId="7B9F98B6" w14:textId="489CB058" w:rsidR="0074141A" w:rsidRPr="00803C2B" w:rsidRDefault="00276349" w:rsidP="00276349">
      <w:pPr>
        <w:rPr>
          <w:rFonts w:ascii="Avenir 55 Roman" w:hAnsi="Avenir 55 Roman" w:cs="Arial"/>
          <w:sz w:val="20"/>
          <w:szCs w:val="20"/>
        </w:rPr>
      </w:pPr>
      <w:r w:rsidRPr="00803C2B">
        <w:rPr>
          <w:rFonts w:ascii="Avenir 55 Roman" w:hAnsi="Avenir 55 Roman" w:cs="Arial"/>
          <w:sz w:val="20"/>
          <w:szCs w:val="20"/>
        </w:rPr>
        <w:t xml:space="preserve">The application of Pharmacy Price Concessions </w:t>
      </w:r>
      <w:r w:rsidR="0074141A" w:rsidRPr="00803C2B">
        <w:rPr>
          <w:rFonts w:ascii="Avenir 55 Roman" w:hAnsi="Avenir 55 Roman" w:cs="Arial"/>
          <w:sz w:val="20"/>
          <w:szCs w:val="20"/>
        </w:rPr>
        <w:t>would severely impede pay-for-performance programs</w:t>
      </w:r>
      <w:r w:rsidR="00F231B0" w:rsidRPr="00803C2B">
        <w:rPr>
          <w:rFonts w:ascii="Avenir 55 Roman" w:hAnsi="Avenir 55 Roman" w:cs="Arial"/>
          <w:sz w:val="20"/>
          <w:szCs w:val="20"/>
        </w:rPr>
        <w:t xml:space="preserve">. </w:t>
      </w:r>
      <w:r w:rsidR="0074141A" w:rsidRPr="00803C2B">
        <w:rPr>
          <w:rFonts w:ascii="Avenir 55 Roman" w:hAnsi="Avenir 55 Roman" w:cs="Arial"/>
          <w:sz w:val="20"/>
          <w:szCs w:val="20"/>
        </w:rPr>
        <w:t>Congress and CMS have taken steps toward a more value-based health care payment system through the adoption of pay-for-performance methodologies in traditional Medicare and the Medicare Advantage program.</w:t>
      </w:r>
      <w:r w:rsidR="00F231B0" w:rsidRPr="00803C2B">
        <w:rPr>
          <w:rFonts w:ascii="Avenir 55 Roman" w:hAnsi="Avenir 55 Roman" w:cs="Arial"/>
          <w:sz w:val="20"/>
          <w:szCs w:val="20"/>
        </w:rPr>
        <w:t xml:space="preserve"> </w:t>
      </w:r>
      <w:r w:rsidR="0074141A" w:rsidRPr="00803C2B">
        <w:rPr>
          <w:rFonts w:ascii="Avenir 55 Roman" w:hAnsi="Avenir 55 Roman" w:cs="Arial"/>
          <w:sz w:val="20"/>
          <w:szCs w:val="20"/>
        </w:rPr>
        <w:t>Similar to other providers, incentivizing pharmacies to improve performance and lower costs increases value for Medicare beneficiaries.</w:t>
      </w:r>
    </w:p>
    <w:p w14:paraId="36B12E36" w14:textId="77777777" w:rsidR="00276349" w:rsidRPr="00803C2B" w:rsidRDefault="00276349" w:rsidP="00276349">
      <w:pPr>
        <w:rPr>
          <w:rFonts w:ascii="Avenir 55 Roman" w:hAnsi="Avenir 55 Roman" w:cs="Arial"/>
          <w:sz w:val="20"/>
          <w:szCs w:val="20"/>
        </w:rPr>
      </w:pPr>
    </w:p>
    <w:p w14:paraId="34B284B0" w14:textId="77777777" w:rsidR="0074141A" w:rsidRPr="00803C2B" w:rsidRDefault="0074141A" w:rsidP="00276349">
      <w:pPr>
        <w:rPr>
          <w:rFonts w:ascii="Avenir 55 Roman" w:hAnsi="Avenir 55 Roman" w:cs="Arial"/>
          <w:sz w:val="20"/>
          <w:szCs w:val="20"/>
        </w:rPr>
      </w:pPr>
      <w:r w:rsidRPr="00803C2B">
        <w:rPr>
          <w:rFonts w:ascii="Avenir 55 Roman" w:hAnsi="Avenir 55 Roman" w:cs="Arial"/>
          <w:sz w:val="20"/>
          <w:szCs w:val="20"/>
        </w:rPr>
        <w:t>Under performance-based pharmacy arrangements negotiated by our PBM and pharmacies, pharmacies can receive positive or negative payment adjustments based upon criteria such as:</w:t>
      </w:r>
    </w:p>
    <w:p w14:paraId="3F993678" w14:textId="77777777" w:rsidR="0074141A" w:rsidRPr="00803C2B" w:rsidRDefault="0074141A" w:rsidP="0074141A">
      <w:pPr>
        <w:pStyle w:val="ListParagraph"/>
        <w:numPr>
          <w:ilvl w:val="1"/>
          <w:numId w:val="4"/>
        </w:numPr>
        <w:rPr>
          <w:rFonts w:ascii="Avenir 55 Roman" w:hAnsi="Avenir 55 Roman" w:cs="Arial"/>
          <w:sz w:val="20"/>
          <w:szCs w:val="20"/>
        </w:rPr>
      </w:pPr>
      <w:r w:rsidRPr="00803C2B">
        <w:rPr>
          <w:rFonts w:ascii="Avenir 55 Roman" w:hAnsi="Avenir 55 Roman" w:cs="Arial"/>
          <w:sz w:val="20"/>
          <w:szCs w:val="20"/>
        </w:rPr>
        <w:t>Formulary compliance;</w:t>
      </w:r>
    </w:p>
    <w:p w14:paraId="73CB6DF6" w14:textId="77777777" w:rsidR="0074141A" w:rsidRPr="00803C2B" w:rsidRDefault="0074141A" w:rsidP="0074141A">
      <w:pPr>
        <w:pStyle w:val="ListParagraph"/>
        <w:numPr>
          <w:ilvl w:val="1"/>
          <w:numId w:val="4"/>
        </w:numPr>
        <w:rPr>
          <w:rFonts w:ascii="Avenir 55 Roman" w:hAnsi="Avenir 55 Roman" w:cs="Arial"/>
          <w:sz w:val="20"/>
          <w:szCs w:val="20"/>
        </w:rPr>
      </w:pPr>
      <w:r w:rsidRPr="00803C2B">
        <w:rPr>
          <w:rFonts w:ascii="Avenir 55 Roman" w:hAnsi="Avenir 55 Roman" w:cs="Arial"/>
          <w:sz w:val="20"/>
          <w:szCs w:val="20"/>
        </w:rPr>
        <w:t>Helping beneficiaries remain adherent to their prescribed regimens, including statin and diabetes drugs;</w:t>
      </w:r>
    </w:p>
    <w:p w14:paraId="5E46646F" w14:textId="77777777" w:rsidR="0074141A" w:rsidRPr="00803C2B" w:rsidRDefault="0074141A" w:rsidP="0074141A">
      <w:pPr>
        <w:pStyle w:val="ListParagraph"/>
        <w:numPr>
          <w:ilvl w:val="1"/>
          <w:numId w:val="4"/>
        </w:numPr>
        <w:rPr>
          <w:rFonts w:ascii="Avenir 55 Roman" w:hAnsi="Avenir 55 Roman" w:cs="Arial"/>
          <w:sz w:val="20"/>
          <w:szCs w:val="20"/>
        </w:rPr>
      </w:pPr>
      <w:r w:rsidRPr="00803C2B">
        <w:rPr>
          <w:rFonts w:ascii="Avenir 55 Roman" w:hAnsi="Avenir 55 Roman" w:cs="Arial"/>
          <w:sz w:val="20"/>
          <w:szCs w:val="20"/>
        </w:rPr>
        <w:t>Reducing inappropriate drug use and/or overutilization;</w:t>
      </w:r>
    </w:p>
    <w:p w14:paraId="4D87F015" w14:textId="77777777" w:rsidR="0074141A" w:rsidRPr="00803C2B" w:rsidRDefault="0074141A" w:rsidP="0074141A">
      <w:pPr>
        <w:pStyle w:val="ListParagraph"/>
        <w:numPr>
          <w:ilvl w:val="1"/>
          <w:numId w:val="4"/>
        </w:numPr>
        <w:rPr>
          <w:rFonts w:ascii="Avenir 55 Roman" w:hAnsi="Avenir 55 Roman" w:cs="Arial"/>
          <w:sz w:val="20"/>
          <w:szCs w:val="20"/>
        </w:rPr>
      </w:pPr>
      <w:r w:rsidRPr="00803C2B">
        <w:rPr>
          <w:rFonts w:ascii="Avenir 55 Roman" w:hAnsi="Avenir 55 Roman" w:cs="Arial"/>
          <w:sz w:val="20"/>
          <w:szCs w:val="20"/>
        </w:rPr>
        <w:t>Engaging beneficiaries to participate in, and reporting metrics related to, management programs; and</w:t>
      </w:r>
    </w:p>
    <w:p w14:paraId="731235D6" w14:textId="77777777" w:rsidR="0074141A" w:rsidRPr="00803C2B" w:rsidRDefault="0074141A" w:rsidP="0074141A">
      <w:pPr>
        <w:pStyle w:val="ListParagraph"/>
        <w:numPr>
          <w:ilvl w:val="1"/>
          <w:numId w:val="4"/>
        </w:numPr>
        <w:rPr>
          <w:rFonts w:ascii="Avenir 55 Roman" w:hAnsi="Avenir 55 Roman" w:cs="Arial"/>
          <w:sz w:val="20"/>
          <w:szCs w:val="20"/>
        </w:rPr>
      </w:pPr>
      <w:r w:rsidRPr="00803C2B">
        <w:rPr>
          <w:rFonts w:ascii="Avenir 55 Roman" w:hAnsi="Avenir 55 Roman" w:cs="Arial"/>
          <w:sz w:val="20"/>
          <w:szCs w:val="20"/>
        </w:rPr>
        <w:t>Actively engaging in customer satisfaction and service programs.</w:t>
      </w:r>
    </w:p>
    <w:p w14:paraId="4646AEE0" w14:textId="77777777" w:rsidR="00276349" w:rsidRPr="00803C2B" w:rsidRDefault="00276349" w:rsidP="00276349">
      <w:pPr>
        <w:pStyle w:val="ListParagraph"/>
        <w:ind w:left="1440"/>
        <w:rPr>
          <w:rFonts w:ascii="Avenir 55 Roman" w:hAnsi="Avenir 55 Roman" w:cs="Arial"/>
          <w:sz w:val="20"/>
          <w:szCs w:val="20"/>
        </w:rPr>
      </w:pPr>
    </w:p>
    <w:p w14:paraId="7C1092DF" w14:textId="7B344E6B" w:rsidR="0074141A" w:rsidRPr="00803C2B" w:rsidRDefault="0074141A" w:rsidP="00276349">
      <w:pPr>
        <w:rPr>
          <w:rFonts w:ascii="Avenir 55 Roman" w:hAnsi="Avenir 55 Roman" w:cs="Arial"/>
          <w:sz w:val="20"/>
          <w:szCs w:val="20"/>
        </w:rPr>
      </w:pPr>
      <w:r w:rsidRPr="00803C2B">
        <w:rPr>
          <w:rFonts w:ascii="Avenir 55 Roman" w:hAnsi="Avenir 55 Roman" w:cs="Arial"/>
          <w:sz w:val="20"/>
          <w:szCs w:val="20"/>
        </w:rPr>
        <w:t>These performance criteria are generally based upon areas CMS has identified as indicating quality services in Part D, and most of these are used by CMS through its Star Ratings system to evaluate Medicare Advantage and Part D plans.</w:t>
      </w:r>
      <w:r w:rsidR="00F231B0" w:rsidRPr="00803C2B">
        <w:rPr>
          <w:rFonts w:ascii="Avenir 55 Roman" w:hAnsi="Avenir 55 Roman" w:cs="Arial"/>
          <w:sz w:val="20"/>
          <w:szCs w:val="20"/>
        </w:rPr>
        <w:t xml:space="preserve"> We recommend that CMS not e</w:t>
      </w:r>
      <w:r w:rsidRPr="00803C2B">
        <w:rPr>
          <w:rFonts w:ascii="Avenir 55 Roman" w:hAnsi="Avenir 55 Roman" w:cs="Arial"/>
          <w:sz w:val="20"/>
          <w:szCs w:val="20"/>
        </w:rPr>
        <w:t xml:space="preserve">liminate pharmacy payments accounted for under DIR in Medicare Part D </w:t>
      </w:r>
      <w:r w:rsidR="00F231B0" w:rsidRPr="00803C2B">
        <w:rPr>
          <w:rFonts w:ascii="Avenir 55 Roman" w:hAnsi="Avenir 55 Roman" w:cs="Arial"/>
          <w:sz w:val="20"/>
          <w:szCs w:val="20"/>
        </w:rPr>
        <w:t xml:space="preserve">as this </w:t>
      </w:r>
      <w:r w:rsidRPr="00803C2B">
        <w:rPr>
          <w:rFonts w:ascii="Avenir 55 Roman" w:hAnsi="Avenir 55 Roman" w:cs="Arial"/>
          <w:sz w:val="20"/>
          <w:szCs w:val="20"/>
        </w:rPr>
        <w:t>would severely constrain the ability to create these types of pay-for-performance programs in the pharmacy space.</w:t>
      </w:r>
    </w:p>
    <w:p w14:paraId="5E405D19" w14:textId="77777777" w:rsidR="00173520" w:rsidRDefault="00173520" w:rsidP="00173520">
      <w:pPr>
        <w:pStyle w:val="ListParagraph"/>
        <w:rPr>
          <w:rFonts w:ascii="Avenir 55 Roman" w:hAnsi="Avenir 55 Roman" w:cs="Arial"/>
          <w:color w:val="FF0000"/>
          <w:sz w:val="20"/>
          <w:szCs w:val="20"/>
        </w:rPr>
      </w:pPr>
    </w:p>
    <w:p w14:paraId="0EEB64C5" w14:textId="77777777" w:rsidR="00803C2B" w:rsidRDefault="00803C2B" w:rsidP="00173520">
      <w:pPr>
        <w:pStyle w:val="ListParagraph"/>
        <w:rPr>
          <w:rFonts w:ascii="Avenir 55 Roman" w:hAnsi="Avenir 55 Roman" w:cs="Arial"/>
          <w:color w:val="FF0000"/>
          <w:sz w:val="20"/>
          <w:szCs w:val="20"/>
        </w:rPr>
      </w:pPr>
    </w:p>
    <w:p w14:paraId="7785A338" w14:textId="77777777" w:rsidR="00803C2B" w:rsidRDefault="00803C2B" w:rsidP="00173520">
      <w:pPr>
        <w:pStyle w:val="ListParagraph"/>
        <w:rPr>
          <w:rFonts w:ascii="Avenir 55 Roman" w:hAnsi="Avenir 55 Roman" w:cs="Arial"/>
          <w:color w:val="FF0000"/>
          <w:sz w:val="20"/>
          <w:szCs w:val="20"/>
        </w:rPr>
      </w:pPr>
    </w:p>
    <w:p w14:paraId="5CD38A63" w14:textId="77777777" w:rsidR="00803C2B" w:rsidRPr="00565D41" w:rsidRDefault="00803C2B" w:rsidP="00173520">
      <w:pPr>
        <w:pStyle w:val="ListParagraph"/>
        <w:rPr>
          <w:rFonts w:ascii="Avenir 55 Roman" w:hAnsi="Avenir 55 Roman" w:cs="Arial"/>
          <w:color w:val="FF0000"/>
          <w:sz w:val="20"/>
          <w:szCs w:val="20"/>
        </w:rPr>
      </w:pPr>
    </w:p>
    <w:p w14:paraId="1153A31E" w14:textId="77777777" w:rsidR="002B29E4" w:rsidRPr="00803C2B" w:rsidRDefault="002B29E4" w:rsidP="00173520">
      <w:pPr>
        <w:pStyle w:val="ListParagraph"/>
        <w:rPr>
          <w:rFonts w:ascii="Avenir 55 Roman" w:hAnsi="Avenir 55 Roman" w:cs="Arial"/>
          <w:b/>
          <w:color w:val="FF0000"/>
          <w:sz w:val="20"/>
          <w:szCs w:val="20"/>
        </w:rPr>
      </w:pPr>
    </w:p>
    <w:p w14:paraId="22DF6A0D" w14:textId="7CDA4622" w:rsidR="0074141A" w:rsidRPr="00803C2B" w:rsidRDefault="00173520" w:rsidP="0074141A">
      <w:pPr>
        <w:pStyle w:val="PlainText"/>
        <w:rPr>
          <w:rFonts w:ascii="Avenir 55 Roman" w:hAnsi="Avenir 55 Roman"/>
          <w:b/>
          <w:iCs/>
          <w:sz w:val="20"/>
          <w:szCs w:val="20"/>
          <w:lang w:val="en"/>
        </w:rPr>
      </w:pPr>
      <w:r w:rsidRPr="00803C2B">
        <w:rPr>
          <w:rFonts w:ascii="Avenir 55 Roman" w:hAnsi="Avenir 55 Roman"/>
          <w:b/>
          <w:iCs/>
          <w:sz w:val="20"/>
          <w:szCs w:val="20"/>
          <w:lang w:val="en"/>
        </w:rPr>
        <w:t>B. Improving the CMS Customer Experience</w:t>
      </w:r>
    </w:p>
    <w:p w14:paraId="409579A7" w14:textId="66407327" w:rsidR="00FE0EE5" w:rsidRDefault="00173520" w:rsidP="00FE0EE5">
      <w:pPr>
        <w:pStyle w:val="PlainText"/>
        <w:rPr>
          <w:rFonts w:ascii="Avenir 55 Roman" w:hAnsi="Avenir 55 Roman"/>
          <w:b/>
          <w:bCs/>
          <w:iCs/>
          <w:sz w:val="20"/>
          <w:szCs w:val="20"/>
          <w:lang w:val="en"/>
        </w:rPr>
      </w:pPr>
      <w:r w:rsidRPr="00803C2B">
        <w:rPr>
          <w:rFonts w:ascii="Avenir 55 Roman" w:hAnsi="Avenir 55 Roman"/>
          <w:b/>
          <w:bCs/>
          <w:iCs/>
          <w:sz w:val="20"/>
          <w:szCs w:val="20"/>
          <w:lang w:val="en"/>
        </w:rPr>
        <w:t xml:space="preserve">1. </w:t>
      </w:r>
      <w:r w:rsidR="00FE0EE5" w:rsidRPr="00803C2B">
        <w:rPr>
          <w:rFonts w:ascii="Avenir 55 Roman" w:hAnsi="Avenir 55 Roman"/>
          <w:b/>
          <w:bCs/>
          <w:iCs/>
          <w:sz w:val="20"/>
          <w:szCs w:val="20"/>
          <w:lang w:val="en"/>
        </w:rPr>
        <w:t>Restoration of the Medicare Advantage Open Enrollment Period</w:t>
      </w:r>
    </w:p>
    <w:p w14:paraId="18348631" w14:textId="77777777" w:rsidR="00803C2B" w:rsidRPr="00803C2B" w:rsidRDefault="00803C2B" w:rsidP="00FE0EE5">
      <w:pPr>
        <w:pStyle w:val="PlainText"/>
        <w:rPr>
          <w:rFonts w:ascii="Avenir 55 Roman" w:hAnsi="Avenir 55 Roman"/>
          <w:b/>
          <w:bCs/>
          <w:iCs/>
          <w:sz w:val="20"/>
          <w:szCs w:val="20"/>
          <w:lang w:val="en"/>
        </w:rPr>
      </w:pPr>
    </w:p>
    <w:p w14:paraId="6FF443EB" w14:textId="6592AC52" w:rsidR="0074141A" w:rsidRPr="00565D41" w:rsidRDefault="0074141A" w:rsidP="0074141A">
      <w:pPr>
        <w:pStyle w:val="PlainText"/>
        <w:rPr>
          <w:rFonts w:ascii="Avenir 55 Roman" w:hAnsi="Avenir 55 Roman"/>
          <w:sz w:val="20"/>
          <w:szCs w:val="20"/>
          <w:lang w:val="en"/>
        </w:rPr>
      </w:pPr>
      <w:r w:rsidRPr="00565D41">
        <w:rPr>
          <w:rFonts w:ascii="Avenir 55 Roman" w:hAnsi="Avenir 55 Roman"/>
          <w:sz w:val="20"/>
          <w:szCs w:val="20"/>
          <w:lang w:val="en"/>
        </w:rPr>
        <w:t xml:space="preserve">The 21st Century Cures Act eliminates the existing MA disenrollment period (MADP) that currently takes place from January 1st through February 14th of every year and, effective for 2019, replaces it with a new Medicare Advantage open enrollment period (OEP) that will take place from January 1st through March 31st annually. The new OEP allows individuals enrolled in an MA plan to make a one-time election to go to another MA plan or Original Medicare. </w:t>
      </w:r>
    </w:p>
    <w:p w14:paraId="08DE8E5A" w14:textId="77777777" w:rsidR="0074141A" w:rsidRDefault="0074141A" w:rsidP="0074141A">
      <w:pPr>
        <w:pStyle w:val="PlainText"/>
        <w:rPr>
          <w:rFonts w:ascii="Avenir 55 Roman" w:hAnsi="Avenir 55 Roman"/>
          <w:sz w:val="20"/>
          <w:szCs w:val="20"/>
          <w:lang w:val="en"/>
        </w:rPr>
      </w:pPr>
      <w:r w:rsidRPr="00565D41">
        <w:rPr>
          <w:rFonts w:ascii="Avenir 55 Roman" w:hAnsi="Avenir 55 Roman"/>
          <w:sz w:val="20"/>
          <w:szCs w:val="20"/>
          <w:lang w:val="en"/>
        </w:rPr>
        <w:t>Individuals using the OEP to make a change may make a coordinating change to add or drop Part D coverage. </w:t>
      </w:r>
    </w:p>
    <w:p w14:paraId="6260D3AE" w14:textId="77777777" w:rsidR="00803C2B" w:rsidRPr="00565D41" w:rsidRDefault="00803C2B" w:rsidP="0074141A">
      <w:pPr>
        <w:pStyle w:val="PlainText"/>
        <w:rPr>
          <w:rFonts w:ascii="Avenir 55 Roman" w:hAnsi="Avenir 55 Roman"/>
          <w:sz w:val="20"/>
          <w:szCs w:val="20"/>
          <w:lang w:val="en"/>
        </w:rPr>
      </w:pPr>
    </w:p>
    <w:p w14:paraId="0FAEC7A0" w14:textId="3F8B69A6" w:rsidR="0074141A" w:rsidRPr="00803C2B" w:rsidRDefault="00803C2B" w:rsidP="0074141A">
      <w:pPr>
        <w:pStyle w:val="PlainText"/>
        <w:rPr>
          <w:rFonts w:ascii="Avenir 55 Roman" w:hAnsi="Avenir 55 Roman"/>
          <w:iCs/>
          <w:sz w:val="20"/>
          <w:szCs w:val="20"/>
          <w:lang w:val="en"/>
        </w:rPr>
      </w:pPr>
      <w:r w:rsidRPr="00803C2B">
        <w:rPr>
          <w:rFonts w:ascii="Avenir 55 Roman" w:hAnsi="Avenir 55 Roman"/>
          <w:iCs/>
          <w:sz w:val="20"/>
          <w:szCs w:val="20"/>
          <w:lang w:val="en"/>
        </w:rPr>
        <w:t xml:space="preserve">Medicare Advantage plans that have achieved a 5-Star plan rating are allowed to market to beneficiaries all year round. </w:t>
      </w:r>
      <w:r w:rsidRPr="00803C2B">
        <w:rPr>
          <w:rFonts w:ascii="Avenir 55 Roman" w:hAnsi="Avenir 55 Roman"/>
          <w:sz w:val="20"/>
          <w:szCs w:val="20"/>
          <w:lang w:val="en"/>
        </w:rPr>
        <w:t xml:space="preserve">The 21st Century Cures Act  would add the new </w:t>
      </w:r>
      <w:r w:rsidR="00276349" w:rsidRPr="00803C2B">
        <w:rPr>
          <w:rFonts w:ascii="Avenir 55 Roman" w:hAnsi="Avenir 55 Roman"/>
          <w:iCs/>
          <w:sz w:val="20"/>
          <w:szCs w:val="20"/>
          <w:lang w:val="en"/>
        </w:rPr>
        <w:t>OEP</w:t>
      </w:r>
      <w:r w:rsidRPr="00803C2B">
        <w:rPr>
          <w:rFonts w:ascii="Avenir 55 Roman" w:hAnsi="Avenir 55 Roman"/>
          <w:iCs/>
          <w:sz w:val="20"/>
          <w:szCs w:val="20"/>
          <w:lang w:val="en"/>
        </w:rPr>
        <w:t xml:space="preserve"> period as a </w:t>
      </w:r>
      <w:r w:rsidR="00276349" w:rsidRPr="00803C2B">
        <w:rPr>
          <w:rFonts w:ascii="Avenir 55 Roman" w:hAnsi="Avenir 55 Roman"/>
          <w:iCs/>
          <w:sz w:val="20"/>
          <w:szCs w:val="20"/>
          <w:lang w:val="en"/>
        </w:rPr>
        <w:t xml:space="preserve">statutory </w:t>
      </w:r>
      <w:r w:rsidRPr="00803C2B">
        <w:rPr>
          <w:rFonts w:ascii="Avenir 55 Roman" w:hAnsi="Avenir 55 Roman"/>
          <w:iCs/>
          <w:sz w:val="20"/>
          <w:szCs w:val="20"/>
          <w:lang w:val="en"/>
        </w:rPr>
        <w:t xml:space="preserve">requirement. Will CMS be allowing an exception to the statutory requirements of the </w:t>
      </w:r>
      <w:r w:rsidRPr="00803C2B">
        <w:rPr>
          <w:rFonts w:ascii="Avenir 55 Roman" w:hAnsi="Avenir 55 Roman"/>
          <w:sz w:val="20"/>
          <w:szCs w:val="20"/>
          <w:lang w:val="en"/>
        </w:rPr>
        <w:t xml:space="preserve">The 21st Century Cures Act  and allowing </w:t>
      </w:r>
      <w:r w:rsidR="00276349" w:rsidRPr="00803C2B">
        <w:rPr>
          <w:rFonts w:ascii="Avenir 55 Roman" w:hAnsi="Avenir 55 Roman"/>
          <w:iCs/>
          <w:sz w:val="20"/>
          <w:szCs w:val="20"/>
          <w:lang w:val="en"/>
        </w:rPr>
        <w:t>5</w:t>
      </w:r>
      <w:r w:rsidRPr="00803C2B">
        <w:rPr>
          <w:rFonts w:ascii="Avenir 55 Roman" w:hAnsi="Avenir 55 Roman"/>
          <w:iCs/>
          <w:sz w:val="20"/>
          <w:szCs w:val="20"/>
          <w:lang w:val="en"/>
        </w:rPr>
        <w:t>-S</w:t>
      </w:r>
      <w:r w:rsidR="00276349" w:rsidRPr="00803C2B">
        <w:rPr>
          <w:rFonts w:ascii="Avenir 55 Roman" w:hAnsi="Avenir 55 Roman"/>
          <w:iCs/>
          <w:sz w:val="20"/>
          <w:szCs w:val="20"/>
          <w:lang w:val="en"/>
        </w:rPr>
        <w:t xml:space="preserve">tar plans year round marketing? </w:t>
      </w:r>
    </w:p>
    <w:p w14:paraId="78B3AAF1" w14:textId="77777777" w:rsidR="00803C2B" w:rsidRPr="00565D41" w:rsidRDefault="00803C2B" w:rsidP="0074141A">
      <w:pPr>
        <w:pStyle w:val="PlainText"/>
        <w:rPr>
          <w:rFonts w:ascii="Avenir 55 Roman" w:hAnsi="Avenir 55 Roman"/>
          <w:sz w:val="20"/>
          <w:szCs w:val="20"/>
          <w:lang w:val="en"/>
        </w:rPr>
      </w:pPr>
    </w:p>
    <w:p w14:paraId="48EDF160" w14:textId="77777777" w:rsidR="002B29E4" w:rsidRPr="00803C2B" w:rsidRDefault="002B29E4" w:rsidP="002B29E4">
      <w:pPr>
        <w:pStyle w:val="PlainText"/>
        <w:rPr>
          <w:rFonts w:ascii="Avenir 55 Roman" w:hAnsi="Avenir 55 Roman"/>
          <w:b/>
          <w:iCs/>
          <w:sz w:val="20"/>
          <w:szCs w:val="20"/>
          <w:lang w:val="en"/>
        </w:rPr>
      </w:pPr>
      <w:r w:rsidRPr="00803C2B">
        <w:rPr>
          <w:rFonts w:ascii="Avenir 55 Roman" w:hAnsi="Avenir 55 Roman"/>
          <w:b/>
          <w:iCs/>
          <w:sz w:val="20"/>
          <w:szCs w:val="20"/>
          <w:lang w:val="en"/>
        </w:rPr>
        <w:t>B. Improving the CMS Customer Experience</w:t>
      </w:r>
    </w:p>
    <w:p w14:paraId="6B51D926" w14:textId="36BC4030" w:rsidR="002B29E4" w:rsidRPr="00422513" w:rsidRDefault="002B29E4" w:rsidP="002B29E4">
      <w:pPr>
        <w:pStyle w:val="PlainText"/>
        <w:rPr>
          <w:rFonts w:ascii="Avenir 55 Roman" w:hAnsi="Avenir 55 Roman"/>
          <w:color w:val="FF0000"/>
          <w:sz w:val="20"/>
          <w:szCs w:val="20"/>
          <w:lang w:val="en"/>
        </w:rPr>
      </w:pPr>
      <w:bookmarkStart w:id="0" w:name="_GoBack"/>
      <w:r w:rsidRPr="00803C2B">
        <w:rPr>
          <w:rFonts w:ascii="Avenir 55 Roman" w:hAnsi="Avenir 55 Roman"/>
          <w:b/>
          <w:iCs/>
          <w:sz w:val="20"/>
          <w:szCs w:val="20"/>
          <w:lang w:val="en"/>
        </w:rPr>
        <w:lastRenderedPageBreak/>
        <w:t xml:space="preserve">4. Revisions to Timing and Method of Disclosure Requirements - </w:t>
      </w:r>
      <w:r w:rsidRPr="00803C2B">
        <w:rPr>
          <w:rFonts w:ascii="Avenir 55 Roman" w:hAnsi="Avenir 55 Roman"/>
          <w:b/>
          <w:bCs/>
          <w:iCs/>
          <w:sz w:val="20"/>
          <w:szCs w:val="20"/>
          <w:lang w:val="en"/>
        </w:rPr>
        <w:t>Allowing Electronic Delivery of Certain Beneficiary Documents</w:t>
      </w:r>
      <w:r w:rsidRPr="00565D41">
        <w:rPr>
          <w:rFonts w:ascii="Avenir 55 Roman" w:hAnsi="Avenir 55 Roman"/>
          <w:i/>
          <w:iCs/>
          <w:sz w:val="20"/>
          <w:szCs w:val="20"/>
          <w:lang w:val="en"/>
        </w:rPr>
        <w:br/>
      </w:r>
    </w:p>
    <w:p w14:paraId="7597503C" w14:textId="046BA51D" w:rsidR="002B29E4" w:rsidRPr="00803C2B" w:rsidRDefault="00F231B0" w:rsidP="0074141A">
      <w:pPr>
        <w:pStyle w:val="PlainText"/>
        <w:rPr>
          <w:rFonts w:ascii="Avenir 55 Roman" w:hAnsi="Avenir 55 Roman"/>
          <w:sz w:val="20"/>
          <w:szCs w:val="20"/>
          <w:lang w:val="en"/>
        </w:rPr>
      </w:pPr>
      <w:r w:rsidRPr="00803C2B">
        <w:rPr>
          <w:rFonts w:ascii="Avenir 55 Roman" w:hAnsi="Avenir 55 Roman"/>
          <w:sz w:val="20"/>
          <w:szCs w:val="20"/>
          <w:lang w:val="en"/>
        </w:rPr>
        <w:t xml:space="preserve">Fallon Health supports this proposal. </w:t>
      </w:r>
    </w:p>
    <w:p w14:paraId="6EF692D3" w14:textId="77777777" w:rsidR="00F231B0" w:rsidRPr="00565D41" w:rsidRDefault="00F231B0" w:rsidP="0074141A">
      <w:pPr>
        <w:pStyle w:val="PlainText"/>
        <w:rPr>
          <w:rFonts w:ascii="Avenir 55 Roman" w:hAnsi="Avenir 55 Roman"/>
          <w:sz w:val="20"/>
          <w:szCs w:val="20"/>
          <w:lang w:val="en"/>
        </w:rPr>
      </w:pPr>
    </w:p>
    <w:p w14:paraId="382C01D5" w14:textId="0B4F18EE" w:rsidR="00173520" w:rsidRPr="00803C2B" w:rsidRDefault="00173520" w:rsidP="0074141A">
      <w:pPr>
        <w:pStyle w:val="PlainText"/>
        <w:rPr>
          <w:rFonts w:ascii="Avenir 55 Roman" w:hAnsi="Avenir 55 Roman"/>
          <w:b/>
          <w:sz w:val="20"/>
          <w:szCs w:val="20"/>
        </w:rPr>
      </w:pPr>
      <w:r w:rsidRPr="00803C2B">
        <w:rPr>
          <w:rFonts w:ascii="Avenir 55 Roman" w:hAnsi="Avenir 55 Roman"/>
          <w:b/>
          <w:sz w:val="20"/>
          <w:szCs w:val="20"/>
        </w:rPr>
        <w:t>B. Improving the CMS Customer Experience</w:t>
      </w:r>
    </w:p>
    <w:p w14:paraId="33D61B23" w14:textId="0CB56B1B" w:rsidR="0074141A" w:rsidRPr="00803C2B" w:rsidRDefault="0074141A" w:rsidP="0074141A">
      <w:pPr>
        <w:pStyle w:val="PlainText"/>
        <w:rPr>
          <w:rFonts w:ascii="Avenir 55 Roman" w:hAnsi="Avenir 55 Roman"/>
          <w:b/>
          <w:color w:val="FF0000"/>
          <w:sz w:val="20"/>
          <w:szCs w:val="20"/>
        </w:rPr>
      </w:pPr>
      <w:r w:rsidRPr="00803C2B">
        <w:rPr>
          <w:rFonts w:ascii="Avenir 55 Roman" w:hAnsi="Avenir 55 Roman"/>
          <w:b/>
          <w:sz w:val="20"/>
          <w:szCs w:val="20"/>
        </w:rPr>
        <w:t>13. Reducing Provider Burden— Comment Solicitation</w:t>
      </w:r>
      <w:r w:rsidR="00422513" w:rsidRPr="00803C2B">
        <w:rPr>
          <w:rFonts w:ascii="Avenir 55 Roman" w:hAnsi="Avenir 55 Roman"/>
          <w:b/>
          <w:sz w:val="20"/>
          <w:szCs w:val="20"/>
        </w:rPr>
        <w:t xml:space="preserve"> </w:t>
      </w:r>
    </w:p>
    <w:p w14:paraId="30A991C0" w14:textId="34CF52AD" w:rsidR="00276349" w:rsidRPr="00803C2B" w:rsidRDefault="00276349" w:rsidP="00276349">
      <w:pPr>
        <w:rPr>
          <w:rFonts w:ascii="Avenir 55 Roman" w:hAnsi="Avenir 55 Roman"/>
          <w:sz w:val="20"/>
          <w:szCs w:val="20"/>
          <w:lang w:val="en"/>
        </w:rPr>
      </w:pPr>
      <w:r w:rsidRPr="00803C2B">
        <w:rPr>
          <w:rFonts w:ascii="Avenir 55 Roman" w:hAnsi="Avenir 55 Roman"/>
          <w:sz w:val="20"/>
          <w:szCs w:val="20"/>
        </w:rPr>
        <w:t xml:space="preserve">Health plans have the right to request medical records for FWA as </w:t>
      </w:r>
      <w:r w:rsidRPr="00803C2B">
        <w:rPr>
          <w:rFonts w:ascii="Avenir 55 Roman" w:hAnsi="Avenir 55 Roman"/>
          <w:sz w:val="20"/>
          <w:szCs w:val="20"/>
          <w:lang w:val="en"/>
        </w:rPr>
        <w:t>patient-related information from a physician or medical facility may be necessary to conduct our review and to determine if there is fraudulent activity.  The process for requesting medical records varies slightly by provider type, as some plans may have access to a provider’s medical records system.   There are times when a health plan requests records from a provider’s office only to find that the provider has an overlapping record request from another department within the same health plan or other health plan</w:t>
      </w:r>
      <w:r w:rsidR="00803C2B">
        <w:rPr>
          <w:rFonts w:ascii="Avenir 55 Roman" w:hAnsi="Avenir 55 Roman"/>
          <w:sz w:val="20"/>
          <w:szCs w:val="20"/>
          <w:lang w:val="en"/>
        </w:rPr>
        <w:t>s</w:t>
      </w:r>
      <w:r w:rsidRPr="00803C2B">
        <w:rPr>
          <w:rFonts w:ascii="Avenir 55 Roman" w:hAnsi="Avenir 55 Roman"/>
          <w:sz w:val="20"/>
          <w:szCs w:val="20"/>
          <w:lang w:val="en"/>
        </w:rPr>
        <w:t xml:space="preserve"> altogether. With the increase in FWA referrals, it’s </w:t>
      </w:r>
      <w:r w:rsidR="00803C2B">
        <w:rPr>
          <w:rFonts w:ascii="Avenir 55 Roman" w:hAnsi="Avenir 55 Roman"/>
          <w:sz w:val="20"/>
          <w:szCs w:val="20"/>
          <w:lang w:val="en"/>
        </w:rPr>
        <w:t>difficult</w:t>
      </w:r>
      <w:r w:rsidRPr="00803C2B">
        <w:rPr>
          <w:rFonts w:ascii="Avenir 55 Roman" w:hAnsi="Avenir 55 Roman"/>
          <w:sz w:val="20"/>
          <w:szCs w:val="20"/>
          <w:lang w:val="en"/>
        </w:rPr>
        <w:t xml:space="preserve"> to get around the need to request </w:t>
      </w:r>
      <w:r w:rsidR="00803C2B">
        <w:rPr>
          <w:rFonts w:ascii="Avenir 55 Roman" w:hAnsi="Avenir 55 Roman"/>
          <w:sz w:val="20"/>
          <w:szCs w:val="20"/>
          <w:lang w:val="en"/>
        </w:rPr>
        <w:t xml:space="preserve">provider </w:t>
      </w:r>
      <w:r w:rsidRPr="00803C2B">
        <w:rPr>
          <w:rFonts w:ascii="Avenir 55 Roman" w:hAnsi="Avenir 55 Roman"/>
          <w:sz w:val="20"/>
          <w:szCs w:val="20"/>
          <w:lang w:val="en"/>
        </w:rPr>
        <w:t>records or do an on-site audit for evidence.</w:t>
      </w:r>
    </w:p>
    <w:p w14:paraId="5F81538C" w14:textId="08D1BAE6" w:rsidR="0079714E" w:rsidRPr="00803C2B" w:rsidRDefault="0079714E" w:rsidP="0074141A">
      <w:pPr>
        <w:rPr>
          <w:rFonts w:ascii="Avenir 55 Roman" w:hAnsi="Avenir 55 Roman"/>
          <w:sz w:val="20"/>
          <w:szCs w:val="20"/>
        </w:rPr>
      </w:pPr>
    </w:p>
    <w:p w14:paraId="0A912149" w14:textId="7F6F061C" w:rsidR="0074141A" w:rsidRPr="00803C2B" w:rsidRDefault="00621F31" w:rsidP="0074141A">
      <w:pPr>
        <w:rPr>
          <w:rFonts w:ascii="Avenir 55 Roman" w:hAnsi="Avenir 55 Roman"/>
          <w:sz w:val="20"/>
          <w:szCs w:val="20"/>
        </w:rPr>
      </w:pPr>
      <w:r w:rsidRPr="00803C2B">
        <w:rPr>
          <w:rFonts w:ascii="Avenir 55 Roman" w:hAnsi="Avenir 55 Roman"/>
          <w:sz w:val="20"/>
          <w:szCs w:val="20"/>
        </w:rPr>
        <w:t xml:space="preserve">We recommend that </w:t>
      </w:r>
      <w:r w:rsidR="0074141A" w:rsidRPr="00803C2B">
        <w:rPr>
          <w:rFonts w:ascii="Avenir 55 Roman" w:hAnsi="Avenir 55 Roman"/>
          <w:sz w:val="20"/>
          <w:szCs w:val="20"/>
        </w:rPr>
        <w:t xml:space="preserve">CMS provide a </w:t>
      </w:r>
      <w:r w:rsidRPr="00803C2B">
        <w:rPr>
          <w:rFonts w:ascii="Avenir 55 Roman" w:hAnsi="Avenir 55 Roman"/>
          <w:sz w:val="20"/>
          <w:szCs w:val="20"/>
        </w:rPr>
        <w:t xml:space="preserve">template </w:t>
      </w:r>
      <w:r w:rsidR="0074141A" w:rsidRPr="00803C2B">
        <w:rPr>
          <w:rFonts w:ascii="Avenir 55 Roman" w:hAnsi="Avenir 55 Roman"/>
          <w:sz w:val="20"/>
          <w:szCs w:val="20"/>
        </w:rPr>
        <w:t xml:space="preserve">letter to health plans explaining why the Health Plan </w:t>
      </w:r>
      <w:r w:rsidRPr="00803C2B">
        <w:rPr>
          <w:rFonts w:ascii="Avenir 55 Roman" w:hAnsi="Avenir 55 Roman"/>
          <w:sz w:val="20"/>
          <w:szCs w:val="20"/>
        </w:rPr>
        <w:t>is asking</w:t>
      </w:r>
      <w:r w:rsidR="0074141A" w:rsidRPr="00803C2B">
        <w:rPr>
          <w:rFonts w:ascii="Avenir 55 Roman" w:hAnsi="Avenir 55 Roman"/>
          <w:sz w:val="20"/>
          <w:szCs w:val="20"/>
        </w:rPr>
        <w:t xml:space="preserve"> for the medical records</w:t>
      </w:r>
      <w:r w:rsidRPr="00803C2B">
        <w:rPr>
          <w:rFonts w:ascii="Avenir 55 Roman" w:hAnsi="Avenir 55 Roman"/>
          <w:sz w:val="20"/>
          <w:szCs w:val="20"/>
        </w:rPr>
        <w:t xml:space="preserve"> that the plan could then share with the provider</w:t>
      </w:r>
      <w:r w:rsidR="0074141A" w:rsidRPr="00803C2B">
        <w:rPr>
          <w:rFonts w:ascii="Avenir 55 Roman" w:hAnsi="Avenir 55 Roman"/>
          <w:sz w:val="20"/>
          <w:szCs w:val="20"/>
        </w:rPr>
        <w:t>. A letter stating something to the fact this is to improve the care and cost of their patient who receives Medicare Advantages benefits.</w:t>
      </w:r>
      <w:r w:rsidRPr="00803C2B">
        <w:rPr>
          <w:rFonts w:ascii="Avenir 55 Roman" w:hAnsi="Avenir 55 Roman"/>
          <w:sz w:val="20"/>
          <w:szCs w:val="20"/>
        </w:rPr>
        <w:t xml:space="preserve"> </w:t>
      </w:r>
      <w:r w:rsidR="0074141A" w:rsidRPr="00803C2B">
        <w:rPr>
          <w:rFonts w:ascii="Avenir 55 Roman" w:hAnsi="Avenir 55 Roman"/>
          <w:sz w:val="20"/>
          <w:szCs w:val="20"/>
        </w:rPr>
        <w:t xml:space="preserve">One the biggest burdens we hear </w:t>
      </w:r>
      <w:r w:rsidRPr="00803C2B">
        <w:rPr>
          <w:rFonts w:ascii="Avenir 55 Roman" w:hAnsi="Avenir 55 Roman"/>
          <w:sz w:val="20"/>
          <w:szCs w:val="20"/>
        </w:rPr>
        <w:t xml:space="preserve">from providers is from </w:t>
      </w:r>
      <w:r w:rsidR="0074141A" w:rsidRPr="00803C2B">
        <w:rPr>
          <w:rFonts w:ascii="Avenir 55 Roman" w:hAnsi="Avenir 55 Roman"/>
          <w:sz w:val="20"/>
          <w:szCs w:val="20"/>
        </w:rPr>
        <w:t>small office</w:t>
      </w:r>
      <w:r w:rsidRPr="00803C2B">
        <w:rPr>
          <w:rFonts w:ascii="Avenir 55 Roman" w:hAnsi="Avenir 55 Roman"/>
          <w:sz w:val="20"/>
          <w:szCs w:val="20"/>
        </w:rPr>
        <w:t>s</w:t>
      </w:r>
      <w:r w:rsidR="0074141A" w:rsidRPr="00803C2B">
        <w:rPr>
          <w:rFonts w:ascii="Avenir 55 Roman" w:hAnsi="Avenir 55 Roman"/>
          <w:sz w:val="20"/>
          <w:szCs w:val="20"/>
        </w:rPr>
        <w:t xml:space="preserve"> </w:t>
      </w:r>
      <w:r w:rsidRPr="00803C2B">
        <w:rPr>
          <w:rFonts w:ascii="Avenir 55 Roman" w:hAnsi="Avenir 55 Roman"/>
          <w:sz w:val="20"/>
          <w:szCs w:val="20"/>
        </w:rPr>
        <w:t xml:space="preserve">that </w:t>
      </w:r>
      <w:r w:rsidR="0074141A" w:rsidRPr="00803C2B">
        <w:rPr>
          <w:rFonts w:ascii="Avenir 55 Roman" w:hAnsi="Avenir 55 Roman"/>
          <w:sz w:val="20"/>
          <w:szCs w:val="20"/>
        </w:rPr>
        <w:t xml:space="preserve">do not have the manpower to assist with the request and/or </w:t>
      </w:r>
      <w:r w:rsidRPr="00803C2B">
        <w:rPr>
          <w:rFonts w:ascii="Avenir 55 Roman" w:hAnsi="Avenir 55 Roman"/>
          <w:sz w:val="20"/>
          <w:szCs w:val="20"/>
        </w:rPr>
        <w:t xml:space="preserve">the providers’ offices </w:t>
      </w:r>
      <w:r w:rsidR="0074141A" w:rsidRPr="00803C2B">
        <w:rPr>
          <w:rFonts w:ascii="Avenir 55 Roman" w:hAnsi="Avenir 55 Roman"/>
          <w:sz w:val="20"/>
          <w:szCs w:val="20"/>
        </w:rPr>
        <w:t xml:space="preserve"> have multiple request</w:t>
      </w:r>
      <w:r w:rsidR="00AB2FA1" w:rsidRPr="00803C2B">
        <w:rPr>
          <w:rFonts w:ascii="Avenir 55 Roman" w:hAnsi="Avenir 55 Roman"/>
          <w:sz w:val="20"/>
          <w:szCs w:val="20"/>
        </w:rPr>
        <w:t>s</w:t>
      </w:r>
      <w:r w:rsidR="0074141A" w:rsidRPr="00803C2B">
        <w:rPr>
          <w:rFonts w:ascii="Avenir 55 Roman" w:hAnsi="Avenir 55 Roman"/>
          <w:sz w:val="20"/>
          <w:szCs w:val="20"/>
        </w:rPr>
        <w:t xml:space="preserve"> from different Health Plan</w:t>
      </w:r>
      <w:r w:rsidRPr="00803C2B">
        <w:rPr>
          <w:rFonts w:ascii="Avenir 55 Roman" w:hAnsi="Avenir 55 Roman"/>
          <w:sz w:val="20"/>
          <w:szCs w:val="20"/>
        </w:rPr>
        <w:t>s</w:t>
      </w:r>
      <w:r w:rsidR="0074141A" w:rsidRPr="00803C2B">
        <w:rPr>
          <w:rFonts w:ascii="Avenir 55 Roman" w:hAnsi="Avenir 55 Roman"/>
          <w:sz w:val="20"/>
          <w:szCs w:val="20"/>
        </w:rPr>
        <w:t xml:space="preserve"> </w:t>
      </w:r>
      <w:r w:rsidRPr="00803C2B">
        <w:rPr>
          <w:rFonts w:ascii="Avenir 55 Roman" w:hAnsi="Avenir 55 Roman"/>
          <w:sz w:val="20"/>
          <w:szCs w:val="20"/>
        </w:rPr>
        <w:t xml:space="preserve">requesting records </w:t>
      </w:r>
      <w:r w:rsidR="0074141A" w:rsidRPr="00803C2B">
        <w:rPr>
          <w:rFonts w:ascii="Avenir 55 Roman" w:hAnsi="Avenir 55 Roman"/>
          <w:sz w:val="20"/>
          <w:szCs w:val="20"/>
        </w:rPr>
        <w:t>at the same time.</w:t>
      </w:r>
    </w:p>
    <w:bookmarkEnd w:id="0"/>
    <w:p w14:paraId="745A5AA2" w14:textId="77777777" w:rsidR="00565D41" w:rsidRPr="00565D41" w:rsidRDefault="00565D41">
      <w:pPr>
        <w:rPr>
          <w:rFonts w:ascii="Avenir 55 Roman" w:hAnsi="Avenir 55 Roman"/>
          <w:color w:val="FF0000"/>
          <w:sz w:val="20"/>
          <w:szCs w:val="20"/>
        </w:rPr>
      </w:pPr>
    </w:p>
    <w:sectPr w:rsidR="00565D41" w:rsidRPr="00565D41" w:rsidSect="002B1C9D">
      <w:headerReference w:type="default" r:id="rId13"/>
      <w:headerReference w:type="first" r:id="rId14"/>
      <w:pgSz w:w="12240" w:h="15840"/>
      <w:pgMar w:top="1440" w:right="1800" w:bottom="1440" w:left="1800" w:header="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A6E37D7" w14:textId="77777777" w:rsidR="002B710A" w:rsidRDefault="002B710A" w:rsidP="002B1C9D">
      <w:r>
        <w:separator/>
      </w:r>
    </w:p>
  </w:endnote>
  <w:endnote w:type="continuationSeparator" w:id="0">
    <w:p w14:paraId="3F18A12E" w14:textId="77777777" w:rsidR="002B710A" w:rsidRDefault="002B710A" w:rsidP="002B1C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altName w:val="Arial"/>
    <w:charset w:val="00"/>
    <w:family w:val="auto"/>
    <w:pitch w:val="variable"/>
    <w:sig w:usb0="00000000" w:usb1="5000A1FF" w:usb2="00000000" w:usb3="00000000" w:csb0="000001BF" w:csb1="00000000"/>
  </w:font>
  <w:font w:name="Calibri">
    <w:panose1 w:val="020F0502020204030204"/>
    <w:charset w:val="00"/>
    <w:family w:val="swiss"/>
    <w:pitch w:val="variable"/>
    <w:sig w:usb0="E00002FF" w:usb1="4000ACFF" w:usb2="00000001" w:usb3="00000000" w:csb0="0000019F" w:csb1="00000000"/>
  </w:font>
  <w:font w:name="Avenir 55 Roman">
    <w:altName w:val="Bell MT"/>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149545F" w14:textId="77777777" w:rsidR="002B710A" w:rsidRDefault="002B710A" w:rsidP="002B1C9D">
      <w:r>
        <w:separator/>
      </w:r>
    </w:p>
  </w:footnote>
  <w:footnote w:type="continuationSeparator" w:id="0">
    <w:p w14:paraId="197ECF5F" w14:textId="77777777" w:rsidR="002B710A" w:rsidRDefault="002B710A" w:rsidP="002B1C9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2CCF8F" w14:textId="77777777" w:rsidR="002B1C9D" w:rsidRDefault="002B1C9D" w:rsidP="002B1C9D">
    <w:pPr>
      <w:pStyle w:val="Header"/>
      <w:ind w:hanging="180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2CCF90" w14:textId="77777777" w:rsidR="002B1C9D" w:rsidRDefault="002B1C9D" w:rsidP="002B1C9D">
    <w:pPr>
      <w:pStyle w:val="Header"/>
      <w:ind w:hanging="1800"/>
    </w:pPr>
    <w:r>
      <w:rPr>
        <w:noProof/>
      </w:rPr>
      <w:drawing>
        <wp:inline distT="0" distB="0" distL="0" distR="0" wp14:anchorId="3E2CCF91" wp14:editId="3E2CCF92">
          <wp:extent cx="7715250" cy="1714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4-730-015 letterhead.pdf"/>
                  <pic:cNvPicPr/>
                </pic:nvPicPr>
                <pic:blipFill rotWithShape="1">
                  <a:blip r:embed="rId1">
                    <a:extLst>
                      <a:ext uri="{28A0092B-C50C-407E-A947-70E740481C1C}">
                        <a14:useLocalDpi xmlns:a14="http://schemas.microsoft.com/office/drawing/2010/main" val="0"/>
                      </a:ext>
                    </a:extLst>
                  </a:blip>
                  <a:srcRect b="82828"/>
                  <a:stretch/>
                </pic:blipFill>
                <pic:spPr bwMode="auto">
                  <a:xfrm>
                    <a:off x="0" y="0"/>
                    <a:ext cx="7715250" cy="1714500"/>
                  </a:xfrm>
                  <a:prstGeom prst="rect">
                    <a:avLst/>
                  </a:prstGeom>
                  <a:ln>
                    <a:noFill/>
                  </a:ln>
                  <a:extLst>
                    <a:ext uri="{53640926-AAD7-44D8-BBD7-CCE9431645EC}">
                      <a14:shadowObscured xmlns:a14="http://schemas.microsoft.com/office/drawing/2010/main"/>
                    </a:ext>
                  </a:extLst>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CC11F83"/>
    <w:multiLevelType w:val="hybridMultilevel"/>
    <w:tmpl w:val="2A3CAD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2E3E2B40"/>
    <w:multiLevelType w:val="hybridMultilevel"/>
    <w:tmpl w:val="FE0011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55527C70"/>
    <w:multiLevelType w:val="hybridMultilevel"/>
    <w:tmpl w:val="617C64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D2B02B8"/>
    <w:multiLevelType w:val="hybridMultilevel"/>
    <w:tmpl w:val="DDF0D5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5F451657"/>
    <w:multiLevelType w:val="hybridMultilevel"/>
    <w:tmpl w:val="815AB9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1C9D"/>
    <w:rsid w:val="00024A4B"/>
    <w:rsid w:val="000F400C"/>
    <w:rsid w:val="00173520"/>
    <w:rsid w:val="001E1C22"/>
    <w:rsid w:val="00276349"/>
    <w:rsid w:val="002B1C9D"/>
    <w:rsid w:val="002B29E4"/>
    <w:rsid w:val="002B710A"/>
    <w:rsid w:val="002F230E"/>
    <w:rsid w:val="0033348F"/>
    <w:rsid w:val="00386F69"/>
    <w:rsid w:val="00422513"/>
    <w:rsid w:val="00515B43"/>
    <w:rsid w:val="005517EC"/>
    <w:rsid w:val="00565D41"/>
    <w:rsid w:val="00621F31"/>
    <w:rsid w:val="006E0D0F"/>
    <w:rsid w:val="00701EF3"/>
    <w:rsid w:val="0074141A"/>
    <w:rsid w:val="0079714E"/>
    <w:rsid w:val="00803C2B"/>
    <w:rsid w:val="00837FE2"/>
    <w:rsid w:val="00956C33"/>
    <w:rsid w:val="009A3D65"/>
    <w:rsid w:val="00A51EDE"/>
    <w:rsid w:val="00AB2FA1"/>
    <w:rsid w:val="00B04991"/>
    <w:rsid w:val="00BD16D9"/>
    <w:rsid w:val="00BD46B4"/>
    <w:rsid w:val="00C1067F"/>
    <w:rsid w:val="00E1782C"/>
    <w:rsid w:val="00F231B0"/>
    <w:rsid w:val="00FE0EE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3E2CCF62"/>
  <w14:defaultImageDpi w14:val="300"/>
  <w15:docId w15:val="{7E91C59D-A70D-43C2-BF4B-6D68B9C9E7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B1C9D"/>
    <w:pPr>
      <w:tabs>
        <w:tab w:val="center" w:pos="4320"/>
        <w:tab w:val="right" w:pos="8640"/>
      </w:tabs>
    </w:pPr>
  </w:style>
  <w:style w:type="character" w:customStyle="1" w:styleId="HeaderChar">
    <w:name w:val="Header Char"/>
    <w:basedOn w:val="DefaultParagraphFont"/>
    <w:link w:val="Header"/>
    <w:uiPriority w:val="99"/>
    <w:rsid w:val="002B1C9D"/>
  </w:style>
  <w:style w:type="paragraph" w:styleId="Footer">
    <w:name w:val="footer"/>
    <w:basedOn w:val="Normal"/>
    <w:link w:val="FooterChar"/>
    <w:uiPriority w:val="99"/>
    <w:unhideWhenUsed/>
    <w:rsid w:val="002B1C9D"/>
    <w:pPr>
      <w:tabs>
        <w:tab w:val="center" w:pos="4320"/>
        <w:tab w:val="right" w:pos="8640"/>
      </w:tabs>
    </w:pPr>
  </w:style>
  <w:style w:type="character" w:customStyle="1" w:styleId="FooterChar">
    <w:name w:val="Footer Char"/>
    <w:basedOn w:val="DefaultParagraphFont"/>
    <w:link w:val="Footer"/>
    <w:uiPriority w:val="99"/>
    <w:rsid w:val="002B1C9D"/>
  </w:style>
  <w:style w:type="paragraph" w:styleId="BalloonText">
    <w:name w:val="Balloon Text"/>
    <w:basedOn w:val="Normal"/>
    <w:link w:val="BalloonTextChar"/>
    <w:uiPriority w:val="99"/>
    <w:semiHidden/>
    <w:unhideWhenUsed/>
    <w:rsid w:val="002B1C9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B1C9D"/>
    <w:rPr>
      <w:rFonts w:ascii="Lucida Grande" w:hAnsi="Lucida Grande" w:cs="Lucida Grande"/>
      <w:sz w:val="18"/>
      <w:szCs w:val="18"/>
    </w:rPr>
  </w:style>
  <w:style w:type="paragraph" w:styleId="PlainText">
    <w:name w:val="Plain Text"/>
    <w:basedOn w:val="Normal"/>
    <w:link w:val="PlainTextChar"/>
    <w:uiPriority w:val="99"/>
    <w:unhideWhenUsed/>
    <w:rsid w:val="0074141A"/>
    <w:rPr>
      <w:rFonts w:ascii="Calibri" w:eastAsia="Calibri" w:hAnsi="Calibri" w:cs="Times New Roman"/>
      <w:sz w:val="22"/>
      <w:szCs w:val="22"/>
    </w:rPr>
  </w:style>
  <w:style w:type="character" w:customStyle="1" w:styleId="PlainTextChar">
    <w:name w:val="Plain Text Char"/>
    <w:basedOn w:val="DefaultParagraphFont"/>
    <w:link w:val="PlainText"/>
    <w:uiPriority w:val="99"/>
    <w:rsid w:val="0074141A"/>
    <w:rPr>
      <w:rFonts w:ascii="Calibri" w:eastAsia="Calibri" w:hAnsi="Calibri" w:cs="Times New Roman"/>
      <w:sz w:val="22"/>
      <w:szCs w:val="22"/>
    </w:rPr>
  </w:style>
  <w:style w:type="paragraph" w:styleId="ListParagraph">
    <w:name w:val="List Paragraph"/>
    <w:basedOn w:val="Normal"/>
    <w:uiPriority w:val="34"/>
    <w:qFormat/>
    <w:rsid w:val="0074141A"/>
    <w:pPr>
      <w:ind w:left="720"/>
    </w:pPr>
    <w:rPr>
      <w:rFonts w:ascii="Calibri" w:eastAsiaTheme="minorHAnsi" w:hAnsi="Calibri" w:cs="Calibri"/>
      <w:sz w:val="22"/>
      <w:szCs w:val="22"/>
    </w:rPr>
  </w:style>
  <w:style w:type="paragraph" w:customStyle="1" w:styleId="Default">
    <w:name w:val="Default"/>
    <w:basedOn w:val="Normal"/>
    <w:rsid w:val="0074141A"/>
    <w:pPr>
      <w:autoSpaceDE w:val="0"/>
      <w:autoSpaceDN w:val="0"/>
    </w:pPr>
    <w:rPr>
      <w:rFonts w:ascii="Times New Roman" w:eastAsiaTheme="minorHAnsi" w:hAnsi="Times New Roman" w:cs="Times New Roman"/>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795604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endnotes" Target="endnotes.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95489a83-a286-4c44-8063-e989b9fd0be4">
      <Value>4</Value>
    </TaxCatchAll>
    <abb01437206842608884498735fad0d8 xmlns="95489a83-a286-4c44-8063-e989b9fd0be4">
      <Terms xmlns="http://schemas.microsoft.com/office/infopath/2007/PartnerControls">
        <TermInfo xmlns="http://schemas.microsoft.com/office/infopath/2007/PartnerControls">
          <TermName xmlns="http://schemas.microsoft.com/office/infopath/2007/PartnerControls">Communications</TermName>
          <TermId xmlns="http://schemas.microsoft.com/office/infopath/2007/PartnerControls">e29bd192-274d-4744-b4ae-28724934a184</TermId>
        </TermInfo>
      </Terms>
    </abb01437206842608884498735fad0d8>
    <_dlc_DocId xmlns="95489a83-a286-4c44-8063-e989b9fd0be4">5C7N2DUACTXA-12-122</_dlc_DocId>
    <_dlc_DocIdUrl xmlns="95489a83-a286-4c44-8063-e989b9fd0be4">
      <Url>http://ifchp/hubs/documentcenter/_layouts/DocIdRedir.aspx?ID=5C7N2DUACTXA-12-122</Url>
      <Description>5C7N2DUACTXA-12-122</Description>
    </_dlc_DocIdUrl>
    <AverageRating xmlns="http://schemas.microsoft.com/sharepoint/v3" xsi:nil="true"/>
  </documentManagement>
</p:properties>
</file>

<file path=customXml/item2.xml><?xml version="1.0" encoding="utf-8"?>
<?mso-contentType ?>
<SharedContentType xmlns="Microsoft.SharePoint.Taxonomy.ContentTypeSync" SourceId="2890d276-3710-4198-b859-89a3eaf8019d" ContentTypeId="0x010100F5F9A163D4BCDD45BF437A69FC82FBFF01" PreviousValue="false"/>
</file>

<file path=customXml/item3.xml><?xml version="1.0" encoding="utf-8"?>
<ct:contentTypeSchema xmlns:ct="http://schemas.microsoft.com/office/2006/metadata/contentType" xmlns:ma="http://schemas.microsoft.com/office/2006/metadata/properties/metaAttributes" ct:_="" ma:_="" ma:contentTypeName="FCHP Forms and Templates" ma:contentTypeID="0x010100F5F9A163D4BCDD45BF437A69FC82FBFF0100B181FAA19E992445A1DB00BA5241BF61" ma:contentTypeVersion="10" ma:contentTypeDescription="FCHP Forms and Templates" ma:contentTypeScope="" ma:versionID="950ebc445a5c01bf9f543b9c05688001">
  <xsd:schema xmlns:xsd="http://www.w3.org/2001/XMLSchema" xmlns:xs="http://www.w3.org/2001/XMLSchema" xmlns:p="http://schemas.microsoft.com/office/2006/metadata/properties" xmlns:ns1="http://schemas.microsoft.com/sharepoint/v3" xmlns:ns2="95489a83-a286-4c44-8063-e989b9fd0be4" targetNamespace="http://schemas.microsoft.com/office/2006/metadata/properties" ma:root="true" ma:fieldsID="a12cfbbc3e8fb87391f0ccfde4d4d5b1" ns1:_="" ns2:_="">
    <xsd:import namespace="http://schemas.microsoft.com/sharepoint/v3"/>
    <xsd:import namespace="95489a83-a286-4c44-8063-e989b9fd0be4"/>
    <xsd:element name="properties">
      <xsd:complexType>
        <xsd:sequence>
          <xsd:element name="documentManagement">
            <xsd:complexType>
              <xsd:all>
                <xsd:element ref="ns1:AverageRating" minOccurs="0"/>
                <xsd:element ref="ns1:RatingCount" minOccurs="0"/>
                <xsd:element ref="ns2:_dlc_DocId" minOccurs="0"/>
                <xsd:element ref="ns2:_dlc_DocIdUrl" minOccurs="0"/>
                <xsd:element ref="ns2:_dlc_DocIdPersistId" minOccurs="0"/>
                <xsd:element ref="ns2:abb01437206842608884498735fad0d8" minOccurs="0"/>
                <xsd:element ref="ns2:TaxCatchAll" minOccurs="0"/>
                <xsd:element ref="ns2:TaxCatchAllLabe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AverageRating" ma:index="3" nillable="true" ma:displayName="Rating (0-5)" ma:decimals="2" ma:description="Average value of all the ratings that have been submitted" ma:internalName="AverageRating" ma:readOnly="true">
      <xsd:simpleType>
        <xsd:restriction base="dms:Number"/>
      </xsd:simpleType>
    </xsd:element>
    <xsd:element name="RatingCount" ma:index="4" nillable="true" ma:displayName="Number of Ratings" ma:decimals="0" ma:description="Number of ratings submitted" ma:internalName="RatingCount" ma:readOnly="true">
      <xsd:simpleType>
        <xsd:restriction base="dms:Number"/>
      </xsd:simpleType>
    </xsd:element>
  </xsd:schema>
  <xsd:schema xmlns:xsd="http://www.w3.org/2001/XMLSchema" xmlns:xs="http://www.w3.org/2001/XMLSchema" xmlns:dms="http://schemas.microsoft.com/office/2006/documentManagement/types" xmlns:pc="http://schemas.microsoft.com/office/infopath/2007/PartnerControls" targetNamespace="95489a83-a286-4c44-8063-e989b9fd0be4"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abb01437206842608884498735fad0d8" ma:index="13" nillable="true" ma:taxonomy="true" ma:internalName="abb01437206842608884498735fad0d8" ma:taxonomyFieldName="FCHP_x0020_Functions" ma:displayName="Fallon Functions" ma:indexed="true" ma:readOnly="false" ma:default="" ma:fieldId="{abb01437-2068-4260-8884-498735fad0d8}" ma:sspId="2890d276-3710-4198-b859-89a3eaf8019d" ma:termSetId="3a15c615-6b08-48c3-8612-b0d8f7c13ba6" ma:anchorId="00000000-0000-0000-0000-000000000000" ma:open="false" ma:isKeyword="false">
      <xsd:complexType>
        <xsd:sequence>
          <xsd:element ref="pc:Terms" minOccurs="0" maxOccurs="1"/>
        </xsd:sequence>
      </xsd:complexType>
    </xsd:element>
    <xsd:element name="TaxCatchAll" ma:index="14" nillable="true" ma:displayName="Taxonomy Catch All Column" ma:hidden="true" ma:list="{b2089bcb-2a23-4e0c-b676-384f9912389c}" ma:internalName="TaxCatchAll" ma:showField="CatchAllData" ma:web="627b4828-c47a-44b2-9db1-43ca708fbd56">
      <xsd:complexType>
        <xsd:complexContent>
          <xsd:extension base="dms:MultiChoiceLookup">
            <xsd:sequence>
              <xsd:element name="Value" type="dms:Lookup" maxOccurs="unbounded" minOccurs="0" nillable="true"/>
            </xsd:sequence>
          </xsd:extension>
        </xsd:complexContent>
      </xsd:complexType>
    </xsd:element>
    <xsd:element name="TaxCatchAllLabel" ma:index="15" nillable="true" ma:displayName="Taxonomy Catch All Column1" ma:hidden="true" ma:list="{b2089bcb-2a23-4e0c-b676-384f9912389c}" ma:internalName="TaxCatchAllLabel" ma:readOnly="true" ma:showField="CatchAllDataLabel" ma:web="627b4828-c47a-44b2-9db1-43ca708fbd5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6"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6.xml><?xml version="1.0" encoding="utf-8"?>
<?mso-contentType ?>
<customXsn xmlns="http://schemas.microsoft.com/office/2006/metadata/customXsn">
  <xsnLocation/>
  <cached>True</cached>
  <openByDefault>True</openByDefault>
  <xsnScope/>
</customXsn>
</file>

<file path=customXml/itemProps1.xml><?xml version="1.0" encoding="utf-8"?>
<ds:datastoreItem xmlns:ds="http://schemas.openxmlformats.org/officeDocument/2006/customXml" ds:itemID="{5C07F497-84C8-4777-B3FC-BFB3070E01F0}">
  <ds:schemaRefs>
    <ds:schemaRef ds:uri="http://schemas.microsoft.com/office/2006/metadata/properties"/>
    <ds:schemaRef ds:uri="http://schemas.microsoft.com/office/infopath/2007/PartnerControls"/>
    <ds:schemaRef ds:uri="95489a83-a286-4c44-8063-e989b9fd0be4"/>
    <ds:schemaRef ds:uri="http://schemas.microsoft.com/sharepoint/v3"/>
  </ds:schemaRefs>
</ds:datastoreItem>
</file>

<file path=customXml/itemProps2.xml><?xml version="1.0" encoding="utf-8"?>
<ds:datastoreItem xmlns:ds="http://schemas.openxmlformats.org/officeDocument/2006/customXml" ds:itemID="{8851059F-7DE0-44C5-A6F1-9F535829ED9F}">
  <ds:schemaRefs>
    <ds:schemaRef ds:uri="Microsoft.SharePoint.Taxonomy.ContentTypeSync"/>
  </ds:schemaRefs>
</ds:datastoreItem>
</file>

<file path=customXml/itemProps3.xml><?xml version="1.0" encoding="utf-8"?>
<ds:datastoreItem xmlns:ds="http://schemas.openxmlformats.org/officeDocument/2006/customXml" ds:itemID="{2DB8613F-37E3-40D9-9C56-3FEAC7F0F57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95489a83-a286-4c44-8063-e989b9fd0be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E293A3E-3B9F-4463-9633-48682F4DE2FB}">
  <ds:schemaRefs>
    <ds:schemaRef ds:uri="http://schemas.microsoft.com/sharepoint/v3/contenttype/forms"/>
  </ds:schemaRefs>
</ds:datastoreItem>
</file>

<file path=customXml/itemProps5.xml><?xml version="1.0" encoding="utf-8"?>
<ds:datastoreItem xmlns:ds="http://schemas.openxmlformats.org/officeDocument/2006/customXml" ds:itemID="{267AD384-0A39-4881-A2F2-EF9A16DC7F94}">
  <ds:schemaRefs>
    <ds:schemaRef ds:uri="http://schemas.microsoft.com/sharepoint/events"/>
  </ds:schemaRefs>
</ds:datastoreItem>
</file>

<file path=customXml/itemProps6.xml><?xml version="1.0" encoding="utf-8"?>
<ds:datastoreItem xmlns:ds="http://schemas.openxmlformats.org/officeDocument/2006/customXml" ds:itemID="{F5EBB84D-E630-41AE-8BB9-21E2C557DA05}">
  <ds:schemaRefs>
    <ds:schemaRef ds:uri="http://schemas.microsoft.com/office/2006/metadata/customXsn"/>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4</Pages>
  <Words>1892</Words>
  <Characters>10611</Characters>
  <Application>Microsoft Office Word</Application>
  <DocSecurity>0</DocSecurity>
  <Lines>189</Lines>
  <Paragraphs>47</Paragraphs>
  <ScaleCrop>false</ScaleCrop>
  <HeadingPairs>
    <vt:vector size="2" baseType="variant">
      <vt:variant>
        <vt:lpstr>Title</vt:lpstr>
      </vt:variant>
      <vt:variant>
        <vt:i4>1</vt:i4>
      </vt:variant>
    </vt:vector>
  </HeadingPairs>
  <TitlesOfParts>
    <vt:vector size="1" baseType="lpstr">
      <vt:lpstr/>
    </vt:vector>
  </TitlesOfParts>
  <Company>fchp</Company>
  <LinksUpToDate>false</LinksUpToDate>
  <CharactersWithSpaces>12506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craig roscoe</dc:creator>
  <cp:lastModifiedBy>Arthur Pignotti</cp:lastModifiedBy>
  <cp:revision>4</cp:revision>
  <cp:lastPrinted>2014-03-26T14:38:00Z</cp:lastPrinted>
  <dcterms:created xsi:type="dcterms:W3CDTF">2018-01-16T19:41:00Z</dcterms:created>
  <dcterms:modified xsi:type="dcterms:W3CDTF">2018-06-15T02:10:00Z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0x010100F5F9A163D4BCDD45BF437A69FC82FBFF0100B181FAA19E992445A1DB00BA5241BF61</vt:lpwstr>
  </property>
  <property fmtid="{D5CDD505-2E9C-101B-9397-08002B2CF9AE}" pid="3" name="_dlc_DocIdItemGuid">
    <vt:lpwstr>0a06fe9f-b918-4661-af76-9657a45324eb</vt:lpwstr>
  </property>
  <property fmtid="{D5CDD505-2E9C-101B-9397-08002B2CF9AE}" pid="4" name="FCHP Functions">
    <vt:lpwstr>4;#Communications|e29bd192-274d-4744-b4ae-28724934a184</vt:lpwstr>
  </property>
</Properties>
</file>