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4055" w:rsidRDefault="00966A85">
      <w:pPr>
        <w:pStyle w:val="BodyText"/>
        <w:ind w:left="100"/>
        <w:rPr>
          <w:rFonts w:ascii="Times New Roman"/>
          <w:sz w:val="20"/>
        </w:rPr>
      </w:pPr>
      <w:r>
        <w:rPr>
          <w:rFonts w:ascii="Times New Roman"/>
          <w:noProof/>
          <w:sz w:val="20"/>
        </w:rPr>
        <w:drawing>
          <wp:inline distT="0" distB="0" distL="0" distR="0">
            <wp:extent cx="1364944" cy="107442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364944" cy="1074420"/>
                    </a:xfrm>
                    <a:prstGeom prst="rect">
                      <a:avLst/>
                    </a:prstGeom>
                  </pic:spPr>
                </pic:pic>
              </a:graphicData>
            </a:graphic>
          </wp:inline>
        </w:drawing>
      </w:r>
    </w:p>
    <w:p w:rsidR="00734055" w:rsidRDefault="00734055">
      <w:pPr>
        <w:pStyle w:val="BodyText"/>
        <w:spacing w:before="3"/>
        <w:rPr>
          <w:rFonts w:ascii="Times New Roman"/>
          <w:sz w:val="15"/>
        </w:rPr>
      </w:pPr>
    </w:p>
    <w:p w:rsidR="00734055" w:rsidRDefault="00966A85">
      <w:pPr>
        <w:pStyle w:val="BodyText"/>
        <w:spacing w:before="52"/>
        <w:ind w:left="100"/>
        <w:jc w:val="both"/>
      </w:pPr>
      <w:r>
        <w:t>January 16, 2018</w:t>
      </w:r>
    </w:p>
    <w:p w:rsidR="00734055" w:rsidRDefault="00734055">
      <w:pPr>
        <w:pStyle w:val="BodyText"/>
        <w:spacing w:before="11"/>
        <w:rPr>
          <w:sz w:val="23"/>
        </w:rPr>
      </w:pPr>
    </w:p>
    <w:p w:rsidR="00734055" w:rsidRDefault="00966A85">
      <w:pPr>
        <w:pStyle w:val="BodyText"/>
        <w:ind w:left="100" w:right="7711"/>
      </w:pPr>
      <w:r>
        <w:t>Ms. Seema Verma Administrator</w:t>
      </w:r>
    </w:p>
    <w:p w:rsidR="00734055" w:rsidRDefault="00966A85">
      <w:pPr>
        <w:pStyle w:val="BodyText"/>
        <w:ind w:left="100" w:right="4393"/>
      </w:pPr>
      <w:r>
        <w:t>Centers for Medicare and Medicaid Services Department of Health and Human Services Attention: CMS-5522-P</w:t>
      </w:r>
    </w:p>
    <w:p w:rsidR="00734055" w:rsidRDefault="00966A85">
      <w:pPr>
        <w:pStyle w:val="BodyText"/>
        <w:ind w:left="100"/>
        <w:jc w:val="both"/>
      </w:pPr>
      <w:r>
        <w:t>P.O. Box 8013</w:t>
      </w:r>
    </w:p>
    <w:p w:rsidR="00734055" w:rsidRDefault="00966A85">
      <w:pPr>
        <w:pStyle w:val="BodyText"/>
        <w:ind w:left="100"/>
        <w:jc w:val="both"/>
      </w:pPr>
      <w:r>
        <w:t>Baltimore, MD 21244-8013</w:t>
      </w:r>
    </w:p>
    <w:p w:rsidR="00734055" w:rsidRDefault="00734055">
      <w:pPr>
        <w:pStyle w:val="BodyText"/>
        <w:spacing w:before="3"/>
      </w:pPr>
    </w:p>
    <w:p w:rsidR="00734055" w:rsidRDefault="00966A85">
      <w:pPr>
        <w:pStyle w:val="BodyText"/>
        <w:ind w:left="100" w:right="116"/>
        <w:jc w:val="both"/>
      </w:pPr>
      <w:r>
        <w:t>Re: Medicare Program; Contract Year 2019 Policy and Technical Changes to the Medicare Advantage,</w:t>
      </w:r>
      <w:r>
        <w:rPr>
          <w:spacing w:val="-11"/>
        </w:rPr>
        <w:t xml:space="preserve"> </w:t>
      </w:r>
      <w:r>
        <w:t>Medicare</w:t>
      </w:r>
      <w:r>
        <w:rPr>
          <w:spacing w:val="-10"/>
        </w:rPr>
        <w:t xml:space="preserve"> </w:t>
      </w:r>
      <w:r>
        <w:t>Cost</w:t>
      </w:r>
      <w:r>
        <w:rPr>
          <w:spacing w:val="-9"/>
        </w:rPr>
        <w:t xml:space="preserve"> </w:t>
      </w:r>
      <w:r>
        <w:t>Plan,</w:t>
      </w:r>
      <w:r>
        <w:rPr>
          <w:spacing w:val="-11"/>
        </w:rPr>
        <w:t xml:space="preserve"> </w:t>
      </w:r>
      <w:r>
        <w:t>Medicare</w:t>
      </w:r>
      <w:r>
        <w:rPr>
          <w:spacing w:val="-11"/>
        </w:rPr>
        <w:t xml:space="preserve"> </w:t>
      </w:r>
      <w:r>
        <w:t>Fee-for-Service,</w:t>
      </w:r>
      <w:r>
        <w:rPr>
          <w:spacing w:val="-11"/>
        </w:rPr>
        <w:t xml:space="preserve"> </w:t>
      </w:r>
      <w:r>
        <w:t>the</w:t>
      </w:r>
      <w:r>
        <w:rPr>
          <w:spacing w:val="-11"/>
        </w:rPr>
        <w:t xml:space="preserve"> </w:t>
      </w:r>
      <w:r>
        <w:t>Medicare</w:t>
      </w:r>
      <w:r>
        <w:rPr>
          <w:spacing w:val="-11"/>
        </w:rPr>
        <w:t xml:space="preserve"> </w:t>
      </w:r>
      <w:r>
        <w:t>Prescription</w:t>
      </w:r>
      <w:r>
        <w:rPr>
          <w:spacing w:val="-11"/>
        </w:rPr>
        <w:t xml:space="preserve"> </w:t>
      </w:r>
      <w:r>
        <w:t>Drug</w:t>
      </w:r>
      <w:r>
        <w:rPr>
          <w:spacing w:val="-12"/>
        </w:rPr>
        <w:t xml:space="preserve"> </w:t>
      </w:r>
      <w:r>
        <w:t>Benefit Programs, and the PACE</w:t>
      </w:r>
      <w:r>
        <w:rPr>
          <w:spacing w:val="-13"/>
        </w:rPr>
        <w:t xml:space="preserve"> </w:t>
      </w:r>
      <w:r>
        <w:t>Program</w:t>
      </w:r>
    </w:p>
    <w:p w:rsidR="00734055" w:rsidRDefault="00734055">
      <w:pPr>
        <w:pStyle w:val="BodyText"/>
        <w:spacing w:before="11"/>
        <w:rPr>
          <w:sz w:val="23"/>
        </w:rPr>
      </w:pPr>
    </w:p>
    <w:p w:rsidR="00734055" w:rsidRDefault="00966A85">
      <w:pPr>
        <w:pStyle w:val="BodyText"/>
        <w:ind w:left="100"/>
        <w:jc w:val="both"/>
      </w:pPr>
      <w:r>
        <w:t>Dear Administrator Verma:</w:t>
      </w:r>
    </w:p>
    <w:p w:rsidR="00734055" w:rsidRDefault="00734055">
      <w:pPr>
        <w:pStyle w:val="BodyText"/>
        <w:spacing w:before="11"/>
        <w:rPr>
          <w:sz w:val="23"/>
        </w:rPr>
      </w:pPr>
    </w:p>
    <w:p w:rsidR="00734055" w:rsidRDefault="00966A85">
      <w:pPr>
        <w:pStyle w:val="BodyText"/>
        <w:ind w:left="100" w:right="117"/>
        <w:jc w:val="both"/>
      </w:pPr>
      <w:r>
        <w:t>The Smarter Hea</w:t>
      </w:r>
      <w:r>
        <w:t>lth Care Coalition (Coalition) appreciates the opportunity to provide comments in response to the Medicare Program; Contract Year 2019 Policy and Technical Changes to the Medicare Advantage, Medicare Cost Plan, Medicare Fee-for-Service, the Medicare Prescr</w:t>
      </w:r>
      <w:r>
        <w:t>iption Drug Benefit Programs, and the PACE Program proposed rule.</w:t>
      </w:r>
    </w:p>
    <w:p w:rsidR="00734055" w:rsidRDefault="00734055">
      <w:pPr>
        <w:pStyle w:val="BodyText"/>
        <w:spacing w:before="11"/>
        <w:rPr>
          <w:sz w:val="23"/>
        </w:rPr>
      </w:pPr>
    </w:p>
    <w:p w:rsidR="00734055" w:rsidRDefault="00966A85">
      <w:pPr>
        <w:pStyle w:val="BodyText"/>
        <w:spacing w:before="1"/>
        <w:ind w:left="100" w:right="115"/>
        <w:jc w:val="both"/>
      </w:pPr>
      <w:r>
        <w:t>The Coalition represents a broad-based and diverse group of health care innovators, including health plans, life science companies, employer groups, provider-related organizations, trade as</w:t>
      </w:r>
      <w:r>
        <w:t>sociations, academia centers and professors, foundations, and consumer groups. Our goal is to leverage</w:t>
      </w:r>
      <w:r>
        <w:rPr>
          <w:spacing w:val="-16"/>
        </w:rPr>
        <w:t xml:space="preserve"> </w:t>
      </w:r>
      <w:r>
        <w:t>our</w:t>
      </w:r>
      <w:r>
        <w:rPr>
          <w:spacing w:val="-16"/>
        </w:rPr>
        <w:t xml:space="preserve"> </w:t>
      </w:r>
      <w:r>
        <w:t>combined</w:t>
      </w:r>
      <w:r>
        <w:rPr>
          <w:spacing w:val="-15"/>
        </w:rPr>
        <w:t xml:space="preserve"> </w:t>
      </w:r>
      <w:r>
        <w:t>perspectives</w:t>
      </w:r>
      <w:r>
        <w:rPr>
          <w:spacing w:val="-15"/>
        </w:rPr>
        <w:t xml:space="preserve"> </w:t>
      </w:r>
      <w:r>
        <w:t>and</w:t>
      </w:r>
      <w:r>
        <w:rPr>
          <w:spacing w:val="-15"/>
        </w:rPr>
        <w:t xml:space="preserve"> </w:t>
      </w:r>
      <w:r>
        <w:t>experiences</w:t>
      </w:r>
      <w:r>
        <w:rPr>
          <w:spacing w:val="-15"/>
        </w:rPr>
        <w:t xml:space="preserve"> </w:t>
      </w:r>
      <w:r>
        <w:t>to</w:t>
      </w:r>
      <w:r>
        <w:rPr>
          <w:spacing w:val="-17"/>
        </w:rPr>
        <w:t xml:space="preserve"> </w:t>
      </w:r>
      <w:r>
        <w:t>achieve</w:t>
      </w:r>
      <w:r>
        <w:rPr>
          <w:spacing w:val="-16"/>
        </w:rPr>
        <w:t xml:space="preserve"> </w:t>
      </w:r>
      <w:r>
        <w:t>smarter</w:t>
      </w:r>
      <w:r>
        <w:rPr>
          <w:spacing w:val="-17"/>
        </w:rPr>
        <w:t xml:space="preserve"> </w:t>
      </w:r>
      <w:r>
        <w:t>health</w:t>
      </w:r>
      <w:r>
        <w:rPr>
          <w:spacing w:val="-15"/>
        </w:rPr>
        <w:t xml:space="preserve"> </w:t>
      </w:r>
      <w:r>
        <w:t>care</w:t>
      </w:r>
      <w:r>
        <w:rPr>
          <w:spacing w:val="-16"/>
        </w:rPr>
        <w:t xml:space="preserve"> </w:t>
      </w:r>
      <w:r>
        <w:t>that</w:t>
      </w:r>
      <w:r>
        <w:rPr>
          <w:spacing w:val="-17"/>
        </w:rPr>
        <w:t xml:space="preserve"> </w:t>
      </w:r>
      <w:r>
        <w:t>improves the patient experience, particularly through integrating benefit d</w:t>
      </w:r>
      <w:r>
        <w:t>esign innovations and consumer/patient engagement within broader delivery system reform to better align coverage, quality, and value-based payment</w:t>
      </w:r>
      <w:r>
        <w:rPr>
          <w:spacing w:val="-6"/>
        </w:rPr>
        <w:t xml:space="preserve"> </w:t>
      </w:r>
      <w:r>
        <w:t>goals.</w:t>
      </w:r>
    </w:p>
    <w:p w:rsidR="00734055" w:rsidRDefault="00734055">
      <w:pPr>
        <w:pStyle w:val="BodyText"/>
        <w:spacing w:before="11"/>
        <w:rPr>
          <w:sz w:val="23"/>
        </w:rPr>
      </w:pPr>
    </w:p>
    <w:p w:rsidR="00734055" w:rsidRDefault="00966A85">
      <w:pPr>
        <w:pStyle w:val="BodyText"/>
        <w:spacing w:before="1"/>
        <w:ind w:left="100" w:right="114"/>
        <w:jc w:val="both"/>
      </w:pPr>
      <w:r>
        <w:t>A key focus of the Coalition includes the application and implementation of clinically nuanced, value-based insurance design (V-BID) principles to delivery systems and other areas to provide patients</w:t>
      </w:r>
      <w:r>
        <w:rPr>
          <w:spacing w:val="-13"/>
        </w:rPr>
        <w:t xml:space="preserve"> </w:t>
      </w:r>
      <w:r>
        <w:t>better</w:t>
      </w:r>
      <w:r>
        <w:rPr>
          <w:spacing w:val="-14"/>
        </w:rPr>
        <w:t xml:space="preserve"> </w:t>
      </w:r>
      <w:r>
        <w:t>access</w:t>
      </w:r>
      <w:r>
        <w:rPr>
          <w:spacing w:val="-12"/>
        </w:rPr>
        <w:t xml:space="preserve"> </w:t>
      </w:r>
      <w:r>
        <w:t>to</w:t>
      </w:r>
      <w:r>
        <w:rPr>
          <w:spacing w:val="-13"/>
        </w:rPr>
        <w:t xml:space="preserve"> </w:t>
      </w:r>
      <w:r>
        <w:t>care,</w:t>
      </w:r>
      <w:r>
        <w:rPr>
          <w:spacing w:val="-14"/>
        </w:rPr>
        <w:t xml:space="preserve"> </w:t>
      </w:r>
      <w:r>
        <w:t>which</w:t>
      </w:r>
      <w:r>
        <w:rPr>
          <w:spacing w:val="-13"/>
        </w:rPr>
        <w:t xml:space="preserve"> </w:t>
      </w:r>
      <w:r>
        <w:t>is</w:t>
      </w:r>
      <w:r>
        <w:rPr>
          <w:spacing w:val="-13"/>
        </w:rPr>
        <w:t xml:space="preserve"> </w:t>
      </w:r>
      <w:r>
        <w:t>truly</w:t>
      </w:r>
      <w:r>
        <w:rPr>
          <w:spacing w:val="-13"/>
        </w:rPr>
        <w:t xml:space="preserve"> </w:t>
      </w:r>
      <w:r>
        <w:t>beneficial</w:t>
      </w:r>
      <w:r>
        <w:rPr>
          <w:spacing w:val="-13"/>
        </w:rPr>
        <w:t xml:space="preserve"> </w:t>
      </w:r>
      <w:r>
        <w:t>to</w:t>
      </w:r>
      <w:r>
        <w:rPr>
          <w:spacing w:val="-13"/>
        </w:rPr>
        <w:t xml:space="preserve"> </w:t>
      </w:r>
      <w:r>
        <w:t>them</w:t>
      </w:r>
      <w:r>
        <w:rPr>
          <w:spacing w:val="-14"/>
        </w:rPr>
        <w:t xml:space="preserve"> </w:t>
      </w:r>
      <w:r>
        <w:t>based</w:t>
      </w:r>
      <w:r>
        <w:rPr>
          <w:spacing w:val="-14"/>
        </w:rPr>
        <w:t xml:space="preserve"> </w:t>
      </w:r>
      <w:r>
        <w:t>on</w:t>
      </w:r>
      <w:r>
        <w:rPr>
          <w:spacing w:val="-13"/>
        </w:rPr>
        <w:t xml:space="preserve"> </w:t>
      </w:r>
      <w:r>
        <w:t>their</w:t>
      </w:r>
      <w:r>
        <w:rPr>
          <w:spacing w:val="-14"/>
        </w:rPr>
        <w:t xml:space="preserve"> </w:t>
      </w:r>
      <w:r>
        <w:t>individual</w:t>
      </w:r>
      <w:r>
        <w:rPr>
          <w:spacing w:val="-13"/>
        </w:rPr>
        <w:t xml:space="preserve"> </w:t>
      </w:r>
      <w:r>
        <w:t>conditions and needs. We believe that the Coalition’s efforts and focus on V-BID aligns with the agency’s focus, particularly with the proposed rule policies to expand V-BID principles to Medicare Advantage</w:t>
      </w:r>
      <w:r>
        <w:rPr>
          <w:spacing w:val="-4"/>
        </w:rPr>
        <w:t xml:space="preserve"> </w:t>
      </w:r>
      <w:r>
        <w:t>(MA).</w:t>
      </w:r>
    </w:p>
    <w:p w:rsidR="00734055" w:rsidRDefault="00734055">
      <w:pPr>
        <w:pStyle w:val="BodyText"/>
        <w:spacing w:before="11"/>
        <w:rPr>
          <w:sz w:val="23"/>
        </w:rPr>
      </w:pPr>
    </w:p>
    <w:p w:rsidR="00734055" w:rsidRDefault="00966A85">
      <w:pPr>
        <w:pStyle w:val="BodyText"/>
        <w:spacing w:before="1"/>
        <w:ind w:left="100" w:right="120"/>
        <w:jc w:val="both"/>
      </w:pPr>
      <w:r>
        <w:t>In this comment</w:t>
      </w:r>
      <w:r>
        <w:t xml:space="preserve"> letter, we provide comments in response to the proposed flexibility for the Medicare Advantage uniformity requirements.</w:t>
      </w:r>
    </w:p>
    <w:p w:rsidR="00734055" w:rsidRDefault="00734055">
      <w:pPr>
        <w:jc w:val="both"/>
        <w:sectPr w:rsidR="00734055">
          <w:footerReference w:type="default" r:id="rId7"/>
          <w:type w:val="continuous"/>
          <w:pgSz w:w="12240" w:h="15840"/>
          <w:pgMar w:top="420" w:right="1320" w:bottom="1500" w:left="1340" w:header="720" w:footer="1310" w:gutter="0"/>
          <w:cols w:space="720"/>
        </w:sectPr>
      </w:pPr>
    </w:p>
    <w:p w:rsidR="00734055" w:rsidRDefault="00966A85">
      <w:pPr>
        <w:spacing w:before="19" w:line="261" w:lineRule="auto"/>
        <w:ind w:left="120"/>
        <w:rPr>
          <w:sz w:val="26"/>
        </w:rPr>
      </w:pPr>
      <w:r>
        <w:rPr>
          <w:color w:val="2E5395"/>
          <w:sz w:val="26"/>
        </w:rPr>
        <w:lastRenderedPageBreak/>
        <w:t>Proposed Flexibility of Medicare Advantage Uniformity Requirements and Supplemental Benefits</w:t>
      </w:r>
    </w:p>
    <w:p w:rsidR="00734055" w:rsidRDefault="00966A85">
      <w:pPr>
        <w:pStyle w:val="BodyText"/>
        <w:ind w:left="120" w:right="115"/>
        <w:jc w:val="both"/>
      </w:pPr>
      <w:r>
        <w:t>CMS is proposing to increase the flexibility in the MA uniformity requirements by allowing MA plans the ability “to reduce cost sharing for certain covered benefits, offer specific tailored supplemental benefits, and offer lower deductibles for enrollees t</w:t>
      </w:r>
      <w:r>
        <w:t>hat meet specific medical criteria.” Under this flexibility, MA plans would have the ability to tailor the cost sharing and benefits to their enrollees based on “objective and measurable” medical criteria. CMS indicates that the agency will be reviewing th</w:t>
      </w:r>
      <w:r>
        <w:t>e benefit designs and cost sharing reductions to ensure that they are in compliance with non-discrimination responsibilities and obligations. Furthermore, the agency</w:t>
      </w:r>
      <w:r>
        <w:rPr>
          <w:spacing w:val="-4"/>
        </w:rPr>
        <w:t xml:space="preserve"> </w:t>
      </w:r>
      <w:r>
        <w:t>is</w:t>
      </w:r>
      <w:r>
        <w:rPr>
          <w:spacing w:val="-3"/>
        </w:rPr>
        <w:t xml:space="preserve"> </w:t>
      </w:r>
      <w:r>
        <w:t>proposing</w:t>
      </w:r>
      <w:r>
        <w:rPr>
          <w:spacing w:val="-2"/>
        </w:rPr>
        <w:t xml:space="preserve"> </w:t>
      </w:r>
      <w:r>
        <w:t>to</w:t>
      </w:r>
      <w:r>
        <w:rPr>
          <w:spacing w:val="-4"/>
        </w:rPr>
        <w:t xml:space="preserve"> </w:t>
      </w:r>
      <w:r>
        <w:t>allow</w:t>
      </w:r>
      <w:r>
        <w:rPr>
          <w:spacing w:val="-4"/>
        </w:rPr>
        <w:t xml:space="preserve"> </w:t>
      </w:r>
      <w:r>
        <w:t>MA</w:t>
      </w:r>
      <w:r>
        <w:rPr>
          <w:spacing w:val="-5"/>
        </w:rPr>
        <w:t xml:space="preserve"> </w:t>
      </w:r>
      <w:r>
        <w:t>plans</w:t>
      </w:r>
      <w:r>
        <w:rPr>
          <w:spacing w:val="-4"/>
        </w:rPr>
        <w:t xml:space="preserve"> </w:t>
      </w:r>
      <w:r>
        <w:t>to</w:t>
      </w:r>
      <w:r>
        <w:rPr>
          <w:spacing w:val="-4"/>
        </w:rPr>
        <w:t xml:space="preserve"> </w:t>
      </w:r>
      <w:r>
        <w:t>vary</w:t>
      </w:r>
      <w:r>
        <w:rPr>
          <w:spacing w:val="-4"/>
        </w:rPr>
        <w:t xml:space="preserve"> </w:t>
      </w:r>
      <w:r>
        <w:t>supplemental</w:t>
      </w:r>
      <w:r>
        <w:rPr>
          <w:spacing w:val="-5"/>
        </w:rPr>
        <w:t xml:space="preserve"> </w:t>
      </w:r>
      <w:r>
        <w:t>plans</w:t>
      </w:r>
      <w:r>
        <w:rPr>
          <w:spacing w:val="-4"/>
        </w:rPr>
        <w:t xml:space="preserve"> </w:t>
      </w:r>
      <w:r>
        <w:t>by</w:t>
      </w:r>
      <w:r>
        <w:rPr>
          <w:spacing w:val="-4"/>
        </w:rPr>
        <w:t xml:space="preserve"> </w:t>
      </w:r>
      <w:r>
        <w:t>plan</w:t>
      </w:r>
      <w:r>
        <w:rPr>
          <w:spacing w:val="-5"/>
        </w:rPr>
        <w:t xml:space="preserve"> </w:t>
      </w:r>
      <w:r>
        <w:t>segment,</w:t>
      </w:r>
      <w:r>
        <w:rPr>
          <w:spacing w:val="-5"/>
        </w:rPr>
        <w:t xml:space="preserve"> </w:t>
      </w:r>
      <w:r>
        <w:t>as</w:t>
      </w:r>
      <w:r>
        <w:rPr>
          <w:spacing w:val="-3"/>
        </w:rPr>
        <w:t xml:space="preserve"> </w:t>
      </w:r>
      <w:r>
        <w:t>long</w:t>
      </w:r>
      <w:r>
        <w:rPr>
          <w:spacing w:val="-4"/>
        </w:rPr>
        <w:t xml:space="preserve"> </w:t>
      </w:r>
      <w:r>
        <w:t>as</w:t>
      </w:r>
      <w:r>
        <w:rPr>
          <w:spacing w:val="-3"/>
        </w:rPr>
        <w:t xml:space="preserve"> </w:t>
      </w:r>
      <w:r>
        <w:t xml:space="preserve">the </w:t>
      </w:r>
      <w:r>
        <w:t>supplemental benefits are uniform within a</w:t>
      </w:r>
      <w:r>
        <w:rPr>
          <w:spacing w:val="-7"/>
        </w:rPr>
        <w:t xml:space="preserve"> </w:t>
      </w:r>
      <w:r>
        <w:t>segment.</w:t>
      </w:r>
    </w:p>
    <w:p w:rsidR="00734055" w:rsidRDefault="00734055">
      <w:pPr>
        <w:pStyle w:val="BodyText"/>
        <w:spacing w:before="8"/>
      </w:pPr>
    </w:p>
    <w:p w:rsidR="00734055" w:rsidRDefault="00966A85">
      <w:pPr>
        <w:pStyle w:val="BodyText"/>
        <w:ind w:left="120" w:right="114"/>
        <w:jc w:val="both"/>
      </w:pPr>
      <w:r>
        <w:t>The Coalition strongly supports and commends the agency for these proposed flexibilities that would allow MA plans to apply V-BID principles to the cost sharing and other benefits offered to their enroll</w:t>
      </w:r>
      <w:r>
        <w:t>ees. Application of V-BID to MA uniformity requirements represents an opportunity</w:t>
      </w:r>
      <w:r>
        <w:rPr>
          <w:spacing w:val="-33"/>
        </w:rPr>
        <w:t xml:space="preserve"> </w:t>
      </w:r>
      <w:r>
        <w:t>to lower patient cost-sharing, to promote access to evidence-based, clinical services, and high-value medications, particularly those used to treat and manage chronic disease</w:t>
      </w:r>
      <w:r>
        <w:t>, and encourage the</w:t>
      </w:r>
      <w:r>
        <w:rPr>
          <w:spacing w:val="-30"/>
        </w:rPr>
        <w:t xml:space="preserve"> </w:t>
      </w:r>
      <w:r>
        <w:t>use of high-quality providers. We applaud the agency for the proposed safeguards to ensure non- discrimination responsibilities are obligations are upheld for</w:t>
      </w:r>
      <w:r>
        <w:rPr>
          <w:spacing w:val="-33"/>
        </w:rPr>
        <w:t xml:space="preserve"> </w:t>
      </w:r>
      <w:r>
        <w:t>enrollees.</w:t>
      </w:r>
    </w:p>
    <w:p w:rsidR="00734055" w:rsidRDefault="00734055">
      <w:pPr>
        <w:pStyle w:val="BodyText"/>
        <w:spacing w:before="11"/>
        <w:rPr>
          <w:sz w:val="23"/>
        </w:rPr>
      </w:pPr>
    </w:p>
    <w:p w:rsidR="00734055" w:rsidRDefault="00966A85">
      <w:pPr>
        <w:pStyle w:val="BodyText"/>
        <w:ind w:left="120" w:right="112"/>
        <w:jc w:val="both"/>
      </w:pPr>
      <w:r>
        <w:t>Additionally,</w:t>
      </w:r>
      <w:r>
        <w:rPr>
          <w:spacing w:val="-7"/>
        </w:rPr>
        <w:t xml:space="preserve"> </w:t>
      </w:r>
      <w:r>
        <w:t>the</w:t>
      </w:r>
      <w:r>
        <w:rPr>
          <w:spacing w:val="-5"/>
        </w:rPr>
        <w:t xml:space="preserve"> </w:t>
      </w:r>
      <w:r>
        <w:t>Coalition</w:t>
      </w:r>
      <w:r>
        <w:rPr>
          <w:spacing w:val="-6"/>
        </w:rPr>
        <w:t xml:space="preserve"> </w:t>
      </w:r>
      <w:r>
        <w:t>urges</w:t>
      </w:r>
      <w:r>
        <w:rPr>
          <w:spacing w:val="-5"/>
        </w:rPr>
        <w:t xml:space="preserve"> </w:t>
      </w:r>
      <w:r>
        <w:t>the</w:t>
      </w:r>
      <w:r>
        <w:rPr>
          <w:spacing w:val="-7"/>
        </w:rPr>
        <w:t xml:space="preserve"> </w:t>
      </w:r>
      <w:r>
        <w:t>agency</w:t>
      </w:r>
      <w:r>
        <w:rPr>
          <w:spacing w:val="-7"/>
        </w:rPr>
        <w:t xml:space="preserve"> </w:t>
      </w:r>
      <w:r>
        <w:t>to</w:t>
      </w:r>
      <w:r>
        <w:rPr>
          <w:spacing w:val="-6"/>
        </w:rPr>
        <w:t xml:space="preserve"> </w:t>
      </w:r>
      <w:r>
        <w:t>further</w:t>
      </w:r>
      <w:r>
        <w:rPr>
          <w:spacing w:val="-8"/>
        </w:rPr>
        <w:t xml:space="preserve"> </w:t>
      </w:r>
      <w:r>
        <w:t>take</w:t>
      </w:r>
      <w:r>
        <w:rPr>
          <w:spacing w:val="-8"/>
        </w:rPr>
        <w:t xml:space="preserve"> </w:t>
      </w:r>
      <w:r>
        <w:t>into</w:t>
      </w:r>
      <w:r>
        <w:rPr>
          <w:spacing w:val="-7"/>
        </w:rPr>
        <w:t xml:space="preserve"> </w:t>
      </w:r>
      <w:r>
        <w:t>consideration</w:t>
      </w:r>
      <w:r>
        <w:rPr>
          <w:spacing w:val="-6"/>
        </w:rPr>
        <w:t xml:space="preserve"> </w:t>
      </w:r>
      <w:r>
        <w:t>social</w:t>
      </w:r>
      <w:r>
        <w:rPr>
          <w:spacing w:val="-7"/>
        </w:rPr>
        <w:t xml:space="preserve"> </w:t>
      </w:r>
      <w:r>
        <w:t>determinants of health that are often key drivers of health care utilization and costs. As such, we recommend that, in addition to “objective and measurable” medical criteria, the agency permit MA plans to tailor their cost sharing an</w:t>
      </w:r>
      <w:r>
        <w:t>d benefits based on other objective criteria, such as indicated by eligibility for low income subsidy (LIS) under Part D, and allow MA plans to provide and tailor benefits</w:t>
      </w:r>
      <w:r>
        <w:rPr>
          <w:spacing w:val="-3"/>
        </w:rPr>
        <w:t xml:space="preserve"> </w:t>
      </w:r>
      <w:r>
        <w:t>that</w:t>
      </w:r>
      <w:r>
        <w:rPr>
          <w:spacing w:val="-4"/>
        </w:rPr>
        <w:t xml:space="preserve"> </w:t>
      </w:r>
      <w:r>
        <w:t>address</w:t>
      </w:r>
      <w:r>
        <w:rPr>
          <w:spacing w:val="-3"/>
        </w:rPr>
        <w:t xml:space="preserve"> </w:t>
      </w:r>
      <w:r>
        <w:t>social</w:t>
      </w:r>
      <w:r>
        <w:rPr>
          <w:spacing w:val="-5"/>
        </w:rPr>
        <w:t xml:space="preserve"> </w:t>
      </w:r>
      <w:r>
        <w:t>determinants.</w:t>
      </w:r>
      <w:r>
        <w:rPr>
          <w:spacing w:val="-4"/>
        </w:rPr>
        <w:t xml:space="preserve"> </w:t>
      </w:r>
      <w:r>
        <w:t>The</w:t>
      </w:r>
      <w:r>
        <w:rPr>
          <w:spacing w:val="-5"/>
        </w:rPr>
        <w:t xml:space="preserve"> </w:t>
      </w:r>
      <w:r>
        <w:t>agency</w:t>
      </w:r>
      <w:r>
        <w:rPr>
          <w:spacing w:val="-4"/>
        </w:rPr>
        <w:t xml:space="preserve"> </w:t>
      </w:r>
      <w:r>
        <w:t>should</w:t>
      </w:r>
      <w:r>
        <w:rPr>
          <w:spacing w:val="-3"/>
        </w:rPr>
        <w:t xml:space="preserve"> </w:t>
      </w:r>
      <w:r>
        <w:t>also</w:t>
      </w:r>
      <w:r>
        <w:rPr>
          <w:spacing w:val="-4"/>
        </w:rPr>
        <w:t xml:space="preserve"> </w:t>
      </w:r>
      <w:r>
        <w:t>allow</w:t>
      </w:r>
      <w:r>
        <w:rPr>
          <w:spacing w:val="-4"/>
        </w:rPr>
        <w:t xml:space="preserve"> </w:t>
      </w:r>
      <w:r>
        <w:t>MA</w:t>
      </w:r>
      <w:r>
        <w:rPr>
          <w:spacing w:val="-5"/>
        </w:rPr>
        <w:t xml:space="preserve"> </w:t>
      </w:r>
      <w:r>
        <w:t>plans</w:t>
      </w:r>
      <w:r>
        <w:rPr>
          <w:spacing w:val="-4"/>
        </w:rPr>
        <w:t xml:space="preserve"> </w:t>
      </w:r>
      <w:r>
        <w:t>to</w:t>
      </w:r>
      <w:r>
        <w:rPr>
          <w:spacing w:val="-4"/>
        </w:rPr>
        <w:t xml:space="preserve"> </w:t>
      </w:r>
      <w:r>
        <w:t>offer</w:t>
      </w:r>
      <w:r>
        <w:rPr>
          <w:spacing w:val="-5"/>
        </w:rPr>
        <w:t xml:space="preserve"> </w:t>
      </w:r>
      <w:r>
        <w:t>a</w:t>
      </w:r>
      <w:r>
        <w:rPr>
          <w:spacing w:val="-4"/>
        </w:rPr>
        <w:t xml:space="preserve"> </w:t>
      </w:r>
      <w:r>
        <w:t>wider array of supplemental benefits—not limited to primarily health related services—to chronically ill patients, similar to the provisions in Section 302 of the Creating High-Quality Results and Outcomes Necessary to Improve Chronic (CHRONIC) Care Act of</w:t>
      </w:r>
      <w:r>
        <w:t xml:space="preserve"> 2017, S. 870.</w:t>
      </w:r>
      <w:r>
        <w:rPr>
          <w:position w:val="8"/>
          <w:sz w:val="16"/>
        </w:rPr>
        <w:t xml:space="preserve">1 </w:t>
      </w:r>
      <w:r>
        <w:t>Furthermore, we encourage the agency to consider alignment of the benefits in MA and other CMS quality programs, as appropriate. We believe that this would ensure that the application of V-BID principles is truly impactful to improving high</w:t>
      </w:r>
      <w:r>
        <w:t>-value care while reducing unnecessary costs and services, and meets the varying needs of an MA plan’s</w:t>
      </w:r>
      <w:r>
        <w:rPr>
          <w:spacing w:val="-11"/>
        </w:rPr>
        <w:t xml:space="preserve"> </w:t>
      </w:r>
      <w:r>
        <w:t>enrollees.</w:t>
      </w:r>
    </w:p>
    <w:p w:rsidR="00734055" w:rsidRDefault="00734055">
      <w:pPr>
        <w:pStyle w:val="BodyText"/>
        <w:spacing w:before="11"/>
        <w:rPr>
          <w:sz w:val="23"/>
        </w:rPr>
      </w:pPr>
    </w:p>
    <w:p w:rsidR="00734055" w:rsidRDefault="00966A85">
      <w:pPr>
        <w:pStyle w:val="BodyText"/>
        <w:ind w:left="120" w:right="116"/>
        <w:jc w:val="both"/>
      </w:pPr>
      <w:r>
        <w:t>Furthermore, while the MA V-BID Demonstration applies to both Part C and Part D, CMS has proposed to limit the uniformity requirements’ flexi</w:t>
      </w:r>
      <w:r>
        <w:t>bility to only Part C. The Coalition encourages the agency to extend this flexibility to the Part D program as well, so patients can have more accessible</w:t>
      </w:r>
      <w:r>
        <w:rPr>
          <w:spacing w:val="-8"/>
        </w:rPr>
        <w:t xml:space="preserve"> </w:t>
      </w:r>
      <w:r>
        <w:t>and</w:t>
      </w:r>
      <w:r>
        <w:rPr>
          <w:spacing w:val="-9"/>
        </w:rPr>
        <w:t xml:space="preserve"> </w:t>
      </w:r>
      <w:r>
        <w:t>affordable</w:t>
      </w:r>
      <w:r>
        <w:rPr>
          <w:spacing w:val="-8"/>
        </w:rPr>
        <w:t xml:space="preserve"> </w:t>
      </w:r>
      <w:r>
        <w:t>options</w:t>
      </w:r>
      <w:r>
        <w:rPr>
          <w:spacing w:val="-7"/>
        </w:rPr>
        <w:t xml:space="preserve"> </w:t>
      </w:r>
      <w:r>
        <w:t>for</w:t>
      </w:r>
      <w:r>
        <w:rPr>
          <w:spacing w:val="-6"/>
        </w:rPr>
        <w:t xml:space="preserve"> </w:t>
      </w:r>
      <w:r>
        <w:t>prescription</w:t>
      </w:r>
      <w:r>
        <w:rPr>
          <w:spacing w:val="-9"/>
        </w:rPr>
        <w:t xml:space="preserve"> </w:t>
      </w:r>
      <w:r>
        <w:t>drugs</w:t>
      </w:r>
      <w:r>
        <w:rPr>
          <w:spacing w:val="-6"/>
        </w:rPr>
        <w:t xml:space="preserve"> </w:t>
      </w:r>
      <w:r>
        <w:t>that</w:t>
      </w:r>
      <w:r>
        <w:rPr>
          <w:spacing w:val="-8"/>
        </w:rPr>
        <w:t xml:space="preserve"> </w:t>
      </w:r>
      <w:r>
        <w:t>could</w:t>
      </w:r>
      <w:r>
        <w:rPr>
          <w:spacing w:val="-9"/>
        </w:rPr>
        <w:t xml:space="preserve"> </w:t>
      </w:r>
      <w:r>
        <w:t>help</w:t>
      </w:r>
      <w:r>
        <w:rPr>
          <w:spacing w:val="-7"/>
        </w:rPr>
        <w:t xml:space="preserve"> </w:t>
      </w:r>
      <w:r>
        <w:t>them</w:t>
      </w:r>
      <w:r>
        <w:rPr>
          <w:spacing w:val="-7"/>
        </w:rPr>
        <w:t xml:space="preserve"> </w:t>
      </w:r>
      <w:r>
        <w:t>better</w:t>
      </w:r>
      <w:r>
        <w:rPr>
          <w:spacing w:val="-8"/>
        </w:rPr>
        <w:t xml:space="preserve"> </w:t>
      </w:r>
      <w:r>
        <w:t>manage</w:t>
      </w:r>
      <w:r>
        <w:rPr>
          <w:spacing w:val="-7"/>
        </w:rPr>
        <w:t xml:space="preserve"> </w:t>
      </w:r>
      <w:r>
        <w:t>their chronic</w:t>
      </w:r>
      <w:r>
        <w:rPr>
          <w:spacing w:val="-9"/>
        </w:rPr>
        <w:t xml:space="preserve"> </w:t>
      </w:r>
      <w:r>
        <w:t>conditi</w:t>
      </w:r>
      <w:r>
        <w:t>ons.</w:t>
      </w:r>
    </w:p>
    <w:p w:rsidR="00734055" w:rsidRDefault="00734055">
      <w:pPr>
        <w:pStyle w:val="BodyText"/>
        <w:rPr>
          <w:sz w:val="20"/>
        </w:rPr>
      </w:pPr>
    </w:p>
    <w:p w:rsidR="00734055" w:rsidRDefault="00734055">
      <w:pPr>
        <w:pStyle w:val="BodyText"/>
        <w:rPr>
          <w:sz w:val="20"/>
        </w:rPr>
      </w:pPr>
    </w:p>
    <w:p w:rsidR="00734055" w:rsidRDefault="00966A85">
      <w:pPr>
        <w:pStyle w:val="BodyText"/>
        <w:spacing w:before="4"/>
        <w:rPr>
          <w:sz w:val="12"/>
        </w:rPr>
      </w:pPr>
      <w:r>
        <w:pict>
          <v:line id="_x0000_s2051" style="position:absolute;z-index:251658240;mso-wrap-distance-left:0;mso-wrap-distance-right:0;mso-position-horizontal-relative:page" from="1in,9.9pt" to="216.05pt,9.9pt" strokeweight=".72pt">
            <w10:wrap type="topAndBottom" anchorx="page"/>
          </v:line>
        </w:pict>
      </w:r>
    </w:p>
    <w:p w:rsidR="00734055" w:rsidRDefault="00966A85">
      <w:pPr>
        <w:spacing w:before="69" w:line="247" w:lineRule="exact"/>
        <w:ind w:left="120"/>
        <w:rPr>
          <w:rFonts w:ascii="Calibri"/>
          <w:sz w:val="20"/>
        </w:rPr>
      </w:pPr>
      <w:r>
        <w:rPr>
          <w:rFonts w:ascii="Calibri"/>
          <w:position w:val="7"/>
          <w:sz w:val="13"/>
        </w:rPr>
        <w:t xml:space="preserve">1 </w:t>
      </w:r>
      <w:hyperlink r:id="rId8">
        <w:r>
          <w:rPr>
            <w:rFonts w:ascii="Calibri"/>
            <w:color w:val="0462C1"/>
            <w:sz w:val="20"/>
            <w:u w:val="single" w:color="0462C1"/>
          </w:rPr>
          <w:t>https://www.congress.gov/115/bills/s870/BILLS-115s870rfh.pdf</w:t>
        </w:r>
      </w:hyperlink>
    </w:p>
    <w:p w:rsidR="00734055" w:rsidRDefault="00966A85">
      <w:pPr>
        <w:spacing w:line="268" w:lineRule="exact"/>
        <w:ind w:right="114"/>
        <w:jc w:val="right"/>
        <w:rPr>
          <w:rFonts w:ascii="Calibri"/>
        </w:rPr>
      </w:pPr>
      <w:r>
        <w:rPr>
          <w:rFonts w:ascii="Calibri"/>
        </w:rPr>
        <w:t>2</w:t>
      </w:r>
    </w:p>
    <w:p w:rsidR="00734055" w:rsidRDefault="00734055">
      <w:pPr>
        <w:spacing w:line="268" w:lineRule="exact"/>
        <w:jc w:val="right"/>
        <w:rPr>
          <w:rFonts w:ascii="Calibri"/>
        </w:rPr>
        <w:sectPr w:rsidR="00734055">
          <w:pgSz w:w="12240" w:h="15840"/>
          <w:pgMar w:top="1420" w:right="1320" w:bottom="1500" w:left="1320" w:header="0" w:footer="1310" w:gutter="0"/>
          <w:cols w:space="720"/>
        </w:sectPr>
      </w:pPr>
    </w:p>
    <w:p w:rsidR="00734055" w:rsidRDefault="00966A85">
      <w:pPr>
        <w:pStyle w:val="BodyText"/>
        <w:spacing w:before="39" w:line="259" w:lineRule="auto"/>
        <w:ind w:left="120" w:right="114"/>
        <w:jc w:val="both"/>
      </w:pPr>
      <w:bookmarkStart w:id="0" w:name="_GoBack"/>
      <w:r>
        <w:lastRenderedPageBreak/>
        <w:t>A</w:t>
      </w:r>
      <w:r>
        <w:rPr>
          <w:spacing w:val="-7"/>
        </w:rPr>
        <w:t xml:space="preserve"> </w:t>
      </w:r>
      <w:r>
        <w:t>growing</w:t>
      </w:r>
      <w:r>
        <w:rPr>
          <w:spacing w:val="-5"/>
        </w:rPr>
        <w:t xml:space="preserve"> </w:t>
      </w:r>
      <w:r>
        <w:t>body</w:t>
      </w:r>
      <w:r>
        <w:rPr>
          <w:spacing w:val="-7"/>
        </w:rPr>
        <w:t xml:space="preserve"> </w:t>
      </w:r>
      <w:r>
        <w:t>of</w:t>
      </w:r>
      <w:r>
        <w:rPr>
          <w:spacing w:val="-6"/>
        </w:rPr>
        <w:t xml:space="preserve"> </w:t>
      </w:r>
      <w:r>
        <w:t>peer-reviewed</w:t>
      </w:r>
      <w:r>
        <w:rPr>
          <w:spacing w:val="-6"/>
        </w:rPr>
        <w:t xml:space="preserve"> </w:t>
      </w:r>
      <w:r>
        <w:t>evidence</w:t>
      </w:r>
      <w:r>
        <w:rPr>
          <w:spacing w:val="-7"/>
        </w:rPr>
        <w:t xml:space="preserve"> </w:t>
      </w:r>
      <w:r>
        <w:t>shows</w:t>
      </w:r>
      <w:r>
        <w:rPr>
          <w:spacing w:val="-8"/>
        </w:rPr>
        <w:t xml:space="preserve"> </w:t>
      </w:r>
      <w:r>
        <w:t>that</w:t>
      </w:r>
      <w:r>
        <w:rPr>
          <w:spacing w:val="-6"/>
        </w:rPr>
        <w:t xml:space="preserve"> </w:t>
      </w:r>
      <w:r>
        <w:t>cost</w:t>
      </w:r>
      <w:r>
        <w:rPr>
          <w:spacing w:val="-8"/>
        </w:rPr>
        <w:t xml:space="preserve"> </w:t>
      </w:r>
      <w:r>
        <w:t>sharing</w:t>
      </w:r>
      <w:r>
        <w:rPr>
          <w:spacing w:val="-6"/>
        </w:rPr>
        <w:t xml:space="preserve"> </w:t>
      </w:r>
      <w:r>
        <w:t>and</w:t>
      </w:r>
      <w:r>
        <w:rPr>
          <w:spacing w:val="-7"/>
        </w:rPr>
        <w:t xml:space="preserve"> </w:t>
      </w:r>
      <w:r>
        <w:t>benefit</w:t>
      </w:r>
      <w:r>
        <w:rPr>
          <w:spacing w:val="-6"/>
        </w:rPr>
        <w:t xml:space="preserve"> </w:t>
      </w:r>
      <w:r>
        <w:t>design</w:t>
      </w:r>
      <w:r>
        <w:rPr>
          <w:spacing w:val="-6"/>
        </w:rPr>
        <w:t xml:space="preserve"> </w:t>
      </w:r>
      <w:r>
        <w:t>can</w:t>
      </w:r>
      <w:r>
        <w:rPr>
          <w:spacing w:val="-7"/>
        </w:rPr>
        <w:t xml:space="preserve"> </w:t>
      </w:r>
      <w:r>
        <w:t>play</w:t>
      </w:r>
      <w:r>
        <w:rPr>
          <w:spacing w:val="-10"/>
        </w:rPr>
        <w:t xml:space="preserve"> </w:t>
      </w:r>
      <w:r>
        <w:t>an important role in ensuring access to and appropriate utilization of high-value care. Some of our Coalition participants have contributed to and continue to further this research.</w:t>
      </w:r>
      <w:r>
        <w:rPr>
          <w:position w:val="8"/>
          <w:sz w:val="16"/>
        </w:rPr>
        <w:t xml:space="preserve">2 </w:t>
      </w:r>
      <w:r>
        <w:t>The future flexibility</w:t>
      </w:r>
      <w:r>
        <w:rPr>
          <w:spacing w:val="-2"/>
        </w:rPr>
        <w:t xml:space="preserve"> </w:t>
      </w:r>
      <w:r>
        <w:t>for</w:t>
      </w:r>
      <w:r>
        <w:rPr>
          <w:spacing w:val="-4"/>
        </w:rPr>
        <w:t xml:space="preserve"> </w:t>
      </w:r>
      <w:r>
        <w:t>the</w:t>
      </w:r>
      <w:r>
        <w:rPr>
          <w:spacing w:val="-4"/>
        </w:rPr>
        <w:t xml:space="preserve"> </w:t>
      </w:r>
      <w:r>
        <w:t>uniformity</w:t>
      </w:r>
      <w:r>
        <w:rPr>
          <w:spacing w:val="-3"/>
        </w:rPr>
        <w:t xml:space="preserve"> </w:t>
      </w:r>
      <w:r>
        <w:t>requirements as</w:t>
      </w:r>
      <w:r>
        <w:rPr>
          <w:spacing w:val="-5"/>
        </w:rPr>
        <w:t xml:space="preserve"> </w:t>
      </w:r>
      <w:r>
        <w:t>proposed</w:t>
      </w:r>
      <w:r>
        <w:rPr>
          <w:spacing w:val="-3"/>
        </w:rPr>
        <w:t xml:space="preserve"> </w:t>
      </w:r>
      <w:r>
        <w:t>i</w:t>
      </w:r>
      <w:r>
        <w:t>n</w:t>
      </w:r>
      <w:r>
        <w:rPr>
          <w:spacing w:val="-3"/>
        </w:rPr>
        <w:t xml:space="preserve"> </w:t>
      </w:r>
      <w:r>
        <w:t>this</w:t>
      </w:r>
      <w:r>
        <w:rPr>
          <w:spacing w:val="-2"/>
        </w:rPr>
        <w:t xml:space="preserve"> </w:t>
      </w:r>
      <w:r>
        <w:t>rule,</w:t>
      </w:r>
      <w:r>
        <w:rPr>
          <w:spacing w:val="-4"/>
        </w:rPr>
        <w:t xml:space="preserve"> </w:t>
      </w:r>
      <w:r>
        <w:t>in</w:t>
      </w:r>
      <w:r>
        <w:rPr>
          <w:spacing w:val="-5"/>
        </w:rPr>
        <w:t xml:space="preserve"> </w:t>
      </w:r>
      <w:r>
        <w:t>combination</w:t>
      </w:r>
      <w:r>
        <w:rPr>
          <w:spacing w:val="-3"/>
        </w:rPr>
        <w:t xml:space="preserve"> </w:t>
      </w:r>
      <w:r>
        <w:t>with</w:t>
      </w:r>
      <w:r>
        <w:rPr>
          <w:spacing w:val="-5"/>
        </w:rPr>
        <w:t xml:space="preserve"> </w:t>
      </w:r>
      <w:r>
        <w:t>the</w:t>
      </w:r>
      <w:r>
        <w:rPr>
          <w:spacing w:val="-4"/>
        </w:rPr>
        <w:t xml:space="preserve"> </w:t>
      </w:r>
      <w:r>
        <w:t>MA</w:t>
      </w:r>
      <w:r>
        <w:rPr>
          <w:spacing w:val="-4"/>
        </w:rPr>
        <w:t xml:space="preserve"> </w:t>
      </w:r>
      <w:r>
        <w:t>V- BID demonstration currently underway by the CMS Innovation Center, will help build on existing evidence indicating that appropriate reductions in out-of-pocket expenses for services with high clinical value can improve utilization of such services and i</w:t>
      </w:r>
      <w:r>
        <w:t>mprove health</w:t>
      </w:r>
      <w:r>
        <w:rPr>
          <w:spacing w:val="-25"/>
        </w:rPr>
        <w:t xml:space="preserve"> </w:t>
      </w:r>
      <w:r>
        <w:t>outcomes.</w:t>
      </w:r>
    </w:p>
    <w:p w:rsidR="00734055" w:rsidRDefault="00966A85">
      <w:pPr>
        <w:pStyle w:val="BodyText"/>
        <w:spacing w:before="160" w:line="259" w:lineRule="auto"/>
        <w:ind w:left="120" w:right="112"/>
        <w:jc w:val="both"/>
      </w:pPr>
      <w:r>
        <w:t>As</w:t>
      </w:r>
      <w:r>
        <w:rPr>
          <w:spacing w:val="-8"/>
        </w:rPr>
        <w:t xml:space="preserve"> </w:t>
      </w:r>
      <w:r>
        <w:t>the</w:t>
      </w:r>
      <w:r>
        <w:rPr>
          <w:spacing w:val="-10"/>
        </w:rPr>
        <w:t xml:space="preserve"> </w:t>
      </w:r>
      <w:r>
        <w:t>agency</w:t>
      </w:r>
      <w:r>
        <w:rPr>
          <w:spacing w:val="-9"/>
        </w:rPr>
        <w:t xml:space="preserve"> </w:t>
      </w:r>
      <w:r>
        <w:t>implements</w:t>
      </w:r>
      <w:r>
        <w:rPr>
          <w:spacing w:val="-8"/>
        </w:rPr>
        <w:t xml:space="preserve"> </w:t>
      </w:r>
      <w:r>
        <w:t>the</w:t>
      </w:r>
      <w:r>
        <w:rPr>
          <w:spacing w:val="-10"/>
        </w:rPr>
        <w:t xml:space="preserve"> </w:t>
      </w:r>
      <w:r>
        <w:t>flexibilities</w:t>
      </w:r>
      <w:r>
        <w:rPr>
          <w:spacing w:val="-8"/>
        </w:rPr>
        <w:t xml:space="preserve"> </w:t>
      </w:r>
      <w:r>
        <w:t>for</w:t>
      </w:r>
      <w:r>
        <w:rPr>
          <w:spacing w:val="-10"/>
        </w:rPr>
        <w:t xml:space="preserve"> </w:t>
      </w:r>
      <w:r>
        <w:t>uniformity</w:t>
      </w:r>
      <w:r>
        <w:rPr>
          <w:spacing w:val="-9"/>
        </w:rPr>
        <w:t xml:space="preserve"> </w:t>
      </w:r>
      <w:r>
        <w:t>requirements</w:t>
      </w:r>
      <w:r>
        <w:rPr>
          <w:spacing w:val="-8"/>
        </w:rPr>
        <w:t xml:space="preserve"> </w:t>
      </w:r>
      <w:r>
        <w:t>and</w:t>
      </w:r>
      <w:r>
        <w:rPr>
          <w:spacing w:val="-9"/>
        </w:rPr>
        <w:t xml:space="preserve"> </w:t>
      </w:r>
      <w:r>
        <w:t>supplemental</w:t>
      </w:r>
      <w:r>
        <w:rPr>
          <w:spacing w:val="-9"/>
        </w:rPr>
        <w:t xml:space="preserve"> </w:t>
      </w:r>
      <w:r>
        <w:t>benefits, the</w:t>
      </w:r>
      <w:r>
        <w:rPr>
          <w:spacing w:val="-10"/>
        </w:rPr>
        <w:t xml:space="preserve"> </w:t>
      </w:r>
      <w:r>
        <w:t>Smarter</w:t>
      </w:r>
      <w:r>
        <w:rPr>
          <w:spacing w:val="-11"/>
        </w:rPr>
        <w:t xml:space="preserve"> </w:t>
      </w:r>
      <w:r>
        <w:t>Health</w:t>
      </w:r>
      <w:r>
        <w:rPr>
          <w:spacing w:val="-9"/>
        </w:rPr>
        <w:t xml:space="preserve"> </w:t>
      </w:r>
      <w:r>
        <w:t>Care</w:t>
      </w:r>
      <w:r>
        <w:rPr>
          <w:spacing w:val="-10"/>
        </w:rPr>
        <w:t xml:space="preserve"> </w:t>
      </w:r>
      <w:r>
        <w:t>Coalition</w:t>
      </w:r>
      <w:r>
        <w:rPr>
          <w:spacing w:val="-9"/>
        </w:rPr>
        <w:t xml:space="preserve"> </w:t>
      </w:r>
      <w:r>
        <w:t>is</w:t>
      </w:r>
      <w:r>
        <w:rPr>
          <w:spacing w:val="-11"/>
        </w:rPr>
        <w:t xml:space="preserve"> </w:t>
      </w:r>
      <w:r>
        <w:t>ready</w:t>
      </w:r>
      <w:r>
        <w:rPr>
          <w:spacing w:val="-9"/>
        </w:rPr>
        <w:t xml:space="preserve"> </w:t>
      </w:r>
      <w:r>
        <w:t>to</w:t>
      </w:r>
      <w:r>
        <w:rPr>
          <w:spacing w:val="-8"/>
        </w:rPr>
        <w:t xml:space="preserve"> </w:t>
      </w:r>
      <w:r>
        <w:t>assist</w:t>
      </w:r>
      <w:r>
        <w:rPr>
          <w:spacing w:val="-8"/>
        </w:rPr>
        <w:t xml:space="preserve"> </w:t>
      </w:r>
      <w:r>
        <w:t>in</w:t>
      </w:r>
      <w:r>
        <w:rPr>
          <w:spacing w:val="-9"/>
        </w:rPr>
        <w:t xml:space="preserve"> </w:t>
      </w:r>
      <w:r>
        <w:t>advancing</w:t>
      </w:r>
      <w:r>
        <w:rPr>
          <w:spacing w:val="-10"/>
        </w:rPr>
        <w:t xml:space="preserve"> </w:t>
      </w:r>
      <w:r>
        <w:t>your</w:t>
      </w:r>
      <w:r>
        <w:rPr>
          <w:spacing w:val="-10"/>
        </w:rPr>
        <w:t xml:space="preserve"> </w:t>
      </w:r>
      <w:r>
        <w:t>efforts</w:t>
      </w:r>
      <w:r>
        <w:rPr>
          <w:spacing w:val="-8"/>
        </w:rPr>
        <w:t xml:space="preserve"> </w:t>
      </w:r>
      <w:r>
        <w:t>to</w:t>
      </w:r>
      <w:r>
        <w:rPr>
          <w:spacing w:val="-11"/>
        </w:rPr>
        <w:t xml:space="preserve"> </w:t>
      </w:r>
      <w:r>
        <w:t>improve</w:t>
      </w:r>
      <w:r>
        <w:rPr>
          <w:spacing w:val="-10"/>
        </w:rPr>
        <w:t xml:space="preserve"> </w:t>
      </w:r>
      <w:r>
        <w:t>the</w:t>
      </w:r>
      <w:r>
        <w:rPr>
          <w:spacing w:val="-10"/>
        </w:rPr>
        <w:t xml:space="preserve"> </w:t>
      </w:r>
      <w:r>
        <w:t xml:space="preserve">health outcomes of Medicare Advantage enrollees by expanding V-BID principles. If you have any questions, please contact Andrew MacPherson or Ray Quintero, Co-Directors of the Coalition, at </w:t>
      </w:r>
      <w:hyperlink r:id="rId9">
        <w:r>
          <w:rPr>
            <w:color w:val="0462C1"/>
            <w:u w:val="single" w:color="0462C1"/>
          </w:rPr>
          <w:t>andrew@healthsp</w:t>
        </w:r>
        <w:r>
          <w:rPr>
            <w:color w:val="0462C1"/>
            <w:u w:val="single" w:color="0462C1"/>
          </w:rPr>
          <w:t xml:space="preserve">erien.com </w:t>
        </w:r>
      </w:hyperlink>
      <w:r>
        <w:t>or</w:t>
      </w:r>
      <w:r>
        <w:rPr>
          <w:spacing w:val="-20"/>
        </w:rPr>
        <w:t xml:space="preserve"> </w:t>
      </w:r>
      <w:hyperlink r:id="rId10">
        <w:r>
          <w:rPr>
            <w:color w:val="0462C1"/>
            <w:u w:val="single" w:color="0462C1"/>
          </w:rPr>
          <w:t>rquintero@healthsperien.com</w:t>
        </w:r>
        <w:r>
          <w:t>.</w:t>
        </w:r>
      </w:hyperlink>
    </w:p>
    <w:p w:rsidR="00734055" w:rsidRDefault="00966A85">
      <w:pPr>
        <w:pStyle w:val="BodyText"/>
        <w:spacing w:before="158"/>
        <w:ind w:left="120"/>
        <w:jc w:val="both"/>
      </w:pPr>
      <w:r>
        <w:t>Sincerely,</w:t>
      </w:r>
    </w:p>
    <w:p w:rsidR="00734055" w:rsidRDefault="00966A85">
      <w:pPr>
        <w:pStyle w:val="BodyText"/>
        <w:spacing w:before="10"/>
        <w:rPr>
          <w:sz w:val="11"/>
        </w:rPr>
      </w:pPr>
      <w:r>
        <w:rPr>
          <w:noProof/>
        </w:rPr>
        <w:drawing>
          <wp:anchor distT="0" distB="0" distL="0" distR="0" simplePos="0" relativeHeight="251656192" behindDoc="0" locked="0" layoutInCell="1" allowOverlap="1">
            <wp:simplePos x="0" y="0"/>
            <wp:positionH relativeFrom="page">
              <wp:posOffset>914400</wp:posOffset>
            </wp:positionH>
            <wp:positionV relativeFrom="paragraph">
              <wp:posOffset>116879</wp:posOffset>
            </wp:positionV>
            <wp:extent cx="1771736" cy="1328165"/>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1" cstate="print"/>
                    <a:stretch>
                      <a:fillRect/>
                    </a:stretch>
                  </pic:blipFill>
                  <pic:spPr>
                    <a:xfrm>
                      <a:off x="0" y="0"/>
                      <a:ext cx="1771736" cy="1328165"/>
                    </a:xfrm>
                    <a:prstGeom prst="rect">
                      <a:avLst/>
                    </a:prstGeom>
                  </pic:spPr>
                </pic:pic>
              </a:graphicData>
            </a:graphic>
          </wp:anchor>
        </w:drawing>
      </w:r>
      <w:r>
        <w:rPr>
          <w:noProof/>
        </w:rPr>
        <w:drawing>
          <wp:anchor distT="0" distB="0" distL="0" distR="0" simplePos="0" relativeHeight="251657216" behindDoc="0" locked="0" layoutInCell="1" allowOverlap="1">
            <wp:simplePos x="0" y="0"/>
            <wp:positionH relativeFrom="page">
              <wp:posOffset>3967734</wp:posOffset>
            </wp:positionH>
            <wp:positionV relativeFrom="paragraph">
              <wp:posOffset>268644</wp:posOffset>
            </wp:positionV>
            <wp:extent cx="2833267" cy="1172908"/>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2" cstate="print"/>
                    <a:stretch>
                      <a:fillRect/>
                    </a:stretch>
                  </pic:blipFill>
                  <pic:spPr>
                    <a:xfrm>
                      <a:off x="0" y="0"/>
                      <a:ext cx="2833267" cy="1172908"/>
                    </a:xfrm>
                    <a:prstGeom prst="rect">
                      <a:avLst/>
                    </a:prstGeom>
                  </pic:spPr>
                </pic:pic>
              </a:graphicData>
            </a:graphic>
          </wp:anchor>
        </w:drawing>
      </w:r>
    </w:p>
    <w:p w:rsidR="00734055" w:rsidRDefault="00966A85">
      <w:pPr>
        <w:pStyle w:val="BodyText"/>
        <w:tabs>
          <w:tab w:val="left" w:pos="5881"/>
        </w:tabs>
        <w:spacing w:before="162"/>
        <w:ind w:left="120"/>
        <w:jc w:val="both"/>
      </w:pPr>
      <w:r>
        <w:t>Andrew</w:t>
      </w:r>
      <w:r>
        <w:rPr>
          <w:spacing w:val="-1"/>
        </w:rPr>
        <w:t xml:space="preserve"> </w:t>
      </w:r>
      <w:r>
        <w:t>MacPherson,</w:t>
      </w:r>
      <w:r>
        <w:rPr>
          <w:spacing w:val="-3"/>
        </w:rPr>
        <w:t xml:space="preserve"> </w:t>
      </w:r>
      <w:r>
        <w:t>Co-Director</w:t>
      </w:r>
      <w:r>
        <w:tab/>
        <w:t>Ray Quintero,</w:t>
      </w:r>
      <w:r>
        <w:rPr>
          <w:spacing w:val="-10"/>
        </w:rPr>
        <w:t xml:space="preserve"> </w:t>
      </w:r>
      <w:r>
        <w:t>Co-Director</w:t>
      </w:r>
    </w:p>
    <w:p w:rsidR="00734055" w:rsidRDefault="00734055">
      <w:pPr>
        <w:pStyle w:val="BodyText"/>
        <w:rPr>
          <w:sz w:val="20"/>
        </w:rPr>
      </w:pPr>
    </w:p>
    <w:p w:rsidR="00734055" w:rsidRDefault="00734055">
      <w:pPr>
        <w:pStyle w:val="BodyText"/>
        <w:rPr>
          <w:sz w:val="20"/>
        </w:rPr>
      </w:pPr>
    </w:p>
    <w:p w:rsidR="00734055" w:rsidRDefault="00734055">
      <w:pPr>
        <w:pStyle w:val="BodyText"/>
        <w:rPr>
          <w:sz w:val="20"/>
        </w:rPr>
      </w:pPr>
    </w:p>
    <w:p w:rsidR="00734055" w:rsidRDefault="00734055">
      <w:pPr>
        <w:pStyle w:val="BodyText"/>
        <w:rPr>
          <w:sz w:val="20"/>
        </w:rPr>
      </w:pPr>
    </w:p>
    <w:p w:rsidR="00734055" w:rsidRDefault="00734055">
      <w:pPr>
        <w:pStyle w:val="BodyText"/>
        <w:rPr>
          <w:sz w:val="20"/>
        </w:rPr>
      </w:pPr>
    </w:p>
    <w:p w:rsidR="00734055" w:rsidRDefault="00734055">
      <w:pPr>
        <w:pStyle w:val="BodyText"/>
        <w:rPr>
          <w:sz w:val="20"/>
        </w:rPr>
      </w:pPr>
    </w:p>
    <w:p w:rsidR="00734055" w:rsidRDefault="00734055">
      <w:pPr>
        <w:pStyle w:val="BodyText"/>
        <w:rPr>
          <w:sz w:val="20"/>
        </w:rPr>
      </w:pPr>
    </w:p>
    <w:p w:rsidR="00734055" w:rsidRDefault="00734055">
      <w:pPr>
        <w:pStyle w:val="BodyText"/>
        <w:rPr>
          <w:sz w:val="20"/>
        </w:rPr>
      </w:pPr>
    </w:p>
    <w:p w:rsidR="00734055" w:rsidRDefault="00734055">
      <w:pPr>
        <w:pStyle w:val="BodyText"/>
        <w:rPr>
          <w:sz w:val="20"/>
        </w:rPr>
      </w:pPr>
    </w:p>
    <w:p w:rsidR="00734055" w:rsidRDefault="00734055">
      <w:pPr>
        <w:pStyle w:val="BodyText"/>
        <w:rPr>
          <w:sz w:val="20"/>
        </w:rPr>
      </w:pPr>
    </w:p>
    <w:p w:rsidR="00734055" w:rsidRDefault="00734055">
      <w:pPr>
        <w:pStyle w:val="BodyText"/>
        <w:rPr>
          <w:sz w:val="20"/>
        </w:rPr>
      </w:pPr>
    </w:p>
    <w:p w:rsidR="00734055" w:rsidRDefault="00734055">
      <w:pPr>
        <w:pStyle w:val="BodyText"/>
        <w:rPr>
          <w:sz w:val="20"/>
        </w:rPr>
      </w:pPr>
    </w:p>
    <w:p w:rsidR="00734055" w:rsidRDefault="00734055">
      <w:pPr>
        <w:pStyle w:val="BodyText"/>
        <w:rPr>
          <w:sz w:val="20"/>
        </w:rPr>
      </w:pPr>
    </w:p>
    <w:p w:rsidR="00734055" w:rsidRDefault="00734055">
      <w:pPr>
        <w:pStyle w:val="BodyText"/>
        <w:rPr>
          <w:sz w:val="20"/>
        </w:rPr>
      </w:pPr>
    </w:p>
    <w:p w:rsidR="00734055" w:rsidRDefault="00734055">
      <w:pPr>
        <w:pStyle w:val="BodyText"/>
        <w:rPr>
          <w:sz w:val="20"/>
        </w:rPr>
      </w:pPr>
    </w:p>
    <w:p w:rsidR="00734055" w:rsidRDefault="00734055">
      <w:pPr>
        <w:pStyle w:val="BodyText"/>
        <w:rPr>
          <w:sz w:val="20"/>
        </w:rPr>
      </w:pPr>
    </w:p>
    <w:p w:rsidR="00734055" w:rsidRDefault="00734055">
      <w:pPr>
        <w:pStyle w:val="BodyText"/>
        <w:rPr>
          <w:sz w:val="20"/>
        </w:rPr>
      </w:pPr>
    </w:p>
    <w:p w:rsidR="00734055" w:rsidRDefault="00734055">
      <w:pPr>
        <w:pStyle w:val="BodyText"/>
        <w:rPr>
          <w:sz w:val="20"/>
        </w:rPr>
      </w:pPr>
    </w:p>
    <w:p w:rsidR="00734055" w:rsidRDefault="00734055">
      <w:pPr>
        <w:pStyle w:val="BodyText"/>
        <w:rPr>
          <w:sz w:val="20"/>
        </w:rPr>
      </w:pPr>
    </w:p>
    <w:p w:rsidR="00734055" w:rsidRDefault="00966A85">
      <w:pPr>
        <w:pStyle w:val="BodyText"/>
        <w:spacing w:before="6"/>
        <w:rPr>
          <w:sz w:val="29"/>
        </w:rPr>
      </w:pPr>
      <w:r>
        <w:pict>
          <v:line id="_x0000_s2050" style="position:absolute;z-index:251659264;mso-wrap-distance-left:0;mso-wrap-distance-right:0;mso-position-horizontal-relative:page" from="1in,20.35pt" to="216.05pt,20.35pt" strokeweight=".72pt">
            <w10:wrap type="topAndBottom" anchorx="page"/>
          </v:line>
        </w:pict>
      </w:r>
    </w:p>
    <w:p w:rsidR="00734055" w:rsidRDefault="00966A85">
      <w:pPr>
        <w:spacing w:before="69" w:line="247" w:lineRule="exact"/>
        <w:ind w:left="120"/>
        <w:rPr>
          <w:rFonts w:ascii="Calibri"/>
          <w:sz w:val="20"/>
        </w:rPr>
      </w:pPr>
      <w:r>
        <w:rPr>
          <w:rFonts w:ascii="Calibri"/>
          <w:position w:val="7"/>
          <w:sz w:val="13"/>
        </w:rPr>
        <w:t xml:space="preserve">2 </w:t>
      </w:r>
      <w:r>
        <w:rPr>
          <w:rFonts w:ascii="Calibri"/>
          <w:i/>
          <w:sz w:val="20"/>
        </w:rPr>
        <w:t xml:space="preserve">See </w:t>
      </w:r>
      <w:r>
        <w:rPr>
          <w:rFonts w:ascii="Calibri"/>
          <w:sz w:val="20"/>
        </w:rPr>
        <w:t xml:space="preserve">University of Michigan V-BID Center resource database, </w:t>
      </w:r>
      <w:hyperlink r:id="rId13">
        <w:r>
          <w:rPr>
            <w:rFonts w:ascii="Calibri"/>
            <w:color w:val="0462C1"/>
            <w:sz w:val="20"/>
            <w:u w:val="single" w:color="0462C1"/>
          </w:rPr>
          <w:t>http://vbidcenter.org/resources/publications/</w:t>
        </w:r>
        <w:r>
          <w:rPr>
            <w:rFonts w:ascii="Calibri"/>
            <w:sz w:val="20"/>
          </w:rPr>
          <w:t>.</w:t>
        </w:r>
      </w:hyperlink>
    </w:p>
    <w:p w:rsidR="00734055" w:rsidRDefault="00966A85">
      <w:pPr>
        <w:spacing w:line="268" w:lineRule="exact"/>
        <w:ind w:right="114"/>
        <w:jc w:val="right"/>
        <w:rPr>
          <w:rFonts w:ascii="Calibri"/>
        </w:rPr>
      </w:pPr>
      <w:r>
        <w:rPr>
          <w:rFonts w:ascii="Calibri"/>
        </w:rPr>
        <w:t>3</w:t>
      </w:r>
      <w:bookmarkEnd w:id="0"/>
    </w:p>
    <w:sectPr w:rsidR="00734055">
      <w:footerReference w:type="default" r:id="rId14"/>
      <w:pgSz w:w="12240" w:h="15840"/>
      <w:pgMar w:top="1400" w:right="1320" w:bottom="1500" w:left="1320" w:header="0" w:footer="131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966A85">
      <w:r>
        <w:separator/>
      </w:r>
    </w:p>
  </w:endnote>
  <w:endnote w:type="continuationSeparator" w:id="0">
    <w:p w:rsidR="00000000" w:rsidRDefault="00966A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4055" w:rsidRDefault="00966A85">
    <w:pPr>
      <w:pStyle w:val="BodyText"/>
      <w:spacing w:line="14" w:lineRule="auto"/>
      <w:rPr>
        <w:sz w:val="20"/>
      </w:rPr>
    </w:pPr>
    <w:r>
      <w:pict>
        <v:shapetype id="_x0000_t202" coordsize="21600,21600" o:spt="202" path="m,l,21600r21600,l21600,xe">
          <v:stroke joinstyle="miter"/>
          <v:path gradientshapeok="t" o:connecttype="rect"/>
        </v:shapetype>
        <v:shape id="_x0000_s1028" type="#_x0000_t202" style="position:absolute;margin-left:264.25pt;margin-top:714.75pt;width:83.35pt;height:12pt;z-index:-4000;mso-position-horizontal-relative:page;mso-position-vertical-relative:page" filled="f" stroked="f">
          <v:textbox inset="0,0,0,0">
            <w:txbxContent>
              <w:p w:rsidR="00734055" w:rsidRDefault="00966A85">
                <w:pPr>
                  <w:spacing w:line="223" w:lineRule="exact"/>
                  <w:ind w:left="20"/>
                  <w:rPr>
                    <w:rFonts w:ascii="Calibri"/>
                    <w:sz w:val="20"/>
                  </w:rPr>
                </w:pPr>
                <w:hyperlink r:id="rId1">
                  <w:r>
                    <w:rPr>
                      <w:rFonts w:ascii="Calibri"/>
                      <w:color w:val="0462C1"/>
                      <w:sz w:val="20"/>
                      <w:u w:val="single" w:color="0462C1"/>
                    </w:rPr>
                    <w:t>www.smarterhc.or</w:t>
                  </w:r>
                  <w:r>
                    <w:rPr>
                      <w:rFonts w:ascii="Calibri"/>
                      <w:color w:val="0462C1"/>
                      <w:sz w:val="20"/>
                      <w:u w:val="single" w:color="0462C1"/>
                    </w:rPr>
                    <w:t>g</w:t>
                  </w:r>
                </w:hyperlink>
              </w:p>
            </w:txbxContent>
          </v:textbox>
          <w10:wrap anchorx="page" anchory="page"/>
        </v:shape>
      </w:pict>
    </w:r>
    <w:r>
      <w:pict>
        <v:shape id="_x0000_s1027" type="#_x0000_t202" style="position:absolute;margin-left:176.85pt;margin-top:736pt;width:258.05pt;height:12pt;z-index:-3976;mso-position-horizontal-relative:page;mso-position-vertical-relative:page" filled="f" stroked="f">
          <v:textbox inset="0,0,0,0">
            <w:txbxContent>
              <w:p w:rsidR="00734055" w:rsidRDefault="00966A85">
                <w:pPr>
                  <w:spacing w:line="223" w:lineRule="exact"/>
                  <w:ind w:left="20"/>
                  <w:rPr>
                    <w:rFonts w:ascii="Calibri"/>
                    <w:sz w:val="20"/>
                  </w:rPr>
                </w:pPr>
                <w:r>
                  <w:rPr>
                    <w:rFonts w:ascii="Calibri"/>
                    <w:sz w:val="20"/>
                  </w:rPr>
                  <w:t>1299 Pennsylvania Ave NW Suite 1175 Washington, D.C. 20004</w:t>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4055" w:rsidRDefault="00966A85">
    <w:pPr>
      <w:pStyle w:val="BodyText"/>
      <w:spacing w:line="14" w:lineRule="auto"/>
      <w:rPr>
        <w:sz w:val="20"/>
      </w:rPr>
    </w:pPr>
    <w:r>
      <w:pict>
        <v:shapetype id="_x0000_t202" coordsize="21600,21600" o:spt="202" path="m,l,21600r21600,l21600,xe">
          <v:stroke joinstyle="miter"/>
          <v:path gradientshapeok="t" o:connecttype="rect"/>
        </v:shapetype>
        <v:shape id="_x0000_s1026" type="#_x0000_t202" style="position:absolute;margin-left:264.25pt;margin-top:714.75pt;width:83.35pt;height:12pt;z-index:-3952;mso-position-horizontal-relative:page;mso-position-vertical-relative:page" filled="f" stroked="f">
          <v:textbox inset="0,0,0,0">
            <w:txbxContent>
              <w:p w:rsidR="00734055" w:rsidRDefault="00966A85">
                <w:pPr>
                  <w:spacing w:line="223" w:lineRule="exact"/>
                  <w:ind w:left="20"/>
                  <w:rPr>
                    <w:rFonts w:ascii="Calibri"/>
                    <w:sz w:val="20"/>
                  </w:rPr>
                </w:pPr>
                <w:hyperlink r:id="rId1">
                  <w:r>
                    <w:rPr>
                      <w:rFonts w:ascii="Calibri"/>
                      <w:color w:val="0462C1"/>
                      <w:sz w:val="20"/>
                      <w:u w:val="single" w:color="0462C1"/>
                    </w:rPr>
                    <w:t>www.smarterhc.org</w:t>
                  </w:r>
                </w:hyperlink>
              </w:p>
            </w:txbxContent>
          </v:textbox>
          <w10:wrap anchorx="page" anchory="page"/>
        </v:shape>
      </w:pict>
    </w:r>
    <w:r>
      <w:pict>
        <v:shape id="_x0000_s1025" type="#_x0000_t202" style="position:absolute;margin-left:176.85pt;margin-top:736pt;width:258.05pt;height:12pt;z-index:-3928;mso-position-horizontal-relative:page;mso-position-vertical-relative:page" filled="f" stroked="f">
          <v:textbox inset="0,0,0,0">
            <w:txbxContent>
              <w:p w:rsidR="00734055" w:rsidRDefault="00966A85">
                <w:pPr>
                  <w:spacing w:line="223" w:lineRule="exact"/>
                  <w:ind w:left="20"/>
                  <w:rPr>
                    <w:rFonts w:ascii="Calibri"/>
                    <w:sz w:val="20"/>
                  </w:rPr>
                </w:pPr>
                <w:r>
                  <w:rPr>
                    <w:rFonts w:ascii="Calibri"/>
                    <w:sz w:val="20"/>
                  </w:rPr>
                  <w:t>1299 Pennsylvania Ave NW Suite 1175 Washington, D.C. 20004</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966A85">
      <w:r>
        <w:separator/>
      </w:r>
    </w:p>
  </w:footnote>
  <w:footnote w:type="continuationSeparator" w:id="0">
    <w:p w:rsidR="00000000" w:rsidRDefault="00966A8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2"/>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734055"/>
    <w:rsid w:val="00734055"/>
    <w:rsid w:val="00966A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5:docId w15:val="{A6D5CF33-6AE1-4833-8882-D1CB628AA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Light" w:eastAsia="Calibri Light" w:hAnsi="Calibri Light" w:cs="Calibri Ligh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congress.gov/115/bills/s870/BILLS-115s870rfh.pdf" TargetMode="External"/><Relationship Id="rId13" Type="http://schemas.openxmlformats.org/officeDocument/2006/relationships/hyperlink" Target="http://vbidcenter.org/resources/publications/" TargetMode="Externa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image" Target="media/image3.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mailto:rquintero@healthsperien.com" TargetMode="External"/><Relationship Id="rId4" Type="http://schemas.openxmlformats.org/officeDocument/2006/relationships/footnotes" Target="footnotes.xml"/><Relationship Id="rId9" Type="http://schemas.openxmlformats.org/officeDocument/2006/relationships/hyperlink" Target="mailto:andrew@healthsperien.com"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www.smarterhc.org/"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smarterhc.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925</Words>
  <Characters>5587</Characters>
  <Application>Microsoft Office Word</Application>
  <DocSecurity>0</DocSecurity>
  <Lines>123</Lines>
  <Paragraphs>24</Paragraphs>
  <ScaleCrop>false</ScaleCrop>
  <Company>CMS</Company>
  <LinksUpToDate>false</LinksUpToDate>
  <CharactersWithSpaces>6484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Tzvetomir Gradevski</dc:creator>
  <cp:lastModifiedBy>Arthur Pignotti</cp:lastModifiedBy>
  <cp:revision>2</cp:revision>
  <dcterms:created xsi:type="dcterms:W3CDTF">2018-06-14T21:43:00Z</dcterms:created>
  <dcterms:modified xsi:type="dcterms:W3CDTF">2018-06-15T02:11:00Z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Creator">
    <vt:lpwstr>Microsoft® Word 2016</vt:lpwstr>
  </property>
  <property fmtid="{D5CDD505-2E9C-101B-9397-08002B2CF9AE}" pid="4" name="LastSaved">
    <vt:filetime>2018-06-15T00:00:00Z</vt:filetime>
  </property>
</Properties>
</file>