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A9" w:rsidRDefault="005D514A">
      <w:pPr>
        <w:pStyle w:val="BodyText"/>
        <w:ind w:left="679"/>
        <w:rPr>
          <w:rFonts w:ascii="Times New Roman"/>
          <w:sz w:val="20"/>
        </w:rPr>
      </w:pPr>
      <w:r>
        <w:rPr>
          <w:rFonts w:ascii="Times New Roman"/>
          <w:noProof/>
          <w:sz w:val="20"/>
        </w:rPr>
        <w:drawing>
          <wp:inline distT="0" distB="0" distL="0" distR="0">
            <wp:extent cx="6632849" cy="13624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32849" cy="1362455"/>
                    </a:xfrm>
                    <a:prstGeom prst="rect">
                      <a:avLst/>
                    </a:prstGeom>
                  </pic:spPr>
                </pic:pic>
              </a:graphicData>
            </a:graphic>
          </wp:inline>
        </w:drawing>
      </w:r>
    </w:p>
    <w:p w:rsidR="009B33A9" w:rsidRDefault="009B33A9">
      <w:pPr>
        <w:pStyle w:val="BodyText"/>
        <w:spacing w:before="1"/>
        <w:rPr>
          <w:rFonts w:ascii="Times New Roman"/>
          <w:sz w:val="17"/>
        </w:rPr>
      </w:pPr>
    </w:p>
    <w:p w:rsidR="009B33A9" w:rsidRDefault="005D514A">
      <w:pPr>
        <w:pStyle w:val="BodyText"/>
        <w:spacing w:before="100"/>
        <w:ind w:left="1080"/>
      </w:pPr>
      <w:r>
        <w:t>January 16, 2018</w:t>
      </w:r>
    </w:p>
    <w:p w:rsidR="009B33A9" w:rsidRDefault="009B33A9">
      <w:pPr>
        <w:pStyle w:val="BodyText"/>
        <w:spacing w:before="10"/>
        <w:rPr>
          <w:sz w:val="23"/>
        </w:rPr>
      </w:pPr>
    </w:p>
    <w:p w:rsidR="009B33A9" w:rsidRDefault="005D514A">
      <w:pPr>
        <w:pStyle w:val="BodyText"/>
        <w:ind w:left="1080" w:right="9681"/>
      </w:pPr>
      <w:r>
        <w:t>Seema Verma Administrator</w:t>
      </w:r>
    </w:p>
    <w:p w:rsidR="009B33A9" w:rsidRDefault="005D514A">
      <w:pPr>
        <w:pStyle w:val="BodyText"/>
        <w:spacing w:before="1"/>
        <w:ind w:left="1080" w:right="6777"/>
      </w:pPr>
      <w:r>
        <w:t>Centers for Medicare &amp; Medicaid Services Department of Health and Human Services Attention: CMS-4182-P</w:t>
      </w:r>
    </w:p>
    <w:p w:rsidR="009B33A9" w:rsidRDefault="005D514A">
      <w:pPr>
        <w:pStyle w:val="BodyText"/>
        <w:spacing w:line="281" w:lineRule="exact"/>
        <w:ind w:left="1080"/>
      </w:pPr>
      <w:r>
        <w:t>P.O. Box 8013</w:t>
      </w:r>
    </w:p>
    <w:p w:rsidR="009B33A9" w:rsidRDefault="005D514A">
      <w:pPr>
        <w:pStyle w:val="BodyText"/>
        <w:spacing w:line="281" w:lineRule="exact"/>
        <w:ind w:left="1080"/>
      </w:pPr>
      <w:r>
        <w:t>Baltimore, MD 21244-8016</w:t>
      </w:r>
    </w:p>
    <w:p w:rsidR="009B33A9" w:rsidRDefault="009B33A9">
      <w:pPr>
        <w:pStyle w:val="BodyText"/>
      </w:pPr>
    </w:p>
    <w:p w:rsidR="009B33A9" w:rsidRDefault="005D514A">
      <w:pPr>
        <w:pStyle w:val="BodyText"/>
        <w:spacing w:line="281" w:lineRule="exact"/>
        <w:ind w:left="1080"/>
      </w:pPr>
      <w:r>
        <w:t xml:space="preserve">Submitted electronically to </w:t>
      </w:r>
      <w:hyperlink r:id="rId8">
        <w:r>
          <w:rPr>
            <w:color w:val="0000FF"/>
            <w:u w:val="single" w:color="0000FF"/>
          </w:rPr>
          <w:t>www.regulations.gov</w:t>
        </w:r>
      </w:hyperlink>
    </w:p>
    <w:p w:rsidR="009B33A9" w:rsidRDefault="005D514A">
      <w:pPr>
        <w:pStyle w:val="Heading1"/>
        <w:spacing w:line="281" w:lineRule="exact"/>
        <w:ind w:left="1080"/>
      </w:pPr>
      <w:r>
        <w:t>Re: CMS-4182-P</w:t>
      </w:r>
    </w:p>
    <w:p w:rsidR="009B33A9" w:rsidRDefault="009B33A9">
      <w:pPr>
        <w:pStyle w:val="BodyText"/>
        <w:spacing w:before="2"/>
        <w:rPr>
          <w:b/>
        </w:rPr>
      </w:pPr>
    </w:p>
    <w:p w:rsidR="009B33A9" w:rsidRDefault="005D514A">
      <w:pPr>
        <w:pStyle w:val="BodyText"/>
        <w:ind w:left="1080"/>
      </w:pPr>
      <w:r>
        <w:t>Dear Administrator Verma:</w:t>
      </w:r>
    </w:p>
    <w:p w:rsidR="009B33A9" w:rsidRDefault="009B33A9">
      <w:pPr>
        <w:pStyle w:val="BodyText"/>
        <w:spacing w:before="10"/>
        <w:rPr>
          <w:sz w:val="23"/>
        </w:rPr>
      </w:pPr>
    </w:p>
    <w:p w:rsidR="009B33A9" w:rsidRDefault="005D514A">
      <w:pPr>
        <w:pStyle w:val="BodyText"/>
        <w:ind w:left="1080" w:right="1413"/>
      </w:pPr>
      <w:r>
        <w:t xml:space="preserve">The National Coalition on Health Care (NCHC) appreciates this opportunity to comment on the proposed changes to the Medicare Advantage (MA) and the </w:t>
      </w:r>
      <w:r>
        <w:t>Medicare Prescription Drug Benefit programs (CMS-4182-P).</w:t>
      </w:r>
    </w:p>
    <w:p w:rsidR="009B33A9" w:rsidRDefault="009B33A9">
      <w:pPr>
        <w:pStyle w:val="BodyText"/>
        <w:spacing w:before="10"/>
        <w:rPr>
          <w:sz w:val="23"/>
        </w:rPr>
      </w:pPr>
    </w:p>
    <w:p w:rsidR="009B33A9" w:rsidRDefault="005D514A">
      <w:pPr>
        <w:pStyle w:val="BodyText"/>
        <w:ind w:left="1080" w:right="1252"/>
      </w:pPr>
      <w:r>
        <w:t>NCHC is the nation’s largest, most broadly representative nonpartisan alliance of organizations focused on health care. The Coalition is committed to advancing—through research and analysis, educat</w:t>
      </w:r>
      <w:r>
        <w:t>ion, outreach, and informed advocacy—an affordable, high-value health care system for patients and consumers, for employers and other payers, and for taxpayers. Our members and supporters include more than 80 of America’s leading associations of health car</w:t>
      </w:r>
      <w:r>
        <w:t>e providers, businesses and unions, consumer and patient advocacy groups, pension and health funds, religious denominations, and health plans.</w:t>
      </w:r>
    </w:p>
    <w:p w:rsidR="009B33A9" w:rsidRDefault="009B33A9">
      <w:pPr>
        <w:pStyle w:val="BodyText"/>
        <w:spacing w:before="1"/>
      </w:pPr>
    </w:p>
    <w:p w:rsidR="009B33A9" w:rsidRDefault="005D514A">
      <w:pPr>
        <w:pStyle w:val="BodyText"/>
        <w:ind w:left="1080" w:right="1181"/>
      </w:pPr>
      <w:r>
        <w:t xml:space="preserve">In general, NCHC is encouraged that CMS is actively pursuing improvements to the Medicare Advantage program. We are particularly pleased that the agency is using the rulemaking process to engage the full range of stakeholder and public perspectives on its </w:t>
      </w:r>
      <w:r>
        <w:t>proposals. Nearly one in three Medicare beneficiaries exercise their option to receive Medicare benefits through MA Plans. In addition to providing important coverage choices, a well-functioning MA program has the potential to advance delivery, payment, an</w:t>
      </w:r>
      <w:r>
        <w:t>d benefit reforms that will improve health care affordability overall.</w:t>
      </w:r>
    </w:p>
    <w:p w:rsidR="009B33A9" w:rsidRDefault="009B33A9">
      <w:pPr>
        <w:pStyle w:val="BodyText"/>
        <w:spacing w:before="4"/>
        <w:rPr>
          <w:sz w:val="12"/>
        </w:rPr>
      </w:pPr>
    </w:p>
    <w:p w:rsidR="009B33A9" w:rsidRDefault="005D514A">
      <w:pPr>
        <w:tabs>
          <w:tab w:val="left" w:pos="7326"/>
          <w:tab w:val="left" w:pos="7620"/>
          <w:tab w:val="left" w:pos="9094"/>
        </w:tabs>
        <w:spacing w:before="93"/>
        <w:ind w:left="1990"/>
        <w:rPr>
          <w:rFonts w:ascii="Arial"/>
          <w:b/>
          <w:sz w:val="14"/>
        </w:rPr>
      </w:pPr>
      <w:r>
        <w:rPr>
          <w:rFonts w:ascii="Arial"/>
          <w:b/>
          <w:color w:val="7E7E7E"/>
          <w:sz w:val="14"/>
        </w:rPr>
        <w:t>1</w:t>
      </w:r>
      <w:r>
        <w:rPr>
          <w:rFonts w:ascii="Arial"/>
          <w:b/>
          <w:color w:val="7E7E7E"/>
          <w:spacing w:val="-19"/>
          <w:sz w:val="14"/>
        </w:rPr>
        <w:t xml:space="preserve"> </w:t>
      </w:r>
      <w:r>
        <w:rPr>
          <w:rFonts w:ascii="Arial"/>
          <w:b/>
          <w:color w:val="7E7E7E"/>
          <w:sz w:val="14"/>
        </w:rPr>
        <w:t>1</w:t>
      </w:r>
      <w:r>
        <w:rPr>
          <w:rFonts w:ascii="Arial"/>
          <w:b/>
          <w:color w:val="7E7E7E"/>
          <w:spacing w:val="-22"/>
          <w:sz w:val="14"/>
        </w:rPr>
        <w:t xml:space="preserve"> </w:t>
      </w:r>
      <w:r>
        <w:rPr>
          <w:rFonts w:ascii="Arial"/>
          <w:b/>
          <w:color w:val="7E7E7E"/>
          <w:sz w:val="14"/>
        </w:rPr>
        <w:t>1</w:t>
      </w:r>
      <w:r>
        <w:rPr>
          <w:rFonts w:ascii="Arial"/>
          <w:b/>
          <w:color w:val="7E7E7E"/>
          <w:spacing w:val="-19"/>
          <w:sz w:val="14"/>
        </w:rPr>
        <w:t xml:space="preserve"> </w:t>
      </w:r>
      <w:r>
        <w:rPr>
          <w:rFonts w:ascii="Arial"/>
          <w:b/>
          <w:color w:val="7E7E7E"/>
          <w:sz w:val="14"/>
        </w:rPr>
        <w:t>1</w:t>
      </w:r>
      <w:r>
        <w:rPr>
          <w:rFonts w:ascii="Arial"/>
          <w:b/>
          <w:color w:val="7E7E7E"/>
          <w:spacing w:val="37"/>
          <w:sz w:val="14"/>
        </w:rPr>
        <w:t xml:space="preserve"> </w:t>
      </w:r>
      <w:r>
        <w:rPr>
          <w:rFonts w:ascii="Arial"/>
          <w:b/>
          <w:color w:val="7E7E7E"/>
          <w:sz w:val="14"/>
        </w:rPr>
        <w:t>1</w:t>
      </w:r>
      <w:r>
        <w:rPr>
          <w:rFonts w:ascii="Arial"/>
          <w:b/>
          <w:color w:val="7E7E7E"/>
          <w:spacing w:val="-19"/>
          <w:sz w:val="14"/>
        </w:rPr>
        <w:t xml:space="preserve"> </w:t>
      </w:r>
      <w:r>
        <w:rPr>
          <w:rFonts w:ascii="Arial"/>
          <w:b/>
          <w:color w:val="7E7E7E"/>
          <w:sz w:val="14"/>
        </w:rPr>
        <w:t>4</w:t>
      </w:r>
      <w:r>
        <w:rPr>
          <w:rFonts w:ascii="Arial"/>
          <w:b/>
          <w:color w:val="7E7E7E"/>
          <w:spacing w:val="-21"/>
          <w:sz w:val="14"/>
        </w:rPr>
        <w:t xml:space="preserve"> </w:t>
      </w:r>
      <w:r>
        <w:rPr>
          <w:rFonts w:ascii="Arial"/>
          <w:b/>
          <w:color w:val="7E7E7E"/>
          <w:spacing w:val="10"/>
          <w:position w:val="4"/>
          <w:sz w:val="9"/>
        </w:rPr>
        <w:t xml:space="preserve">TH </w:t>
      </w:r>
      <w:r>
        <w:rPr>
          <w:rFonts w:ascii="Arial"/>
          <w:b/>
          <w:color w:val="7E7E7E"/>
          <w:spacing w:val="17"/>
          <w:position w:val="4"/>
          <w:sz w:val="9"/>
        </w:rPr>
        <w:t xml:space="preserve"> </w:t>
      </w:r>
      <w:r>
        <w:rPr>
          <w:rFonts w:ascii="Arial"/>
          <w:b/>
          <w:color w:val="7E7E7E"/>
          <w:sz w:val="14"/>
        </w:rPr>
        <w:t>S</w:t>
      </w:r>
      <w:r>
        <w:rPr>
          <w:rFonts w:ascii="Arial"/>
          <w:b/>
          <w:color w:val="7E7E7E"/>
          <w:spacing w:val="-18"/>
          <w:sz w:val="14"/>
        </w:rPr>
        <w:t xml:space="preserve"> </w:t>
      </w:r>
      <w:r>
        <w:rPr>
          <w:rFonts w:ascii="Arial"/>
          <w:b/>
          <w:color w:val="7E7E7E"/>
          <w:sz w:val="14"/>
        </w:rPr>
        <w:t>T</w:t>
      </w:r>
      <w:r>
        <w:rPr>
          <w:rFonts w:ascii="Arial"/>
          <w:b/>
          <w:color w:val="7E7E7E"/>
          <w:spacing w:val="-22"/>
          <w:sz w:val="14"/>
        </w:rPr>
        <w:t xml:space="preserve"> </w:t>
      </w:r>
      <w:r>
        <w:rPr>
          <w:rFonts w:ascii="Arial"/>
          <w:b/>
          <w:color w:val="7E7E7E"/>
          <w:sz w:val="14"/>
        </w:rPr>
        <w:t>R</w:t>
      </w:r>
      <w:r>
        <w:rPr>
          <w:rFonts w:ascii="Arial"/>
          <w:b/>
          <w:color w:val="7E7E7E"/>
          <w:spacing w:val="-21"/>
          <w:sz w:val="14"/>
        </w:rPr>
        <w:t xml:space="preserve"> </w:t>
      </w:r>
      <w:r>
        <w:rPr>
          <w:rFonts w:ascii="Arial"/>
          <w:b/>
          <w:color w:val="7E7E7E"/>
          <w:sz w:val="14"/>
        </w:rPr>
        <w:t>E</w:t>
      </w:r>
      <w:r>
        <w:rPr>
          <w:rFonts w:ascii="Arial"/>
          <w:b/>
          <w:color w:val="7E7E7E"/>
          <w:spacing w:val="-18"/>
          <w:sz w:val="14"/>
        </w:rPr>
        <w:t xml:space="preserve"> </w:t>
      </w:r>
      <w:r>
        <w:rPr>
          <w:rFonts w:ascii="Arial"/>
          <w:b/>
          <w:color w:val="7E7E7E"/>
          <w:sz w:val="14"/>
        </w:rPr>
        <w:t>E</w:t>
      </w:r>
      <w:r>
        <w:rPr>
          <w:rFonts w:ascii="Arial"/>
          <w:b/>
          <w:color w:val="7E7E7E"/>
          <w:spacing w:val="-18"/>
          <w:sz w:val="14"/>
        </w:rPr>
        <w:t xml:space="preserve"> </w:t>
      </w:r>
      <w:r>
        <w:rPr>
          <w:rFonts w:ascii="Arial"/>
          <w:b/>
          <w:color w:val="7E7E7E"/>
          <w:sz w:val="14"/>
        </w:rPr>
        <w:t>T</w:t>
      </w:r>
      <w:r>
        <w:rPr>
          <w:rFonts w:ascii="Arial"/>
          <w:b/>
          <w:color w:val="7E7E7E"/>
          <w:spacing w:val="-22"/>
          <w:sz w:val="14"/>
        </w:rPr>
        <w:t xml:space="preserve"> </w:t>
      </w:r>
      <w:r>
        <w:rPr>
          <w:rFonts w:ascii="Arial"/>
          <w:b/>
          <w:color w:val="7E7E7E"/>
          <w:sz w:val="14"/>
        </w:rPr>
        <w:t>,</w:t>
      </w:r>
      <w:r>
        <w:rPr>
          <w:rFonts w:ascii="Arial"/>
          <w:b/>
          <w:color w:val="7E7E7E"/>
          <w:spacing w:val="37"/>
          <w:sz w:val="14"/>
        </w:rPr>
        <w:t xml:space="preserve"> </w:t>
      </w:r>
      <w:r>
        <w:rPr>
          <w:rFonts w:ascii="Arial"/>
          <w:b/>
          <w:color w:val="7E7E7E"/>
          <w:sz w:val="14"/>
        </w:rPr>
        <w:t>N</w:t>
      </w:r>
      <w:r>
        <w:rPr>
          <w:rFonts w:ascii="Arial"/>
          <w:b/>
          <w:color w:val="7E7E7E"/>
          <w:spacing w:val="-21"/>
          <w:sz w:val="14"/>
        </w:rPr>
        <w:t xml:space="preserve"> </w:t>
      </w:r>
      <w:r>
        <w:rPr>
          <w:rFonts w:ascii="Arial"/>
          <w:b/>
          <w:color w:val="7E7E7E"/>
          <w:sz w:val="14"/>
        </w:rPr>
        <w:t>W</w:t>
      </w:r>
      <w:r>
        <w:rPr>
          <w:rFonts w:ascii="Arial"/>
          <w:b/>
          <w:color w:val="7E7E7E"/>
          <w:spacing w:val="-18"/>
          <w:sz w:val="14"/>
        </w:rPr>
        <w:t xml:space="preserve"> </w:t>
      </w:r>
      <w:r>
        <w:rPr>
          <w:rFonts w:ascii="Arial"/>
          <w:b/>
          <w:color w:val="7E7E7E"/>
          <w:sz w:val="14"/>
        </w:rPr>
        <w:t>,</w:t>
      </w:r>
      <w:r>
        <w:rPr>
          <w:rFonts w:ascii="Arial"/>
          <w:b/>
          <w:color w:val="7E7E7E"/>
          <w:spacing w:val="37"/>
          <w:sz w:val="14"/>
        </w:rPr>
        <w:t xml:space="preserve"> </w:t>
      </w:r>
      <w:r>
        <w:rPr>
          <w:rFonts w:ascii="Arial"/>
          <w:b/>
          <w:color w:val="7E7E7E"/>
          <w:sz w:val="14"/>
        </w:rPr>
        <w:t>S</w:t>
      </w:r>
      <w:r>
        <w:rPr>
          <w:rFonts w:ascii="Arial"/>
          <w:b/>
          <w:color w:val="7E7E7E"/>
          <w:spacing w:val="-21"/>
          <w:sz w:val="14"/>
        </w:rPr>
        <w:t xml:space="preserve"> </w:t>
      </w:r>
      <w:r>
        <w:rPr>
          <w:rFonts w:ascii="Arial"/>
          <w:b/>
          <w:color w:val="7E7E7E"/>
          <w:sz w:val="14"/>
        </w:rPr>
        <w:t>U</w:t>
      </w:r>
      <w:r>
        <w:rPr>
          <w:rFonts w:ascii="Arial"/>
          <w:b/>
          <w:color w:val="7E7E7E"/>
          <w:spacing w:val="-19"/>
          <w:sz w:val="14"/>
        </w:rPr>
        <w:t xml:space="preserve"> </w:t>
      </w:r>
      <w:r>
        <w:rPr>
          <w:rFonts w:ascii="Arial"/>
          <w:b/>
          <w:color w:val="7E7E7E"/>
          <w:sz w:val="14"/>
        </w:rPr>
        <w:t>I</w:t>
      </w:r>
      <w:r>
        <w:rPr>
          <w:rFonts w:ascii="Arial"/>
          <w:b/>
          <w:color w:val="7E7E7E"/>
          <w:spacing w:val="-19"/>
          <w:sz w:val="14"/>
        </w:rPr>
        <w:t xml:space="preserve"> </w:t>
      </w:r>
      <w:r>
        <w:rPr>
          <w:rFonts w:ascii="Arial"/>
          <w:b/>
          <w:color w:val="7E7E7E"/>
          <w:sz w:val="14"/>
        </w:rPr>
        <w:t>T</w:t>
      </w:r>
      <w:r>
        <w:rPr>
          <w:rFonts w:ascii="Arial"/>
          <w:b/>
          <w:color w:val="7E7E7E"/>
          <w:spacing w:val="-20"/>
          <w:sz w:val="14"/>
        </w:rPr>
        <w:t xml:space="preserve"> </w:t>
      </w:r>
      <w:r>
        <w:rPr>
          <w:rFonts w:ascii="Arial"/>
          <w:b/>
          <w:color w:val="7E7E7E"/>
          <w:sz w:val="14"/>
        </w:rPr>
        <w:t>E</w:t>
      </w:r>
      <w:r>
        <w:rPr>
          <w:rFonts w:ascii="Arial"/>
          <w:b/>
          <w:color w:val="7E7E7E"/>
          <w:spacing w:val="38"/>
          <w:sz w:val="14"/>
        </w:rPr>
        <w:t xml:space="preserve"> </w:t>
      </w:r>
      <w:r>
        <w:rPr>
          <w:rFonts w:ascii="Arial"/>
          <w:b/>
          <w:color w:val="7E7E7E"/>
          <w:sz w:val="14"/>
        </w:rPr>
        <w:t>9</w:t>
      </w:r>
      <w:r>
        <w:rPr>
          <w:rFonts w:ascii="Arial"/>
          <w:b/>
          <w:color w:val="7E7E7E"/>
          <w:spacing w:val="-19"/>
          <w:sz w:val="14"/>
        </w:rPr>
        <w:t xml:space="preserve"> </w:t>
      </w:r>
      <w:r>
        <w:rPr>
          <w:rFonts w:ascii="Arial"/>
          <w:b/>
          <w:color w:val="7E7E7E"/>
          <w:spacing w:val="10"/>
          <w:sz w:val="14"/>
        </w:rPr>
        <w:t>00</w:t>
      </w:r>
      <w:r>
        <w:rPr>
          <w:rFonts w:ascii="Arial"/>
          <w:b/>
          <w:color w:val="7E7E7E"/>
          <w:spacing w:val="-22"/>
          <w:sz w:val="14"/>
        </w:rPr>
        <w:t xml:space="preserve"> </w:t>
      </w:r>
      <w:r>
        <w:rPr>
          <w:rFonts w:ascii="Calibri"/>
          <w:b/>
          <w:color w:val="7E7E7E"/>
          <w:sz w:val="14"/>
        </w:rPr>
        <w:t xml:space="preserve">, </w:t>
      </w:r>
      <w:r>
        <w:rPr>
          <w:rFonts w:ascii="Calibri"/>
          <w:b/>
          <w:color w:val="7E7E7E"/>
          <w:spacing w:val="7"/>
          <w:sz w:val="14"/>
        </w:rPr>
        <w:t xml:space="preserve"> </w:t>
      </w:r>
      <w:r>
        <w:rPr>
          <w:rFonts w:ascii="Arial"/>
          <w:b/>
          <w:color w:val="7E7E7E"/>
          <w:sz w:val="14"/>
        </w:rPr>
        <w:t>W</w:t>
      </w:r>
      <w:r>
        <w:rPr>
          <w:rFonts w:ascii="Arial"/>
          <w:b/>
          <w:color w:val="7E7E7E"/>
          <w:spacing w:val="-18"/>
          <w:sz w:val="14"/>
        </w:rPr>
        <w:t xml:space="preserve"> </w:t>
      </w:r>
      <w:r>
        <w:rPr>
          <w:rFonts w:ascii="Arial"/>
          <w:b/>
          <w:color w:val="7E7E7E"/>
          <w:sz w:val="14"/>
        </w:rPr>
        <w:t>A</w:t>
      </w:r>
      <w:r>
        <w:rPr>
          <w:rFonts w:ascii="Arial"/>
          <w:b/>
          <w:color w:val="7E7E7E"/>
          <w:spacing w:val="-21"/>
          <w:sz w:val="14"/>
        </w:rPr>
        <w:t xml:space="preserve"> </w:t>
      </w:r>
      <w:r>
        <w:rPr>
          <w:rFonts w:ascii="Arial"/>
          <w:b/>
          <w:color w:val="7E7E7E"/>
          <w:sz w:val="14"/>
        </w:rPr>
        <w:t>S</w:t>
      </w:r>
      <w:r>
        <w:rPr>
          <w:rFonts w:ascii="Arial"/>
          <w:b/>
          <w:color w:val="7E7E7E"/>
          <w:spacing w:val="-18"/>
          <w:sz w:val="14"/>
        </w:rPr>
        <w:t xml:space="preserve"> </w:t>
      </w:r>
      <w:r>
        <w:rPr>
          <w:rFonts w:ascii="Arial"/>
          <w:b/>
          <w:color w:val="7E7E7E"/>
          <w:sz w:val="14"/>
        </w:rPr>
        <w:t>H</w:t>
      </w:r>
      <w:r>
        <w:rPr>
          <w:rFonts w:ascii="Arial"/>
          <w:b/>
          <w:color w:val="7E7E7E"/>
          <w:spacing w:val="-21"/>
          <w:sz w:val="14"/>
        </w:rPr>
        <w:t xml:space="preserve"> </w:t>
      </w:r>
      <w:r>
        <w:rPr>
          <w:rFonts w:ascii="Arial"/>
          <w:b/>
          <w:color w:val="7E7E7E"/>
          <w:sz w:val="14"/>
        </w:rPr>
        <w:t>I</w:t>
      </w:r>
      <w:r>
        <w:rPr>
          <w:rFonts w:ascii="Arial"/>
          <w:b/>
          <w:color w:val="7E7E7E"/>
          <w:spacing w:val="-19"/>
          <w:sz w:val="14"/>
        </w:rPr>
        <w:t xml:space="preserve"> </w:t>
      </w:r>
      <w:r>
        <w:rPr>
          <w:rFonts w:ascii="Arial"/>
          <w:b/>
          <w:color w:val="7E7E7E"/>
          <w:sz w:val="14"/>
        </w:rPr>
        <w:t>N</w:t>
      </w:r>
      <w:r>
        <w:rPr>
          <w:rFonts w:ascii="Arial"/>
          <w:b/>
          <w:color w:val="7E7E7E"/>
          <w:spacing w:val="-21"/>
          <w:sz w:val="14"/>
        </w:rPr>
        <w:t xml:space="preserve"> </w:t>
      </w:r>
      <w:r>
        <w:rPr>
          <w:rFonts w:ascii="Arial"/>
          <w:b/>
          <w:color w:val="7E7E7E"/>
          <w:sz w:val="14"/>
        </w:rPr>
        <w:t>G</w:t>
      </w:r>
      <w:r>
        <w:rPr>
          <w:rFonts w:ascii="Arial"/>
          <w:b/>
          <w:color w:val="7E7E7E"/>
          <w:spacing w:val="-19"/>
          <w:sz w:val="14"/>
        </w:rPr>
        <w:t xml:space="preserve"> </w:t>
      </w:r>
      <w:r>
        <w:rPr>
          <w:rFonts w:ascii="Arial"/>
          <w:b/>
          <w:color w:val="7E7E7E"/>
          <w:sz w:val="14"/>
        </w:rPr>
        <w:t>T</w:t>
      </w:r>
      <w:r>
        <w:rPr>
          <w:rFonts w:ascii="Arial"/>
          <w:b/>
          <w:color w:val="7E7E7E"/>
          <w:spacing w:val="-20"/>
          <w:sz w:val="14"/>
        </w:rPr>
        <w:t xml:space="preserve"> </w:t>
      </w:r>
      <w:r>
        <w:rPr>
          <w:rFonts w:ascii="Arial"/>
          <w:b/>
          <w:color w:val="7E7E7E"/>
          <w:sz w:val="14"/>
        </w:rPr>
        <w:t>O</w:t>
      </w:r>
      <w:r>
        <w:rPr>
          <w:rFonts w:ascii="Arial"/>
          <w:b/>
          <w:color w:val="7E7E7E"/>
          <w:spacing w:val="-22"/>
          <w:sz w:val="14"/>
        </w:rPr>
        <w:t xml:space="preserve"> </w:t>
      </w:r>
      <w:r>
        <w:rPr>
          <w:rFonts w:ascii="Arial"/>
          <w:b/>
          <w:color w:val="7E7E7E"/>
          <w:sz w:val="14"/>
        </w:rPr>
        <w:t>N</w:t>
      </w:r>
      <w:r>
        <w:rPr>
          <w:rFonts w:ascii="Arial"/>
          <w:b/>
          <w:color w:val="7E7E7E"/>
          <w:spacing w:val="-19"/>
          <w:sz w:val="14"/>
        </w:rPr>
        <w:t xml:space="preserve"> </w:t>
      </w:r>
      <w:r>
        <w:rPr>
          <w:rFonts w:ascii="Arial"/>
          <w:b/>
          <w:color w:val="7E7E7E"/>
          <w:sz w:val="14"/>
        </w:rPr>
        <w:t>,</w:t>
      </w:r>
      <w:r>
        <w:rPr>
          <w:rFonts w:ascii="Arial"/>
          <w:b/>
          <w:color w:val="7E7E7E"/>
          <w:spacing w:val="37"/>
          <w:sz w:val="14"/>
        </w:rPr>
        <w:t xml:space="preserve"> </w:t>
      </w:r>
      <w:r>
        <w:rPr>
          <w:rFonts w:ascii="Arial"/>
          <w:b/>
          <w:color w:val="7E7E7E"/>
          <w:sz w:val="14"/>
        </w:rPr>
        <w:t>D</w:t>
      </w:r>
      <w:r>
        <w:rPr>
          <w:rFonts w:ascii="Arial"/>
          <w:b/>
          <w:color w:val="7E7E7E"/>
          <w:spacing w:val="-21"/>
          <w:sz w:val="14"/>
        </w:rPr>
        <w:t xml:space="preserve"> </w:t>
      </w:r>
      <w:r>
        <w:rPr>
          <w:rFonts w:ascii="Arial"/>
          <w:b/>
          <w:color w:val="7E7E7E"/>
          <w:sz w:val="14"/>
        </w:rPr>
        <w:t xml:space="preserve">C </w:t>
      </w:r>
      <w:r>
        <w:rPr>
          <w:rFonts w:ascii="Arial"/>
          <w:b/>
          <w:color w:val="7E7E7E"/>
          <w:spacing w:val="1"/>
          <w:sz w:val="14"/>
        </w:rPr>
        <w:t xml:space="preserve"> </w:t>
      </w:r>
      <w:r>
        <w:rPr>
          <w:rFonts w:ascii="Arial"/>
          <w:b/>
          <w:color w:val="7E7E7E"/>
          <w:sz w:val="14"/>
        </w:rPr>
        <w:t>2</w:t>
      </w:r>
      <w:r>
        <w:rPr>
          <w:rFonts w:ascii="Arial"/>
          <w:b/>
          <w:color w:val="7E7E7E"/>
          <w:spacing w:val="-19"/>
          <w:sz w:val="14"/>
        </w:rPr>
        <w:t xml:space="preserve"> </w:t>
      </w:r>
      <w:r>
        <w:rPr>
          <w:rFonts w:ascii="Arial"/>
          <w:b/>
          <w:color w:val="7E7E7E"/>
          <w:sz w:val="14"/>
        </w:rPr>
        <w:t>0</w:t>
      </w:r>
      <w:r>
        <w:rPr>
          <w:rFonts w:ascii="Arial"/>
          <w:b/>
          <w:color w:val="7E7E7E"/>
          <w:spacing w:val="-19"/>
          <w:sz w:val="14"/>
        </w:rPr>
        <w:t xml:space="preserve"> </w:t>
      </w:r>
      <w:r>
        <w:rPr>
          <w:rFonts w:ascii="Arial"/>
          <w:b/>
          <w:color w:val="7E7E7E"/>
          <w:sz w:val="14"/>
        </w:rPr>
        <w:t>0</w:t>
      </w:r>
      <w:r>
        <w:rPr>
          <w:rFonts w:ascii="Arial"/>
          <w:b/>
          <w:color w:val="7E7E7E"/>
          <w:spacing w:val="-19"/>
          <w:sz w:val="14"/>
        </w:rPr>
        <w:t xml:space="preserve"> </w:t>
      </w:r>
      <w:r>
        <w:rPr>
          <w:rFonts w:ascii="Arial"/>
          <w:b/>
          <w:color w:val="7E7E7E"/>
          <w:sz w:val="14"/>
        </w:rPr>
        <w:t>0</w:t>
      </w:r>
      <w:r>
        <w:rPr>
          <w:rFonts w:ascii="Arial"/>
          <w:b/>
          <w:color w:val="7E7E7E"/>
          <w:spacing w:val="-19"/>
          <w:sz w:val="14"/>
        </w:rPr>
        <w:t xml:space="preserve"> </w:t>
      </w:r>
      <w:r>
        <w:rPr>
          <w:rFonts w:ascii="Arial"/>
          <w:b/>
          <w:color w:val="7E7E7E"/>
          <w:sz w:val="14"/>
        </w:rPr>
        <w:t>5</w:t>
      </w:r>
      <w:r>
        <w:rPr>
          <w:rFonts w:ascii="Arial"/>
          <w:b/>
          <w:color w:val="7E7E7E"/>
          <w:sz w:val="14"/>
        </w:rPr>
        <w:tab/>
        <w:t>|</w:t>
      </w:r>
      <w:r>
        <w:rPr>
          <w:rFonts w:ascii="Arial"/>
          <w:b/>
          <w:color w:val="7E7E7E"/>
          <w:sz w:val="14"/>
        </w:rPr>
        <w:tab/>
        <w:t>(</w:t>
      </w:r>
      <w:r>
        <w:rPr>
          <w:rFonts w:ascii="Arial"/>
          <w:b/>
          <w:color w:val="7E7E7E"/>
          <w:spacing w:val="-20"/>
          <w:sz w:val="14"/>
        </w:rPr>
        <w:t xml:space="preserve"> </w:t>
      </w:r>
      <w:r>
        <w:rPr>
          <w:rFonts w:ascii="Arial"/>
          <w:b/>
          <w:color w:val="7E7E7E"/>
          <w:sz w:val="14"/>
        </w:rPr>
        <w:t>2</w:t>
      </w:r>
      <w:r>
        <w:rPr>
          <w:rFonts w:ascii="Arial"/>
          <w:b/>
          <w:color w:val="7E7E7E"/>
          <w:spacing w:val="-19"/>
          <w:sz w:val="14"/>
        </w:rPr>
        <w:t xml:space="preserve"> </w:t>
      </w:r>
      <w:r>
        <w:rPr>
          <w:rFonts w:ascii="Arial"/>
          <w:b/>
          <w:color w:val="7E7E7E"/>
          <w:sz w:val="14"/>
        </w:rPr>
        <w:t>0</w:t>
      </w:r>
      <w:r>
        <w:rPr>
          <w:rFonts w:ascii="Arial"/>
          <w:b/>
          <w:color w:val="7E7E7E"/>
          <w:spacing w:val="-22"/>
          <w:sz w:val="14"/>
        </w:rPr>
        <w:t xml:space="preserve"> </w:t>
      </w:r>
      <w:r>
        <w:rPr>
          <w:rFonts w:ascii="Arial"/>
          <w:b/>
          <w:color w:val="7E7E7E"/>
          <w:sz w:val="14"/>
        </w:rPr>
        <w:t>2</w:t>
      </w:r>
      <w:r>
        <w:rPr>
          <w:rFonts w:ascii="Arial"/>
          <w:b/>
          <w:color w:val="7E7E7E"/>
          <w:spacing w:val="-19"/>
          <w:sz w:val="14"/>
        </w:rPr>
        <w:t xml:space="preserve"> </w:t>
      </w:r>
      <w:r>
        <w:rPr>
          <w:rFonts w:ascii="Arial"/>
          <w:b/>
          <w:color w:val="7E7E7E"/>
          <w:sz w:val="14"/>
        </w:rPr>
        <w:t>)  6</w:t>
      </w:r>
      <w:r>
        <w:rPr>
          <w:rFonts w:ascii="Arial"/>
          <w:b/>
          <w:color w:val="7E7E7E"/>
          <w:spacing w:val="-22"/>
          <w:sz w:val="14"/>
        </w:rPr>
        <w:t xml:space="preserve"> </w:t>
      </w:r>
      <w:r>
        <w:rPr>
          <w:rFonts w:ascii="Arial"/>
          <w:b/>
          <w:color w:val="7E7E7E"/>
          <w:sz w:val="14"/>
        </w:rPr>
        <w:t>3</w:t>
      </w:r>
      <w:r>
        <w:rPr>
          <w:rFonts w:ascii="Arial"/>
          <w:b/>
          <w:color w:val="7E7E7E"/>
          <w:spacing w:val="-19"/>
          <w:sz w:val="14"/>
        </w:rPr>
        <w:t xml:space="preserve"> </w:t>
      </w:r>
      <w:r>
        <w:rPr>
          <w:rFonts w:ascii="Arial"/>
          <w:b/>
          <w:color w:val="7E7E7E"/>
          <w:sz w:val="14"/>
        </w:rPr>
        <w:t>8</w:t>
      </w:r>
      <w:r>
        <w:rPr>
          <w:rFonts w:ascii="Arial"/>
          <w:b/>
          <w:color w:val="7E7E7E"/>
          <w:spacing w:val="-18"/>
          <w:sz w:val="14"/>
        </w:rPr>
        <w:t xml:space="preserve"> </w:t>
      </w:r>
      <w:r>
        <w:rPr>
          <w:rFonts w:ascii="Arial"/>
          <w:b/>
          <w:color w:val="7E7E7E"/>
          <w:sz w:val="14"/>
        </w:rPr>
        <w:t>-</w:t>
      </w:r>
      <w:r>
        <w:rPr>
          <w:rFonts w:ascii="Arial"/>
          <w:b/>
          <w:color w:val="7E7E7E"/>
          <w:spacing w:val="-20"/>
          <w:sz w:val="14"/>
        </w:rPr>
        <w:t xml:space="preserve"> </w:t>
      </w:r>
      <w:r>
        <w:rPr>
          <w:rFonts w:ascii="Arial"/>
          <w:b/>
          <w:color w:val="7E7E7E"/>
          <w:sz w:val="14"/>
        </w:rPr>
        <w:t>7</w:t>
      </w:r>
      <w:r>
        <w:rPr>
          <w:rFonts w:ascii="Arial"/>
          <w:b/>
          <w:color w:val="7E7E7E"/>
          <w:spacing w:val="-22"/>
          <w:sz w:val="14"/>
        </w:rPr>
        <w:t xml:space="preserve"> </w:t>
      </w:r>
      <w:r>
        <w:rPr>
          <w:rFonts w:ascii="Arial"/>
          <w:b/>
          <w:color w:val="7E7E7E"/>
          <w:sz w:val="14"/>
        </w:rPr>
        <w:t>1</w:t>
      </w:r>
      <w:r>
        <w:rPr>
          <w:rFonts w:ascii="Arial"/>
          <w:b/>
          <w:color w:val="7E7E7E"/>
          <w:spacing w:val="-19"/>
          <w:sz w:val="14"/>
        </w:rPr>
        <w:t xml:space="preserve"> </w:t>
      </w:r>
      <w:r>
        <w:rPr>
          <w:rFonts w:ascii="Arial"/>
          <w:b/>
          <w:color w:val="7E7E7E"/>
          <w:sz w:val="14"/>
        </w:rPr>
        <w:t>5</w:t>
      </w:r>
      <w:r>
        <w:rPr>
          <w:rFonts w:ascii="Arial"/>
          <w:b/>
          <w:color w:val="7E7E7E"/>
          <w:spacing w:val="-19"/>
          <w:sz w:val="14"/>
        </w:rPr>
        <w:t xml:space="preserve"> </w:t>
      </w:r>
      <w:r>
        <w:rPr>
          <w:rFonts w:ascii="Arial"/>
          <w:b/>
          <w:color w:val="7E7E7E"/>
          <w:sz w:val="14"/>
        </w:rPr>
        <w:t>1</w:t>
      </w:r>
      <w:r>
        <w:rPr>
          <w:rFonts w:ascii="Arial"/>
          <w:b/>
          <w:color w:val="7E7E7E"/>
          <w:sz w:val="14"/>
        </w:rPr>
        <w:tab/>
        <w:t xml:space="preserve">|   </w:t>
      </w:r>
      <w:r>
        <w:rPr>
          <w:rFonts w:ascii="Arial"/>
          <w:b/>
          <w:color w:val="7E7E7E"/>
          <w:spacing w:val="37"/>
          <w:sz w:val="14"/>
        </w:rPr>
        <w:t xml:space="preserve"> </w:t>
      </w:r>
      <w:r>
        <w:rPr>
          <w:rFonts w:ascii="Arial"/>
          <w:b/>
          <w:color w:val="7E7E7E"/>
          <w:sz w:val="14"/>
        </w:rPr>
        <w:t>N</w:t>
      </w:r>
      <w:r>
        <w:rPr>
          <w:rFonts w:ascii="Arial"/>
          <w:b/>
          <w:color w:val="7E7E7E"/>
          <w:spacing w:val="-21"/>
          <w:sz w:val="14"/>
        </w:rPr>
        <w:t xml:space="preserve"> </w:t>
      </w:r>
      <w:r>
        <w:rPr>
          <w:rFonts w:ascii="Arial"/>
          <w:b/>
          <w:color w:val="7E7E7E"/>
          <w:sz w:val="14"/>
        </w:rPr>
        <w:t>C</w:t>
      </w:r>
      <w:r>
        <w:rPr>
          <w:rFonts w:ascii="Arial"/>
          <w:b/>
          <w:color w:val="7E7E7E"/>
          <w:spacing w:val="-21"/>
          <w:sz w:val="14"/>
        </w:rPr>
        <w:t xml:space="preserve"> </w:t>
      </w:r>
      <w:r>
        <w:rPr>
          <w:rFonts w:ascii="Arial"/>
          <w:b/>
          <w:color w:val="7E7E7E"/>
          <w:sz w:val="14"/>
        </w:rPr>
        <w:t>H</w:t>
      </w:r>
      <w:r>
        <w:rPr>
          <w:rFonts w:ascii="Arial"/>
          <w:b/>
          <w:color w:val="7E7E7E"/>
          <w:spacing w:val="-19"/>
          <w:sz w:val="14"/>
        </w:rPr>
        <w:t xml:space="preserve"> </w:t>
      </w:r>
      <w:r>
        <w:rPr>
          <w:rFonts w:ascii="Arial"/>
          <w:b/>
          <w:color w:val="7E7E7E"/>
          <w:sz w:val="14"/>
        </w:rPr>
        <w:t>C</w:t>
      </w:r>
      <w:r>
        <w:rPr>
          <w:rFonts w:ascii="Arial"/>
          <w:b/>
          <w:color w:val="7E7E7E"/>
          <w:spacing w:val="-21"/>
          <w:sz w:val="14"/>
        </w:rPr>
        <w:t xml:space="preserve"> </w:t>
      </w:r>
      <w:r>
        <w:rPr>
          <w:rFonts w:ascii="Arial"/>
          <w:b/>
          <w:color w:val="7E7E7E"/>
          <w:sz w:val="14"/>
        </w:rPr>
        <w:t>.</w:t>
      </w:r>
      <w:r>
        <w:rPr>
          <w:rFonts w:ascii="Arial"/>
          <w:b/>
          <w:color w:val="7E7E7E"/>
          <w:spacing w:val="-19"/>
          <w:sz w:val="14"/>
        </w:rPr>
        <w:t xml:space="preserve"> </w:t>
      </w:r>
      <w:r>
        <w:rPr>
          <w:rFonts w:ascii="Arial"/>
          <w:b/>
          <w:color w:val="7E7E7E"/>
          <w:sz w:val="14"/>
        </w:rPr>
        <w:t>O</w:t>
      </w:r>
      <w:r>
        <w:rPr>
          <w:rFonts w:ascii="Arial"/>
          <w:b/>
          <w:color w:val="7E7E7E"/>
          <w:spacing w:val="-19"/>
          <w:sz w:val="14"/>
        </w:rPr>
        <w:t xml:space="preserve"> </w:t>
      </w:r>
      <w:r>
        <w:rPr>
          <w:rFonts w:ascii="Arial"/>
          <w:b/>
          <w:color w:val="7E7E7E"/>
          <w:sz w:val="14"/>
        </w:rPr>
        <w:t>R</w:t>
      </w:r>
      <w:r>
        <w:rPr>
          <w:rFonts w:ascii="Arial"/>
          <w:b/>
          <w:color w:val="7E7E7E"/>
          <w:spacing w:val="-21"/>
          <w:sz w:val="14"/>
        </w:rPr>
        <w:t xml:space="preserve"> </w:t>
      </w:r>
      <w:r>
        <w:rPr>
          <w:rFonts w:ascii="Arial"/>
          <w:b/>
          <w:color w:val="7E7E7E"/>
          <w:sz w:val="14"/>
        </w:rPr>
        <w:t>G</w:t>
      </w:r>
    </w:p>
    <w:p w:rsidR="009B33A9" w:rsidRDefault="009B33A9">
      <w:pPr>
        <w:rPr>
          <w:rFonts w:ascii="Arial"/>
          <w:sz w:val="14"/>
        </w:rPr>
        <w:sectPr w:rsidR="009B33A9">
          <w:type w:val="continuous"/>
          <w:pgSz w:w="12240" w:h="15840"/>
          <w:pgMar w:top="620" w:right="0" w:bottom="0" w:left="0" w:header="720" w:footer="720" w:gutter="0"/>
          <w:cols w:space="720"/>
        </w:sectPr>
      </w:pPr>
    </w:p>
    <w:p w:rsidR="009B33A9" w:rsidRDefault="005D514A">
      <w:pPr>
        <w:pStyle w:val="BodyText"/>
        <w:spacing w:before="7"/>
        <w:rPr>
          <w:rFonts w:ascii="Arial"/>
          <w:b/>
          <w:sz w:val="14"/>
        </w:rPr>
      </w:pPr>
      <w:r>
        <w:pict>
          <v:group id="_x0000_s1027" style="position:absolute;margin-left:0;margin-top:636pt;width:612pt;height:156pt;z-index:-7528;mso-position-horizontal-relative:page;mso-position-vertical-relative:page" coordorigin=",12720" coordsize="12240,3120">
            <v:rect id="_x0000_s1034" style="position:absolute;top:12720;width:12240;height:418" fillcolor="#d9d9d9" stroked="f"/>
            <v:rect id="_x0000_s1033" style="position:absolute;top:13138;width:12240;height:2702" fillcolor="#959a9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454;top:13138;width:1651;height:1644">
              <v:imagedata r:id="rId9" o:title=""/>
            </v:shape>
            <v:shape id="_x0000_s1031" type="#_x0000_t75" style="position:absolute;left:2407;top:13154;width:2004;height:2484">
              <v:imagedata r:id="rId10" o:title=""/>
            </v:shape>
            <v:shape id="_x0000_s1030" type="#_x0000_t75" style="position:absolute;left:4829;top:13423;width:1958;height:2335">
              <v:imagedata r:id="rId11" o:title=""/>
            </v:shape>
            <v:shape id="_x0000_s1029" type="#_x0000_t75" style="position:absolute;left:6996;top:13356;width:2153;height:2470">
              <v:imagedata r:id="rId12" o:title=""/>
            </v:shape>
            <v:shape id="_x0000_s1028" type="#_x0000_t75" style="position:absolute;left:9562;top:13394;width:2062;height:2160">
              <v:imagedata r:id="rId13" o:title=""/>
            </v:shape>
            <w10:wrap anchorx="page" anchory="page"/>
          </v:group>
        </w:pict>
      </w:r>
    </w:p>
    <w:p w:rsidR="009B33A9" w:rsidRDefault="005D514A">
      <w:pPr>
        <w:ind w:left="597"/>
        <w:jc w:val="both"/>
        <w:rPr>
          <w:rFonts w:ascii="Arial"/>
          <w:b/>
          <w:sz w:val="12"/>
        </w:rPr>
      </w:pPr>
      <w:r>
        <w:rPr>
          <w:rFonts w:ascii="Arial"/>
          <w:b/>
          <w:color w:val="FFFFFF"/>
          <w:sz w:val="12"/>
        </w:rPr>
        <w:t>Chairman</w:t>
      </w:r>
    </w:p>
    <w:p w:rsidR="009B33A9" w:rsidRDefault="009B33A9">
      <w:pPr>
        <w:pStyle w:val="BodyText"/>
        <w:spacing w:before="1"/>
        <w:rPr>
          <w:rFonts w:ascii="Arial"/>
          <w:b/>
          <w:sz w:val="12"/>
        </w:rPr>
      </w:pPr>
    </w:p>
    <w:p w:rsidR="009B33A9" w:rsidRDefault="005D514A">
      <w:pPr>
        <w:spacing w:line="137" w:lineRule="exact"/>
        <w:ind w:left="597"/>
        <w:jc w:val="both"/>
        <w:rPr>
          <w:rFonts w:ascii="Arial"/>
          <w:sz w:val="12"/>
        </w:rPr>
      </w:pPr>
      <w:r>
        <w:rPr>
          <w:rFonts w:ascii="Arial"/>
          <w:color w:val="FFFFFF"/>
          <w:sz w:val="12"/>
        </w:rPr>
        <w:t>Jack Lewin</w:t>
      </w:r>
    </w:p>
    <w:p w:rsidR="009B33A9" w:rsidRDefault="005D514A">
      <w:pPr>
        <w:ind w:left="597"/>
        <w:jc w:val="both"/>
        <w:rPr>
          <w:rFonts w:ascii="Arial"/>
          <w:i/>
          <w:sz w:val="12"/>
        </w:rPr>
      </w:pPr>
      <w:r>
        <w:rPr>
          <w:rFonts w:ascii="Arial"/>
          <w:i/>
          <w:color w:val="FFFFFF"/>
          <w:sz w:val="12"/>
        </w:rPr>
        <w:t>Principal and Founder, Lewin and Associates, LLC</w:t>
      </w:r>
    </w:p>
    <w:p w:rsidR="009B33A9" w:rsidRDefault="009B33A9">
      <w:pPr>
        <w:pStyle w:val="BodyText"/>
        <w:rPr>
          <w:rFonts w:ascii="Arial"/>
          <w:i/>
          <w:sz w:val="12"/>
        </w:rPr>
      </w:pPr>
    </w:p>
    <w:p w:rsidR="009B33A9" w:rsidRDefault="009B33A9">
      <w:pPr>
        <w:pStyle w:val="BodyText"/>
        <w:rPr>
          <w:rFonts w:ascii="Arial"/>
          <w:i/>
          <w:sz w:val="12"/>
        </w:rPr>
      </w:pPr>
    </w:p>
    <w:p w:rsidR="009B33A9" w:rsidRDefault="005D514A">
      <w:pPr>
        <w:ind w:left="597"/>
        <w:jc w:val="both"/>
        <w:rPr>
          <w:rFonts w:ascii="Arial"/>
          <w:b/>
          <w:sz w:val="12"/>
        </w:rPr>
      </w:pPr>
      <w:r>
        <w:rPr>
          <w:rFonts w:ascii="Arial"/>
          <w:b/>
          <w:color w:val="FFFFFF"/>
          <w:sz w:val="12"/>
        </w:rPr>
        <w:t>President and CEO</w:t>
      </w:r>
    </w:p>
    <w:p w:rsidR="009B33A9" w:rsidRDefault="009B33A9">
      <w:pPr>
        <w:pStyle w:val="BodyText"/>
        <w:spacing w:before="2"/>
        <w:rPr>
          <w:rFonts w:ascii="Arial"/>
          <w:b/>
          <w:sz w:val="12"/>
        </w:rPr>
      </w:pPr>
    </w:p>
    <w:p w:rsidR="009B33A9" w:rsidRDefault="005D514A">
      <w:pPr>
        <w:ind w:left="597"/>
        <w:jc w:val="both"/>
        <w:rPr>
          <w:rFonts w:ascii="Arial"/>
          <w:sz w:val="12"/>
        </w:rPr>
      </w:pPr>
      <w:r>
        <w:rPr>
          <w:rFonts w:ascii="Arial"/>
          <w:color w:val="FFFFFF"/>
          <w:sz w:val="12"/>
        </w:rPr>
        <w:t>John Rother</w:t>
      </w:r>
    </w:p>
    <w:p w:rsidR="009B33A9" w:rsidRDefault="005D514A">
      <w:pPr>
        <w:pStyle w:val="BodyText"/>
        <w:spacing w:before="10"/>
        <w:rPr>
          <w:rFonts w:ascii="Arial"/>
          <w:sz w:val="15"/>
        </w:rPr>
      </w:pPr>
      <w:r>
        <w:br w:type="column"/>
      </w:r>
    </w:p>
    <w:p w:rsidR="009B33A9" w:rsidRDefault="005D514A">
      <w:pPr>
        <w:ind w:left="597"/>
        <w:rPr>
          <w:rFonts w:ascii="Arial"/>
          <w:b/>
          <w:sz w:val="12"/>
        </w:rPr>
      </w:pPr>
      <w:r>
        <w:rPr>
          <w:rFonts w:ascii="Arial"/>
          <w:b/>
          <w:color w:val="FFFFFF"/>
          <w:sz w:val="12"/>
        </w:rPr>
        <w:t>Board of Directors</w:t>
      </w:r>
    </w:p>
    <w:p w:rsidR="009B33A9" w:rsidRDefault="009B33A9">
      <w:pPr>
        <w:pStyle w:val="BodyText"/>
        <w:spacing w:before="1"/>
        <w:rPr>
          <w:rFonts w:ascii="Arial"/>
          <w:b/>
          <w:sz w:val="12"/>
        </w:rPr>
      </w:pPr>
    </w:p>
    <w:p w:rsidR="009B33A9" w:rsidRDefault="005D514A">
      <w:pPr>
        <w:ind w:left="597" w:right="425"/>
        <w:rPr>
          <w:rFonts w:ascii="Arial"/>
          <w:i/>
          <w:sz w:val="12"/>
        </w:rPr>
      </w:pPr>
      <w:r>
        <w:rPr>
          <w:rFonts w:ascii="Arial"/>
          <w:color w:val="FFFFFF"/>
          <w:sz w:val="12"/>
        </w:rPr>
        <w:t xml:space="preserve">Liana Bailey-Crimmins </w:t>
      </w:r>
      <w:r>
        <w:rPr>
          <w:rFonts w:ascii="Arial"/>
          <w:i/>
          <w:color w:val="FFFFFF"/>
          <w:sz w:val="12"/>
        </w:rPr>
        <w:t>Chief Health Director, CalPERS</w:t>
      </w:r>
    </w:p>
    <w:p w:rsidR="009B33A9" w:rsidRDefault="009B33A9">
      <w:pPr>
        <w:pStyle w:val="BodyText"/>
        <w:spacing w:before="10"/>
        <w:rPr>
          <w:rFonts w:ascii="Arial"/>
          <w:i/>
          <w:sz w:val="11"/>
        </w:rPr>
      </w:pPr>
    </w:p>
    <w:p w:rsidR="009B33A9" w:rsidRDefault="005D514A">
      <w:pPr>
        <w:ind w:left="597"/>
        <w:rPr>
          <w:rFonts w:ascii="Arial"/>
          <w:sz w:val="12"/>
        </w:rPr>
      </w:pPr>
      <w:r>
        <w:rPr>
          <w:rFonts w:ascii="Arial"/>
          <w:color w:val="FFFFFF"/>
          <w:sz w:val="12"/>
        </w:rPr>
        <w:t>Peter Begans</w:t>
      </w:r>
    </w:p>
    <w:p w:rsidR="009B33A9" w:rsidRDefault="005D514A">
      <w:pPr>
        <w:ind w:left="597" w:right="32"/>
        <w:rPr>
          <w:rFonts w:ascii="Arial"/>
          <w:i/>
          <w:sz w:val="12"/>
        </w:rPr>
      </w:pPr>
      <w:r>
        <w:rPr>
          <w:rFonts w:ascii="Arial"/>
          <w:i/>
          <w:color w:val="FFFFFF"/>
          <w:sz w:val="12"/>
        </w:rPr>
        <w:t>Senior Vice President, Public and Government Affairs, SCAN Health Plan</w:t>
      </w:r>
    </w:p>
    <w:p w:rsidR="009B33A9" w:rsidRDefault="009B33A9">
      <w:pPr>
        <w:pStyle w:val="BodyText"/>
        <w:spacing w:before="11"/>
        <w:rPr>
          <w:rFonts w:ascii="Arial"/>
          <w:i/>
          <w:sz w:val="11"/>
        </w:rPr>
      </w:pPr>
    </w:p>
    <w:p w:rsidR="009B33A9" w:rsidRDefault="005D514A">
      <w:pPr>
        <w:spacing w:line="137" w:lineRule="exact"/>
        <w:ind w:left="597"/>
        <w:rPr>
          <w:rFonts w:ascii="Arial"/>
          <w:sz w:val="12"/>
        </w:rPr>
      </w:pPr>
      <w:r>
        <w:rPr>
          <w:rFonts w:ascii="Arial"/>
          <w:color w:val="FFFFFF"/>
          <w:sz w:val="12"/>
        </w:rPr>
        <w:t>Blair Childs</w:t>
      </w:r>
    </w:p>
    <w:p w:rsidR="009B33A9" w:rsidRDefault="005D514A">
      <w:pPr>
        <w:ind w:left="597" w:right="-10"/>
        <w:rPr>
          <w:rFonts w:ascii="Arial"/>
          <w:i/>
          <w:sz w:val="12"/>
        </w:rPr>
      </w:pPr>
      <w:r>
        <w:rPr>
          <w:rFonts w:ascii="Arial"/>
          <w:i/>
          <w:color w:val="FFFFFF"/>
          <w:sz w:val="12"/>
        </w:rPr>
        <w:t>Senior Vice President of</w:t>
      </w:r>
      <w:r>
        <w:rPr>
          <w:rFonts w:ascii="Arial"/>
          <w:i/>
          <w:color w:val="FFFFFF"/>
          <w:spacing w:val="-12"/>
          <w:sz w:val="12"/>
        </w:rPr>
        <w:t xml:space="preserve"> </w:t>
      </w:r>
      <w:r>
        <w:rPr>
          <w:rFonts w:ascii="Arial"/>
          <w:i/>
          <w:color w:val="FFFFFF"/>
          <w:sz w:val="12"/>
        </w:rPr>
        <w:t>Public Affairs,</w:t>
      </w:r>
    </w:p>
    <w:p w:rsidR="009B33A9" w:rsidRDefault="005D514A">
      <w:pPr>
        <w:spacing w:line="137" w:lineRule="exact"/>
        <w:ind w:left="597"/>
        <w:rPr>
          <w:rFonts w:ascii="Arial"/>
          <w:i/>
          <w:sz w:val="12"/>
        </w:rPr>
      </w:pPr>
      <w:r>
        <w:rPr>
          <w:rFonts w:ascii="Arial"/>
          <w:i/>
          <w:color w:val="FFFFFF"/>
          <w:sz w:val="12"/>
        </w:rPr>
        <w:t>Premier, Inc.</w:t>
      </w:r>
    </w:p>
    <w:p w:rsidR="009B33A9" w:rsidRDefault="005D514A">
      <w:pPr>
        <w:pStyle w:val="BodyText"/>
        <w:rPr>
          <w:rFonts w:ascii="Arial"/>
          <w:i/>
          <w:sz w:val="12"/>
        </w:rPr>
      </w:pPr>
      <w:r>
        <w:br w:type="column"/>
      </w:r>
    </w:p>
    <w:p w:rsidR="009B33A9" w:rsidRDefault="009B33A9">
      <w:pPr>
        <w:pStyle w:val="BodyText"/>
        <w:rPr>
          <w:rFonts w:ascii="Arial"/>
          <w:i/>
          <w:sz w:val="12"/>
        </w:rPr>
      </w:pPr>
    </w:p>
    <w:p w:rsidR="009B33A9" w:rsidRDefault="009B33A9">
      <w:pPr>
        <w:pStyle w:val="BodyText"/>
        <w:spacing w:before="5"/>
        <w:rPr>
          <w:rFonts w:ascii="Arial"/>
          <w:i/>
          <w:sz w:val="15"/>
        </w:rPr>
      </w:pPr>
    </w:p>
    <w:p w:rsidR="009B33A9" w:rsidRDefault="005D514A">
      <w:pPr>
        <w:spacing w:before="1"/>
        <w:ind w:left="597" w:right="473"/>
        <w:rPr>
          <w:rFonts w:ascii="Arial"/>
          <w:i/>
          <w:sz w:val="12"/>
        </w:rPr>
      </w:pPr>
      <w:r>
        <w:rPr>
          <w:rFonts w:ascii="Arial"/>
          <w:color w:val="FFFFFF"/>
          <w:sz w:val="12"/>
        </w:rPr>
        <w:t xml:space="preserve">Don Crane </w:t>
      </w:r>
      <w:r>
        <w:rPr>
          <w:rFonts w:ascii="Arial"/>
          <w:i/>
          <w:color w:val="FFFFFF"/>
          <w:sz w:val="12"/>
        </w:rPr>
        <w:t>President and CEO, CAPG</w:t>
      </w:r>
    </w:p>
    <w:p w:rsidR="009B33A9" w:rsidRDefault="009B33A9">
      <w:pPr>
        <w:pStyle w:val="BodyText"/>
        <w:rPr>
          <w:rFonts w:ascii="Arial"/>
          <w:i/>
          <w:sz w:val="12"/>
        </w:rPr>
      </w:pPr>
    </w:p>
    <w:p w:rsidR="009B33A9" w:rsidRDefault="005D514A">
      <w:pPr>
        <w:ind w:left="597" w:right="527"/>
        <w:rPr>
          <w:rFonts w:ascii="Arial"/>
          <w:i/>
          <w:sz w:val="12"/>
        </w:rPr>
      </w:pPr>
      <w:r>
        <w:rPr>
          <w:rFonts w:ascii="Arial"/>
          <w:color w:val="FFFFFF"/>
          <w:sz w:val="12"/>
        </w:rPr>
        <w:t xml:space="preserve">Chris Dawe </w:t>
      </w:r>
      <w:r>
        <w:rPr>
          <w:rFonts w:ascii="Arial"/>
          <w:i/>
          <w:color w:val="FFFFFF"/>
          <w:sz w:val="12"/>
        </w:rPr>
        <w:t>Managing Director, Evolent Health</w:t>
      </w:r>
    </w:p>
    <w:p w:rsidR="009B33A9" w:rsidRDefault="009B33A9">
      <w:pPr>
        <w:pStyle w:val="BodyText"/>
        <w:spacing w:before="11"/>
        <w:rPr>
          <w:rFonts w:ascii="Arial"/>
          <w:i/>
          <w:sz w:val="11"/>
        </w:rPr>
      </w:pPr>
    </w:p>
    <w:p w:rsidR="009B33A9" w:rsidRDefault="005D514A">
      <w:pPr>
        <w:ind w:left="597"/>
        <w:rPr>
          <w:rFonts w:ascii="Arial"/>
          <w:sz w:val="12"/>
        </w:rPr>
      </w:pPr>
      <w:r>
        <w:rPr>
          <w:rFonts w:ascii="Arial"/>
          <w:color w:val="FFFFFF"/>
          <w:sz w:val="12"/>
        </w:rPr>
        <w:t>David Dobbins</w:t>
      </w:r>
    </w:p>
    <w:p w:rsidR="009B33A9" w:rsidRDefault="005D514A">
      <w:pPr>
        <w:spacing w:before="1" w:line="137" w:lineRule="exact"/>
        <w:ind w:left="597"/>
        <w:rPr>
          <w:rFonts w:ascii="Arial"/>
          <w:i/>
          <w:sz w:val="12"/>
        </w:rPr>
      </w:pPr>
      <w:r>
        <w:rPr>
          <w:rFonts w:ascii="Arial"/>
          <w:i/>
          <w:color w:val="FFFFFF"/>
          <w:sz w:val="12"/>
        </w:rPr>
        <w:t>COO,</w:t>
      </w:r>
    </w:p>
    <w:p w:rsidR="009B33A9" w:rsidRDefault="005D514A">
      <w:pPr>
        <w:spacing w:line="137" w:lineRule="exact"/>
        <w:ind w:left="597"/>
        <w:rPr>
          <w:rFonts w:ascii="Arial"/>
          <w:i/>
          <w:sz w:val="12"/>
        </w:rPr>
      </w:pPr>
      <w:r>
        <w:rPr>
          <w:rFonts w:ascii="Arial"/>
          <w:i/>
          <w:color w:val="FFFFFF"/>
          <w:sz w:val="12"/>
        </w:rPr>
        <w:t>American Legacy Foundation</w:t>
      </w:r>
    </w:p>
    <w:p w:rsidR="009B33A9" w:rsidRDefault="009B33A9">
      <w:pPr>
        <w:pStyle w:val="BodyText"/>
        <w:spacing w:before="11"/>
        <w:rPr>
          <w:rFonts w:ascii="Arial"/>
          <w:i/>
          <w:sz w:val="11"/>
        </w:rPr>
      </w:pPr>
    </w:p>
    <w:p w:rsidR="009B33A9" w:rsidRDefault="005D514A">
      <w:pPr>
        <w:ind w:left="597"/>
        <w:rPr>
          <w:rFonts w:ascii="Arial"/>
          <w:sz w:val="12"/>
        </w:rPr>
      </w:pPr>
      <w:r>
        <w:rPr>
          <w:rFonts w:ascii="Arial"/>
          <w:color w:val="FFFFFF"/>
          <w:sz w:val="12"/>
        </w:rPr>
        <w:t>Kevin Donnellan</w:t>
      </w:r>
    </w:p>
    <w:p w:rsidR="009B33A9" w:rsidRDefault="005D514A">
      <w:pPr>
        <w:spacing w:before="1"/>
        <w:ind w:left="597" w:right="100"/>
        <w:rPr>
          <w:rFonts w:ascii="Arial"/>
          <w:i/>
          <w:sz w:val="12"/>
        </w:rPr>
      </w:pPr>
      <w:r>
        <w:rPr>
          <w:rFonts w:ascii="Arial"/>
          <w:i/>
          <w:color w:val="FFFFFF"/>
          <w:sz w:val="12"/>
        </w:rPr>
        <w:t>Executive Vice President &amp; Chief of Staff</w:t>
      </w:r>
    </w:p>
    <w:p w:rsidR="009B33A9" w:rsidRDefault="005D514A">
      <w:pPr>
        <w:spacing w:before="1"/>
        <w:ind w:left="597"/>
        <w:rPr>
          <w:rFonts w:ascii="Arial"/>
          <w:i/>
          <w:sz w:val="12"/>
        </w:rPr>
      </w:pPr>
      <w:r>
        <w:rPr>
          <w:rFonts w:ascii="Arial"/>
          <w:i/>
          <w:color w:val="FFFFFF"/>
          <w:sz w:val="12"/>
        </w:rPr>
        <w:t>AARP</w:t>
      </w:r>
    </w:p>
    <w:p w:rsidR="009B33A9" w:rsidRDefault="005D514A">
      <w:pPr>
        <w:pStyle w:val="BodyText"/>
        <w:rPr>
          <w:rFonts w:ascii="Arial"/>
          <w:i/>
          <w:sz w:val="12"/>
        </w:rPr>
      </w:pPr>
      <w:r>
        <w:br w:type="column"/>
      </w:r>
    </w:p>
    <w:p w:rsidR="009B33A9" w:rsidRDefault="009B33A9">
      <w:pPr>
        <w:pStyle w:val="BodyText"/>
        <w:rPr>
          <w:rFonts w:ascii="Arial"/>
          <w:i/>
          <w:sz w:val="12"/>
        </w:rPr>
      </w:pPr>
    </w:p>
    <w:p w:rsidR="009B33A9" w:rsidRDefault="009B33A9">
      <w:pPr>
        <w:pStyle w:val="BodyText"/>
        <w:spacing w:before="10"/>
        <w:rPr>
          <w:rFonts w:ascii="Arial"/>
          <w:i/>
          <w:sz w:val="9"/>
        </w:rPr>
      </w:pPr>
    </w:p>
    <w:p w:rsidR="009B33A9" w:rsidRDefault="005D514A">
      <w:pPr>
        <w:ind w:left="567" w:right="-7"/>
        <w:rPr>
          <w:rFonts w:ascii="Arial"/>
          <w:i/>
          <w:sz w:val="12"/>
        </w:rPr>
      </w:pPr>
      <w:r>
        <w:rPr>
          <w:rFonts w:ascii="Arial"/>
          <w:color w:val="FFFFFF"/>
          <w:sz w:val="12"/>
        </w:rPr>
        <w:t xml:space="preserve">The Honorable David Durenberger </w:t>
      </w:r>
      <w:r>
        <w:rPr>
          <w:rFonts w:ascii="Arial"/>
          <w:i/>
          <w:color w:val="FFFFFF"/>
          <w:sz w:val="12"/>
        </w:rPr>
        <w:t>Former U.S. Senator from Minnesota</w:t>
      </w:r>
    </w:p>
    <w:p w:rsidR="009B33A9" w:rsidRDefault="009B33A9">
      <w:pPr>
        <w:pStyle w:val="BodyText"/>
        <w:spacing w:before="11"/>
        <w:rPr>
          <w:rFonts w:ascii="Arial"/>
          <w:i/>
          <w:sz w:val="11"/>
        </w:rPr>
      </w:pPr>
    </w:p>
    <w:p w:rsidR="009B33A9" w:rsidRDefault="005D514A">
      <w:pPr>
        <w:ind w:left="567"/>
        <w:rPr>
          <w:rFonts w:ascii="Arial"/>
          <w:sz w:val="12"/>
        </w:rPr>
      </w:pPr>
      <w:r>
        <w:rPr>
          <w:rFonts w:ascii="Arial"/>
          <w:color w:val="FFFFFF"/>
          <w:sz w:val="12"/>
        </w:rPr>
        <w:t>Michael Maccoby</w:t>
      </w:r>
    </w:p>
    <w:p w:rsidR="009B33A9" w:rsidRDefault="005D514A">
      <w:pPr>
        <w:spacing w:before="1" w:line="137" w:lineRule="exact"/>
        <w:ind w:left="567"/>
        <w:rPr>
          <w:rFonts w:ascii="Arial"/>
          <w:i/>
          <w:sz w:val="12"/>
        </w:rPr>
      </w:pPr>
      <w:r>
        <w:rPr>
          <w:rFonts w:ascii="Arial"/>
          <w:i/>
          <w:color w:val="FFFFFF"/>
          <w:sz w:val="12"/>
        </w:rPr>
        <w:t>President,</w:t>
      </w:r>
    </w:p>
    <w:p w:rsidR="009B33A9" w:rsidRDefault="005D514A">
      <w:pPr>
        <w:spacing w:line="137" w:lineRule="exact"/>
        <w:ind w:left="567"/>
        <w:rPr>
          <w:rFonts w:ascii="Arial"/>
          <w:i/>
          <w:sz w:val="12"/>
        </w:rPr>
      </w:pPr>
      <w:r>
        <w:rPr>
          <w:rFonts w:ascii="Arial"/>
          <w:i/>
          <w:color w:val="FFFFFF"/>
          <w:sz w:val="12"/>
        </w:rPr>
        <w:t>The Maccoby Group</w:t>
      </w:r>
    </w:p>
    <w:p w:rsidR="009B33A9" w:rsidRDefault="009B33A9">
      <w:pPr>
        <w:pStyle w:val="BodyText"/>
        <w:spacing w:before="11"/>
        <w:rPr>
          <w:rFonts w:ascii="Arial"/>
          <w:i/>
          <w:sz w:val="11"/>
        </w:rPr>
      </w:pPr>
    </w:p>
    <w:p w:rsidR="009B33A9" w:rsidRDefault="005D514A">
      <w:pPr>
        <w:ind w:left="567"/>
        <w:rPr>
          <w:rFonts w:ascii="Arial"/>
          <w:sz w:val="12"/>
        </w:rPr>
      </w:pPr>
      <w:r>
        <w:rPr>
          <w:rFonts w:ascii="Arial"/>
          <w:color w:val="FFFFFF"/>
          <w:sz w:val="12"/>
        </w:rPr>
        <w:t>Shawn Martin</w:t>
      </w:r>
    </w:p>
    <w:p w:rsidR="009B33A9" w:rsidRDefault="005D514A">
      <w:pPr>
        <w:spacing w:before="1"/>
        <w:ind w:left="567" w:right="-11"/>
        <w:rPr>
          <w:rFonts w:ascii="Arial"/>
          <w:i/>
          <w:sz w:val="12"/>
        </w:rPr>
      </w:pPr>
      <w:r>
        <w:rPr>
          <w:rFonts w:ascii="Arial"/>
          <w:i/>
          <w:color w:val="FFFFFF"/>
          <w:sz w:val="12"/>
        </w:rPr>
        <w:t>Senior Vice President, Advocacy, Practice Advancement, and</w:t>
      </w:r>
      <w:r>
        <w:rPr>
          <w:rFonts w:ascii="Arial"/>
          <w:i/>
          <w:color w:val="FFFFFF"/>
          <w:spacing w:val="-10"/>
          <w:sz w:val="12"/>
        </w:rPr>
        <w:t xml:space="preserve"> </w:t>
      </w:r>
      <w:r>
        <w:rPr>
          <w:rFonts w:ascii="Arial"/>
          <w:i/>
          <w:color w:val="FFFFFF"/>
          <w:sz w:val="12"/>
        </w:rPr>
        <w:t>Policy, American Academy of Family Physicians</w:t>
      </w:r>
    </w:p>
    <w:p w:rsidR="009B33A9" w:rsidRDefault="009B33A9">
      <w:pPr>
        <w:pStyle w:val="BodyText"/>
        <w:rPr>
          <w:rFonts w:ascii="Arial"/>
          <w:i/>
          <w:sz w:val="12"/>
        </w:rPr>
      </w:pPr>
    </w:p>
    <w:p w:rsidR="009B33A9" w:rsidRDefault="005D514A">
      <w:pPr>
        <w:ind w:left="567"/>
        <w:rPr>
          <w:rFonts w:ascii="Arial" w:hAnsi="Arial"/>
          <w:sz w:val="12"/>
        </w:rPr>
      </w:pPr>
      <w:r>
        <w:rPr>
          <w:rFonts w:ascii="Arial" w:hAnsi="Arial"/>
          <w:color w:val="FFFFFF"/>
          <w:sz w:val="12"/>
        </w:rPr>
        <w:t>Margaret E. O’Kane</w:t>
      </w:r>
    </w:p>
    <w:p w:rsidR="009B33A9" w:rsidRDefault="005D514A">
      <w:pPr>
        <w:ind w:left="567" w:right="1327"/>
        <w:rPr>
          <w:rFonts w:ascii="Arial"/>
          <w:i/>
          <w:sz w:val="12"/>
        </w:rPr>
      </w:pPr>
      <w:r>
        <w:rPr>
          <w:rFonts w:ascii="Arial"/>
          <w:i/>
          <w:color w:val="FFFFFF"/>
          <w:sz w:val="12"/>
        </w:rPr>
        <w:t>President NCQA</w:t>
      </w:r>
    </w:p>
    <w:p w:rsidR="009B33A9" w:rsidRDefault="005D514A">
      <w:pPr>
        <w:pStyle w:val="BodyText"/>
        <w:rPr>
          <w:rFonts w:ascii="Arial"/>
          <w:i/>
          <w:sz w:val="12"/>
        </w:rPr>
      </w:pPr>
      <w:r>
        <w:br w:type="column"/>
      </w:r>
    </w:p>
    <w:p w:rsidR="009B33A9" w:rsidRDefault="009B33A9">
      <w:pPr>
        <w:pStyle w:val="BodyText"/>
        <w:rPr>
          <w:rFonts w:ascii="Arial"/>
          <w:i/>
          <w:sz w:val="12"/>
        </w:rPr>
      </w:pPr>
    </w:p>
    <w:p w:rsidR="009B33A9" w:rsidRDefault="009B33A9">
      <w:pPr>
        <w:pStyle w:val="BodyText"/>
        <w:spacing w:before="2"/>
        <w:rPr>
          <w:rFonts w:ascii="Arial"/>
          <w:i/>
          <w:sz w:val="13"/>
        </w:rPr>
      </w:pPr>
    </w:p>
    <w:p w:rsidR="009B33A9" w:rsidRDefault="005D514A">
      <w:pPr>
        <w:ind w:left="597"/>
        <w:rPr>
          <w:rFonts w:ascii="Arial"/>
          <w:sz w:val="12"/>
        </w:rPr>
      </w:pPr>
      <w:r>
        <w:rPr>
          <w:rFonts w:ascii="Arial"/>
          <w:color w:val="FFFFFF"/>
          <w:sz w:val="12"/>
        </w:rPr>
        <w:t>Damon Silvers</w:t>
      </w:r>
    </w:p>
    <w:p w:rsidR="009B33A9" w:rsidRDefault="005D514A">
      <w:pPr>
        <w:ind w:left="597" w:right="511"/>
        <w:rPr>
          <w:rFonts w:ascii="Arial"/>
          <w:i/>
          <w:sz w:val="12"/>
        </w:rPr>
      </w:pPr>
      <w:r>
        <w:rPr>
          <w:rFonts w:ascii="Arial"/>
          <w:i/>
          <w:color w:val="FFFFFF"/>
          <w:sz w:val="12"/>
        </w:rPr>
        <w:t>Director of Policy and Special Counsel,</w:t>
      </w:r>
    </w:p>
    <w:p w:rsidR="009B33A9" w:rsidRDefault="005D514A">
      <w:pPr>
        <w:ind w:left="597"/>
        <w:rPr>
          <w:rFonts w:ascii="Arial"/>
          <w:i/>
          <w:sz w:val="12"/>
        </w:rPr>
      </w:pPr>
      <w:r>
        <w:rPr>
          <w:rFonts w:ascii="Arial"/>
          <w:i/>
          <w:color w:val="FFFFFF"/>
          <w:sz w:val="12"/>
        </w:rPr>
        <w:t>AFL-CIO</w:t>
      </w:r>
    </w:p>
    <w:p w:rsidR="009B33A9" w:rsidRDefault="009B33A9">
      <w:pPr>
        <w:pStyle w:val="BodyText"/>
        <w:spacing w:before="11"/>
        <w:rPr>
          <w:rFonts w:ascii="Arial"/>
          <w:i/>
          <w:sz w:val="11"/>
        </w:rPr>
      </w:pPr>
    </w:p>
    <w:p w:rsidR="009B33A9" w:rsidRDefault="005D514A">
      <w:pPr>
        <w:spacing w:line="137" w:lineRule="exact"/>
        <w:ind w:left="597"/>
        <w:rPr>
          <w:rFonts w:ascii="Arial"/>
          <w:sz w:val="12"/>
        </w:rPr>
      </w:pPr>
      <w:r>
        <w:rPr>
          <w:rFonts w:ascii="Arial"/>
          <w:color w:val="FFFFFF"/>
          <w:sz w:val="12"/>
        </w:rPr>
        <w:t>Christine Simmon</w:t>
      </w:r>
    </w:p>
    <w:p w:rsidR="009B33A9" w:rsidRDefault="005D514A">
      <w:pPr>
        <w:ind w:left="597" w:right="944"/>
        <w:rPr>
          <w:rFonts w:ascii="Arial"/>
          <w:i/>
          <w:sz w:val="12"/>
        </w:rPr>
      </w:pPr>
      <w:r>
        <w:rPr>
          <w:rFonts w:ascii="Arial"/>
          <w:i/>
          <w:color w:val="FFFFFF"/>
          <w:sz w:val="12"/>
        </w:rPr>
        <w:t>Senior Vice President of Policy &amp; Strategic Alliances, Association for Accessible Medicines</w:t>
      </w:r>
    </w:p>
    <w:p w:rsidR="009B33A9" w:rsidRDefault="009B33A9">
      <w:pPr>
        <w:pStyle w:val="BodyText"/>
        <w:rPr>
          <w:rFonts w:ascii="Arial"/>
          <w:i/>
          <w:sz w:val="12"/>
        </w:rPr>
      </w:pPr>
    </w:p>
    <w:p w:rsidR="009B33A9" w:rsidRDefault="005D514A">
      <w:pPr>
        <w:spacing w:line="137" w:lineRule="exact"/>
        <w:ind w:left="597"/>
        <w:rPr>
          <w:rFonts w:ascii="Arial"/>
          <w:sz w:val="12"/>
        </w:rPr>
      </w:pPr>
      <w:r>
        <w:rPr>
          <w:rFonts w:ascii="Arial"/>
          <w:color w:val="FFFFFF"/>
          <w:sz w:val="12"/>
        </w:rPr>
        <w:t>Susan Turney</w:t>
      </w:r>
    </w:p>
    <w:p w:rsidR="009B33A9" w:rsidRDefault="005D514A">
      <w:pPr>
        <w:spacing w:line="137" w:lineRule="exact"/>
        <w:ind w:left="597"/>
        <w:rPr>
          <w:rFonts w:ascii="Arial"/>
          <w:i/>
          <w:sz w:val="12"/>
        </w:rPr>
      </w:pPr>
      <w:r>
        <w:rPr>
          <w:rFonts w:ascii="Arial"/>
          <w:i/>
          <w:color w:val="FFFFFF"/>
          <w:sz w:val="12"/>
        </w:rPr>
        <w:t>CEO,</w:t>
      </w:r>
    </w:p>
    <w:p w:rsidR="009B33A9" w:rsidRDefault="005D514A">
      <w:pPr>
        <w:spacing w:before="6"/>
        <w:ind w:left="597"/>
        <w:rPr>
          <w:rFonts w:ascii="Arial"/>
          <w:i/>
          <w:sz w:val="12"/>
        </w:rPr>
      </w:pPr>
      <w:r>
        <w:rPr>
          <w:rFonts w:ascii="Arial"/>
          <w:i/>
          <w:color w:val="FFFFFF"/>
          <w:sz w:val="12"/>
        </w:rPr>
        <w:t>Marshfield Clinic Health System</w:t>
      </w:r>
    </w:p>
    <w:p w:rsidR="009B33A9" w:rsidRDefault="009B33A9">
      <w:pPr>
        <w:rPr>
          <w:rFonts w:ascii="Arial"/>
          <w:sz w:val="12"/>
        </w:rPr>
        <w:sectPr w:rsidR="009B33A9">
          <w:type w:val="continuous"/>
          <w:pgSz w:w="12240" w:h="15840"/>
          <w:pgMar w:top="620" w:right="0" w:bottom="0" w:left="0" w:header="720" w:footer="720" w:gutter="0"/>
          <w:cols w:num="5" w:space="720" w:equalWidth="0">
            <w:col w:w="1808" w:space="146"/>
            <w:col w:w="2243" w:space="179"/>
            <w:col w:w="2158" w:space="40"/>
            <w:col w:w="2421" w:space="116"/>
            <w:col w:w="3129"/>
          </w:cols>
        </w:sectPr>
      </w:pPr>
    </w:p>
    <w:p w:rsidR="009B33A9" w:rsidRDefault="005D514A">
      <w:pPr>
        <w:pStyle w:val="BodyText"/>
        <w:spacing w:before="71"/>
        <w:ind w:left="400"/>
      </w:pPr>
      <w:r>
        <w:lastRenderedPageBreak/>
        <w:t>Our specific comments on the proposed rule are detailed below.</w:t>
      </w:r>
    </w:p>
    <w:p w:rsidR="009B33A9" w:rsidRDefault="009B33A9">
      <w:pPr>
        <w:pStyle w:val="BodyText"/>
        <w:spacing w:before="10"/>
        <w:rPr>
          <w:sz w:val="23"/>
        </w:rPr>
      </w:pPr>
    </w:p>
    <w:p w:rsidR="009B33A9" w:rsidRDefault="005D514A">
      <w:pPr>
        <w:pStyle w:val="Heading1"/>
        <w:spacing w:before="1"/>
      </w:pPr>
      <w:r>
        <w:t>Implementation of the Comprehensive Addiction and Recovery Act of 2016 (CARA)</w:t>
      </w:r>
    </w:p>
    <w:p w:rsidR="009B33A9" w:rsidRDefault="009B33A9">
      <w:pPr>
        <w:pStyle w:val="BodyText"/>
        <w:spacing w:before="10"/>
        <w:rPr>
          <w:b/>
          <w:sz w:val="23"/>
        </w:rPr>
      </w:pPr>
    </w:p>
    <w:p w:rsidR="009B33A9" w:rsidRDefault="005D514A">
      <w:pPr>
        <w:pStyle w:val="BodyText"/>
        <w:ind w:left="400" w:right="722"/>
      </w:pPr>
      <w:r>
        <w:t>NCHC supports the provision of the Comprehensive Addiction and Recovery Ac</w:t>
      </w:r>
      <w:r>
        <w:t>t of 2016 that would limit opioid prescriptions to specific prescribers and pharmacies for at-risk beneficiaries. We are encouraged that CMS is promulgating regulations to implement these important provisions of law.</w:t>
      </w:r>
    </w:p>
    <w:p w:rsidR="009B33A9" w:rsidRDefault="009B33A9">
      <w:pPr>
        <w:pStyle w:val="BodyText"/>
      </w:pPr>
    </w:p>
    <w:p w:rsidR="009B33A9" w:rsidRDefault="005D514A">
      <w:pPr>
        <w:pStyle w:val="Heading1"/>
      </w:pPr>
      <w:r>
        <w:t>Flexibility in Medicare Advantage Unif</w:t>
      </w:r>
      <w:r>
        <w:t>ormity Requirements (§422.100(d))</w:t>
      </w:r>
    </w:p>
    <w:p w:rsidR="009B33A9" w:rsidRDefault="009B33A9">
      <w:pPr>
        <w:pStyle w:val="BodyText"/>
        <w:spacing w:before="10"/>
        <w:rPr>
          <w:b/>
          <w:sz w:val="23"/>
        </w:rPr>
      </w:pPr>
    </w:p>
    <w:p w:rsidR="009B33A9" w:rsidRDefault="005D514A">
      <w:pPr>
        <w:pStyle w:val="BodyText"/>
        <w:ind w:left="400" w:right="541"/>
      </w:pPr>
      <w:r>
        <w:rPr>
          <w:u w:val="single"/>
        </w:rPr>
        <w:t>Proposal</w:t>
      </w:r>
      <w:r>
        <w:t>: CMS has now determined that statute permits MA organizations to reduce cost sharing for certain covered benefits; offer tailored, health-related supplemental benefits; and offer lower deductibles for enrollees t</w:t>
      </w:r>
      <w:r>
        <w:t>hat meet specific medical criteria, provided that similarly situated enrollees (that is, all enrollees who meet the identified criteria) are treated the same. Reviews of plan designs could still serve to prevent cost-sharing from discriminating against hig</w:t>
      </w:r>
      <w:r>
        <w:t>h-cost beneficiaries. Also, CMS notes that the new flexibility would still prohibit an MA plan from denying, limiting, or conditioning the coverage or provision of a service or benefit based on health status-related factors.</w:t>
      </w:r>
    </w:p>
    <w:p w:rsidR="009B33A9" w:rsidRDefault="009B33A9">
      <w:pPr>
        <w:pStyle w:val="BodyText"/>
        <w:spacing w:before="10"/>
        <w:rPr>
          <w:sz w:val="23"/>
        </w:rPr>
      </w:pPr>
    </w:p>
    <w:p w:rsidR="009B33A9" w:rsidRDefault="005D514A">
      <w:pPr>
        <w:pStyle w:val="BodyText"/>
        <w:ind w:left="400" w:right="460"/>
      </w:pPr>
      <w:r>
        <w:rPr>
          <w:u w:val="single"/>
        </w:rPr>
        <w:t>Discussion</w:t>
      </w:r>
      <w:r>
        <w:t>: NCHC supports allowing plans to reduce cost-sharing for certain benefits, tailor supplemental benefits, and vary deductibles for patients with specific medical criteria. Experience with such value-based insurance design (VBID) in employer plans shows tha</w:t>
      </w:r>
      <w:r>
        <w:t>t it can increase use of high-value treatments and providers in ways that lower overall costs and disease burden over time.</w:t>
      </w:r>
    </w:p>
    <w:p w:rsidR="009B33A9" w:rsidRDefault="009B33A9">
      <w:pPr>
        <w:pStyle w:val="BodyText"/>
        <w:spacing w:before="1"/>
      </w:pPr>
    </w:p>
    <w:p w:rsidR="009B33A9" w:rsidRDefault="005D514A">
      <w:pPr>
        <w:pStyle w:val="BodyText"/>
        <w:ind w:left="400" w:right="466"/>
      </w:pPr>
      <w:r>
        <w:t>Reduced cost-sharing for highly effective preventive services and chronic care therapies addresses financial barriers that can prev</w:t>
      </w:r>
      <w:r>
        <w:t>ent people from getting needed care and improves adherence to high-value treatments. This in turn can prevent costly complications and yield net savings.</w:t>
      </w:r>
    </w:p>
    <w:p w:rsidR="009B33A9" w:rsidRDefault="009B33A9">
      <w:pPr>
        <w:pStyle w:val="BodyText"/>
        <w:spacing w:before="1"/>
      </w:pPr>
    </w:p>
    <w:p w:rsidR="009B33A9" w:rsidRDefault="005D514A">
      <w:pPr>
        <w:pStyle w:val="BodyText"/>
        <w:spacing w:line="280" w:lineRule="exact"/>
        <w:ind w:left="400"/>
      </w:pPr>
      <w:r>
        <w:t>There is already substantial evidence on the powerful benefits of VBID:</w:t>
      </w:r>
    </w:p>
    <w:p w:rsidR="009B33A9" w:rsidRDefault="005D514A">
      <w:pPr>
        <w:pStyle w:val="ListParagraph"/>
        <w:numPr>
          <w:ilvl w:val="0"/>
          <w:numId w:val="3"/>
        </w:numPr>
        <w:tabs>
          <w:tab w:val="left" w:pos="1480"/>
          <w:tab w:val="left" w:pos="1481"/>
        </w:tabs>
        <w:ind w:right="817"/>
        <w:rPr>
          <w:sz w:val="24"/>
        </w:rPr>
      </w:pPr>
      <w:r>
        <w:rPr>
          <w:sz w:val="24"/>
        </w:rPr>
        <w:t>Private employers like Pitney</w:t>
      </w:r>
      <w:r>
        <w:rPr>
          <w:sz w:val="24"/>
        </w:rPr>
        <w:t xml:space="preserve"> Bowes have found significant savings through reduced cost-sharing for essential diabetes</w:t>
      </w:r>
      <w:r>
        <w:rPr>
          <w:spacing w:val="-19"/>
          <w:sz w:val="24"/>
        </w:rPr>
        <w:t xml:space="preserve"> </w:t>
      </w:r>
      <w:r>
        <w:rPr>
          <w:sz w:val="24"/>
        </w:rPr>
        <w:t>treatments.</w:t>
      </w:r>
    </w:p>
    <w:p w:rsidR="009B33A9" w:rsidRDefault="005D514A">
      <w:pPr>
        <w:pStyle w:val="ListParagraph"/>
        <w:numPr>
          <w:ilvl w:val="0"/>
          <w:numId w:val="3"/>
        </w:numPr>
        <w:tabs>
          <w:tab w:val="left" w:pos="1480"/>
          <w:tab w:val="left" w:pos="1481"/>
        </w:tabs>
        <w:ind w:right="640"/>
        <w:rPr>
          <w:sz w:val="24"/>
        </w:rPr>
      </w:pPr>
      <w:r>
        <w:rPr>
          <w:sz w:val="24"/>
        </w:rPr>
        <w:t>Oregon’s Public Employees’ Benefit Board and the Oregon Educators Benefit Board’s extensive VBID program improved HEDIS scores, increased use of preventiv</w:t>
      </w:r>
      <w:r>
        <w:rPr>
          <w:sz w:val="24"/>
        </w:rPr>
        <w:t>e</w:t>
      </w:r>
      <w:r>
        <w:rPr>
          <w:spacing w:val="-27"/>
          <w:sz w:val="24"/>
        </w:rPr>
        <w:t xml:space="preserve"> </w:t>
      </w:r>
      <w:r>
        <w:rPr>
          <w:sz w:val="24"/>
        </w:rPr>
        <w:t>services, and provided substantial</w:t>
      </w:r>
      <w:r>
        <w:rPr>
          <w:spacing w:val="-14"/>
          <w:sz w:val="24"/>
        </w:rPr>
        <w:t xml:space="preserve"> </w:t>
      </w:r>
      <w:r>
        <w:rPr>
          <w:sz w:val="24"/>
        </w:rPr>
        <w:t>savings.</w:t>
      </w:r>
    </w:p>
    <w:p w:rsidR="009B33A9" w:rsidRDefault="005D514A">
      <w:pPr>
        <w:pStyle w:val="ListParagraph"/>
        <w:numPr>
          <w:ilvl w:val="0"/>
          <w:numId w:val="3"/>
        </w:numPr>
        <w:tabs>
          <w:tab w:val="left" w:pos="1480"/>
          <w:tab w:val="left" w:pos="1481"/>
        </w:tabs>
        <w:ind w:right="1086"/>
        <w:rPr>
          <w:sz w:val="24"/>
        </w:rPr>
      </w:pPr>
      <w:r>
        <w:rPr>
          <w:sz w:val="24"/>
        </w:rPr>
        <w:t>The U.S. Department of</w:t>
      </w:r>
      <w:r>
        <w:rPr>
          <w:spacing w:val="-37"/>
          <w:sz w:val="24"/>
        </w:rPr>
        <w:t xml:space="preserve"> </w:t>
      </w:r>
      <w:r>
        <w:rPr>
          <w:sz w:val="24"/>
        </w:rPr>
        <w:t>Health &amp; Human Services prominently features VBID in its National Quality</w:t>
      </w:r>
      <w:r>
        <w:rPr>
          <w:spacing w:val="-12"/>
          <w:sz w:val="24"/>
        </w:rPr>
        <w:t xml:space="preserve"> </w:t>
      </w:r>
      <w:r>
        <w:rPr>
          <w:sz w:val="24"/>
        </w:rPr>
        <w:t>Strategy.</w:t>
      </w:r>
    </w:p>
    <w:p w:rsidR="009B33A9" w:rsidRDefault="005D514A">
      <w:pPr>
        <w:pStyle w:val="ListParagraph"/>
        <w:numPr>
          <w:ilvl w:val="0"/>
          <w:numId w:val="3"/>
        </w:numPr>
        <w:tabs>
          <w:tab w:val="left" w:pos="1480"/>
          <w:tab w:val="left" w:pos="1481"/>
        </w:tabs>
        <w:rPr>
          <w:sz w:val="24"/>
        </w:rPr>
      </w:pPr>
      <w:r>
        <w:rPr>
          <w:sz w:val="24"/>
        </w:rPr>
        <w:t>The University of Michigan Center for Value-Based Insurance Design tracks case studies and more at</w:t>
      </w:r>
      <w:r>
        <w:rPr>
          <w:spacing w:val="-18"/>
          <w:sz w:val="24"/>
        </w:rPr>
        <w:t xml:space="preserve"> </w:t>
      </w:r>
      <w:hyperlink r:id="rId14">
        <w:r>
          <w:rPr>
            <w:color w:val="0000FF"/>
            <w:sz w:val="24"/>
            <w:u w:val="single" w:color="0000FF"/>
          </w:rPr>
          <w:t>http://www.sph.umich.edu/vbidcenter</w:t>
        </w:r>
        <w:r>
          <w:rPr>
            <w:sz w:val="24"/>
          </w:rPr>
          <w:t>.</w:t>
        </w:r>
      </w:hyperlink>
    </w:p>
    <w:p w:rsidR="009B33A9" w:rsidRDefault="009B33A9">
      <w:pPr>
        <w:rPr>
          <w:sz w:val="24"/>
        </w:rPr>
        <w:sectPr w:rsidR="009B33A9">
          <w:footerReference w:type="default" r:id="rId15"/>
          <w:pgSz w:w="12240" w:h="15840"/>
          <w:pgMar w:top="1280" w:right="620" w:bottom="1840" w:left="680" w:header="0" w:footer="1641" w:gutter="0"/>
          <w:pgNumType w:start="2"/>
          <w:cols w:space="720"/>
        </w:sectPr>
      </w:pPr>
    </w:p>
    <w:p w:rsidR="009B33A9" w:rsidRDefault="005D514A">
      <w:pPr>
        <w:pStyle w:val="BodyText"/>
        <w:spacing w:before="71"/>
        <w:ind w:left="400" w:right="583"/>
      </w:pPr>
      <w:r>
        <w:lastRenderedPageBreak/>
        <w:t>This evidence provides more than a sufficient basis to incorporate VBID throughout the Medicare Advantage program even as the Medicare Advantage-specific VBID demonstration program progresses.</w:t>
      </w:r>
    </w:p>
    <w:p w:rsidR="009B33A9" w:rsidRDefault="009B33A9">
      <w:pPr>
        <w:pStyle w:val="BodyText"/>
        <w:spacing w:before="5"/>
        <w:rPr>
          <w:sz w:val="23"/>
        </w:rPr>
      </w:pPr>
    </w:p>
    <w:p w:rsidR="009B33A9" w:rsidRDefault="005D514A">
      <w:pPr>
        <w:pStyle w:val="BodyText"/>
        <w:ind w:left="400" w:right="864"/>
      </w:pPr>
      <w:r>
        <w:t xml:space="preserve">However, the proposed rule either lacks </w:t>
      </w:r>
      <w:r>
        <w:t>clarity or may not explicitly permit several important flexibilities, such as using relevant non-medical criteria (i.e. functional status, homelessness, income, living alone) to target tailored benefits, the ability to completely eliminate rather than redu</w:t>
      </w:r>
      <w:r>
        <w:t>ce cost-sharing, and the ability to reduce cost-sharing for a subset of high-quality network providers.</w:t>
      </w:r>
    </w:p>
    <w:p w:rsidR="009B33A9" w:rsidRDefault="009B33A9">
      <w:pPr>
        <w:pStyle w:val="BodyText"/>
      </w:pPr>
    </w:p>
    <w:p w:rsidR="009B33A9" w:rsidRDefault="005D514A">
      <w:pPr>
        <w:pStyle w:val="BodyText"/>
        <w:ind w:left="400" w:right="852"/>
      </w:pPr>
      <w:r>
        <w:rPr>
          <w:u w:val="single"/>
        </w:rPr>
        <w:t>Recommendation</w:t>
      </w:r>
      <w:r>
        <w:t>: We support the proposal and encourage CMS to finalize it. At the same time, CMS should provide additional clarification either in the f</w:t>
      </w:r>
      <w:r>
        <w:t>inal rule or in subsequent guidance. Specifically, NCHC encourages the agency to permit plan sponsors to</w:t>
      </w:r>
    </w:p>
    <w:p w:rsidR="009B33A9" w:rsidRDefault="009B33A9">
      <w:pPr>
        <w:pStyle w:val="BodyText"/>
        <w:spacing w:before="11"/>
        <w:rPr>
          <w:sz w:val="23"/>
        </w:rPr>
      </w:pPr>
    </w:p>
    <w:p w:rsidR="009B33A9" w:rsidRDefault="005D514A">
      <w:pPr>
        <w:pStyle w:val="ListParagraph"/>
        <w:numPr>
          <w:ilvl w:val="0"/>
          <w:numId w:val="2"/>
        </w:numPr>
        <w:tabs>
          <w:tab w:val="left" w:pos="1120"/>
          <w:tab w:val="left" w:pos="1121"/>
        </w:tabs>
        <w:ind w:right="1127"/>
        <w:rPr>
          <w:sz w:val="24"/>
        </w:rPr>
      </w:pPr>
      <w:r>
        <w:rPr>
          <w:sz w:val="24"/>
        </w:rPr>
        <w:t>Use non-medical factors as a criterion for a tailored benefits, such as living alone, low income status, or difficulties with ADLs or</w:t>
      </w:r>
      <w:r>
        <w:rPr>
          <w:spacing w:val="-13"/>
          <w:sz w:val="24"/>
        </w:rPr>
        <w:t xml:space="preserve"> </w:t>
      </w:r>
      <w:r>
        <w:rPr>
          <w:sz w:val="24"/>
        </w:rPr>
        <w:t>IADLs;</w:t>
      </w:r>
    </w:p>
    <w:p w:rsidR="009B33A9" w:rsidRDefault="009B33A9">
      <w:pPr>
        <w:pStyle w:val="BodyText"/>
        <w:spacing w:before="11"/>
        <w:rPr>
          <w:sz w:val="23"/>
        </w:rPr>
      </w:pPr>
    </w:p>
    <w:p w:rsidR="009B33A9" w:rsidRDefault="005D514A">
      <w:pPr>
        <w:pStyle w:val="ListParagraph"/>
        <w:numPr>
          <w:ilvl w:val="0"/>
          <w:numId w:val="2"/>
        </w:numPr>
        <w:tabs>
          <w:tab w:val="left" w:pos="1120"/>
          <w:tab w:val="left" w:pos="1121"/>
        </w:tabs>
        <w:ind w:right="1034"/>
        <w:rPr>
          <w:sz w:val="24"/>
        </w:rPr>
      </w:pPr>
      <w:r>
        <w:rPr>
          <w:sz w:val="24"/>
        </w:rPr>
        <w:t>Allow pl</w:t>
      </w:r>
      <w:r>
        <w:rPr>
          <w:sz w:val="24"/>
        </w:rPr>
        <w:t>ans to eliminate the plan level deductible and cost-sharing (make $0), not just reduce them to a non-zero level;</w:t>
      </w:r>
      <w:r>
        <w:rPr>
          <w:spacing w:val="-13"/>
          <w:sz w:val="24"/>
        </w:rPr>
        <w:t xml:space="preserve"> </w:t>
      </w:r>
      <w:r>
        <w:rPr>
          <w:sz w:val="24"/>
        </w:rPr>
        <w:t>and</w:t>
      </w:r>
    </w:p>
    <w:p w:rsidR="009B33A9" w:rsidRDefault="009B33A9">
      <w:pPr>
        <w:pStyle w:val="BodyText"/>
        <w:spacing w:before="9"/>
        <w:rPr>
          <w:sz w:val="23"/>
        </w:rPr>
      </w:pPr>
    </w:p>
    <w:p w:rsidR="009B33A9" w:rsidRDefault="005D514A">
      <w:pPr>
        <w:pStyle w:val="ListParagraph"/>
        <w:numPr>
          <w:ilvl w:val="0"/>
          <w:numId w:val="2"/>
        </w:numPr>
        <w:tabs>
          <w:tab w:val="left" w:pos="1120"/>
          <w:tab w:val="left" w:pos="1121"/>
        </w:tabs>
        <w:ind w:right="899"/>
        <w:rPr>
          <w:sz w:val="24"/>
        </w:rPr>
      </w:pPr>
      <w:r>
        <w:rPr>
          <w:sz w:val="24"/>
        </w:rPr>
        <w:t>Reduce cost-sharing only for a subset of high-quality network providers, as long as all members with the specified medical conditions receive the same lower cost-sharing</w:t>
      </w:r>
      <w:r>
        <w:rPr>
          <w:spacing w:val="-19"/>
          <w:sz w:val="24"/>
        </w:rPr>
        <w:t xml:space="preserve"> </w:t>
      </w:r>
      <w:r>
        <w:rPr>
          <w:sz w:val="24"/>
        </w:rPr>
        <w:t>for using these</w:t>
      </w:r>
      <w:r>
        <w:rPr>
          <w:spacing w:val="-12"/>
          <w:sz w:val="24"/>
        </w:rPr>
        <w:t xml:space="preserve"> </w:t>
      </w:r>
      <w:r>
        <w:rPr>
          <w:sz w:val="24"/>
        </w:rPr>
        <w:t>providers.</w:t>
      </w:r>
    </w:p>
    <w:p w:rsidR="009B33A9" w:rsidRDefault="009B33A9">
      <w:pPr>
        <w:pStyle w:val="BodyText"/>
        <w:spacing w:before="10"/>
        <w:rPr>
          <w:sz w:val="23"/>
        </w:rPr>
      </w:pPr>
    </w:p>
    <w:p w:rsidR="009B33A9" w:rsidRDefault="005D514A">
      <w:pPr>
        <w:pStyle w:val="BodyText"/>
        <w:ind w:left="400" w:right="541"/>
      </w:pPr>
      <w:r>
        <w:t xml:space="preserve">Finally, even as CMS implements VBID approaches in MA, we </w:t>
      </w:r>
      <w:r>
        <w:t>note that Advanced APM models bear accountability for clinical outcomes and beneficiary costs – albeit in a different manner than MA plans. NCHC encourages you to explore the ways in which ACOs and provider organizations participating in the Medicare Share</w:t>
      </w:r>
      <w:r>
        <w:t>d Savings Program and CMMI demonstrations might apply the principles of VBID and flexible benefits reflected in this proposed rule.</w:t>
      </w:r>
    </w:p>
    <w:p w:rsidR="009B33A9" w:rsidRDefault="009B33A9">
      <w:pPr>
        <w:pStyle w:val="BodyText"/>
        <w:spacing w:before="1"/>
      </w:pPr>
    </w:p>
    <w:p w:rsidR="009B33A9" w:rsidRDefault="005D514A">
      <w:pPr>
        <w:pStyle w:val="Heading1"/>
      </w:pPr>
      <w:r>
        <w:t>Meaningful Differences in MA Bid Submission and Bid Review (§§422.254 and 422.256)</w:t>
      </w:r>
    </w:p>
    <w:p w:rsidR="009B33A9" w:rsidRDefault="009B33A9">
      <w:pPr>
        <w:pStyle w:val="BodyText"/>
        <w:spacing w:before="10"/>
        <w:rPr>
          <w:b/>
          <w:sz w:val="23"/>
        </w:rPr>
      </w:pPr>
    </w:p>
    <w:p w:rsidR="009B33A9" w:rsidRDefault="005D514A">
      <w:pPr>
        <w:pStyle w:val="BodyText"/>
        <w:ind w:left="400" w:right="534"/>
      </w:pPr>
      <w:r>
        <w:rPr>
          <w:u w:val="single"/>
        </w:rPr>
        <w:t>Proposal</w:t>
      </w:r>
      <w:r>
        <w:t>: CMS proposes to eliminate the</w:t>
      </w:r>
      <w:r>
        <w:t xml:space="preserve"> meaningful difference requirement for MA organizations (§§422.254(a)(4) and 422.256(b)(4) beginning in CY 2019.</w:t>
      </w:r>
    </w:p>
    <w:p w:rsidR="009B33A9" w:rsidRDefault="009B33A9">
      <w:pPr>
        <w:pStyle w:val="BodyText"/>
        <w:spacing w:before="10"/>
        <w:rPr>
          <w:sz w:val="23"/>
        </w:rPr>
      </w:pPr>
    </w:p>
    <w:p w:rsidR="009B33A9" w:rsidRDefault="005D514A">
      <w:pPr>
        <w:pStyle w:val="BodyText"/>
        <w:ind w:left="400" w:right="403"/>
        <w:rPr>
          <w:sz w:val="16"/>
        </w:rPr>
      </w:pPr>
      <w:r>
        <w:rPr>
          <w:u w:val="single"/>
        </w:rPr>
        <w:t>Discussion</w:t>
      </w:r>
      <w:r>
        <w:t>: NCHC’s member organizations have a broad range of positions with respect to meaningful difference requirements. However, NCHC does note that this proposal to add flexibility for plans could add complexity for beneficiaries. Currently, on average, benefic</w:t>
      </w:r>
      <w:r>
        <w:t>iaries have a choice of 21 MA plans. In 206 counties, beneficiaries chose among more than 30 plans for the 2018 plan year.</w:t>
      </w:r>
      <w:r>
        <w:rPr>
          <w:position w:val="6"/>
          <w:sz w:val="16"/>
        </w:rPr>
        <w:t>1</w:t>
      </w:r>
    </w:p>
    <w:p w:rsidR="009B33A9" w:rsidRDefault="005D514A">
      <w:pPr>
        <w:pStyle w:val="BodyText"/>
        <w:spacing w:before="3"/>
        <w:rPr>
          <w:sz w:val="17"/>
        </w:rPr>
      </w:pPr>
      <w:r>
        <w:pict>
          <v:line id="_x0000_s1026" style="position:absolute;z-index:1048;mso-wrap-distance-left:0;mso-wrap-distance-right:0;mso-position-horizontal-relative:page" from="54pt,12.4pt" to="198pt,12.4pt" strokeweight=".21169mm">
            <w10:wrap type="topAndBottom" anchorx="page"/>
          </v:line>
        </w:pict>
      </w:r>
    </w:p>
    <w:p w:rsidR="009B33A9" w:rsidRDefault="005D514A">
      <w:pPr>
        <w:spacing w:before="55"/>
        <w:ind w:left="400" w:right="2469"/>
        <w:rPr>
          <w:rFonts w:ascii="Times New Roman"/>
          <w:sz w:val="18"/>
        </w:rPr>
      </w:pPr>
      <w:r>
        <w:rPr>
          <w:rFonts w:ascii="Times New Roman"/>
          <w:position w:val="6"/>
          <w:sz w:val="12"/>
        </w:rPr>
        <w:t xml:space="preserve">1 </w:t>
      </w:r>
      <w:r>
        <w:rPr>
          <w:rFonts w:ascii="Times New Roman"/>
          <w:sz w:val="18"/>
        </w:rPr>
        <w:t xml:space="preserve">Jacobson, G, Damico, A., and Neuman, T. Medicare Advantage 2018 Data Spotlight: First Look. Available at: </w:t>
      </w:r>
      <w:hyperlink r:id="rId16">
        <w:r>
          <w:rPr>
            <w:rFonts w:ascii="Times New Roman"/>
            <w:color w:val="0000FF"/>
            <w:sz w:val="18"/>
            <w:u w:val="single" w:color="0000FF"/>
          </w:rPr>
          <w:t>https://www.kff.org/medicare/issue-brief/medicare-advantage-2018-data-spotlight-first-look/</w:t>
        </w:r>
      </w:hyperlink>
    </w:p>
    <w:p w:rsidR="009B33A9" w:rsidRDefault="009B33A9">
      <w:pPr>
        <w:rPr>
          <w:rFonts w:ascii="Times New Roman"/>
          <w:sz w:val="18"/>
        </w:rPr>
        <w:sectPr w:rsidR="009B33A9">
          <w:pgSz w:w="12240" w:h="15840"/>
          <w:pgMar w:top="1280" w:right="620" w:bottom="1840" w:left="680" w:header="0" w:footer="1641" w:gutter="0"/>
          <w:cols w:space="720"/>
        </w:sectPr>
      </w:pPr>
    </w:p>
    <w:p w:rsidR="009B33A9" w:rsidRDefault="005D514A">
      <w:pPr>
        <w:pStyle w:val="BodyText"/>
        <w:spacing w:before="132"/>
        <w:ind w:left="400" w:right="555"/>
      </w:pPr>
      <w:r>
        <w:lastRenderedPageBreak/>
        <w:t>In proposing these changes, CMS has expressed confidence that</w:t>
      </w:r>
      <w:r>
        <w:t xml:space="preserve"> improvements in the Plan Finder, the only tool for plan comparison, will help beneficiaries to navigate the new complexities. We appreciate that CMS is developing Plan Finder enhancements. Beneficiary choice is meaningless if beneficiaries do not have the</w:t>
      </w:r>
      <w:r>
        <w:t xml:space="preserve"> tools to reasonably exercise that choice.</w:t>
      </w:r>
    </w:p>
    <w:p w:rsidR="009B33A9" w:rsidRDefault="009B33A9">
      <w:pPr>
        <w:pStyle w:val="BodyText"/>
      </w:pPr>
    </w:p>
    <w:p w:rsidR="009B33A9" w:rsidRDefault="005D514A">
      <w:pPr>
        <w:pStyle w:val="BodyText"/>
        <w:spacing w:before="1"/>
        <w:ind w:left="400" w:right="722"/>
      </w:pPr>
      <w:r>
        <w:rPr>
          <w:u w:val="single"/>
        </w:rPr>
        <w:t>Recommendation</w:t>
      </w:r>
      <w:r>
        <w:t>: In the event that CMS proceeds to implement this proposal, such implementation must be matched with an aggressive effort to ensure that beneficiaries have adequate tools to evaluate and compare th</w:t>
      </w:r>
      <w:r>
        <w:t>eir choices. The Annual Notice of Change (ANOC), where practicable, should be used to inform beneficiaries about providers’ exits from a plan network, the plan formulary changes, and where utilization management tools will be newly applied. The Plan Finder</w:t>
      </w:r>
      <w:r>
        <w:t xml:space="preserve"> should include information about provider networks, office visit and service copays, and coinsurances.</w:t>
      </w:r>
    </w:p>
    <w:p w:rsidR="009B33A9" w:rsidRDefault="009B33A9">
      <w:pPr>
        <w:pStyle w:val="BodyText"/>
        <w:rPr>
          <w:sz w:val="28"/>
        </w:rPr>
      </w:pPr>
    </w:p>
    <w:p w:rsidR="009B33A9" w:rsidRDefault="005D514A">
      <w:pPr>
        <w:pStyle w:val="Heading1"/>
        <w:spacing w:before="236"/>
      </w:pPr>
      <w:r>
        <w:t>Medical Loss Ratio</w:t>
      </w:r>
    </w:p>
    <w:p w:rsidR="009B33A9" w:rsidRDefault="009B33A9">
      <w:pPr>
        <w:pStyle w:val="BodyText"/>
        <w:spacing w:before="1"/>
        <w:rPr>
          <w:b/>
        </w:rPr>
      </w:pPr>
    </w:p>
    <w:p w:rsidR="009B33A9" w:rsidRDefault="005D514A">
      <w:pPr>
        <w:pStyle w:val="BodyText"/>
        <w:ind w:left="400" w:right="1172"/>
      </w:pPr>
      <w:r>
        <w:rPr>
          <w:u w:val="single"/>
        </w:rPr>
        <w:t>Proposal</w:t>
      </w:r>
      <w:r>
        <w:t>: CMS proposes to allow anti-fraud activities and Medication Therapy Management (MTM) under the MLR standard for Medicare Part C/D plans.</w:t>
      </w:r>
    </w:p>
    <w:p w:rsidR="009B33A9" w:rsidRDefault="009B33A9">
      <w:pPr>
        <w:pStyle w:val="BodyText"/>
        <w:spacing w:before="10"/>
        <w:rPr>
          <w:sz w:val="23"/>
        </w:rPr>
      </w:pPr>
    </w:p>
    <w:p w:rsidR="009B33A9" w:rsidRDefault="005D514A">
      <w:pPr>
        <w:pStyle w:val="BodyText"/>
        <w:ind w:left="400" w:right="564"/>
      </w:pPr>
      <w:r>
        <w:rPr>
          <w:u w:val="single"/>
        </w:rPr>
        <w:t>Discussion</w:t>
      </w:r>
      <w:r>
        <w:t>: Both anti-fraud efforts and MTM programs help to improve quality, and should count, as other quality effo</w:t>
      </w:r>
      <w:r>
        <w:t>rts already do. Fraud, for example, can include claims for needed care not delivered and the delivery of unnecessary care, both of which have potential to cause physical as well as financial harm to enrollees. MTM programs focus on appropriate drug utiliza</w:t>
      </w:r>
      <w:r>
        <w:t>tion among patients with complex care needs, for whom inappropriate utilization can be common and especially problematic.</w:t>
      </w:r>
    </w:p>
    <w:p w:rsidR="009B33A9" w:rsidRDefault="009B33A9">
      <w:pPr>
        <w:pStyle w:val="BodyText"/>
        <w:spacing w:before="1"/>
      </w:pPr>
    </w:p>
    <w:p w:rsidR="009B33A9" w:rsidRDefault="005D514A">
      <w:pPr>
        <w:pStyle w:val="BodyText"/>
        <w:ind w:left="400" w:right="890"/>
      </w:pPr>
      <w:r>
        <w:rPr>
          <w:u w:val="single"/>
        </w:rPr>
        <w:t>Recommendation</w:t>
      </w:r>
      <w:r>
        <w:t xml:space="preserve">: We support adding anti-fraud efforts and Medication Therapy Management (MTM) program costs to what counts as medical </w:t>
      </w:r>
      <w:r>
        <w:t>spending for the medical loss ratio.</w:t>
      </w:r>
    </w:p>
    <w:p w:rsidR="009B33A9" w:rsidRDefault="009B33A9">
      <w:pPr>
        <w:pStyle w:val="BodyText"/>
      </w:pPr>
    </w:p>
    <w:p w:rsidR="009B33A9" w:rsidRDefault="005D514A">
      <w:pPr>
        <w:pStyle w:val="Heading1"/>
      </w:pPr>
      <w:r>
        <w:t>Star Ratings after Consolidation of Contracts</w:t>
      </w:r>
    </w:p>
    <w:p w:rsidR="009B33A9" w:rsidRDefault="009B33A9">
      <w:pPr>
        <w:pStyle w:val="BodyText"/>
        <w:spacing w:before="9"/>
        <w:rPr>
          <w:b/>
          <w:sz w:val="23"/>
        </w:rPr>
      </w:pPr>
    </w:p>
    <w:p w:rsidR="009B33A9" w:rsidRDefault="005D514A">
      <w:pPr>
        <w:pStyle w:val="BodyText"/>
        <w:spacing w:before="1"/>
        <w:ind w:left="400" w:right="479"/>
      </w:pPr>
      <w:r>
        <w:rPr>
          <w:u w:val="single"/>
        </w:rPr>
        <w:t>Proposal</w:t>
      </w:r>
      <w:r>
        <w:t>: CMS proposes a new set of rules for the calculation of Star Ratings for consolidated contracts. In most cases, the Star Ratings for the first and second years fo</w:t>
      </w:r>
      <w:r>
        <w:t>llowing the consolidation would be an enrollment-weighted mean of the scores at the measure level for all contracts (that is, consumed and surviving contracts). For the QBP rating for the first year following the consolidation, CMS proposes to use the enro</w:t>
      </w:r>
      <w:r>
        <w:t xml:space="preserve">llment-weighted mean of the QBP rating of the surviving and consumed contracts (which would be the overall or summary rating depending on the plan type) rather than averaging measure scores. In subsequent years after the consolidation, CMS would determine </w:t>
      </w:r>
      <w:r>
        <w:t>QBP status based on the consolidated entity’s Star Ratings displayed on the Medicare Plan Finder (MPF).</w:t>
      </w:r>
    </w:p>
    <w:p w:rsidR="009B33A9" w:rsidRDefault="009B33A9">
      <w:pPr>
        <w:sectPr w:rsidR="009B33A9">
          <w:pgSz w:w="12240" w:h="15840"/>
          <w:pgMar w:top="1500" w:right="620" w:bottom="1840" w:left="680" w:header="0" w:footer="1641" w:gutter="0"/>
          <w:cols w:space="720"/>
        </w:sectPr>
      </w:pPr>
    </w:p>
    <w:p w:rsidR="009B33A9" w:rsidRDefault="005D514A">
      <w:pPr>
        <w:pStyle w:val="BodyText"/>
        <w:spacing w:before="71"/>
        <w:ind w:left="400" w:right="403"/>
      </w:pPr>
      <w:r>
        <w:rPr>
          <w:u w:val="single"/>
        </w:rPr>
        <w:lastRenderedPageBreak/>
        <w:t>Discussion</w:t>
      </w:r>
      <w:r>
        <w:t>: For Medicare Part C to deliver on its promise of competition and value, beneficiaries need an accurate and understandable sens</w:t>
      </w:r>
      <w:r>
        <w:t>e of the quality of the choices available in the market. We, like the Medicare Payment Advisory Commission (MedPAC) and others, believe it is important to change current policy that lets plans apply a higher rating from a remaining contract to lower- rated</w:t>
      </w:r>
      <w:r>
        <w:t xml:space="preserve"> plans in other states when issuers consolidate contracts.</w:t>
      </w:r>
    </w:p>
    <w:p w:rsidR="009B33A9" w:rsidRDefault="009B33A9">
      <w:pPr>
        <w:pStyle w:val="BodyText"/>
        <w:spacing w:before="1"/>
      </w:pPr>
    </w:p>
    <w:p w:rsidR="009B33A9" w:rsidRDefault="005D514A">
      <w:pPr>
        <w:pStyle w:val="BodyText"/>
        <w:ind w:left="400" w:right="722"/>
      </w:pPr>
      <w:r>
        <w:t xml:space="preserve">We believe CMS’ proposal in this regard is a constructive improvement compared to the status quo. However, it appears insufficient to fully assure quality transparency and choice of plans. MedPAC </w:t>
      </w:r>
      <w:r>
        <w:t>elaborated on this insufficiency in its recent response to this NPRM:</w:t>
      </w:r>
    </w:p>
    <w:p w:rsidR="009B33A9" w:rsidRDefault="009B33A9">
      <w:pPr>
        <w:pStyle w:val="BodyText"/>
        <w:spacing w:before="1"/>
      </w:pPr>
    </w:p>
    <w:p w:rsidR="009B33A9" w:rsidRDefault="005D514A">
      <w:pPr>
        <w:pStyle w:val="BodyText"/>
        <w:ind w:left="1120" w:right="1175"/>
        <w:jc w:val="both"/>
      </w:pPr>
      <w:r>
        <w:t>”The averaging method would only give an accurate picture of quality in a given geographic</w:t>
      </w:r>
      <w:r>
        <w:rPr>
          <w:spacing w:val="-8"/>
        </w:rPr>
        <w:t xml:space="preserve"> </w:t>
      </w:r>
      <w:r>
        <w:t>area</w:t>
      </w:r>
      <w:r>
        <w:rPr>
          <w:spacing w:val="-6"/>
        </w:rPr>
        <w:t xml:space="preserve"> </w:t>
      </w:r>
      <w:r>
        <w:t>if</w:t>
      </w:r>
      <w:r>
        <w:rPr>
          <w:spacing w:val="-8"/>
        </w:rPr>
        <w:t xml:space="preserve"> </w:t>
      </w:r>
      <w:r>
        <w:t>the</w:t>
      </w:r>
      <w:r>
        <w:rPr>
          <w:spacing w:val="-6"/>
        </w:rPr>
        <w:t xml:space="preserve"> </w:t>
      </w:r>
      <w:r>
        <w:t>two</w:t>
      </w:r>
      <w:r>
        <w:rPr>
          <w:spacing w:val="-8"/>
        </w:rPr>
        <w:t xml:space="preserve"> </w:t>
      </w:r>
      <w:r>
        <w:t>or</w:t>
      </w:r>
      <w:r>
        <w:rPr>
          <w:spacing w:val="-8"/>
        </w:rPr>
        <w:t xml:space="preserve"> </w:t>
      </w:r>
      <w:r>
        <w:t>more</w:t>
      </w:r>
      <w:r>
        <w:rPr>
          <w:spacing w:val="-7"/>
        </w:rPr>
        <w:t xml:space="preserve"> </w:t>
      </w:r>
      <w:r>
        <w:t>contracts</w:t>
      </w:r>
      <w:r>
        <w:rPr>
          <w:spacing w:val="-7"/>
        </w:rPr>
        <w:t xml:space="preserve"> </w:t>
      </w:r>
      <w:r>
        <w:t>involved</w:t>
      </w:r>
      <w:r>
        <w:rPr>
          <w:spacing w:val="-8"/>
        </w:rPr>
        <w:t xml:space="preserve"> </w:t>
      </w:r>
      <w:r>
        <w:t>in</w:t>
      </w:r>
      <w:r>
        <w:rPr>
          <w:spacing w:val="-7"/>
        </w:rPr>
        <w:t xml:space="preserve"> </w:t>
      </w:r>
      <w:r>
        <w:t>a</w:t>
      </w:r>
      <w:r>
        <w:rPr>
          <w:spacing w:val="-7"/>
        </w:rPr>
        <w:t xml:space="preserve"> </w:t>
      </w:r>
      <w:r>
        <w:t>given</w:t>
      </w:r>
      <w:r>
        <w:rPr>
          <w:spacing w:val="-7"/>
        </w:rPr>
        <w:t xml:space="preserve"> </w:t>
      </w:r>
      <w:r>
        <w:t>consolidation</w:t>
      </w:r>
      <w:r>
        <w:rPr>
          <w:spacing w:val="-7"/>
        </w:rPr>
        <w:t xml:space="preserve"> </w:t>
      </w:r>
      <w:r>
        <w:t>shared exactly the same service</w:t>
      </w:r>
      <w:r>
        <w:rPr>
          <w:spacing w:val="-5"/>
        </w:rPr>
        <w:t xml:space="preserve"> </w:t>
      </w:r>
      <w:r>
        <w:t>area.</w:t>
      </w:r>
    </w:p>
    <w:p w:rsidR="009B33A9" w:rsidRDefault="009B33A9">
      <w:pPr>
        <w:pStyle w:val="BodyText"/>
        <w:spacing w:before="1"/>
      </w:pPr>
    </w:p>
    <w:p w:rsidR="009B33A9" w:rsidRDefault="005D514A">
      <w:pPr>
        <w:pStyle w:val="BodyText"/>
        <w:ind w:left="1120" w:right="1176"/>
        <w:jc w:val="both"/>
      </w:pPr>
      <w:r>
        <w:t>In the current cycle of contract consolidations (the end of 2017), there were 17 contract</w:t>
      </w:r>
      <w:r>
        <w:rPr>
          <w:spacing w:val="-11"/>
        </w:rPr>
        <w:t xml:space="preserve"> </w:t>
      </w:r>
      <w:r>
        <w:t>consolidations</w:t>
      </w:r>
      <w:r>
        <w:rPr>
          <w:spacing w:val="-11"/>
        </w:rPr>
        <w:t xml:space="preserve"> </w:t>
      </w:r>
      <w:r>
        <w:t>in</w:t>
      </w:r>
      <w:r>
        <w:rPr>
          <w:spacing w:val="-10"/>
        </w:rPr>
        <w:t xml:space="preserve"> </w:t>
      </w:r>
      <w:r>
        <w:t>which</w:t>
      </w:r>
      <w:r>
        <w:rPr>
          <w:spacing w:val="-12"/>
        </w:rPr>
        <w:t xml:space="preserve"> </w:t>
      </w:r>
      <w:r>
        <w:t>a</w:t>
      </w:r>
      <w:r>
        <w:rPr>
          <w:spacing w:val="-11"/>
        </w:rPr>
        <w:t xml:space="preserve"> </w:t>
      </w:r>
      <w:r>
        <w:t>contract</w:t>
      </w:r>
      <w:r>
        <w:rPr>
          <w:spacing w:val="-11"/>
        </w:rPr>
        <w:t xml:space="preserve"> </w:t>
      </w:r>
      <w:r>
        <w:t>below</w:t>
      </w:r>
      <w:r>
        <w:rPr>
          <w:spacing w:val="-12"/>
        </w:rPr>
        <w:t xml:space="preserve"> </w:t>
      </w:r>
      <w:r>
        <w:t>4</w:t>
      </w:r>
      <w:r>
        <w:rPr>
          <w:spacing w:val="-12"/>
        </w:rPr>
        <w:t xml:space="preserve"> </w:t>
      </w:r>
      <w:r>
        <w:t>stars</w:t>
      </w:r>
      <w:r>
        <w:rPr>
          <w:spacing w:val="-11"/>
        </w:rPr>
        <w:t xml:space="preserve"> </w:t>
      </w:r>
      <w:r>
        <w:t>was</w:t>
      </w:r>
      <w:r>
        <w:rPr>
          <w:spacing w:val="-11"/>
        </w:rPr>
        <w:t xml:space="preserve"> </w:t>
      </w:r>
      <w:r>
        <w:t>consumed</w:t>
      </w:r>
      <w:r>
        <w:rPr>
          <w:spacing w:val="-10"/>
        </w:rPr>
        <w:t xml:space="preserve"> </w:t>
      </w:r>
      <w:r>
        <w:t>by</w:t>
      </w:r>
      <w:r>
        <w:rPr>
          <w:spacing w:val="-12"/>
        </w:rPr>
        <w:t xml:space="preserve"> </w:t>
      </w:r>
      <w:r>
        <w:t>a</w:t>
      </w:r>
      <w:r>
        <w:rPr>
          <w:spacing w:val="-11"/>
        </w:rPr>
        <w:t xml:space="preserve"> </w:t>
      </w:r>
      <w:r>
        <w:t>contract at or above 4 stars. In only one of the cases was there any overlap of service</w:t>
      </w:r>
      <w:r>
        <w:rPr>
          <w:spacing w:val="-23"/>
        </w:rPr>
        <w:t xml:space="preserve"> </w:t>
      </w:r>
      <w:r>
        <w:t>areas.”</w:t>
      </w:r>
    </w:p>
    <w:p w:rsidR="009B33A9" w:rsidRDefault="009B33A9">
      <w:pPr>
        <w:pStyle w:val="BodyText"/>
      </w:pPr>
    </w:p>
    <w:p w:rsidR="009B33A9" w:rsidRDefault="005D514A">
      <w:pPr>
        <w:pStyle w:val="BodyText"/>
        <w:ind w:left="400" w:right="466"/>
      </w:pPr>
      <w:r>
        <w:t>Hence, even with the proposed use of enrollment-weighted averages of scores among consolidating plans, some lower-rated parts of consolidated contracts would r</w:t>
      </w:r>
      <w:r>
        <w:t>eceive higher scores than they have earned.</w:t>
      </w:r>
    </w:p>
    <w:p w:rsidR="009B33A9" w:rsidRDefault="009B33A9">
      <w:pPr>
        <w:pStyle w:val="BodyText"/>
      </w:pPr>
    </w:p>
    <w:p w:rsidR="009B33A9" w:rsidRDefault="005D514A">
      <w:pPr>
        <w:pStyle w:val="BodyText"/>
        <w:ind w:left="400" w:right="997"/>
      </w:pPr>
      <w:r>
        <w:rPr>
          <w:u w:val="single"/>
        </w:rPr>
        <w:t>Recommendation</w:t>
      </w:r>
      <w:r>
        <w:t>: We urge CMS to finalize the existing proposal while continuing to consider additional options.</w:t>
      </w:r>
    </w:p>
    <w:p w:rsidR="009B33A9" w:rsidRDefault="009B33A9">
      <w:pPr>
        <w:pStyle w:val="BodyText"/>
        <w:spacing w:before="9"/>
        <w:rPr>
          <w:sz w:val="23"/>
        </w:rPr>
      </w:pPr>
    </w:p>
    <w:p w:rsidR="009B33A9" w:rsidRDefault="005D514A">
      <w:pPr>
        <w:pStyle w:val="Heading1"/>
        <w:spacing w:before="1" w:line="242" w:lineRule="auto"/>
        <w:ind w:right="722"/>
      </w:pPr>
      <w:r>
        <w:t>Expedited Substitutions of Certain Generics and Other Midyear Formulary Changes (§§423.100, 423.120</w:t>
      </w:r>
      <w:r>
        <w:t>, and 423.128)</w:t>
      </w:r>
    </w:p>
    <w:p w:rsidR="009B33A9" w:rsidRDefault="009B33A9">
      <w:pPr>
        <w:pStyle w:val="BodyText"/>
        <w:spacing w:before="7"/>
        <w:rPr>
          <w:b/>
          <w:sz w:val="23"/>
        </w:rPr>
      </w:pPr>
    </w:p>
    <w:p w:rsidR="009B33A9" w:rsidRDefault="005D514A">
      <w:pPr>
        <w:pStyle w:val="BodyText"/>
        <w:spacing w:before="1"/>
        <w:ind w:left="400" w:right="487"/>
      </w:pPr>
      <w:r>
        <w:rPr>
          <w:u w:val="single"/>
        </w:rPr>
        <w:t>Proposal</w:t>
      </w:r>
      <w:r>
        <w:t>: CMS proposes to revise regulations to permit Part D sponsors to immediately remove or change the preferred or tiered cost-sharing of brand name drugs when the sponsor replaces the brand drug with (or adds to their formularies) the</w:t>
      </w:r>
      <w:r>
        <w:t>rapeutically-equivalent newly-approved generics. CMS would permit these substitutions and changes to occur at any time without advance approval.</w:t>
      </w:r>
    </w:p>
    <w:p w:rsidR="009B33A9" w:rsidRDefault="009B33A9">
      <w:pPr>
        <w:pStyle w:val="BodyText"/>
        <w:spacing w:before="1"/>
      </w:pPr>
    </w:p>
    <w:p w:rsidR="009B33A9" w:rsidRDefault="005D514A">
      <w:pPr>
        <w:pStyle w:val="BodyText"/>
        <w:ind w:left="400" w:right="460"/>
      </w:pPr>
      <w:r>
        <w:rPr>
          <w:u w:val="single"/>
        </w:rPr>
        <w:t>Discussion</w:t>
      </w:r>
      <w:r>
        <w:t>: NCHC believes that enhanced competition from generic drugs is a powerful tool to restrain costs an</w:t>
      </w:r>
      <w:r>
        <w:t>d improve affordability. We greatly appreciate the additional formulary flexibility that CMS proposes to offer Part D sponsors.</w:t>
      </w:r>
    </w:p>
    <w:p w:rsidR="009B33A9" w:rsidRDefault="009B33A9">
      <w:pPr>
        <w:pStyle w:val="BodyText"/>
        <w:spacing w:before="10"/>
        <w:rPr>
          <w:sz w:val="23"/>
        </w:rPr>
      </w:pPr>
    </w:p>
    <w:p w:rsidR="009B33A9" w:rsidRDefault="005D514A">
      <w:pPr>
        <w:pStyle w:val="BodyText"/>
        <w:spacing w:before="1"/>
        <w:ind w:left="400"/>
      </w:pPr>
      <w:r>
        <w:rPr>
          <w:u w:val="single"/>
        </w:rPr>
        <w:t>Recommendation</w:t>
      </w:r>
      <w:r>
        <w:t>: NCHC supports CMS’ proposal to permit midyear changes and to allow them to proceed without advance approval.</w:t>
      </w:r>
    </w:p>
    <w:p w:rsidR="009B33A9" w:rsidRDefault="009B33A9">
      <w:pPr>
        <w:sectPr w:rsidR="009B33A9">
          <w:pgSz w:w="12240" w:h="15840"/>
          <w:pgMar w:top="1280" w:right="620" w:bottom="1840" w:left="680" w:header="0" w:footer="1641" w:gutter="0"/>
          <w:cols w:space="720"/>
        </w:sectPr>
      </w:pPr>
    </w:p>
    <w:p w:rsidR="009B33A9" w:rsidRDefault="005D514A">
      <w:pPr>
        <w:pStyle w:val="Heading1"/>
        <w:spacing w:before="71"/>
        <w:ind w:right="799"/>
      </w:pPr>
      <w:r>
        <w:lastRenderedPageBreak/>
        <w:t>Treatment of Follow-on Biological Products as Generics for Non-LIS Catastrophic and LIS Cost Sharing (423.4)</w:t>
      </w:r>
    </w:p>
    <w:p w:rsidR="009B33A9" w:rsidRDefault="009B33A9">
      <w:pPr>
        <w:pStyle w:val="BodyText"/>
        <w:spacing w:before="10"/>
        <w:rPr>
          <w:b/>
          <w:sz w:val="23"/>
        </w:rPr>
      </w:pPr>
    </w:p>
    <w:p w:rsidR="009B33A9" w:rsidRDefault="005D514A">
      <w:pPr>
        <w:pStyle w:val="BodyText"/>
        <w:ind w:left="400" w:right="753"/>
      </w:pPr>
      <w:r>
        <w:rPr>
          <w:u w:val="single"/>
        </w:rPr>
        <w:t>Proposal</w:t>
      </w:r>
      <w:r>
        <w:t>: CMS proposes to revise the definition of generic drugs at §423.4 to include follow-on biological products approved under section 351(k) of the Public Health Service (PHS) Act solely for the purposes of non-LIS catastrophic and LIS cost-sharing.</w:t>
      </w:r>
    </w:p>
    <w:p w:rsidR="009B33A9" w:rsidRDefault="009B33A9">
      <w:pPr>
        <w:pStyle w:val="BodyText"/>
        <w:spacing w:before="10"/>
        <w:rPr>
          <w:sz w:val="23"/>
        </w:rPr>
      </w:pPr>
    </w:p>
    <w:p w:rsidR="009B33A9" w:rsidRDefault="005D514A">
      <w:pPr>
        <w:pStyle w:val="BodyText"/>
        <w:ind w:left="400" w:right="489"/>
      </w:pPr>
      <w:r>
        <w:rPr>
          <w:u w:val="single"/>
        </w:rPr>
        <w:t>Discussi</w:t>
      </w:r>
      <w:r>
        <w:rPr>
          <w:u w:val="single"/>
        </w:rPr>
        <w:t>on</w:t>
      </w:r>
      <w:r>
        <w:t>: Currently, because biosimilar and interchangeable biological products do not meet CMS’ definition of a generic drug, they are subject to the higher Part D maximum copayments for LIS beneficiaries and non-LIS enrollees in the catastrophic portion of the</w:t>
      </w:r>
      <w:r>
        <w:t xml:space="preserve"> benefit. CMS’ proposal would ensure that follow-on biological products will be more affordable for beneficiaries than more expensive reference biological products. It will thereby reduce costs to both Part D enrollees and the Part D program.</w:t>
      </w:r>
    </w:p>
    <w:p w:rsidR="009B33A9" w:rsidRDefault="009B33A9">
      <w:pPr>
        <w:pStyle w:val="BodyText"/>
        <w:spacing w:before="1"/>
      </w:pPr>
    </w:p>
    <w:p w:rsidR="009B33A9" w:rsidRDefault="005D514A">
      <w:pPr>
        <w:pStyle w:val="BodyText"/>
        <w:ind w:left="400"/>
      </w:pPr>
      <w:r>
        <w:rPr>
          <w:u w:val="single"/>
        </w:rPr>
        <w:t>Recommendati</w:t>
      </w:r>
      <w:r>
        <w:rPr>
          <w:u w:val="single"/>
        </w:rPr>
        <w:t>on</w:t>
      </w:r>
      <w:r>
        <w:t>: NCHC supports CMS’ proposal and recommends finalizing as proposed.</w:t>
      </w:r>
    </w:p>
    <w:p w:rsidR="009B33A9" w:rsidRDefault="009B33A9">
      <w:pPr>
        <w:pStyle w:val="BodyText"/>
        <w:spacing w:before="9"/>
        <w:rPr>
          <w:sz w:val="23"/>
        </w:rPr>
      </w:pPr>
    </w:p>
    <w:p w:rsidR="009B33A9" w:rsidRDefault="005D514A">
      <w:pPr>
        <w:pStyle w:val="Heading1"/>
        <w:spacing w:before="1"/>
      </w:pPr>
      <w:r>
        <w:t>Price Concessions to Drug Prices at Point of Sale</w:t>
      </w:r>
    </w:p>
    <w:p w:rsidR="009B33A9" w:rsidRDefault="009B33A9">
      <w:pPr>
        <w:pStyle w:val="BodyText"/>
        <w:spacing w:before="1"/>
        <w:rPr>
          <w:b/>
        </w:rPr>
      </w:pPr>
    </w:p>
    <w:p w:rsidR="009B33A9" w:rsidRDefault="005D514A">
      <w:pPr>
        <w:pStyle w:val="BodyText"/>
        <w:ind w:left="400" w:right="864"/>
      </w:pPr>
      <w:r>
        <w:rPr>
          <w:u w:val="single"/>
        </w:rPr>
        <w:t>Request for Information</w:t>
      </w:r>
      <w:r>
        <w:t>: CMS is soliciting comment on requiring plan sponsors to provide a percentage of manufacturer rebates and pharmacy price concessions in the negotiated price at point of sale. Comments may inform future rulemaking.</w:t>
      </w:r>
    </w:p>
    <w:p w:rsidR="009B33A9" w:rsidRDefault="009B33A9">
      <w:pPr>
        <w:pStyle w:val="BodyText"/>
      </w:pPr>
    </w:p>
    <w:p w:rsidR="009B33A9" w:rsidRDefault="005D514A">
      <w:pPr>
        <w:pStyle w:val="BodyText"/>
        <w:spacing w:before="1"/>
        <w:ind w:left="400" w:right="623"/>
      </w:pPr>
      <w:r>
        <w:rPr>
          <w:u w:val="single"/>
        </w:rPr>
        <w:t>Discussion</w:t>
      </w:r>
      <w:r>
        <w:t>: We are pleased to see CMS ex</w:t>
      </w:r>
      <w:r>
        <w:t>ploring ways to reduce cost barriers to needed prescription drugs in Medicare Part D and soliciting comment from the full range of stakeholders prior to proposing immediate regulatory change.</w:t>
      </w:r>
    </w:p>
    <w:p w:rsidR="009B33A9" w:rsidRDefault="009B33A9">
      <w:pPr>
        <w:pStyle w:val="BodyText"/>
        <w:spacing w:before="1"/>
      </w:pPr>
    </w:p>
    <w:p w:rsidR="009B33A9" w:rsidRDefault="005D514A">
      <w:pPr>
        <w:pStyle w:val="BodyText"/>
        <w:ind w:left="400" w:right="530"/>
      </w:pPr>
      <w:r>
        <w:t xml:space="preserve">However, given the complex arrangements between and among plan </w:t>
      </w:r>
      <w:r>
        <w:t>sponsors, pharmacies, and manufacturers, careful consideration of the consequences of any possible change is needed. NCHC has identified at least three causes for concern with the contemplated policies.</w:t>
      </w:r>
    </w:p>
    <w:p w:rsidR="009B33A9" w:rsidRDefault="009B33A9">
      <w:pPr>
        <w:pStyle w:val="BodyText"/>
      </w:pPr>
    </w:p>
    <w:p w:rsidR="009B33A9" w:rsidRDefault="005D514A">
      <w:pPr>
        <w:pStyle w:val="ListParagraph"/>
        <w:numPr>
          <w:ilvl w:val="0"/>
          <w:numId w:val="1"/>
        </w:numPr>
        <w:tabs>
          <w:tab w:val="left" w:pos="1121"/>
        </w:tabs>
        <w:ind w:right="512"/>
        <w:rPr>
          <w:sz w:val="24"/>
        </w:rPr>
      </w:pPr>
      <w:r>
        <w:rPr>
          <w:i/>
          <w:sz w:val="24"/>
        </w:rPr>
        <w:t xml:space="preserve">Cost-shifting, not cost-saving: </w:t>
      </w:r>
      <w:r>
        <w:rPr>
          <w:sz w:val="24"/>
        </w:rPr>
        <w:t>CMS’ own analysis sh</w:t>
      </w:r>
      <w:r>
        <w:rPr>
          <w:sz w:val="24"/>
        </w:rPr>
        <w:t>ows that reduced beneficiary burden at point of sale would generate increased costs elsewhere. Specifically, Table 10A indicates that point of sale manufacturer rebates would yield between $9.2 billion and $28.3 billion (a 4-11%increase) in beneficiary pre</w:t>
      </w:r>
      <w:r>
        <w:rPr>
          <w:sz w:val="24"/>
        </w:rPr>
        <w:t>mium costs, and $27.3 and $82.1 billion in added cost to federal taxpayers (a 2-6% increase). According to Table 11, applying this requirement to pharmacy price concessions would similarly generate $5.7 billion in added premium costs and $16.6 billion in a</w:t>
      </w:r>
      <w:r>
        <w:rPr>
          <w:sz w:val="24"/>
        </w:rPr>
        <w:t>dded taxpayer costs. In both cases, the added cost to beneficiaries and taxpayers combined exceed the reduction in out-of-pocket expenditures. This is not a cost- saving policy, it is a cost-shifting policy—with negative consequences for premium affordabil</w:t>
      </w:r>
      <w:r>
        <w:rPr>
          <w:sz w:val="24"/>
        </w:rPr>
        <w:t>ity and the Federal</w:t>
      </w:r>
      <w:r>
        <w:rPr>
          <w:spacing w:val="-18"/>
          <w:sz w:val="24"/>
        </w:rPr>
        <w:t xml:space="preserve"> </w:t>
      </w:r>
      <w:r>
        <w:rPr>
          <w:sz w:val="24"/>
        </w:rPr>
        <w:t>Treasury.</w:t>
      </w:r>
    </w:p>
    <w:p w:rsidR="009B33A9" w:rsidRDefault="009B33A9">
      <w:pPr>
        <w:rPr>
          <w:sz w:val="24"/>
        </w:rPr>
        <w:sectPr w:rsidR="009B33A9">
          <w:pgSz w:w="12240" w:h="15840"/>
          <w:pgMar w:top="1280" w:right="620" w:bottom="1840" w:left="680" w:header="0" w:footer="1641" w:gutter="0"/>
          <w:cols w:space="720"/>
        </w:sectPr>
      </w:pPr>
    </w:p>
    <w:p w:rsidR="009B33A9" w:rsidRDefault="005D514A">
      <w:pPr>
        <w:pStyle w:val="ListParagraph"/>
        <w:numPr>
          <w:ilvl w:val="0"/>
          <w:numId w:val="1"/>
        </w:numPr>
        <w:tabs>
          <w:tab w:val="left" w:pos="1121"/>
        </w:tabs>
        <w:spacing w:before="71"/>
        <w:ind w:right="856"/>
        <w:rPr>
          <w:sz w:val="24"/>
        </w:rPr>
      </w:pPr>
      <w:bookmarkStart w:id="0" w:name="_GoBack"/>
      <w:r>
        <w:rPr>
          <w:i/>
          <w:sz w:val="24"/>
        </w:rPr>
        <w:lastRenderedPageBreak/>
        <w:t>Ignoring the root cause</w:t>
      </w:r>
      <w:r>
        <w:rPr>
          <w:sz w:val="24"/>
        </w:rPr>
        <w:t xml:space="preserve">: The root cause of the increasing unaffordability of prescription drugs lies in the underlying price of the drugs themselves, as reflected in unsustainable launch prices and ongoing price </w:t>
      </w:r>
      <w:r>
        <w:rPr>
          <w:sz w:val="24"/>
        </w:rPr>
        <w:t>inflation of drugs already on the market. This proposal does not directly address the underlying lack of transparency, competition, and value in prescription drug market</w:t>
      </w:r>
      <w:r>
        <w:rPr>
          <w:spacing w:val="-7"/>
          <w:sz w:val="24"/>
        </w:rPr>
        <w:t xml:space="preserve"> </w:t>
      </w:r>
      <w:r>
        <w:rPr>
          <w:sz w:val="24"/>
        </w:rPr>
        <w:t>itself.</w:t>
      </w:r>
    </w:p>
    <w:p w:rsidR="009B33A9" w:rsidRDefault="009B33A9">
      <w:pPr>
        <w:pStyle w:val="BodyText"/>
        <w:spacing w:before="1"/>
      </w:pPr>
    </w:p>
    <w:p w:rsidR="009B33A9" w:rsidRDefault="005D514A">
      <w:pPr>
        <w:pStyle w:val="ListParagraph"/>
        <w:numPr>
          <w:ilvl w:val="0"/>
          <w:numId w:val="1"/>
        </w:numPr>
        <w:tabs>
          <w:tab w:val="left" w:pos="1121"/>
        </w:tabs>
        <w:ind w:right="499"/>
        <w:rPr>
          <w:sz w:val="24"/>
        </w:rPr>
      </w:pPr>
      <w:r>
        <w:rPr>
          <w:i/>
          <w:sz w:val="24"/>
        </w:rPr>
        <w:t>Potentially encouraging drug price inflation</w:t>
      </w:r>
      <w:r>
        <w:rPr>
          <w:sz w:val="24"/>
        </w:rPr>
        <w:t>: NCHC is concerned that the reduction in manufacturer coverage gap responsibilities associated with the manufacturer rebate policy amounts to a Medicare-financed windfall to manufacturers. This windfall would serve to lessen what pressure does exist today</w:t>
      </w:r>
      <w:r>
        <w:rPr>
          <w:sz w:val="24"/>
        </w:rPr>
        <w:t xml:space="preserve"> for manufacturers to restrain list</w:t>
      </w:r>
      <w:r>
        <w:rPr>
          <w:spacing w:val="-32"/>
          <w:sz w:val="24"/>
        </w:rPr>
        <w:t xml:space="preserve"> </w:t>
      </w:r>
      <w:r>
        <w:rPr>
          <w:sz w:val="24"/>
        </w:rPr>
        <w:t>prices.</w:t>
      </w:r>
    </w:p>
    <w:p w:rsidR="009B33A9" w:rsidRDefault="009B33A9">
      <w:pPr>
        <w:pStyle w:val="BodyText"/>
        <w:spacing w:before="10"/>
        <w:rPr>
          <w:sz w:val="23"/>
        </w:rPr>
      </w:pPr>
    </w:p>
    <w:p w:rsidR="009B33A9" w:rsidRDefault="005D514A">
      <w:pPr>
        <w:pStyle w:val="BodyText"/>
        <w:ind w:left="400" w:right="722"/>
      </w:pPr>
      <w:r>
        <w:rPr>
          <w:u w:val="single"/>
        </w:rPr>
        <w:t>Recommendation</w:t>
      </w:r>
      <w:r>
        <w:t>: NCHC remains very interested in reducing cost barriers for needed care and addressing the underlying problems with pharmaceutical prices. But given the consequences described above, NCHC could no</w:t>
      </w:r>
      <w:r>
        <w:t>t support any proposal to implement the specific options described in this RFI.</w:t>
      </w:r>
    </w:p>
    <w:p w:rsidR="009B33A9" w:rsidRDefault="009B33A9">
      <w:pPr>
        <w:pStyle w:val="BodyText"/>
        <w:rPr>
          <w:sz w:val="28"/>
        </w:rPr>
      </w:pPr>
    </w:p>
    <w:p w:rsidR="009B33A9" w:rsidRDefault="005D514A">
      <w:pPr>
        <w:pStyle w:val="BodyText"/>
        <w:spacing w:before="234"/>
        <w:ind w:left="400" w:right="867"/>
      </w:pPr>
      <w:r>
        <w:t xml:space="preserve">Should you or your team have any questions with respect to the issues addressed in this letter, please contact NCHC’s Policy Director Larry McNeely at </w:t>
      </w:r>
      <w:hyperlink r:id="rId17">
        <w:r>
          <w:rPr>
            <w:color w:val="0000FF"/>
            <w:u w:val="single" w:color="0000FF"/>
          </w:rPr>
          <w:t xml:space="preserve">lmcneely@nchc.org </w:t>
        </w:r>
      </w:hyperlink>
      <w:r>
        <w:t>or 202-638-7151.</w:t>
      </w:r>
    </w:p>
    <w:p w:rsidR="009B33A9" w:rsidRDefault="009B33A9">
      <w:pPr>
        <w:pStyle w:val="BodyText"/>
        <w:spacing w:before="9"/>
        <w:rPr>
          <w:sz w:val="23"/>
        </w:rPr>
      </w:pPr>
    </w:p>
    <w:p w:rsidR="009B33A9" w:rsidRDefault="005D514A">
      <w:pPr>
        <w:pStyle w:val="BodyText"/>
        <w:spacing w:before="1"/>
        <w:ind w:left="400"/>
      </w:pPr>
      <w:r>
        <w:t>Yours truly,</w:t>
      </w:r>
    </w:p>
    <w:p w:rsidR="009B33A9" w:rsidRDefault="005D514A">
      <w:pPr>
        <w:pStyle w:val="BodyText"/>
        <w:ind w:left="400"/>
        <w:rPr>
          <w:sz w:val="20"/>
        </w:rPr>
      </w:pPr>
      <w:r>
        <w:rPr>
          <w:noProof/>
          <w:sz w:val="20"/>
        </w:rPr>
        <w:drawing>
          <wp:inline distT="0" distB="0" distL="0" distR="0">
            <wp:extent cx="1720050" cy="695134"/>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8" cstate="print"/>
                    <a:stretch>
                      <a:fillRect/>
                    </a:stretch>
                  </pic:blipFill>
                  <pic:spPr>
                    <a:xfrm>
                      <a:off x="0" y="0"/>
                      <a:ext cx="1720050" cy="695134"/>
                    </a:xfrm>
                    <a:prstGeom prst="rect">
                      <a:avLst/>
                    </a:prstGeom>
                  </pic:spPr>
                </pic:pic>
              </a:graphicData>
            </a:graphic>
          </wp:inline>
        </w:drawing>
      </w:r>
    </w:p>
    <w:p w:rsidR="009B33A9" w:rsidRDefault="005D514A">
      <w:pPr>
        <w:pStyle w:val="BodyText"/>
        <w:spacing w:before="15"/>
        <w:ind w:left="400" w:right="8612"/>
      </w:pPr>
      <w:r>
        <w:t>John Rother President and CEO</w:t>
      </w:r>
      <w:bookmarkEnd w:id="0"/>
    </w:p>
    <w:sectPr w:rsidR="009B33A9">
      <w:pgSz w:w="12240" w:h="15840"/>
      <w:pgMar w:top="1280" w:right="620" w:bottom="1840" w:left="680" w:header="0" w:footer="16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514A">
      <w:r>
        <w:separator/>
      </w:r>
    </w:p>
  </w:endnote>
  <w:endnote w:type="continuationSeparator" w:id="0">
    <w:p w:rsidR="00000000" w:rsidRDefault="005D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3A9" w:rsidRDefault="005D514A">
    <w:pPr>
      <w:pStyle w:val="BodyText"/>
      <w:spacing w:line="14" w:lineRule="auto"/>
      <w:rPr>
        <w:sz w:val="20"/>
      </w:rPr>
    </w:pPr>
    <w:r>
      <w:rPr>
        <w:noProof/>
      </w:rPr>
      <w:drawing>
        <wp:anchor distT="0" distB="0" distL="0" distR="0" simplePos="0" relativeHeight="268427927" behindDoc="1" locked="0" layoutInCell="1" allowOverlap="1">
          <wp:simplePos x="0" y="0"/>
          <wp:positionH relativeFrom="page">
            <wp:posOffset>505968</wp:posOffset>
          </wp:positionH>
          <wp:positionV relativeFrom="page">
            <wp:posOffset>8851392</wp:posOffset>
          </wp:positionV>
          <wp:extent cx="6809232" cy="761999"/>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 cstate="print"/>
                  <a:stretch>
                    <a:fillRect/>
                  </a:stretch>
                </pic:blipFill>
                <pic:spPr>
                  <a:xfrm>
                    <a:off x="0" y="0"/>
                    <a:ext cx="6809232" cy="761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59.35pt;margin-top:725.8pt;width:14.2pt;height:22.05pt;z-index:-7504;mso-position-horizontal-relative:page;mso-position-vertical-relative:page" filled="f" stroked="f">
          <v:textbox inset="0,0,0,0">
            <w:txbxContent>
              <w:p w:rsidR="009B33A9" w:rsidRDefault="005D514A">
                <w:pPr>
                  <w:spacing w:line="428" w:lineRule="exact"/>
                  <w:ind w:left="40"/>
                  <w:rPr>
                    <w:rFonts w:ascii="Calibri"/>
                    <w:sz w:val="40"/>
                  </w:rPr>
                </w:pPr>
                <w:r>
                  <w:fldChar w:fldCharType="begin"/>
                </w:r>
                <w:r>
                  <w:rPr>
                    <w:rFonts w:ascii="Calibri"/>
                    <w:color w:val="800000"/>
                    <w:sz w:val="40"/>
                  </w:rPr>
                  <w:instrText xml:space="preserve"> PAGE </w:instrText>
                </w:r>
                <w:r>
                  <w:fldChar w:fldCharType="separate"/>
                </w:r>
                <w:r>
                  <w:rPr>
                    <w:rFonts w:ascii="Calibri"/>
                    <w:noProof/>
                    <w:color w:val="800000"/>
                    <w:sz w:val="40"/>
                  </w:rPr>
                  <w:t>7</w:t>
                </w:r>
                <w:r>
                  <w:fldChar w:fldCharType="end"/>
                </w:r>
              </w:p>
            </w:txbxContent>
          </v:textbox>
          <w10:wrap anchorx="page" anchory="page"/>
        </v:shape>
      </w:pict>
    </w:r>
    <w:r>
      <w:pict>
        <v:shape id="_x0000_s2049" type="#_x0000_t202" style="position:absolute;margin-left:57.2pt;margin-top:729.8pt;width:211.3pt;height:11pt;z-index:-7480;mso-position-horizontal-relative:page;mso-position-vertical-relative:page" filled="f" stroked="f">
          <v:textbox inset="0,0,0,0">
            <w:txbxContent>
              <w:p w:rsidR="009B33A9" w:rsidRDefault="005D514A">
                <w:pPr>
                  <w:spacing w:before="15"/>
                  <w:ind w:left="20"/>
                  <w:rPr>
                    <w:rFonts w:ascii="Arial"/>
                    <w:b/>
                    <w:sz w:val="16"/>
                  </w:rPr>
                </w:pPr>
                <w:r>
                  <w:rPr>
                    <w:rFonts w:ascii="Arial"/>
                    <w:b/>
                    <w:color w:val="585858"/>
                    <w:sz w:val="16"/>
                  </w:rPr>
                  <w:t>N</w:t>
                </w:r>
                <w:r>
                  <w:rPr>
                    <w:rFonts w:ascii="Arial"/>
                    <w:b/>
                    <w:color w:val="585858"/>
                    <w:spacing w:val="-12"/>
                    <w:sz w:val="16"/>
                  </w:rPr>
                  <w:t xml:space="preserve"> </w:t>
                </w:r>
                <w:r>
                  <w:rPr>
                    <w:rFonts w:ascii="Arial"/>
                    <w:b/>
                    <w:color w:val="585858"/>
                    <w:sz w:val="16"/>
                  </w:rPr>
                  <w:t>A</w:t>
                </w:r>
                <w:r>
                  <w:rPr>
                    <w:rFonts w:ascii="Arial"/>
                    <w:b/>
                    <w:color w:val="585858"/>
                    <w:spacing w:val="-20"/>
                    <w:sz w:val="16"/>
                  </w:rPr>
                  <w:t xml:space="preserve"> </w:t>
                </w:r>
                <w:r>
                  <w:rPr>
                    <w:rFonts w:ascii="Arial"/>
                    <w:b/>
                    <w:color w:val="585858"/>
                    <w:sz w:val="16"/>
                  </w:rPr>
                  <w:t>T</w:t>
                </w:r>
                <w:r>
                  <w:rPr>
                    <w:rFonts w:ascii="Arial"/>
                    <w:b/>
                    <w:color w:val="585858"/>
                    <w:spacing w:val="-16"/>
                    <w:sz w:val="16"/>
                  </w:rPr>
                  <w:t xml:space="preserve"> </w:t>
                </w:r>
                <w:r>
                  <w:rPr>
                    <w:rFonts w:ascii="Arial"/>
                    <w:b/>
                    <w:color w:val="585858"/>
                    <w:sz w:val="16"/>
                  </w:rPr>
                  <w:t>I</w:t>
                </w:r>
                <w:r>
                  <w:rPr>
                    <w:rFonts w:ascii="Arial"/>
                    <w:b/>
                    <w:color w:val="585858"/>
                    <w:spacing w:val="-13"/>
                    <w:sz w:val="16"/>
                  </w:rPr>
                  <w:t xml:space="preserve"> </w:t>
                </w:r>
                <w:r>
                  <w:rPr>
                    <w:rFonts w:ascii="Arial"/>
                    <w:b/>
                    <w:color w:val="585858"/>
                    <w:sz w:val="16"/>
                  </w:rPr>
                  <w:t>O</w:t>
                </w:r>
                <w:r>
                  <w:rPr>
                    <w:rFonts w:ascii="Arial"/>
                    <w:b/>
                    <w:color w:val="585858"/>
                    <w:spacing w:val="-14"/>
                    <w:sz w:val="16"/>
                  </w:rPr>
                  <w:t xml:space="preserve"> </w:t>
                </w:r>
                <w:r>
                  <w:rPr>
                    <w:rFonts w:ascii="Arial"/>
                    <w:b/>
                    <w:color w:val="585858"/>
                    <w:sz w:val="16"/>
                  </w:rPr>
                  <w:t>N</w:t>
                </w:r>
                <w:r>
                  <w:rPr>
                    <w:rFonts w:ascii="Arial"/>
                    <w:b/>
                    <w:color w:val="585858"/>
                    <w:spacing w:val="-15"/>
                    <w:sz w:val="16"/>
                  </w:rPr>
                  <w:t xml:space="preserve"> </w:t>
                </w:r>
                <w:r>
                  <w:rPr>
                    <w:rFonts w:ascii="Arial"/>
                    <w:b/>
                    <w:color w:val="585858"/>
                    <w:sz w:val="16"/>
                  </w:rPr>
                  <w:t>A</w:t>
                </w:r>
                <w:r>
                  <w:rPr>
                    <w:rFonts w:ascii="Arial"/>
                    <w:b/>
                    <w:color w:val="585858"/>
                    <w:spacing w:val="-22"/>
                    <w:sz w:val="16"/>
                  </w:rPr>
                  <w:t xml:space="preserve"> </w:t>
                </w:r>
                <w:r>
                  <w:rPr>
                    <w:rFonts w:ascii="Arial"/>
                    <w:b/>
                    <w:color w:val="585858"/>
                    <w:sz w:val="16"/>
                  </w:rPr>
                  <w:t xml:space="preserve">L </w:t>
                </w:r>
                <w:r>
                  <w:rPr>
                    <w:rFonts w:ascii="Arial"/>
                    <w:b/>
                    <w:color w:val="585858"/>
                    <w:spacing w:val="20"/>
                    <w:sz w:val="16"/>
                  </w:rPr>
                  <w:t xml:space="preserve"> </w:t>
                </w:r>
                <w:r>
                  <w:rPr>
                    <w:rFonts w:ascii="Arial"/>
                    <w:b/>
                    <w:color w:val="585858"/>
                    <w:sz w:val="16"/>
                  </w:rPr>
                  <w:t>C</w:t>
                </w:r>
                <w:r>
                  <w:rPr>
                    <w:rFonts w:ascii="Arial"/>
                    <w:b/>
                    <w:color w:val="585858"/>
                    <w:spacing w:val="-17"/>
                    <w:sz w:val="16"/>
                  </w:rPr>
                  <w:t xml:space="preserve"> </w:t>
                </w:r>
                <w:r>
                  <w:rPr>
                    <w:rFonts w:ascii="Arial"/>
                    <w:b/>
                    <w:color w:val="585858"/>
                    <w:sz w:val="16"/>
                  </w:rPr>
                  <w:t>O</w:t>
                </w:r>
                <w:r>
                  <w:rPr>
                    <w:rFonts w:ascii="Arial"/>
                    <w:b/>
                    <w:color w:val="585858"/>
                    <w:spacing w:val="-12"/>
                    <w:sz w:val="16"/>
                  </w:rPr>
                  <w:t xml:space="preserve"> </w:t>
                </w:r>
                <w:r>
                  <w:rPr>
                    <w:rFonts w:ascii="Arial"/>
                    <w:b/>
                    <w:color w:val="585858"/>
                    <w:sz w:val="16"/>
                  </w:rPr>
                  <w:t>A</w:t>
                </w:r>
                <w:r>
                  <w:rPr>
                    <w:rFonts w:ascii="Arial"/>
                    <w:b/>
                    <w:color w:val="585858"/>
                    <w:spacing w:val="-22"/>
                    <w:sz w:val="16"/>
                  </w:rPr>
                  <w:t xml:space="preserve"> </w:t>
                </w:r>
                <w:r>
                  <w:rPr>
                    <w:rFonts w:ascii="Arial"/>
                    <w:b/>
                    <w:color w:val="585858"/>
                    <w:sz w:val="16"/>
                  </w:rPr>
                  <w:t>L</w:t>
                </w:r>
                <w:r>
                  <w:rPr>
                    <w:rFonts w:ascii="Arial"/>
                    <w:b/>
                    <w:color w:val="585858"/>
                    <w:spacing w:val="-14"/>
                    <w:sz w:val="16"/>
                  </w:rPr>
                  <w:t xml:space="preserve"> </w:t>
                </w:r>
                <w:r>
                  <w:rPr>
                    <w:rFonts w:ascii="Arial"/>
                    <w:b/>
                    <w:color w:val="585858"/>
                    <w:sz w:val="16"/>
                  </w:rPr>
                  <w:t>I</w:t>
                </w:r>
                <w:r>
                  <w:rPr>
                    <w:rFonts w:ascii="Arial"/>
                    <w:b/>
                    <w:color w:val="585858"/>
                    <w:spacing w:val="-13"/>
                    <w:sz w:val="16"/>
                  </w:rPr>
                  <w:t xml:space="preserve"> </w:t>
                </w:r>
                <w:r>
                  <w:rPr>
                    <w:rFonts w:ascii="Arial"/>
                    <w:b/>
                    <w:color w:val="585858"/>
                    <w:sz w:val="16"/>
                  </w:rPr>
                  <w:t>T</w:t>
                </w:r>
                <w:r>
                  <w:rPr>
                    <w:rFonts w:ascii="Arial"/>
                    <w:b/>
                    <w:color w:val="585858"/>
                    <w:spacing w:val="-16"/>
                    <w:sz w:val="16"/>
                  </w:rPr>
                  <w:t xml:space="preserve"> </w:t>
                </w:r>
                <w:r>
                  <w:rPr>
                    <w:rFonts w:ascii="Arial"/>
                    <w:b/>
                    <w:color w:val="585858"/>
                    <w:sz w:val="16"/>
                  </w:rPr>
                  <w:t>I</w:t>
                </w:r>
                <w:r>
                  <w:rPr>
                    <w:rFonts w:ascii="Arial"/>
                    <w:b/>
                    <w:color w:val="585858"/>
                    <w:spacing w:val="-15"/>
                    <w:sz w:val="16"/>
                  </w:rPr>
                  <w:t xml:space="preserve"> </w:t>
                </w:r>
                <w:r>
                  <w:rPr>
                    <w:rFonts w:ascii="Arial"/>
                    <w:b/>
                    <w:color w:val="585858"/>
                    <w:sz w:val="16"/>
                  </w:rPr>
                  <w:t>O</w:t>
                </w:r>
                <w:r>
                  <w:rPr>
                    <w:rFonts w:ascii="Arial"/>
                    <w:b/>
                    <w:color w:val="585858"/>
                    <w:spacing w:val="-14"/>
                    <w:sz w:val="16"/>
                  </w:rPr>
                  <w:t xml:space="preserve"> </w:t>
                </w:r>
                <w:r>
                  <w:rPr>
                    <w:rFonts w:ascii="Arial"/>
                    <w:b/>
                    <w:color w:val="585858"/>
                    <w:sz w:val="16"/>
                  </w:rPr>
                  <w:t xml:space="preserve">N </w:t>
                </w:r>
                <w:r>
                  <w:rPr>
                    <w:rFonts w:ascii="Arial"/>
                    <w:b/>
                    <w:color w:val="585858"/>
                    <w:spacing w:val="14"/>
                    <w:sz w:val="16"/>
                  </w:rPr>
                  <w:t xml:space="preserve"> </w:t>
                </w:r>
                <w:r>
                  <w:rPr>
                    <w:rFonts w:ascii="Arial"/>
                    <w:b/>
                    <w:color w:val="585858"/>
                    <w:sz w:val="16"/>
                  </w:rPr>
                  <w:t>O</w:t>
                </w:r>
                <w:r>
                  <w:rPr>
                    <w:rFonts w:ascii="Arial"/>
                    <w:b/>
                    <w:color w:val="585858"/>
                    <w:spacing w:val="-11"/>
                    <w:sz w:val="16"/>
                  </w:rPr>
                  <w:t xml:space="preserve"> </w:t>
                </w:r>
                <w:r>
                  <w:rPr>
                    <w:rFonts w:ascii="Arial"/>
                    <w:b/>
                    <w:color w:val="585858"/>
                    <w:sz w:val="16"/>
                  </w:rPr>
                  <w:t xml:space="preserve">N </w:t>
                </w:r>
                <w:r>
                  <w:rPr>
                    <w:rFonts w:ascii="Arial"/>
                    <w:b/>
                    <w:color w:val="585858"/>
                    <w:spacing w:val="16"/>
                    <w:sz w:val="16"/>
                  </w:rPr>
                  <w:t xml:space="preserve"> </w:t>
                </w:r>
                <w:r>
                  <w:rPr>
                    <w:rFonts w:ascii="Arial"/>
                    <w:b/>
                    <w:color w:val="585858"/>
                    <w:sz w:val="16"/>
                  </w:rPr>
                  <w:t>H</w:t>
                </w:r>
                <w:r>
                  <w:rPr>
                    <w:rFonts w:ascii="Arial"/>
                    <w:b/>
                    <w:color w:val="585858"/>
                    <w:spacing w:val="-17"/>
                    <w:sz w:val="16"/>
                  </w:rPr>
                  <w:t xml:space="preserve"> </w:t>
                </w:r>
                <w:r>
                  <w:rPr>
                    <w:rFonts w:ascii="Arial"/>
                    <w:b/>
                    <w:color w:val="585858"/>
                    <w:sz w:val="16"/>
                  </w:rPr>
                  <w:t>E</w:t>
                </w:r>
                <w:r>
                  <w:rPr>
                    <w:rFonts w:ascii="Arial"/>
                    <w:b/>
                    <w:color w:val="585858"/>
                    <w:spacing w:val="-13"/>
                    <w:sz w:val="16"/>
                  </w:rPr>
                  <w:t xml:space="preserve"> </w:t>
                </w:r>
                <w:r>
                  <w:rPr>
                    <w:rFonts w:ascii="Arial"/>
                    <w:b/>
                    <w:color w:val="585858"/>
                    <w:sz w:val="16"/>
                  </w:rPr>
                  <w:t>A</w:t>
                </w:r>
                <w:r>
                  <w:rPr>
                    <w:rFonts w:ascii="Arial"/>
                    <w:b/>
                    <w:color w:val="585858"/>
                    <w:spacing w:val="-22"/>
                    <w:sz w:val="16"/>
                  </w:rPr>
                  <w:t xml:space="preserve"> </w:t>
                </w:r>
                <w:r>
                  <w:rPr>
                    <w:rFonts w:ascii="Arial"/>
                    <w:b/>
                    <w:color w:val="585858"/>
                    <w:sz w:val="16"/>
                  </w:rPr>
                  <w:t>L</w:t>
                </w:r>
                <w:r>
                  <w:rPr>
                    <w:rFonts w:ascii="Arial"/>
                    <w:b/>
                    <w:color w:val="585858"/>
                    <w:spacing w:val="-14"/>
                    <w:sz w:val="16"/>
                  </w:rPr>
                  <w:t xml:space="preserve"> </w:t>
                </w:r>
                <w:r>
                  <w:rPr>
                    <w:rFonts w:ascii="Arial"/>
                    <w:b/>
                    <w:color w:val="585858"/>
                    <w:sz w:val="16"/>
                  </w:rPr>
                  <w:t>T</w:t>
                </w:r>
                <w:r>
                  <w:rPr>
                    <w:rFonts w:ascii="Arial"/>
                    <w:b/>
                    <w:color w:val="585858"/>
                    <w:spacing w:val="-16"/>
                    <w:sz w:val="16"/>
                  </w:rPr>
                  <w:t xml:space="preserve"> </w:t>
                </w:r>
                <w:r>
                  <w:rPr>
                    <w:rFonts w:ascii="Arial"/>
                    <w:b/>
                    <w:color w:val="585858"/>
                    <w:sz w:val="16"/>
                  </w:rPr>
                  <w:t xml:space="preserve">H </w:t>
                </w:r>
                <w:r>
                  <w:rPr>
                    <w:rFonts w:ascii="Arial"/>
                    <w:b/>
                    <w:color w:val="585858"/>
                    <w:spacing w:val="18"/>
                    <w:sz w:val="16"/>
                  </w:rPr>
                  <w:t xml:space="preserve"> </w:t>
                </w:r>
                <w:r>
                  <w:rPr>
                    <w:rFonts w:ascii="Arial"/>
                    <w:b/>
                    <w:color w:val="585858"/>
                    <w:sz w:val="16"/>
                  </w:rPr>
                  <w:t>C</w:t>
                </w:r>
                <w:r>
                  <w:rPr>
                    <w:rFonts w:ascii="Arial"/>
                    <w:b/>
                    <w:color w:val="585858"/>
                    <w:spacing w:val="-12"/>
                    <w:sz w:val="16"/>
                  </w:rPr>
                  <w:t xml:space="preserve"> </w:t>
                </w:r>
                <w:r>
                  <w:rPr>
                    <w:rFonts w:ascii="Arial"/>
                    <w:b/>
                    <w:color w:val="585858"/>
                    <w:sz w:val="16"/>
                  </w:rPr>
                  <w:t>A</w:t>
                </w:r>
                <w:r>
                  <w:rPr>
                    <w:rFonts w:ascii="Arial"/>
                    <w:b/>
                    <w:color w:val="585858"/>
                    <w:spacing w:val="-22"/>
                    <w:sz w:val="16"/>
                  </w:rPr>
                  <w:t xml:space="preserve"> </w:t>
                </w:r>
                <w:r>
                  <w:rPr>
                    <w:rFonts w:ascii="Arial"/>
                    <w:b/>
                    <w:color w:val="585858"/>
                    <w:sz w:val="16"/>
                  </w:rPr>
                  <w:t>R</w:t>
                </w:r>
                <w:r>
                  <w:rPr>
                    <w:rFonts w:ascii="Arial"/>
                    <w:b/>
                    <w:color w:val="585858"/>
                    <w:spacing w:val="-15"/>
                    <w:sz w:val="16"/>
                  </w:rPr>
                  <w:t xml:space="preserve"> </w:t>
                </w:r>
                <w:r>
                  <w:rPr>
                    <w:rFonts w:ascii="Arial"/>
                    <w:b/>
                    <w:color w:val="585858"/>
                    <w:sz w:val="16"/>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D514A">
      <w:r>
        <w:separator/>
      </w:r>
    </w:p>
  </w:footnote>
  <w:footnote w:type="continuationSeparator" w:id="0">
    <w:p w:rsidR="00000000" w:rsidRDefault="005D5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51F31"/>
    <w:multiLevelType w:val="hybridMultilevel"/>
    <w:tmpl w:val="A8DEBCF6"/>
    <w:lvl w:ilvl="0" w:tplc="BE48768E">
      <w:numFmt w:val="bullet"/>
      <w:lvlText w:val=""/>
      <w:lvlJc w:val="left"/>
      <w:pPr>
        <w:ind w:left="1120" w:hanging="360"/>
      </w:pPr>
      <w:rPr>
        <w:rFonts w:ascii="Symbol" w:eastAsia="Symbol" w:hAnsi="Symbol" w:cs="Symbol" w:hint="default"/>
        <w:w w:val="100"/>
        <w:sz w:val="24"/>
        <w:szCs w:val="24"/>
      </w:rPr>
    </w:lvl>
    <w:lvl w:ilvl="1" w:tplc="A14E9A4A">
      <w:numFmt w:val="bullet"/>
      <w:lvlText w:val="•"/>
      <w:lvlJc w:val="left"/>
      <w:pPr>
        <w:ind w:left="2102" w:hanging="360"/>
      </w:pPr>
      <w:rPr>
        <w:rFonts w:hint="default"/>
      </w:rPr>
    </w:lvl>
    <w:lvl w:ilvl="2" w:tplc="A18865A8">
      <w:numFmt w:val="bullet"/>
      <w:lvlText w:val="•"/>
      <w:lvlJc w:val="left"/>
      <w:pPr>
        <w:ind w:left="3084" w:hanging="360"/>
      </w:pPr>
      <w:rPr>
        <w:rFonts w:hint="default"/>
      </w:rPr>
    </w:lvl>
    <w:lvl w:ilvl="3" w:tplc="672C5C1A">
      <w:numFmt w:val="bullet"/>
      <w:lvlText w:val="•"/>
      <w:lvlJc w:val="left"/>
      <w:pPr>
        <w:ind w:left="4066" w:hanging="360"/>
      </w:pPr>
      <w:rPr>
        <w:rFonts w:hint="default"/>
      </w:rPr>
    </w:lvl>
    <w:lvl w:ilvl="4" w:tplc="D206D1C8">
      <w:numFmt w:val="bullet"/>
      <w:lvlText w:val="•"/>
      <w:lvlJc w:val="left"/>
      <w:pPr>
        <w:ind w:left="5048" w:hanging="360"/>
      </w:pPr>
      <w:rPr>
        <w:rFonts w:hint="default"/>
      </w:rPr>
    </w:lvl>
    <w:lvl w:ilvl="5" w:tplc="A4665D74">
      <w:numFmt w:val="bullet"/>
      <w:lvlText w:val="•"/>
      <w:lvlJc w:val="left"/>
      <w:pPr>
        <w:ind w:left="6030" w:hanging="360"/>
      </w:pPr>
      <w:rPr>
        <w:rFonts w:hint="default"/>
      </w:rPr>
    </w:lvl>
    <w:lvl w:ilvl="6" w:tplc="8A28BE58">
      <w:numFmt w:val="bullet"/>
      <w:lvlText w:val="•"/>
      <w:lvlJc w:val="left"/>
      <w:pPr>
        <w:ind w:left="7012" w:hanging="360"/>
      </w:pPr>
      <w:rPr>
        <w:rFonts w:hint="default"/>
      </w:rPr>
    </w:lvl>
    <w:lvl w:ilvl="7" w:tplc="CB5E7ECC">
      <w:numFmt w:val="bullet"/>
      <w:lvlText w:val="•"/>
      <w:lvlJc w:val="left"/>
      <w:pPr>
        <w:ind w:left="7994" w:hanging="360"/>
      </w:pPr>
      <w:rPr>
        <w:rFonts w:hint="default"/>
      </w:rPr>
    </w:lvl>
    <w:lvl w:ilvl="8" w:tplc="E07EF7B0">
      <w:numFmt w:val="bullet"/>
      <w:lvlText w:val="•"/>
      <w:lvlJc w:val="left"/>
      <w:pPr>
        <w:ind w:left="8976" w:hanging="360"/>
      </w:pPr>
      <w:rPr>
        <w:rFonts w:hint="default"/>
      </w:rPr>
    </w:lvl>
  </w:abstractNum>
  <w:abstractNum w:abstractNumId="1" w15:restartNumberingAfterBreak="0">
    <w:nsid w:val="50FC06EF"/>
    <w:multiLevelType w:val="hybridMultilevel"/>
    <w:tmpl w:val="7B4EBFCE"/>
    <w:lvl w:ilvl="0" w:tplc="E2D818D8">
      <w:numFmt w:val="bullet"/>
      <w:lvlText w:val=""/>
      <w:lvlJc w:val="left"/>
      <w:pPr>
        <w:ind w:left="1480" w:hanging="360"/>
      </w:pPr>
      <w:rPr>
        <w:rFonts w:ascii="Symbol" w:eastAsia="Symbol" w:hAnsi="Symbol" w:cs="Symbol" w:hint="default"/>
        <w:w w:val="100"/>
        <w:sz w:val="24"/>
        <w:szCs w:val="24"/>
      </w:rPr>
    </w:lvl>
    <w:lvl w:ilvl="1" w:tplc="78DABE8A">
      <w:numFmt w:val="bullet"/>
      <w:lvlText w:val="•"/>
      <w:lvlJc w:val="left"/>
      <w:pPr>
        <w:ind w:left="2426" w:hanging="360"/>
      </w:pPr>
      <w:rPr>
        <w:rFonts w:hint="default"/>
      </w:rPr>
    </w:lvl>
    <w:lvl w:ilvl="2" w:tplc="66089A06">
      <w:numFmt w:val="bullet"/>
      <w:lvlText w:val="•"/>
      <w:lvlJc w:val="left"/>
      <w:pPr>
        <w:ind w:left="3372" w:hanging="360"/>
      </w:pPr>
      <w:rPr>
        <w:rFonts w:hint="default"/>
      </w:rPr>
    </w:lvl>
    <w:lvl w:ilvl="3" w:tplc="576AFB12">
      <w:numFmt w:val="bullet"/>
      <w:lvlText w:val="•"/>
      <w:lvlJc w:val="left"/>
      <w:pPr>
        <w:ind w:left="4318" w:hanging="360"/>
      </w:pPr>
      <w:rPr>
        <w:rFonts w:hint="default"/>
      </w:rPr>
    </w:lvl>
    <w:lvl w:ilvl="4" w:tplc="AE3CC3BA">
      <w:numFmt w:val="bullet"/>
      <w:lvlText w:val="•"/>
      <w:lvlJc w:val="left"/>
      <w:pPr>
        <w:ind w:left="5264" w:hanging="360"/>
      </w:pPr>
      <w:rPr>
        <w:rFonts w:hint="default"/>
      </w:rPr>
    </w:lvl>
    <w:lvl w:ilvl="5" w:tplc="3DBCB536">
      <w:numFmt w:val="bullet"/>
      <w:lvlText w:val="•"/>
      <w:lvlJc w:val="left"/>
      <w:pPr>
        <w:ind w:left="6210" w:hanging="360"/>
      </w:pPr>
      <w:rPr>
        <w:rFonts w:hint="default"/>
      </w:rPr>
    </w:lvl>
    <w:lvl w:ilvl="6" w:tplc="8AFA31EE">
      <w:numFmt w:val="bullet"/>
      <w:lvlText w:val="•"/>
      <w:lvlJc w:val="left"/>
      <w:pPr>
        <w:ind w:left="7156" w:hanging="360"/>
      </w:pPr>
      <w:rPr>
        <w:rFonts w:hint="default"/>
      </w:rPr>
    </w:lvl>
    <w:lvl w:ilvl="7" w:tplc="FE80F792">
      <w:numFmt w:val="bullet"/>
      <w:lvlText w:val="•"/>
      <w:lvlJc w:val="left"/>
      <w:pPr>
        <w:ind w:left="8102" w:hanging="360"/>
      </w:pPr>
      <w:rPr>
        <w:rFonts w:hint="default"/>
      </w:rPr>
    </w:lvl>
    <w:lvl w:ilvl="8" w:tplc="6756E450">
      <w:numFmt w:val="bullet"/>
      <w:lvlText w:val="•"/>
      <w:lvlJc w:val="left"/>
      <w:pPr>
        <w:ind w:left="9048" w:hanging="360"/>
      </w:pPr>
      <w:rPr>
        <w:rFonts w:hint="default"/>
      </w:rPr>
    </w:lvl>
  </w:abstractNum>
  <w:abstractNum w:abstractNumId="2" w15:restartNumberingAfterBreak="0">
    <w:nsid w:val="6F944C5A"/>
    <w:multiLevelType w:val="hybridMultilevel"/>
    <w:tmpl w:val="A8705630"/>
    <w:lvl w:ilvl="0" w:tplc="FC0AB4EC">
      <w:start w:val="1"/>
      <w:numFmt w:val="decimal"/>
      <w:lvlText w:val="%1."/>
      <w:lvlJc w:val="left"/>
      <w:pPr>
        <w:ind w:left="1120" w:hanging="360"/>
        <w:jc w:val="left"/>
      </w:pPr>
      <w:rPr>
        <w:rFonts w:ascii="Cambria" w:eastAsia="Cambria" w:hAnsi="Cambria" w:cs="Cambria" w:hint="default"/>
        <w:spacing w:val="-4"/>
        <w:w w:val="99"/>
        <w:sz w:val="24"/>
        <w:szCs w:val="24"/>
      </w:rPr>
    </w:lvl>
    <w:lvl w:ilvl="1" w:tplc="4880BA7E">
      <w:numFmt w:val="bullet"/>
      <w:lvlText w:val="•"/>
      <w:lvlJc w:val="left"/>
      <w:pPr>
        <w:ind w:left="2102" w:hanging="360"/>
      </w:pPr>
      <w:rPr>
        <w:rFonts w:hint="default"/>
      </w:rPr>
    </w:lvl>
    <w:lvl w:ilvl="2" w:tplc="2AAA329E">
      <w:numFmt w:val="bullet"/>
      <w:lvlText w:val="•"/>
      <w:lvlJc w:val="left"/>
      <w:pPr>
        <w:ind w:left="3084" w:hanging="360"/>
      </w:pPr>
      <w:rPr>
        <w:rFonts w:hint="default"/>
      </w:rPr>
    </w:lvl>
    <w:lvl w:ilvl="3" w:tplc="507E5E02">
      <w:numFmt w:val="bullet"/>
      <w:lvlText w:val="•"/>
      <w:lvlJc w:val="left"/>
      <w:pPr>
        <w:ind w:left="4066" w:hanging="360"/>
      </w:pPr>
      <w:rPr>
        <w:rFonts w:hint="default"/>
      </w:rPr>
    </w:lvl>
    <w:lvl w:ilvl="4" w:tplc="CE0C49EC">
      <w:numFmt w:val="bullet"/>
      <w:lvlText w:val="•"/>
      <w:lvlJc w:val="left"/>
      <w:pPr>
        <w:ind w:left="5048" w:hanging="360"/>
      </w:pPr>
      <w:rPr>
        <w:rFonts w:hint="default"/>
      </w:rPr>
    </w:lvl>
    <w:lvl w:ilvl="5" w:tplc="4C246D2A">
      <w:numFmt w:val="bullet"/>
      <w:lvlText w:val="•"/>
      <w:lvlJc w:val="left"/>
      <w:pPr>
        <w:ind w:left="6030" w:hanging="360"/>
      </w:pPr>
      <w:rPr>
        <w:rFonts w:hint="default"/>
      </w:rPr>
    </w:lvl>
    <w:lvl w:ilvl="6" w:tplc="56BE4D28">
      <w:numFmt w:val="bullet"/>
      <w:lvlText w:val="•"/>
      <w:lvlJc w:val="left"/>
      <w:pPr>
        <w:ind w:left="7012" w:hanging="360"/>
      </w:pPr>
      <w:rPr>
        <w:rFonts w:hint="default"/>
      </w:rPr>
    </w:lvl>
    <w:lvl w:ilvl="7" w:tplc="792C2AF6">
      <w:numFmt w:val="bullet"/>
      <w:lvlText w:val="•"/>
      <w:lvlJc w:val="left"/>
      <w:pPr>
        <w:ind w:left="7994" w:hanging="360"/>
      </w:pPr>
      <w:rPr>
        <w:rFonts w:hint="default"/>
      </w:rPr>
    </w:lvl>
    <w:lvl w:ilvl="8" w:tplc="ABF42F48">
      <w:numFmt w:val="bullet"/>
      <w:lvlText w:val="•"/>
      <w:lvlJc w:val="left"/>
      <w:pPr>
        <w:ind w:left="8976"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B33A9"/>
    <w:rsid w:val="005D514A"/>
    <w:rsid w:val="009B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A4207AB-1DFD-4833-B786-4A7CB45C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20" w:right="49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mailto:lmcneely@nchc.org" TargetMode="External"/><Relationship Id="rId2" Type="http://schemas.openxmlformats.org/officeDocument/2006/relationships/styles" Target="styles.xml"/><Relationship Id="rId16" Type="http://schemas.openxmlformats.org/officeDocument/2006/relationships/hyperlink" Target="https://www.kff.org/medicare/issue-brief/medicare-advantage-2018-data-spotlight-first-loo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h.umich.edu/vbidcen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2510</Words>
  <Characters>14533</Characters>
  <Application>Microsoft Office Word</Application>
  <DocSecurity>0</DocSecurity>
  <Lines>415</Lines>
  <Paragraphs>124</Paragraphs>
  <ScaleCrop>false</ScaleCrop>
  <Company>CMS</Company>
  <LinksUpToDate>false</LinksUpToDate>
  <CharactersWithSpaces>16919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Harnish</dc:creator>
  <cp:lastModifiedBy>Arthur Pignotti</cp:lastModifiedBy>
  <cp:revision>2</cp:revision>
  <dcterms:created xsi:type="dcterms:W3CDTF">2018-06-14T21:55:00Z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