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87F" w:rsidRDefault="00D4787F">
      <w:pPr>
        <w:pStyle w:val="BodyText"/>
        <w:rPr>
          <w:rFonts w:ascii="Times New Roman"/>
          <w:sz w:val="20"/>
        </w:rPr>
      </w:pPr>
    </w:p>
    <w:p w:rsidR="00D4787F" w:rsidRDefault="00D4787F">
      <w:pPr>
        <w:pStyle w:val="BodyText"/>
        <w:rPr>
          <w:rFonts w:ascii="Times New Roman"/>
          <w:sz w:val="20"/>
        </w:rPr>
      </w:pPr>
    </w:p>
    <w:p w:rsidR="00D4787F" w:rsidRDefault="00D4787F">
      <w:pPr>
        <w:pStyle w:val="BodyText"/>
        <w:rPr>
          <w:rFonts w:ascii="Times New Roman"/>
          <w:sz w:val="20"/>
        </w:rPr>
      </w:pPr>
    </w:p>
    <w:p w:rsidR="00D4787F" w:rsidRDefault="00D4787F">
      <w:pPr>
        <w:pStyle w:val="BodyText"/>
        <w:spacing w:before="9"/>
        <w:rPr>
          <w:rFonts w:ascii="Times New Roman"/>
          <w:sz w:val="24"/>
        </w:rPr>
      </w:pPr>
    </w:p>
    <w:p w:rsidR="00D4787F" w:rsidRDefault="00871FEB">
      <w:pPr>
        <w:pStyle w:val="BodyText"/>
        <w:spacing w:before="101"/>
        <w:ind w:left="100"/>
        <w:jc w:val="both"/>
      </w:pPr>
      <w:r>
        <w:t>Demetrios Kouzoukas</w:t>
      </w:r>
    </w:p>
    <w:p w:rsidR="00D4787F" w:rsidRDefault="00871FEB">
      <w:pPr>
        <w:pStyle w:val="BodyText"/>
        <w:spacing w:before="40" w:line="273" w:lineRule="auto"/>
        <w:ind w:left="100" w:right="4933"/>
      </w:pPr>
      <w:r>
        <w:t>Principal Deputy Administrator and Director Center for Medicare</w:t>
      </w:r>
    </w:p>
    <w:p w:rsidR="00D4787F" w:rsidRDefault="00D4787F">
      <w:pPr>
        <w:pStyle w:val="BodyText"/>
        <w:rPr>
          <w:sz w:val="26"/>
        </w:rPr>
      </w:pPr>
    </w:p>
    <w:p w:rsidR="00D4787F" w:rsidRDefault="00D4787F">
      <w:pPr>
        <w:pStyle w:val="BodyText"/>
        <w:spacing w:before="2"/>
        <w:rPr>
          <w:sz w:val="20"/>
        </w:rPr>
      </w:pPr>
    </w:p>
    <w:p w:rsidR="00D4787F" w:rsidRDefault="00871FEB">
      <w:pPr>
        <w:pStyle w:val="BodyText"/>
        <w:ind w:left="100"/>
        <w:jc w:val="both"/>
      </w:pPr>
      <w:r>
        <w:t>6 February 2018</w:t>
      </w:r>
    </w:p>
    <w:p w:rsidR="00D4787F" w:rsidRDefault="00D4787F">
      <w:pPr>
        <w:pStyle w:val="BodyText"/>
        <w:spacing w:before="5"/>
        <w:rPr>
          <w:sz w:val="23"/>
        </w:rPr>
      </w:pPr>
    </w:p>
    <w:p w:rsidR="00D4787F" w:rsidRDefault="00871FEB">
      <w:pPr>
        <w:pStyle w:val="Heading1"/>
        <w:spacing w:line="276" w:lineRule="auto"/>
        <w:ind w:right="118"/>
      </w:pPr>
      <w:r>
        <w:t>Docket No. CMS-2017-0163 for “Advance Notice of Methodological Changes for Calendar</w:t>
      </w:r>
      <w:r>
        <w:rPr>
          <w:spacing w:val="-10"/>
        </w:rPr>
        <w:t xml:space="preserve"> </w:t>
      </w:r>
      <w:r>
        <w:t>Year</w:t>
      </w:r>
      <w:r>
        <w:rPr>
          <w:spacing w:val="-10"/>
        </w:rPr>
        <w:t xml:space="preserve"> </w:t>
      </w:r>
      <w:r>
        <w:t>(CY)</w:t>
      </w:r>
      <w:r>
        <w:rPr>
          <w:spacing w:val="-9"/>
        </w:rPr>
        <w:t xml:space="preserve"> </w:t>
      </w:r>
      <w:r>
        <w:t>2019</w:t>
      </w:r>
      <w:r>
        <w:rPr>
          <w:spacing w:val="-11"/>
        </w:rPr>
        <w:t xml:space="preserve"> </w:t>
      </w:r>
      <w:r>
        <w:t>for</w:t>
      </w:r>
      <w:r>
        <w:rPr>
          <w:spacing w:val="-10"/>
        </w:rPr>
        <w:t xml:space="preserve"> </w:t>
      </w:r>
      <w:r>
        <w:t>Medicare</w:t>
      </w:r>
      <w:r>
        <w:rPr>
          <w:spacing w:val="-10"/>
        </w:rPr>
        <w:t xml:space="preserve"> </w:t>
      </w:r>
      <w:r>
        <w:t>Advantage</w:t>
      </w:r>
      <w:r>
        <w:rPr>
          <w:spacing w:val="-10"/>
        </w:rPr>
        <w:t xml:space="preserve"> </w:t>
      </w:r>
      <w:r>
        <w:t>(MA)</w:t>
      </w:r>
      <w:r>
        <w:rPr>
          <w:spacing w:val="-10"/>
        </w:rPr>
        <w:t xml:space="preserve"> </w:t>
      </w:r>
      <w:r>
        <w:t>Capitation</w:t>
      </w:r>
      <w:r>
        <w:rPr>
          <w:spacing w:val="-10"/>
        </w:rPr>
        <w:t xml:space="preserve"> </w:t>
      </w:r>
      <w:r>
        <w:t>Rates,</w:t>
      </w:r>
      <w:r>
        <w:rPr>
          <w:spacing w:val="-10"/>
        </w:rPr>
        <w:t xml:space="preserve"> </w:t>
      </w:r>
      <w:r>
        <w:t>Part</w:t>
      </w:r>
      <w:r>
        <w:rPr>
          <w:spacing w:val="-9"/>
        </w:rPr>
        <w:t xml:space="preserve"> </w:t>
      </w:r>
      <w:r>
        <w:t>C</w:t>
      </w:r>
      <w:r>
        <w:rPr>
          <w:spacing w:val="-11"/>
        </w:rPr>
        <w:t xml:space="preserve"> </w:t>
      </w:r>
      <w:r>
        <w:t>and Part D Payment Policies and 2019 draft Call</w:t>
      </w:r>
      <w:r>
        <w:rPr>
          <w:spacing w:val="-19"/>
        </w:rPr>
        <w:t xml:space="preserve"> </w:t>
      </w:r>
      <w:r>
        <w:t>Letter”</w:t>
      </w:r>
    </w:p>
    <w:p w:rsidR="00D4787F" w:rsidRDefault="00871FEB">
      <w:pPr>
        <w:pStyle w:val="BodyText"/>
        <w:spacing w:before="242"/>
        <w:ind w:left="100"/>
        <w:jc w:val="both"/>
      </w:pPr>
      <w:r>
        <w:t>Dear Sir,</w:t>
      </w:r>
    </w:p>
    <w:p w:rsidR="00D4787F" w:rsidRDefault="00D4787F">
      <w:pPr>
        <w:pStyle w:val="BodyText"/>
        <w:spacing w:before="7"/>
        <w:rPr>
          <w:sz w:val="23"/>
        </w:rPr>
      </w:pPr>
    </w:p>
    <w:p w:rsidR="00D4787F" w:rsidRDefault="00871FEB">
      <w:pPr>
        <w:pStyle w:val="BodyText"/>
        <w:spacing w:line="276" w:lineRule="auto"/>
        <w:ind w:left="100" w:right="113"/>
        <w:jc w:val="both"/>
      </w:pPr>
      <w:r>
        <w:t>We write regarding the proposal to implement additional drug utilization review controls for certain opioid prescriptions. Specifically, for 2019 CMS proposes a hard safety edit for high dose opioid</w:t>
      </w:r>
      <w:r>
        <w:rPr>
          <w:spacing w:val="-10"/>
        </w:rPr>
        <w:t xml:space="preserve"> </w:t>
      </w:r>
      <w:r>
        <w:t>prescriptions</w:t>
      </w:r>
      <w:r>
        <w:rPr>
          <w:spacing w:val="-8"/>
        </w:rPr>
        <w:t xml:space="preserve"> </w:t>
      </w:r>
      <w:r>
        <w:t>(&gt;90</w:t>
      </w:r>
      <w:r>
        <w:rPr>
          <w:spacing w:val="-12"/>
        </w:rPr>
        <w:t xml:space="preserve"> </w:t>
      </w:r>
      <w:r>
        <w:t>MME)</w:t>
      </w:r>
      <w:r>
        <w:rPr>
          <w:spacing w:val="-10"/>
        </w:rPr>
        <w:t xml:space="preserve"> </w:t>
      </w:r>
      <w:r>
        <w:t>and</w:t>
      </w:r>
      <w:r>
        <w:rPr>
          <w:spacing w:val="-12"/>
        </w:rPr>
        <w:t xml:space="preserve"> </w:t>
      </w:r>
      <w:r>
        <w:t>soft</w:t>
      </w:r>
      <w:r>
        <w:rPr>
          <w:spacing w:val="-13"/>
        </w:rPr>
        <w:t xml:space="preserve"> </w:t>
      </w:r>
      <w:r>
        <w:t>safety</w:t>
      </w:r>
      <w:r>
        <w:rPr>
          <w:spacing w:val="-13"/>
        </w:rPr>
        <w:t xml:space="preserve"> </w:t>
      </w:r>
      <w:r>
        <w:t>edits</w:t>
      </w:r>
      <w:r>
        <w:rPr>
          <w:spacing w:val="-11"/>
        </w:rPr>
        <w:t xml:space="preserve"> </w:t>
      </w:r>
      <w:r>
        <w:t>for</w:t>
      </w:r>
      <w:r>
        <w:rPr>
          <w:spacing w:val="-10"/>
        </w:rPr>
        <w:t xml:space="preserve"> </w:t>
      </w:r>
      <w:r>
        <w:t>(i)</w:t>
      </w:r>
      <w:r>
        <w:rPr>
          <w:spacing w:val="-10"/>
        </w:rPr>
        <w:t xml:space="preserve"> </w:t>
      </w:r>
      <w:r>
        <w:t>duplicative</w:t>
      </w:r>
      <w:r>
        <w:rPr>
          <w:spacing w:val="-10"/>
        </w:rPr>
        <w:t xml:space="preserve"> </w:t>
      </w:r>
      <w:r>
        <w:t>long</w:t>
      </w:r>
      <w:r>
        <w:rPr>
          <w:spacing w:val="-11"/>
        </w:rPr>
        <w:t xml:space="preserve"> </w:t>
      </w:r>
      <w:r>
        <w:t>acting</w:t>
      </w:r>
      <w:r>
        <w:rPr>
          <w:spacing w:val="-11"/>
        </w:rPr>
        <w:t xml:space="preserve"> </w:t>
      </w:r>
      <w:r>
        <w:t>opioid</w:t>
      </w:r>
      <w:r>
        <w:rPr>
          <w:spacing w:val="-10"/>
        </w:rPr>
        <w:t xml:space="preserve"> </w:t>
      </w:r>
      <w:r>
        <w:t>therapy and (ii) concurrent benzodiazepine and opioid</w:t>
      </w:r>
      <w:r>
        <w:rPr>
          <w:spacing w:val="-18"/>
        </w:rPr>
        <w:t xml:space="preserve"> </w:t>
      </w:r>
      <w:r>
        <w:t>use.</w:t>
      </w:r>
    </w:p>
    <w:p w:rsidR="00D4787F" w:rsidRDefault="00D4787F">
      <w:pPr>
        <w:pStyle w:val="BodyText"/>
        <w:spacing w:before="3"/>
        <w:rPr>
          <w:sz w:val="20"/>
        </w:rPr>
      </w:pPr>
    </w:p>
    <w:p w:rsidR="00D4787F" w:rsidRDefault="00871FEB">
      <w:pPr>
        <w:pStyle w:val="Heading1"/>
        <w:spacing w:before="1"/>
      </w:pPr>
      <w:r>
        <w:t>Recommendation</w:t>
      </w:r>
    </w:p>
    <w:p w:rsidR="00D4787F" w:rsidRDefault="00D4787F">
      <w:pPr>
        <w:pStyle w:val="BodyText"/>
        <w:spacing w:before="1"/>
        <w:rPr>
          <w:b/>
          <w:sz w:val="24"/>
        </w:rPr>
      </w:pPr>
    </w:p>
    <w:p w:rsidR="00D4787F" w:rsidRDefault="00871FEB">
      <w:pPr>
        <w:spacing w:line="276" w:lineRule="auto"/>
        <w:ind w:left="100" w:right="114"/>
        <w:jc w:val="both"/>
      </w:pPr>
      <w:r>
        <w:t>In situations where a hard or soft safety edit is triggered and overridden by the Sponsor or pharmacist</w:t>
      </w:r>
      <w:r>
        <w:rPr>
          <w:spacing w:val="-12"/>
        </w:rPr>
        <w:t xml:space="preserve"> </w:t>
      </w:r>
      <w:r>
        <w:t>based</w:t>
      </w:r>
      <w:r>
        <w:rPr>
          <w:spacing w:val="-11"/>
        </w:rPr>
        <w:t xml:space="preserve"> </w:t>
      </w:r>
      <w:r>
        <w:t>on</w:t>
      </w:r>
      <w:r>
        <w:rPr>
          <w:spacing w:val="-12"/>
        </w:rPr>
        <w:t xml:space="preserve"> </w:t>
      </w:r>
      <w:r>
        <w:t>medical</w:t>
      </w:r>
      <w:r>
        <w:rPr>
          <w:spacing w:val="-11"/>
        </w:rPr>
        <w:t xml:space="preserve"> </w:t>
      </w:r>
      <w:r>
        <w:t>need,</w:t>
      </w:r>
      <w:r>
        <w:rPr>
          <w:spacing w:val="-11"/>
        </w:rPr>
        <w:t xml:space="preserve"> </w:t>
      </w:r>
      <w:r>
        <w:t>we</w:t>
      </w:r>
      <w:r>
        <w:rPr>
          <w:spacing w:val="-10"/>
        </w:rPr>
        <w:t xml:space="preserve"> </w:t>
      </w:r>
      <w:r>
        <w:rPr>
          <w:b/>
          <w:u w:val="single"/>
        </w:rPr>
        <w:t>strongly</w:t>
      </w:r>
      <w:r>
        <w:rPr>
          <w:b/>
          <w:spacing w:val="-11"/>
          <w:u w:val="single"/>
        </w:rPr>
        <w:t xml:space="preserve"> </w:t>
      </w:r>
      <w:r>
        <w:rPr>
          <w:b/>
          <w:u w:val="single"/>
        </w:rPr>
        <w:t>recommend</w:t>
      </w:r>
      <w:r>
        <w:rPr>
          <w:b/>
          <w:spacing w:val="-11"/>
          <w:u w:val="single"/>
        </w:rPr>
        <w:t xml:space="preserve"> </w:t>
      </w:r>
      <w:r>
        <w:rPr>
          <w:b/>
          <w:u w:val="single"/>
        </w:rPr>
        <w:t>CMS</w:t>
      </w:r>
      <w:r>
        <w:rPr>
          <w:b/>
          <w:spacing w:val="-12"/>
          <w:u w:val="single"/>
        </w:rPr>
        <w:t xml:space="preserve"> </w:t>
      </w:r>
      <w:r>
        <w:rPr>
          <w:b/>
          <w:u w:val="single"/>
        </w:rPr>
        <w:t>to</w:t>
      </w:r>
      <w:r>
        <w:rPr>
          <w:b/>
          <w:spacing w:val="-12"/>
          <w:u w:val="single"/>
        </w:rPr>
        <w:t xml:space="preserve"> </w:t>
      </w:r>
      <w:r>
        <w:rPr>
          <w:b/>
          <w:u w:val="single"/>
        </w:rPr>
        <w:t>require</w:t>
      </w:r>
      <w:r>
        <w:rPr>
          <w:b/>
          <w:spacing w:val="-11"/>
          <w:u w:val="single"/>
        </w:rPr>
        <w:t xml:space="preserve"> </w:t>
      </w:r>
      <w:r>
        <w:rPr>
          <w:b/>
          <w:u w:val="single"/>
        </w:rPr>
        <w:t>that</w:t>
      </w:r>
      <w:r>
        <w:rPr>
          <w:b/>
          <w:spacing w:val="-11"/>
          <w:u w:val="single"/>
        </w:rPr>
        <w:t xml:space="preserve"> </w:t>
      </w:r>
      <w:r>
        <w:rPr>
          <w:b/>
          <w:u w:val="single"/>
        </w:rPr>
        <w:t>a</w:t>
      </w:r>
      <w:r>
        <w:rPr>
          <w:b/>
          <w:spacing w:val="-12"/>
          <w:u w:val="single"/>
        </w:rPr>
        <w:t xml:space="preserve"> </w:t>
      </w:r>
      <w:r>
        <w:rPr>
          <w:b/>
          <w:u w:val="single"/>
        </w:rPr>
        <w:t>community use naloxone be dispensed alongside the triggering opioid prescription</w:t>
      </w:r>
      <w:r>
        <w:t>. This risk- mitigation strategy is recommended by the CDC Opioid Prescribing Guideline as well as multiple other medical associations, societies and federal health</w:t>
      </w:r>
      <w:r>
        <w:rPr>
          <w:spacing w:val="-25"/>
        </w:rPr>
        <w:t xml:space="preserve"> </w:t>
      </w:r>
      <w:r>
        <w:t>agencies.</w:t>
      </w:r>
    </w:p>
    <w:p w:rsidR="00D4787F" w:rsidRDefault="00D4787F">
      <w:pPr>
        <w:pStyle w:val="BodyText"/>
        <w:spacing w:before="3"/>
        <w:rPr>
          <w:sz w:val="20"/>
        </w:rPr>
      </w:pPr>
    </w:p>
    <w:p w:rsidR="00D4787F" w:rsidRDefault="00871FEB">
      <w:pPr>
        <w:pStyle w:val="BodyText"/>
        <w:spacing w:line="276" w:lineRule="auto"/>
        <w:ind w:left="100" w:right="116"/>
        <w:jc w:val="both"/>
      </w:pPr>
      <w:r>
        <w:rPr>
          <w:color w:val="333333"/>
        </w:rPr>
        <w:t>This initiative would also meet CMS’ own Priority Action as set-out in Opioid Misuse Strategy 2016 which states:</w:t>
      </w:r>
    </w:p>
    <w:p w:rsidR="00D4787F" w:rsidRDefault="00D4787F">
      <w:pPr>
        <w:pStyle w:val="BodyText"/>
        <w:spacing w:before="3"/>
        <w:rPr>
          <w:sz w:val="20"/>
        </w:rPr>
      </w:pPr>
    </w:p>
    <w:p w:rsidR="00D4787F" w:rsidRDefault="00871FEB">
      <w:pPr>
        <w:spacing w:line="276" w:lineRule="auto"/>
        <w:ind w:left="820" w:right="111"/>
        <w:jc w:val="both"/>
        <w:rPr>
          <w:i/>
        </w:rPr>
      </w:pPr>
      <w:r>
        <w:rPr>
          <w:color w:val="333333"/>
        </w:rPr>
        <w:t>“</w:t>
      </w:r>
      <w:r>
        <w:rPr>
          <w:i/>
        </w:rPr>
        <w:t xml:space="preserve">Today, when patients are prescribed opioids for long term therapy, the majority are prescribed stool softener medications to help manage a common anticipated side effect: constipation. Respiratory depression, another known side effect with the potential for far more devastating consequences, should be addressed with similarly routine practices. </w:t>
      </w:r>
      <w:r>
        <w:rPr>
          <w:b/>
          <w:i/>
          <w:u w:val="single"/>
        </w:rPr>
        <w:t>As a first</w:t>
      </w:r>
      <w:r>
        <w:rPr>
          <w:b/>
          <w:i/>
          <w:spacing w:val="-6"/>
          <w:u w:val="single"/>
        </w:rPr>
        <w:t xml:space="preserve"> </w:t>
      </w:r>
      <w:r>
        <w:rPr>
          <w:b/>
          <w:i/>
          <w:u w:val="single"/>
        </w:rPr>
        <w:t>step</w:t>
      </w:r>
      <w:r>
        <w:rPr>
          <w:b/>
          <w:i/>
          <w:spacing w:val="-6"/>
          <w:u w:val="single"/>
        </w:rPr>
        <w:t xml:space="preserve"> </w:t>
      </w:r>
      <w:r>
        <w:rPr>
          <w:b/>
          <w:i/>
          <w:u w:val="single"/>
        </w:rPr>
        <w:t>toward</w:t>
      </w:r>
      <w:r>
        <w:rPr>
          <w:b/>
          <w:i/>
          <w:spacing w:val="-6"/>
          <w:u w:val="single"/>
        </w:rPr>
        <w:t xml:space="preserve"> </w:t>
      </w:r>
      <w:r>
        <w:rPr>
          <w:b/>
          <w:i/>
          <w:u w:val="single"/>
        </w:rPr>
        <w:t>this</w:t>
      </w:r>
      <w:r>
        <w:rPr>
          <w:b/>
          <w:i/>
          <w:spacing w:val="-5"/>
          <w:u w:val="single"/>
        </w:rPr>
        <w:t xml:space="preserve"> </w:t>
      </w:r>
      <w:r>
        <w:rPr>
          <w:b/>
          <w:i/>
          <w:u w:val="single"/>
        </w:rPr>
        <w:t>goal,</w:t>
      </w:r>
      <w:r>
        <w:rPr>
          <w:b/>
          <w:i/>
          <w:spacing w:val="-6"/>
          <w:u w:val="single"/>
        </w:rPr>
        <w:t xml:space="preserve"> </w:t>
      </w:r>
      <w:r>
        <w:rPr>
          <w:b/>
          <w:i/>
          <w:u w:val="single"/>
        </w:rPr>
        <w:t>CMS</w:t>
      </w:r>
      <w:r>
        <w:rPr>
          <w:b/>
          <w:i/>
          <w:spacing w:val="-6"/>
          <w:u w:val="single"/>
        </w:rPr>
        <w:t xml:space="preserve"> </w:t>
      </w:r>
      <w:r>
        <w:rPr>
          <w:b/>
          <w:i/>
          <w:u w:val="single"/>
        </w:rPr>
        <w:t>will</w:t>
      </w:r>
      <w:r>
        <w:rPr>
          <w:b/>
          <w:i/>
          <w:spacing w:val="-7"/>
          <w:u w:val="single"/>
        </w:rPr>
        <w:t xml:space="preserve"> </w:t>
      </w:r>
      <w:r>
        <w:rPr>
          <w:b/>
          <w:i/>
          <w:u w:val="single"/>
        </w:rPr>
        <w:t>need</w:t>
      </w:r>
      <w:r>
        <w:rPr>
          <w:b/>
          <w:i/>
          <w:spacing w:val="-6"/>
          <w:u w:val="single"/>
        </w:rPr>
        <w:t xml:space="preserve"> </w:t>
      </w:r>
      <w:r>
        <w:rPr>
          <w:b/>
          <w:i/>
          <w:u w:val="single"/>
        </w:rPr>
        <w:t>to</w:t>
      </w:r>
      <w:r>
        <w:rPr>
          <w:b/>
          <w:i/>
          <w:spacing w:val="-6"/>
          <w:u w:val="single"/>
        </w:rPr>
        <w:t xml:space="preserve"> </w:t>
      </w:r>
      <w:r>
        <w:rPr>
          <w:b/>
          <w:i/>
          <w:u w:val="single"/>
        </w:rPr>
        <w:t>identify</w:t>
      </w:r>
      <w:r>
        <w:rPr>
          <w:b/>
          <w:i/>
          <w:spacing w:val="-6"/>
          <w:u w:val="single"/>
        </w:rPr>
        <w:t xml:space="preserve"> </w:t>
      </w:r>
      <w:r>
        <w:rPr>
          <w:b/>
          <w:i/>
          <w:u w:val="single"/>
        </w:rPr>
        <w:t>standards</w:t>
      </w:r>
      <w:r>
        <w:rPr>
          <w:b/>
          <w:i/>
          <w:spacing w:val="-6"/>
          <w:u w:val="single"/>
        </w:rPr>
        <w:t xml:space="preserve"> </w:t>
      </w:r>
      <w:r>
        <w:rPr>
          <w:b/>
          <w:i/>
          <w:u w:val="single"/>
        </w:rPr>
        <w:t>to</w:t>
      </w:r>
      <w:r>
        <w:rPr>
          <w:b/>
          <w:i/>
          <w:spacing w:val="-6"/>
          <w:u w:val="single"/>
        </w:rPr>
        <w:t xml:space="preserve"> </w:t>
      </w:r>
      <w:r>
        <w:rPr>
          <w:b/>
          <w:i/>
          <w:u w:val="single"/>
        </w:rPr>
        <w:t>guide</w:t>
      </w:r>
      <w:r>
        <w:rPr>
          <w:b/>
          <w:i/>
          <w:spacing w:val="-6"/>
          <w:u w:val="single"/>
        </w:rPr>
        <w:t xml:space="preserve"> </w:t>
      </w:r>
      <w:r>
        <w:rPr>
          <w:b/>
          <w:i/>
          <w:u w:val="single"/>
        </w:rPr>
        <w:t>automatic</w:t>
      </w:r>
      <w:r>
        <w:rPr>
          <w:b/>
          <w:i/>
          <w:spacing w:val="-6"/>
          <w:u w:val="single"/>
        </w:rPr>
        <w:t xml:space="preserve"> </w:t>
      </w:r>
      <w:r>
        <w:rPr>
          <w:b/>
          <w:i/>
          <w:u w:val="single"/>
        </w:rPr>
        <w:t>co- prescribing of naloxone for patients whose opioid prescription reaches certain thresholds of dose, frequency, and/or</w:t>
      </w:r>
      <w:r>
        <w:rPr>
          <w:b/>
          <w:i/>
          <w:spacing w:val="-17"/>
          <w:u w:val="single"/>
        </w:rPr>
        <w:t xml:space="preserve"> </w:t>
      </w:r>
      <w:r>
        <w:rPr>
          <w:b/>
          <w:i/>
          <w:u w:val="single"/>
        </w:rPr>
        <w:t>duration</w:t>
      </w:r>
      <w:r>
        <w:rPr>
          <w:i/>
        </w:rPr>
        <w:t>.”</w:t>
      </w:r>
    </w:p>
    <w:p w:rsidR="00D4787F" w:rsidRDefault="00D4787F">
      <w:pPr>
        <w:pStyle w:val="BodyText"/>
        <w:spacing w:before="10"/>
        <w:rPr>
          <w:i/>
          <w:sz w:val="11"/>
        </w:rPr>
      </w:pPr>
    </w:p>
    <w:p w:rsidR="00D4787F" w:rsidRDefault="00871FEB">
      <w:pPr>
        <w:pStyle w:val="BodyText"/>
        <w:spacing w:before="101" w:line="276" w:lineRule="auto"/>
        <w:ind w:left="100" w:right="113"/>
        <w:jc w:val="both"/>
      </w:pPr>
      <w:r>
        <w:t>In 2015 nearly half of all opioid overdose deaths involved a prescription opioid</w:t>
      </w:r>
      <w:r>
        <w:rPr>
          <w:position w:val="5"/>
          <w:sz w:val="14"/>
        </w:rPr>
        <w:t xml:space="preserve">1 </w:t>
      </w:r>
      <w:r>
        <w:t>while approximately 75% of persons who initiated heroin first misused prescription opioids.</w:t>
      </w:r>
      <w:r>
        <w:rPr>
          <w:position w:val="5"/>
          <w:sz w:val="14"/>
        </w:rPr>
        <w:t xml:space="preserve">2 </w:t>
      </w:r>
      <w:r>
        <w:t>Consequently, addressing overdose risk associated with prescription opioids is a critical component of the response to the wider opioid overdose crisis.</w:t>
      </w:r>
    </w:p>
    <w:p w:rsidR="00D4787F" w:rsidRDefault="00D4787F">
      <w:pPr>
        <w:spacing w:line="276" w:lineRule="auto"/>
        <w:jc w:val="both"/>
        <w:sectPr w:rsidR="00D4787F">
          <w:headerReference w:type="default" r:id="rId6"/>
          <w:type w:val="continuous"/>
          <w:pgSz w:w="11910" w:h="16840"/>
          <w:pgMar w:top="1500" w:right="1320" w:bottom="280" w:left="1340" w:header="708" w:footer="720" w:gutter="0"/>
          <w:cols w:space="720"/>
        </w:sectPr>
      </w:pPr>
    </w:p>
    <w:p w:rsidR="00D4787F" w:rsidRDefault="00D4787F">
      <w:pPr>
        <w:pStyle w:val="BodyText"/>
        <w:rPr>
          <w:sz w:val="20"/>
        </w:rPr>
      </w:pPr>
    </w:p>
    <w:p w:rsidR="00D4787F" w:rsidRDefault="00D4787F">
      <w:pPr>
        <w:pStyle w:val="BodyText"/>
        <w:spacing w:before="6"/>
        <w:rPr>
          <w:sz w:val="17"/>
        </w:rPr>
      </w:pPr>
    </w:p>
    <w:p w:rsidR="00D4787F" w:rsidRDefault="00871FEB">
      <w:pPr>
        <w:pStyle w:val="BodyText"/>
        <w:spacing w:before="100" w:line="273" w:lineRule="auto"/>
        <w:ind w:left="100" w:right="116"/>
        <w:jc w:val="both"/>
      </w:pPr>
      <w:r>
        <w:t>Adapt Pharma holds the NDA and distributes Narcan</w:t>
      </w:r>
      <w:r>
        <w:rPr>
          <w:position w:val="5"/>
          <w:sz w:val="14"/>
        </w:rPr>
        <w:t xml:space="preserve">® </w:t>
      </w:r>
      <w:r>
        <w:t>(naloxone) Nasal Spray, the leading community-use, or take-home, naloxone product.</w:t>
      </w:r>
    </w:p>
    <w:p w:rsidR="00D4787F" w:rsidRDefault="00D4787F">
      <w:pPr>
        <w:pStyle w:val="BodyText"/>
        <w:spacing w:before="8"/>
        <w:rPr>
          <w:sz w:val="20"/>
        </w:rPr>
      </w:pPr>
    </w:p>
    <w:p w:rsidR="00D4787F" w:rsidRDefault="00871FEB">
      <w:pPr>
        <w:ind w:left="100"/>
        <w:jc w:val="both"/>
        <w:rPr>
          <w:b/>
        </w:rPr>
      </w:pPr>
      <w:r>
        <w:rPr>
          <w:b/>
        </w:rPr>
        <w:t>Naloxone co-prescribing is broadly supported but narrowly adopted</w:t>
      </w:r>
    </w:p>
    <w:p w:rsidR="00D4787F" w:rsidRDefault="00D4787F">
      <w:pPr>
        <w:pStyle w:val="BodyText"/>
        <w:spacing w:before="7"/>
        <w:rPr>
          <w:b/>
          <w:sz w:val="23"/>
        </w:rPr>
      </w:pPr>
    </w:p>
    <w:p w:rsidR="00D4787F" w:rsidRDefault="00871FEB">
      <w:pPr>
        <w:ind w:left="100"/>
        <w:jc w:val="both"/>
        <w:rPr>
          <w:i/>
        </w:rPr>
      </w:pPr>
      <w:r>
        <w:rPr>
          <w:i/>
        </w:rPr>
        <w:t>Broad support</w:t>
      </w:r>
    </w:p>
    <w:p w:rsidR="00D4787F" w:rsidRDefault="00D4787F">
      <w:pPr>
        <w:pStyle w:val="BodyText"/>
        <w:spacing w:before="9"/>
        <w:rPr>
          <w:i/>
          <w:sz w:val="23"/>
        </w:rPr>
      </w:pPr>
    </w:p>
    <w:p w:rsidR="00D4787F" w:rsidRDefault="00871FEB">
      <w:pPr>
        <w:pStyle w:val="BodyText"/>
        <w:spacing w:line="278" w:lineRule="auto"/>
        <w:ind w:left="100" w:right="113"/>
        <w:jc w:val="both"/>
        <w:rPr>
          <w:sz w:val="14"/>
        </w:rPr>
      </w:pPr>
      <w:r>
        <w:t>Clinician</w:t>
      </w:r>
      <w:r>
        <w:rPr>
          <w:spacing w:val="-5"/>
        </w:rPr>
        <w:t xml:space="preserve"> </w:t>
      </w:r>
      <w:r>
        <w:t>co-prescribing</w:t>
      </w:r>
      <w:r>
        <w:rPr>
          <w:spacing w:val="-5"/>
        </w:rPr>
        <w:t xml:space="preserve"> </w:t>
      </w:r>
      <w:r>
        <w:t>of</w:t>
      </w:r>
      <w:r>
        <w:rPr>
          <w:spacing w:val="-4"/>
        </w:rPr>
        <w:t xml:space="preserve"> </w:t>
      </w:r>
      <w:r>
        <w:t>take-home</w:t>
      </w:r>
      <w:r>
        <w:rPr>
          <w:spacing w:val="-4"/>
        </w:rPr>
        <w:t xml:space="preserve"> </w:t>
      </w:r>
      <w:r>
        <w:t>naloxone</w:t>
      </w:r>
      <w:r>
        <w:rPr>
          <w:spacing w:val="-6"/>
        </w:rPr>
        <w:t xml:space="preserve"> </w:t>
      </w:r>
      <w:r>
        <w:t>alongside</w:t>
      </w:r>
      <w:r>
        <w:rPr>
          <w:spacing w:val="-6"/>
        </w:rPr>
        <w:t xml:space="preserve"> </w:t>
      </w:r>
      <w:r>
        <w:t>higher</w:t>
      </w:r>
      <w:r>
        <w:rPr>
          <w:spacing w:val="-4"/>
        </w:rPr>
        <w:t xml:space="preserve"> </w:t>
      </w:r>
      <w:r>
        <w:t>risk</w:t>
      </w:r>
      <w:r>
        <w:rPr>
          <w:spacing w:val="-7"/>
        </w:rPr>
        <w:t xml:space="preserve"> </w:t>
      </w:r>
      <w:r>
        <w:t>opioid</w:t>
      </w:r>
      <w:r>
        <w:rPr>
          <w:spacing w:val="-6"/>
        </w:rPr>
        <w:t xml:space="preserve"> </w:t>
      </w:r>
      <w:r>
        <w:t>prescriptions</w:t>
      </w:r>
      <w:r>
        <w:rPr>
          <w:spacing w:val="-3"/>
        </w:rPr>
        <w:t xml:space="preserve"> </w:t>
      </w:r>
      <w:r>
        <w:t>and</w:t>
      </w:r>
      <w:r>
        <w:rPr>
          <w:spacing w:val="-5"/>
        </w:rPr>
        <w:t xml:space="preserve"> </w:t>
      </w:r>
      <w:r>
        <w:t>to persons at higher risk of opioid overdose is broadly supported. Proponents include multiple health associations and societies including the American Medical Association</w:t>
      </w:r>
      <w:r>
        <w:rPr>
          <w:position w:val="5"/>
          <w:sz w:val="14"/>
        </w:rPr>
        <w:t xml:space="preserve">3 </w:t>
      </w:r>
      <w:r>
        <w:t>and the American Society of Addiction Medicine;</w:t>
      </w:r>
      <w:r>
        <w:rPr>
          <w:position w:val="5"/>
          <w:sz w:val="14"/>
        </w:rPr>
        <w:t xml:space="preserve">4 </w:t>
      </w:r>
      <w:r>
        <w:t>community based organisations such as Prescribe to Prevent;</w:t>
      </w:r>
      <w:r>
        <w:rPr>
          <w:position w:val="5"/>
          <w:sz w:val="14"/>
        </w:rPr>
        <w:t xml:space="preserve">5 </w:t>
      </w:r>
      <w:r>
        <w:t>and federal health organisations such as Substance Abuse and Mental Health Services Administration (SAMHSA) and the Veteran’s Administration (VA). Co-prescribing naloxone is recommended by the CDC Guideline for Prescribing Opioids for Chronic Pain (Recommendation 8); the National Academies of Sciences, Engineering and Medicine (NAS) Pain Management and the Opioid Epidemic Report (Recommendation 5-9)</w:t>
      </w:r>
      <w:r>
        <w:rPr>
          <w:position w:val="5"/>
          <w:sz w:val="14"/>
        </w:rPr>
        <w:t>6</w:t>
      </w:r>
      <w:r>
        <w:t>; the FDAs Prescriber Education Blueprint, which</w:t>
      </w:r>
      <w:r>
        <w:rPr>
          <w:spacing w:val="-14"/>
        </w:rPr>
        <w:t xml:space="preserve"> </w:t>
      </w:r>
      <w:r>
        <w:t>states</w:t>
      </w:r>
      <w:r>
        <w:rPr>
          <w:spacing w:val="-12"/>
        </w:rPr>
        <w:t xml:space="preserve"> </w:t>
      </w:r>
      <w:r>
        <w:t>“</w:t>
      </w:r>
      <w:r>
        <w:rPr>
          <w:i/>
        </w:rPr>
        <w:t>HCPs</w:t>
      </w:r>
      <w:r>
        <w:rPr>
          <w:i/>
          <w:spacing w:val="-12"/>
        </w:rPr>
        <w:t xml:space="preserve"> </w:t>
      </w:r>
      <w:r>
        <w:rPr>
          <w:i/>
        </w:rPr>
        <w:t>should</w:t>
      </w:r>
      <w:r>
        <w:rPr>
          <w:i/>
          <w:spacing w:val="-15"/>
        </w:rPr>
        <w:t xml:space="preserve"> </w:t>
      </w:r>
      <w:r>
        <w:rPr>
          <w:i/>
        </w:rPr>
        <w:t>prescribe</w:t>
      </w:r>
      <w:r>
        <w:rPr>
          <w:i/>
          <w:spacing w:val="-12"/>
        </w:rPr>
        <w:t xml:space="preserve"> </w:t>
      </w:r>
      <w:r>
        <w:rPr>
          <w:i/>
        </w:rPr>
        <w:t>and</w:t>
      </w:r>
      <w:r>
        <w:rPr>
          <w:i/>
          <w:spacing w:val="-14"/>
        </w:rPr>
        <w:t xml:space="preserve"> </w:t>
      </w:r>
      <w:r>
        <w:rPr>
          <w:i/>
        </w:rPr>
        <w:t>discuss</w:t>
      </w:r>
      <w:r>
        <w:rPr>
          <w:i/>
          <w:spacing w:val="-13"/>
        </w:rPr>
        <w:t xml:space="preserve"> </w:t>
      </w:r>
      <w:r>
        <w:rPr>
          <w:i/>
        </w:rPr>
        <w:t>the</w:t>
      </w:r>
      <w:r>
        <w:rPr>
          <w:i/>
          <w:spacing w:val="-13"/>
        </w:rPr>
        <w:t xml:space="preserve"> </w:t>
      </w:r>
      <w:r>
        <w:rPr>
          <w:i/>
        </w:rPr>
        <w:t>use</w:t>
      </w:r>
      <w:r>
        <w:rPr>
          <w:i/>
          <w:spacing w:val="-13"/>
        </w:rPr>
        <w:t xml:space="preserve"> </w:t>
      </w:r>
      <w:r>
        <w:rPr>
          <w:i/>
        </w:rPr>
        <w:t>of</w:t>
      </w:r>
      <w:r>
        <w:rPr>
          <w:i/>
          <w:spacing w:val="-11"/>
        </w:rPr>
        <w:t xml:space="preserve"> </w:t>
      </w:r>
      <w:r>
        <w:rPr>
          <w:i/>
        </w:rPr>
        <w:t>naloxone</w:t>
      </w:r>
      <w:r>
        <w:rPr>
          <w:i/>
          <w:spacing w:val="-13"/>
        </w:rPr>
        <w:t xml:space="preserve"> </w:t>
      </w:r>
      <w:r>
        <w:rPr>
          <w:i/>
        </w:rPr>
        <w:t>products</w:t>
      </w:r>
      <w:r>
        <w:rPr>
          <w:i/>
          <w:spacing w:val="-13"/>
        </w:rPr>
        <w:t xml:space="preserve"> </w:t>
      </w:r>
      <w:r>
        <w:rPr>
          <w:i/>
        </w:rPr>
        <w:t>as</w:t>
      </w:r>
      <w:r>
        <w:rPr>
          <w:i/>
          <w:spacing w:val="-15"/>
        </w:rPr>
        <w:t xml:space="preserve"> </w:t>
      </w:r>
      <w:r>
        <w:rPr>
          <w:i/>
        </w:rPr>
        <w:t>a</w:t>
      </w:r>
      <w:r>
        <w:rPr>
          <w:i/>
          <w:spacing w:val="-13"/>
        </w:rPr>
        <w:t xml:space="preserve"> </w:t>
      </w:r>
      <w:r>
        <w:rPr>
          <w:i/>
        </w:rPr>
        <w:t>means</w:t>
      </w:r>
      <w:r>
        <w:rPr>
          <w:i/>
          <w:spacing w:val="-13"/>
        </w:rPr>
        <w:t xml:space="preserve"> </w:t>
      </w:r>
      <w:r>
        <w:rPr>
          <w:i/>
        </w:rPr>
        <w:t>of</w:t>
      </w:r>
      <w:r>
        <w:rPr>
          <w:i/>
          <w:spacing w:val="-11"/>
        </w:rPr>
        <w:t xml:space="preserve"> </w:t>
      </w:r>
      <w:r>
        <w:rPr>
          <w:i/>
        </w:rPr>
        <w:t>avoiding death</w:t>
      </w:r>
      <w:r>
        <w:rPr>
          <w:i/>
          <w:spacing w:val="-3"/>
        </w:rPr>
        <w:t xml:space="preserve"> </w:t>
      </w:r>
      <w:r>
        <w:rPr>
          <w:i/>
        </w:rPr>
        <w:t>due</w:t>
      </w:r>
      <w:r>
        <w:rPr>
          <w:i/>
          <w:spacing w:val="-4"/>
        </w:rPr>
        <w:t xml:space="preserve"> </w:t>
      </w:r>
      <w:r>
        <w:rPr>
          <w:i/>
        </w:rPr>
        <w:t>to</w:t>
      </w:r>
      <w:r>
        <w:rPr>
          <w:i/>
          <w:spacing w:val="-6"/>
        </w:rPr>
        <w:t xml:space="preserve"> </w:t>
      </w:r>
      <w:r>
        <w:rPr>
          <w:i/>
        </w:rPr>
        <w:t>overdose</w:t>
      </w:r>
      <w:r>
        <w:t>.”</w:t>
      </w:r>
      <w:r>
        <w:rPr>
          <w:spacing w:val="-18"/>
        </w:rPr>
        <w:t xml:space="preserve"> </w:t>
      </w:r>
      <w:r>
        <w:rPr>
          <w:position w:val="6"/>
          <w:sz w:val="16"/>
        </w:rPr>
        <w:t>7</w:t>
      </w:r>
      <w:r>
        <w:t>;</w:t>
      </w:r>
      <w:r>
        <w:rPr>
          <w:spacing w:val="-5"/>
        </w:rPr>
        <w:t xml:space="preserve"> </w:t>
      </w:r>
      <w:r>
        <w:t>and</w:t>
      </w:r>
      <w:r>
        <w:rPr>
          <w:spacing w:val="-4"/>
        </w:rPr>
        <w:t xml:space="preserve"> </w:t>
      </w:r>
      <w:r>
        <w:t>the</w:t>
      </w:r>
      <w:r>
        <w:rPr>
          <w:spacing w:val="-4"/>
        </w:rPr>
        <w:t xml:space="preserve"> </w:t>
      </w:r>
      <w:r>
        <w:t>FDA</w:t>
      </w:r>
      <w:r>
        <w:rPr>
          <w:spacing w:val="-7"/>
        </w:rPr>
        <w:t xml:space="preserve"> </w:t>
      </w:r>
      <w:r>
        <w:t>Consumer</w:t>
      </w:r>
      <w:r>
        <w:rPr>
          <w:spacing w:val="-7"/>
        </w:rPr>
        <w:t xml:space="preserve"> </w:t>
      </w:r>
      <w:r>
        <w:t>Update</w:t>
      </w:r>
      <w:r>
        <w:rPr>
          <w:spacing w:val="-4"/>
        </w:rPr>
        <w:t xml:space="preserve"> </w:t>
      </w:r>
      <w:r>
        <w:t>“What</w:t>
      </w:r>
      <w:r>
        <w:rPr>
          <w:spacing w:val="-4"/>
        </w:rPr>
        <w:t xml:space="preserve"> </w:t>
      </w:r>
      <w:r>
        <w:t>to</w:t>
      </w:r>
      <w:r>
        <w:rPr>
          <w:spacing w:val="-4"/>
        </w:rPr>
        <w:t xml:space="preserve"> </w:t>
      </w:r>
      <w:r>
        <w:t>Ask</w:t>
      </w:r>
      <w:r>
        <w:rPr>
          <w:spacing w:val="-5"/>
        </w:rPr>
        <w:t xml:space="preserve"> </w:t>
      </w:r>
      <w:r>
        <w:t>Your</w:t>
      </w:r>
      <w:r>
        <w:rPr>
          <w:spacing w:val="-4"/>
        </w:rPr>
        <w:t xml:space="preserve"> </w:t>
      </w:r>
      <w:r>
        <w:t>Doctor</w:t>
      </w:r>
      <w:r>
        <w:rPr>
          <w:spacing w:val="-7"/>
        </w:rPr>
        <w:t xml:space="preserve"> </w:t>
      </w:r>
      <w:r>
        <w:t>Before</w:t>
      </w:r>
      <w:r>
        <w:rPr>
          <w:spacing w:val="-7"/>
        </w:rPr>
        <w:t xml:space="preserve"> </w:t>
      </w:r>
      <w:r>
        <w:t>Taking Opioids?”.</w:t>
      </w:r>
      <w:r>
        <w:rPr>
          <w:position w:val="5"/>
          <w:sz w:val="14"/>
        </w:rPr>
        <w:t>8</w:t>
      </w:r>
    </w:p>
    <w:p w:rsidR="00D4787F" w:rsidRDefault="00D4787F">
      <w:pPr>
        <w:pStyle w:val="BodyText"/>
        <w:rPr>
          <w:sz w:val="20"/>
        </w:rPr>
      </w:pPr>
    </w:p>
    <w:p w:rsidR="00D4787F" w:rsidRDefault="00871FEB">
      <w:pPr>
        <w:pStyle w:val="BodyText"/>
        <w:spacing w:before="1" w:line="276" w:lineRule="auto"/>
        <w:ind w:left="100" w:right="115"/>
        <w:jc w:val="both"/>
      </w:pPr>
      <w:r>
        <w:t>The Vermont Health Department and Virginia Board of Medicine have successfully implemented a requirement for clinicians to prescribe naloxone alongside high dose opioid prescriptions, where there is concurrent benzodiazepines use and to persons at higher risk of opioid overdose.</w:t>
      </w:r>
      <w:r>
        <w:rPr>
          <w:position w:val="5"/>
          <w:sz w:val="14"/>
        </w:rPr>
        <w:t xml:space="preserve">9,10 </w:t>
      </w:r>
      <w:r>
        <w:t>As described below, this has led to a very significant expansion in naloxone prescriptions.</w:t>
      </w:r>
    </w:p>
    <w:p w:rsidR="00D4787F" w:rsidRDefault="00D4787F">
      <w:pPr>
        <w:pStyle w:val="BodyText"/>
        <w:rPr>
          <w:sz w:val="26"/>
        </w:rPr>
      </w:pPr>
    </w:p>
    <w:p w:rsidR="00D4787F" w:rsidRDefault="00D4787F">
      <w:pPr>
        <w:pStyle w:val="BodyText"/>
        <w:rPr>
          <w:sz w:val="23"/>
        </w:rPr>
      </w:pPr>
    </w:p>
    <w:p w:rsidR="00D4787F" w:rsidRDefault="00871FEB">
      <w:pPr>
        <w:ind w:left="100"/>
        <w:jc w:val="both"/>
        <w:rPr>
          <w:i/>
        </w:rPr>
      </w:pPr>
      <w:r>
        <w:rPr>
          <w:i/>
        </w:rPr>
        <w:t>Narrow Adoption</w:t>
      </w:r>
    </w:p>
    <w:p w:rsidR="00D4787F" w:rsidRDefault="00D4787F">
      <w:pPr>
        <w:pStyle w:val="BodyText"/>
        <w:spacing w:before="9"/>
        <w:rPr>
          <w:i/>
          <w:sz w:val="23"/>
        </w:rPr>
      </w:pPr>
    </w:p>
    <w:p w:rsidR="00D4787F" w:rsidRDefault="00871FEB">
      <w:pPr>
        <w:pStyle w:val="BodyText"/>
        <w:spacing w:line="276" w:lineRule="auto"/>
        <w:ind w:left="100" w:right="113"/>
        <w:jc w:val="both"/>
      </w:pPr>
      <w:r>
        <w:t>Notwithstanding the broad support and encouragement, naloxone co-prescribing has been narrowly adopted. In 2016, 19.8 million opioid prescriptions exceeded 90 MMEs/day, equating to</w:t>
      </w:r>
      <w:r>
        <w:rPr>
          <w:spacing w:val="-9"/>
        </w:rPr>
        <w:t xml:space="preserve"> </w:t>
      </w:r>
      <w:r>
        <w:t>over</w:t>
      </w:r>
      <w:r>
        <w:rPr>
          <w:spacing w:val="-10"/>
        </w:rPr>
        <w:t xml:space="preserve"> </w:t>
      </w:r>
      <w:r>
        <w:t>9.2%</w:t>
      </w:r>
      <w:r>
        <w:rPr>
          <w:spacing w:val="-9"/>
        </w:rPr>
        <w:t xml:space="preserve"> </w:t>
      </w:r>
      <w:r>
        <w:t>of</w:t>
      </w:r>
      <w:r>
        <w:rPr>
          <w:spacing w:val="-8"/>
        </w:rPr>
        <w:t xml:space="preserve"> </w:t>
      </w:r>
      <w:r>
        <w:t>all</w:t>
      </w:r>
      <w:r>
        <w:rPr>
          <w:spacing w:val="-9"/>
        </w:rPr>
        <w:t xml:space="preserve"> </w:t>
      </w:r>
      <w:r>
        <w:t>opioids</w:t>
      </w:r>
      <w:r>
        <w:rPr>
          <w:spacing w:val="-10"/>
        </w:rPr>
        <w:t xml:space="preserve"> </w:t>
      </w:r>
      <w:r>
        <w:t>prescriptions.</w:t>
      </w:r>
      <w:r>
        <w:rPr>
          <w:position w:val="5"/>
          <w:sz w:val="14"/>
        </w:rPr>
        <w:t>11</w:t>
      </w:r>
      <w:r>
        <w:rPr>
          <w:spacing w:val="17"/>
          <w:position w:val="5"/>
          <w:sz w:val="14"/>
        </w:rPr>
        <w:t xml:space="preserve"> </w:t>
      </w:r>
      <w:r>
        <w:t>In</w:t>
      </w:r>
      <w:r>
        <w:rPr>
          <w:spacing w:val="-9"/>
        </w:rPr>
        <w:t xml:space="preserve"> </w:t>
      </w:r>
      <w:r>
        <w:t>contrast,</w:t>
      </w:r>
      <w:r>
        <w:rPr>
          <w:spacing w:val="-9"/>
        </w:rPr>
        <w:t xml:space="preserve"> </w:t>
      </w:r>
      <w:r>
        <w:t>according</w:t>
      </w:r>
      <w:r>
        <w:rPr>
          <w:spacing w:val="-10"/>
        </w:rPr>
        <w:t xml:space="preserve"> </w:t>
      </w:r>
      <w:r>
        <w:t>to</w:t>
      </w:r>
      <w:r>
        <w:rPr>
          <w:spacing w:val="-9"/>
        </w:rPr>
        <w:t xml:space="preserve"> </w:t>
      </w:r>
      <w:r>
        <w:t>IMS</w:t>
      </w:r>
      <w:r>
        <w:rPr>
          <w:spacing w:val="-8"/>
        </w:rPr>
        <w:t xml:space="preserve"> </w:t>
      </w:r>
      <w:r>
        <w:t>Health</w:t>
      </w:r>
      <w:r>
        <w:rPr>
          <w:spacing w:val="-9"/>
        </w:rPr>
        <w:t xml:space="preserve"> </w:t>
      </w:r>
      <w:r>
        <w:t>prescription</w:t>
      </w:r>
      <w:r>
        <w:rPr>
          <w:spacing w:val="-10"/>
        </w:rPr>
        <w:t xml:space="preserve"> </w:t>
      </w:r>
      <w:r>
        <w:t xml:space="preserve">data, naloxone prescriptions approximate just 337,000 (Jan-Dec 2017), or a ratio of approximately 15 naloxone prescriptions to every 1,000 high-dose (&gt;90 MME) opioid prescriptions. In stark contrast, the ratios in the two states (Virginia and Vermont), which </w:t>
      </w:r>
      <w:r>
        <w:rPr>
          <w:u w:val="single"/>
        </w:rPr>
        <w:t xml:space="preserve">require </w:t>
      </w:r>
      <w:r>
        <w:t>clinicians to co- prescribe</w:t>
      </w:r>
      <w:r>
        <w:rPr>
          <w:spacing w:val="-6"/>
        </w:rPr>
        <w:t xml:space="preserve"> </w:t>
      </w:r>
      <w:r>
        <w:t>naloxone</w:t>
      </w:r>
      <w:r>
        <w:rPr>
          <w:spacing w:val="-7"/>
        </w:rPr>
        <w:t xml:space="preserve"> </w:t>
      </w:r>
      <w:r>
        <w:t>alongside</w:t>
      </w:r>
      <w:r>
        <w:rPr>
          <w:spacing w:val="-6"/>
        </w:rPr>
        <w:t xml:space="preserve"> </w:t>
      </w:r>
      <w:r>
        <w:t>higher</w:t>
      </w:r>
      <w:r>
        <w:rPr>
          <w:spacing w:val="-6"/>
        </w:rPr>
        <w:t xml:space="preserve"> </w:t>
      </w:r>
      <w:r>
        <w:t>risk</w:t>
      </w:r>
      <w:r>
        <w:rPr>
          <w:spacing w:val="-7"/>
        </w:rPr>
        <w:t xml:space="preserve"> </w:t>
      </w:r>
      <w:r>
        <w:t>opioid</w:t>
      </w:r>
      <w:r>
        <w:rPr>
          <w:spacing w:val="-6"/>
        </w:rPr>
        <w:t xml:space="preserve"> </w:t>
      </w:r>
      <w:r>
        <w:t>prescriptions,</w:t>
      </w:r>
      <w:r>
        <w:rPr>
          <w:spacing w:val="-6"/>
        </w:rPr>
        <w:t xml:space="preserve"> </w:t>
      </w:r>
      <w:r>
        <w:t>are</w:t>
      </w:r>
      <w:r>
        <w:rPr>
          <w:spacing w:val="-6"/>
        </w:rPr>
        <w:t xml:space="preserve"> </w:t>
      </w:r>
      <w:r>
        <w:t>multiple</w:t>
      </w:r>
      <w:r>
        <w:rPr>
          <w:spacing w:val="-6"/>
        </w:rPr>
        <w:t xml:space="preserve"> </w:t>
      </w:r>
      <w:r>
        <w:t>folds</w:t>
      </w:r>
      <w:r>
        <w:rPr>
          <w:spacing w:val="-5"/>
        </w:rPr>
        <w:t xml:space="preserve"> </w:t>
      </w:r>
      <w:r>
        <w:t>higher</w:t>
      </w:r>
      <w:r>
        <w:rPr>
          <w:spacing w:val="-6"/>
        </w:rPr>
        <w:t xml:space="preserve"> </w:t>
      </w:r>
      <w:r>
        <w:t>than</w:t>
      </w:r>
      <w:r>
        <w:rPr>
          <w:spacing w:val="-6"/>
        </w:rPr>
        <w:t xml:space="preserve"> </w:t>
      </w:r>
      <w:r>
        <w:t>this ratio</w:t>
      </w:r>
      <w:r>
        <w:rPr>
          <w:position w:val="5"/>
          <w:sz w:val="14"/>
        </w:rPr>
        <w:t>12</w:t>
      </w:r>
      <w:r>
        <w:t>. This suggests that if naloxone prescribing was a required prescribing intervention, many more ‘at-risk’ individuals receiving higher risk opioid prescriptions would be dispensed naloxone. Published literature suggests this low level of adoption reflects stigma and low awareness.</w:t>
      </w:r>
    </w:p>
    <w:p w:rsidR="00D4787F" w:rsidRDefault="00D4787F">
      <w:pPr>
        <w:pStyle w:val="BodyText"/>
        <w:rPr>
          <w:sz w:val="26"/>
        </w:rPr>
      </w:pPr>
    </w:p>
    <w:p w:rsidR="00D4787F" w:rsidRDefault="00D4787F">
      <w:pPr>
        <w:pStyle w:val="BodyText"/>
        <w:spacing w:before="11"/>
      </w:pPr>
    </w:p>
    <w:p w:rsidR="00D4787F" w:rsidRDefault="00871FEB">
      <w:pPr>
        <w:ind w:left="100"/>
        <w:jc w:val="both"/>
        <w:rPr>
          <w:i/>
        </w:rPr>
      </w:pPr>
      <w:r>
        <w:rPr>
          <w:i/>
        </w:rPr>
        <w:t>Successful models and potential ancillary benefits</w:t>
      </w:r>
    </w:p>
    <w:p w:rsidR="00D4787F" w:rsidRDefault="00D4787F">
      <w:pPr>
        <w:pStyle w:val="BodyText"/>
        <w:spacing w:before="10"/>
        <w:rPr>
          <w:i/>
          <w:sz w:val="23"/>
        </w:rPr>
      </w:pPr>
    </w:p>
    <w:p w:rsidR="00D4787F" w:rsidRDefault="00871FEB">
      <w:pPr>
        <w:pStyle w:val="BodyText"/>
        <w:spacing w:line="273" w:lineRule="auto"/>
        <w:ind w:left="100" w:right="118"/>
        <w:jc w:val="both"/>
      </w:pPr>
      <w:r>
        <w:t>Vermont and Virginia implemented new rules in 2017 requiring naloxone prescribing with higher-risk opioid prescriptions and to at-risk persons. These policies have demonstrated    that</w:t>
      </w:r>
    </w:p>
    <w:p w:rsidR="00D4787F" w:rsidRDefault="00D4787F">
      <w:pPr>
        <w:spacing w:line="273" w:lineRule="auto"/>
        <w:jc w:val="both"/>
        <w:sectPr w:rsidR="00D4787F">
          <w:pgSz w:w="11910" w:h="16840"/>
          <w:pgMar w:top="1500" w:right="1320" w:bottom="280" w:left="1340" w:header="708" w:footer="0" w:gutter="0"/>
          <w:cols w:space="720"/>
        </w:sectPr>
      </w:pPr>
    </w:p>
    <w:p w:rsidR="00D4787F" w:rsidRDefault="00D4787F">
      <w:pPr>
        <w:pStyle w:val="BodyText"/>
        <w:rPr>
          <w:sz w:val="20"/>
        </w:rPr>
      </w:pPr>
    </w:p>
    <w:p w:rsidR="00D4787F" w:rsidRDefault="00D4787F">
      <w:pPr>
        <w:pStyle w:val="BodyText"/>
        <w:spacing w:before="6"/>
        <w:rPr>
          <w:sz w:val="17"/>
        </w:rPr>
      </w:pPr>
    </w:p>
    <w:p w:rsidR="00D4787F" w:rsidRDefault="00871FEB">
      <w:pPr>
        <w:pStyle w:val="BodyText"/>
        <w:spacing w:before="100" w:line="276" w:lineRule="auto"/>
        <w:ind w:left="120" w:right="112"/>
        <w:jc w:val="both"/>
      </w:pPr>
      <w:r>
        <w:t>such</w:t>
      </w:r>
      <w:r>
        <w:rPr>
          <w:spacing w:val="-4"/>
        </w:rPr>
        <w:t xml:space="preserve"> </w:t>
      </w:r>
      <w:r>
        <w:t>a</w:t>
      </w:r>
      <w:r>
        <w:rPr>
          <w:spacing w:val="-3"/>
        </w:rPr>
        <w:t xml:space="preserve"> </w:t>
      </w:r>
      <w:r>
        <w:t>requirement</w:t>
      </w:r>
      <w:r>
        <w:rPr>
          <w:spacing w:val="-6"/>
        </w:rPr>
        <w:t xml:space="preserve"> </w:t>
      </w:r>
      <w:r>
        <w:t>is</w:t>
      </w:r>
      <w:r>
        <w:rPr>
          <w:spacing w:val="-2"/>
        </w:rPr>
        <w:t xml:space="preserve"> </w:t>
      </w:r>
      <w:r>
        <w:t>both</w:t>
      </w:r>
      <w:r>
        <w:rPr>
          <w:spacing w:val="-3"/>
        </w:rPr>
        <w:t xml:space="preserve"> </w:t>
      </w:r>
      <w:r>
        <w:t>feasible</w:t>
      </w:r>
      <w:r>
        <w:rPr>
          <w:spacing w:val="-5"/>
        </w:rPr>
        <w:t xml:space="preserve"> </w:t>
      </w:r>
      <w:r>
        <w:t>and</w:t>
      </w:r>
      <w:r>
        <w:rPr>
          <w:spacing w:val="-4"/>
        </w:rPr>
        <w:t xml:space="preserve"> </w:t>
      </w:r>
      <w:r>
        <w:t>successful</w:t>
      </w:r>
      <w:r>
        <w:rPr>
          <w:spacing w:val="-5"/>
        </w:rPr>
        <w:t xml:space="preserve"> </w:t>
      </w:r>
      <w:r>
        <w:t>in</w:t>
      </w:r>
      <w:r>
        <w:rPr>
          <w:spacing w:val="-6"/>
        </w:rPr>
        <w:t xml:space="preserve"> </w:t>
      </w:r>
      <w:r>
        <w:t>expanding</w:t>
      </w:r>
      <w:r>
        <w:rPr>
          <w:spacing w:val="-2"/>
        </w:rPr>
        <w:t xml:space="preserve"> </w:t>
      </w:r>
      <w:r>
        <w:t>naloxone</w:t>
      </w:r>
      <w:r>
        <w:rPr>
          <w:spacing w:val="-4"/>
        </w:rPr>
        <w:t xml:space="preserve"> </w:t>
      </w:r>
      <w:r>
        <w:t>access.</w:t>
      </w:r>
      <w:r>
        <w:rPr>
          <w:spacing w:val="-4"/>
        </w:rPr>
        <w:t xml:space="preserve"> </w:t>
      </w:r>
      <w:r>
        <w:t>For</w:t>
      </w:r>
      <w:r>
        <w:rPr>
          <w:spacing w:val="-3"/>
        </w:rPr>
        <w:t xml:space="preserve"> </w:t>
      </w:r>
      <w:r>
        <w:t>example,</w:t>
      </w:r>
      <w:r>
        <w:rPr>
          <w:spacing w:val="-5"/>
        </w:rPr>
        <w:t xml:space="preserve"> </w:t>
      </w:r>
      <w:r>
        <w:t>in Vermont, there are approximately 100 naloxone prescriptions per 1,000 high dose (&gt;90 MME) opioid prescriptions compared to a national average of 15:1,000. The higher risk opioid dose thresholds in Vermont and Virginia are 90 MME/day</w:t>
      </w:r>
      <w:r>
        <w:rPr>
          <w:spacing w:val="-34"/>
        </w:rPr>
        <w:t xml:space="preserve"> </w:t>
      </w:r>
      <w:r>
        <w:t>and 120 MME/day, respectively.</w:t>
      </w:r>
    </w:p>
    <w:p w:rsidR="00D4787F" w:rsidRDefault="00D4787F">
      <w:pPr>
        <w:pStyle w:val="BodyText"/>
        <w:spacing w:before="5"/>
        <w:rPr>
          <w:sz w:val="20"/>
        </w:rPr>
      </w:pPr>
    </w:p>
    <w:p w:rsidR="00D4787F" w:rsidRDefault="00871FEB">
      <w:pPr>
        <w:pStyle w:val="BodyText"/>
        <w:spacing w:line="276" w:lineRule="auto"/>
        <w:ind w:left="120" w:right="112"/>
        <w:jc w:val="both"/>
      </w:pPr>
      <w:r>
        <w:t>Co-prescribing naloxone has also been associated with ancillary benefits. A pilot naloxone co- prescribing intervention study funded by National Institute on Drug Abuse and published by Dr Phil Coffin demonstrated that opioid patients who received a naloxone prescription had 47% fewer</w:t>
      </w:r>
      <w:r>
        <w:rPr>
          <w:spacing w:val="-3"/>
        </w:rPr>
        <w:t xml:space="preserve"> </w:t>
      </w:r>
      <w:r>
        <w:t>opioid</w:t>
      </w:r>
      <w:r>
        <w:rPr>
          <w:spacing w:val="-3"/>
        </w:rPr>
        <w:t xml:space="preserve"> </w:t>
      </w:r>
      <w:r>
        <w:t>related</w:t>
      </w:r>
      <w:r>
        <w:rPr>
          <w:spacing w:val="-4"/>
        </w:rPr>
        <w:t xml:space="preserve"> </w:t>
      </w:r>
      <w:r>
        <w:t>emergency</w:t>
      </w:r>
      <w:r>
        <w:rPr>
          <w:spacing w:val="-3"/>
        </w:rPr>
        <w:t xml:space="preserve"> </w:t>
      </w:r>
      <w:r>
        <w:t>department</w:t>
      </w:r>
      <w:r>
        <w:rPr>
          <w:spacing w:val="-3"/>
        </w:rPr>
        <w:t xml:space="preserve"> </w:t>
      </w:r>
      <w:r>
        <w:t>visits</w:t>
      </w:r>
      <w:r>
        <w:rPr>
          <w:spacing w:val="-2"/>
        </w:rPr>
        <w:t xml:space="preserve"> </w:t>
      </w:r>
      <w:r>
        <w:t>per</w:t>
      </w:r>
      <w:r>
        <w:rPr>
          <w:spacing w:val="-2"/>
        </w:rPr>
        <w:t xml:space="preserve"> </w:t>
      </w:r>
      <w:r>
        <w:t>month</w:t>
      </w:r>
      <w:r>
        <w:rPr>
          <w:spacing w:val="-2"/>
        </w:rPr>
        <w:t xml:space="preserve"> </w:t>
      </w:r>
      <w:r>
        <w:t>in</w:t>
      </w:r>
      <w:r>
        <w:rPr>
          <w:spacing w:val="-3"/>
        </w:rPr>
        <w:t xml:space="preserve"> </w:t>
      </w:r>
      <w:r>
        <w:t>the</w:t>
      </w:r>
      <w:r>
        <w:rPr>
          <w:spacing w:val="-2"/>
        </w:rPr>
        <w:t xml:space="preserve"> </w:t>
      </w:r>
      <w:r>
        <w:t>6</w:t>
      </w:r>
      <w:r>
        <w:rPr>
          <w:spacing w:val="-5"/>
        </w:rPr>
        <w:t xml:space="preserve"> </w:t>
      </w:r>
      <w:r>
        <w:t>months</w:t>
      </w:r>
      <w:r>
        <w:rPr>
          <w:spacing w:val="-4"/>
        </w:rPr>
        <w:t xml:space="preserve"> </w:t>
      </w:r>
      <w:r>
        <w:t>after</w:t>
      </w:r>
      <w:r>
        <w:rPr>
          <w:spacing w:val="-2"/>
        </w:rPr>
        <w:t xml:space="preserve"> </w:t>
      </w:r>
      <w:r>
        <w:t>receipt</w:t>
      </w:r>
      <w:r>
        <w:rPr>
          <w:spacing w:val="-4"/>
        </w:rPr>
        <w:t xml:space="preserve"> </w:t>
      </w:r>
      <w:r>
        <w:t>of</w:t>
      </w:r>
      <w:r>
        <w:rPr>
          <w:spacing w:val="-4"/>
        </w:rPr>
        <w:t xml:space="preserve"> </w:t>
      </w:r>
      <w:r>
        <w:t>the prescription and 63% fewer visits after 1 year, compared with patients that did not receive naloxone.</w:t>
      </w:r>
      <w:r>
        <w:rPr>
          <w:position w:val="5"/>
          <w:sz w:val="14"/>
        </w:rPr>
        <w:t xml:space="preserve">13 </w:t>
      </w:r>
      <w:r>
        <w:t>The VA implemented a system wide opioid initiative, including naloxone prescribing broadly consistent with the CDC guideline, and achieved a 26% drop in VA patients prescribed opioids,</w:t>
      </w:r>
      <w:r>
        <w:rPr>
          <w:spacing w:val="-12"/>
        </w:rPr>
        <w:t xml:space="preserve"> </w:t>
      </w:r>
      <w:r>
        <w:t>60%</w:t>
      </w:r>
      <w:r>
        <w:rPr>
          <w:spacing w:val="-12"/>
        </w:rPr>
        <w:t xml:space="preserve"> </w:t>
      </w:r>
      <w:r>
        <w:t>reduction</w:t>
      </w:r>
      <w:r>
        <w:rPr>
          <w:spacing w:val="-13"/>
        </w:rPr>
        <w:t xml:space="preserve"> </w:t>
      </w:r>
      <w:r>
        <w:t>in</w:t>
      </w:r>
      <w:r>
        <w:rPr>
          <w:spacing w:val="-13"/>
        </w:rPr>
        <w:t xml:space="preserve"> </w:t>
      </w:r>
      <w:r>
        <w:t>opioid/</w:t>
      </w:r>
      <w:r>
        <w:rPr>
          <w:spacing w:val="-11"/>
        </w:rPr>
        <w:t xml:space="preserve"> </w:t>
      </w:r>
      <w:r>
        <w:t>benzodiazepines</w:t>
      </w:r>
      <w:r>
        <w:rPr>
          <w:spacing w:val="-14"/>
        </w:rPr>
        <w:t xml:space="preserve"> </w:t>
      </w:r>
      <w:r>
        <w:t>and</w:t>
      </w:r>
      <w:r>
        <w:rPr>
          <w:spacing w:val="-13"/>
        </w:rPr>
        <w:t xml:space="preserve"> </w:t>
      </w:r>
      <w:r>
        <w:t>a</w:t>
      </w:r>
      <w:r>
        <w:rPr>
          <w:spacing w:val="-12"/>
        </w:rPr>
        <w:t xml:space="preserve"> </w:t>
      </w:r>
      <w:r>
        <w:t>40%</w:t>
      </w:r>
      <w:r>
        <w:rPr>
          <w:spacing w:val="-12"/>
        </w:rPr>
        <w:t xml:space="preserve"> </w:t>
      </w:r>
      <w:r>
        <w:t>reduction</w:t>
      </w:r>
      <w:r>
        <w:rPr>
          <w:spacing w:val="-13"/>
        </w:rPr>
        <w:t xml:space="preserve"> </w:t>
      </w:r>
      <w:r>
        <w:t>in</w:t>
      </w:r>
      <w:r>
        <w:rPr>
          <w:spacing w:val="-13"/>
        </w:rPr>
        <w:t xml:space="preserve"> </w:t>
      </w:r>
      <w:r>
        <w:t>veterans</w:t>
      </w:r>
      <w:r>
        <w:rPr>
          <w:spacing w:val="-12"/>
        </w:rPr>
        <w:t xml:space="preserve"> </w:t>
      </w:r>
      <w:r>
        <w:t>on</w:t>
      </w:r>
      <w:r>
        <w:rPr>
          <w:spacing w:val="-13"/>
        </w:rPr>
        <w:t xml:space="preserve"> </w:t>
      </w:r>
      <w:r>
        <w:t>long</w:t>
      </w:r>
      <w:r>
        <w:rPr>
          <w:spacing w:val="-14"/>
        </w:rPr>
        <w:t xml:space="preserve"> </w:t>
      </w:r>
      <w:r>
        <w:t>term opioid</w:t>
      </w:r>
      <w:r>
        <w:rPr>
          <w:spacing w:val="-7"/>
        </w:rPr>
        <w:t xml:space="preserve"> </w:t>
      </w:r>
      <w:r>
        <w:t>treatment.</w:t>
      </w:r>
    </w:p>
    <w:p w:rsidR="00D4787F" w:rsidRDefault="00D4787F">
      <w:pPr>
        <w:pStyle w:val="BodyText"/>
        <w:spacing w:before="3"/>
        <w:rPr>
          <w:sz w:val="20"/>
        </w:rPr>
      </w:pPr>
    </w:p>
    <w:p w:rsidR="00D4787F" w:rsidRDefault="00871FEB">
      <w:pPr>
        <w:pStyle w:val="BodyText"/>
        <w:spacing w:line="276" w:lineRule="auto"/>
        <w:ind w:left="120" w:right="113"/>
        <w:jc w:val="both"/>
      </w:pPr>
      <w:r>
        <w:t>Such a safety edit would not be unduly burdensome as it could be implemented using existing prescribing, distribution and reimbursement channels. Moreover, by targeting the requirement at</w:t>
      </w:r>
      <w:r>
        <w:rPr>
          <w:spacing w:val="-15"/>
        </w:rPr>
        <w:t xml:space="preserve"> </w:t>
      </w:r>
      <w:r>
        <w:t>those</w:t>
      </w:r>
      <w:r>
        <w:rPr>
          <w:spacing w:val="-15"/>
        </w:rPr>
        <w:t xml:space="preserve"> </w:t>
      </w:r>
      <w:r>
        <w:t>opioids</w:t>
      </w:r>
      <w:r>
        <w:rPr>
          <w:spacing w:val="-14"/>
        </w:rPr>
        <w:t xml:space="preserve"> </w:t>
      </w:r>
      <w:r>
        <w:t>that</w:t>
      </w:r>
      <w:r>
        <w:rPr>
          <w:spacing w:val="-15"/>
        </w:rPr>
        <w:t xml:space="preserve"> </w:t>
      </w:r>
      <w:r>
        <w:t>carry</w:t>
      </w:r>
      <w:r>
        <w:rPr>
          <w:spacing w:val="-16"/>
        </w:rPr>
        <w:t xml:space="preserve"> </w:t>
      </w:r>
      <w:r>
        <w:t>the</w:t>
      </w:r>
      <w:r>
        <w:rPr>
          <w:spacing w:val="-14"/>
        </w:rPr>
        <w:t xml:space="preserve"> </w:t>
      </w:r>
      <w:r>
        <w:t>greatest</w:t>
      </w:r>
      <w:r>
        <w:rPr>
          <w:spacing w:val="-15"/>
        </w:rPr>
        <w:t xml:space="preserve"> </w:t>
      </w:r>
      <w:r>
        <w:t>risk</w:t>
      </w:r>
      <w:r>
        <w:rPr>
          <w:spacing w:val="-15"/>
        </w:rPr>
        <w:t xml:space="preserve"> </w:t>
      </w:r>
      <w:r>
        <w:t>of</w:t>
      </w:r>
      <w:r>
        <w:rPr>
          <w:spacing w:val="-14"/>
        </w:rPr>
        <w:t xml:space="preserve"> </w:t>
      </w:r>
      <w:r>
        <w:t>overdose,</w:t>
      </w:r>
      <w:r>
        <w:rPr>
          <w:spacing w:val="-14"/>
        </w:rPr>
        <w:t xml:space="preserve"> </w:t>
      </w:r>
      <w:r>
        <w:t>the</w:t>
      </w:r>
      <w:r>
        <w:rPr>
          <w:spacing w:val="-14"/>
        </w:rPr>
        <w:t xml:space="preserve"> </w:t>
      </w:r>
      <w:r>
        <w:t>requirement</w:t>
      </w:r>
      <w:r>
        <w:rPr>
          <w:spacing w:val="-16"/>
        </w:rPr>
        <w:t xml:space="preserve"> </w:t>
      </w:r>
      <w:r>
        <w:t>would</w:t>
      </w:r>
      <w:r>
        <w:rPr>
          <w:spacing w:val="-18"/>
        </w:rPr>
        <w:t xml:space="preserve"> </w:t>
      </w:r>
      <w:r>
        <w:t>be</w:t>
      </w:r>
      <w:r>
        <w:rPr>
          <w:spacing w:val="-15"/>
        </w:rPr>
        <w:t xml:space="preserve"> </w:t>
      </w:r>
      <w:r>
        <w:t>commensurate with</w:t>
      </w:r>
      <w:r>
        <w:rPr>
          <w:spacing w:val="-12"/>
        </w:rPr>
        <w:t xml:space="preserve"> </w:t>
      </w:r>
      <w:r>
        <w:t>the</w:t>
      </w:r>
      <w:r>
        <w:rPr>
          <w:spacing w:val="-12"/>
        </w:rPr>
        <w:t xml:space="preserve"> </w:t>
      </w:r>
      <w:r>
        <w:t>serious</w:t>
      </w:r>
      <w:r>
        <w:rPr>
          <w:spacing w:val="-14"/>
        </w:rPr>
        <w:t xml:space="preserve"> </w:t>
      </w:r>
      <w:r>
        <w:t>identified</w:t>
      </w:r>
      <w:r>
        <w:rPr>
          <w:spacing w:val="-15"/>
        </w:rPr>
        <w:t xml:space="preserve"> </w:t>
      </w:r>
      <w:r>
        <w:t>risk.</w:t>
      </w:r>
      <w:r>
        <w:rPr>
          <w:spacing w:val="25"/>
        </w:rPr>
        <w:t xml:space="preserve"> </w:t>
      </w:r>
      <w:r>
        <w:t>Additionally,</w:t>
      </w:r>
      <w:r>
        <w:rPr>
          <w:spacing w:val="-12"/>
        </w:rPr>
        <w:t xml:space="preserve"> </w:t>
      </w:r>
      <w:r>
        <w:t>such</w:t>
      </w:r>
      <w:r>
        <w:rPr>
          <w:spacing w:val="-12"/>
        </w:rPr>
        <w:t xml:space="preserve"> </w:t>
      </w:r>
      <w:r>
        <w:t>an</w:t>
      </w:r>
      <w:r>
        <w:rPr>
          <w:spacing w:val="-13"/>
        </w:rPr>
        <w:t xml:space="preserve"> </w:t>
      </w:r>
      <w:r>
        <w:t>initiative</w:t>
      </w:r>
      <w:r>
        <w:rPr>
          <w:spacing w:val="-12"/>
        </w:rPr>
        <w:t xml:space="preserve"> </w:t>
      </w:r>
      <w:r>
        <w:t>would</w:t>
      </w:r>
      <w:r>
        <w:rPr>
          <w:spacing w:val="-11"/>
        </w:rPr>
        <w:t xml:space="preserve"> </w:t>
      </w:r>
      <w:r>
        <w:t>be</w:t>
      </w:r>
      <w:r>
        <w:rPr>
          <w:spacing w:val="-12"/>
        </w:rPr>
        <w:t xml:space="preserve"> </w:t>
      </w:r>
      <w:r>
        <w:t>affordable:</w:t>
      </w:r>
      <w:r>
        <w:rPr>
          <w:spacing w:val="-12"/>
        </w:rPr>
        <w:t xml:space="preserve"> </w:t>
      </w:r>
      <w:r>
        <w:t>Narcan</w:t>
      </w:r>
      <w:r>
        <w:rPr>
          <w:spacing w:val="-13"/>
        </w:rPr>
        <w:t xml:space="preserve"> </w:t>
      </w:r>
      <w:r>
        <w:t>Nasal Spray</w:t>
      </w:r>
      <w:r>
        <w:rPr>
          <w:spacing w:val="-13"/>
        </w:rPr>
        <w:t xml:space="preserve"> </w:t>
      </w:r>
      <w:r>
        <w:t>is</w:t>
      </w:r>
      <w:r>
        <w:rPr>
          <w:spacing w:val="-12"/>
        </w:rPr>
        <w:t xml:space="preserve"> </w:t>
      </w:r>
      <w:r>
        <w:t>affordably</w:t>
      </w:r>
      <w:r>
        <w:rPr>
          <w:spacing w:val="-14"/>
        </w:rPr>
        <w:t xml:space="preserve"> </w:t>
      </w:r>
      <w:r>
        <w:t>priced</w:t>
      </w:r>
      <w:r>
        <w:rPr>
          <w:spacing w:val="-15"/>
        </w:rPr>
        <w:t xml:space="preserve"> </w:t>
      </w:r>
      <w:r>
        <w:t>at</w:t>
      </w:r>
      <w:r>
        <w:rPr>
          <w:spacing w:val="-13"/>
        </w:rPr>
        <w:t xml:space="preserve"> </w:t>
      </w:r>
      <w:r>
        <w:t>Wholesaler</w:t>
      </w:r>
      <w:r>
        <w:rPr>
          <w:spacing w:val="-15"/>
        </w:rPr>
        <w:t xml:space="preserve"> </w:t>
      </w:r>
      <w:r>
        <w:t>Acquisition</w:t>
      </w:r>
      <w:r>
        <w:rPr>
          <w:spacing w:val="-14"/>
        </w:rPr>
        <w:t xml:space="preserve"> </w:t>
      </w:r>
      <w:r>
        <w:t>Cost</w:t>
      </w:r>
      <w:r>
        <w:rPr>
          <w:spacing w:val="-15"/>
        </w:rPr>
        <w:t xml:space="preserve"> </w:t>
      </w:r>
      <w:r>
        <w:t>of</w:t>
      </w:r>
      <w:r>
        <w:rPr>
          <w:spacing w:val="-14"/>
        </w:rPr>
        <w:t xml:space="preserve"> </w:t>
      </w:r>
      <w:r>
        <w:t>$125</w:t>
      </w:r>
      <w:r>
        <w:rPr>
          <w:spacing w:val="-12"/>
        </w:rPr>
        <w:t xml:space="preserve"> </w:t>
      </w:r>
      <w:r>
        <w:t>for</w:t>
      </w:r>
      <w:r>
        <w:rPr>
          <w:spacing w:val="-14"/>
        </w:rPr>
        <w:t xml:space="preserve"> </w:t>
      </w:r>
      <w:r>
        <w:t>a</w:t>
      </w:r>
      <w:r>
        <w:rPr>
          <w:spacing w:val="-15"/>
        </w:rPr>
        <w:t xml:space="preserve"> </w:t>
      </w:r>
      <w:r>
        <w:t>carton</w:t>
      </w:r>
      <w:r>
        <w:rPr>
          <w:spacing w:val="-15"/>
        </w:rPr>
        <w:t xml:space="preserve"> </w:t>
      </w:r>
      <w:r>
        <w:t>of</w:t>
      </w:r>
      <w:r>
        <w:rPr>
          <w:spacing w:val="-12"/>
        </w:rPr>
        <w:t xml:space="preserve"> </w:t>
      </w:r>
      <w:r>
        <w:t>two</w:t>
      </w:r>
      <w:r>
        <w:rPr>
          <w:spacing w:val="-12"/>
        </w:rPr>
        <w:t xml:space="preserve"> </w:t>
      </w:r>
      <w:r>
        <w:t>doses</w:t>
      </w:r>
      <w:r>
        <w:rPr>
          <w:spacing w:val="-10"/>
        </w:rPr>
        <w:t xml:space="preserve"> </w:t>
      </w:r>
      <w:r>
        <w:t>(before rebates), has extensive insurance coverage (94% of covered lives have access to Narcan Nasal Spray</w:t>
      </w:r>
      <w:r>
        <w:rPr>
          <w:position w:val="5"/>
          <w:sz w:val="14"/>
        </w:rPr>
        <w:t>14</w:t>
      </w:r>
      <w:r>
        <w:t>)</w:t>
      </w:r>
      <w:r>
        <w:rPr>
          <w:spacing w:val="-4"/>
        </w:rPr>
        <w:t xml:space="preserve"> </w:t>
      </w:r>
      <w:r>
        <w:t>at</w:t>
      </w:r>
      <w:r>
        <w:rPr>
          <w:spacing w:val="-3"/>
        </w:rPr>
        <w:t xml:space="preserve"> </w:t>
      </w:r>
      <w:r>
        <w:t>affordable</w:t>
      </w:r>
      <w:r>
        <w:rPr>
          <w:spacing w:val="-5"/>
        </w:rPr>
        <w:t xml:space="preserve"> </w:t>
      </w:r>
      <w:r>
        <w:t>co-pays</w:t>
      </w:r>
      <w:r>
        <w:rPr>
          <w:spacing w:val="-2"/>
        </w:rPr>
        <w:t xml:space="preserve"> </w:t>
      </w:r>
      <w:r>
        <w:t>(77%</w:t>
      </w:r>
      <w:r>
        <w:rPr>
          <w:spacing w:val="-4"/>
        </w:rPr>
        <w:t xml:space="preserve"> </w:t>
      </w:r>
      <w:r>
        <w:t>of</w:t>
      </w:r>
      <w:r>
        <w:rPr>
          <w:spacing w:val="-3"/>
        </w:rPr>
        <w:t xml:space="preserve"> </w:t>
      </w:r>
      <w:r>
        <w:t>dispensed</w:t>
      </w:r>
      <w:r>
        <w:rPr>
          <w:spacing w:val="-3"/>
        </w:rPr>
        <w:t xml:space="preserve"> </w:t>
      </w:r>
      <w:r>
        <w:t>prescriptions</w:t>
      </w:r>
      <w:r>
        <w:rPr>
          <w:spacing w:val="-3"/>
        </w:rPr>
        <w:t xml:space="preserve"> </w:t>
      </w:r>
      <w:r>
        <w:t>had</w:t>
      </w:r>
      <w:r>
        <w:rPr>
          <w:spacing w:val="-3"/>
        </w:rPr>
        <w:t xml:space="preserve"> </w:t>
      </w:r>
      <w:r>
        <w:t>a</w:t>
      </w:r>
      <w:r>
        <w:rPr>
          <w:spacing w:val="-4"/>
        </w:rPr>
        <w:t xml:space="preserve"> </w:t>
      </w:r>
      <w:r>
        <w:t>co-pay</w:t>
      </w:r>
      <w:r>
        <w:rPr>
          <w:spacing w:val="-4"/>
        </w:rPr>
        <w:t xml:space="preserve"> </w:t>
      </w:r>
      <w:r>
        <w:t>of</w:t>
      </w:r>
      <w:r>
        <w:rPr>
          <w:spacing w:val="-3"/>
        </w:rPr>
        <w:t xml:space="preserve"> </w:t>
      </w:r>
      <w:r>
        <w:t>$10</w:t>
      </w:r>
      <w:r>
        <w:rPr>
          <w:spacing w:val="-3"/>
        </w:rPr>
        <w:t xml:space="preserve"> </w:t>
      </w:r>
      <w:r>
        <w:t>or</w:t>
      </w:r>
      <w:r>
        <w:rPr>
          <w:spacing w:val="-4"/>
        </w:rPr>
        <w:t xml:space="preserve"> </w:t>
      </w:r>
      <w:r>
        <w:t>less</w:t>
      </w:r>
      <w:r>
        <w:rPr>
          <w:position w:val="5"/>
          <w:sz w:val="14"/>
        </w:rPr>
        <w:t>15</w:t>
      </w:r>
      <w:r>
        <w:t>).</w:t>
      </w:r>
    </w:p>
    <w:p w:rsidR="00D4787F" w:rsidRDefault="00D4787F">
      <w:pPr>
        <w:pStyle w:val="BodyText"/>
        <w:rPr>
          <w:sz w:val="26"/>
        </w:rPr>
      </w:pPr>
    </w:p>
    <w:p w:rsidR="00D4787F" w:rsidRDefault="00D4787F">
      <w:pPr>
        <w:pStyle w:val="BodyText"/>
        <w:rPr>
          <w:sz w:val="26"/>
        </w:rPr>
      </w:pPr>
    </w:p>
    <w:p w:rsidR="00D4787F" w:rsidRDefault="00871FEB">
      <w:pPr>
        <w:spacing w:before="166" w:line="276" w:lineRule="auto"/>
        <w:ind w:left="120" w:right="113"/>
        <w:jc w:val="both"/>
      </w:pPr>
      <w:r>
        <w:t>In</w:t>
      </w:r>
      <w:r>
        <w:rPr>
          <w:spacing w:val="-13"/>
        </w:rPr>
        <w:t xml:space="preserve"> </w:t>
      </w:r>
      <w:r>
        <w:t>closing,</w:t>
      </w:r>
      <w:r>
        <w:rPr>
          <w:spacing w:val="-12"/>
        </w:rPr>
        <w:t xml:space="preserve"> </w:t>
      </w:r>
      <w:r>
        <w:t>in</w:t>
      </w:r>
      <w:r>
        <w:rPr>
          <w:spacing w:val="-16"/>
        </w:rPr>
        <w:t xml:space="preserve"> </w:t>
      </w:r>
      <w:r>
        <w:t>situations</w:t>
      </w:r>
      <w:r>
        <w:rPr>
          <w:spacing w:val="-14"/>
        </w:rPr>
        <w:t xml:space="preserve"> </w:t>
      </w:r>
      <w:r>
        <w:t>where</w:t>
      </w:r>
      <w:r>
        <w:rPr>
          <w:spacing w:val="-12"/>
        </w:rPr>
        <w:t xml:space="preserve"> </w:t>
      </w:r>
      <w:r>
        <w:t>a</w:t>
      </w:r>
      <w:r>
        <w:rPr>
          <w:spacing w:val="-14"/>
        </w:rPr>
        <w:t xml:space="preserve"> </w:t>
      </w:r>
      <w:r>
        <w:t>hard</w:t>
      </w:r>
      <w:r>
        <w:rPr>
          <w:spacing w:val="-15"/>
        </w:rPr>
        <w:t xml:space="preserve"> </w:t>
      </w:r>
      <w:r>
        <w:t>or</w:t>
      </w:r>
      <w:r>
        <w:rPr>
          <w:spacing w:val="-15"/>
        </w:rPr>
        <w:t xml:space="preserve"> </w:t>
      </w:r>
      <w:r>
        <w:t>soft</w:t>
      </w:r>
      <w:r>
        <w:rPr>
          <w:spacing w:val="-12"/>
        </w:rPr>
        <w:t xml:space="preserve"> </w:t>
      </w:r>
      <w:r>
        <w:t>safety</w:t>
      </w:r>
      <w:r>
        <w:rPr>
          <w:spacing w:val="-16"/>
        </w:rPr>
        <w:t xml:space="preserve"> </w:t>
      </w:r>
      <w:r>
        <w:t>edit</w:t>
      </w:r>
      <w:r>
        <w:rPr>
          <w:spacing w:val="-13"/>
        </w:rPr>
        <w:t xml:space="preserve"> </w:t>
      </w:r>
      <w:r>
        <w:t>is</w:t>
      </w:r>
      <w:r>
        <w:rPr>
          <w:spacing w:val="-12"/>
        </w:rPr>
        <w:t xml:space="preserve"> </w:t>
      </w:r>
      <w:r>
        <w:t>triggered</w:t>
      </w:r>
      <w:r>
        <w:rPr>
          <w:spacing w:val="-15"/>
        </w:rPr>
        <w:t xml:space="preserve"> </w:t>
      </w:r>
      <w:r>
        <w:t>and</w:t>
      </w:r>
      <w:r>
        <w:rPr>
          <w:spacing w:val="-12"/>
        </w:rPr>
        <w:t xml:space="preserve"> </w:t>
      </w:r>
      <w:r>
        <w:t>overridden</w:t>
      </w:r>
      <w:r>
        <w:rPr>
          <w:spacing w:val="-13"/>
        </w:rPr>
        <w:t xml:space="preserve"> </w:t>
      </w:r>
      <w:r>
        <w:t>by</w:t>
      </w:r>
      <w:r>
        <w:rPr>
          <w:spacing w:val="-13"/>
        </w:rPr>
        <w:t xml:space="preserve"> </w:t>
      </w:r>
      <w:r>
        <w:t>the</w:t>
      </w:r>
      <w:r>
        <w:rPr>
          <w:spacing w:val="-14"/>
        </w:rPr>
        <w:t xml:space="preserve"> </w:t>
      </w:r>
      <w:r>
        <w:t xml:space="preserve">Sponsor or pharmacist based on medical need, we </w:t>
      </w:r>
      <w:r>
        <w:rPr>
          <w:b/>
          <w:u w:val="single"/>
        </w:rPr>
        <w:t>strongly recommend CMS to require that a community use naloxone be dispensed alongside the triggering opioid</w:t>
      </w:r>
      <w:r>
        <w:rPr>
          <w:b/>
          <w:spacing w:val="-29"/>
          <w:u w:val="single"/>
        </w:rPr>
        <w:t xml:space="preserve"> </w:t>
      </w:r>
      <w:r>
        <w:rPr>
          <w:b/>
          <w:u w:val="single"/>
        </w:rPr>
        <w:t>prescription</w:t>
      </w:r>
      <w:r>
        <w:t>.</w:t>
      </w:r>
    </w:p>
    <w:p w:rsidR="00D4787F" w:rsidRDefault="00D4787F">
      <w:pPr>
        <w:pStyle w:val="BodyText"/>
        <w:spacing w:before="11"/>
        <w:rPr>
          <w:sz w:val="11"/>
        </w:rPr>
      </w:pPr>
    </w:p>
    <w:p w:rsidR="00D4787F" w:rsidRDefault="00871FEB">
      <w:pPr>
        <w:pStyle w:val="BodyText"/>
        <w:spacing w:before="101" w:line="273" w:lineRule="auto"/>
        <w:ind w:left="120"/>
      </w:pPr>
      <w:r>
        <w:t>Pilot studies and state level experience in Vermont and Virginia highlight the feasibility and success of such an intervention.  The continuing loss of life underscores the urgency to act.</w:t>
      </w:r>
    </w:p>
    <w:p w:rsidR="00D4787F" w:rsidRDefault="00D4787F">
      <w:pPr>
        <w:pStyle w:val="BodyText"/>
        <w:rPr>
          <w:sz w:val="26"/>
        </w:rPr>
      </w:pPr>
    </w:p>
    <w:p w:rsidR="00D4787F" w:rsidRDefault="00D4787F">
      <w:pPr>
        <w:pStyle w:val="BodyText"/>
        <w:rPr>
          <w:sz w:val="26"/>
        </w:rPr>
      </w:pPr>
    </w:p>
    <w:p w:rsidR="00D4787F" w:rsidRDefault="00871FEB">
      <w:pPr>
        <w:pStyle w:val="BodyText"/>
        <w:spacing w:before="170"/>
        <w:ind w:left="120"/>
      </w:pPr>
      <w:r>
        <w:t>Sincerely</w:t>
      </w:r>
    </w:p>
    <w:p w:rsidR="00D4787F" w:rsidRDefault="00D4787F">
      <w:pPr>
        <w:pStyle w:val="BodyText"/>
        <w:rPr>
          <w:sz w:val="26"/>
        </w:rPr>
      </w:pPr>
    </w:p>
    <w:p w:rsidR="00D4787F" w:rsidRDefault="00D4787F">
      <w:pPr>
        <w:pStyle w:val="BodyText"/>
        <w:rPr>
          <w:sz w:val="26"/>
        </w:rPr>
      </w:pPr>
    </w:p>
    <w:p w:rsidR="00D4787F" w:rsidRDefault="00871FEB">
      <w:pPr>
        <w:pStyle w:val="BodyText"/>
        <w:spacing w:before="207" w:line="499" w:lineRule="auto"/>
        <w:ind w:left="120" w:right="7368"/>
      </w:pPr>
      <w:r>
        <w:t>Seamus Mulligan Chairman and CEO Adapt Pharma</w:t>
      </w:r>
    </w:p>
    <w:p w:rsidR="00D4787F" w:rsidRDefault="00D4787F">
      <w:pPr>
        <w:pStyle w:val="BodyText"/>
        <w:rPr>
          <w:sz w:val="20"/>
        </w:rPr>
      </w:pPr>
    </w:p>
    <w:p w:rsidR="00D4787F" w:rsidRDefault="00CB1314">
      <w:pPr>
        <w:pStyle w:val="BodyText"/>
        <w:spacing w:before="10"/>
        <w:rPr>
          <w:sz w:val="27"/>
        </w:rPr>
      </w:pPr>
      <w:r>
        <w:pict>
          <v:line id="_x0000_s1026" style="position:absolute;z-index:251657728;mso-wrap-distance-left:0;mso-wrap-distance-right:0;mso-position-horizontal-relative:page" from="1in,18.7pt" to="216.05pt,18.7pt" strokeweight=".72pt">
            <w10:wrap type="topAndBottom" anchorx="page"/>
          </v:line>
        </w:pict>
      </w:r>
    </w:p>
    <w:p w:rsidR="00D4787F" w:rsidRDefault="00871FEB">
      <w:pPr>
        <w:tabs>
          <w:tab w:val="left" w:pos="403"/>
        </w:tabs>
        <w:spacing w:before="71"/>
        <w:ind w:left="120"/>
        <w:rPr>
          <w:sz w:val="21"/>
        </w:rPr>
      </w:pPr>
      <w:r>
        <w:rPr>
          <w:position w:val="5"/>
          <w:sz w:val="14"/>
        </w:rPr>
        <w:t>1</w:t>
      </w:r>
      <w:r>
        <w:rPr>
          <w:position w:val="5"/>
          <w:sz w:val="14"/>
        </w:rPr>
        <w:tab/>
      </w:r>
      <w:r>
        <w:rPr>
          <w:sz w:val="21"/>
        </w:rPr>
        <w:t>Source CDC. Accessed October 2017 at</w:t>
      </w:r>
      <w:r>
        <w:rPr>
          <w:spacing w:val="-31"/>
          <w:sz w:val="21"/>
        </w:rPr>
        <w:t xml:space="preserve"> </w:t>
      </w:r>
      <w:r>
        <w:rPr>
          <w:sz w:val="21"/>
        </w:rPr>
        <w:t>https:</w:t>
      </w:r>
      <w:hyperlink r:id="rId7">
        <w:r>
          <w:rPr>
            <w:sz w:val="21"/>
          </w:rPr>
          <w:t>//www.</w:t>
        </w:r>
      </w:hyperlink>
      <w:r>
        <w:rPr>
          <w:sz w:val="21"/>
        </w:rPr>
        <w:t>c</w:t>
      </w:r>
      <w:hyperlink r:id="rId8">
        <w:r>
          <w:rPr>
            <w:sz w:val="21"/>
          </w:rPr>
          <w:t>dc.g</w:t>
        </w:r>
      </w:hyperlink>
      <w:r>
        <w:rPr>
          <w:sz w:val="21"/>
        </w:rPr>
        <w:t>o</w:t>
      </w:r>
      <w:hyperlink r:id="rId9">
        <w:r>
          <w:rPr>
            <w:sz w:val="21"/>
          </w:rPr>
          <w:t>v/drugoverdose/index.html</w:t>
        </w:r>
      </w:hyperlink>
    </w:p>
    <w:p w:rsidR="00D4787F" w:rsidRDefault="00D4787F">
      <w:pPr>
        <w:rPr>
          <w:sz w:val="21"/>
        </w:rPr>
        <w:sectPr w:rsidR="00D4787F">
          <w:pgSz w:w="11910" w:h="16840"/>
          <w:pgMar w:top="1500" w:right="1320" w:bottom="280" w:left="1320" w:header="708" w:footer="0" w:gutter="0"/>
          <w:cols w:space="720"/>
        </w:sectPr>
      </w:pPr>
    </w:p>
    <w:p w:rsidR="00D4787F" w:rsidRDefault="00871FEB">
      <w:pPr>
        <w:tabs>
          <w:tab w:val="left" w:pos="403"/>
        </w:tabs>
        <w:spacing w:before="103" w:line="273" w:lineRule="auto"/>
        <w:ind w:left="403" w:right="302" w:hanging="284"/>
        <w:rPr>
          <w:sz w:val="21"/>
        </w:rPr>
      </w:pPr>
      <w:r>
        <w:rPr>
          <w:position w:val="5"/>
          <w:sz w:val="14"/>
        </w:rPr>
        <w:lastRenderedPageBreak/>
        <w:t>2</w:t>
      </w:r>
      <w:r>
        <w:rPr>
          <w:position w:val="5"/>
          <w:sz w:val="14"/>
        </w:rPr>
        <w:tab/>
      </w:r>
      <w:r>
        <w:rPr>
          <w:sz w:val="21"/>
        </w:rPr>
        <w:t>Compton</w:t>
      </w:r>
      <w:r>
        <w:rPr>
          <w:spacing w:val="-4"/>
          <w:sz w:val="21"/>
        </w:rPr>
        <w:t xml:space="preserve"> </w:t>
      </w:r>
      <w:r>
        <w:rPr>
          <w:sz w:val="21"/>
        </w:rPr>
        <w:t>WM,</w:t>
      </w:r>
      <w:r>
        <w:rPr>
          <w:spacing w:val="-4"/>
          <w:sz w:val="21"/>
        </w:rPr>
        <w:t xml:space="preserve"> </w:t>
      </w:r>
      <w:r>
        <w:rPr>
          <w:sz w:val="21"/>
        </w:rPr>
        <w:t>Jones</w:t>
      </w:r>
      <w:r>
        <w:rPr>
          <w:spacing w:val="-6"/>
          <w:sz w:val="21"/>
        </w:rPr>
        <w:t xml:space="preserve"> </w:t>
      </w:r>
      <w:r>
        <w:rPr>
          <w:sz w:val="21"/>
        </w:rPr>
        <w:t>CM,</w:t>
      </w:r>
      <w:r>
        <w:rPr>
          <w:spacing w:val="-7"/>
          <w:sz w:val="21"/>
        </w:rPr>
        <w:t xml:space="preserve"> </w:t>
      </w:r>
      <w:r>
        <w:rPr>
          <w:sz w:val="21"/>
        </w:rPr>
        <w:t>Baldwin</w:t>
      </w:r>
      <w:r>
        <w:rPr>
          <w:spacing w:val="-4"/>
          <w:sz w:val="21"/>
        </w:rPr>
        <w:t xml:space="preserve"> </w:t>
      </w:r>
      <w:r>
        <w:rPr>
          <w:sz w:val="21"/>
        </w:rPr>
        <w:t>GT.</w:t>
      </w:r>
      <w:r>
        <w:rPr>
          <w:spacing w:val="-4"/>
          <w:sz w:val="21"/>
        </w:rPr>
        <w:t xml:space="preserve"> </w:t>
      </w:r>
      <w:r>
        <w:rPr>
          <w:sz w:val="21"/>
        </w:rPr>
        <w:t>Relationship</w:t>
      </w:r>
      <w:r>
        <w:rPr>
          <w:spacing w:val="-4"/>
          <w:sz w:val="21"/>
        </w:rPr>
        <w:t xml:space="preserve"> </w:t>
      </w:r>
      <w:r>
        <w:rPr>
          <w:sz w:val="21"/>
        </w:rPr>
        <w:t>between</w:t>
      </w:r>
      <w:r>
        <w:rPr>
          <w:spacing w:val="-3"/>
          <w:sz w:val="21"/>
        </w:rPr>
        <w:t xml:space="preserve"> </w:t>
      </w:r>
      <w:r>
        <w:rPr>
          <w:sz w:val="21"/>
        </w:rPr>
        <w:t>nonmedical</w:t>
      </w:r>
      <w:r>
        <w:rPr>
          <w:spacing w:val="-3"/>
          <w:sz w:val="21"/>
        </w:rPr>
        <w:t xml:space="preserve"> </w:t>
      </w:r>
      <w:r>
        <w:rPr>
          <w:sz w:val="21"/>
        </w:rPr>
        <w:t>prescription-opioid</w:t>
      </w:r>
      <w:r>
        <w:rPr>
          <w:spacing w:val="-3"/>
          <w:sz w:val="21"/>
        </w:rPr>
        <w:t xml:space="preserve"> </w:t>
      </w:r>
      <w:r>
        <w:rPr>
          <w:sz w:val="21"/>
        </w:rPr>
        <w:t>use and heroin use. N Engl J Med</w:t>
      </w:r>
      <w:r>
        <w:rPr>
          <w:spacing w:val="-10"/>
          <w:sz w:val="21"/>
        </w:rPr>
        <w:t xml:space="preserve"> </w:t>
      </w:r>
      <w:r>
        <w:rPr>
          <w:sz w:val="21"/>
        </w:rPr>
        <w:t>2016;374:154–63.</w:t>
      </w:r>
    </w:p>
    <w:p w:rsidR="00D4787F" w:rsidRDefault="00871FEB">
      <w:pPr>
        <w:tabs>
          <w:tab w:val="left" w:pos="403"/>
        </w:tabs>
        <w:spacing w:before="2" w:line="276" w:lineRule="auto"/>
        <w:ind w:left="403" w:right="244" w:hanging="284"/>
        <w:rPr>
          <w:sz w:val="21"/>
        </w:rPr>
      </w:pPr>
      <w:r>
        <w:rPr>
          <w:position w:val="5"/>
          <w:sz w:val="14"/>
        </w:rPr>
        <w:t>3</w:t>
      </w:r>
      <w:r>
        <w:rPr>
          <w:position w:val="5"/>
          <w:sz w:val="14"/>
        </w:rPr>
        <w:tab/>
      </w:r>
      <w:r>
        <w:rPr>
          <w:sz w:val="21"/>
        </w:rPr>
        <w:t>Help</w:t>
      </w:r>
      <w:r>
        <w:rPr>
          <w:spacing w:val="-3"/>
          <w:sz w:val="21"/>
        </w:rPr>
        <w:t xml:space="preserve"> </w:t>
      </w:r>
      <w:r>
        <w:rPr>
          <w:sz w:val="21"/>
        </w:rPr>
        <w:t>save</w:t>
      </w:r>
      <w:r>
        <w:rPr>
          <w:spacing w:val="-4"/>
          <w:sz w:val="21"/>
        </w:rPr>
        <w:t xml:space="preserve"> </w:t>
      </w:r>
      <w:r>
        <w:rPr>
          <w:sz w:val="21"/>
        </w:rPr>
        <w:t>lives:</w:t>
      </w:r>
      <w:r>
        <w:rPr>
          <w:spacing w:val="-3"/>
          <w:sz w:val="21"/>
        </w:rPr>
        <w:t xml:space="preserve"> </w:t>
      </w:r>
      <w:r>
        <w:rPr>
          <w:sz w:val="21"/>
        </w:rPr>
        <w:t>Co-prescribe</w:t>
      </w:r>
      <w:r>
        <w:rPr>
          <w:spacing w:val="-3"/>
          <w:sz w:val="21"/>
        </w:rPr>
        <w:t xml:space="preserve"> </w:t>
      </w:r>
      <w:r>
        <w:rPr>
          <w:sz w:val="21"/>
        </w:rPr>
        <w:t>naloxone</w:t>
      </w:r>
      <w:r>
        <w:rPr>
          <w:spacing w:val="-3"/>
          <w:sz w:val="21"/>
        </w:rPr>
        <w:t xml:space="preserve"> </w:t>
      </w:r>
      <w:r>
        <w:rPr>
          <w:sz w:val="21"/>
        </w:rPr>
        <w:t>to</w:t>
      </w:r>
      <w:r>
        <w:rPr>
          <w:spacing w:val="-3"/>
          <w:sz w:val="21"/>
        </w:rPr>
        <w:t xml:space="preserve"> </w:t>
      </w:r>
      <w:r>
        <w:rPr>
          <w:sz w:val="21"/>
        </w:rPr>
        <w:t>patients</w:t>
      </w:r>
      <w:r>
        <w:rPr>
          <w:spacing w:val="-1"/>
          <w:sz w:val="21"/>
        </w:rPr>
        <w:t xml:space="preserve"> </w:t>
      </w:r>
      <w:r>
        <w:rPr>
          <w:sz w:val="21"/>
        </w:rPr>
        <w:t>at</w:t>
      </w:r>
      <w:r>
        <w:rPr>
          <w:spacing w:val="-2"/>
          <w:sz w:val="21"/>
        </w:rPr>
        <w:t xml:space="preserve"> </w:t>
      </w:r>
      <w:r>
        <w:rPr>
          <w:sz w:val="21"/>
        </w:rPr>
        <w:t>risk</w:t>
      </w:r>
      <w:r>
        <w:rPr>
          <w:spacing w:val="-3"/>
          <w:sz w:val="21"/>
        </w:rPr>
        <w:t xml:space="preserve"> </w:t>
      </w:r>
      <w:r>
        <w:rPr>
          <w:sz w:val="21"/>
        </w:rPr>
        <w:t>of</w:t>
      </w:r>
      <w:r>
        <w:rPr>
          <w:spacing w:val="-2"/>
          <w:sz w:val="21"/>
        </w:rPr>
        <w:t xml:space="preserve"> </w:t>
      </w:r>
      <w:r>
        <w:rPr>
          <w:sz w:val="21"/>
        </w:rPr>
        <w:t>overdose.</w:t>
      </w:r>
      <w:r>
        <w:rPr>
          <w:spacing w:val="-2"/>
          <w:sz w:val="21"/>
        </w:rPr>
        <w:t xml:space="preserve"> </w:t>
      </w:r>
      <w:r>
        <w:rPr>
          <w:sz w:val="21"/>
        </w:rPr>
        <w:t>Accessed</w:t>
      </w:r>
      <w:r>
        <w:rPr>
          <w:spacing w:val="-5"/>
          <w:sz w:val="21"/>
        </w:rPr>
        <w:t xml:space="preserve"> </w:t>
      </w:r>
      <w:r>
        <w:rPr>
          <w:sz w:val="21"/>
        </w:rPr>
        <w:t>October</w:t>
      </w:r>
      <w:r>
        <w:rPr>
          <w:spacing w:val="-4"/>
          <w:sz w:val="21"/>
        </w:rPr>
        <w:t xml:space="preserve"> </w:t>
      </w:r>
      <w:r>
        <w:rPr>
          <w:sz w:val="21"/>
        </w:rPr>
        <w:t>2017</w:t>
      </w:r>
      <w:r>
        <w:rPr>
          <w:spacing w:val="-2"/>
          <w:sz w:val="21"/>
        </w:rPr>
        <w:t xml:space="preserve"> </w:t>
      </w:r>
      <w:r>
        <w:rPr>
          <w:sz w:val="21"/>
        </w:rPr>
        <w:t>at:</w:t>
      </w:r>
      <w:r>
        <w:rPr>
          <w:spacing w:val="-1"/>
          <w:sz w:val="21"/>
        </w:rPr>
        <w:t xml:space="preserve"> </w:t>
      </w:r>
      <w:r>
        <w:rPr>
          <w:sz w:val="21"/>
        </w:rPr>
        <w:t>chrome-extension://oemmndcbldboiebfnladdacbdfmadadm/https://www.end-opioid- epidemic.org/wp-content/uploads/2017/08/AMA-Opioid-Task-Force-naloxone-one-pager- updated-August-2017-FINAL.pdf</w:t>
      </w:r>
    </w:p>
    <w:p w:rsidR="00D4787F" w:rsidRDefault="00871FEB">
      <w:pPr>
        <w:tabs>
          <w:tab w:val="left" w:pos="403"/>
        </w:tabs>
        <w:spacing w:before="83" w:line="276" w:lineRule="auto"/>
        <w:ind w:left="403" w:right="492" w:hanging="284"/>
        <w:rPr>
          <w:sz w:val="21"/>
        </w:rPr>
      </w:pPr>
      <w:r>
        <w:rPr>
          <w:position w:val="5"/>
          <w:sz w:val="14"/>
        </w:rPr>
        <w:t>4</w:t>
      </w:r>
      <w:r>
        <w:rPr>
          <w:position w:val="5"/>
          <w:sz w:val="14"/>
        </w:rPr>
        <w:tab/>
      </w:r>
      <w:r>
        <w:rPr>
          <w:sz w:val="21"/>
        </w:rPr>
        <w:t>Public</w:t>
      </w:r>
      <w:r>
        <w:rPr>
          <w:spacing w:val="-1"/>
          <w:sz w:val="21"/>
        </w:rPr>
        <w:t xml:space="preserve"> </w:t>
      </w:r>
      <w:r>
        <w:rPr>
          <w:sz w:val="21"/>
        </w:rPr>
        <w:t>Policy</w:t>
      </w:r>
      <w:r>
        <w:rPr>
          <w:spacing w:val="-5"/>
          <w:sz w:val="21"/>
        </w:rPr>
        <w:t xml:space="preserve"> </w:t>
      </w:r>
      <w:r>
        <w:rPr>
          <w:sz w:val="21"/>
        </w:rPr>
        <w:t>Statement</w:t>
      </w:r>
      <w:r>
        <w:rPr>
          <w:spacing w:val="-1"/>
          <w:sz w:val="21"/>
        </w:rPr>
        <w:t xml:space="preserve"> </w:t>
      </w:r>
      <w:r>
        <w:rPr>
          <w:sz w:val="21"/>
        </w:rPr>
        <w:t>on</w:t>
      </w:r>
      <w:r>
        <w:rPr>
          <w:spacing w:val="-5"/>
          <w:sz w:val="21"/>
        </w:rPr>
        <w:t xml:space="preserve"> </w:t>
      </w:r>
      <w:r>
        <w:rPr>
          <w:sz w:val="21"/>
        </w:rPr>
        <w:t>the</w:t>
      </w:r>
      <w:r>
        <w:rPr>
          <w:spacing w:val="-2"/>
          <w:sz w:val="21"/>
        </w:rPr>
        <w:t xml:space="preserve"> </w:t>
      </w:r>
      <w:r>
        <w:rPr>
          <w:sz w:val="21"/>
        </w:rPr>
        <w:t>Use</w:t>
      </w:r>
      <w:r>
        <w:rPr>
          <w:spacing w:val="-1"/>
          <w:sz w:val="21"/>
        </w:rPr>
        <w:t xml:space="preserve"> </w:t>
      </w:r>
      <w:r>
        <w:rPr>
          <w:sz w:val="21"/>
        </w:rPr>
        <w:t>of</w:t>
      </w:r>
      <w:r>
        <w:rPr>
          <w:spacing w:val="-1"/>
          <w:sz w:val="21"/>
        </w:rPr>
        <w:t xml:space="preserve"> </w:t>
      </w:r>
      <w:r>
        <w:rPr>
          <w:sz w:val="21"/>
        </w:rPr>
        <w:t>Naloxone</w:t>
      </w:r>
      <w:r>
        <w:rPr>
          <w:spacing w:val="-2"/>
          <w:sz w:val="21"/>
        </w:rPr>
        <w:t xml:space="preserve"> </w:t>
      </w:r>
      <w:r>
        <w:rPr>
          <w:sz w:val="21"/>
        </w:rPr>
        <w:t>for</w:t>
      </w:r>
      <w:r>
        <w:rPr>
          <w:spacing w:val="-3"/>
          <w:sz w:val="21"/>
        </w:rPr>
        <w:t xml:space="preserve"> </w:t>
      </w:r>
      <w:r>
        <w:rPr>
          <w:sz w:val="21"/>
        </w:rPr>
        <w:t>the</w:t>
      </w:r>
      <w:r>
        <w:rPr>
          <w:spacing w:val="-4"/>
          <w:sz w:val="21"/>
        </w:rPr>
        <w:t xml:space="preserve"> </w:t>
      </w:r>
      <w:r>
        <w:rPr>
          <w:sz w:val="21"/>
        </w:rPr>
        <w:t>Prevention</w:t>
      </w:r>
      <w:r>
        <w:rPr>
          <w:spacing w:val="-5"/>
          <w:sz w:val="21"/>
        </w:rPr>
        <w:t xml:space="preserve"> </w:t>
      </w:r>
      <w:r>
        <w:rPr>
          <w:sz w:val="21"/>
        </w:rPr>
        <w:t>of</w:t>
      </w:r>
      <w:r>
        <w:rPr>
          <w:spacing w:val="-4"/>
          <w:sz w:val="21"/>
        </w:rPr>
        <w:t xml:space="preserve"> </w:t>
      </w:r>
      <w:r>
        <w:rPr>
          <w:sz w:val="21"/>
        </w:rPr>
        <w:t>Opioid</w:t>
      </w:r>
      <w:r>
        <w:rPr>
          <w:spacing w:val="-4"/>
          <w:sz w:val="21"/>
        </w:rPr>
        <w:t xml:space="preserve"> </w:t>
      </w:r>
      <w:r>
        <w:rPr>
          <w:sz w:val="21"/>
        </w:rPr>
        <w:t>Overdose</w:t>
      </w:r>
      <w:r>
        <w:rPr>
          <w:spacing w:val="-2"/>
          <w:sz w:val="21"/>
        </w:rPr>
        <w:t xml:space="preserve"> </w:t>
      </w:r>
      <w:r>
        <w:rPr>
          <w:sz w:val="21"/>
        </w:rPr>
        <w:t>Deaths. Accessed October 2017 at:</w:t>
      </w:r>
      <w:r>
        <w:rPr>
          <w:spacing w:val="-10"/>
          <w:sz w:val="21"/>
        </w:rPr>
        <w:t xml:space="preserve"> </w:t>
      </w:r>
      <w:r>
        <w:rPr>
          <w:sz w:val="21"/>
        </w:rPr>
        <w:t>chrome-extension:</w:t>
      </w:r>
    </w:p>
    <w:p w:rsidR="00D4787F" w:rsidRDefault="00871FEB">
      <w:pPr>
        <w:spacing w:line="276" w:lineRule="auto"/>
        <w:ind w:left="403" w:right="302"/>
        <w:rPr>
          <w:sz w:val="21"/>
        </w:rPr>
      </w:pPr>
      <w:r>
        <w:rPr>
          <w:sz w:val="21"/>
        </w:rPr>
        <w:t>//oemmndcbldboiebfnladdacbdfmadadm/https:/</w:t>
      </w:r>
      <w:hyperlink r:id="rId10">
        <w:r>
          <w:rPr>
            <w:sz w:val="21"/>
          </w:rPr>
          <w:t>/www.asam.or</w:t>
        </w:r>
      </w:hyperlink>
      <w:r>
        <w:rPr>
          <w:sz w:val="21"/>
        </w:rPr>
        <w:t>g</w:t>
      </w:r>
      <w:hyperlink r:id="rId11">
        <w:r>
          <w:rPr>
            <w:sz w:val="21"/>
          </w:rPr>
          <w:t>/docs/default-source/public-</w:t>
        </w:r>
      </w:hyperlink>
      <w:r>
        <w:rPr>
          <w:sz w:val="21"/>
        </w:rPr>
        <w:t xml:space="preserve"> policy-statements/use-of-naloxone-for-the-prevention-of-opioid-overdose-deaths- final.pdf?sfvrsn=4</w:t>
      </w:r>
    </w:p>
    <w:p w:rsidR="00D4787F" w:rsidRDefault="00871FEB">
      <w:pPr>
        <w:tabs>
          <w:tab w:val="left" w:pos="403"/>
        </w:tabs>
        <w:spacing w:before="79"/>
        <w:ind w:left="120"/>
        <w:rPr>
          <w:sz w:val="21"/>
        </w:rPr>
      </w:pPr>
      <w:r>
        <w:rPr>
          <w:position w:val="5"/>
          <w:sz w:val="14"/>
        </w:rPr>
        <w:t>5</w:t>
      </w:r>
      <w:r>
        <w:rPr>
          <w:position w:val="5"/>
          <w:sz w:val="14"/>
        </w:rPr>
        <w:tab/>
      </w:r>
      <w:r>
        <w:rPr>
          <w:sz w:val="21"/>
        </w:rPr>
        <w:t>Website Accessed October 2017 at:</w:t>
      </w:r>
      <w:r>
        <w:rPr>
          <w:spacing w:val="-24"/>
          <w:sz w:val="21"/>
        </w:rPr>
        <w:t xml:space="preserve"> </w:t>
      </w:r>
      <w:hyperlink r:id="rId12">
        <w:r>
          <w:rPr>
            <w:sz w:val="21"/>
          </w:rPr>
          <w:t>http://prescribetoprevent.org/</w:t>
        </w:r>
      </w:hyperlink>
    </w:p>
    <w:p w:rsidR="00D4787F" w:rsidRDefault="00871FEB">
      <w:pPr>
        <w:tabs>
          <w:tab w:val="left" w:pos="403"/>
        </w:tabs>
        <w:spacing w:before="118" w:line="276" w:lineRule="auto"/>
        <w:ind w:left="403" w:right="251" w:hanging="284"/>
        <w:rPr>
          <w:sz w:val="21"/>
        </w:rPr>
      </w:pPr>
      <w:r>
        <w:rPr>
          <w:position w:val="5"/>
          <w:sz w:val="14"/>
        </w:rPr>
        <w:t>6</w:t>
      </w:r>
      <w:r>
        <w:rPr>
          <w:position w:val="5"/>
          <w:sz w:val="14"/>
        </w:rPr>
        <w:tab/>
      </w:r>
      <w:r>
        <w:rPr>
          <w:sz w:val="21"/>
        </w:rPr>
        <w:t>Report on Pain Management and the Opioid Epidemic (Recommendation 5-9).</w:t>
      </w:r>
      <w:r>
        <w:rPr>
          <w:spacing w:val="-22"/>
          <w:sz w:val="21"/>
        </w:rPr>
        <w:t xml:space="preserve"> </w:t>
      </w:r>
      <w:r>
        <w:rPr>
          <w:sz w:val="21"/>
        </w:rPr>
        <w:t>Accessed</w:t>
      </w:r>
      <w:r>
        <w:rPr>
          <w:spacing w:val="-4"/>
          <w:sz w:val="21"/>
        </w:rPr>
        <w:t xml:space="preserve"> </w:t>
      </w:r>
      <w:r>
        <w:rPr>
          <w:sz w:val="21"/>
        </w:rPr>
        <w:t>October 2017 at:</w:t>
      </w:r>
      <w:r>
        <w:rPr>
          <w:spacing w:val="-13"/>
          <w:sz w:val="21"/>
        </w:rPr>
        <w:t xml:space="preserve"> </w:t>
      </w:r>
      <w:r>
        <w:rPr>
          <w:sz w:val="21"/>
        </w:rPr>
        <w:t>chrome-extension:</w:t>
      </w:r>
    </w:p>
    <w:p w:rsidR="00D4787F" w:rsidRDefault="00871FEB">
      <w:pPr>
        <w:spacing w:line="276" w:lineRule="auto"/>
        <w:ind w:left="403" w:right="112"/>
        <w:rPr>
          <w:sz w:val="21"/>
        </w:rPr>
      </w:pPr>
      <w:r>
        <w:rPr>
          <w:sz w:val="21"/>
        </w:rPr>
        <w:t>//oemmndcbldboiebfnladdacbdfmadadm/https://download.nap.edu/cart/download.cgi?record_ id=24781</w:t>
      </w:r>
    </w:p>
    <w:p w:rsidR="00D4787F" w:rsidRDefault="00871FEB">
      <w:pPr>
        <w:tabs>
          <w:tab w:val="left" w:pos="403"/>
        </w:tabs>
        <w:spacing w:line="276" w:lineRule="auto"/>
        <w:ind w:left="403" w:right="461" w:hanging="284"/>
        <w:rPr>
          <w:sz w:val="21"/>
        </w:rPr>
      </w:pPr>
      <w:r>
        <w:rPr>
          <w:position w:val="5"/>
          <w:sz w:val="14"/>
        </w:rPr>
        <w:t>7</w:t>
      </w:r>
      <w:r>
        <w:rPr>
          <w:position w:val="5"/>
          <w:sz w:val="14"/>
        </w:rPr>
        <w:tab/>
      </w:r>
      <w:r>
        <w:rPr>
          <w:sz w:val="21"/>
        </w:rPr>
        <w:t>FDA Education Blueprint for Health Care Providers Involved in the Management or</w:t>
      </w:r>
      <w:r>
        <w:rPr>
          <w:spacing w:val="-31"/>
          <w:sz w:val="21"/>
        </w:rPr>
        <w:t xml:space="preserve"> </w:t>
      </w:r>
      <w:r>
        <w:rPr>
          <w:sz w:val="21"/>
        </w:rPr>
        <w:t>Support</w:t>
      </w:r>
      <w:r>
        <w:rPr>
          <w:spacing w:val="-2"/>
          <w:sz w:val="21"/>
        </w:rPr>
        <w:t xml:space="preserve"> </w:t>
      </w:r>
      <w:r>
        <w:rPr>
          <w:sz w:val="21"/>
        </w:rPr>
        <w:t>of Patients with Pain. Accessed October 2017 at:</w:t>
      </w:r>
      <w:r>
        <w:rPr>
          <w:spacing w:val="-20"/>
          <w:sz w:val="21"/>
        </w:rPr>
        <w:t xml:space="preserve"> </w:t>
      </w:r>
      <w:r>
        <w:rPr>
          <w:sz w:val="21"/>
        </w:rPr>
        <w:t>Chrome-extension:</w:t>
      </w:r>
    </w:p>
    <w:p w:rsidR="00D4787F" w:rsidRDefault="00871FEB">
      <w:pPr>
        <w:ind w:left="403"/>
        <w:rPr>
          <w:sz w:val="21"/>
        </w:rPr>
      </w:pPr>
      <w:r>
        <w:rPr>
          <w:sz w:val="21"/>
        </w:rPr>
        <w:t>//oemmndcbldboiebfnladdacbdfmadadm/https:/</w:t>
      </w:r>
      <w:hyperlink r:id="rId13">
        <w:r>
          <w:rPr>
            <w:sz w:val="21"/>
          </w:rPr>
          <w:t>/www.fda.g</w:t>
        </w:r>
      </w:hyperlink>
      <w:r>
        <w:rPr>
          <w:sz w:val="21"/>
        </w:rPr>
        <w:t>o</w:t>
      </w:r>
      <w:hyperlink r:id="rId14">
        <w:r>
          <w:rPr>
            <w:sz w:val="21"/>
          </w:rPr>
          <w:t>v/downloads/Drugs/NewsEvents</w:t>
        </w:r>
      </w:hyperlink>
    </w:p>
    <w:p w:rsidR="00D4787F" w:rsidRDefault="00871FEB">
      <w:pPr>
        <w:spacing w:before="34"/>
        <w:ind w:left="403"/>
        <w:rPr>
          <w:sz w:val="21"/>
        </w:rPr>
      </w:pPr>
      <w:r>
        <w:rPr>
          <w:sz w:val="21"/>
        </w:rPr>
        <w:t>/UCM557071.pdf</w:t>
      </w:r>
    </w:p>
    <w:p w:rsidR="00D4787F" w:rsidRDefault="00871FEB">
      <w:pPr>
        <w:tabs>
          <w:tab w:val="left" w:pos="403"/>
        </w:tabs>
        <w:spacing w:before="118"/>
        <w:ind w:left="120"/>
        <w:rPr>
          <w:sz w:val="21"/>
        </w:rPr>
      </w:pPr>
      <w:r>
        <w:rPr>
          <w:position w:val="5"/>
          <w:sz w:val="14"/>
        </w:rPr>
        <w:t>8</w:t>
      </w:r>
      <w:r>
        <w:rPr>
          <w:position w:val="5"/>
          <w:sz w:val="14"/>
        </w:rPr>
        <w:tab/>
      </w:r>
      <w:r>
        <w:rPr>
          <w:sz w:val="21"/>
        </w:rPr>
        <w:t>FDA Consumer Update “What to Ask Your Doctor Before Taking Opioids?” Accessed October</w:t>
      </w:r>
      <w:r>
        <w:rPr>
          <w:spacing w:val="-18"/>
          <w:sz w:val="21"/>
        </w:rPr>
        <w:t xml:space="preserve"> </w:t>
      </w:r>
      <w:r>
        <w:rPr>
          <w:sz w:val="21"/>
        </w:rPr>
        <w:t>2017</w:t>
      </w:r>
    </w:p>
    <w:p w:rsidR="00D4787F" w:rsidRDefault="00871FEB">
      <w:pPr>
        <w:spacing w:before="34"/>
        <w:ind w:left="403"/>
        <w:rPr>
          <w:sz w:val="21"/>
        </w:rPr>
      </w:pPr>
      <w:r>
        <w:rPr>
          <w:sz w:val="21"/>
        </w:rPr>
        <w:t>at: https:/</w:t>
      </w:r>
      <w:hyperlink r:id="rId15">
        <w:r>
          <w:rPr>
            <w:sz w:val="21"/>
          </w:rPr>
          <w:t>/www.fda.gov/ForConsumers/ConsumerUpdates/ucm529517.htm</w:t>
        </w:r>
      </w:hyperlink>
    </w:p>
    <w:p w:rsidR="00D4787F" w:rsidRDefault="00871FEB">
      <w:pPr>
        <w:tabs>
          <w:tab w:val="left" w:pos="403"/>
        </w:tabs>
        <w:spacing w:before="121" w:line="271" w:lineRule="auto"/>
        <w:ind w:left="403" w:right="2951" w:hanging="284"/>
        <w:rPr>
          <w:sz w:val="21"/>
        </w:rPr>
      </w:pPr>
      <w:r>
        <w:rPr>
          <w:position w:val="5"/>
          <w:sz w:val="14"/>
        </w:rPr>
        <w:t>9</w:t>
      </w:r>
      <w:r>
        <w:rPr>
          <w:position w:val="5"/>
          <w:sz w:val="14"/>
        </w:rPr>
        <w:tab/>
      </w:r>
      <w:r>
        <w:rPr>
          <w:sz w:val="21"/>
        </w:rPr>
        <w:t>Virginia Board of Medicine Regulations Accessed October</w:t>
      </w:r>
      <w:r>
        <w:rPr>
          <w:spacing w:val="-28"/>
          <w:sz w:val="21"/>
        </w:rPr>
        <w:t xml:space="preserve"> </w:t>
      </w:r>
      <w:r>
        <w:rPr>
          <w:sz w:val="21"/>
        </w:rPr>
        <w:t>2017</w:t>
      </w:r>
      <w:r>
        <w:rPr>
          <w:spacing w:val="-3"/>
          <w:sz w:val="21"/>
        </w:rPr>
        <w:t xml:space="preserve"> </w:t>
      </w:r>
      <w:r>
        <w:rPr>
          <w:sz w:val="21"/>
        </w:rPr>
        <w:t>at:</w:t>
      </w:r>
      <w:r>
        <w:rPr>
          <w:spacing w:val="-1"/>
          <w:sz w:val="21"/>
        </w:rPr>
        <w:t xml:space="preserve"> </w:t>
      </w:r>
      <w:hyperlink r:id="rId16">
        <w:r>
          <w:rPr>
            <w:color w:val="0462C1"/>
            <w:sz w:val="21"/>
            <w:u w:val="single" w:color="0462C1"/>
          </w:rPr>
          <w:t>http://townhall.virginia.gov/l/ViewXML.cfm?textid=11462</w:t>
        </w:r>
      </w:hyperlink>
    </w:p>
    <w:p w:rsidR="00D4787F" w:rsidRDefault="00871FEB">
      <w:pPr>
        <w:spacing w:before="89" w:line="276" w:lineRule="auto"/>
        <w:ind w:left="403" w:right="302" w:hanging="284"/>
        <w:rPr>
          <w:sz w:val="21"/>
        </w:rPr>
      </w:pPr>
      <w:r>
        <w:rPr>
          <w:position w:val="5"/>
          <w:sz w:val="14"/>
        </w:rPr>
        <w:t xml:space="preserve">10 </w:t>
      </w:r>
      <w:r>
        <w:rPr>
          <w:sz w:val="21"/>
        </w:rPr>
        <w:t>Vermont Department of Health Rule Governing the Prescribing of Opioids for Pain Accessed October 2017 at: chrome-extension:</w:t>
      </w:r>
    </w:p>
    <w:p w:rsidR="00D4787F" w:rsidRDefault="00871FEB">
      <w:pPr>
        <w:spacing w:line="273" w:lineRule="auto"/>
        <w:ind w:left="403" w:right="208"/>
        <w:rPr>
          <w:sz w:val="21"/>
        </w:rPr>
      </w:pPr>
      <w:r>
        <w:rPr>
          <w:sz w:val="21"/>
        </w:rPr>
        <w:t>//oemmndcbldboiebfnladdacbdfmadadm/</w:t>
      </w:r>
      <w:hyperlink r:id="rId17">
        <w:r>
          <w:rPr>
            <w:sz w:val="21"/>
          </w:rPr>
          <w:t>http://www.healthvermont.gov/sites/default/files/d</w:t>
        </w:r>
      </w:hyperlink>
      <w:r>
        <w:rPr>
          <w:sz w:val="21"/>
        </w:rPr>
        <w:t xml:space="preserve"> ocuments/pdf/REG_opioids-prescribing-for-pain.pdf</w:t>
      </w:r>
    </w:p>
    <w:p w:rsidR="00D4787F" w:rsidRDefault="00871FEB">
      <w:pPr>
        <w:spacing w:before="84" w:line="276" w:lineRule="auto"/>
        <w:ind w:left="403" w:right="207" w:hanging="284"/>
        <w:rPr>
          <w:sz w:val="21"/>
        </w:rPr>
      </w:pPr>
      <w:r>
        <w:rPr>
          <w:position w:val="5"/>
          <w:sz w:val="14"/>
        </w:rPr>
        <w:t xml:space="preserve">11 </w:t>
      </w:r>
      <w:r>
        <w:rPr>
          <w:sz w:val="21"/>
        </w:rPr>
        <w:t>CDCs 2017 Annual Surveillance Report of Drug Related Risks and Outcomes. Accessed October 2017 at:chromeextension://oemmndcbldboiebfnladdacbdfmadadm/https://</w:t>
      </w:r>
      <w:hyperlink r:id="rId18">
        <w:r>
          <w:rPr>
            <w:sz w:val="21"/>
          </w:rPr>
          <w:t>www.cdc.gov/drugoverd</w:t>
        </w:r>
      </w:hyperlink>
      <w:r>
        <w:rPr>
          <w:sz w:val="21"/>
        </w:rPr>
        <w:t xml:space="preserve"> ose/pdf/pubs/2017-cdc-drug-surveillance-report.pdf</w:t>
      </w:r>
    </w:p>
    <w:p w:rsidR="00D4787F" w:rsidRDefault="00871FEB">
      <w:pPr>
        <w:spacing w:before="81" w:line="276" w:lineRule="auto"/>
        <w:ind w:left="403" w:right="280" w:hanging="284"/>
        <w:rPr>
          <w:sz w:val="21"/>
        </w:rPr>
      </w:pPr>
      <w:r>
        <w:rPr>
          <w:rFonts w:ascii="Calibri"/>
          <w:position w:val="7"/>
          <w:sz w:val="13"/>
        </w:rPr>
        <w:t xml:space="preserve">12 </w:t>
      </w:r>
      <w:r>
        <w:rPr>
          <w:sz w:val="21"/>
        </w:rPr>
        <w:t>Calculated as annualized naloxone state level prescription data post co-prescribing introduction per IMS Health NPA Extended Insights Audit as a ratio of state level high dose opioid prescriptions in 2016 per CDCs 2017 Annual Surveillance Report of Drug Related Risks and Outcomes. Accessed October 2017. For Virginia the ratio of 120MME:&gt;90MME opioid prescriptions was estimated based on CMS data included in Analysis of Proposed Opioid Overutilization Criteria Modifications in Medicare Part D available at https://</w:t>
      </w:r>
      <w:hyperlink r:id="rId19">
        <w:r>
          <w:rPr>
            <w:sz w:val="21"/>
          </w:rPr>
          <w:t>www.cms.gov/Medicare/Prescription-Drug-</w:t>
        </w:r>
      </w:hyperlink>
      <w:r>
        <w:rPr>
          <w:sz w:val="21"/>
        </w:rPr>
        <w:t xml:space="preserve"> Coverage/PrescriptionDrugCovContra/Downloads/Revised-OMS-Criteria-Modification- Analysis.pdf</w:t>
      </w:r>
    </w:p>
    <w:p w:rsidR="00D4787F" w:rsidRDefault="00871FEB">
      <w:pPr>
        <w:spacing w:before="81" w:line="276" w:lineRule="auto"/>
        <w:ind w:left="403" w:right="127" w:hanging="284"/>
        <w:rPr>
          <w:sz w:val="21"/>
        </w:rPr>
      </w:pPr>
      <w:r>
        <w:rPr>
          <w:position w:val="5"/>
          <w:sz w:val="14"/>
        </w:rPr>
        <w:t xml:space="preserve">13 </w:t>
      </w:r>
      <w:r>
        <w:rPr>
          <w:sz w:val="21"/>
        </w:rPr>
        <w:t>Coffin et al. Annals of Internal Medicine August 2016 Nonrandomized Intervention Study of Naloxone Coprescription for Primary Care Patients Receiving Long-Term Opioid Therapy for Pain Accessed October 2017 at https://</w:t>
      </w:r>
      <w:hyperlink r:id="rId20">
        <w:r>
          <w:rPr>
            <w:sz w:val="21"/>
          </w:rPr>
          <w:t>www.ncbi.nlm.nih.gov/pubmed/27366987</w:t>
        </w:r>
      </w:hyperlink>
    </w:p>
    <w:p w:rsidR="00D4787F" w:rsidRDefault="00D4787F">
      <w:pPr>
        <w:spacing w:line="276" w:lineRule="auto"/>
        <w:rPr>
          <w:sz w:val="21"/>
        </w:rPr>
        <w:sectPr w:rsidR="00D4787F">
          <w:headerReference w:type="default" r:id="rId21"/>
          <w:pgSz w:w="11910" w:h="16840"/>
          <w:pgMar w:top="2220" w:right="1320" w:bottom="280" w:left="1320" w:header="708" w:footer="0" w:gutter="0"/>
          <w:cols w:space="720"/>
        </w:sectPr>
      </w:pPr>
    </w:p>
    <w:p w:rsidR="00D4787F" w:rsidRDefault="00871FEB">
      <w:pPr>
        <w:spacing w:before="100"/>
        <w:ind w:left="120"/>
        <w:rPr>
          <w:sz w:val="21"/>
        </w:rPr>
      </w:pPr>
      <w:bookmarkStart w:id="0" w:name="_GoBack"/>
      <w:r>
        <w:rPr>
          <w:position w:val="5"/>
          <w:sz w:val="14"/>
        </w:rPr>
        <w:lastRenderedPageBreak/>
        <w:t xml:space="preserve">14    </w:t>
      </w:r>
      <w:r>
        <w:rPr>
          <w:sz w:val="21"/>
        </w:rPr>
        <w:t>MMIT Formulary Analytics</w:t>
      </w:r>
    </w:p>
    <w:p w:rsidR="00D4787F" w:rsidRDefault="00871FEB">
      <w:pPr>
        <w:spacing w:before="115"/>
        <w:ind w:left="120"/>
        <w:rPr>
          <w:sz w:val="21"/>
        </w:rPr>
      </w:pPr>
      <w:r>
        <w:rPr>
          <w:position w:val="5"/>
          <w:sz w:val="14"/>
        </w:rPr>
        <w:t xml:space="preserve">15    </w:t>
      </w:r>
      <w:r>
        <w:rPr>
          <w:sz w:val="21"/>
        </w:rPr>
        <w:t>IMS Health NPA Extended Insights Audit Jan – Nov 2017</w:t>
      </w:r>
      <w:bookmarkEnd w:id="0"/>
    </w:p>
    <w:sectPr w:rsidR="00D4787F">
      <w:pgSz w:w="11910" w:h="16840"/>
      <w:pgMar w:top="2220" w:right="1320" w:bottom="280" w:left="1320" w:header="708"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46E" w:rsidRDefault="00871FEB">
      <w:r>
        <w:separator/>
      </w:r>
    </w:p>
  </w:endnote>
  <w:endnote w:type="continuationSeparator" w:id="0">
    <w:p w:rsidR="0020046E" w:rsidRDefault="0087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46E" w:rsidRDefault="00871FEB">
      <w:r>
        <w:separator/>
      </w:r>
    </w:p>
  </w:footnote>
  <w:footnote w:type="continuationSeparator" w:id="0">
    <w:p w:rsidR="0020046E" w:rsidRDefault="00871F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87F" w:rsidRDefault="00871FEB">
    <w:pPr>
      <w:pStyle w:val="BodyText"/>
      <w:spacing w:line="14" w:lineRule="auto"/>
      <w:rPr>
        <w:sz w:val="20"/>
      </w:rPr>
    </w:pPr>
    <w:r>
      <w:rPr>
        <w:noProof/>
      </w:rPr>
      <w:drawing>
        <wp:anchor distT="0" distB="0" distL="0" distR="0" simplePos="0" relativeHeight="251656704" behindDoc="1" locked="0" layoutInCell="1" allowOverlap="1">
          <wp:simplePos x="0" y="0"/>
          <wp:positionH relativeFrom="page">
            <wp:posOffset>4759959</wp:posOffset>
          </wp:positionH>
          <wp:positionV relativeFrom="page">
            <wp:posOffset>449579</wp:posOffset>
          </wp:positionV>
          <wp:extent cx="1885441" cy="5118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85441" cy="51180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87F" w:rsidRDefault="00871FEB">
    <w:pPr>
      <w:pStyle w:val="BodyText"/>
      <w:spacing w:line="14" w:lineRule="auto"/>
      <w:rPr>
        <w:sz w:val="20"/>
      </w:rPr>
    </w:pPr>
    <w:r>
      <w:rPr>
        <w:noProof/>
      </w:rPr>
      <w:drawing>
        <wp:anchor distT="0" distB="0" distL="0" distR="0" simplePos="0" relativeHeight="251657728" behindDoc="1" locked="0" layoutInCell="1" allowOverlap="1">
          <wp:simplePos x="0" y="0"/>
          <wp:positionH relativeFrom="page">
            <wp:posOffset>4759959</wp:posOffset>
          </wp:positionH>
          <wp:positionV relativeFrom="page">
            <wp:posOffset>449579</wp:posOffset>
          </wp:positionV>
          <wp:extent cx="1885441" cy="511809"/>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885441" cy="511809"/>
                  </a:xfrm>
                  <a:prstGeom prst="rect">
                    <a:avLst/>
                  </a:prstGeom>
                </pic:spPr>
              </pic:pic>
            </a:graphicData>
          </a:graphic>
        </wp:anchor>
      </w:drawing>
    </w:r>
    <w:r w:rsidR="00CB1314">
      <w:pict>
        <v:line id="_x0000_s2049" style="position:absolute;z-index:-251657728;mso-position-horizontal-relative:page;mso-position-vertical-relative:page" from="1in,110.65pt" to="523.4pt,110.65pt" strokeweight=".72pt">
          <w10:wrap anchorx="page" anchory="page"/>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4787F"/>
    <w:rsid w:val="0020046E"/>
    <w:rsid w:val="00222CD9"/>
    <w:rsid w:val="00871FEB"/>
    <w:rsid w:val="00CB1314"/>
    <w:rsid w:val="00D4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55675A4-C40D-4CD3-B80F-BBFB1474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dc.gov/drugoverdose/index.html" TargetMode="External"/><Relationship Id="rId13" Type="http://schemas.openxmlformats.org/officeDocument/2006/relationships/hyperlink" Target="http://www.fda.gov/downloads/Drugs/NewsEvents" TargetMode="External"/><Relationship Id="rId18" Type="http://schemas.openxmlformats.org/officeDocument/2006/relationships/hyperlink" Target="http://www.cdc.gov/drugoverd"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cdc.gov/drugoverdose/index.html" TargetMode="External"/><Relationship Id="rId12" Type="http://schemas.openxmlformats.org/officeDocument/2006/relationships/hyperlink" Target="http://prescribetoprevent.org/" TargetMode="External"/><Relationship Id="rId17" Type="http://schemas.openxmlformats.org/officeDocument/2006/relationships/hyperlink" Target="http://www.healthvermont.gov/sites/default/files/d" TargetMode="External"/><Relationship Id="rId2" Type="http://schemas.openxmlformats.org/officeDocument/2006/relationships/settings" Target="settings.xml"/><Relationship Id="rId16" Type="http://schemas.openxmlformats.org/officeDocument/2006/relationships/hyperlink" Target="http://townhall.virginia.gov/l/ViewXML.cfm?textid=11462" TargetMode="External"/><Relationship Id="rId20" Type="http://schemas.openxmlformats.org/officeDocument/2006/relationships/hyperlink" Target="http://www.ncbi.nlm.nih.gov/pubmed/27366987" TargetMode="Externa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asam.org/docs/default-source/public-" TargetMode="External"/><Relationship Id="rId5" Type="http://schemas.openxmlformats.org/officeDocument/2006/relationships/endnotes" Target="endnotes.xml"/><Relationship Id="rId15" Type="http://schemas.openxmlformats.org/officeDocument/2006/relationships/hyperlink" Target="http://www.fda.gov/ForConsumers/ConsumerUpdates/ucm529517.htm" TargetMode="External"/><Relationship Id="rId23" Type="http://schemas.openxmlformats.org/officeDocument/2006/relationships/theme" Target="theme/theme1.xml"/><Relationship Id="rId10" Type="http://schemas.openxmlformats.org/officeDocument/2006/relationships/hyperlink" Target="http://www.asam.org/docs/default-source/public-" TargetMode="External"/><Relationship Id="rId19" Type="http://schemas.openxmlformats.org/officeDocument/2006/relationships/hyperlink" Target="http://www.cms.gov/Medicare/Prescription-Drug-" TargetMode="External"/><Relationship Id="rId4" Type="http://schemas.openxmlformats.org/officeDocument/2006/relationships/footnotes" Target="footnotes.xml"/><Relationship Id="rId9" Type="http://schemas.openxmlformats.org/officeDocument/2006/relationships/hyperlink" Target="http://www.cdc.gov/drugoverdose/index.html" TargetMode="External"/><Relationship Id="rId14" Type="http://schemas.openxmlformats.org/officeDocument/2006/relationships/hyperlink" Target="http://www.fda.gov/downloads/Drugs/NewsEvent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1348</Words>
  <Characters>9027</Characters>
  <Application>Microsoft Office Word</Application>
  <DocSecurity>0</DocSecurity>
  <Lines>185</Lines>
  <Paragraphs>48</Paragraphs>
  <ScaleCrop>false</ScaleCrop>
  <Company>CMS</Company>
  <LinksUpToDate>false</LinksUpToDate>
  <CharactersWithSpaces>10333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Eunan Maguire</dc:creator>
  <cp:lastModifiedBy>Arthur Pignotti</cp:lastModifiedBy>
  <cp:revision>4</cp:revision>
  <dcterms:created xsi:type="dcterms:W3CDTF">2018-07-23T15:55:00Z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2018-02-06T00:00:00Z</vt:filetime>
  </property>
  <property fmtid="{D5CDD505-2E9C-101B-9397-08002B2CF9AE}" pid="3" name="Creator">
    <vt:lpwstr>Microsoft® Word 2016</vt:lpwstr>
  </property>
  <property fmtid="{D5CDD505-2E9C-101B-9397-08002B2CF9AE}" pid="4" name="LastSaved">
    <vt:filetime>2018-07-23T00:00:00Z</vt:filetime>
  </property>
</Properties>
</file>