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C84" w:rsidRDefault="00F31A9F">
      <w:pPr>
        <w:pStyle w:val="BodyText"/>
        <w:ind w:left="2440"/>
        <w:rPr>
          <w:sz w:val="20"/>
        </w:rPr>
      </w:pPr>
      <w:r>
        <w:rPr>
          <w:noProof/>
          <w:sz w:val="20"/>
          <w:lang w:bidi="ar-SA"/>
        </w:rPr>
        <w:drawing>
          <wp:inline distT="0" distB="0" distL="0" distR="0">
            <wp:extent cx="2505996" cy="813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05996" cy="813816"/>
                    </a:xfrm>
                    <a:prstGeom prst="rect">
                      <a:avLst/>
                    </a:prstGeom>
                  </pic:spPr>
                </pic:pic>
              </a:graphicData>
            </a:graphic>
          </wp:inline>
        </w:drawing>
      </w:r>
    </w:p>
    <w:p w:rsidR="00551C84" w:rsidRDefault="00551C84">
      <w:pPr>
        <w:pStyle w:val="BodyText"/>
        <w:spacing w:before="10"/>
        <w:ind w:left="0"/>
        <w:rPr>
          <w:sz w:val="15"/>
        </w:rPr>
      </w:pPr>
    </w:p>
    <w:p w:rsidR="00551C84" w:rsidRDefault="00F31A9F">
      <w:pPr>
        <w:pStyle w:val="BodyText"/>
        <w:spacing w:before="90"/>
        <w:ind w:left="100"/>
      </w:pPr>
      <w:r>
        <w:t>Nov. 25, 2015</w:t>
      </w:r>
    </w:p>
    <w:p w:rsidR="00551C84" w:rsidRDefault="00551C84">
      <w:pPr>
        <w:pStyle w:val="BodyText"/>
        <w:ind w:left="0"/>
      </w:pPr>
    </w:p>
    <w:p w:rsidR="00551C84" w:rsidRDefault="00F31A9F">
      <w:pPr>
        <w:pStyle w:val="BodyText"/>
        <w:ind w:left="100"/>
      </w:pPr>
      <w:r>
        <w:t xml:space="preserve">TO: </w:t>
      </w:r>
      <w:hyperlink r:id="rId7">
        <w:r>
          <w:rPr>
            <w:color w:val="0000FF"/>
            <w:u w:val="single" w:color="0000FF"/>
          </w:rPr>
          <w:t>RiskAdjustment@cms.hhs.gov</w:t>
        </w:r>
      </w:hyperlink>
    </w:p>
    <w:p w:rsidR="00551C84" w:rsidRDefault="00F31A9F">
      <w:pPr>
        <w:pStyle w:val="BodyText"/>
        <w:spacing w:before="120"/>
        <w:ind w:left="100"/>
      </w:pPr>
      <w:r>
        <w:t>RE: Request for Comment on Proposed Changes to the HCC Risk Adjustment Methodology</w:t>
      </w:r>
    </w:p>
    <w:p w:rsidR="00551C84" w:rsidRDefault="00F31A9F">
      <w:pPr>
        <w:pStyle w:val="BodyText"/>
        <w:spacing w:before="120"/>
        <w:ind w:left="100" w:right="174"/>
      </w:pPr>
      <w:r>
        <w:t>This constitutes the response of Elder Service Plan of Harbor Health</w:t>
      </w:r>
      <w:r>
        <w:t xml:space="preserve"> to CMS’ request for comment on the proposed changes to the HCC risk adjustment methodology.</w:t>
      </w:r>
    </w:p>
    <w:p w:rsidR="00551C84" w:rsidRDefault="00551C84">
      <w:pPr>
        <w:pStyle w:val="BodyText"/>
        <w:spacing w:before="5"/>
        <w:ind w:left="0"/>
      </w:pPr>
    </w:p>
    <w:p w:rsidR="00551C84" w:rsidRDefault="00F31A9F">
      <w:pPr>
        <w:pStyle w:val="Heading1"/>
        <w:spacing w:before="1"/>
      </w:pPr>
      <w:r>
        <w:t>Background</w:t>
      </w:r>
    </w:p>
    <w:p w:rsidR="00551C84" w:rsidRDefault="00551C84">
      <w:pPr>
        <w:pStyle w:val="BodyText"/>
        <w:spacing w:before="6"/>
        <w:ind w:left="0"/>
        <w:rPr>
          <w:b/>
          <w:sz w:val="23"/>
        </w:rPr>
      </w:pPr>
    </w:p>
    <w:p w:rsidR="00551C84" w:rsidRDefault="00F31A9F" w:rsidP="00F31A9F">
      <w:pPr>
        <w:ind w:left="100" w:right="234"/>
        <w:rPr>
          <w:sz w:val="24"/>
        </w:rPr>
      </w:pPr>
      <w:r>
        <w:rPr>
          <w:sz w:val="24"/>
        </w:rPr>
        <w:t>Elder Service Plan of Harbor Health</w:t>
      </w:r>
      <w:r>
        <w:rPr>
          <w:sz w:val="24"/>
        </w:rPr>
        <w:t xml:space="preserve"> is a Program of All-Inclusive Care for the Elderly that has operated in </w:t>
      </w:r>
      <w:r>
        <w:rPr>
          <w:b/>
          <w:sz w:val="24"/>
        </w:rPr>
        <w:t>Mattapan MA</w:t>
      </w:r>
      <w:r>
        <w:rPr>
          <w:sz w:val="24"/>
        </w:rPr>
        <w:t xml:space="preserve"> for over 22 </w:t>
      </w:r>
      <w:r>
        <w:rPr>
          <w:sz w:val="24"/>
        </w:rPr>
        <w:t>years. We serve nearly 500</w:t>
      </w:r>
      <w:r>
        <w:rPr>
          <w:sz w:val="24"/>
        </w:rPr>
        <w:t xml:space="preserve"> individuals with significant complex chronic conditions and functional or cognitive impairment. All of our participants meet the state’s definition of requiring a nursing home level-of-care. Approximately 370 </w:t>
      </w:r>
      <w:r>
        <w:rPr>
          <w:sz w:val="24"/>
        </w:rPr>
        <w:t>of our enrollees have dementia.</w:t>
      </w:r>
    </w:p>
    <w:p w:rsidR="00551C84" w:rsidRDefault="00F31A9F">
      <w:pPr>
        <w:pStyle w:val="BodyText"/>
        <w:spacing w:before="120"/>
        <w:ind w:left="100"/>
      </w:pPr>
      <w:r>
        <w:t>We appreciate CMS’ consideration of the following comments and recommendations:</w:t>
      </w:r>
    </w:p>
    <w:p w:rsidR="00551C84" w:rsidRDefault="00551C84">
      <w:pPr>
        <w:pStyle w:val="BodyText"/>
        <w:spacing w:before="3"/>
        <w:ind w:left="0"/>
      </w:pPr>
    </w:p>
    <w:p w:rsidR="00551C84" w:rsidRDefault="00F31A9F">
      <w:pPr>
        <w:pStyle w:val="Heading1"/>
      </w:pPr>
      <w:r>
        <w:t>Comments</w:t>
      </w:r>
    </w:p>
    <w:p w:rsidR="00551C84" w:rsidRPr="00F31A9F" w:rsidRDefault="00F31A9F" w:rsidP="00F31A9F">
      <w:pPr>
        <w:pStyle w:val="ListParagraph"/>
        <w:numPr>
          <w:ilvl w:val="0"/>
          <w:numId w:val="2"/>
        </w:numPr>
        <w:tabs>
          <w:tab w:val="left" w:pos="461"/>
        </w:tabs>
        <w:spacing w:before="116"/>
        <w:ind w:right="279"/>
        <w:rPr>
          <w:sz w:val="24"/>
        </w:rPr>
      </w:pPr>
      <w:r w:rsidRPr="00F31A9F">
        <w:rPr>
          <w:sz w:val="24"/>
        </w:rPr>
        <w:t>Elder Service Plan of Harbor Health</w:t>
      </w:r>
      <w:r w:rsidRPr="00F31A9F">
        <w:rPr>
          <w:sz w:val="24"/>
        </w:rPr>
        <w:t xml:space="preserve"> believes that developing risk factors for six </w:t>
      </w:r>
      <w:proofErr w:type="gramStart"/>
      <w:r w:rsidRPr="00F31A9F">
        <w:rPr>
          <w:sz w:val="24"/>
        </w:rPr>
        <w:t>distinct</w:t>
      </w:r>
      <w:proofErr w:type="gramEnd"/>
      <w:r w:rsidRPr="00F31A9F">
        <w:rPr>
          <w:sz w:val="24"/>
        </w:rPr>
        <w:t xml:space="preserve"> </w:t>
      </w:r>
      <w:r w:rsidRPr="00F31A9F">
        <w:rPr>
          <w:sz w:val="24"/>
        </w:rPr>
        <w:t>subpopulations of Medicare beneficiaries to acknowledge the impact of Medicaid eligibility status, along with institutional vs. community residence, will improve</w:t>
      </w:r>
      <w:r w:rsidRPr="00F31A9F">
        <w:rPr>
          <w:spacing w:val="-17"/>
          <w:sz w:val="24"/>
        </w:rPr>
        <w:t xml:space="preserve"> </w:t>
      </w:r>
      <w:r w:rsidRPr="00F31A9F">
        <w:rPr>
          <w:sz w:val="24"/>
        </w:rPr>
        <w:t>the accuracy of the risk adjustment system. Elder Service Plan of Harbor Health</w:t>
      </w:r>
      <w:r w:rsidRPr="00F31A9F">
        <w:rPr>
          <w:sz w:val="24"/>
        </w:rPr>
        <w:t xml:space="preserve"> supports the use of the subpopulati</w:t>
      </w:r>
      <w:r w:rsidRPr="00F31A9F">
        <w:rPr>
          <w:sz w:val="24"/>
        </w:rPr>
        <w:t xml:space="preserve">ons’ distinct risk factors for establishing payments to PACE organizations. Elder Service Plan of Harbor Health notes that approximately 97 percent </w:t>
      </w:r>
      <w:r w:rsidRPr="00F31A9F">
        <w:rPr>
          <w:sz w:val="24"/>
        </w:rPr>
        <w:t>of our enrollees are fully dual-eligible for Medicare and Medicaid.</w:t>
      </w:r>
    </w:p>
    <w:p w:rsidR="00551C84" w:rsidRDefault="00F31A9F">
      <w:pPr>
        <w:pStyle w:val="ListParagraph"/>
        <w:numPr>
          <w:ilvl w:val="0"/>
          <w:numId w:val="2"/>
        </w:numPr>
        <w:tabs>
          <w:tab w:val="left" w:pos="461"/>
        </w:tabs>
        <w:spacing w:before="118"/>
        <w:ind w:right="301"/>
        <w:rPr>
          <w:sz w:val="24"/>
        </w:rPr>
      </w:pPr>
      <w:r>
        <w:rPr>
          <w:sz w:val="24"/>
        </w:rPr>
        <w:t>In addition to calculating risk factors for the six distinct subpopulations of</w:t>
      </w:r>
      <w:r>
        <w:rPr>
          <w:spacing w:val="-12"/>
          <w:sz w:val="24"/>
        </w:rPr>
        <w:t xml:space="preserve"> </w:t>
      </w:r>
      <w:r>
        <w:rPr>
          <w:sz w:val="24"/>
        </w:rPr>
        <w:t>Medicare beneficiaries, CMS requests comments on changing the current PACE HCC model (HCC v. 21) to the 201</w:t>
      </w:r>
      <w:r>
        <w:rPr>
          <w:sz w:val="24"/>
        </w:rPr>
        <w:t>4 model being phased in for MA plans (the “2014 model”). Elder Service Plan of Harbor Health</w:t>
      </w:r>
      <w:r>
        <w:rPr>
          <w:sz w:val="24"/>
        </w:rPr>
        <w:t>, as we have stated previously in response to CMS’ 2013 advance notice of payment when it initially proposed the 2014 model, strongly recommends retaining the current PACE HCC model (HC</w:t>
      </w:r>
      <w:r>
        <w:rPr>
          <w:sz w:val="24"/>
        </w:rPr>
        <w:t>C v.21) for PACE organizations. Shifting PACE to the 2014 model will reduce the performance of the risk adjustment model for PACE enrollees relative to the model that is currently in place.</w:t>
      </w:r>
    </w:p>
    <w:p w:rsidR="00551C84" w:rsidRDefault="00551C84">
      <w:pPr>
        <w:rPr>
          <w:sz w:val="24"/>
        </w:rPr>
        <w:sectPr w:rsidR="00551C84">
          <w:type w:val="continuous"/>
          <w:pgSz w:w="12240" w:h="15840"/>
          <w:pgMar w:top="1440" w:right="1700" w:bottom="280" w:left="1700" w:header="720" w:footer="720" w:gutter="0"/>
          <w:cols w:space="720"/>
        </w:sectPr>
      </w:pPr>
    </w:p>
    <w:p w:rsidR="00551C84" w:rsidRDefault="00F31A9F">
      <w:pPr>
        <w:pStyle w:val="BodyText"/>
        <w:spacing w:before="72"/>
        <w:ind w:right="222"/>
      </w:pPr>
      <w:r>
        <w:lastRenderedPageBreak/>
        <w:t xml:space="preserve">The </w:t>
      </w:r>
      <w:r>
        <w:rPr>
          <w:u w:val="single"/>
        </w:rPr>
        <w:t>Evaluation of the CMS-HCC Risk Adjustment Model</w:t>
      </w:r>
      <w:r>
        <w:t xml:space="preserve"> completed for CMS by RTI and released in March, 2011 assessed the predictive ratio of the CMS-HCC risk adjustment model v. 21 relative to an earlier version, v.12. The evaluation found that</w:t>
      </w:r>
    </w:p>
    <w:p w:rsidR="00551C84" w:rsidRDefault="00F31A9F">
      <w:pPr>
        <w:pStyle w:val="BodyText"/>
        <w:ind w:right="169"/>
      </w:pPr>
      <w:r>
        <w:t xml:space="preserve">v. 21 accurately </w:t>
      </w:r>
      <w:proofErr w:type="gramStart"/>
      <w:r>
        <w:t>predicts</w:t>
      </w:r>
      <w:proofErr w:type="gramEnd"/>
      <w:r>
        <w:t xml:space="preserve"> costs for Medicare beneficiaries and, i</w:t>
      </w:r>
      <w:r>
        <w:t>n particular, significantly improved model performance over v.12 for beneficiaries with dementia.</w:t>
      </w:r>
    </w:p>
    <w:p w:rsidR="00551C84" w:rsidRDefault="00F31A9F" w:rsidP="00F31A9F">
      <w:pPr>
        <w:pStyle w:val="Heading1"/>
        <w:spacing w:before="120"/>
        <w:ind w:left="460" w:right="265"/>
      </w:pPr>
      <w:r w:rsidRPr="00F31A9F">
        <w:t>Nearly 85 %</w:t>
      </w:r>
      <w:r>
        <w:rPr>
          <w:b w:val="0"/>
        </w:rPr>
        <w:t xml:space="preserve"> </w:t>
      </w:r>
      <w:r>
        <w:t>of all Elder Service Plan of Harbor Health</w:t>
      </w:r>
      <w:r>
        <w:t xml:space="preserve"> enrollees have dementia, as o</w:t>
      </w:r>
      <w:r>
        <w:t>f August, 2015. The HCCs (51 and 52) for beneficiaries with dementia that are included in v. 21 and are related to its improved predictive value in comparison to v. 12 are not in the 2014 HCC model. Because of the significance of dementia in the PACE enrol</w:t>
      </w:r>
      <w:r>
        <w:t>lee population, we provide detailed comments on this condition and the impact of its removal from the HCC risk adjustment model below.</w:t>
      </w:r>
    </w:p>
    <w:p w:rsidR="00551C84" w:rsidRDefault="00F31A9F" w:rsidP="00F31A9F">
      <w:pPr>
        <w:spacing w:before="121" w:line="242" w:lineRule="auto"/>
        <w:ind w:left="460" w:right="162"/>
        <w:rPr>
          <w:b/>
          <w:sz w:val="24"/>
        </w:rPr>
      </w:pPr>
      <w:r>
        <w:rPr>
          <w:sz w:val="24"/>
        </w:rPr>
        <w:t>Further reducing the 2014 HCC model’s accuracy when applied to PACE is its lack of HCCs that support the identification o</w:t>
      </w:r>
      <w:r>
        <w:rPr>
          <w:sz w:val="24"/>
        </w:rPr>
        <w:t>f interactions between early stages of kidney disease and congestive heart failure. Approximately 43 %</w:t>
      </w:r>
      <w:r>
        <w:rPr>
          <w:sz w:val="24"/>
        </w:rPr>
        <w:t xml:space="preserve"> of Elder Service Plan of Harbor Health</w:t>
      </w:r>
      <w:r>
        <w:rPr>
          <w:sz w:val="24"/>
        </w:rPr>
        <w:t xml:space="preserve"> enrollees have a diagnosis of CHF, and of the</w:t>
      </w:r>
      <w:r>
        <w:rPr>
          <w:sz w:val="24"/>
        </w:rPr>
        <w:t>se 15%</w:t>
      </w:r>
    </w:p>
    <w:p w:rsidR="00551C84" w:rsidRDefault="00F31A9F">
      <w:pPr>
        <w:ind w:left="460" w:right="118"/>
        <w:rPr>
          <w:sz w:val="24"/>
        </w:rPr>
      </w:pPr>
      <w:r>
        <w:rPr>
          <w:sz w:val="24"/>
        </w:rPr>
        <w:t xml:space="preserve"> </w:t>
      </w:r>
      <w:proofErr w:type="gramStart"/>
      <w:r>
        <w:rPr>
          <w:sz w:val="24"/>
        </w:rPr>
        <w:t>are</w:t>
      </w:r>
      <w:proofErr w:type="gramEnd"/>
      <w:r>
        <w:rPr>
          <w:sz w:val="24"/>
        </w:rPr>
        <w:t xml:space="preserve"> diagnosed with an early stage kidney disease (HCC 138, 139, 140 or 141). We have estimated that the 2014 HCC model would reduce the average HCC sc</w:t>
      </w:r>
      <w:r>
        <w:rPr>
          <w:sz w:val="24"/>
        </w:rPr>
        <w:t>ore for Elder Service Plan of Harbor Health</w:t>
      </w:r>
      <w:r>
        <w:rPr>
          <w:sz w:val="24"/>
        </w:rPr>
        <w:t xml:space="preserve"> beneficiaries with congestive heart failure and early stage kidney disease significantly.</w:t>
      </w:r>
    </w:p>
    <w:p w:rsidR="00551C84" w:rsidRDefault="00F31A9F">
      <w:pPr>
        <w:pStyle w:val="BodyText"/>
        <w:spacing w:before="101"/>
        <w:ind w:right="275"/>
      </w:pPr>
      <w:r>
        <w:t xml:space="preserve">In combination, the 2014 HCC risk adjustment model </w:t>
      </w:r>
      <w:r>
        <w:t>results in a significant degradation of the CMS-HCC risk adjustment model’s predictive value for the large majority of PACE enrollees.</w:t>
      </w:r>
    </w:p>
    <w:p w:rsidR="00551C84" w:rsidRDefault="00551C84">
      <w:pPr>
        <w:pStyle w:val="BodyText"/>
        <w:ind w:left="0"/>
      </w:pPr>
    </w:p>
    <w:p w:rsidR="00551C84" w:rsidRDefault="00F31A9F">
      <w:pPr>
        <w:pStyle w:val="ListParagraph"/>
        <w:numPr>
          <w:ilvl w:val="0"/>
          <w:numId w:val="2"/>
        </w:numPr>
        <w:tabs>
          <w:tab w:val="left" w:pos="461"/>
        </w:tabs>
        <w:rPr>
          <w:sz w:val="24"/>
        </w:rPr>
      </w:pPr>
      <w:r>
        <w:rPr>
          <w:sz w:val="24"/>
        </w:rPr>
        <w:t>The CMS-HCC risk adjustment model for PACE enrollees needs to include</w:t>
      </w:r>
      <w:r>
        <w:rPr>
          <w:spacing w:val="-10"/>
          <w:sz w:val="24"/>
        </w:rPr>
        <w:t xml:space="preserve"> </w:t>
      </w:r>
      <w:r>
        <w:rPr>
          <w:sz w:val="24"/>
        </w:rPr>
        <w:t>dementia.</w:t>
      </w:r>
    </w:p>
    <w:p w:rsidR="00551C84" w:rsidRDefault="00F31A9F" w:rsidP="00F31A9F">
      <w:pPr>
        <w:spacing w:before="120"/>
        <w:ind w:left="460" w:right="355"/>
      </w:pPr>
      <w:r>
        <w:rPr>
          <w:sz w:val="24"/>
        </w:rPr>
        <w:t>Because of the significance of dementia for the cost and care of Elder Service Plan of Harbor Health</w:t>
      </w:r>
      <w:r>
        <w:rPr>
          <w:sz w:val="24"/>
        </w:rPr>
        <w:t xml:space="preserve"> participants, the CMS-HCC risk adjustment model for PACE needs to include HCCs for dementia diagnoses. As noted earlier, approximately 87%</w:t>
      </w:r>
      <w:r>
        <w:rPr>
          <w:sz w:val="24"/>
        </w:rPr>
        <w:t xml:space="preserve"> of Elder Service Plan of Harbor Health </w:t>
      </w:r>
      <w:r>
        <w:t xml:space="preserve">participants are diagnosed with dementia, as indicated by the percent triggering either HCC51 or HCC52 for dementia in the CMS-HCC risk adjustment model currently applied to PACE </w:t>
      </w:r>
      <w:r>
        <w:t>(v.21). Removal of dementia related HCCs from the risk adjustment model significantly reduces the predictive ratio of the model for these PACE enrollees and, as a result, will undermine the financial sustainability of PACE programs.</w:t>
      </w:r>
    </w:p>
    <w:p w:rsidR="00551C84" w:rsidRDefault="00551C84">
      <w:pPr>
        <w:sectPr w:rsidR="00551C84">
          <w:pgSz w:w="12240" w:h="15840"/>
          <w:pgMar w:top="1360" w:right="1700" w:bottom="280" w:left="1700" w:header="720" w:footer="720" w:gutter="0"/>
          <w:cols w:space="720"/>
        </w:sectPr>
      </w:pPr>
    </w:p>
    <w:p w:rsidR="00551C84" w:rsidRDefault="00F31A9F">
      <w:pPr>
        <w:pStyle w:val="ListParagraph"/>
        <w:numPr>
          <w:ilvl w:val="1"/>
          <w:numId w:val="2"/>
        </w:numPr>
        <w:tabs>
          <w:tab w:val="left" w:pos="1541"/>
        </w:tabs>
        <w:spacing w:before="78" w:line="232" w:lineRule="auto"/>
        <w:ind w:right="121"/>
        <w:rPr>
          <w:sz w:val="24"/>
        </w:rPr>
      </w:pPr>
      <w:r>
        <w:rPr>
          <w:sz w:val="24"/>
        </w:rPr>
        <w:lastRenderedPageBreak/>
        <w:t>Risk adjustme</w:t>
      </w:r>
      <w:r>
        <w:rPr>
          <w:sz w:val="24"/>
        </w:rPr>
        <w:t>nt without HCCs for dementia results in substantial under prediction of the costs of care for enrollees with dementia, who comprise</w:t>
      </w:r>
      <w:r>
        <w:rPr>
          <w:spacing w:val="-10"/>
          <w:sz w:val="24"/>
        </w:rPr>
        <w:t xml:space="preserve"> </w:t>
      </w:r>
      <w:r>
        <w:rPr>
          <w:sz w:val="24"/>
        </w:rPr>
        <w:t>a large proportion of PACE organizations’ total</w:t>
      </w:r>
      <w:r>
        <w:rPr>
          <w:spacing w:val="-1"/>
          <w:sz w:val="24"/>
        </w:rPr>
        <w:t xml:space="preserve"> </w:t>
      </w:r>
      <w:r>
        <w:rPr>
          <w:sz w:val="24"/>
        </w:rPr>
        <w:t>enrollment.</w:t>
      </w:r>
    </w:p>
    <w:p w:rsidR="00551C84" w:rsidRDefault="00F31A9F">
      <w:pPr>
        <w:pStyle w:val="BodyText"/>
        <w:spacing w:before="119"/>
        <w:ind w:left="1540" w:right="100"/>
      </w:pPr>
      <w:r>
        <w:t xml:space="preserve">Referring to the </w:t>
      </w:r>
      <w:r>
        <w:rPr>
          <w:u w:val="single"/>
        </w:rPr>
        <w:t>Evaluation of the CMS-HCC Risk Adjustment Model</w:t>
      </w:r>
      <w:r>
        <w:t xml:space="preserve"> that CMS released in March 2011, RTI compared predictive ratios for HCC chronic disease groups and concluded that v.21 of the CMS-HCC model was far superior to v.12 in predicting costs for beneficiaries with dementia. For beneficiaries with dementia, v.21</w:t>
      </w:r>
      <w:r>
        <w:t xml:space="preserve"> (with HCCs for dementia) of the model achieved a predictive ratio of 1.000 compared to 0.858 for v.12, which like the 2014 model used for MA plans lacks HCCs for dementia. This indicates that predicted costs for beneficiaries with dementia under v.12 are </w:t>
      </w:r>
      <w:r>
        <w:t>essentially 14% lower than actual costs. Based on historical diagnostic data, NPA’s comparison of PACE organizations’ mean HCC scores for PACE enrollees with dementia in the v21 model vs. the 2014 model used for MA plans indicates that the 2014 model</w:t>
      </w:r>
      <w:r>
        <w:rPr>
          <w:spacing w:val="-8"/>
        </w:rPr>
        <w:t xml:space="preserve"> </w:t>
      </w:r>
      <w:r>
        <w:t>gener</w:t>
      </w:r>
      <w:r>
        <w:t>ates mean HCC scores that are, on average, 21% lower than v.21. We are deeply concerned that exclusion of dementia HCCs in the 2014 model leads to substantial underpayment for PACE enrollees with</w:t>
      </w:r>
      <w:r>
        <w:rPr>
          <w:spacing w:val="-7"/>
        </w:rPr>
        <w:t xml:space="preserve"> </w:t>
      </w:r>
      <w:r>
        <w:t>dementia.</w:t>
      </w:r>
    </w:p>
    <w:p w:rsidR="00551C84" w:rsidRDefault="00F31A9F">
      <w:pPr>
        <w:pStyle w:val="BodyText"/>
        <w:spacing w:before="1"/>
        <w:ind w:left="1540"/>
      </w:pPr>
      <w:r>
        <w:t>These individuals account for almost half of all P</w:t>
      </w:r>
      <w:r>
        <w:t>ACE enrollees.</w:t>
      </w:r>
    </w:p>
    <w:p w:rsidR="00551C84" w:rsidRDefault="00F31A9F">
      <w:pPr>
        <w:pStyle w:val="ListParagraph"/>
        <w:numPr>
          <w:ilvl w:val="1"/>
          <w:numId w:val="2"/>
        </w:numPr>
        <w:tabs>
          <w:tab w:val="left" w:pos="1541"/>
        </w:tabs>
        <w:spacing w:before="128" w:line="230" w:lineRule="auto"/>
        <w:ind w:right="522"/>
        <w:rPr>
          <w:sz w:val="24"/>
        </w:rPr>
      </w:pPr>
      <w:r>
        <w:rPr>
          <w:sz w:val="24"/>
        </w:rPr>
        <w:t>Failure to recognize dementia related costs is not consistent with CMS efforts to serve more people needing long-term services and supports through health plan</w:t>
      </w:r>
      <w:r>
        <w:rPr>
          <w:spacing w:val="-1"/>
          <w:sz w:val="24"/>
        </w:rPr>
        <w:t xml:space="preserve"> </w:t>
      </w:r>
      <w:r>
        <w:rPr>
          <w:sz w:val="24"/>
        </w:rPr>
        <w:t>options.</w:t>
      </w:r>
    </w:p>
    <w:p w:rsidR="00551C84" w:rsidRDefault="00F31A9F">
      <w:pPr>
        <w:pStyle w:val="BodyText"/>
        <w:spacing w:before="125"/>
        <w:ind w:left="1540" w:right="95"/>
      </w:pPr>
      <w:r>
        <w:t xml:space="preserve">As CMS and states seek to enroll more people needing long-term services </w:t>
      </w:r>
      <w:r>
        <w:t>and supports in managed care options, the impact of under predicting costs associated with dementia will be broader than PACE. While for most Medicare Advantage plans the current prevalence of dementia is low, resulting in a minimal financial loss associat</w:t>
      </w:r>
      <w:r>
        <w:t>ed with the removal of dementia as a risk factor, the impact on PACE and other emerging options for people who need long-term services and supports, a large proportion of whom will have dementia, will be much greater.</w:t>
      </w:r>
    </w:p>
    <w:p w:rsidR="00551C84" w:rsidRDefault="00551C84">
      <w:pPr>
        <w:pStyle w:val="BodyText"/>
        <w:ind w:left="0"/>
      </w:pPr>
    </w:p>
    <w:p w:rsidR="00551C84" w:rsidRDefault="00F31A9F">
      <w:pPr>
        <w:pStyle w:val="ListParagraph"/>
        <w:numPr>
          <w:ilvl w:val="0"/>
          <w:numId w:val="2"/>
        </w:numPr>
        <w:tabs>
          <w:tab w:val="left" w:pos="461"/>
        </w:tabs>
        <w:ind w:right="422"/>
        <w:rPr>
          <w:sz w:val="24"/>
        </w:rPr>
      </w:pPr>
      <w:r>
        <w:rPr>
          <w:sz w:val="24"/>
        </w:rPr>
        <w:t xml:space="preserve">Retaining the current PACE HCC model </w:t>
      </w:r>
      <w:r>
        <w:rPr>
          <w:sz w:val="24"/>
        </w:rPr>
        <w:t>(v. 21) will reflect the costs of</w:t>
      </w:r>
      <w:r>
        <w:rPr>
          <w:spacing w:val="-15"/>
          <w:sz w:val="24"/>
        </w:rPr>
        <w:t xml:space="preserve"> </w:t>
      </w:r>
      <w:r>
        <w:rPr>
          <w:sz w:val="24"/>
        </w:rPr>
        <w:t>preventing early stage pressure</w:t>
      </w:r>
      <w:r>
        <w:rPr>
          <w:spacing w:val="-7"/>
          <w:sz w:val="24"/>
        </w:rPr>
        <w:t xml:space="preserve"> </w:t>
      </w:r>
      <w:r>
        <w:rPr>
          <w:sz w:val="24"/>
        </w:rPr>
        <w:t>ulcers.</w:t>
      </w:r>
    </w:p>
    <w:p w:rsidR="00551C84" w:rsidRDefault="00F31A9F">
      <w:pPr>
        <w:pStyle w:val="BodyText"/>
        <w:spacing w:before="120"/>
        <w:ind w:right="96"/>
      </w:pPr>
      <w:r>
        <w:t>A shift to the 2014 model would eliminate HCCs for pressure ulcers categorized as stage 1 or 2. Without these HCCs, the risk adjustment model would not take into consideration the ca</w:t>
      </w:r>
      <w:r>
        <w:t>re planning and treatment required in order to prevent these ulcers from escalating to a stage 3 or 4 ulcer. In the frail population served by PACE,</w:t>
      </w:r>
    </w:p>
    <w:p w:rsidR="00551C84" w:rsidRDefault="00F31A9F">
      <w:pPr>
        <w:pStyle w:val="BodyText"/>
        <w:spacing w:before="1"/>
        <w:ind w:right="169"/>
      </w:pPr>
      <w:proofErr w:type="gramStart"/>
      <w:r>
        <w:t>individuals</w:t>
      </w:r>
      <w:proofErr w:type="gramEnd"/>
      <w:r>
        <w:t xml:space="preserve">’ compromised skin condition along with coexisting medical conditions such as diabetes and peripheral vascular disease often lead to the development of pressure ulcers. The early interventions PACE organizations provide </w:t>
      </w:r>
      <w:proofErr w:type="gramStart"/>
      <w:r>
        <w:t>avoid</w:t>
      </w:r>
      <w:proofErr w:type="gramEnd"/>
      <w:r>
        <w:t xml:space="preserve"> lower stage ulcers </w:t>
      </w:r>
      <w:r>
        <w:t xml:space="preserve">from progressing to stage 3 or 4 ulcers. If not prevented, these higher stage ulcers can require high cost procedures, hospitalizations and in some cases may lead to death. </w:t>
      </w:r>
      <w:proofErr w:type="gramStart"/>
      <w:r>
        <w:t>The HCC model for PACE should recognize, and incentivize, the investment in prevent</w:t>
      </w:r>
      <w:r>
        <w:t>ion made in caring for people with stage 1 and 2 ulcers.</w:t>
      </w:r>
      <w:proofErr w:type="gramEnd"/>
    </w:p>
    <w:p w:rsidR="00551C84" w:rsidRDefault="00551C84">
      <w:pPr>
        <w:sectPr w:rsidR="00551C84">
          <w:pgSz w:w="12240" w:h="15840"/>
          <w:pgMar w:top="1360" w:right="1700" w:bottom="280" w:left="1700" w:header="720" w:footer="720" w:gutter="0"/>
          <w:cols w:space="720"/>
        </w:sectPr>
      </w:pPr>
    </w:p>
    <w:p w:rsidR="00551C84" w:rsidRDefault="00F31A9F">
      <w:pPr>
        <w:pStyle w:val="Heading1"/>
        <w:spacing w:before="76"/>
      </w:pPr>
      <w:r>
        <w:lastRenderedPageBreak/>
        <w:t>Recommendations</w:t>
      </w:r>
    </w:p>
    <w:p w:rsidR="00551C84" w:rsidRDefault="00F31A9F">
      <w:pPr>
        <w:pStyle w:val="ListParagraph"/>
        <w:numPr>
          <w:ilvl w:val="0"/>
          <w:numId w:val="1"/>
        </w:numPr>
        <w:tabs>
          <w:tab w:val="left" w:pos="341"/>
        </w:tabs>
        <w:spacing w:before="121"/>
        <w:ind w:firstLine="0"/>
        <w:rPr>
          <w:b/>
          <w:sz w:val="24"/>
        </w:rPr>
      </w:pPr>
      <w:r>
        <w:rPr>
          <w:b/>
          <w:sz w:val="24"/>
        </w:rPr>
        <w:t>Retain the current v.21 of the CMS-HCC risk adjustment model for</w:t>
      </w:r>
      <w:r>
        <w:rPr>
          <w:b/>
          <w:spacing w:val="-3"/>
          <w:sz w:val="24"/>
        </w:rPr>
        <w:t xml:space="preserve"> </w:t>
      </w:r>
      <w:r>
        <w:rPr>
          <w:b/>
          <w:sz w:val="24"/>
        </w:rPr>
        <w:t>PACE</w:t>
      </w:r>
    </w:p>
    <w:p w:rsidR="00551C84" w:rsidRDefault="00F31A9F">
      <w:pPr>
        <w:pStyle w:val="BodyText"/>
        <w:spacing w:before="115"/>
        <w:ind w:left="100" w:right="107"/>
      </w:pPr>
      <w:r>
        <w:t xml:space="preserve">NPA strongly recommends that CMS retain the current v. 21 CMS-HCC risk adjustment model used for PACE payment. This HCC model recognizes the importance of dementia in predicting Medicare costs. </w:t>
      </w:r>
      <w:r>
        <w:rPr>
          <w:spacing w:val="-3"/>
        </w:rPr>
        <w:t xml:space="preserve">In </w:t>
      </w:r>
      <w:r>
        <w:t>addition, this model appropriately reflects the costs of ca</w:t>
      </w:r>
      <w:r>
        <w:t>re for PACE participants with early stage pressure ulcers and early stage kidney disease that is comorbid with congestive heart failure. The combination of PACE county payment rates, the current v. 21 CMS-HCC risk adjustment model and frailty adjustment ge</w:t>
      </w:r>
      <w:r>
        <w:t>nerates appropriate payment for our high cost population of Medicare</w:t>
      </w:r>
      <w:r>
        <w:rPr>
          <w:spacing w:val="-9"/>
        </w:rPr>
        <w:t xml:space="preserve"> </w:t>
      </w:r>
      <w:r>
        <w:t>beneficiaries.</w:t>
      </w:r>
    </w:p>
    <w:p w:rsidR="00551C84" w:rsidRDefault="00F31A9F">
      <w:pPr>
        <w:pStyle w:val="BodyText"/>
        <w:spacing w:before="120"/>
        <w:ind w:left="100" w:right="106"/>
      </w:pPr>
      <w:r>
        <w:t>This assessment is based in part on an analysis, previously shared with CMS by the National PACE Association, undertaken in response to CMS’ implementation of the frailty a</w:t>
      </w:r>
      <w:r>
        <w:t>djustment model applied to PACE beginning in 2008. The study identified a PACE-like population from among respondents to the National Long Term Care Survey (NLTCS) and compares their observed costs in FFS to the costs predicted by the v. 12 CMS-HCC risk ad</w:t>
      </w:r>
      <w:r>
        <w:t>justment model and revised frailty adjustment model. The study concluded their payments were substantially under predicted. A significant proportion of this under prediction was addressed by implementation of the v. 21 model in CY2012 and further addressed</w:t>
      </w:r>
      <w:r>
        <w:t xml:space="preserve"> by implementation of the recalibrated frailty adjustment model in CY2013. Applying the MA 2014 model to PACE will undo the improvements in the risk adjustment methodology for PACE that have been achieved to date.</w:t>
      </w:r>
    </w:p>
    <w:p w:rsidR="00551C84" w:rsidRDefault="00551C84">
      <w:pPr>
        <w:pStyle w:val="BodyText"/>
        <w:spacing w:before="6"/>
        <w:ind w:left="0"/>
      </w:pPr>
    </w:p>
    <w:p w:rsidR="00551C84" w:rsidRDefault="00F31A9F">
      <w:pPr>
        <w:pStyle w:val="Heading1"/>
        <w:numPr>
          <w:ilvl w:val="0"/>
          <w:numId w:val="1"/>
        </w:numPr>
        <w:tabs>
          <w:tab w:val="left" w:pos="341"/>
        </w:tabs>
        <w:ind w:right="718" w:firstLine="0"/>
      </w:pPr>
      <w:r>
        <w:t>Apply distinct risk factors for the subpo</w:t>
      </w:r>
      <w:r>
        <w:t>pulations of Medicare beneficiaries described in the request for comment to the calculation of payments for</w:t>
      </w:r>
      <w:r>
        <w:rPr>
          <w:spacing w:val="-21"/>
        </w:rPr>
        <w:t xml:space="preserve"> </w:t>
      </w:r>
      <w:r>
        <w:t>PACE organizations.</w:t>
      </w:r>
    </w:p>
    <w:p w:rsidR="00551C84" w:rsidRDefault="00F31A9F">
      <w:pPr>
        <w:pStyle w:val="BodyText"/>
        <w:spacing w:before="116"/>
        <w:ind w:left="100" w:right="174"/>
      </w:pPr>
      <w:r>
        <w:t>We concur with CMS that dual-eligible status is a strong determinant of costs to the Medicare program. Establishing distinct ris</w:t>
      </w:r>
      <w:r>
        <w:t>k factors for populations based on this eligibility status, along with institutional vs. community residence status, will improve the accuracy of the payment methodology for PACE.</w:t>
      </w:r>
    </w:p>
    <w:p w:rsidR="00551C84" w:rsidRDefault="00F31A9F">
      <w:pPr>
        <w:pStyle w:val="BodyText"/>
        <w:spacing w:before="120"/>
        <w:ind w:left="100" w:right="415"/>
      </w:pPr>
      <w:r>
        <w:t>In addition to the improved performance relative to the MA 2014 CMS-HCC risk</w:t>
      </w:r>
      <w:r>
        <w:t xml:space="preserve"> adjustment model, retaining the v. 21 model offers the benefit of payment stability for PACE organizations. As comparatively small, not for profit organizations, PACE programs are particularly compromised in their ability to make financial commitments reg</w:t>
      </w:r>
      <w:r>
        <w:t>arding developing and operating PACE by stark annual changes in Medicare’s payment methodology.</w:t>
      </w:r>
    </w:p>
    <w:p w:rsidR="00551C84" w:rsidRDefault="00551C84">
      <w:pPr>
        <w:pStyle w:val="BodyText"/>
        <w:ind w:left="0"/>
      </w:pPr>
    </w:p>
    <w:p w:rsidR="00551C84" w:rsidRDefault="00F31A9F">
      <w:pPr>
        <w:ind w:left="100" w:right="406"/>
        <w:rPr>
          <w:sz w:val="24"/>
        </w:rPr>
      </w:pPr>
      <w:r>
        <w:rPr>
          <w:sz w:val="24"/>
        </w:rPr>
        <w:t>Please direct any questions regarding Elder Service Plan of Harbor Health</w:t>
      </w:r>
      <w:r>
        <w:rPr>
          <w:sz w:val="24"/>
        </w:rPr>
        <w:t xml:space="preserve"> comments to </w:t>
      </w:r>
      <w:r>
        <w:rPr>
          <w:b/>
          <w:sz w:val="24"/>
        </w:rPr>
        <w:t>Kathryn Burns</w:t>
      </w:r>
      <w:r>
        <w:rPr>
          <w:b/>
          <w:sz w:val="24"/>
        </w:rPr>
        <w:t xml:space="preserve"> </w:t>
      </w:r>
      <w:r>
        <w:rPr>
          <w:sz w:val="24"/>
        </w:rPr>
        <w:t xml:space="preserve">at </w:t>
      </w:r>
      <w:hyperlink r:id="rId8" w:history="1">
        <w:r w:rsidRPr="007C1F05">
          <w:rPr>
            <w:rStyle w:val="Hyperlink"/>
            <w:sz w:val="24"/>
          </w:rPr>
          <w:t>kburns@hhsi.us</w:t>
        </w:r>
      </w:hyperlink>
      <w:r>
        <w:rPr>
          <w:sz w:val="24"/>
        </w:rPr>
        <w:t xml:space="preserve">  617-533-2424</w:t>
      </w:r>
      <w:r>
        <w:rPr>
          <w:b/>
          <w:sz w:val="24"/>
        </w:rPr>
        <w:t xml:space="preserve">. </w:t>
      </w:r>
      <w:r>
        <w:rPr>
          <w:b/>
          <w:sz w:val="24"/>
        </w:rPr>
        <w:t xml:space="preserve"> </w:t>
      </w:r>
      <w:r>
        <w:rPr>
          <w:sz w:val="24"/>
        </w:rPr>
        <w:t>Again, th</w:t>
      </w:r>
      <w:r>
        <w:rPr>
          <w:sz w:val="24"/>
        </w:rPr>
        <w:t>ank you for your consideration.</w:t>
      </w:r>
    </w:p>
    <w:p w:rsidR="00551C84" w:rsidRDefault="00551C84">
      <w:pPr>
        <w:pStyle w:val="BodyText"/>
        <w:spacing w:before="3"/>
        <w:ind w:left="0"/>
        <w:rPr>
          <w:sz w:val="16"/>
        </w:rPr>
      </w:pPr>
    </w:p>
    <w:p w:rsidR="00551C84" w:rsidRDefault="00F31A9F">
      <w:pPr>
        <w:pStyle w:val="BodyText"/>
        <w:spacing w:before="90"/>
        <w:ind w:left="100"/>
      </w:pPr>
      <w:r>
        <w:t>Sincerely,</w:t>
      </w:r>
    </w:p>
    <w:p w:rsidR="00F31A9F" w:rsidRDefault="00F31A9F">
      <w:pPr>
        <w:pStyle w:val="BodyText"/>
        <w:spacing w:before="90"/>
        <w:ind w:left="100"/>
      </w:pPr>
      <w:r>
        <w:t>Kathryn C. Burns</w:t>
      </w:r>
    </w:p>
    <w:p w:rsidR="00F31A9F" w:rsidRDefault="00F31A9F">
      <w:pPr>
        <w:pStyle w:val="BodyText"/>
        <w:spacing w:before="90"/>
        <w:ind w:left="100"/>
      </w:pPr>
      <w:r>
        <w:t>VP and Executive Director</w:t>
      </w:r>
    </w:p>
    <w:p w:rsidR="00F31A9F" w:rsidRDefault="00F31A9F">
      <w:pPr>
        <w:pStyle w:val="BodyText"/>
        <w:spacing w:before="90"/>
        <w:ind w:left="100"/>
      </w:pPr>
      <w:r>
        <w:t>Elder Service Plan of Harbor Health</w:t>
      </w:r>
      <w:bookmarkStart w:id="0" w:name="_GoBack"/>
      <w:bookmarkEnd w:id="0"/>
    </w:p>
    <w:sectPr w:rsidR="00F31A9F">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970C5"/>
    <w:multiLevelType w:val="hybridMultilevel"/>
    <w:tmpl w:val="1A22EE66"/>
    <w:lvl w:ilvl="0" w:tplc="45DC895A">
      <w:start w:val="1"/>
      <w:numFmt w:val="decimal"/>
      <w:lvlText w:val="%1."/>
      <w:lvlJc w:val="left"/>
      <w:pPr>
        <w:ind w:left="100" w:hanging="240"/>
        <w:jc w:val="left"/>
      </w:pPr>
      <w:rPr>
        <w:rFonts w:ascii="Times New Roman" w:eastAsia="Times New Roman" w:hAnsi="Times New Roman" w:cs="Times New Roman" w:hint="default"/>
        <w:b/>
        <w:bCs/>
        <w:w w:val="100"/>
        <w:sz w:val="24"/>
        <w:szCs w:val="24"/>
        <w:lang w:val="en-US" w:eastAsia="en-US" w:bidi="en-US"/>
      </w:rPr>
    </w:lvl>
    <w:lvl w:ilvl="1" w:tplc="B3F2FED8">
      <w:numFmt w:val="bullet"/>
      <w:lvlText w:val="•"/>
      <w:lvlJc w:val="left"/>
      <w:pPr>
        <w:ind w:left="974" w:hanging="240"/>
      </w:pPr>
      <w:rPr>
        <w:rFonts w:hint="default"/>
        <w:lang w:val="en-US" w:eastAsia="en-US" w:bidi="en-US"/>
      </w:rPr>
    </w:lvl>
    <w:lvl w:ilvl="2" w:tplc="4B4AAE3E">
      <w:numFmt w:val="bullet"/>
      <w:lvlText w:val="•"/>
      <w:lvlJc w:val="left"/>
      <w:pPr>
        <w:ind w:left="1848" w:hanging="240"/>
      </w:pPr>
      <w:rPr>
        <w:rFonts w:hint="default"/>
        <w:lang w:val="en-US" w:eastAsia="en-US" w:bidi="en-US"/>
      </w:rPr>
    </w:lvl>
    <w:lvl w:ilvl="3" w:tplc="07B284C0">
      <w:numFmt w:val="bullet"/>
      <w:lvlText w:val="•"/>
      <w:lvlJc w:val="left"/>
      <w:pPr>
        <w:ind w:left="2722" w:hanging="240"/>
      </w:pPr>
      <w:rPr>
        <w:rFonts w:hint="default"/>
        <w:lang w:val="en-US" w:eastAsia="en-US" w:bidi="en-US"/>
      </w:rPr>
    </w:lvl>
    <w:lvl w:ilvl="4" w:tplc="41BC30B2">
      <w:numFmt w:val="bullet"/>
      <w:lvlText w:val="•"/>
      <w:lvlJc w:val="left"/>
      <w:pPr>
        <w:ind w:left="3596" w:hanging="240"/>
      </w:pPr>
      <w:rPr>
        <w:rFonts w:hint="default"/>
        <w:lang w:val="en-US" w:eastAsia="en-US" w:bidi="en-US"/>
      </w:rPr>
    </w:lvl>
    <w:lvl w:ilvl="5" w:tplc="8A264A14">
      <w:numFmt w:val="bullet"/>
      <w:lvlText w:val="•"/>
      <w:lvlJc w:val="left"/>
      <w:pPr>
        <w:ind w:left="4470" w:hanging="240"/>
      </w:pPr>
      <w:rPr>
        <w:rFonts w:hint="default"/>
        <w:lang w:val="en-US" w:eastAsia="en-US" w:bidi="en-US"/>
      </w:rPr>
    </w:lvl>
    <w:lvl w:ilvl="6" w:tplc="4E1A8906">
      <w:numFmt w:val="bullet"/>
      <w:lvlText w:val="•"/>
      <w:lvlJc w:val="left"/>
      <w:pPr>
        <w:ind w:left="5344" w:hanging="240"/>
      </w:pPr>
      <w:rPr>
        <w:rFonts w:hint="default"/>
        <w:lang w:val="en-US" w:eastAsia="en-US" w:bidi="en-US"/>
      </w:rPr>
    </w:lvl>
    <w:lvl w:ilvl="7" w:tplc="121C3734">
      <w:numFmt w:val="bullet"/>
      <w:lvlText w:val="•"/>
      <w:lvlJc w:val="left"/>
      <w:pPr>
        <w:ind w:left="6218" w:hanging="240"/>
      </w:pPr>
      <w:rPr>
        <w:rFonts w:hint="default"/>
        <w:lang w:val="en-US" w:eastAsia="en-US" w:bidi="en-US"/>
      </w:rPr>
    </w:lvl>
    <w:lvl w:ilvl="8" w:tplc="0C9ACEE4">
      <w:numFmt w:val="bullet"/>
      <w:lvlText w:val="•"/>
      <w:lvlJc w:val="left"/>
      <w:pPr>
        <w:ind w:left="7092" w:hanging="240"/>
      </w:pPr>
      <w:rPr>
        <w:rFonts w:hint="default"/>
        <w:lang w:val="en-US" w:eastAsia="en-US" w:bidi="en-US"/>
      </w:rPr>
    </w:lvl>
  </w:abstractNum>
  <w:abstractNum w:abstractNumId="1">
    <w:nsid w:val="58F31DAA"/>
    <w:multiLevelType w:val="hybridMultilevel"/>
    <w:tmpl w:val="91480536"/>
    <w:lvl w:ilvl="0" w:tplc="692E742C">
      <w:start w:val="1"/>
      <w:numFmt w:val="decimal"/>
      <w:lvlText w:val="%1)"/>
      <w:lvlJc w:val="left"/>
      <w:pPr>
        <w:ind w:left="460" w:hanging="360"/>
        <w:jc w:val="left"/>
      </w:pPr>
      <w:rPr>
        <w:rFonts w:ascii="Times New Roman" w:eastAsia="Times New Roman" w:hAnsi="Times New Roman" w:cs="Times New Roman" w:hint="default"/>
        <w:spacing w:val="-20"/>
        <w:w w:val="99"/>
        <w:sz w:val="24"/>
        <w:szCs w:val="24"/>
        <w:lang w:val="en-US" w:eastAsia="en-US" w:bidi="en-US"/>
      </w:rPr>
    </w:lvl>
    <w:lvl w:ilvl="1" w:tplc="20026020">
      <w:numFmt w:val="bullet"/>
      <w:lvlText w:val="o"/>
      <w:lvlJc w:val="left"/>
      <w:pPr>
        <w:ind w:left="1540" w:hanging="360"/>
      </w:pPr>
      <w:rPr>
        <w:rFonts w:ascii="Courier New" w:eastAsia="Courier New" w:hAnsi="Courier New" w:cs="Courier New" w:hint="default"/>
        <w:w w:val="100"/>
        <w:sz w:val="24"/>
        <w:szCs w:val="24"/>
        <w:lang w:val="en-US" w:eastAsia="en-US" w:bidi="en-US"/>
      </w:rPr>
    </w:lvl>
    <w:lvl w:ilvl="2" w:tplc="21AADDF8">
      <w:numFmt w:val="bullet"/>
      <w:lvlText w:val="•"/>
      <w:lvlJc w:val="left"/>
      <w:pPr>
        <w:ind w:left="2351" w:hanging="360"/>
      </w:pPr>
      <w:rPr>
        <w:rFonts w:hint="default"/>
        <w:lang w:val="en-US" w:eastAsia="en-US" w:bidi="en-US"/>
      </w:rPr>
    </w:lvl>
    <w:lvl w:ilvl="3" w:tplc="2C90E718">
      <w:numFmt w:val="bullet"/>
      <w:lvlText w:val="•"/>
      <w:lvlJc w:val="left"/>
      <w:pPr>
        <w:ind w:left="3162" w:hanging="360"/>
      </w:pPr>
      <w:rPr>
        <w:rFonts w:hint="default"/>
        <w:lang w:val="en-US" w:eastAsia="en-US" w:bidi="en-US"/>
      </w:rPr>
    </w:lvl>
    <w:lvl w:ilvl="4" w:tplc="415A8774">
      <w:numFmt w:val="bullet"/>
      <w:lvlText w:val="•"/>
      <w:lvlJc w:val="left"/>
      <w:pPr>
        <w:ind w:left="3973" w:hanging="360"/>
      </w:pPr>
      <w:rPr>
        <w:rFonts w:hint="default"/>
        <w:lang w:val="en-US" w:eastAsia="en-US" w:bidi="en-US"/>
      </w:rPr>
    </w:lvl>
    <w:lvl w:ilvl="5" w:tplc="1026EB7A">
      <w:numFmt w:val="bullet"/>
      <w:lvlText w:val="•"/>
      <w:lvlJc w:val="left"/>
      <w:pPr>
        <w:ind w:left="4784" w:hanging="360"/>
      </w:pPr>
      <w:rPr>
        <w:rFonts w:hint="default"/>
        <w:lang w:val="en-US" w:eastAsia="en-US" w:bidi="en-US"/>
      </w:rPr>
    </w:lvl>
    <w:lvl w:ilvl="6" w:tplc="39B656F0">
      <w:numFmt w:val="bullet"/>
      <w:lvlText w:val="•"/>
      <w:lvlJc w:val="left"/>
      <w:pPr>
        <w:ind w:left="5595" w:hanging="360"/>
      </w:pPr>
      <w:rPr>
        <w:rFonts w:hint="default"/>
        <w:lang w:val="en-US" w:eastAsia="en-US" w:bidi="en-US"/>
      </w:rPr>
    </w:lvl>
    <w:lvl w:ilvl="7" w:tplc="8E524D14">
      <w:numFmt w:val="bullet"/>
      <w:lvlText w:val="•"/>
      <w:lvlJc w:val="left"/>
      <w:pPr>
        <w:ind w:left="6406" w:hanging="360"/>
      </w:pPr>
      <w:rPr>
        <w:rFonts w:hint="default"/>
        <w:lang w:val="en-US" w:eastAsia="en-US" w:bidi="en-US"/>
      </w:rPr>
    </w:lvl>
    <w:lvl w:ilvl="8" w:tplc="5EF42D1A">
      <w:numFmt w:val="bullet"/>
      <w:lvlText w:val="•"/>
      <w:lvlJc w:val="left"/>
      <w:pPr>
        <w:ind w:left="7217"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84"/>
    <w:rsid w:val="00551C84"/>
    <w:rsid w:val="00F3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1A9F"/>
    <w:rPr>
      <w:rFonts w:ascii="Tahoma" w:hAnsi="Tahoma" w:cs="Tahoma"/>
      <w:sz w:val="16"/>
      <w:szCs w:val="16"/>
    </w:rPr>
  </w:style>
  <w:style w:type="character" w:customStyle="1" w:styleId="BalloonTextChar">
    <w:name w:val="Balloon Text Char"/>
    <w:basedOn w:val="DefaultParagraphFont"/>
    <w:link w:val="BalloonText"/>
    <w:uiPriority w:val="99"/>
    <w:semiHidden/>
    <w:rsid w:val="00F31A9F"/>
    <w:rPr>
      <w:rFonts w:ascii="Tahoma" w:eastAsia="Times New Roman" w:hAnsi="Tahoma" w:cs="Tahoma"/>
      <w:sz w:val="16"/>
      <w:szCs w:val="16"/>
      <w:lang w:bidi="en-US"/>
    </w:rPr>
  </w:style>
  <w:style w:type="character" w:styleId="Hyperlink">
    <w:name w:val="Hyperlink"/>
    <w:basedOn w:val="DefaultParagraphFont"/>
    <w:uiPriority w:val="99"/>
    <w:unhideWhenUsed/>
    <w:rsid w:val="00F31A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1A9F"/>
    <w:rPr>
      <w:rFonts w:ascii="Tahoma" w:hAnsi="Tahoma" w:cs="Tahoma"/>
      <w:sz w:val="16"/>
      <w:szCs w:val="16"/>
    </w:rPr>
  </w:style>
  <w:style w:type="character" w:customStyle="1" w:styleId="BalloonTextChar">
    <w:name w:val="Balloon Text Char"/>
    <w:basedOn w:val="DefaultParagraphFont"/>
    <w:link w:val="BalloonText"/>
    <w:uiPriority w:val="99"/>
    <w:semiHidden/>
    <w:rsid w:val="00F31A9F"/>
    <w:rPr>
      <w:rFonts w:ascii="Tahoma" w:eastAsia="Times New Roman" w:hAnsi="Tahoma" w:cs="Tahoma"/>
      <w:sz w:val="16"/>
      <w:szCs w:val="16"/>
      <w:lang w:bidi="en-US"/>
    </w:rPr>
  </w:style>
  <w:style w:type="character" w:styleId="Hyperlink">
    <w:name w:val="Hyperlink"/>
    <w:basedOn w:val="DefaultParagraphFont"/>
    <w:uiPriority w:val="99"/>
    <w:unhideWhenUsed/>
    <w:rsid w:val="00F31A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kburns@hhsi.us" TargetMode="External"/><Relationship Id="rId3" Type="http://schemas.microsoft.com/office/2007/relationships/stylesWithEffects" Target="stylesWithEffects.xml"/><Relationship Id="rId7" Type="http://schemas.openxmlformats.org/officeDocument/2006/relationships/hyperlink" Target="mailto:RiskAdjustment@cms.hh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NPA Comment to CMS on Advance Notice:</vt:lpstr>
    </vt:vector>
  </TitlesOfParts>
  <Company>Microsoft</Company>
  <LinksUpToDate>false</LinksUpToDate>
  <CharactersWithSpaces>10333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 Comment to CMS on Advance Notice:</dc:title>
  <dc:creator>Chris Van Reenen</dc:creator>
  <cp:lastModifiedBy>Kathryn Burns</cp:lastModifiedBy>
  <cp:revision>2</cp:revision>
  <dcterms:created xsi:type="dcterms:W3CDTF">2018-02-28T20:57:00Z</dcterms:created>
  <dcterms:modified xsi:type="dcterms:W3CDTF">2018-02-28T20:57:00Z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Creator">
    <vt:lpwstr>Microsoft® Word 2013</vt:lpwstr>
  </property>
  <property fmtid="{D5CDD505-2E9C-101B-9397-08002B2CF9AE}" pid="4" name="LastSaved">
    <vt:filetime>2018-02-28T00:00:00Z</vt:filetime>
  </property>
</Properties>
</file>