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20"/>
        <w:rPr>
          <w:rFonts w:ascii="Times New Roman"/>
          <w:b w:val="0"/>
        </w:rPr>
      </w:pPr>
      <w:r>
        <w:rPr>
          <w:rFonts w:ascii="Times New Roman"/>
          <w:b w:val="0"/>
        </w:rPr>
        <w:drawing>
          <wp:inline distT="0" distB="0" distL="0" distR="0">
            <wp:extent cx="1381125" cy="13811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81125" cy="1381125"/>
                    </a:xfrm>
                    <a:prstGeom prst="rect">
                      <a:avLst/>
                    </a:prstGeom>
                  </pic:spPr>
                </pic:pic>
              </a:graphicData>
            </a:graphic>
          </wp:inline>
        </w:drawing>
      </w:r>
      <w:r>
        <w:rPr>
          <w:rFonts w:ascii="Times New Roman"/>
          <w:b w:val="0"/>
        </w:rPr>
      </w:r>
    </w:p>
    <w:p>
      <w:pPr>
        <w:pStyle w:val="BodyText"/>
        <w:spacing w:before="8"/>
        <w:rPr>
          <w:rFonts w:ascii="Times New Roman"/>
          <w:b w:val="0"/>
          <w:sz w:val="16"/>
        </w:rPr>
      </w:pPr>
    </w:p>
    <w:p>
      <w:pPr>
        <w:pStyle w:val="BodyText"/>
        <w:spacing w:line="278" w:lineRule="auto" w:before="59"/>
        <w:ind w:left="220" w:right="433"/>
        <w:jc w:val="both"/>
      </w:pPr>
      <w:r>
        <w:rPr/>
        <w:t>DST Pharmacy Solutions, Inc. (Pharmacy Solutions) Response to Advance Notice of Methodological Changes for Calendar</w:t>
      </w:r>
      <w:r>
        <w:rPr>
          <w:spacing w:val="-3"/>
        </w:rPr>
        <w:t> </w:t>
      </w:r>
      <w:r>
        <w:rPr/>
        <w:t>Year</w:t>
      </w:r>
      <w:r>
        <w:rPr>
          <w:spacing w:val="-3"/>
        </w:rPr>
        <w:t> </w:t>
      </w:r>
      <w:r>
        <w:rPr/>
        <w:t>(CY)</w:t>
      </w:r>
      <w:r>
        <w:rPr>
          <w:spacing w:val="-3"/>
        </w:rPr>
        <w:t> </w:t>
      </w:r>
      <w:r>
        <w:rPr/>
        <w:t>2019</w:t>
      </w:r>
      <w:r>
        <w:rPr>
          <w:spacing w:val="-4"/>
        </w:rPr>
        <w:t> </w:t>
      </w:r>
      <w:r>
        <w:rPr/>
        <w:t>for</w:t>
      </w:r>
      <w:r>
        <w:rPr>
          <w:spacing w:val="-3"/>
        </w:rPr>
        <w:t> </w:t>
      </w:r>
      <w:r>
        <w:rPr/>
        <w:t>Medicare</w:t>
      </w:r>
      <w:r>
        <w:rPr>
          <w:spacing w:val="-3"/>
        </w:rPr>
        <w:t> </w:t>
      </w:r>
      <w:r>
        <w:rPr/>
        <w:t>Advantage</w:t>
      </w:r>
      <w:r>
        <w:rPr>
          <w:spacing w:val="-3"/>
        </w:rPr>
        <w:t> </w:t>
      </w:r>
      <w:r>
        <w:rPr/>
        <w:t>(MA)</w:t>
      </w:r>
      <w:r>
        <w:rPr>
          <w:spacing w:val="-3"/>
        </w:rPr>
        <w:t> </w:t>
      </w:r>
      <w:r>
        <w:rPr/>
        <w:t>Capitation</w:t>
      </w:r>
      <w:r>
        <w:rPr>
          <w:spacing w:val="-3"/>
        </w:rPr>
        <w:t> </w:t>
      </w:r>
      <w:r>
        <w:rPr/>
        <w:t>Rates,</w:t>
      </w:r>
      <w:r>
        <w:rPr>
          <w:spacing w:val="-5"/>
        </w:rPr>
        <w:t> </w:t>
      </w:r>
      <w:r>
        <w:rPr/>
        <w:t>Part</w:t>
      </w:r>
      <w:r>
        <w:rPr>
          <w:spacing w:val="-3"/>
        </w:rPr>
        <w:t> </w:t>
      </w:r>
      <w:r>
        <w:rPr/>
        <w:t>C</w:t>
      </w:r>
      <w:r>
        <w:rPr>
          <w:spacing w:val="-3"/>
        </w:rPr>
        <w:t> </w:t>
      </w:r>
      <w:r>
        <w:rPr/>
        <w:t>and</w:t>
      </w:r>
      <w:r>
        <w:rPr>
          <w:spacing w:val="-3"/>
        </w:rPr>
        <w:t> </w:t>
      </w:r>
      <w:r>
        <w:rPr/>
        <w:t>Part</w:t>
      </w:r>
      <w:r>
        <w:rPr>
          <w:spacing w:val="-3"/>
        </w:rPr>
        <w:t> </w:t>
      </w:r>
      <w:r>
        <w:rPr/>
        <w:t>D</w:t>
      </w:r>
      <w:r>
        <w:rPr>
          <w:spacing w:val="-4"/>
        </w:rPr>
        <w:t> </w:t>
      </w:r>
      <w:r>
        <w:rPr/>
        <w:t>Payment</w:t>
      </w:r>
      <w:r>
        <w:rPr>
          <w:spacing w:val="-3"/>
        </w:rPr>
        <w:t> </w:t>
      </w:r>
      <w:r>
        <w:rPr/>
        <w:t>Policies</w:t>
      </w:r>
      <w:r>
        <w:rPr>
          <w:spacing w:val="-4"/>
        </w:rPr>
        <w:t> </w:t>
      </w:r>
      <w:r>
        <w:rPr/>
        <w:t>and 2019 Draft Call</w:t>
      </w:r>
      <w:r>
        <w:rPr>
          <w:spacing w:val="-13"/>
        </w:rPr>
        <w:t> </w:t>
      </w:r>
      <w:r>
        <w:rPr/>
        <w:t>Letter</w:t>
      </w:r>
    </w:p>
    <w:p>
      <w:pPr>
        <w:spacing w:line="240" w:lineRule="auto" w:before="1"/>
        <w:rPr>
          <w:b/>
          <w:sz w:val="16"/>
        </w:rPr>
      </w:pPr>
    </w:p>
    <w:p>
      <w:pPr>
        <w:pStyle w:val="BodyText"/>
        <w:ind w:left="220"/>
        <w:jc w:val="both"/>
      </w:pPr>
      <w:r>
        <w:rPr/>
        <w:t>March 2, 2018</w:t>
      </w:r>
    </w:p>
    <w:p>
      <w:pPr>
        <w:spacing w:line="240" w:lineRule="auto" w:before="4"/>
        <w:rPr>
          <w:b/>
          <w:sz w:val="19"/>
        </w:rPr>
      </w:pPr>
    </w:p>
    <w:p>
      <w:pPr>
        <w:spacing w:before="0"/>
        <w:ind w:left="220" w:right="0" w:firstLine="0"/>
        <w:jc w:val="both"/>
        <w:rPr>
          <w:sz w:val="20"/>
        </w:rPr>
      </w:pPr>
      <w:r>
        <w:rPr>
          <w:sz w:val="20"/>
        </w:rPr>
        <w:t>Pharmacy Solutions respectfully submits the following comments related to the 2019 Draft Call Letter section on</w:t>
      </w:r>
    </w:p>
    <w:p>
      <w:pPr>
        <w:spacing w:before="39"/>
        <w:ind w:left="220" w:right="0" w:firstLine="0"/>
        <w:jc w:val="both"/>
        <w:rPr>
          <w:i/>
          <w:sz w:val="20"/>
        </w:rPr>
      </w:pPr>
      <w:r>
        <w:rPr>
          <w:i/>
          <w:sz w:val="20"/>
        </w:rPr>
        <w:t>Improving Drug Utilization Review Controls in Medicare Part D.</w:t>
      </w:r>
    </w:p>
    <w:p>
      <w:pPr>
        <w:spacing w:line="240" w:lineRule="auto" w:before="2" w:after="0"/>
        <w:rPr>
          <w:i/>
          <w:sz w:val="19"/>
        </w:rPr>
      </w:pPr>
    </w:p>
    <w:tbl>
      <w:tblPr>
        <w:tblW w:w="0" w:type="auto"/>
        <w:jc w:val="left"/>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240"/>
        <w:gridCol w:w="4409"/>
      </w:tblGrid>
      <w:tr>
        <w:trPr>
          <w:trHeight w:val="410" w:hRule="exact"/>
        </w:trPr>
        <w:tc>
          <w:tcPr>
            <w:tcW w:w="5240" w:type="dxa"/>
            <w:shd w:val="clear" w:color="auto" w:fill="D9D9D9"/>
          </w:tcPr>
          <w:p>
            <w:pPr>
              <w:pStyle w:val="TableParagraph"/>
              <w:spacing w:line="194" w:lineRule="exact"/>
              <w:ind w:left="2140" w:right="2140"/>
              <w:jc w:val="center"/>
              <w:rPr>
                <w:sz w:val="16"/>
              </w:rPr>
            </w:pPr>
            <w:r>
              <w:rPr>
                <w:sz w:val="16"/>
              </w:rPr>
              <w:t>CMS Proposal</w:t>
            </w:r>
          </w:p>
        </w:tc>
        <w:tc>
          <w:tcPr>
            <w:tcW w:w="4409" w:type="dxa"/>
            <w:shd w:val="clear" w:color="auto" w:fill="D9D9D9"/>
          </w:tcPr>
          <w:p>
            <w:pPr>
              <w:pStyle w:val="TableParagraph"/>
              <w:spacing w:line="194" w:lineRule="exact"/>
              <w:ind w:left="1221"/>
              <w:rPr>
                <w:sz w:val="16"/>
              </w:rPr>
            </w:pPr>
            <w:r>
              <w:rPr>
                <w:sz w:val="16"/>
              </w:rPr>
              <w:t>Pharmacy Solutions Response</w:t>
            </w:r>
          </w:p>
        </w:tc>
      </w:tr>
      <w:tr>
        <w:trPr>
          <w:trHeight w:val="410" w:hRule="exact"/>
        </w:trPr>
        <w:tc>
          <w:tcPr>
            <w:tcW w:w="5240" w:type="dxa"/>
            <w:shd w:val="clear" w:color="auto" w:fill="D9D9D9"/>
          </w:tcPr>
          <w:p>
            <w:pPr>
              <w:pStyle w:val="TableParagraph"/>
              <w:spacing w:line="194" w:lineRule="exact"/>
              <w:rPr>
                <w:b/>
                <w:sz w:val="16"/>
              </w:rPr>
            </w:pPr>
            <w:r>
              <w:rPr>
                <w:b/>
                <w:sz w:val="16"/>
              </w:rPr>
              <w:t>Part D Opioid Overutilization Policy</w:t>
            </w:r>
          </w:p>
        </w:tc>
        <w:tc>
          <w:tcPr>
            <w:tcW w:w="4409" w:type="dxa"/>
            <w:shd w:val="clear" w:color="auto" w:fill="D9D9D9"/>
          </w:tcPr>
          <w:p>
            <w:pPr/>
          </w:p>
        </w:tc>
      </w:tr>
      <w:tr>
        <w:trPr>
          <w:trHeight w:val="997" w:hRule="exact"/>
        </w:trPr>
        <w:tc>
          <w:tcPr>
            <w:tcW w:w="5240" w:type="dxa"/>
          </w:tcPr>
          <w:p>
            <w:pPr>
              <w:pStyle w:val="TableParagraph"/>
              <w:spacing w:before="1"/>
              <w:ind w:right="184" w:firstLine="36"/>
              <w:rPr>
                <w:sz w:val="16"/>
              </w:rPr>
            </w:pPr>
            <w:r>
              <w:rPr>
                <w:sz w:val="16"/>
              </w:rPr>
              <w:t>Implementing a days supply limit for initial fills of prescription opioids (e.g., 7 days) for the treatment of acute pain with or without a daily dose maximum (e.g., 50 MME per day).</w:t>
            </w:r>
          </w:p>
          <w:p>
            <w:pPr>
              <w:pStyle w:val="TableParagraph"/>
              <w:spacing w:before="1"/>
              <w:rPr>
                <w:i/>
                <w:sz w:val="16"/>
              </w:rPr>
            </w:pPr>
            <w:r>
              <w:rPr>
                <w:i/>
                <w:sz w:val="16"/>
              </w:rPr>
              <w:t>(Page 204, Call Letter)</w:t>
            </w:r>
          </w:p>
        </w:tc>
        <w:tc>
          <w:tcPr>
            <w:tcW w:w="4409" w:type="dxa"/>
          </w:tcPr>
          <w:p>
            <w:pPr>
              <w:pStyle w:val="TableParagraph"/>
              <w:spacing w:before="1"/>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r>
        <w:trPr>
          <w:trHeight w:val="606" w:hRule="exact"/>
        </w:trPr>
        <w:tc>
          <w:tcPr>
            <w:tcW w:w="5240" w:type="dxa"/>
            <w:shd w:val="clear" w:color="auto" w:fill="D9D9D9"/>
          </w:tcPr>
          <w:p>
            <w:pPr>
              <w:pStyle w:val="TableParagraph"/>
              <w:spacing w:line="195" w:lineRule="exact"/>
              <w:rPr>
                <w:b/>
                <w:sz w:val="16"/>
              </w:rPr>
            </w:pPr>
            <w:r>
              <w:rPr>
                <w:b/>
                <w:sz w:val="16"/>
              </w:rPr>
              <w:t>Concurrent DUR</w:t>
            </w:r>
          </w:p>
          <w:p>
            <w:pPr>
              <w:pStyle w:val="TableParagraph"/>
              <w:ind w:right="103"/>
              <w:rPr>
                <w:i/>
                <w:sz w:val="16"/>
              </w:rPr>
            </w:pPr>
            <w:r>
              <w:rPr>
                <w:i/>
                <w:sz w:val="16"/>
              </w:rPr>
              <w:t>Cumulative Morphine Milligram Equivalent Daily Dose (MME) Safety Edits for </w:t>
            </w:r>
            <w:r>
              <w:rPr>
                <w:i/>
                <w:sz w:val="16"/>
              </w:rPr>
              <w:t>High, Chronic Prescription Opioid Users</w:t>
            </w:r>
          </w:p>
        </w:tc>
        <w:tc>
          <w:tcPr>
            <w:tcW w:w="4409" w:type="dxa"/>
            <w:shd w:val="clear" w:color="auto" w:fill="D9D9D9"/>
          </w:tcPr>
          <w:p>
            <w:pPr/>
          </w:p>
        </w:tc>
      </w:tr>
      <w:tr>
        <w:trPr>
          <w:trHeight w:val="2364" w:hRule="exact"/>
        </w:trPr>
        <w:tc>
          <w:tcPr>
            <w:tcW w:w="5240" w:type="dxa"/>
          </w:tcPr>
          <w:p>
            <w:pPr>
              <w:pStyle w:val="TableParagraph"/>
              <w:ind w:right="137"/>
              <w:rPr>
                <w:i/>
                <w:sz w:val="16"/>
              </w:rPr>
            </w:pPr>
            <w:r>
              <w:rPr>
                <w:sz w:val="16"/>
              </w:rPr>
              <w:t>Propose sponsors should implement these edits in 2019 to allow beneficiaries to receive a 7 days supply of the prescription that triggered the hard edit as written. The patient could elect not to receive the partial 7 days supply fill (e.g., they are not out of the medication) and go through the exceptions process. In that case, if approved, the original prescription could be filled. 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CMS is not aware of any State laws or labeling that would prohibit prescription opioids from being dispensed in a smaller quantity. </w:t>
            </w:r>
            <w:r>
              <w:rPr>
                <w:i/>
                <w:sz w:val="16"/>
              </w:rPr>
              <w:t>(Page 210, Call Letter)</w:t>
            </w:r>
          </w:p>
        </w:tc>
        <w:tc>
          <w:tcPr>
            <w:tcW w:w="4409" w:type="dxa"/>
          </w:tcPr>
          <w:p>
            <w:pPr>
              <w:pStyle w:val="TableParagraph"/>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r>
        <w:trPr>
          <w:trHeight w:val="996" w:hRule="exact"/>
        </w:trPr>
        <w:tc>
          <w:tcPr>
            <w:tcW w:w="5240" w:type="dxa"/>
          </w:tcPr>
          <w:p>
            <w:pPr>
              <w:pStyle w:val="TableParagraph"/>
              <w:spacing w:line="194" w:lineRule="exact"/>
              <w:rPr>
                <w:sz w:val="16"/>
              </w:rPr>
            </w:pPr>
            <w:r>
              <w:rPr>
                <w:sz w:val="16"/>
              </w:rPr>
              <w:t>Additionally propose to only allow the 7 days supply once.</w:t>
            </w:r>
          </w:p>
          <w:p>
            <w:pPr>
              <w:pStyle w:val="TableParagraph"/>
              <w:spacing w:before="1"/>
              <w:rPr>
                <w:i/>
                <w:sz w:val="16"/>
              </w:rPr>
            </w:pPr>
            <w:r>
              <w:rPr>
                <w:i/>
                <w:sz w:val="16"/>
              </w:rPr>
              <w:t>(Page 210, Call Letter)</w:t>
            </w:r>
          </w:p>
        </w:tc>
        <w:tc>
          <w:tcPr>
            <w:tcW w:w="4409" w:type="dxa"/>
          </w:tcPr>
          <w:p>
            <w:pPr>
              <w:pStyle w:val="TableParagraph"/>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r>
        <w:trPr>
          <w:trHeight w:val="605" w:hRule="exact"/>
        </w:trPr>
        <w:tc>
          <w:tcPr>
            <w:tcW w:w="5240" w:type="dxa"/>
            <w:shd w:val="clear" w:color="auto" w:fill="D9D9D9"/>
          </w:tcPr>
          <w:p>
            <w:pPr>
              <w:pStyle w:val="TableParagraph"/>
              <w:spacing w:line="194" w:lineRule="exact"/>
              <w:rPr>
                <w:b/>
                <w:sz w:val="16"/>
              </w:rPr>
            </w:pPr>
            <w:r>
              <w:rPr>
                <w:b/>
                <w:sz w:val="16"/>
              </w:rPr>
              <w:t>Concurrent DUR</w:t>
            </w:r>
          </w:p>
          <w:p>
            <w:pPr>
              <w:pStyle w:val="TableParagraph"/>
              <w:spacing w:before="2"/>
              <w:rPr>
                <w:i/>
                <w:sz w:val="16"/>
              </w:rPr>
            </w:pPr>
            <w:r>
              <w:rPr>
                <w:i/>
                <w:sz w:val="16"/>
              </w:rPr>
              <w:t>Days Supply Limits for Opioid Naïve Patients</w:t>
            </w:r>
          </w:p>
        </w:tc>
        <w:tc>
          <w:tcPr>
            <w:tcW w:w="4409" w:type="dxa"/>
            <w:shd w:val="clear" w:color="auto" w:fill="D9D9D9"/>
          </w:tcPr>
          <w:p>
            <w:pPr/>
          </w:p>
        </w:tc>
      </w:tr>
      <w:tr>
        <w:trPr>
          <w:trHeight w:val="1193" w:hRule="exact"/>
        </w:trPr>
        <w:tc>
          <w:tcPr>
            <w:tcW w:w="5240" w:type="dxa"/>
          </w:tcPr>
          <w:p>
            <w:pPr>
              <w:pStyle w:val="TableParagraph"/>
              <w:spacing w:before="1"/>
              <w:ind w:right="109"/>
              <w:rPr>
                <w:sz w:val="16"/>
              </w:rPr>
            </w:pPr>
            <w:r>
              <w:rPr>
                <w:sz w:val="16"/>
              </w:rPr>
              <w:t>CDC Guideline states that opioids prescribed for acute pain should be limited to three days or fewer, and that seven days are rarely necessary. Currently, at least sixteen States have or plan to add by statute or agency rule days supply (e.g., 5 or 7 days) and/or daily dose limits on the initial amount of opioids that clinicians can prescribe for ‘acute’ pain.</w:t>
            </w:r>
          </w:p>
          <w:p>
            <w:pPr>
              <w:pStyle w:val="TableParagraph"/>
              <w:spacing w:before="1"/>
              <w:rPr>
                <w:i/>
                <w:sz w:val="16"/>
              </w:rPr>
            </w:pPr>
            <w:r>
              <w:rPr>
                <w:i/>
                <w:sz w:val="16"/>
              </w:rPr>
              <w:t>(Page 212, Call Letter)</w:t>
            </w:r>
          </w:p>
        </w:tc>
        <w:tc>
          <w:tcPr>
            <w:tcW w:w="4409" w:type="dxa"/>
          </w:tcPr>
          <w:p>
            <w:pPr>
              <w:pStyle w:val="TableParagraph"/>
              <w:spacing w:before="1"/>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bl>
    <w:p>
      <w:pPr>
        <w:spacing w:line="240" w:lineRule="auto" w:before="0"/>
        <w:rPr>
          <w:i/>
          <w:sz w:val="20"/>
        </w:rPr>
      </w:pPr>
    </w:p>
    <w:p>
      <w:pPr>
        <w:spacing w:line="240" w:lineRule="auto" w:before="0"/>
        <w:rPr>
          <w:i/>
          <w:sz w:val="20"/>
        </w:rPr>
      </w:pPr>
    </w:p>
    <w:p>
      <w:pPr>
        <w:spacing w:line="240" w:lineRule="auto" w:before="9"/>
        <w:rPr>
          <w:i/>
          <w:sz w:val="27"/>
        </w:rPr>
      </w:pPr>
    </w:p>
    <w:p>
      <w:pPr>
        <w:spacing w:before="0"/>
        <w:ind w:left="0" w:right="94" w:firstLine="0"/>
        <w:jc w:val="center"/>
        <w:rPr>
          <w:sz w:val="22"/>
        </w:rPr>
      </w:pPr>
      <w:r>
        <w:rPr>
          <w:w w:val="100"/>
          <w:sz w:val="22"/>
        </w:rPr>
        <w:t>1</w:t>
      </w:r>
    </w:p>
    <w:sectPr>
      <w:type w:val="continuous"/>
      <w:pgSz w:w="12240" w:h="15840"/>
      <w:pgMar w:top="1440" w:bottom="280" w:left="12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98"/>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Felicia</dc:creator>
  <dcterms:created xsi:type="dcterms:W3CDTF">2018-06-12T23:13:39Z</dcterms:created>
  <dcterms:modified xsi:type="dcterms:W3CDTF">2018-06-12T23:13:39Z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2010</vt:lpwstr>
  </property>
  <property fmtid="{D5CDD505-2E9C-101B-9397-08002B2CF9AE}" pid="4" name="LastSaved">
    <vt:filetime>2018-06-13T00:00:00Z</vt:filetime>
  </property>
</Properties>
</file>