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18"/>
        </w:rPr>
      </w:pPr>
    </w:p>
    <w:p>
      <w:pPr>
        <w:pStyle w:val="BodyText"/>
        <w:spacing w:before="56"/>
        <w:ind w:left="159"/>
        <w:jc w:val="both"/>
      </w:pPr>
      <w:r>
        <w:rPr/>
        <w:t>March 5, 2018</w:t>
      </w:r>
    </w:p>
    <w:p>
      <w:pPr>
        <w:pStyle w:val="BodyText"/>
        <w:spacing w:before="11"/>
        <w:rPr>
          <w:sz w:val="21"/>
        </w:rPr>
      </w:pPr>
    </w:p>
    <w:p>
      <w:pPr>
        <w:pStyle w:val="BodyText"/>
        <w:spacing w:before="1"/>
        <w:ind w:left="159" w:right="7878"/>
      </w:pPr>
      <w:r>
        <w:rPr/>
        <w:t>Ms. Seema Verma Administrator</w:t>
      </w:r>
    </w:p>
    <w:p>
      <w:pPr>
        <w:pStyle w:val="BodyText"/>
        <w:ind w:left="159" w:right="5565"/>
      </w:pPr>
      <w:r>
        <w:rPr/>
        <w:t>Centers for Medicare and Medicaid Services 200 Independence Ave SW</w:t>
      </w:r>
    </w:p>
    <w:p>
      <w:pPr>
        <w:pStyle w:val="BodyText"/>
        <w:ind w:left="159"/>
        <w:jc w:val="both"/>
      </w:pPr>
      <w:r>
        <w:rPr/>
        <w:t>Washington, DC 20201</w:t>
      </w:r>
    </w:p>
    <w:p>
      <w:pPr>
        <w:pStyle w:val="BodyText"/>
      </w:pPr>
    </w:p>
    <w:p>
      <w:pPr>
        <w:pStyle w:val="BodyText"/>
        <w:ind w:left="159"/>
        <w:jc w:val="both"/>
      </w:pPr>
      <w:r>
        <w:rPr/>
        <w:t>Docket Number CMS-2017-0163</w:t>
      </w:r>
    </w:p>
    <w:p>
      <w:pPr>
        <w:pStyle w:val="BodyText"/>
        <w:spacing w:before="12"/>
        <w:rPr>
          <w:sz w:val="21"/>
        </w:rPr>
      </w:pPr>
    </w:p>
    <w:p>
      <w:pPr>
        <w:pStyle w:val="BodyText"/>
        <w:spacing w:line="475" w:lineRule="auto"/>
        <w:ind w:left="160" w:right="5134" w:hanging="1"/>
      </w:pPr>
      <w:r>
        <w:rPr/>
        <w:pict>
          <v:group style="position:absolute;margin-left:159.810303pt;margin-top:39.188148pt;width:292.45pt;height:292.45pt;mso-position-horizontal-relative:page;mso-position-vertical-relative:paragraph;z-index:-3496" coordorigin="3196,784" coordsize="5849,5849">
            <v:shape style="position:absolute;left:3196;top:784;width:5848;height:5848" type="#_x0000_t75" stroked="false">
              <v:imagedata r:id="rId7" o:title=""/>
            </v:shape>
            <v:shape style="position:absolute;left:3299;top:886;width:5628;height:5643" coordorigin="3299,886" coordsize="5628,5643" path="m6785,3060l6784,3060,6780,3063,6258,3554,6253,3558,6235,3577,6015,3797,6001,3811,5998,3814,5510,4334,5507,4337,5506,4338,5509,4335,5690,4155,5695,4149,5706,4139,5825,4011,5877,3959,5873,3959,6120,3695,6389,3443,6393,3443,6442,3394,6577,3267,6587,3257,6764,3081,6782,3063,6785,3060xm6393,3443l6389,3443,5873,3959,5877,3959,6393,3443xm4447,5380l4444,5382,4434,5390,4419,5404,4398,5423,4371,5448,4301,5515,4098,5715,3359,6453,3306,6506,3299,6514,3314,6529,3322,6522,3375,6470,3514,6331,3510,6331,3497,6318,3996,5820,4112,5707,4168,5652,4190,5632,4208,5615,4221,5603,4231,5594,4237,5589,4240,5588,4253,5588,4343,5495,4375,5462,4402,5433,4423,5411,4437,5395,4445,5384,4447,5380xm4253,5588l4240,5588,4239,5591,4233,5598,4224,5609,4210,5623,4192,5642,4170,5666,4114,5724,3999,5841,3510,6331,3514,6331,4156,5686,4253,5588xm5378,4441l5370,4448,5341,4475,5307,4508,5250,4564,5174,4638,4533,5278,4481,5331,4473,5339,4489,5355,4491,5354,4502,5343,4652,5192,4678,5167,4685,5160,4686,5158,4679,5151,4681,5149,4677,5149,4672,5143,5040,4775,5106,4711,5129,4688,5147,4671,5159,4660,5167,4653,5170,4651,5177,4651,5189,4638,5263,4564,5321,4504,5349,4475,5373,4450,5379,4442,5378,4441xm5177,4651l5170,4651,5170,4651,5165,4657,5143,4680,5116,4708,5056,4769,4677,5149,4681,5149,4950,4880,5029,4803,5074,4760,5102,4733,5096,4733,5177,4651xm5479,4365l5477,4367,5471,4373,5363,4475,5269,4564,5245,4587,5192,4638,5096,4733,5102,4733,5202,4638,5268,4576,5281,4564,5370,4475,5473,4372,5478,4367,5479,4366,5479,4365xm8926,886l8925,887,8922,890,8920,892,8916,896,8908,903,8898,913,7848,1963,7833,1978,7829,1983,7821,1991,7817,1995,7816,1997,7817,1997,7818,1996,7822,1993,7824,1990,7831,1984,7835,1980,7850,1965,8274,1541,8303,1541,8478,1366,8484,1360,8486,1359,8471,1344,8900,915,8914,901,8921,894,8923,891,8926,888,8927,887,8926,886xm8303,1541l8274,1541,8288,1556,8290,1554,8296,1548,8303,1541xm7602,2211l7601,2212,7598,2214,7595,2217,7587,2225,7583,2229,7567,2244,6882,2930,6829,2983,6822,2991,6838,3007,6839,3005,6845,2999,7027,2817,7035,2809,7028,2802,7030,2800,7026,2800,7020,2795,7574,2241,7589,2226,7596,2218,7599,2216,7601,2212,7602,2211,7602,2211xm7580,2248l7579,2249,7575,2252,7573,2254,7565,2262,7560,2266,7550,2276,7026,2800,7030,2800,7547,2283,7562,2268,7574,2256,7576,2253,7579,2250,7580,2249,7580,2248xe" filled="true" fillcolor="#c1c1c1" stroked="false">
              <v:path arrowok="t"/>
              <v:fill opacity="32640f" type="solid"/>
            </v:shape>
            <w10:wrap type="none"/>
          </v:group>
        </w:pict>
      </w:r>
      <w:r>
        <w:rPr/>
        <w:t>Submitted Electronically to </w:t>
      </w:r>
      <w:hyperlink r:id="rId8">
        <w:r>
          <w:rPr/>
          <w:t>www.regulations.gov</w:t>
        </w:r>
      </w:hyperlink>
      <w:r>
        <w:rPr/>
        <w:t> Dear Administrator Verma:</w:t>
      </w:r>
    </w:p>
    <w:p>
      <w:pPr>
        <w:pStyle w:val="BodyText"/>
        <w:spacing w:before="5"/>
        <w:ind w:left="160" w:right="157"/>
        <w:jc w:val="both"/>
      </w:pPr>
      <w:r>
        <w:rPr/>
        <w:t>Thank you for the opportunity to provide comments on “Advance Notice of Methodological Changes for Calendar Year (CY) 2019 for Medicare Advantage (MA) Capitation Rates, Part C and Part D Payment Policies and 2019 Draft Call Letter.” We also thank you for your ongoing commitment to telehealth and remote patient monitoring.</w:t>
      </w:r>
    </w:p>
    <w:p>
      <w:pPr>
        <w:pStyle w:val="BodyText"/>
        <w:spacing w:before="11"/>
        <w:rPr>
          <w:sz w:val="21"/>
        </w:rPr>
      </w:pPr>
    </w:p>
    <w:p>
      <w:pPr>
        <w:pStyle w:val="BodyText"/>
        <w:spacing w:before="1"/>
        <w:ind w:left="159" w:right="150"/>
        <w:jc w:val="both"/>
      </w:pPr>
      <w:r>
        <w:rPr/>
        <w:t>As you know, the 2018 Physician Fee Schedule contained a significant development related to remote patient monitoring; we are hopeful that the final MA Call Letter will clarify how the new Medicare Part B coverage</w:t>
      </w:r>
      <w:r>
        <w:rPr>
          <w:spacing w:val="-7"/>
        </w:rPr>
        <w:t> </w:t>
      </w:r>
      <w:r>
        <w:rPr/>
        <w:t>of</w:t>
      </w:r>
      <w:r>
        <w:rPr>
          <w:spacing w:val="-8"/>
        </w:rPr>
        <w:t> </w:t>
      </w:r>
      <w:r>
        <w:rPr/>
        <w:t>remote</w:t>
      </w:r>
      <w:r>
        <w:rPr>
          <w:spacing w:val="-7"/>
        </w:rPr>
        <w:t> </w:t>
      </w:r>
      <w:r>
        <w:rPr/>
        <w:t>monitoring</w:t>
      </w:r>
      <w:r>
        <w:rPr>
          <w:spacing w:val="-6"/>
        </w:rPr>
        <w:t> </w:t>
      </w:r>
      <w:r>
        <w:rPr/>
        <w:t>will</w:t>
      </w:r>
      <w:r>
        <w:rPr>
          <w:spacing w:val="-6"/>
        </w:rPr>
        <w:t> </w:t>
      </w:r>
      <w:r>
        <w:rPr/>
        <w:t>align</w:t>
      </w:r>
      <w:r>
        <w:rPr>
          <w:spacing w:val="-9"/>
        </w:rPr>
        <w:t> </w:t>
      </w:r>
      <w:r>
        <w:rPr/>
        <w:t>with</w:t>
      </w:r>
      <w:r>
        <w:rPr>
          <w:spacing w:val="-9"/>
        </w:rPr>
        <w:t> </w:t>
      </w:r>
      <w:r>
        <w:rPr/>
        <w:t>MA</w:t>
      </w:r>
      <w:r>
        <w:rPr>
          <w:spacing w:val="-6"/>
        </w:rPr>
        <w:t> </w:t>
      </w:r>
      <w:r>
        <w:rPr/>
        <w:t>plan</w:t>
      </w:r>
      <w:r>
        <w:rPr>
          <w:spacing w:val="-9"/>
        </w:rPr>
        <w:t> </w:t>
      </w:r>
      <w:r>
        <w:rPr/>
        <w:t>coverage.</w:t>
      </w:r>
      <w:r>
        <w:rPr>
          <w:spacing w:val="36"/>
        </w:rPr>
        <w:t> </w:t>
      </w:r>
      <w:r>
        <w:rPr/>
        <w:t>Now</w:t>
      </w:r>
      <w:r>
        <w:rPr>
          <w:spacing w:val="-7"/>
        </w:rPr>
        <w:t> </w:t>
      </w:r>
      <w:r>
        <w:rPr/>
        <w:t>that</w:t>
      </w:r>
      <w:r>
        <w:rPr>
          <w:spacing w:val="-10"/>
        </w:rPr>
        <w:t> </w:t>
      </w:r>
      <w:r>
        <w:rPr/>
        <w:t>remote</w:t>
      </w:r>
      <w:r>
        <w:rPr>
          <w:spacing w:val="-7"/>
        </w:rPr>
        <w:t> </w:t>
      </w:r>
      <w:r>
        <w:rPr/>
        <w:t>monitoring</w:t>
      </w:r>
      <w:r>
        <w:rPr>
          <w:spacing w:val="-6"/>
        </w:rPr>
        <w:t> </w:t>
      </w:r>
      <w:r>
        <w:rPr/>
        <w:t>is</w:t>
      </w:r>
      <w:r>
        <w:rPr>
          <w:spacing w:val="-8"/>
        </w:rPr>
        <w:t> </w:t>
      </w:r>
      <w:r>
        <w:rPr/>
        <w:t>covered in fee-for-service through the unbundling of CPT code 99091, we request that CMS explicitly state in the final</w:t>
      </w:r>
      <w:r>
        <w:rPr>
          <w:spacing w:val="-12"/>
        </w:rPr>
        <w:t> </w:t>
      </w:r>
      <w:r>
        <w:rPr/>
        <w:t>Call</w:t>
      </w:r>
      <w:r>
        <w:rPr>
          <w:spacing w:val="-7"/>
        </w:rPr>
        <w:t> </w:t>
      </w:r>
      <w:r>
        <w:rPr/>
        <w:t>Letter</w:t>
      </w:r>
      <w:r>
        <w:rPr>
          <w:spacing w:val="-9"/>
        </w:rPr>
        <w:t> </w:t>
      </w:r>
      <w:r>
        <w:rPr/>
        <w:t>that</w:t>
      </w:r>
      <w:r>
        <w:rPr>
          <w:spacing w:val="-11"/>
        </w:rPr>
        <w:t> </w:t>
      </w:r>
      <w:r>
        <w:rPr/>
        <w:t>remote</w:t>
      </w:r>
      <w:r>
        <w:rPr>
          <w:spacing w:val="-8"/>
        </w:rPr>
        <w:t> </w:t>
      </w:r>
      <w:r>
        <w:rPr/>
        <w:t>monitoring</w:t>
      </w:r>
      <w:r>
        <w:rPr>
          <w:spacing w:val="-7"/>
        </w:rPr>
        <w:t> </w:t>
      </w:r>
      <w:r>
        <w:rPr/>
        <w:t>is</w:t>
      </w:r>
      <w:r>
        <w:rPr>
          <w:spacing w:val="-9"/>
        </w:rPr>
        <w:t> </w:t>
      </w:r>
      <w:r>
        <w:rPr/>
        <w:t>now</w:t>
      </w:r>
      <w:r>
        <w:rPr>
          <w:spacing w:val="-9"/>
        </w:rPr>
        <w:t> </w:t>
      </w:r>
      <w:r>
        <w:rPr/>
        <w:t>a</w:t>
      </w:r>
      <w:r>
        <w:rPr>
          <w:spacing w:val="-9"/>
        </w:rPr>
        <w:t> </w:t>
      </w:r>
      <w:r>
        <w:rPr/>
        <w:t>basic</w:t>
      </w:r>
      <w:r>
        <w:rPr>
          <w:spacing w:val="-11"/>
        </w:rPr>
        <w:t> </w:t>
      </w:r>
      <w:r>
        <w:rPr/>
        <w:t>benefit.</w:t>
      </w:r>
      <w:r>
        <w:rPr>
          <w:spacing w:val="-7"/>
        </w:rPr>
        <w:t> </w:t>
      </w:r>
      <w:r>
        <w:rPr/>
        <w:t>Additionally,</w:t>
      </w:r>
      <w:r>
        <w:rPr>
          <w:spacing w:val="-11"/>
        </w:rPr>
        <w:t> </w:t>
      </w:r>
      <w:r>
        <w:rPr/>
        <w:t>to</w:t>
      </w:r>
      <w:r>
        <w:rPr>
          <w:spacing w:val="-10"/>
        </w:rPr>
        <w:t> </w:t>
      </w:r>
      <w:r>
        <w:rPr/>
        <w:t>increase</w:t>
      </w:r>
      <w:r>
        <w:rPr>
          <w:spacing w:val="-8"/>
        </w:rPr>
        <w:t> </w:t>
      </w:r>
      <w:r>
        <w:rPr/>
        <w:t>clarity,</w:t>
      </w:r>
      <w:r>
        <w:rPr>
          <w:spacing w:val="-11"/>
        </w:rPr>
        <w:t> </w:t>
      </w:r>
      <w:r>
        <w:rPr/>
        <w:t>we</w:t>
      </w:r>
      <w:r>
        <w:rPr>
          <w:spacing w:val="-8"/>
        </w:rPr>
        <w:t> </w:t>
      </w:r>
      <w:r>
        <w:rPr/>
        <w:t>request that CMS amend the supplemental benefits section of the Medicare Managed Care Manual (Chapter 4 – Benefits and Beneficiary Protections) to remove </w:t>
      </w:r>
      <w:r>
        <w:rPr>
          <w:spacing w:val="-3"/>
        </w:rPr>
        <w:t>the </w:t>
      </w:r>
      <w:r>
        <w:rPr/>
        <w:t>mention of remote patient monitoring as a supplemental</w:t>
      </w:r>
      <w:r>
        <w:rPr>
          <w:spacing w:val="-4"/>
        </w:rPr>
        <w:t> </w:t>
      </w:r>
      <w:r>
        <w:rPr/>
        <w:t>benefit.</w:t>
      </w:r>
    </w:p>
    <w:p>
      <w:pPr>
        <w:pStyle w:val="BodyText"/>
      </w:pPr>
    </w:p>
    <w:p>
      <w:pPr>
        <w:pStyle w:val="BodyText"/>
        <w:ind w:left="159" w:right="161"/>
        <w:jc w:val="both"/>
      </w:pPr>
      <w:r>
        <w:rPr/>
        <w:t>The same steps should be taken next year for telehealth, given the enactment of the Bipartisan Budget Act of 2018, which made telehealth a basic benefit in Medicare Advantage beginning in 2020.</w:t>
      </w:r>
    </w:p>
    <w:p>
      <w:pPr>
        <w:pStyle w:val="BodyText"/>
        <w:spacing w:before="7"/>
        <w:rPr>
          <w:sz w:val="21"/>
        </w:rPr>
      </w:pPr>
    </w:p>
    <w:p>
      <w:pPr>
        <w:pStyle w:val="BodyText"/>
        <w:ind w:left="159" w:right="152" w:hanging="1"/>
        <w:jc w:val="both"/>
      </w:pPr>
      <w:r>
        <w:rPr/>
        <w:t>In</w:t>
      </w:r>
      <w:r>
        <w:rPr>
          <w:spacing w:val="-9"/>
        </w:rPr>
        <w:t> </w:t>
      </w:r>
      <w:r>
        <w:rPr/>
        <w:t>addition</w:t>
      </w:r>
      <w:r>
        <w:rPr>
          <w:spacing w:val="-9"/>
        </w:rPr>
        <w:t> </w:t>
      </w:r>
      <w:r>
        <w:rPr/>
        <w:t>to</w:t>
      </w:r>
      <w:r>
        <w:rPr>
          <w:spacing w:val="-4"/>
        </w:rPr>
        <w:t> </w:t>
      </w:r>
      <w:r>
        <w:rPr/>
        <w:t>the</w:t>
      </w:r>
      <w:r>
        <w:rPr>
          <w:spacing w:val="-3"/>
        </w:rPr>
        <w:t> </w:t>
      </w:r>
      <w:r>
        <w:rPr/>
        <w:t>new</w:t>
      </w:r>
      <w:r>
        <w:rPr>
          <w:spacing w:val="-3"/>
        </w:rPr>
        <w:t> </w:t>
      </w:r>
      <w:r>
        <w:rPr/>
        <w:t>coverage</w:t>
      </w:r>
      <w:r>
        <w:rPr>
          <w:spacing w:val="-7"/>
        </w:rPr>
        <w:t> </w:t>
      </w:r>
      <w:r>
        <w:rPr/>
        <w:t>for</w:t>
      </w:r>
      <w:r>
        <w:rPr>
          <w:spacing w:val="-8"/>
        </w:rPr>
        <w:t> </w:t>
      </w:r>
      <w:r>
        <w:rPr/>
        <w:t>“collection</w:t>
      </w:r>
      <w:r>
        <w:rPr>
          <w:spacing w:val="-9"/>
        </w:rPr>
        <w:t> </w:t>
      </w:r>
      <w:r>
        <w:rPr/>
        <w:t>and</w:t>
      </w:r>
      <w:r>
        <w:rPr>
          <w:spacing w:val="-4"/>
        </w:rPr>
        <w:t> </w:t>
      </w:r>
      <w:r>
        <w:rPr/>
        <w:t>interpretation</w:t>
      </w:r>
      <w:r>
        <w:rPr>
          <w:spacing w:val="-9"/>
        </w:rPr>
        <w:t> </w:t>
      </w:r>
      <w:r>
        <w:rPr/>
        <w:t>of</w:t>
      </w:r>
      <w:r>
        <w:rPr>
          <w:spacing w:val="-3"/>
        </w:rPr>
        <w:t> </w:t>
      </w:r>
      <w:r>
        <w:rPr/>
        <w:t>stored</w:t>
      </w:r>
      <w:r>
        <w:rPr>
          <w:spacing w:val="-4"/>
        </w:rPr>
        <w:t> </w:t>
      </w:r>
      <w:r>
        <w:rPr/>
        <w:t>patient</w:t>
      </w:r>
      <w:r>
        <w:rPr>
          <w:spacing w:val="-5"/>
        </w:rPr>
        <w:t> </w:t>
      </w:r>
      <w:r>
        <w:rPr/>
        <w:t>data</w:t>
      </w:r>
      <w:r>
        <w:rPr>
          <w:spacing w:val="-3"/>
        </w:rPr>
        <w:t> </w:t>
      </w:r>
      <w:r>
        <w:rPr/>
        <w:t>by</w:t>
      </w:r>
      <w:r>
        <w:rPr>
          <w:spacing w:val="-7"/>
        </w:rPr>
        <w:t> </w:t>
      </w:r>
      <w:r>
        <w:rPr/>
        <w:t>a</w:t>
      </w:r>
      <w:r>
        <w:rPr>
          <w:spacing w:val="-3"/>
        </w:rPr>
        <w:t> </w:t>
      </w:r>
      <w:r>
        <w:rPr/>
        <w:t>physician</w:t>
      </w:r>
      <w:r>
        <w:rPr>
          <w:spacing w:val="-9"/>
        </w:rPr>
        <w:t> </w:t>
      </w:r>
      <w:r>
        <w:rPr/>
        <w:t>or qualified</w:t>
      </w:r>
      <w:r>
        <w:rPr>
          <w:spacing w:val="-10"/>
        </w:rPr>
        <w:t> </w:t>
      </w:r>
      <w:r>
        <w:rPr/>
        <w:t>health</w:t>
      </w:r>
      <w:r>
        <w:rPr>
          <w:spacing w:val="-10"/>
        </w:rPr>
        <w:t> </w:t>
      </w:r>
      <w:r>
        <w:rPr/>
        <w:t>professional”</w:t>
      </w:r>
      <w:r>
        <w:rPr>
          <w:spacing w:val="-10"/>
        </w:rPr>
        <w:t> </w:t>
      </w:r>
      <w:r>
        <w:rPr/>
        <w:t>through</w:t>
      </w:r>
      <w:r>
        <w:rPr>
          <w:spacing w:val="-10"/>
        </w:rPr>
        <w:t> </w:t>
      </w:r>
      <w:r>
        <w:rPr/>
        <w:t>CPT</w:t>
      </w:r>
      <w:r>
        <w:rPr>
          <w:spacing w:val="-11"/>
        </w:rPr>
        <w:t> </w:t>
      </w:r>
      <w:r>
        <w:rPr/>
        <w:t>code</w:t>
      </w:r>
      <w:r>
        <w:rPr>
          <w:spacing w:val="-8"/>
        </w:rPr>
        <w:t> </w:t>
      </w:r>
      <w:r>
        <w:rPr/>
        <w:t>99091</w:t>
      </w:r>
      <w:hyperlink w:history="true" w:anchor="_bookmark0">
        <w:r>
          <w:rPr>
            <w:position w:val="8"/>
            <w:sz w:val="16"/>
          </w:rPr>
          <w:t>1</w:t>
        </w:r>
      </w:hyperlink>
      <w:r>
        <w:rPr>
          <w:sz w:val="24"/>
        </w:rPr>
        <w:t>,</w:t>
      </w:r>
      <w:r>
        <w:rPr>
          <w:spacing w:val="-11"/>
          <w:sz w:val="24"/>
        </w:rPr>
        <w:t> </w:t>
      </w:r>
      <w:r>
        <w:rPr/>
        <w:t>CMS</w:t>
      </w:r>
      <w:r>
        <w:rPr>
          <w:spacing w:val="-10"/>
        </w:rPr>
        <w:t> </w:t>
      </w:r>
      <w:r>
        <w:rPr/>
        <w:t>has</w:t>
      </w:r>
      <w:r>
        <w:rPr>
          <w:spacing w:val="-9"/>
        </w:rPr>
        <w:t> </w:t>
      </w:r>
      <w:r>
        <w:rPr/>
        <w:t>advanced</w:t>
      </w:r>
      <w:r>
        <w:rPr>
          <w:spacing w:val="-10"/>
        </w:rPr>
        <w:t> </w:t>
      </w:r>
      <w:r>
        <w:rPr/>
        <w:t>several</w:t>
      </w:r>
      <w:r>
        <w:rPr>
          <w:spacing w:val="-12"/>
        </w:rPr>
        <w:t> </w:t>
      </w:r>
      <w:r>
        <w:rPr/>
        <w:t>policies</w:t>
      </w:r>
      <w:r>
        <w:rPr>
          <w:spacing w:val="-9"/>
        </w:rPr>
        <w:t> </w:t>
      </w:r>
      <w:r>
        <w:rPr/>
        <w:t>that</w:t>
      </w:r>
      <w:r>
        <w:rPr>
          <w:spacing w:val="-11"/>
        </w:rPr>
        <w:t> </w:t>
      </w:r>
      <w:r>
        <w:rPr/>
        <w:t>integrate digital health into Medicare Part B over the past several years. Examples include the addition of the Transitional</w:t>
      </w:r>
      <w:r>
        <w:rPr>
          <w:spacing w:val="-1"/>
        </w:rPr>
        <w:t> </w:t>
      </w:r>
      <w:r>
        <w:rPr/>
        <w:t>Care</w:t>
      </w:r>
      <w:r>
        <w:rPr>
          <w:spacing w:val="-3"/>
        </w:rPr>
        <w:t> </w:t>
      </w:r>
      <w:r>
        <w:rPr/>
        <w:t>Management</w:t>
      </w:r>
      <w:r>
        <w:rPr>
          <w:spacing w:val="-5"/>
        </w:rPr>
        <w:t> </w:t>
      </w:r>
      <w:r>
        <w:rPr/>
        <w:t>Codes</w:t>
      </w:r>
      <w:r>
        <w:rPr>
          <w:spacing w:val="-3"/>
        </w:rPr>
        <w:t> </w:t>
      </w:r>
      <w:r>
        <w:rPr/>
        <w:t>in</w:t>
      </w:r>
      <w:r>
        <w:rPr>
          <w:spacing w:val="-4"/>
        </w:rPr>
        <w:t> </w:t>
      </w:r>
      <w:r>
        <w:rPr/>
        <w:t>the</w:t>
      </w:r>
      <w:r>
        <w:rPr>
          <w:spacing w:val="-3"/>
        </w:rPr>
        <w:t> </w:t>
      </w:r>
      <w:r>
        <w:rPr/>
        <w:t>2013</w:t>
      </w:r>
      <w:r>
        <w:rPr>
          <w:spacing w:val="-5"/>
        </w:rPr>
        <w:t> </w:t>
      </w:r>
      <w:r>
        <w:rPr/>
        <w:t>Physician</w:t>
      </w:r>
      <w:r>
        <w:rPr>
          <w:spacing w:val="-4"/>
        </w:rPr>
        <w:t> </w:t>
      </w:r>
      <w:r>
        <w:rPr/>
        <w:t>Fee</w:t>
      </w:r>
      <w:r>
        <w:rPr>
          <w:spacing w:val="-3"/>
        </w:rPr>
        <w:t> </w:t>
      </w:r>
      <w:r>
        <w:rPr/>
        <w:t>Schedule,</w:t>
      </w:r>
      <w:r>
        <w:rPr>
          <w:spacing w:val="-5"/>
        </w:rPr>
        <w:t> </w:t>
      </w:r>
      <w:r>
        <w:rPr/>
        <w:t>as</w:t>
      </w:r>
      <w:r>
        <w:rPr>
          <w:spacing w:val="-3"/>
        </w:rPr>
        <w:t> </w:t>
      </w:r>
      <w:r>
        <w:rPr/>
        <w:t>well</w:t>
      </w:r>
      <w:r>
        <w:rPr>
          <w:spacing w:val="-1"/>
        </w:rPr>
        <w:t> </w:t>
      </w:r>
      <w:r>
        <w:rPr/>
        <w:t>as</w:t>
      </w:r>
      <w:r>
        <w:rPr>
          <w:spacing w:val="-3"/>
        </w:rPr>
        <w:t> </w:t>
      </w:r>
      <w:r>
        <w:rPr/>
        <w:t>the</w:t>
      </w:r>
      <w:r>
        <w:rPr>
          <w:spacing w:val="-3"/>
        </w:rPr>
        <w:t> </w:t>
      </w:r>
      <w:r>
        <w:rPr/>
        <w:t>proposal</w:t>
      </w:r>
      <w:r>
        <w:rPr>
          <w:spacing w:val="-1"/>
        </w:rPr>
        <w:t> </w:t>
      </w:r>
      <w:r>
        <w:rPr/>
        <w:t>in</w:t>
      </w:r>
      <w:r>
        <w:rPr>
          <w:spacing w:val="-4"/>
        </w:rPr>
        <w:t> </w:t>
      </w:r>
      <w:r>
        <w:rPr/>
        <w:t>2015 to provide coverage for non-face-to-face complex care management (CCM) services for Medicare beneficiaries who have two or more chronic conditions. These steps forward represent the inclusion of remote monitoring as part of the basic benefit of Medicare Part</w:t>
      </w:r>
      <w:r>
        <w:rPr>
          <w:spacing w:val="-32"/>
        </w:rPr>
        <w:t> </w:t>
      </w:r>
      <w:r>
        <w:rPr/>
        <w:t>B.</w:t>
      </w:r>
    </w:p>
    <w:p>
      <w:pPr>
        <w:pStyle w:val="BodyText"/>
        <w:rPr>
          <w:sz w:val="24"/>
        </w:rPr>
      </w:pPr>
    </w:p>
    <w:p>
      <w:pPr>
        <w:pStyle w:val="BodyText"/>
        <w:ind w:left="160" w:right="169"/>
        <w:jc w:val="both"/>
        <w:rPr>
          <w:b/>
          <w:i/>
        </w:rPr>
      </w:pPr>
      <w:r>
        <w:rPr/>
        <w:t>Notwithstanding</w:t>
      </w:r>
      <w:r>
        <w:rPr>
          <w:spacing w:val="-2"/>
        </w:rPr>
        <w:t> </w:t>
      </w:r>
      <w:r>
        <w:rPr/>
        <w:t>the</w:t>
      </w:r>
      <w:r>
        <w:rPr>
          <w:spacing w:val="-3"/>
        </w:rPr>
        <w:t> </w:t>
      </w:r>
      <w:r>
        <w:rPr/>
        <w:t>new</w:t>
      </w:r>
      <w:r>
        <w:rPr>
          <w:spacing w:val="-3"/>
        </w:rPr>
        <w:t> </w:t>
      </w:r>
      <w:r>
        <w:rPr/>
        <w:t>policy</w:t>
      </w:r>
      <w:r>
        <w:rPr>
          <w:spacing w:val="-2"/>
        </w:rPr>
        <w:t> </w:t>
      </w:r>
      <w:r>
        <w:rPr/>
        <w:t>in</w:t>
      </w:r>
      <w:r>
        <w:rPr>
          <w:spacing w:val="-4"/>
        </w:rPr>
        <w:t> </w:t>
      </w:r>
      <w:r>
        <w:rPr/>
        <w:t>Medicare</w:t>
      </w:r>
      <w:r>
        <w:rPr>
          <w:spacing w:val="-3"/>
        </w:rPr>
        <w:t> </w:t>
      </w:r>
      <w:r>
        <w:rPr/>
        <w:t>Part</w:t>
      </w:r>
      <w:r>
        <w:rPr>
          <w:spacing w:val="-5"/>
        </w:rPr>
        <w:t> </w:t>
      </w:r>
      <w:r>
        <w:rPr/>
        <w:t>B,</w:t>
      </w:r>
      <w:r>
        <w:rPr>
          <w:spacing w:val="-6"/>
        </w:rPr>
        <w:t> </w:t>
      </w:r>
      <w:r>
        <w:rPr/>
        <w:t>the</w:t>
      </w:r>
      <w:r>
        <w:rPr>
          <w:spacing w:val="-3"/>
        </w:rPr>
        <w:t> </w:t>
      </w:r>
      <w:r>
        <w:rPr/>
        <w:t>Medicare</w:t>
      </w:r>
      <w:r>
        <w:rPr>
          <w:spacing w:val="-3"/>
        </w:rPr>
        <w:t> </w:t>
      </w:r>
      <w:r>
        <w:rPr/>
        <w:t>Managed</w:t>
      </w:r>
      <w:r>
        <w:rPr>
          <w:spacing w:val="-4"/>
        </w:rPr>
        <w:t> </w:t>
      </w:r>
      <w:r>
        <w:rPr/>
        <w:t>Care</w:t>
      </w:r>
      <w:r>
        <w:rPr>
          <w:spacing w:val="-3"/>
        </w:rPr>
        <w:t> </w:t>
      </w:r>
      <w:r>
        <w:rPr/>
        <w:t>Manual</w:t>
      </w:r>
      <w:r>
        <w:rPr>
          <w:spacing w:val="-1"/>
        </w:rPr>
        <w:t> </w:t>
      </w:r>
      <w:r>
        <w:rPr/>
        <w:t>contains</w:t>
      </w:r>
      <w:r>
        <w:rPr>
          <w:spacing w:val="-3"/>
        </w:rPr>
        <w:t> </w:t>
      </w:r>
      <w:r>
        <w:rPr/>
        <w:t>legacy language that requires MA plans to submit remote access technologies as supplemental</w:t>
      </w:r>
      <w:r>
        <w:rPr>
          <w:spacing w:val="-30"/>
        </w:rPr>
        <w:t> </w:t>
      </w:r>
      <w:r>
        <w:rPr/>
        <w:t>benefits</w:t>
      </w:r>
      <w:r>
        <w:rPr>
          <w:b/>
          <w:i/>
        </w:rPr>
        <w:t>.</w:t>
      </w:r>
    </w:p>
    <w:p>
      <w:pPr>
        <w:pStyle w:val="BodyText"/>
        <w:ind w:left="160"/>
        <w:jc w:val="both"/>
      </w:pPr>
      <w:r>
        <w:rPr/>
        <w:t>Specifically, the manual uses “Telemonitoring”, “Remote Access Technologies”, and “Enhanced Disease</w:t>
      </w:r>
    </w:p>
    <w:p>
      <w:pPr>
        <w:pStyle w:val="BodyText"/>
        <w:rPr>
          <w:sz w:val="20"/>
        </w:rPr>
      </w:pPr>
    </w:p>
    <w:p>
      <w:pPr>
        <w:pStyle w:val="BodyText"/>
        <w:spacing w:before="3"/>
        <w:rPr>
          <w:sz w:val="20"/>
        </w:rPr>
      </w:pPr>
      <w:r>
        <w:rPr/>
        <w:pict>
          <v:line style="position:absolute;mso-position-horizontal-relative:page;mso-position-vertical-relative:paragraph;z-index:0;mso-wrap-distance-left:0;mso-wrap-distance-right:0" from="72pt,14.721003pt" to="216pt,14.721003pt" stroked="true" strokeweight=".72pt" strokecolor="#000000">
            <v:stroke dashstyle="solid"/>
            <w10:wrap type="topAndBottom"/>
          </v:line>
        </w:pict>
      </w:r>
    </w:p>
    <w:p>
      <w:pPr>
        <w:pStyle w:val="ListParagraph"/>
        <w:numPr>
          <w:ilvl w:val="0"/>
          <w:numId w:val="1"/>
        </w:numPr>
        <w:tabs>
          <w:tab w:pos="295" w:val="left" w:leader="none"/>
        </w:tabs>
        <w:spacing w:line="240" w:lineRule="auto" w:before="74" w:after="0"/>
        <w:ind w:left="294" w:right="0" w:hanging="134"/>
        <w:jc w:val="left"/>
        <w:rPr>
          <w:sz w:val="22"/>
        </w:rPr>
      </w:pPr>
      <w:bookmarkStart w:name="_bookmark0" w:id="1"/>
      <w:bookmarkEnd w:id="1"/>
      <w:r>
        <w:rPr/>
      </w:r>
      <w:bookmarkStart w:name="_bookmark0" w:id="2"/>
      <w:bookmarkEnd w:id="2"/>
      <w:r>
        <w:rPr>
          <w:sz w:val="22"/>
        </w:rPr>
        <w:t>F</w:t>
      </w:r>
      <w:r>
        <w:rPr>
          <w:sz w:val="22"/>
        </w:rPr>
        <w:t>ederal Register |Vol. 79, No. 219 |Thursday, November 13, 2014 | page</w:t>
      </w:r>
      <w:r>
        <w:rPr>
          <w:spacing w:val="-33"/>
          <w:sz w:val="22"/>
        </w:rPr>
        <w:t> </w:t>
      </w:r>
      <w:r>
        <w:rPr>
          <w:sz w:val="22"/>
        </w:rPr>
        <w:t>67727.</w:t>
      </w:r>
    </w:p>
    <w:p>
      <w:pPr>
        <w:spacing w:after="0" w:line="240" w:lineRule="auto"/>
        <w:jc w:val="left"/>
        <w:rPr>
          <w:sz w:val="22"/>
        </w:rPr>
        <w:sectPr>
          <w:headerReference w:type="default" r:id="rId5"/>
          <w:footerReference w:type="default" r:id="rId6"/>
          <w:type w:val="continuous"/>
          <w:pgSz w:w="12240" w:h="15840"/>
          <w:pgMar w:header="720" w:footer="880" w:top="1860" w:bottom="1080" w:left="1280" w:right="1280"/>
        </w:sectPr>
      </w:pPr>
    </w:p>
    <w:p>
      <w:pPr>
        <w:pStyle w:val="BodyText"/>
        <w:ind w:left="159" w:right="150"/>
      </w:pPr>
      <w:r>
        <w:rPr/>
        <w:t>Management” as examples of supplemental benefits</w:t>
      </w:r>
      <w:hyperlink w:history="true" w:anchor="_bookmark1">
        <w:r>
          <w:rPr>
            <w:position w:val="8"/>
            <w:sz w:val="14"/>
          </w:rPr>
          <w:t>2</w:t>
        </w:r>
      </w:hyperlink>
      <w:r>
        <w:rPr/>
        <w:t>. It is confusing that CMS requires MA plans to cover all Part A and B services</w:t>
      </w:r>
      <w:hyperlink w:history="true" w:anchor="_bookmark2">
        <w:r>
          <w:rPr>
            <w:position w:val="8"/>
            <w:sz w:val="14"/>
          </w:rPr>
          <w:t>3</w:t>
        </w:r>
      </w:hyperlink>
      <w:r>
        <w:rPr/>
        <w:t>, but then explicitly directs them to classify remote monitoring as supplemental benefits. This appears to be a policy conflict that we are hopeful CMS can clarify as part of the final Call Letter for 2019, specifically by revising Section 30.3 of the “Medicare Managed Care Manual, Chapter 4 - Benefits and Beneficiary Protections” to strike enhanced disease management, remote access technologies and telemonitoring as examples of supplemental benefits.</w:t>
      </w:r>
    </w:p>
    <w:p>
      <w:pPr>
        <w:pStyle w:val="BodyText"/>
        <w:spacing w:before="8"/>
        <w:rPr>
          <w:sz w:val="16"/>
        </w:rPr>
      </w:pPr>
    </w:p>
    <w:p>
      <w:pPr>
        <w:pStyle w:val="BodyText"/>
        <w:ind w:left="159" w:right="150"/>
      </w:pPr>
      <w:r>
        <w:rPr/>
        <w:t>Member of the Alliance for Connected Care are excited about the opportunity to offer remote monitoring for patients in Medicare fee-for-service and Medicare Advantage equally. Thank you for your consideration of our recommendations to clarify that remote monitoring is a basic benefit in the 2019 Call Letter and the Medicare Managed Care Manual.</w:t>
      </w:r>
    </w:p>
    <w:p>
      <w:pPr>
        <w:pStyle w:val="BodyText"/>
        <w:spacing w:before="11"/>
        <w:rPr>
          <w:sz w:val="21"/>
        </w:rPr>
      </w:pPr>
    </w:p>
    <w:p>
      <w:pPr>
        <w:pStyle w:val="BodyText"/>
        <w:spacing w:before="1"/>
        <w:ind w:left="159"/>
      </w:pPr>
      <w:r>
        <w:rPr/>
        <w:t>Sincerely,</w:t>
      </w:r>
    </w:p>
    <w:p>
      <w:pPr>
        <w:pStyle w:val="BodyText"/>
        <w:spacing w:before="2"/>
        <w:rPr>
          <w:sz w:val="19"/>
        </w:rPr>
      </w:pPr>
      <w:r>
        <w:rPr/>
        <w:pict>
          <v:group style="position:absolute;margin-left:71.975517pt;margin-top:13.680656pt;width:380.25pt;height:294.650pt;mso-position-horizontal-relative:page;mso-position-vertical-relative:paragraph;z-index:1096;mso-wrap-distance-left:0;mso-wrap-distance-right:0" coordorigin="1440,274" coordsize="7605,5893">
            <v:shape style="position:absolute;left:3196;top:318;width:5848;height:5848" type="#_x0000_t75" stroked="false">
              <v:imagedata r:id="rId7" o:title=""/>
            </v:shape>
            <v:shape style="position:absolute;left:3299;top:421;width:5628;height:5643" coordorigin="3299,421" coordsize="5628,5643" path="m6785,2594l6784,2595,6780,2598,6258,3089,6253,3093,6235,3111,6015,3331,6001,3345,5998,3348,5510,3868,5507,3871,5506,3873,5509,3870,5690,3690,5695,3684,5706,3673,5825,3545,5877,3494,5873,3494,6120,3230,6389,2978,6393,2978,6442,2928,6577,2802,6587,2792,6764,2616,6782,2597,6785,2594xm6393,2978l6389,2978,5873,3494,5877,3494,6393,2978xm4447,4915l4444,4917,4434,4925,4419,4938,4398,4958,4371,4983,4301,5050,4098,5250,3359,5987,3306,6040,3299,6048,3314,6064,3322,6056,3375,6004,3514,5865,3510,5865,3497,5852,3996,5355,4112,5241,4168,5187,4190,5166,4208,5150,4221,5137,4231,5129,4237,5124,4240,5122,4253,5122,4343,5030,4375,4996,4402,4968,4423,4945,4437,4929,4445,4919,4447,4915xm4253,5122l4240,5122,4239,5125,4233,5132,4224,5143,4210,5158,4192,5177,4170,5200,4114,5258,3999,5375,3510,5865,3514,5865,4156,5221,4253,5122xm5378,3976l5370,3983,5341,4009,5307,4042,5250,4099,5174,4173,4533,4813,4481,4866,4473,4874,4489,4890,4491,4888,4502,4877,4652,4727,4678,4701,4685,4694,4686,4693,4679,4685,4681,4684,4677,4684,4672,4678,5040,4310,5106,4245,5129,4223,5147,4206,5159,4194,5167,4187,5170,4185,5177,4185,5189,4173,5263,4098,5321,4039,5349,4009,5373,3984,5379,3977,5378,3976xm5177,4185l5170,4185,5170,4186,5165,4192,5143,4215,5116,4243,5056,4304,4677,4684,4681,4684,4950,4415,5029,4338,5074,4294,5102,4267,5096,4267,5177,4185xm5479,3900l5477,3901,5471,3907,5363,4009,5269,4099,5245,4122,5192,4173,5096,4267,5102,4267,5202,4173,5268,4110,5281,4098,5370,4009,5473,3906,5478,3901,5479,3900,5479,3900xm8926,421l8925,422,8922,424,8920,427,8916,430,8908,438,8898,448,7848,1497,7833,1513,7829,1517,7821,1526,7817,1530,7816,1531,7817,1531,7818,1531,7822,1527,7824,1525,7831,1519,7835,1515,7850,1499,8274,1076,8303,1076,8478,901,8484,895,8486,893,8471,879,8900,449,8914,435,8921,428,8923,426,8926,422,8927,421,8926,421xm8303,1076l8274,1076,8288,1090,8290,1089,8296,1083,8303,1076xm7602,1746l7601,1746,7598,1749,7595,1752,7587,1759,7583,1763,7567,1778,6882,2464,6829,2517,6822,2525,6838,2541,6839,2540,6845,2534,7027,2352,7035,2344,7028,2337,7030,2335,7026,2335,7020,2329,7574,1775,7589,1761,7596,1753,7599,1750,7601,1747,7602,1746,7602,1746xm7580,1783l7579,1784,7575,1786,7573,1789,7565,1797,7560,1801,7550,1811,7026,2335,7030,2335,7547,1818,7562,1803,7574,1790,7576,1788,7579,1784,7580,1783,7580,1783xe" filled="true" fillcolor="#c1c1c1" stroked="false">
              <v:path arrowok="t"/>
              <v:fill opacity="32640f" type="solid"/>
            </v:shape>
            <v:shape style="position:absolute;left:1440;top:274;width:2105;height:525" type="#_x0000_t75" stroked="false">
              <v:imagedata r:id="rId9" o:title=""/>
            </v:shape>
            <v:shapetype id="_x0000_t202" o:spt="202" coordsize="21600,21600" path="m,l,21600r21600,l21600,xe">
              <v:stroke joinstyle="miter"/>
              <v:path gradientshapeok="t" o:connecttype="rect"/>
            </v:shapetype>
            <v:shape style="position:absolute;left:1440;top:1105;width:1653;height:490" type="#_x0000_t202" filled="false" stroked="false">
              <v:textbox inset="0,0,0,0">
                <w:txbxContent>
                  <w:p>
                    <w:pPr>
                      <w:spacing w:line="225" w:lineRule="exact" w:before="0"/>
                      <w:ind w:left="0" w:right="0" w:firstLine="0"/>
                      <w:jc w:val="left"/>
                      <w:rPr>
                        <w:sz w:val="22"/>
                      </w:rPr>
                    </w:pPr>
                    <w:r>
                      <w:rPr>
                        <w:sz w:val="22"/>
                      </w:rPr>
                      <w:t>Krista Drobac</w:t>
                    </w:r>
                  </w:p>
                  <w:p>
                    <w:pPr>
                      <w:spacing w:line="265" w:lineRule="exact" w:before="0"/>
                      <w:ind w:left="0" w:right="0" w:firstLine="0"/>
                      <w:jc w:val="left"/>
                      <w:rPr>
                        <w:sz w:val="22"/>
                      </w:rPr>
                    </w:pPr>
                    <w:r>
                      <w:rPr>
                        <w:sz w:val="22"/>
                      </w:rPr>
                      <w:t>Executive Director</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4"/>
        <w:rPr>
          <w:sz w:val="10"/>
        </w:rPr>
      </w:pPr>
      <w:r>
        <w:rPr/>
        <w:pict>
          <v:line style="position:absolute;mso-position-horizontal-relative:page;mso-position-vertical-relative:paragraph;z-index:1120;mso-wrap-distance-left:0;mso-wrap-distance-right:0" from="72pt,8.659234pt" to="216pt,8.659234pt" stroked="true" strokeweight=".72pt" strokecolor="#000000">
            <v:stroke dashstyle="solid"/>
            <w10:wrap type="topAndBottom"/>
          </v:line>
        </w:pict>
      </w:r>
    </w:p>
    <w:p>
      <w:pPr>
        <w:pStyle w:val="ListParagraph"/>
        <w:numPr>
          <w:ilvl w:val="0"/>
          <w:numId w:val="1"/>
        </w:numPr>
        <w:tabs>
          <w:tab w:pos="295" w:val="left" w:leader="none"/>
        </w:tabs>
        <w:spacing w:line="240" w:lineRule="auto" w:before="74" w:after="0"/>
        <w:ind w:left="294" w:right="0" w:hanging="134"/>
        <w:jc w:val="left"/>
        <w:rPr>
          <w:sz w:val="22"/>
        </w:rPr>
      </w:pPr>
      <w:bookmarkStart w:name="_bookmark1" w:id="3"/>
      <w:bookmarkEnd w:id="3"/>
      <w:r>
        <w:rPr/>
      </w:r>
      <w:bookmarkStart w:name="_bookmark1" w:id="4"/>
      <w:bookmarkEnd w:id="4"/>
      <w:r>
        <w:rPr>
          <w:sz w:val="22"/>
        </w:rPr>
        <w:t>C</w:t>
      </w:r>
      <w:r>
        <w:rPr>
          <w:sz w:val="22"/>
        </w:rPr>
        <w:t>enters</w:t>
      </w:r>
      <w:r>
        <w:rPr>
          <w:spacing w:val="-3"/>
          <w:sz w:val="22"/>
        </w:rPr>
        <w:t> </w:t>
      </w:r>
      <w:r>
        <w:rPr>
          <w:sz w:val="22"/>
        </w:rPr>
        <w:t>for</w:t>
      </w:r>
      <w:r>
        <w:rPr>
          <w:spacing w:val="-3"/>
          <w:sz w:val="22"/>
        </w:rPr>
        <w:t> </w:t>
      </w:r>
      <w:r>
        <w:rPr>
          <w:sz w:val="22"/>
        </w:rPr>
        <w:t>Medicare</w:t>
      </w:r>
      <w:r>
        <w:rPr>
          <w:spacing w:val="-3"/>
          <w:sz w:val="22"/>
        </w:rPr>
        <w:t> </w:t>
      </w:r>
      <w:r>
        <w:rPr>
          <w:sz w:val="22"/>
        </w:rPr>
        <w:t>and</w:t>
      </w:r>
      <w:r>
        <w:rPr>
          <w:spacing w:val="-4"/>
          <w:sz w:val="22"/>
        </w:rPr>
        <w:t> </w:t>
      </w:r>
      <w:r>
        <w:rPr>
          <w:sz w:val="22"/>
        </w:rPr>
        <w:t>Medicaid</w:t>
      </w:r>
      <w:r>
        <w:rPr>
          <w:spacing w:val="-4"/>
          <w:sz w:val="22"/>
        </w:rPr>
        <w:t> </w:t>
      </w:r>
      <w:r>
        <w:rPr>
          <w:sz w:val="22"/>
        </w:rPr>
        <w:t>Services,</w:t>
      </w:r>
      <w:r>
        <w:rPr>
          <w:spacing w:val="-6"/>
          <w:sz w:val="22"/>
        </w:rPr>
        <w:t> </w:t>
      </w:r>
      <w:r>
        <w:rPr>
          <w:sz w:val="22"/>
        </w:rPr>
        <w:t>Medicare</w:t>
      </w:r>
      <w:r>
        <w:rPr>
          <w:spacing w:val="-3"/>
          <w:sz w:val="22"/>
        </w:rPr>
        <w:t> </w:t>
      </w:r>
      <w:r>
        <w:rPr>
          <w:sz w:val="22"/>
        </w:rPr>
        <w:t>Managed</w:t>
      </w:r>
      <w:r>
        <w:rPr>
          <w:spacing w:val="-4"/>
          <w:sz w:val="22"/>
        </w:rPr>
        <w:t> </w:t>
      </w:r>
      <w:r>
        <w:rPr>
          <w:sz w:val="22"/>
        </w:rPr>
        <w:t>Care</w:t>
      </w:r>
      <w:r>
        <w:rPr>
          <w:spacing w:val="-3"/>
          <w:sz w:val="22"/>
        </w:rPr>
        <w:t> </w:t>
      </w:r>
      <w:r>
        <w:rPr>
          <w:sz w:val="22"/>
        </w:rPr>
        <w:t>Manual,</w:t>
      </w:r>
      <w:r>
        <w:rPr>
          <w:spacing w:val="-6"/>
          <w:sz w:val="22"/>
        </w:rPr>
        <w:t> </w:t>
      </w:r>
      <w:r>
        <w:rPr>
          <w:sz w:val="22"/>
        </w:rPr>
        <w:t>Chapter</w:t>
      </w:r>
      <w:r>
        <w:rPr>
          <w:spacing w:val="-3"/>
          <w:sz w:val="22"/>
        </w:rPr>
        <w:t> </w:t>
      </w:r>
      <w:r>
        <w:rPr>
          <w:sz w:val="22"/>
        </w:rPr>
        <w:t>4,</w:t>
      </w:r>
      <w:r>
        <w:rPr>
          <w:spacing w:val="-6"/>
          <w:sz w:val="22"/>
        </w:rPr>
        <w:t> </w:t>
      </w:r>
      <w:r>
        <w:rPr>
          <w:sz w:val="22"/>
        </w:rPr>
        <w:t>Section</w:t>
      </w:r>
      <w:r>
        <w:rPr>
          <w:spacing w:val="-4"/>
          <w:sz w:val="22"/>
        </w:rPr>
        <w:t> </w:t>
      </w:r>
      <w:r>
        <w:rPr>
          <w:sz w:val="22"/>
        </w:rPr>
        <w:t>30.3</w:t>
      </w:r>
    </w:p>
    <w:p>
      <w:pPr>
        <w:pStyle w:val="ListParagraph"/>
        <w:numPr>
          <w:ilvl w:val="0"/>
          <w:numId w:val="2"/>
        </w:numPr>
        <w:tabs>
          <w:tab w:pos="319" w:val="left" w:leader="none"/>
        </w:tabs>
        <w:spacing w:line="240" w:lineRule="auto" w:before="0" w:after="0"/>
        <w:ind w:left="160" w:right="421" w:hanging="1"/>
        <w:jc w:val="left"/>
        <w:rPr>
          <w:sz w:val="22"/>
        </w:rPr>
      </w:pPr>
      <w:r>
        <w:rPr>
          <w:sz w:val="22"/>
        </w:rPr>
        <w:t>Examples of Eligible Supplemental Benefits Section, accessed at: </w:t>
      </w:r>
      <w:hyperlink r:id="rId10">
        <w:r>
          <w:rPr>
            <w:color w:val="0000FF"/>
            <w:sz w:val="22"/>
            <w:u w:val="single" w:color="0000FF"/>
          </w:rPr>
          <w:t>https://www.cms.gov/Regulations- </w:t>
        </w:r>
      </w:hyperlink>
      <w:hyperlink r:id="rId10">
        <w:r>
          <w:rPr>
            <w:color w:val="0000FF"/>
            <w:sz w:val="22"/>
            <w:u w:val="single" w:color="0000FF"/>
          </w:rPr>
          <w:t>and-Guidance/Guidance/Manuals/Downloads/mc86c04.pdf</w:t>
        </w:r>
      </w:hyperlink>
    </w:p>
    <w:p>
      <w:pPr>
        <w:pStyle w:val="BodyText"/>
        <w:spacing w:before="9"/>
        <w:rPr>
          <w:sz w:val="15"/>
        </w:rPr>
      </w:pPr>
    </w:p>
    <w:p>
      <w:pPr>
        <w:pStyle w:val="BodyText"/>
        <w:spacing w:before="73"/>
        <w:ind w:left="160"/>
      </w:pPr>
      <w:bookmarkStart w:name="_bookmark2" w:id="5"/>
      <w:bookmarkEnd w:id="5"/>
      <w:r>
        <w:rPr/>
      </w:r>
      <w:r>
        <w:rPr>
          <w:position w:val="8"/>
          <w:sz w:val="14"/>
        </w:rPr>
        <w:t>3 </w:t>
      </w:r>
      <w:r>
        <w:rPr/>
        <w:t>Centers for Medicare and Medicaid Services, Medicare Managed Care Manual, Chapter 4, Section 10.2</w:t>
      </w:r>
    </w:p>
    <w:p>
      <w:pPr>
        <w:pStyle w:val="ListParagraph"/>
        <w:numPr>
          <w:ilvl w:val="0"/>
          <w:numId w:val="2"/>
        </w:numPr>
        <w:tabs>
          <w:tab w:pos="319" w:val="left" w:leader="none"/>
        </w:tabs>
        <w:spacing w:line="240" w:lineRule="auto" w:before="0" w:after="0"/>
        <w:ind w:left="160" w:right="3666" w:firstLine="0"/>
        <w:jc w:val="left"/>
        <w:rPr>
          <w:sz w:val="22"/>
        </w:rPr>
      </w:pPr>
      <w:r>
        <w:rPr>
          <w:sz w:val="22"/>
        </w:rPr>
        <w:t>Basic Rule, accessed at: </w:t>
      </w:r>
      <w:hyperlink r:id="rId10">
        <w:r>
          <w:rPr>
            <w:color w:val="0000FF"/>
            <w:sz w:val="22"/>
            <w:u w:val="single" w:color="0000FF"/>
          </w:rPr>
          <w:t>https://www.cms.gov/Regulations-and- </w:t>
        </w:r>
      </w:hyperlink>
      <w:hyperlink r:id="rId10">
        <w:r>
          <w:rPr>
            <w:color w:val="0000FF"/>
            <w:sz w:val="22"/>
            <w:u w:val="single" w:color="0000FF"/>
          </w:rPr>
          <w:t>Guidance/Guidance/Manuals/Downloads/mc86c04.pdf</w:t>
        </w:r>
      </w:hyperlink>
    </w:p>
    <w:sectPr>
      <w:pgSz w:w="12240" w:h="15840"/>
      <w:pgMar w:header="720" w:footer="880" w:top="1860" w:bottom="1080" w:left="12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496" from="70.559998pt,741.960022pt" to="541.439998pt,741.960022pt" stroked="true" strokeweight=".72pt" strokecolor="#622423">
          <v:stroke dashstyle="solid"/>
          <w10:wrap type="none"/>
        </v:line>
      </w:pict>
    </w:r>
    <w:r>
      <w:rPr/>
      <w:pict>
        <v:line style="position:absolute;mso-position-horizontal-relative:page;mso-position-vertical-relative:page;z-index:-3472" from="70.559998pt,739.440002pt" to="541.439998pt,739.440002pt" stroked="true" strokeweight="2.88pt" strokecolor="#622423">
          <v:stroke dashstyle="solid"/>
          <w10:wrap type="none"/>
        </v:lin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935">
          <wp:simplePos x="0" y="0"/>
          <wp:positionH relativeFrom="page">
            <wp:posOffset>2838450</wp:posOffset>
          </wp:positionH>
          <wp:positionV relativeFrom="page">
            <wp:posOffset>457200</wp:posOffset>
          </wp:positionV>
          <wp:extent cx="2094367" cy="725423"/>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094367" cy="725423"/>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0" w:hanging="159"/>
      </w:pPr>
      <w:rPr>
        <w:rFonts w:hint="default" w:ascii="Calibri" w:hAnsi="Calibri" w:eastAsia="Calibri" w:cs="Calibri"/>
        <w:w w:val="100"/>
        <w:sz w:val="22"/>
        <w:szCs w:val="22"/>
      </w:rPr>
    </w:lvl>
    <w:lvl w:ilvl="1">
      <w:start w:val="0"/>
      <w:numFmt w:val="bullet"/>
      <w:lvlText w:val="•"/>
      <w:lvlJc w:val="left"/>
      <w:pPr>
        <w:ind w:left="1112" w:hanging="159"/>
      </w:pPr>
      <w:rPr>
        <w:rFonts w:hint="default"/>
      </w:rPr>
    </w:lvl>
    <w:lvl w:ilvl="2">
      <w:start w:val="0"/>
      <w:numFmt w:val="bullet"/>
      <w:lvlText w:val="•"/>
      <w:lvlJc w:val="left"/>
      <w:pPr>
        <w:ind w:left="2064" w:hanging="159"/>
      </w:pPr>
      <w:rPr>
        <w:rFonts w:hint="default"/>
      </w:rPr>
    </w:lvl>
    <w:lvl w:ilvl="3">
      <w:start w:val="0"/>
      <w:numFmt w:val="bullet"/>
      <w:lvlText w:val="•"/>
      <w:lvlJc w:val="left"/>
      <w:pPr>
        <w:ind w:left="3016" w:hanging="159"/>
      </w:pPr>
      <w:rPr>
        <w:rFonts w:hint="default"/>
      </w:rPr>
    </w:lvl>
    <w:lvl w:ilvl="4">
      <w:start w:val="0"/>
      <w:numFmt w:val="bullet"/>
      <w:lvlText w:val="•"/>
      <w:lvlJc w:val="left"/>
      <w:pPr>
        <w:ind w:left="3968" w:hanging="159"/>
      </w:pPr>
      <w:rPr>
        <w:rFonts w:hint="default"/>
      </w:rPr>
    </w:lvl>
    <w:lvl w:ilvl="5">
      <w:start w:val="0"/>
      <w:numFmt w:val="bullet"/>
      <w:lvlText w:val="•"/>
      <w:lvlJc w:val="left"/>
      <w:pPr>
        <w:ind w:left="4920" w:hanging="159"/>
      </w:pPr>
      <w:rPr>
        <w:rFonts w:hint="default"/>
      </w:rPr>
    </w:lvl>
    <w:lvl w:ilvl="6">
      <w:start w:val="0"/>
      <w:numFmt w:val="bullet"/>
      <w:lvlText w:val="•"/>
      <w:lvlJc w:val="left"/>
      <w:pPr>
        <w:ind w:left="5872" w:hanging="159"/>
      </w:pPr>
      <w:rPr>
        <w:rFonts w:hint="default"/>
      </w:rPr>
    </w:lvl>
    <w:lvl w:ilvl="7">
      <w:start w:val="0"/>
      <w:numFmt w:val="bullet"/>
      <w:lvlText w:val="•"/>
      <w:lvlJc w:val="left"/>
      <w:pPr>
        <w:ind w:left="6824" w:hanging="159"/>
      </w:pPr>
      <w:rPr>
        <w:rFonts w:hint="default"/>
      </w:rPr>
    </w:lvl>
    <w:lvl w:ilvl="8">
      <w:start w:val="0"/>
      <w:numFmt w:val="bullet"/>
      <w:lvlText w:val="•"/>
      <w:lvlJc w:val="left"/>
      <w:pPr>
        <w:ind w:left="7776" w:hanging="159"/>
      </w:pPr>
      <w:rPr>
        <w:rFonts w:hint="default"/>
      </w:rPr>
    </w:lvl>
  </w:abstractNum>
  <w:abstractNum w:abstractNumId="0">
    <w:multiLevelType w:val="hybridMultilevel"/>
    <w:lvl w:ilvl="0">
      <w:start w:val="1"/>
      <w:numFmt w:val="decimal"/>
      <w:lvlText w:val="%1"/>
      <w:lvlJc w:val="left"/>
      <w:pPr>
        <w:ind w:left="294" w:hanging="135"/>
        <w:jc w:val="left"/>
      </w:pPr>
      <w:rPr>
        <w:rFonts w:hint="default" w:ascii="Calibri" w:hAnsi="Calibri" w:eastAsia="Calibri" w:cs="Calibri"/>
        <w:w w:val="99"/>
        <w:position w:val="8"/>
        <w:sz w:val="16"/>
        <w:szCs w:val="16"/>
      </w:rPr>
    </w:lvl>
    <w:lvl w:ilvl="1">
      <w:start w:val="0"/>
      <w:numFmt w:val="bullet"/>
      <w:lvlText w:val="•"/>
      <w:lvlJc w:val="left"/>
      <w:pPr>
        <w:ind w:left="1238" w:hanging="135"/>
      </w:pPr>
      <w:rPr>
        <w:rFonts w:hint="default"/>
      </w:rPr>
    </w:lvl>
    <w:lvl w:ilvl="2">
      <w:start w:val="0"/>
      <w:numFmt w:val="bullet"/>
      <w:lvlText w:val="•"/>
      <w:lvlJc w:val="left"/>
      <w:pPr>
        <w:ind w:left="2176" w:hanging="135"/>
      </w:pPr>
      <w:rPr>
        <w:rFonts w:hint="default"/>
      </w:rPr>
    </w:lvl>
    <w:lvl w:ilvl="3">
      <w:start w:val="0"/>
      <w:numFmt w:val="bullet"/>
      <w:lvlText w:val="•"/>
      <w:lvlJc w:val="left"/>
      <w:pPr>
        <w:ind w:left="3114" w:hanging="135"/>
      </w:pPr>
      <w:rPr>
        <w:rFonts w:hint="default"/>
      </w:rPr>
    </w:lvl>
    <w:lvl w:ilvl="4">
      <w:start w:val="0"/>
      <w:numFmt w:val="bullet"/>
      <w:lvlText w:val="•"/>
      <w:lvlJc w:val="left"/>
      <w:pPr>
        <w:ind w:left="4052" w:hanging="135"/>
      </w:pPr>
      <w:rPr>
        <w:rFonts w:hint="default"/>
      </w:rPr>
    </w:lvl>
    <w:lvl w:ilvl="5">
      <w:start w:val="0"/>
      <w:numFmt w:val="bullet"/>
      <w:lvlText w:val="•"/>
      <w:lvlJc w:val="left"/>
      <w:pPr>
        <w:ind w:left="4990" w:hanging="135"/>
      </w:pPr>
      <w:rPr>
        <w:rFonts w:hint="default"/>
      </w:rPr>
    </w:lvl>
    <w:lvl w:ilvl="6">
      <w:start w:val="0"/>
      <w:numFmt w:val="bullet"/>
      <w:lvlText w:val="•"/>
      <w:lvlJc w:val="left"/>
      <w:pPr>
        <w:ind w:left="5928" w:hanging="135"/>
      </w:pPr>
      <w:rPr>
        <w:rFonts w:hint="default"/>
      </w:rPr>
    </w:lvl>
    <w:lvl w:ilvl="7">
      <w:start w:val="0"/>
      <w:numFmt w:val="bullet"/>
      <w:lvlText w:val="•"/>
      <w:lvlJc w:val="left"/>
      <w:pPr>
        <w:ind w:left="6866" w:hanging="135"/>
      </w:pPr>
      <w:rPr>
        <w:rFonts w:hint="default"/>
      </w:rPr>
    </w:lvl>
    <w:lvl w:ilvl="8">
      <w:start w:val="0"/>
      <w:numFmt w:val="bullet"/>
      <w:lvlText w:val="•"/>
      <w:lvlJc w:val="left"/>
      <w:pPr>
        <w:ind w:left="7804" w:hanging="13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ListParagraph" w:type="paragraph">
    <w:name w:val="List Paragraph"/>
    <w:basedOn w:val="Normal"/>
    <w:uiPriority w:val="1"/>
    <w:qFormat/>
    <w:pPr>
      <w:ind w:left="160" w:hanging="134"/>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regulations.gov/" TargetMode="External"/><Relationship Id="rId9" Type="http://schemas.openxmlformats.org/officeDocument/2006/relationships/image" Target="media/image3.jpeg"/><Relationship Id="rId10" Type="http://schemas.openxmlformats.org/officeDocument/2006/relationships/hyperlink" Target="https://www.cms.gov/Regulations-and-Guidance/Guidance/Manuals/Downloads/mc86c04.pdf"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A. Hoffman</dc:creator>
  <dcterms:created xsi:type="dcterms:W3CDTF">2018-06-12T23:14:29Z</dcterms:created>
  <dcterms:modified xsi:type="dcterms:W3CDTF">2018-06-12T23:14:29Z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2018-03-03T00:00:00Z</vt:filetime>
  </property>
  <property fmtid="{D5CDD505-2E9C-101B-9397-08002B2CF9AE}" pid="3" name="Creator">
    <vt:lpwstr>Acrobat PDFMaker 18 for Word</vt:lpwstr>
  </property>
  <property fmtid="{D5CDD505-2E9C-101B-9397-08002B2CF9AE}" pid="4" name="LastSaved">
    <vt:filetime>2018-06-13T00:00:00Z</vt:filetime>
  </property>
</Properties>
</file>