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A25" w:rsidRDefault="002E4A25">
      <w:pPr>
        <w:pStyle w:val="BodyText"/>
        <w:rPr>
          <w:rFonts w:ascii="Times New Roman"/>
          <w:sz w:val="20"/>
        </w:rPr>
      </w:pPr>
    </w:p>
    <w:p w:rsidR="002E4A25" w:rsidRDefault="002E4A25">
      <w:pPr>
        <w:pStyle w:val="BodyText"/>
        <w:spacing w:before="2"/>
        <w:rPr>
          <w:rFonts w:ascii="Times New Roman"/>
          <w:sz w:val="19"/>
        </w:rPr>
      </w:pPr>
    </w:p>
    <w:p w:rsidR="002E4A25" w:rsidRDefault="00D74ED8">
      <w:pPr>
        <w:spacing w:line="160" w:lineRule="exact"/>
        <w:ind w:left="119" w:right="6881"/>
        <w:rPr>
          <w:i/>
          <w:sz w:val="16"/>
        </w:rPr>
      </w:pPr>
      <w:r>
        <w:pict>
          <v:group id="_x0000_s1069" style="position:absolute;left:0;text-align:left;margin-left:473pt;margin-top:-22.65pt;width:46.95pt;height:46.95pt;z-index:251647488;mso-position-horizontal-relative:page" coordorigin="9460,-453" coordsize="939,939">
            <v:rect id="_x0000_s1071" style="position:absolute;left:9460;top:-453;width:939;height:939" fillcolor="#77787b" stroked="f"/>
            <v:shape id="_x0000_s1070" style="position:absolute;left:9582;top:263;width:698;height:112" coordorigin="9582,263" coordsize="698,112" o:spt="100" adj="0,,0" path="m10164,371r-3,l10163,372r1,-1xm10120,272r-61,l10065,277r,41l10064,371r39,l10103,367r-12,-2l10082,365r1,-34l10083,307r,-35l10120,272r,xm10120,272r-23,l10114,279r,29l10098,318r-11,l10097,332r9,11l10116,354r13,9l10141,370r5,1l10159,371r6,l10221,371r12,-1l10244,367r-81,l10149,361r-15,-14l10119,332r-10,-12l10122,316r12,-9l10134,292r-4,-13l10120,272xm10207,267r-43,1l10164,271r16,3l10183,277r,83l10178,367r66,l10245,366r,l10204,366r-5,-3l10199,273r3,l10204,272r39,l10233,269r-26,-2xm10243,272r-36,l10227,276r17,9l10255,300r4,21l10256,339r-8,14l10235,363r-17,3l10245,366r10,-5l10265,353r9,-9l10279,332r,-14l10273,293r-16,-16l10243,272xm10088,365r-6,l10091,365r-3,xm10091,267r-13,l10065,268r-13,l10052,272r2,l10059,272r61,l10119,271r-14,-3l10091,267xm9982,263r-23,4l9941,278r-13,18l9924,317r,3l9928,342r12,18l9959,371r23,4l10005,371r3,-1l9971,370r-11,-8l9953,351r-6,-9l9945,329r,-12l9946,300r6,-16l9964,273r17,-4l10008,269r-2,-2l9982,263xm10008,269r-13,l10005,276r7,11l10018,297r2,12l10020,320r-2,18l10013,354r-11,11l9984,370r24,l10024,360r12,-17l10041,320r,-1l10037,296r-13,-17l10008,269xm9739,267r-34,l9705,272r15,l9729,282r7,12l9753,322r-15,22l9731,353r-7,7l9715,365r-11,2l9704,371r46,l9750,368r-4,-2l9738,364r,-11l9753,333r4,-5l9779,328r-10,-16l9772,307r-7,l9739,267xm9779,328r-22,l9785,371r103,l9888,367r-4,l9805,367r-8,-11l9779,328xm9913,267r-81,l9832,271r15,2l9851,275r,91l9834,367r50,l9876,365r-8,l9868,321r17,l9893,318r5,l9898,313r-30,l9868,273r24,l9908,272r6,l9913,267xm9870,364r-2,1l9876,365r-6,-1xm9898,318r-5,l9894,338r4,l9898,318xm9898,312r-6,1l9898,313r,-1xm9814,267r-44,l9770,271r4,1l9781,272r,12l9769,301r-4,6l9772,307r4,-7l9780,294r7,-9l9794,278r8,-4l9814,271r,-4xm9914,272r-6,l9910,290r5,l9914,272xm9640,263r-23,4l9598,278r-12,18l9582,317r,3l9586,342r12,18l9617,371r23,4l9663,371r3,-2l9629,369r-11,-7l9610,351r-6,-9l9602,329r,-12l9604,300r6,-16l9621,273r18,-4l9666,269r-3,-2l9640,263xm9666,269r-14,l9663,276r7,11l9676,297r2,12l9678,320r-2,18l9670,354r-11,11l9642,369r24,l9681,360r13,-17l9698,320r,-1l9694,296r-12,-18l9666,269xe" stroked="f">
              <v:stroke joinstyle="round"/>
              <v:formulas/>
              <v:path arrowok="t" o:connecttype="segments"/>
            </v:shape>
            <w10:wrap anchorx="page"/>
          </v:group>
        </w:pict>
      </w:r>
      <w:r>
        <w:rPr>
          <w:i/>
          <w:color w:val="231F20"/>
          <w:sz w:val="16"/>
        </w:rPr>
        <w:t>Pain Medicine 2016; 17: 2036–2046 doi: 10.1093/pm/pnw245</w:t>
      </w:r>
    </w:p>
    <w:p w:rsidR="002E4A25" w:rsidRDefault="002E4A25">
      <w:pPr>
        <w:pStyle w:val="BodyText"/>
        <w:rPr>
          <w:i/>
          <w:sz w:val="28"/>
        </w:rPr>
      </w:pPr>
    </w:p>
    <w:p w:rsidR="002E4A25" w:rsidRDefault="00D74ED8">
      <w:pPr>
        <w:tabs>
          <w:tab w:val="left" w:pos="2130"/>
          <w:tab w:val="left" w:pos="4755"/>
          <w:tab w:val="left" w:pos="6366"/>
          <w:tab w:val="left" w:pos="6936"/>
        </w:tabs>
        <w:spacing w:before="49" w:line="242" w:lineRule="auto"/>
        <w:ind w:left="119" w:right="478"/>
        <w:rPr>
          <w:sz w:val="38"/>
        </w:rPr>
      </w:pPr>
      <w:r>
        <w:rPr>
          <w:color w:val="231F20"/>
          <w:sz w:val="38"/>
        </w:rPr>
        <w:t>OPIOIDS,</w:t>
      </w:r>
      <w:r>
        <w:rPr>
          <w:color w:val="231F20"/>
          <w:sz w:val="38"/>
        </w:rPr>
        <w:tab/>
      </w:r>
      <w:r>
        <w:rPr>
          <w:color w:val="231F20"/>
          <w:spacing w:val="-3"/>
          <w:sz w:val="38"/>
        </w:rPr>
        <w:t>SUBSTANCE</w:t>
      </w:r>
      <w:r>
        <w:rPr>
          <w:color w:val="231F20"/>
          <w:spacing w:val="-3"/>
          <w:sz w:val="38"/>
        </w:rPr>
        <w:tab/>
      </w:r>
      <w:r>
        <w:rPr>
          <w:color w:val="231F20"/>
          <w:sz w:val="38"/>
        </w:rPr>
        <w:t>ABUSE</w:t>
      </w:r>
      <w:r>
        <w:rPr>
          <w:color w:val="231F20"/>
          <w:sz w:val="38"/>
        </w:rPr>
        <w:tab/>
        <w:t>&amp;</w:t>
      </w:r>
      <w:r>
        <w:rPr>
          <w:color w:val="231F20"/>
          <w:sz w:val="38"/>
        </w:rPr>
        <w:tab/>
        <w:t>ADDICTIONS SECTION</w:t>
      </w:r>
    </w:p>
    <w:p w:rsidR="002E4A25" w:rsidRDefault="00D74ED8">
      <w:pPr>
        <w:pStyle w:val="BodyText"/>
        <w:spacing w:before="5"/>
        <w:rPr>
          <w:sz w:val="13"/>
        </w:rPr>
      </w:pPr>
      <w:r>
        <w:pict>
          <v:line id="_x0000_s1068" style="position:absolute;z-index:251646464;mso-wrap-distance-left:0;mso-wrap-distance-right:0;mso-position-horizontal-relative:page" from="60pt,9.95pt" to="520pt,9.95pt" strokecolor="#231f20" strokeweight=".18mm">
            <w10:wrap type="topAndBottom" anchorx="page"/>
          </v:line>
        </w:pict>
      </w:r>
    </w:p>
    <w:p w:rsidR="002E4A25" w:rsidRDefault="00D74ED8">
      <w:pPr>
        <w:spacing w:before="190"/>
        <w:ind w:left="119"/>
        <w:rPr>
          <w:rFonts w:ascii="Lucida Sans"/>
          <w:i/>
          <w:sz w:val="30"/>
        </w:rPr>
      </w:pPr>
      <w:r>
        <w:rPr>
          <w:rFonts w:ascii="Lucida Sans"/>
          <w:i/>
          <w:color w:val="231F20"/>
          <w:sz w:val="30"/>
        </w:rPr>
        <w:t>Original Research Articles</w:t>
      </w:r>
    </w:p>
    <w:p w:rsidR="002E4A25" w:rsidRDefault="00D74ED8">
      <w:pPr>
        <w:spacing w:before="144" w:line="440" w:lineRule="exact"/>
        <w:ind w:left="119" w:right="1907"/>
        <w:rPr>
          <w:sz w:val="40"/>
        </w:rPr>
      </w:pPr>
      <w:r>
        <w:rPr>
          <w:color w:val="231F20"/>
          <w:w w:val="110"/>
          <w:sz w:val="40"/>
        </w:rPr>
        <w:t>Durations of Opioid, Nonopioid Drug, and</w:t>
      </w:r>
      <w:r>
        <w:rPr>
          <w:color w:val="231F20"/>
          <w:spacing w:val="-32"/>
          <w:w w:val="110"/>
          <w:sz w:val="40"/>
        </w:rPr>
        <w:t xml:space="preserve"> </w:t>
      </w:r>
      <w:r>
        <w:rPr>
          <w:color w:val="231F20"/>
          <w:w w:val="110"/>
          <w:sz w:val="40"/>
        </w:rPr>
        <w:t>Behavioral</w:t>
      </w:r>
      <w:r>
        <w:rPr>
          <w:color w:val="231F20"/>
          <w:spacing w:val="-31"/>
          <w:w w:val="110"/>
          <w:sz w:val="40"/>
        </w:rPr>
        <w:t xml:space="preserve"> </w:t>
      </w:r>
      <w:r>
        <w:rPr>
          <w:color w:val="231F20"/>
          <w:w w:val="110"/>
          <w:sz w:val="40"/>
        </w:rPr>
        <w:t>Clinical</w:t>
      </w:r>
      <w:r>
        <w:rPr>
          <w:color w:val="231F20"/>
          <w:spacing w:val="-31"/>
          <w:w w:val="110"/>
          <w:sz w:val="40"/>
        </w:rPr>
        <w:t xml:space="preserve"> </w:t>
      </w:r>
      <w:r>
        <w:rPr>
          <w:color w:val="231F20"/>
          <w:spacing w:val="-6"/>
          <w:w w:val="110"/>
          <w:sz w:val="40"/>
        </w:rPr>
        <w:t>Trials</w:t>
      </w:r>
      <w:r>
        <w:rPr>
          <w:color w:val="231F20"/>
          <w:spacing w:val="-32"/>
          <w:w w:val="110"/>
          <w:sz w:val="40"/>
        </w:rPr>
        <w:t xml:space="preserve"> </w:t>
      </w:r>
      <w:r>
        <w:rPr>
          <w:color w:val="231F20"/>
          <w:w w:val="110"/>
          <w:sz w:val="40"/>
        </w:rPr>
        <w:t>for</w:t>
      </w:r>
      <w:r>
        <w:rPr>
          <w:color w:val="231F20"/>
          <w:spacing w:val="-32"/>
          <w:w w:val="110"/>
          <w:sz w:val="40"/>
        </w:rPr>
        <w:t xml:space="preserve"> </w:t>
      </w:r>
      <w:r>
        <w:rPr>
          <w:color w:val="231F20"/>
          <w:w w:val="110"/>
          <w:sz w:val="40"/>
        </w:rPr>
        <w:t>Chronic Pain:</w:t>
      </w:r>
      <w:r>
        <w:rPr>
          <w:color w:val="231F20"/>
          <w:spacing w:val="-72"/>
          <w:w w:val="110"/>
          <w:sz w:val="40"/>
        </w:rPr>
        <w:t xml:space="preserve"> </w:t>
      </w:r>
      <w:r>
        <w:rPr>
          <w:color w:val="231F20"/>
          <w:w w:val="110"/>
          <w:sz w:val="40"/>
        </w:rPr>
        <w:t>Adequate</w:t>
      </w:r>
      <w:r>
        <w:rPr>
          <w:color w:val="231F20"/>
          <w:spacing w:val="-72"/>
          <w:w w:val="110"/>
          <w:sz w:val="40"/>
        </w:rPr>
        <w:t xml:space="preserve"> </w:t>
      </w:r>
      <w:r>
        <w:rPr>
          <w:color w:val="231F20"/>
          <w:w w:val="110"/>
          <w:sz w:val="40"/>
        </w:rPr>
        <w:t>or</w:t>
      </w:r>
      <w:r>
        <w:rPr>
          <w:color w:val="231F20"/>
          <w:spacing w:val="-73"/>
          <w:w w:val="110"/>
          <w:sz w:val="40"/>
        </w:rPr>
        <w:t xml:space="preserve"> </w:t>
      </w:r>
      <w:r>
        <w:rPr>
          <w:color w:val="231F20"/>
          <w:w w:val="110"/>
          <w:sz w:val="40"/>
        </w:rPr>
        <w:t>Inadequate?</w:t>
      </w:r>
    </w:p>
    <w:p w:rsidR="002E4A25" w:rsidRDefault="002E4A25">
      <w:pPr>
        <w:pStyle w:val="BodyText"/>
        <w:rPr>
          <w:sz w:val="20"/>
        </w:rPr>
      </w:pPr>
    </w:p>
    <w:p w:rsidR="002E4A25" w:rsidRDefault="002E4A25">
      <w:pPr>
        <w:pStyle w:val="BodyText"/>
        <w:rPr>
          <w:sz w:val="20"/>
        </w:rPr>
      </w:pPr>
    </w:p>
    <w:p w:rsidR="002E4A25" w:rsidRDefault="002E4A25">
      <w:pPr>
        <w:rPr>
          <w:sz w:val="20"/>
        </w:rPr>
        <w:sectPr w:rsidR="002E4A25">
          <w:type w:val="continuous"/>
          <w:pgSz w:w="11880" w:h="15660"/>
          <w:pgMar w:top="320" w:right="1000" w:bottom="280" w:left="1080" w:header="720" w:footer="720" w:gutter="0"/>
          <w:cols w:space="720"/>
        </w:sectPr>
      </w:pPr>
    </w:p>
    <w:p w:rsidR="002E4A25" w:rsidRDefault="002E4A25">
      <w:pPr>
        <w:pStyle w:val="BodyText"/>
        <w:spacing w:before="8"/>
        <w:rPr>
          <w:sz w:val="20"/>
        </w:rPr>
      </w:pPr>
    </w:p>
    <w:p w:rsidR="002E4A25" w:rsidRDefault="00D74ED8">
      <w:pPr>
        <w:pStyle w:val="BodyText"/>
        <w:spacing w:line="213" w:lineRule="auto"/>
        <w:ind w:left="119"/>
        <w:rPr>
          <w:sz w:val="12"/>
        </w:rPr>
      </w:pPr>
      <w:r>
        <w:rPr>
          <w:color w:val="231F20"/>
          <w:spacing w:val="-5"/>
          <w:w w:val="105"/>
        </w:rPr>
        <w:t xml:space="preserve">Baraa </w:t>
      </w:r>
      <w:r>
        <w:rPr>
          <w:color w:val="231F20"/>
          <w:spacing w:val="-6"/>
          <w:w w:val="105"/>
        </w:rPr>
        <w:t xml:space="preserve">O. </w:t>
      </w:r>
      <w:r>
        <w:rPr>
          <w:color w:val="231F20"/>
          <w:spacing w:val="-7"/>
          <w:w w:val="105"/>
        </w:rPr>
        <w:t xml:space="preserve">Tayeb, </w:t>
      </w:r>
      <w:r>
        <w:rPr>
          <w:color w:val="231F20"/>
          <w:spacing w:val="-4"/>
          <w:w w:val="105"/>
        </w:rPr>
        <w:t>MD,*</w:t>
      </w:r>
      <w:r>
        <w:rPr>
          <w:color w:val="231F20"/>
          <w:spacing w:val="-4"/>
          <w:w w:val="105"/>
          <w:position w:val="8"/>
          <w:sz w:val="12"/>
        </w:rPr>
        <w:t xml:space="preserve">,†,‡,¶,kj </w:t>
      </w:r>
      <w:r>
        <w:rPr>
          <w:color w:val="231F20"/>
          <w:spacing w:val="-4"/>
          <w:w w:val="105"/>
        </w:rPr>
        <w:t xml:space="preserve">Ana </w:t>
      </w:r>
      <w:r>
        <w:rPr>
          <w:color w:val="231F20"/>
          <w:spacing w:val="-3"/>
          <w:w w:val="105"/>
        </w:rPr>
        <w:t xml:space="preserve">E. </w:t>
      </w:r>
      <w:r>
        <w:rPr>
          <w:color w:val="231F20"/>
          <w:spacing w:val="-6"/>
          <w:w w:val="105"/>
        </w:rPr>
        <w:t xml:space="preserve">Barreiro, </w:t>
      </w:r>
      <w:r>
        <w:rPr>
          <w:color w:val="231F20"/>
          <w:spacing w:val="-5"/>
          <w:w w:val="105"/>
        </w:rPr>
        <w:t>MPH,*</w:t>
      </w:r>
      <w:r>
        <w:rPr>
          <w:color w:val="231F20"/>
          <w:spacing w:val="-5"/>
          <w:w w:val="105"/>
          <w:position w:val="8"/>
          <w:sz w:val="12"/>
        </w:rPr>
        <w:t xml:space="preserve">,†,‡,¶ </w:t>
      </w:r>
      <w:r>
        <w:rPr>
          <w:color w:val="231F20"/>
          <w:w w:val="105"/>
        </w:rPr>
        <w:t>Ylisabyth S. Bradshaw, DO, MS,* Kenneth K. H. Chui, PhD,</w:t>
      </w:r>
      <w:r>
        <w:rPr>
          <w:color w:val="231F20"/>
          <w:w w:val="105"/>
          <w:position w:val="8"/>
          <w:sz w:val="12"/>
        </w:rPr>
        <w:t xml:space="preserve">k </w:t>
      </w:r>
      <w:r>
        <w:rPr>
          <w:color w:val="231F20"/>
          <w:w w:val="105"/>
        </w:rPr>
        <w:t>and Daniel B. Carr, AM, MD, DABPM, FFPMANZCA (Hon)*</w:t>
      </w:r>
      <w:r>
        <w:rPr>
          <w:color w:val="231F20"/>
          <w:w w:val="105"/>
          <w:position w:val="8"/>
          <w:sz w:val="12"/>
        </w:rPr>
        <w:t>,†,‡,¶</w:t>
      </w:r>
    </w:p>
    <w:p w:rsidR="002E4A25" w:rsidRDefault="002E4A25">
      <w:pPr>
        <w:pStyle w:val="BodyText"/>
        <w:spacing w:before="3"/>
        <w:rPr>
          <w:sz w:val="21"/>
        </w:rPr>
      </w:pPr>
    </w:p>
    <w:p w:rsidR="002E4A25" w:rsidRDefault="00D74ED8">
      <w:pPr>
        <w:pStyle w:val="BodyText"/>
        <w:spacing w:line="254" w:lineRule="auto"/>
        <w:ind w:left="119"/>
        <w:rPr>
          <w:rFonts w:ascii="Century Gothic" w:hAnsi="Century Gothic"/>
        </w:rPr>
      </w:pPr>
      <w:r>
        <w:rPr>
          <w:rFonts w:ascii="Century Gothic" w:hAnsi="Century Gothic"/>
          <w:color w:val="231F20"/>
          <w:position w:val="8"/>
          <w:sz w:val="12"/>
        </w:rPr>
        <w:t>*</w:t>
      </w:r>
      <w:r>
        <w:rPr>
          <w:rFonts w:ascii="Century Gothic" w:hAnsi="Century Gothic"/>
          <w:color w:val="231F20"/>
        </w:rPr>
        <w:t>Program on Pain Research, Education and Policy, Department of</w:t>
      </w:r>
      <w:r>
        <w:rPr>
          <w:rFonts w:ascii="Century Gothic" w:hAnsi="Century Gothic"/>
          <w:color w:val="231F20"/>
        </w:rPr>
        <w:t xml:space="preserve"> Public Health and Community </w:t>
      </w:r>
      <w:r>
        <w:rPr>
          <w:rFonts w:ascii="Century Gothic" w:hAnsi="Century Gothic"/>
          <w:color w:val="231F20"/>
          <w:w w:val="95"/>
        </w:rPr>
        <w:t xml:space="preserve">Medicine, Tufts University School of Medicine, Boston, Massachusetts; </w:t>
      </w:r>
      <w:r>
        <w:rPr>
          <w:rFonts w:ascii="Century Gothic" w:hAnsi="Century Gothic"/>
          <w:color w:val="231F20"/>
          <w:w w:val="95"/>
          <w:position w:val="8"/>
          <w:sz w:val="12"/>
        </w:rPr>
        <w:t>†</w:t>
      </w:r>
      <w:r>
        <w:rPr>
          <w:rFonts w:ascii="Century Gothic" w:hAnsi="Century Gothic"/>
          <w:color w:val="231F20"/>
          <w:w w:val="95"/>
        </w:rPr>
        <w:t>Departments of Anesthesiology;</w:t>
      </w:r>
    </w:p>
    <w:p w:rsidR="002E4A25" w:rsidRDefault="00D74ED8">
      <w:pPr>
        <w:pStyle w:val="BodyText"/>
        <w:spacing w:line="226" w:lineRule="exact"/>
        <w:ind w:left="119"/>
        <w:rPr>
          <w:rFonts w:ascii="Century Gothic" w:hAnsi="Century Gothic"/>
        </w:rPr>
      </w:pPr>
      <w:r>
        <w:rPr>
          <w:rFonts w:ascii="Century Gothic" w:hAnsi="Century Gothic"/>
          <w:color w:val="231F20"/>
          <w:w w:val="95"/>
          <w:position w:val="8"/>
          <w:sz w:val="12"/>
        </w:rPr>
        <w:t>‡</w:t>
      </w:r>
      <w:r>
        <w:rPr>
          <w:rFonts w:ascii="Century Gothic" w:hAnsi="Century Gothic"/>
          <w:color w:val="231F20"/>
          <w:w w:val="95"/>
        </w:rPr>
        <w:t>Medicine;</w:t>
      </w:r>
      <w:r>
        <w:rPr>
          <w:rFonts w:ascii="Century Gothic" w:hAnsi="Century Gothic"/>
          <w:color w:val="231F20"/>
          <w:spacing w:val="-24"/>
          <w:w w:val="95"/>
        </w:rPr>
        <w:t xml:space="preserve"> </w:t>
      </w:r>
      <w:r>
        <w:rPr>
          <w:rFonts w:ascii="Century Gothic" w:hAnsi="Century Gothic"/>
          <w:color w:val="231F20"/>
          <w:w w:val="95"/>
          <w:position w:val="8"/>
          <w:sz w:val="12"/>
        </w:rPr>
        <w:t>¶</w:t>
      </w:r>
      <w:r>
        <w:rPr>
          <w:rFonts w:ascii="Century Gothic" w:hAnsi="Century Gothic"/>
          <w:color w:val="231F20"/>
          <w:w w:val="95"/>
        </w:rPr>
        <w:t>Molecular</w:t>
      </w:r>
      <w:r>
        <w:rPr>
          <w:rFonts w:ascii="Century Gothic" w:hAnsi="Century Gothic"/>
          <w:color w:val="231F20"/>
          <w:spacing w:val="-25"/>
          <w:w w:val="95"/>
        </w:rPr>
        <w:t xml:space="preserve"> </w:t>
      </w:r>
      <w:r>
        <w:rPr>
          <w:rFonts w:ascii="Century Gothic" w:hAnsi="Century Gothic"/>
          <w:color w:val="231F20"/>
          <w:w w:val="95"/>
        </w:rPr>
        <w:t>Physiology</w:t>
      </w:r>
      <w:r>
        <w:rPr>
          <w:rFonts w:ascii="Century Gothic" w:hAnsi="Century Gothic"/>
          <w:color w:val="231F20"/>
          <w:spacing w:val="-24"/>
          <w:w w:val="95"/>
        </w:rPr>
        <w:t xml:space="preserve"> </w:t>
      </w:r>
      <w:r>
        <w:rPr>
          <w:rFonts w:ascii="Century Gothic" w:hAnsi="Century Gothic"/>
          <w:color w:val="231F20"/>
          <w:w w:val="95"/>
        </w:rPr>
        <w:t>and</w:t>
      </w:r>
      <w:r>
        <w:rPr>
          <w:rFonts w:ascii="Century Gothic" w:hAnsi="Century Gothic"/>
          <w:color w:val="231F20"/>
          <w:spacing w:val="-25"/>
          <w:w w:val="95"/>
        </w:rPr>
        <w:t xml:space="preserve"> </w:t>
      </w:r>
      <w:r>
        <w:rPr>
          <w:rFonts w:ascii="Century Gothic" w:hAnsi="Century Gothic"/>
          <w:color w:val="231F20"/>
          <w:w w:val="95"/>
        </w:rPr>
        <w:t>Pharmacology,</w:t>
      </w:r>
    </w:p>
    <w:p w:rsidR="002E4A25" w:rsidRDefault="00D74ED8">
      <w:pPr>
        <w:pStyle w:val="BodyText"/>
        <w:spacing w:before="8" w:line="256" w:lineRule="auto"/>
        <w:ind w:left="119" w:right="150"/>
        <w:rPr>
          <w:rFonts w:ascii="Century Gothic"/>
        </w:rPr>
      </w:pPr>
      <w:r>
        <w:rPr>
          <w:rFonts w:ascii="Century Gothic"/>
          <w:color w:val="231F20"/>
          <w:w w:val="95"/>
        </w:rPr>
        <w:t xml:space="preserve">and; </w:t>
      </w:r>
      <w:r>
        <w:rPr>
          <w:color w:val="231F20"/>
          <w:w w:val="95"/>
          <w:position w:val="8"/>
          <w:sz w:val="12"/>
        </w:rPr>
        <w:t>k</w:t>
      </w:r>
      <w:r>
        <w:rPr>
          <w:rFonts w:ascii="Century Gothic"/>
          <w:color w:val="231F20"/>
          <w:w w:val="95"/>
        </w:rPr>
        <w:t xml:space="preserve">Public Health and Community Medicine, Tufts </w:t>
      </w:r>
      <w:r>
        <w:rPr>
          <w:rFonts w:ascii="Century Gothic"/>
          <w:color w:val="231F20"/>
        </w:rPr>
        <w:t xml:space="preserve">University School of Medicine, Boston, </w:t>
      </w:r>
      <w:r>
        <w:rPr>
          <w:rFonts w:ascii="Century Gothic"/>
          <w:color w:val="231F20"/>
          <w:w w:val="95"/>
        </w:rPr>
        <w:t xml:space="preserve">Massachussetts, USA; </w:t>
      </w:r>
      <w:r>
        <w:rPr>
          <w:color w:val="231F20"/>
          <w:w w:val="95"/>
          <w:position w:val="8"/>
          <w:sz w:val="12"/>
        </w:rPr>
        <w:t>kj</w:t>
      </w:r>
      <w:r>
        <w:rPr>
          <w:rFonts w:ascii="Century Gothic"/>
          <w:color w:val="231F20"/>
          <w:w w:val="95"/>
        </w:rPr>
        <w:t xml:space="preserve">Department of Anesthesia, </w:t>
      </w:r>
      <w:r>
        <w:rPr>
          <w:rFonts w:ascii="Century Gothic"/>
          <w:color w:val="231F20"/>
        </w:rPr>
        <w:t xml:space="preserve">Faculty of Medicine, King Abdulaziz University, </w:t>
      </w:r>
      <w:r>
        <w:rPr>
          <w:rFonts w:ascii="Century Gothic"/>
          <w:color w:val="231F20"/>
          <w:w w:val="95"/>
        </w:rPr>
        <w:t>Jeddah, Saudi Arabia</w:t>
      </w:r>
    </w:p>
    <w:p w:rsidR="002E4A25" w:rsidRDefault="002E4A25">
      <w:pPr>
        <w:pStyle w:val="BodyText"/>
        <w:rPr>
          <w:rFonts w:ascii="Century Gothic"/>
          <w:sz w:val="15"/>
        </w:rPr>
      </w:pPr>
    </w:p>
    <w:p w:rsidR="002E4A25" w:rsidRDefault="00D74ED8">
      <w:pPr>
        <w:pStyle w:val="BodyText"/>
        <w:spacing w:before="1" w:line="261" w:lineRule="auto"/>
        <w:ind w:left="119" w:right="-2"/>
        <w:rPr>
          <w:rFonts w:ascii="Century Gothic" w:hAnsi="Century Gothic"/>
        </w:rPr>
      </w:pPr>
      <w:r>
        <w:rPr>
          <w:rFonts w:ascii="Century Gothic" w:hAnsi="Century Gothic"/>
          <w:color w:val="231F20"/>
        </w:rPr>
        <w:t>Funding</w:t>
      </w:r>
      <w:r>
        <w:rPr>
          <w:rFonts w:ascii="Century Gothic" w:hAnsi="Century Gothic"/>
          <w:color w:val="231F20"/>
          <w:spacing w:val="-22"/>
        </w:rPr>
        <w:t xml:space="preserve"> </w:t>
      </w:r>
      <w:r>
        <w:rPr>
          <w:rFonts w:ascii="Century Gothic" w:hAnsi="Century Gothic"/>
          <w:color w:val="231F20"/>
        </w:rPr>
        <w:t>sources:</w:t>
      </w:r>
      <w:r>
        <w:rPr>
          <w:rFonts w:ascii="Century Gothic" w:hAnsi="Century Gothic"/>
          <w:color w:val="231F20"/>
          <w:spacing w:val="-23"/>
        </w:rPr>
        <w:t xml:space="preserve"> </w:t>
      </w:r>
      <w:r>
        <w:rPr>
          <w:rFonts w:ascii="Century Gothic" w:hAnsi="Century Gothic"/>
          <w:color w:val="231F20"/>
        </w:rPr>
        <w:t>This</w:t>
      </w:r>
      <w:r>
        <w:rPr>
          <w:rFonts w:ascii="Century Gothic" w:hAnsi="Century Gothic"/>
          <w:color w:val="231F20"/>
          <w:spacing w:val="-22"/>
        </w:rPr>
        <w:t xml:space="preserve"> </w:t>
      </w:r>
      <w:r>
        <w:rPr>
          <w:rFonts w:ascii="Century Gothic" w:hAnsi="Century Gothic"/>
          <w:color w:val="231F20"/>
        </w:rPr>
        <w:t>work</w:t>
      </w:r>
      <w:r>
        <w:rPr>
          <w:rFonts w:ascii="Century Gothic" w:hAnsi="Century Gothic"/>
          <w:color w:val="231F20"/>
          <w:spacing w:val="-22"/>
        </w:rPr>
        <w:t xml:space="preserve"> </w:t>
      </w:r>
      <w:r>
        <w:rPr>
          <w:rFonts w:ascii="Century Gothic" w:hAnsi="Century Gothic"/>
          <w:color w:val="231F20"/>
        </w:rPr>
        <w:t>was</w:t>
      </w:r>
      <w:r>
        <w:rPr>
          <w:rFonts w:ascii="Century Gothic" w:hAnsi="Century Gothic"/>
          <w:color w:val="231F20"/>
          <w:spacing w:val="-22"/>
        </w:rPr>
        <w:t xml:space="preserve"> </w:t>
      </w:r>
      <w:r>
        <w:rPr>
          <w:rFonts w:ascii="Century Gothic" w:hAnsi="Century Gothic"/>
          <w:color w:val="231F20"/>
        </w:rPr>
        <w:t>supported</w:t>
      </w:r>
      <w:r>
        <w:rPr>
          <w:rFonts w:ascii="Century Gothic" w:hAnsi="Century Gothic"/>
          <w:color w:val="231F20"/>
          <w:spacing w:val="-23"/>
        </w:rPr>
        <w:t xml:space="preserve"> </w:t>
      </w:r>
      <w:r>
        <w:rPr>
          <w:rFonts w:ascii="Century Gothic" w:hAnsi="Century Gothic"/>
          <w:color w:val="231F20"/>
        </w:rPr>
        <w:t>by</w:t>
      </w:r>
      <w:r>
        <w:rPr>
          <w:rFonts w:ascii="Century Gothic" w:hAnsi="Century Gothic"/>
          <w:color w:val="231F20"/>
          <w:spacing w:val="-22"/>
        </w:rPr>
        <w:t xml:space="preserve"> </w:t>
      </w:r>
      <w:r>
        <w:rPr>
          <w:rFonts w:ascii="Century Gothic" w:hAnsi="Century Gothic"/>
          <w:color w:val="231F20"/>
        </w:rPr>
        <w:t>internal funding</w:t>
      </w:r>
      <w:r>
        <w:rPr>
          <w:rFonts w:ascii="Century Gothic" w:hAnsi="Century Gothic"/>
          <w:color w:val="231F20"/>
          <w:spacing w:val="-29"/>
        </w:rPr>
        <w:t xml:space="preserve"> </w:t>
      </w:r>
      <w:r>
        <w:rPr>
          <w:rFonts w:ascii="Century Gothic" w:hAnsi="Century Gothic"/>
          <w:color w:val="231F20"/>
        </w:rPr>
        <w:t>from</w:t>
      </w:r>
      <w:r>
        <w:rPr>
          <w:rFonts w:ascii="Century Gothic" w:hAnsi="Century Gothic"/>
          <w:color w:val="231F20"/>
          <w:spacing w:val="-29"/>
        </w:rPr>
        <w:t xml:space="preserve"> </w:t>
      </w:r>
      <w:r>
        <w:rPr>
          <w:rFonts w:ascii="Century Gothic" w:hAnsi="Century Gothic"/>
          <w:color w:val="231F20"/>
        </w:rPr>
        <w:t>Tufts’</w:t>
      </w:r>
      <w:r>
        <w:rPr>
          <w:rFonts w:ascii="Century Gothic" w:hAnsi="Century Gothic"/>
          <w:color w:val="231F20"/>
          <w:spacing w:val="-29"/>
        </w:rPr>
        <w:t xml:space="preserve"> </w:t>
      </w:r>
      <w:r>
        <w:rPr>
          <w:rFonts w:ascii="Century Gothic" w:hAnsi="Century Gothic"/>
          <w:color w:val="231F20"/>
        </w:rPr>
        <w:t>Department</w:t>
      </w:r>
      <w:r>
        <w:rPr>
          <w:rFonts w:ascii="Century Gothic" w:hAnsi="Century Gothic"/>
          <w:color w:val="231F20"/>
          <w:spacing w:val="-29"/>
        </w:rPr>
        <w:t xml:space="preserve"> </w:t>
      </w:r>
      <w:r>
        <w:rPr>
          <w:rFonts w:ascii="Century Gothic" w:hAnsi="Century Gothic"/>
          <w:color w:val="231F20"/>
        </w:rPr>
        <w:t>of</w:t>
      </w:r>
      <w:r>
        <w:rPr>
          <w:rFonts w:ascii="Century Gothic" w:hAnsi="Century Gothic"/>
          <w:color w:val="231F20"/>
          <w:spacing w:val="-29"/>
        </w:rPr>
        <w:t xml:space="preserve"> </w:t>
      </w:r>
      <w:r>
        <w:rPr>
          <w:rFonts w:ascii="Century Gothic" w:hAnsi="Century Gothic"/>
          <w:color w:val="231F20"/>
        </w:rPr>
        <w:t>Public</w:t>
      </w:r>
      <w:r>
        <w:rPr>
          <w:rFonts w:ascii="Century Gothic" w:hAnsi="Century Gothic"/>
          <w:color w:val="231F20"/>
          <w:spacing w:val="-29"/>
        </w:rPr>
        <w:t xml:space="preserve"> </w:t>
      </w:r>
      <w:r>
        <w:rPr>
          <w:rFonts w:ascii="Century Gothic" w:hAnsi="Century Gothic"/>
          <w:color w:val="231F20"/>
        </w:rPr>
        <w:t>Health</w:t>
      </w:r>
      <w:r>
        <w:rPr>
          <w:rFonts w:ascii="Century Gothic" w:hAnsi="Century Gothic"/>
          <w:color w:val="231F20"/>
          <w:spacing w:val="-29"/>
        </w:rPr>
        <w:t xml:space="preserve"> </w:t>
      </w:r>
      <w:r>
        <w:rPr>
          <w:rFonts w:ascii="Century Gothic" w:hAnsi="Century Gothic"/>
          <w:color w:val="231F20"/>
        </w:rPr>
        <w:t xml:space="preserve">and </w:t>
      </w:r>
      <w:r>
        <w:rPr>
          <w:rFonts w:ascii="Century Gothic" w:hAnsi="Century Gothic"/>
          <w:color w:val="231F20"/>
          <w:w w:val="90"/>
        </w:rPr>
        <w:t>Community</w:t>
      </w:r>
      <w:r>
        <w:rPr>
          <w:rFonts w:ascii="Century Gothic" w:hAnsi="Century Gothic"/>
          <w:color w:val="231F20"/>
          <w:spacing w:val="12"/>
          <w:w w:val="90"/>
        </w:rPr>
        <w:t xml:space="preserve"> </w:t>
      </w:r>
      <w:r>
        <w:rPr>
          <w:rFonts w:ascii="Century Gothic" w:hAnsi="Century Gothic"/>
          <w:color w:val="231F20"/>
          <w:w w:val="90"/>
        </w:rPr>
        <w:t>Medicine.</w:t>
      </w:r>
    </w:p>
    <w:p w:rsidR="002E4A25" w:rsidRDefault="00D74ED8">
      <w:pPr>
        <w:pStyle w:val="BodyText"/>
        <w:spacing w:before="100" w:line="261" w:lineRule="auto"/>
        <w:ind w:left="119"/>
        <w:rPr>
          <w:rFonts w:ascii="Century Gothic" w:hAnsi="Century Gothic"/>
        </w:rPr>
      </w:pPr>
      <w:r>
        <w:rPr>
          <w:rFonts w:ascii="Century Gothic" w:hAnsi="Century Gothic"/>
          <w:color w:val="231F20"/>
          <w:spacing w:val="-4"/>
        </w:rPr>
        <w:t xml:space="preserve">Disclosure </w:t>
      </w:r>
      <w:r>
        <w:rPr>
          <w:rFonts w:ascii="Century Gothic" w:hAnsi="Century Gothic"/>
          <w:color w:val="231F20"/>
          <w:spacing w:val="-3"/>
        </w:rPr>
        <w:t xml:space="preserve">and </w:t>
      </w:r>
      <w:r>
        <w:rPr>
          <w:rFonts w:ascii="Century Gothic" w:hAnsi="Century Gothic"/>
          <w:color w:val="231F20"/>
          <w:spacing w:val="-4"/>
        </w:rPr>
        <w:t xml:space="preserve">conflicts </w:t>
      </w:r>
      <w:r>
        <w:rPr>
          <w:rFonts w:ascii="Century Gothic" w:hAnsi="Century Gothic"/>
          <w:color w:val="231F20"/>
        </w:rPr>
        <w:t xml:space="preserve">of </w:t>
      </w:r>
      <w:r>
        <w:rPr>
          <w:rFonts w:ascii="Century Gothic" w:hAnsi="Century Gothic"/>
          <w:color w:val="231F20"/>
          <w:spacing w:val="-4"/>
        </w:rPr>
        <w:t xml:space="preserve">interest: </w:t>
      </w:r>
      <w:r>
        <w:rPr>
          <w:rFonts w:ascii="Century Gothic" w:hAnsi="Century Gothic"/>
          <w:color w:val="231F20"/>
          <w:spacing w:val="-3"/>
        </w:rPr>
        <w:t xml:space="preserve">Dr. </w:t>
      </w:r>
      <w:r>
        <w:rPr>
          <w:rFonts w:ascii="Century Gothic" w:hAnsi="Century Gothic"/>
          <w:color w:val="231F20"/>
          <w:spacing w:val="-4"/>
        </w:rPr>
        <w:t xml:space="preserve">Carr’s </w:t>
      </w:r>
      <w:r>
        <w:rPr>
          <w:rFonts w:ascii="Century Gothic" w:hAnsi="Century Gothic"/>
          <w:color w:val="231F20"/>
          <w:spacing w:val="-3"/>
        </w:rPr>
        <w:t>spouse was</w:t>
      </w:r>
      <w:r>
        <w:rPr>
          <w:rFonts w:ascii="Century Gothic" w:hAnsi="Century Gothic"/>
          <w:color w:val="231F20"/>
          <w:spacing w:val="-30"/>
        </w:rPr>
        <w:t xml:space="preserve"> </w:t>
      </w:r>
      <w:r>
        <w:rPr>
          <w:rFonts w:ascii="Century Gothic" w:hAnsi="Century Gothic"/>
          <w:color w:val="231F20"/>
          <w:spacing w:val="-4"/>
        </w:rPr>
        <w:t>Chief</w:t>
      </w:r>
      <w:r>
        <w:rPr>
          <w:rFonts w:ascii="Century Gothic" w:hAnsi="Century Gothic"/>
          <w:color w:val="231F20"/>
          <w:spacing w:val="-30"/>
        </w:rPr>
        <w:t xml:space="preserve"> </w:t>
      </w:r>
      <w:r>
        <w:rPr>
          <w:rFonts w:ascii="Century Gothic" w:hAnsi="Century Gothic"/>
          <w:color w:val="231F20"/>
          <w:spacing w:val="-4"/>
        </w:rPr>
        <w:t>Medical</w:t>
      </w:r>
      <w:r>
        <w:rPr>
          <w:rFonts w:ascii="Century Gothic" w:hAnsi="Century Gothic"/>
          <w:color w:val="231F20"/>
          <w:spacing w:val="-30"/>
        </w:rPr>
        <w:t xml:space="preserve"> </w:t>
      </w:r>
      <w:r>
        <w:rPr>
          <w:rFonts w:ascii="Century Gothic" w:hAnsi="Century Gothic"/>
          <w:color w:val="231F20"/>
          <w:spacing w:val="-4"/>
        </w:rPr>
        <w:t>Officer</w:t>
      </w:r>
      <w:r>
        <w:rPr>
          <w:rFonts w:ascii="Century Gothic" w:hAnsi="Century Gothic"/>
          <w:color w:val="231F20"/>
          <w:spacing w:val="-29"/>
        </w:rPr>
        <w:t xml:space="preserve"> </w:t>
      </w:r>
      <w:r>
        <w:rPr>
          <w:rFonts w:ascii="Century Gothic" w:hAnsi="Century Gothic"/>
          <w:color w:val="231F20"/>
          <w:spacing w:val="-3"/>
        </w:rPr>
        <w:t>of</w:t>
      </w:r>
      <w:r>
        <w:rPr>
          <w:rFonts w:ascii="Century Gothic" w:hAnsi="Century Gothic"/>
          <w:color w:val="231F20"/>
          <w:spacing w:val="-30"/>
        </w:rPr>
        <w:t xml:space="preserve"> </w:t>
      </w:r>
      <w:r>
        <w:rPr>
          <w:rFonts w:ascii="Century Gothic" w:hAnsi="Century Gothic"/>
          <w:color w:val="231F20"/>
          <w:spacing w:val="-4"/>
        </w:rPr>
        <w:t>Steward</w:t>
      </w:r>
      <w:r>
        <w:rPr>
          <w:rFonts w:ascii="Century Gothic" w:hAnsi="Century Gothic"/>
          <w:color w:val="231F20"/>
          <w:spacing w:val="-30"/>
        </w:rPr>
        <w:t xml:space="preserve"> </w:t>
      </w:r>
      <w:r>
        <w:rPr>
          <w:rFonts w:ascii="Century Gothic" w:hAnsi="Century Gothic"/>
          <w:color w:val="231F20"/>
          <w:spacing w:val="-4"/>
        </w:rPr>
        <w:t>Health</w:t>
      </w:r>
      <w:r>
        <w:rPr>
          <w:rFonts w:ascii="Century Gothic" w:hAnsi="Century Gothic"/>
          <w:color w:val="231F20"/>
          <w:spacing w:val="-29"/>
        </w:rPr>
        <w:t xml:space="preserve"> </w:t>
      </w:r>
      <w:r>
        <w:rPr>
          <w:rFonts w:ascii="Century Gothic" w:hAnsi="Century Gothic"/>
          <w:color w:val="231F20"/>
          <w:spacing w:val="-4"/>
        </w:rPr>
        <w:t>Care</w:t>
      </w:r>
      <w:r>
        <w:rPr>
          <w:rFonts w:ascii="Century Gothic" w:hAnsi="Century Gothic"/>
          <w:color w:val="231F20"/>
          <w:spacing w:val="-29"/>
        </w:rPr>
        <w:t xml:space="preserve"> </w:t>
      </w:r>
      <w:r>
        <w:rPr>
          <w:rFonts w:ascii="Century Gothic" w:hAnsi="Century Gothic"/>
          <w:color w:val="231F20"/>
          <w:spacing w:val="-5"/>
        </w:rPr>
        <w:t xml:space="preserve">dur- </w:t>
      </w:r>
      <w:r>
        <w:rPr>
          <w:rFonts w:ascii="Century Gothic" w:hAnsi="Century Gothic"/>
          <w:color w:val="231F20"/>
          <w:spacing w:val="-3"/>
        </w:rPr>
        <w:t>ing</w:t>
      </w:r>
      <w:r>
        <w:rPr>
          <w:rFonts w:ascii="Century Gothic" w:hAnsi="Century Gothic"/>
          <w:color w:val="231F20"/>
          <w:spacing w:val="-27"/>
        </w:rPr>
        <w:t xml:space="preserve"> </w:t>
      </w:r>
      <w:r>
        <w:rPr>
          <w:rFonts w:ascii="Century Gothic" w:hAnsi="Century Gothic"/>
          <w:color w:val="231F20"/>
          <w:spacing w:val="-4"/>
        </w:rPr>
        <w:t>preparation</w:t>
      </w:r>
      <w:r>
        <w:rPr>
          <w:rFonts w:ascii="Century Gothic" w:hAnsi="Century Gothic"/>
          <w:color w:val="231F20"/>
          <w:spacing w:val="-27"/>
        </w:rPr>
        <w:t xml:space="preserve"> </w:t>
      </w:r>
      <w:r>
        <w:rPr>
          <w:rFonts w:ascii="Century Gothic" w:hAnsi="Century Gothic"/>
          <w:color w:val="231F20"/>
        </w:rPr>
        <w:t>of</w:t>
      </w:r>
      <w:r>
        <w:rPr>
          <w:rFonts w:ascii="Century Gothic" w:hAnsi="Century Gothic"/>
          <w:color w:val="231F20"/>
          <w:spacing w:val="-27"/>
        </w:rPr>
        <w:t xml:space="preserve"> </w:t>
      </w:r>
      <w:r>
        <w:rPr>
          <w:rFonts w:ascii="Century Gothic" w:hAnsi="Century Gothic"/>
          <w:color w:val="231F20"/>
          <w:spacing w:val="-4"/>
        </w:rPr>
        <w:t>this</w:t>
      </w:r>
      <w:r>
        <w:rPr>
          <w:rFonts w:ascii="Century Gothic" w:hAnsi="Century Gothic"/>
          <w:color w:val="231F20"/>
          <w:spacing w:val="-27"/>
        </w:rPr>
        <w:t xml:space="preserve"> </w:t>
      </w:r>
      <w:r>
        <w:rPr>
          <w:rFonts w:ascii="Century Gothic" w:hAnsi="Century Gothic"/>
          <w:color w:val="231F20"/>
          <w:spacing w:val="-4"/>
        </w:rPr>
        <w:t>manuscript</w:t>
      </w:r>
      <w:r>
        <w:rPr>
          <w:rFonts w:ascii="Century Gothic" w:hAnsi="Century Gothic"/>
          <w:color w:val="231F20"/>
          <w:spacing w:val="-27"/>
        </w:rPr>
        <w:t xml:space="preserve"> </w:t>
      </w:r>
      <w:r>
        <w:rPr>
          <w:rFonts w:ascii="Century Gothic" w:hAnsi="Century Gothic"/>
          <w:color w:val="231F20"/>
          <w:spacing w:val="-4"/>
        </w:rPr>
        <w:t>(until</w:t>
      </w:r>
      <w:r>
        <w:rPr>
          <w:rFonts w:ascii="Century Gothic" w:hAnsi="Century Gothic"/>
          <w:color w:val="231F20"/>
          <w:spacing w:val="-27"/>
        </w:rPr>
        <w:t xml:space="preserve"> </w:t>
      </w:r>
      <w:r>
        <w:rPr>
          <w:rFonts w:ascii="Century Gothic" w:hAnsi="Century Gothic"/>
          <w:color w:val="231F20"/>
          <w:spacing w:val="-3"/>
        </w:rPr>
        <w:t>July</w:t>
      </w:r>
      <w:r>
        <w:rPr>
          <w:rFonts w:ascii="Century Gothic" w:hAnsi="Century Gothic"/>
          <w:color w:val="231F20"/>
          <w:spacing w:val="-27"/>
        </w:rPr>
        <w:t xml:space="preserve"> </w:t>
      </w:r>
      <w:r>
        <w:rPr>
          <w:rFonts w:ascii="Century Gothic" w:hAnsi="Century Gothic"/>
          <w:color w:val="231F20"/>
          <w:spacing w:val="-3"/>
        </w:rPr>
        <w:t>1,</w:t>
      </w:r>
      <w:r>
        <w:rPr>
          <w:rFonts w:ascii="Century Gothic" w:hAnsi="Century Gothic"/>
          <w:color w:val="231F20"/>
          <w:spacing w:val="-27"/>
        </w:rPr>
        <w:t xml:space="preserve"> </w:t>
      </w:r>
      <w:r>
        <w:rPr>
          <w:rFonts w:ascii="Century Gothic" w:hAnsi="Century Gothic"/>
          <w:color w:val="231F20"/>
          <w:spacing w:val="-5"/>
        </w:rPr>
        <w:t>2016).</w:t>
      </w:r>
    </w:p>
    <w:p w:rsidR="002E4A25" w:rsidRDefault="00D74ED8">
      <w:pPr>
        <w:pStyle w:val="BodyText"/>
        <w:spacing w:before="100" w:line="261" w:lineRule="auto"/>
        <w:ind w:left="119" w:right="-1"/>
        <w:rPr>
          <w:rFonts w:ascii="Century Gothic" w:hAnsi="Century Gothic"/>
        </w:rPr>
      </w:pPr>
      <w:r>
        <w:rPr>
          <w:rFonts w:ascii="Century Gothic" w:hAnsi="Century Gothic"/>
          <w:color w:val="231F20"/>
          <w:spacing w:val="-3"/>
          <w:w w:val="95"/>
        </w:rPr>
        <w:t>Dr.</w:t>
      </w:r>
      <w:r>
        <w:rPr>
          <w:rFonts w:ascii="Century Gothic" w:hAnsi="Century Gothic"/>
          <w:color w:val="231F20"/>
          <w:spacing w:val="-34"/>
          <w:w w:val="95"/>
        </w:rPr>
        <w:t xml:space="preserve"> </w:t>
      </w:r>
      <w:r>
        <w:rPr>
          <w:rFonts w:ascii="Century Gothic" w:hAnsi="Century Gothic"/>
          <w:color w:val="231F20"/>
          <w:spacing w:val="-3"/>
          <w:w w:val="95"/>
        </w:rPr>
        <w:t>Tayeb</w:t>
      </w:r>
      <w:r>
        <w:rPr>
          <w:rFonts w:ascii="Century Gothic" w:hAnsi="Century Gothic"/>
          <w:color w:val="231F20"/>
          <w:spacing w:val="-34"/>
          <w:w w:val="95"/>
        </w:rPr>
        <w:t xml:space="preserve"> </w:t>
      </w:r>
      <w:r>
        <w:rPr>
          <w:rFonts w:ascii="Century Gothic" w:hAnsi="Century Gothic"/>
          <w:color w:val="231F20"/>
          <w:spacing w:val="-3"/>
          <w:w w:val="95"/>
        </w:rPr>
        <w:t>and</w:t>
      </w:r>
      <w:r>
        <w:rPr>
          <w:rFonts w:ascii="Century Gothic" w:hAnsi="Century Gothic"/>
          <w:color w:val="231F20"/>
          <w:spacing w:val="-34"/>
          <w:w w:val="95"/>
        </w:rPr>
        <w:t xml:space="preserve"> </w:t>
      </w:r>
      <w:r>
        <w:rPr>
          <w:rFonts w:ascii="Century Gothic" w:hAnsi="Century Gothic"/>
          <w:color w:val="231F20"/>
          <w:spacing w:val="-3"/>
          <w:w w:val="95"/>
        </w:rPr>
        <w:t>Ms.</w:t>
      </w:r>
      <w:r>
        <w:rPr>
          <w:rFonts w:ascii="Century Gothic" w:hAnsi="Century Gothic"/>
          <w:color w:val="231F20"/>
          <w:spacing w:val="-34"/>
          <w:w w:val="95"/>
        </w:rPr>
        <w:t xml:space="preserve"> </w:t>
      </w:r>
      <w:r>
        <w:rPr>
          <w:rFonts w:ascii="Century Gothic" w:hAnsi="Century Gothic"/>
          <w:color w:val="231F20"/>
          <w:spacing w:val="-4"/>
          <w:w w:val="95"/>
        </w:rPr>
        <w:t>Barreiro</w:t>
      </w:r>
      <w:r>
        <w:rPr>
          <w:rFonts w:ascii="Century Gothic" w:hAnsi="Century Gothic"/>
          <w:color w:val="231F20"/>
          <w:spacing w:val="-34"/>
          <w:w w:val="95"/>
        </w:rPr>
        <w:t xml:space="preserve"> </w:t>
      </w:r>
      <w:r>
        <w:rPr>
          <w:rFonts w:ascii="Century Gothic" w:hAnsi="Century Gothic"/>
          <w:color w:val="231F20"/>
          <w:spacing w:val="-4"/>
          <w:w w:val="95"/>
        </w:rPr>
        <w:t>contributed</w:t>
      </w:r>
      <w:r>
        <w:rPr>
          <w:rFonts w:ascii="Century Gothic" w:hAnsi="Century Gothic"/>
          <w:color w:val="231F20"/>
          <w:spacing w:val="-34"/>
          <w:w w:val="95"/>
        </w:rPr>
        <w:t xml:space="preserve"> </w:t>
      </w:r>
      <w:r>
        <w:rPr>
          <w:rFonts w:ascii="Century Gothic" w:hAnsi="Century Gothic"/>
          <w:color w:val="231F20"/>
          <w:spacing w:val="-4"/>
          <w:w w:val="95"/>
        </w:rPr>
        <w:t>equally</w:t>
      </w:r>
      <w:r>
        <w:rPr>
          <w:rFonts w:ascii="Century Gothic" w:hAnsi="Century Gothic"/>
          <w:color w:val="231F20"/>
          <w:spacing w:val="-34"/>
          <w:w w:val="95"/>
        </w:rPr>
        <w:t xml:space="preserve"> </w:t>
      </w:r>
      <w:r>
        <w:rPr>
          <w:rFonts w:ascii="Century Gothic" w:hAnsi="Century Gothic"/>
          <w:color w:val="231F20"/>
          <w:w w:val="95"/>
        </w:rPr>
        <w:t>to</w:t>
      </w:r>
      <w:r>
        <w:rPr>
          <w:rFonts w:ascii="Century Gothic" w:hAnsi="Century Gothic"/>
          <w:color w:val="231F20"/>
          <w:spacing w:val="-34"/>
          <w:w w:val="95"/>
        </w:rPr>
        <w:t xml:space="preserve"> </w:t>
      </w:r>
      <w:r>
        <w:rPr>
          <w:rFonts w:ascii="Century Gothic" w:hAnsi="Century Gothic"/>
          <w:color w:val="231F20"/>
          <w:spacing w:val="-3"/>
          <w:w w:val="95"/>
        </w:rPr>
        <w:t>the</w:t>
      </w:r>
      <w:r>
        <w:rPr>
          <w:rFonts w:ascii="Century Gothic" w:hAnsi="Century Gothic"/>
          <w:color w:val="231F20"/>
          <w:spacing w:val="-34"/>
          <w:w w:val="95"/>
        </w:rPr>
        <w:t xml:space="preserve"> </w:t>
      </w:r>
      <w:r>
        <w:rPr>
          <w:rFonts w:ascii="Century Gothic" w:hAnsi="Century Gothic"/>
          <w:color w:val="231F20"/>
          <w:spacing w:val="-3"/>
          <w:w w:val="95"/>
        </w:rPr>
        <w:t xml:space="preserve">prep- </w:t>
      </w:r>
      <w:r>
        <w:rPr>
          <w:rFonts w:ascii="Century Gothic" w:hAnsi="Century Gothic"/>
          <w:color w:val="231F20"/>
          <w:spacing w:val="-4"/>
          <w:w w:val="90"/>
        </w:rPr>
        <w:t xml:space="preserve">aration </w:t>
      </w:r>
      <w:r>
        <w:rPr>
          <w:rFonts w:ascii="Century Gothic" w:hAnsi="Century Gothic"/>
          <w:color w:val="231F20"/>
          <w:spacing w:val="-3"/>
          <w:w w:val="90"/>
        </w:rPr>
        <w:t xml:space="preserve">of the </w:t>
      </w:r>
      <w:r>
        <w:rPr>
          <w:rFonts w:ascii="Century Gothic" w:hAnsi="Century Gothic"/>
          <w:color w:val="231F20"/>
          <w:spacing w:val="-4"/>
          <w:w w:val="90"/>
        </w:rPr>
        <w:t xml:space="preserve">manuscript </w:t>
      </w:r>
      <w:r>
        <w:rPr>
          <w:rFonts w:ascii="Century Gothic" w:hAnsi="Century Gothic"/>
          <w:color w:val="231F20"/>
          <w:spacing w:val="-3"/>
          <w:w w:val="90"/>
        </w:rPr>
        <w:t xml:space="preserve">and </w:t>
      </w:r>
      <w:r>
        <w:rPr>
          <w:rFonts w:ascii="Century Gothic" w:hAnsi="Century Gothic"/>
          <w:color w:val="231F20"/>
          <w:spacing w:val="-4"/>
          <w:w w:val="90"/>
        </w:rPr>
        <w:t xml:space="preserve">served </w:t>
      </w:r>
      <w:r>
        <w:rPr>
          <w:rFonts w:ascii="Century Gothic" w:hAnsi="Century Gothic"/>
          <w:color w:val="231F20"/>
          <w:w w:val="90"/>
        </w:rPr>
        <w:t>asco–first</w:t>
      </w:r>
      <w:r>
        <w:rPr>
          <w:rFonts w:ascii="Century Gothic" w:hAnsi="Century Gothic"/>
          <w:color w:val="231F20"/>
          <w:spacing w:val="-16"/>
          <w:w w:val="90"/>
        </w:rPr>
        <w:t xml:space="preserve"> </w:t>
      </w:r>
      <w:r>
        <w:rPr>
          <w:rFonts w:ascii="Century Gothic" w:hAnsi="Century Gothic"/>
          <w:color w:val="231F20"/>
          <w:spacing w:val="-5"/>
          <w:w w:val="90"/>
        </w:rPr>
        <w:t>authors.</w:t>
      </w:r>
    </w:p>
    <w:p w:rsidR="002E4A25" w:rsidRDefault="00D74ED8">
      <w:pPr>
        <w:pStyle w:val="BodyText"/>
        <w:spacing w:line="261" w:lineRule="auto"/>
        <w:ind w:left="119" w:right="54"/>
        <w:rPr>
          <w:rFonts w:ascii="Century Gothic"/>
        </w:rPr>
      </w:pPr>
      <w:r>
        <w:rPr>
          <w:i/>
          <w:color w:val="231F20"/>
        </w:rPr>
        <w:t xml:space="preserve">Correspondence to: </w:t>
      </w:r>
      <w:r>
        <w:rPr>
          <w:rFonts w:ascii="Century Gothic"/>
          <w:color w:val="231F20"/>
        </w:rPr>
        <w:t>Daniel B. Carr, MD, Program on Pain Research, Education and Policy, 136 Harrison Avenue, Boston, MA 02111, USA. Tel: 617-636-3895;</w:t>
      </w:r>
    </w:p>
    <w:p w:rsidR="002E4A25" w:rsidRDefault="00D74ED8">
      <w:pPr>
        <w:pStyle w:val="BodyText"/>
        <w:spacing w:line="220" w:lineRule="exact"/>
        <w:ind w:left="119"/>
        <w:rPr>
          <w:rFonts w:ascii="Century Gothic"/>
        </w:rPr>
      </w:pPr>
      <w:r>
        <w:rPr>
          <w:rFonts w:ascii="Century Gothic"/>
          <w:color w:val="231F20"/>
          <w:w w:val="95"/>
        </w:rPr>
        <w:t xml:space="preserve">Fax: 617-636-4017; E-mail:  </w:t>
      </w:r>
      <w:hyperlink r:id="rId7">
        <w:r>
          <w:rPr>
            <w:rFonts w:ascii="Century Gothic"/>
            <w:color w:val="231F20"/>
            <w:w w:val="95"/>
          </w:rPr>
          <w:t>daniel.carr@tufts.edu.</w:t>
        </w:r>
      </w:hyperlink>
    </w:p>
    <w:p w:rsidR="002E4A25" w:rsidRDefault="002E4A25">
      <w:pPr>
        <w:pStyle w:val="BodyText"/>
        <w:rPr>
          <w:rFonts w:ascii="Century Gothic"/>
        </w:rPr>
      </w:pPr>
    </w:p>
    <w:p w:rsidR="002E4A25" w:rsidRDefault="00D74ED8">
      <w:pPr>
        <w:pStyle w:val="BodyText"/>
        <w:spacing w:before="111"/>
        <w:ind w:left="119"/>
      </w:pPr>
      <w:r>
        <w:rPr>
          <w:color w:val="231F20"/>
          <w:w w:val="110"/>
        </w:rPr>
        <w:t>Abstract</w:t>
      </w:r>
    </w:p>
    <w:p w:rsidR="002E4A25" w:rsidRDefault="002E4A25">
      <w:pPr>
        <w:pStyle w:val="BodyText"/>
        <w:spacing w:before="10"/>
        <w:rPr>
          <w:sz w:val="21"/>
        </w:rPr>
      </w:pPr>
    </w:p>
    <w:p w:rsidR="002E4A25" w:rsidRDefault="00D74ED8">
      <w:pPr>
        <w:pStyle w:val="BodyText"/>
        <w:spacing w:line="254" w:lineRule="auto"/>
        <w:ind w:left="119"/>
        <w:jc w:val="both"/>
      </w:pPr>
      <w:r>
        <w:rPr>
          <w:color w:val="231F20"/>
          <w:w w:val="110"/>
        </w:rPr>
        <w:t>Objectives. A recent US federal review and</w:t>
      </w:r>
      <w:r>
        <w:rPr>
          <w:color w:val="231F20"/>
          <w:spacing w:val="-5"/>
          <w:w w:val="110"/>
        </w:rPr>
        <w:t xml:space="preserve"> </w:t>
      </w:r>
      <w:r>
        <w:rPr>
          <w:color w:val="231F20"/>
          <w:w w:val="110"/>
        </w:rPr>
        <w:t xml:space="preserve">clinical guideline on opioids for chronic pain asserted that the literature contributes no evidence on efficacy because all trials had “inadequate duration.” </w:t>
      </w:r>
      <w:r>
        <w:rPr>
          <w:color w:val="231F20"/>
          <w:spacing w:val="-7"/>
          <w:w w:val="110"/>
        </w:rPr>
        <w:t>To</w:t>
      </w:r>
      <w:r>
        <w:rPr>
          <w:color w:val="231F20"/>
          <w:spacing w:val="-34"/>
          <w:w w:val="110"/>
        </w:rPr>
        <w:t xml:space="preserve"> </w:t>
      </w:r>
      <w:r>
        <w:rPr>
          <w:color w:val="231F20"/>
          <w:w w:val="110"/>
        </w:rPr>
        <w:t>ex- plore</w:t>
      </w:r>
      <w:r>
        <w:rPr>
          <w:color w:val="231F20"/>
          <w:spacing w:val="-9"/>
          <w:w w:val="110"/>
        </w:rPr>
        <w:t xml:space="preserve"> </w:t>
      </w:r>
      <w:r>
        <w:rPr>
          <w:color w:val="231F20"/>
          <w:w w:val="110"/>
        </w:rPr>
        <w:t>the</w:t>
      </w:r>
      <w:r>
        <w:rPr>
          <w:color w:val="231F20"/>
          <w:spacing w:val="-9"/>
          <w:w w:val="110"/>
        </w:rPr>
        <w:t xml:space="preserve"> </w:t>
      </w:r>
      <w:r>
        <w:rPr>
          <w:color w:val="231F20"/>
          <w:w w:val="110"/>
        </w:rPr>
        <w:t>evidence,</w:t>
      </w:r>
      <w:r>
        <w:rPr>
          <w:color w:val="231F20"/>
          <w:spacing w:val="-9"/>
          <w:w w:val="110"/>
        </w:rPr>
        <w:t xml:space="preserve"> </w:t>
      </w:r>
      <w:r>
        <w:rPr>
          <w:color w:val="231F20"/>
          <w:w w:val="110"/>
        </w:rPr>
        <w:t>we</w:t>
      </w:r>
      <w:r>
        <w:rPr>
          <w:color w:val="231F20"/>
          <w:spacing w:val="-9"/>
          <w:w w:val="110"/>
        </w:rPr>
        <w:t xml:space="preserve"> </w:t>
      </w:r>
      <w:r>
        <w:rPr>
          <w:color w:val="231F20"/>
          <w:w w:val="110"/>
        </w:rPr>
        <w:t>examined</w:t>
      </w:r>
      <w:r>
        <w:rPr>
          <w:color w:val="231F20"/>
          <w:spacing w:val="-12"/>
          <w:w w:val="110"/>
        </w:rPr>
        <w:t xml:space="preserve"> </w:t>
      </w:r>
      <w:r>
        <w:rPr>
          <w:color w:val="231F20"/>
          <w:w w:val="110"/>
        </w:rPr>
        <w:t>durations</w:t>
      </w:r>
      <w:r>
        <w:rPr>
          <w:color w:val="231F20"/>
          <w:spacing w:val="-8"/>
          <w:w w:val="110"/>
        </w:rPr>
        <w:t xml:space="preserve"> </w:t>
      </w:r>
      <w:r>
        <w:rPr>
          <w:color w:val="231F20"/>
          <w:w w:val="110"/>
        </w:rPr>
        <w:t>of</w:t>
      </w:r>
      <w:r>
        <w:rPr>
          <w:color w:val="231F20"/>
          <w:spacing w:val="-9"/>
          <w:w w:val="110"/>
        </w:rPr>
        <w:t xml:space="preserve"> </w:t>
      </w:r>
      <w:r>
        <w:rPr>
          <w:color w:val="231F20"/>
          <w:w w:val="110"/>
        </w:rPr>
        <w:t>stud- ies on opioid, nonopioid drug, and behav</w:t>
      </w:r>
      <w:r>
        <w:rPr>
          <w:color w:val="231F20"/>
          <w:w w:val="110"/>
        </w:rPr>
        <w:t>ioral therapies</w:t>
      </w:r>
      <w:r>
        <w:rPr>
          <w:color w:val="231F20"/>
          <w:spacing w:val="-14"/>
          <w:w w:val="110"/>
        </w:rPr>
        <w:t xml:space="preserve"> </w:t>
      </w:r>
      <w:r>
        <w:rPr>
          <w:color w:val="231F20"/>
          <w:w w:val="110"/>
        </w:rPr>
        <w:t>for</w:t>
      </w:r>
      <w:r>
        <w:rPr>
          <w:color w:val="231F20"/>
          <w:spacing w:val="-16"/>
          <w:w w:val="110"/>
        </w:rPr>
        <w:t xml:space="preserve"> </w:t>
      </w:r>
      <w:r>
        <w:rPr>
          <w:color w:val="231F20"/>
          <w:w w:val="110"/>
        </w:rPr>
        <w:t>chronic</w:t>
      </w:r>
      <w:r>
        <w:rPr>
          <w:color w:val="231F20"/>
          <w:spacing w:val="-16"/>
          <w:w w:val="110"/>
        </w:rPr>
        <w:t xml:space="preserve"> </w:t>
      </w:r>
      <w:r>
        <w:rPr>
          <w:color w:val="231F20"/>
          <w:w w:val="110"/>
        </w:rPr>
        <w:t>pain.</w:t>
      </w:r>
    </w:p>
    <w:p w:rsidR="002E4A25" w:rsidRDefault="00D74ED8">
      <w:pPr>
        <w:pStyle w:val="BodyText"/>
        <w:spacing w:before="5"/>
        <w:rPr>
          <w:sz w:val="22"/>
        </w:rPr>
      </w:pPr>
      <w:r>
        <w:br w:type="column"/>
      </w:r>
    </w:p>
    <w:p w:rsidR="002E4A25" w:rsidRDefault="00D74ED8">
      <w:pPr>
        <w:pStyle w:val="BodyText"/>
        <w:spacing w:line="254" w:lineRule="auto"/>
        <w:ind w:left="119" w:right="474"/>
        <w:jc w:val="both"/>
      </w:pPr>
      <w:r>
        <w:rPr>
          <w:color w:val="231F20"/>
          <w:w w:val="110"/>
        </w:rPr>
        <w:t xml:space="preserve">Methods. </w:t>
      </w:r>
      <w:r>
        <w:rPr>
          <w:color w:val="231F20"/>
          <w:spacing w:val="-3"/>
          <w:w w:val="110"/>
        </w:rPr>
        <w:t xml:space="preserve">We </w:t>
      </w:r>
      <w:r>
        <w:rPr>
          <w:color w:val="231F20"/>
          <w:w w:val="110"/>
        </w:rPr>
        <w:t xml:space="preserve">retrieved Cochrane reviews of anti- convulsants, antidepressants, NSAIDs, opioids, or behavioral interventions for chronic pain. </w:t>
      </w:r>
      <w:r>
        <w:rPr>
          <w:color w:val="231F20"/>
          <w:spacing w:val="-3"/>
          <w:w w:val="110"/>
        </w:rPr>
        <w:t xml:space="preserve">We </w:t>
      </w:r>
      <w:r>
        <w:rPr>
          <w:color w:val="231F20"/>
          <w:w w:val="110"/>
        </w:rPr>
        <w:t>also examined all opioid treatment studies retrieved for the</w:t>
      </w:r>
      <w:r>
        <w:rPr>
          <w:color w:val="231F20"/>
          <w:spacing w:val="-9"/>
          <w:w w:val="110"/>
        </w:rPr>
        <w:t xml:space="preserve"> </w:t>
      </w:r>
      <w:r>
        <w:rPr>
          <w:color w:val="231F20"/>
          <w:w w:val="110"/>
        </w:rPr>
        <w:t>federal</w:t>
      </w:r>
      <w:r>
        <w:rPr>
          <w:color w:val="231F20"/>
          <w:spacing w:val="-8"/>
          <w:w w:val="110"/>
        </w:rPr>
        <w:t xml:space="preserve"> </w:t>
      </w:r>
      <w:r>
        <w:rPr>
          <w:color w:val="231F20"/>
          <w:w w:val="110"/>
        </w:rPr>
        <w:t>evidenc</w:t>
      </w:r>
      <w:r>
        <w:rPr>
          <w:color w:val="231F20"/>
          <w:w w:val="110"/>
        </w:rPr>
        <w:t>e</w:t>
      </w:r>
      <w:r>
        <w:rPr>
          <w:color w:val="231F20"/>
          <w:spacing w:val="-9"/>
          <w:w w:val="110"/>
        </w:rPr>
        <w:t xml:space="preserve"> </w:t>
      </w:r>
      <w:r>
        <w:rPr>
          <w:color w:val="231F20"/>
          <w:w w:val="110"/>
        </w:rPr>
        <w:t>report</w:t>
      </w:r>
      <w:r>
        <w:rPr>
          <w:color w:val="231F20"/>
          <w:spacing w:val="-7"/>
          <w:w w:val="110"/>
        </w:rPr>
        <w:t xml:space="preserve"> </w:t>
      </w:r>
      <w:r>
        <w:rPr>
          <w:color w:val="231F20"/>
          <w:w w:val="110"/>
        </w:rPr>
        <w:t>but</w:t>
      </w:r>
      <w:r>
        <w:rPr>
          <w:color w:val="231F20"/>
          <w:spacing w:val="-9"/>
          <w:w w:val="110"/>
        </w:rPr>
        <w:t xml:space="preserve"> </w:t>
      </w:r>
      <w:r>
        <w:rPr>
          <w:color w:val="231F20"/>
          <w:w w:val="110"/>
        </w:rPr>
        <w:t>excluded</w:t>
      </w:r>
      <w:r>
        <w:rPr>
          <w:color w:val="231F20"/>
          <w:spacing w:val="-10"/>
          <w:w w:val="110"/>
        </w:rPr>
        <w:t xml:space="preserve"> </w:t>
      </w:r>
      <w:r>
        <w:rPr>
          <w:color w:val="231F20"/>
          <w:w w:val="110"/>
        </w:rPr>
        <w:t>due</w:t>
      </w:r>
      <w:r>
        <w:rPr>
          <w:color w:val="231F20"/>
          <w:spacing w:val="-9"/>
          <w:w w:val="110"/>
        </w:rPr>
        <w:t xml:space="preserve"> </w:t>
      </w:r>
      <w:r>
        <w:rPr>
          <w:color w:val="231F20"/>
          <w:w w:val="110"/>
        </w:rPr>
        <w:t>to</w:t>
      </w:r>
      <w:r>
        <w:rPr>
          <w:color w:val="231F20"/>
          <w:spacing w:val="-9"/>
          <w:w w:val="110"/>
        </w:rPr>
        <w:t xml:space="preserve"> </w:t>
      </w:r>
      <w:r>
        <w:rPr>
          <w:color w:val="231F20"/>
          <w:w w:val="110"/>
        </w:rPr>
        <w:t>“in- adequate</w:t>
      </w:r>
      <w:r>
        <w:rPr>
          <w:color w:val="231F20"/>
          <w:spacing w:val="-23"/>
          <w:w w:val="110"/>
        </w:rPr>
        <w:t xml:space="preserve"> </w:t>
      </w:r>
      <w:r>
        <w:rPr>
          <w:color w:val="231F20"/>
          <w:w w:val="110"/>
        </w:rPr>
        <w:t>duration.”</w:t>
      </w:r>
    </w:p>
    <w:p w:rsidR="002E4A25" w:rsidRDefault="002E4A25">
      <w:pPr>
        <w:pStyle w:val="BodyText"/>
        <w:spacing w:before="5"/>
        <w:rPr>
          <w:sz w:val="17"/>
        </w:rPr>
      </w:pPr>
    </w:p>
    <w:p w:rsidR="002E4A25" w:rsidRDefault="00D74ED8">
      <w:pPr>
        <w:pStyle w:val="BodyText"/>
        <w:spacing w:before="1" w:line="254" w:lineRule="auto"/>
        <w:ind w:left="119" w:right="473"/>
        <w:jc w:val="both"/>
      </w:pPr>
      <w:r>
        <w:rPr>
          <w:color w:val="231F20"/>
          <w:w w:val="110"/>
        </w:rPr>
        <w:t>Results.</w:t>
      </w:r>
      <w:r>
        <w:rPr>
          <w:color w:val="231F20"/>
          <w:spacing w:val="-26"/>
          <w:w w:val="110"/>
        </w:rPr>
        <w:t xml:space="preserve"> </w:t>
      </w:r>
      <w:r>
        <w:rPr>
          <w:color w:val="231F20"/>
          <w:w w:val="110"/>
        </w:rPr>
        <w:t>Of</w:t>
      </w:r>
      <w:r>
        <w:rPr>
          <w:color w:val="231F20"/>
          <w:spacing w:val="-33"/>
          <w:w w:val="110"/>
        </w:rPr>
        <w:t xml:space="preserve"> </w:t>
      </w:r>
      <w:r>
        <w:rPr>
          <w:color w:val="231F20"/>
          <w:w w:val="110"/>
        </w:rPr>
        <w:t>378</w:t>
      </w:r>
      <w:r>
        <w:rPr>
          <w:color w:val="231F20"/>
          <w:spacing w:val="-33"/>
          <w:w w:val="110"/>
        </w:rPr>
        <w:t xml:space="preserve"> </w:t>
      </w:r>
      <w:r>
        <w:rPr>
          <w:color w:val="231F20"/>
          <w:w w:val="110"/>
        </w:rPr>
        <w:t>Cochrane</w:t>
      </w:r>
      <w:r>
        <w:rPr>
          <w:color w:val="231F20"/>
          <w:spacing w:val="-33"/>
          <w:w w:val="110"/>
        </w:rPr>
        <w:t xml:space="preserve"> </w:t>
      </w:r>
      <w:r>
        <w:rPr>
          <w:color w:val="231F20"/>
          <w:w w:val="110"/>
        </w:rPr>
        <w:t>reviews</w:t>
      </w:r>
      <w:r>
        <w:rPr>
          <w:color w:val="231F20"/>
          <w:spacing w:val="-34"/>
          <w:w w:val="110"/>
        </w:rPr>
        <w:t xml:space="preserve"> </w:t>
      </w:r>
      <w:r>
        <w:rPr>
          <w:color w:val="231F20"/>
          <w:w w:val="110"/>
        </w:rPr>
        <w:t>retrieved,</w:t>
      </w:r>
      <w:r>
        <w:rPr>
          <w:color w:val="231F20"/>
          <w:spacing w:val="-33"/>
          <w:w w:val="110"/>
        </w:rPr>
        <w:t xml:space="preserve"> </w:t>
      </w:r>
      <w:r>
        <w:rPr>
          <w:color w:val="231F20"/>
          <w:w w:val="110"/>
        </w:rPr>
        <w:t>72</w:t>
      </w:r>
      <w:r>
        <w:rPr>
          <w:color w:val="231F20"/>
          <w:spacing w:val="-33"/>
          <w:w w:val="110"/>
        </w:rPr>
        <w:t xml:space="preserve"> </w:t>
      </w:r>
      <w:r>
        <w:rPr>
          <w:color w:val="231F20"/>
          <w:w w:val="110"/>
        </w:rPr>
        <w:t>eval- uated</w:t>
      </w:r>
      <w:r>
        <w:rPr>
          <w:color w:val="231F20"/>
          <w:spacing w:val="-16"/>
          <w:w w:val="110"/>
        </w:rPr>
        <w:t xml:space="preserve"> </w:t>
      </w:r>
      <w:r>
        <w:rPr>
          <w:color w:val="231F20"/>
          <w:w w:val="110"/>
        </w:rPr>
        <w:t>one</w:t>
      </w:r>
      <w:r>
        <w:rPr>
          <w:color w:val="231F20"/>
          <w:spacing w:val="-16"/>
          <w:w w:val="110"/>
        </w:rPr>
        <w:t xml:space="preserve"> </w:t>
      </w:r>
      <w:r>
        <w:rPr>
          <w:color w:val="231F20"/>
          <w:w w:val="110"/>
        </w:rPr>
        <w:t>of</w:t>
      </w:r>
      <w:r>
        <w:rPr>
          <w:color w:val="231F20"/>
          <w:spacing w:val="-16"/>
          <w:w w:val="110"/>
        </w:rPr>
        <w:t xml:space="preserve"> </w:t>
      </w:r>
      <w:r>
        <w:rPr>
          <w:color w:val="231F20"/>
          <w:w w:val="110"/>
        </w:rPr>
        <w:t>the</w:t>
      </w:r>
      <w:r>
        <w:rPr>
          <w:color w:val="231F20"/>
          <w:spacing w:val="-16"/>
          <w:w w:val="110"/>
        </w:rPr>
        <w:t xml:space="preserve"> </w:t>
      </w:r>
      <w:r>
        <w:rPr>
          <w:color w:val="231F20"/>
          <w:w w:val="110"/>
        </w:rPr>
        <w:t>five</w:t>
      </w:r>
      <w:r>
        <w:rPr>
          <w:color w:val="231F20"/>
          <w:spacing w:val="-15"/>
          <w:w w:val="110"/>
        </w:rPr>
        <w:t xml:space="preserve"> </w:t>
      </w:r>
      <w:r>
        <w:rPr>
          <w:color w:val="231F20"/>
          <w:w w:val="110"/>
        </w:rPr>
        <w:t>therapies.</w:t>
      </w:r>
      <w:r>
        <w:rPr>
          <w:color w:val="231F20"/>
          <w:spacing w:val="-16"/>
          <w:w w:val="110"/>
        </w:rPr>
        <w:t xml:space="preserve"> </w:t>
      </w:r>
      <w:r>
        <w:rPr>
          <w:color w:val="231F20"/>
          <w:w w:val="110"/>
        </w:rPr>
        <w:t>Six</w:t>
      </w:r>
      <w:r>
        <w:rPr>
          <w:color w:val="231F20"/>
          <w:spacing w:val="-16"/>
          <w:w w:val="110"/>
        </w:rPr>
        <w:t xml:space="preserve"> </w:t>
      </w:r>
      <w:r>
        <w:rPr>
          <w:color w:val="231F20"/>
          <w:w w:val="110"/>
        </w:rPr>
        <w:t>of</w:t>
      </w:r>
      <w:r>
        <w:rPr>
          <w:color w:val="231F20"/>
          <w:spacing w:val="-16"/>
          <w:w w:val="110"/>
        </w:rPr>
        <w:t xml:space="preserve"> </w:t>
      </w:r>
      <w:r>
        <w:rPr>
          <w:color w:val="231F20"/>
          <w:w w:val="110"/>
        </w:rPr>
        <w:t>these</w:t>
      </w:r>
      <w:r>
        <w:rPr>
          <w:color w:val="231F20"/>
          <w:spacing w:val="-16"/>
          <w:w w:val="110"/>
        </w:rPr>
        <w:t xml:space="preserve"> </w:t>
      </w:r>
      <w:r>
        <w:rPr>
          <w:color w:val="231F20"/>
          <w:w w:val="110"/>
        </w:rPr>
        <w:t>72</w:t>
      </w:r>
      <w:r>
        <w:rPr>
          <w:color w:val="231F20"/>
          <w:spacing w:val="-16"/>
          <w:w w:val="110"/>
        </w:rPr>
        <w:t xml:space="preserve"> </w:t>
      </w:r>
      <w:r>
        <w:rPr>
          <w:color w:val="231F20"/>
          <w:w w:val="110"/>
        </w:rPr>
        <w:t>were excluded</w:t>
      </w:r>
      <w:r>
        <w:rPr>
          <w:color w:val="231F20"/>
          <w:spacing w:val="-21"/>
          <w:w w:val="110"/>
        </w:rPr>
        <w:t xml:space="preserve"> </w:t>
      </w:r>
      <w:r>
        <w:rPr>
          <w:color w:val="231F20"/>
          <w:w w:val="110"/>
        </w:rPr>
        <w:t>because</w:t>
      </w:r>
      <w:r>
        <w:rPr>
          <w:color w:val="231F20"/>
          <w:spacing w:val="-22"/>
          <w:w w:val="110"/>
        </w:rPr>
        <w:t xml:space="preserve"> </w:t>
      </w:r>
      <w:r>
        <w:rPr>
          <w:color w:val="231F20"/>
          <w:w w:val="110"/>
        </w:rPr>
        <w:t>they</w:t>
      </w:r>
      <w:r>
        <w:rPr>
          <w:color w:val="231F20"/>
          <w:spacing w:val="-21"/>
          <w:w w:val="110"/>
        </w:rPr>
        <w:t xml:space="preserve"> </w:t>
      </w:r>
      <w:r>
        <w:rPr>
          <w:color w:val="231F20"/>
          <w:w w:val="110"/>
        </w:rPr>
        <w:t>were</w:t>
      </w:r>
      <w:r>
        <w:rPr>
          <w:color w:val="231F20"/>
          <w:spacing w:val="-21"/>
          <w:w w:val="110"/>
        </w:rPr>
        <w:t xml:space="preserve"> </w:t>
      </w:r>
      <w:r>
        <w:rPr>
          <w:color w:val="231F20"/>
          <w:w w:val="110"/>
        </w:rPr>
        <w:t>proposals</w:t>
      </w:r>
      <w:r>
        <w:rPr>
          <w:color w:val="231F20"/>
          <w:spacing w:val="-24"/>
          <w:w w:val="110"/>
        </w:rPr>
        <w:t xml:space="preserve"> </w:t>
      </w:r>
      <w:r>
        <w:rPr>
          <w:color w:val="231F20"/>
          <w:w w:val="110"/>
        </w:rPr>
        <w:t>without</w:t>
      </w:r>
      <w:r>
        <w:rPr>
          <w:color w:val="231F20"/>
          <w:spacing w:val="-21"/>
          <w:w w:val="110"/>
        </w:rPr>
        <w:t xml:space="preserve"> </w:t>
      </w:r>
      <w:r>
        <w:rPr>
          <w:color w:val="231F20"/>
          <w:w w:val="110"/>
        </w:rPr>
        <w:t>data or</w:t>
      </w:r>
      <w:r>
        <w:rPr>
          <w:color w:val="231F20"/>
          <w:spacing w:val="-27"/>
          <w:w w:val="110"/>
        </w:rPr>
        <w:t xml:space="preserve"> </w:t>
      </w:r>
      <w:r>
        <w:rPr>
          <w:color w:val="231F20"/>
          <w:w w:val="110"/>
        </w:rPr>
        <w:t>investigated</w:t>
      </w:r>
      <w:r>
        <w:rPr>
          <w:color w:val="231F20"/>
          <w:spacing w:val="-27"/>
          <w:w w:val="110"/>
        </w:rPr>
        <w:t xml:space="preserve"> </w:t>
      </w:r>
      <w:r>
        <w:rPr>
          <w:color w:val="231F20"/>
          <w:w w:val="110"/>
        </w:rPr>
        <w:t>acute</w:t>
      </w:r>
      <w:r>
        <w:rPr>
          <w:color w:val="231F20"/>
          <w:spacing w:val="-27"/>
          <w:w w:val="110"/>
        </w:rPr>
        <w:t xml:space="preserve"> </w:t>
      </w:r>
      <w:r>
        <w:rPr>
          <w:color w:val="231F20"/>
          <w:w w:val="110"/>
        </w:rPr>
        <w:t>pain.</w:t>
      </w:r>
      <w:r>
        <w:rPr>
          <w:color w:val="231F20"/>
          <w:spacing w:val="-27"/>
          <w:w w:val="110"/>
        </w:rPr>
        <w:t xml:space="preserve"> </w:t>
      </w:r>
      <w:r>
        <w:rPr>
          <w:color w:val="231F20"/>
          <w:w w:val="110"/>
        </w:rPr>
        <w:t>Fourteen</w:t>
      </w:r>
      <w:r>
        <w:rPr>
          <w:color w:val="231F20"/>
          <w:spacing w:val="-27"/>
          <w:w w:val="110"/>
        </w:rPr>
        <w:t xml:space="preserve"> </w:t>
      </w:r>
      <w:r>
        <w:rPr>
          <w:color w:val="231F20"/>
          <w:w w:val="110"/>
        </w:rPr>
        <w:t>addressed</w:t>
      </w:r>
      <w:r>
        <w:rPr>
          <w:color w:val="231F20"/>
          <w:spacing w:val="-27"/>
          <w:w w:val="110"/>
        </w:rPr>
        <w:t xml:space="preserve"> </w:t>
      </w:r>
      <w:r>
        <w:rPr>
          <w:color w:val="231F20"/>
          <w:w w:val="110"/>
        </w:rPr>
        <w:t xml:space="preserve">mul- tiple interventions, leaving 52 for analysis. </w:t>
      </w:r>
      <w:r>
        <w:rPr>
          <w:color w:val="231F20"/>
          <w:spacing w:val="-4"/>
          <w:w w:val="110"/>
        </w:rPr>
        <w:t xml:space="preserve">We </w:t>
      </w:r>
      <w:r>
        <w:rPr>
          <w:color w:val="231F20"/>
          <w:w w:val="110"/>
        </w:rPr>
        <w:t>graphed numbers of trials vs duration for the five treatments reviewed in the Cochrane Library,</w:t>
      </w:r>
      <w:r>
        <w:rPr>
          <w:color w:val="231F20"/>
          <w:spacing w:val="-28"/>
          <w:w w:val="110"/>
        </w:rPr>
        <w:t xml:space="preserve"> </w:t>
      </w:r>
      <w:r>
        <w:rPr>
          <w:color w:val="231F20"/>
          <w:w w:val="110"/>
        </w:rPr>
        <w:t>com- pared with durations of opioid trials dropped from the</w:t>
      </w:r>
      <w:r>
        <w:rPr>
          <w:color w:val="231F20"/>
          <w:spacing w:val="-18"/>
          <w:w w:val="110"/>
        </w:rPr>
        <w:t xml:space="preserve"> </w:t>
      </w:r>
      <w:r>
        <w:rPr>
          <w:color w:val="231F20"/>
          <w:w w:val="110"/>
        </w:rPr>
        <w:t>federal</w:t>
      </w:r>
      <w:r>
        <w:rPr>
          <w:color w:val="231F20"/>
          <w:spacing w:val="-18"/>
          <w:w w:val="110"/>
        </w:rPr>
        <w:t xml:space="preserve"> </w:t>
      </w:r>
      <w:r>
        <w:rPr>
          <w:color w:val="231F20"/>
          <w:w w:val="110"/>
        </w:rPr>
        <w:t>evidence</w:t>
      </w:r>
      <w:r>
        <w:rPr>
          <w:color w:val="231F20"/>
          <w:spacing w:val="-19"/>
          <w:w w:val="110"/>
        </w:rPr>
        <w:t xml:space="preserve"> </w:t>
      </w:r>
      <w:r>
        <w:rPr>
          <w:color w:val="231F20"/>
          <w:w w:val="110"/>
        </w:rPr>
        <w:t>report.</w:t>
      </w:r>
      <w:r>
        <w:rPr>
          <w:color w:val="231F20"/>
          <w:spacing w:val="-16"/>
          <w:w w:val="110"/>
        </w:rPr>
        <w:t xml:space="preserve"> </w:t>
      </w:r>
      <w:r>
        <w:rPr>
          <w:color w:val="231F20"/>
          <w:w w:val="110"/>
        </w:rPr>
        <w:t>Most</w:t>
      </w:r>
      <w:r>
        <w:rPr>
          <w:color w:val="231F20"/>
          <w:spacing w:val="-18"/>
          <w:w w:val="110"/>
        </w:rPr>
        <w:t xml:space="preserve"> </w:t>
      </w:r>
      <w:r>
        <w:rPr>
          <w:color w:val="231F20"/>
          <w:w w:val="110"/>
        </w:rPr>
        <w:t>graphs</w:t>
      </w:r>
      <w:r>
        <w:rPr>
          <w:color w:val="231F20"/>
          <w:spacing w:val="-19"/>
          <w:w w:val="110"/>
        </w:rPr>
        <w:t xml:space="preserve"> </w:t>
      </w:r>
      <w:r>
        <w:rPr>
          <w:color w:val="231F20"/>
          <w:w w:val="110"/>
        </w:rPr>
        <w:t>were</w:t>
      </w:r>
      <w:r>
        <w:rPr>
          <w:color w:val="231F20"/>
          <w:spacing w:val="-18"/>
          <w:w w:val="110"/>
        </w:rPr>
        <w:t xml:space="preserve"> </w:t>
      </w:r>
      <w:r>
        <w:rPr>
          <w:color w:val="231F20"/>
          <w:w w:val="110"/>
        </w:rPr>
        <w:t>over- dispersed Poisson distributions. Nearly all trials had</w:t>
      </w:r>
      <w:r>
        <w:rPr>
          <w:color w:val="231F20"/>
          <w:spacing w:val="-21"/>
          <w:w w:val="110"/>
        </w:rPr>
        <w:t xml:space="preserve"> </w:t>
      </w:r>
      <w:r>
        <w:rPr>
          <w:color w:val="231F20"/>
          <w:w w:val="110"/>
        </w:rPr>
        <w:t>active</w:t>
      </w:r>
      <w:r>
        <w:rPr>
          <w:color w:val="231F20"/>
          <w:spacing w:val="-20"/>
          <w:w w:val="110"/>
        </w:rPr>
        <w:t xml:space="preserve"> </w:t>
      </w:r>
      <w:r>
        <w:rPr>
          <w:color w:val="231F20"/>
          <w:w w:val="110"/>
        </w:rPr>
        <w:t>treatment</w:t>
      </w:r>
      <w:r>
        <w:rPr>
          <w:color w:val="231F20"/>
          <w:spacing w:val="-21"/>
          <w:w w:val="110"/>
        </w:rPr>
        <w:t xml:space="preserve"> </w:t>
      </w:r>
      <w:r>
        <w:rPr>
          <w:color w:val="231F20"/>
          <w:w w:val="110"/>
        </w:rPr>
        <w:t>durations</w:t>
      </w:r>
      <w:r>
        <w:rPr>
          <w:color w:val="231F20"/>
          <w:spacing w:val="-21"/>
          <w:w w:val="110"/>
        </w:rPr>
        <w:t xml:space="preserve"> </w:t>
      </w:r>
      <w:r>
        <w:rPr>
          <w:color w:val="231F20"/>
          <w:w w:val="110"/>
        </w:rPr>
        <w:t>of</w:t>
      </w:r>
      <w:r>
        <w:rPr>
          <w:color w:val="231F20"/>
          <w:spacing w:val="-21"/>
          <w:w w:val="110"/>
        </w:rPr>
        <w:t xml:space="preserve"> </w:t>
      </w:r>
      <w:r>
        <w:rPr>
          <w:color w:val="231F20"/>
          <w:w w:val="110"/>
        </w:rPr>
        <w:t>12</w:t>
      </w:r>
      <w:r>
        <w:rPr>
          <w:color w:val="231F20"/>
          <w:spacing w:val="-20"/>
          <w:w w:val="110"/>
        </w:rPr>
        <w:t xml:space="preserve"> </w:t>
      </w:r>
      <w:r>
        <w:rPr>
          <w:color w:val="231F20"/>
          <w:w w:val="110"/>
        </w:rPr>
        <w:t>weeks</w:t>
      </w:r>
      <w:r>
        <w:rPr>
          <w:color w:val="231F20"/>
          <w:spacing w:val="-21"/>
          <w:w w:val="110"/>
        </w:rPr>
        <w:t xml:space="preserve"> </w:t>
      </w:r>
      <w:r>
        <w:rPr>
          <w:color w:val="231F20"/>
          <w:w w:val="110"/>
        </w:rPr>
        <w:t>or</w:t>
      </w:r>
      <w:r>
        <w:rPr>
          <w:color w:val="231F20"/>
          <w:spacing w:val="-21"/>
          <w:w w:val="110"/>
        </w:rPr>
        <w:t xml:space="preserve"> </w:t>
      </w:r>
      <w:r>
        <w:rPr>
          <w:color w:val="231F20"/>
          <w:w w:val="110"/>
        </w:rPr>
        <w:t>less.</w:t>
      </w:r>
    </w:p>
    <w:p w:rsidR="002E4A25" w:rsidRDefault="002E4A25">
      <w:pPr>
        <w:pStyle w:val="BodyText"/>
        <w:spacing w:before="5"/>
        <w:rPr>
          <w:sz w:val="17"/>
        </w:rPr>
      </w:pPr>
    </w:p>
    <w:p w:rsidR="002E4A25" w:rsidRDefault="00D74ED8">
      <w:pPr>
        <w:pStyle w:val="BodyText"/>
        <w:spacing w:line="254" w:lineRule="auto"/>
        <w:ind w:left="119" w:right="474"/>
        <w:jc w:val="both"/>
      </w:pPr>
      <w:r>
        <w:rPr>
          <w:color w:val="231F20"/>
          <w:w w:val="110"/>
        </w:rPr>
        <w:t>Conclusions. No common nonopioid treatment for chronic pain has been studied in aggregate over longer</w:t>
      </w:r>
      <w:r>
        <w:rPr>
          <w:color w:val="231F20"/>
          <w:spacing w:val="-8"/>
          <w:w w:val="110"/>
        </w:rPr>
        <w:t xml:space="preserve"> </w:t>
      </w:r>
      <w:r>
        <w:rPr>
          <w:color w:val="231F20"/>
          <w:w w:val="110"/>
        </w:rPr>
        <w:t>intervals</w:t>
      </w:r>
      <w:r>
        <w:rPr>
          <w:color w:val="231F20"/>
          <w:spacing w:val="-8"/>
          <w:w w:val="110"/>
        </w:rPr>
        <w:t xml:space="preserve"> </w:t>
      </w:r>
      <w:r>
        <w:rPr>
          <w:color w:val="231F20"/>
          <w:w w:val="110"/>
        </w:rPr>
        <w:t>of</w:t>
      </w:r>
      <w:r>
        <w:rPr>
          <w:color w:val="231F20"/>
          <w:spacing w:val="-9"/>
          <w:w w:val="110"/>
        </w:rPr>
        <w:t xml:space="preserve"> </w:t>
      </w:r>
      <w:r>
        <w:rPr>
          <w:color w:val="231F20"/>
          <w:w w:val="110"/>
        </w:rPr>
        <w:t>active</w:t>
      </w:r>
      <w:r>
        <w:rPr>
          <w:color w:val="231F20"/>
          <w:spacing w:val="-8"/>
          <w:w w:val="110"/>
        </w:rPr>
        <w:t xml:space="preserve"> </w:t>
      </w:r>
      <w:r>
        <w:rPr>
          <w:color w:val="231F20"/>
          <w:w w:val="110"/>
        </w:rPr>
        <w:t>treatment</w:t>
      </w:r>
      <w:r>
        <w:rPr>
          <w:color w:val="231F20"/>
          <w:spacing w:val="-9"/>
          <w:w w:val="110"/>
        </w:rPr>
        <w:t xml:space="preserve"> </w:t>
      </w:r>
      <w:r>
        <w:rPr>
          <w:color w:val="231F20"/>
          <w:w w:val="110"/>
        </w:rPr>
        <w:t>than</w:t>
      </w:r>
      <w:r>
        <w:rPr>
          <w:color w:val="231F20"/>
          <w:spacing w:val="-9"/>
          <w:w w:val="110"/>
        </w:rPr>
        <w:t xml:space="preserve"> </w:t>
      </w:r>
      <w:r>
        <w:rPr>
          <w:color w:val="231F20"/>
          <w:w w:val="110"/>
        </w:rPr>
        <w:t>opi</w:t>
      </w:r>
      <w:r>
        <w:rPr>
          <w:color w:val="231F20"/>
          <w:w w:val="110"/>
        </w:rPr>
        <w:t>oids.</w:t>
      </w:r>
      <w:r>
        <w:rPr>
          <w:color w:val="231F20"/>
          <w:spacing w:val="-8"/>
          <w:w w:val="110"/>
        </w:rPr>
        <w:t xml:space="preserve"> </w:t>
      </w:r>
      <w:r>
        <w:rPr>
          <w:color w:val="231F20"/>
          <w:spacing w:val="-7"/>
          <w:w w:val="110"/>
        </w:rPr>
        <w:t xml:space="preserve">To </w:t>
      </w:r>
      <w:r>
        <w:rPr>
          <w:color w:val="231F20"/>
          <w:w w:val="110"/>
        </w:rPr>
        <w:t>dismiss trials as “inadequate” if their observation period is a year or less is inconsistent with current regulatory standards. The literature on major drug and nondrug treatments for chronic pain reveals similarly shaped distributions across modalities. C</w:t>
      </w:r>
      <w:r>
        <w:rPr>
          <w:color w:val="231F20"/>
          <w:w w:val="110"/>
        </w:rPr>
        <w:t>onsidering only duration of active treatment in ef- ficacy or effectiveness trials, published evidence is no stronger for any major drug category or behav- ioral</w:t>
      </w:r>
      <w:r>
        <w:rPr>
          <w:color w:val="231F20"/>
          <w:spacing w:val="-11"/>
          <w:w w:val="110"/>
        </w:rPr>
        <w:t xml:space="preserve"> </w:t>
      </w:r>
      <w:r>
        <w:rPr>
          <w:color w:val="231F20"/>
          <w:w w:val="110"/>
        </w:rPr>
        <w:t>therapy</w:t>
      </w:r>
      <w:r>
        <w:rPr>
          <w:color w:val="231F20"/>
          <w:spacing w:val="-12"/>
          <w:w w:val="110"/>
        </w:rPr>
        <w:t xml:space="preserve"> </w:t>
      </w:r>
      <w:r>
        <w:rPr>
          <w:color w:val="231F20"/>
          <w:w w:val="110"/>
        </w:rPr>
        <w:t>than</w:t>
      </w:r>
      <w:r>
        <w:rPr>
          <w:color w:val="231F20"/>
          <w:spacing w:val="-11"/>
          <w:w w:val="110"/>
        </w:rPr>
        <w:t xml:space="preserve"> </w:t>
      </w:r>
      <w:r>
        <w:rPr>
          <w:color w:val="231F20"/>
          <w:w w:val="110"/>
        </w:rPr>
        <w:t>for</w:t>
      </w:r>
      <w:r>
        <w:rPr>
          <w:color w:val="231F20"/>
          <w:spacing w:val="-12"/>
          <w:w w:val="110"/>
        </w:rPr>
        <w:t xml:space="preserve"> </w:t>
      </w:r>
      <w:r>
        <w:rPr>
          <w:color w:val="231F20"/>
          <w:w w:val="110"/>
        </w:rPr>
        <w:t>opioids.</w:t>
      </w:r>
    </w:p>
    <w:p w:rsidR="002E4A25" w:rsidRDefault="002E4A25">
      <w:pPr>
        <w:pStyle w:val="BodyText"/>
        <w:spacing w:before="4"/>
        <w:rPr>
          <w:sz w:val="17"/>
        </w:rPr>
      </w:pPr>
    </w:p>
    <w:p w:rsidR="002E4A25" w:rsidRDefault="00D74ED8">
      <w:pPr>
        <w:pStyle w:val="BodyText"/>
        <w:spacing w:before="1" w:line="254" w:lineRule="auto"/>
        <w:ind w:left="119" w:right="474"/>
        <w:jc w:val="both"/>
      </w:pPr>
      <w:r>
        <w:rPr>
          <w:color w:val="231F20"/>
          <w:w w:val="110"/>
        </w:rPr>
        <w:t xml:space="preserve">Key Words. Chronic Pain; Anticonvulsants; Antidepressants; NSAIDs; </w:t>
      </w:r>
      <w:r>
        <w:rPr>
          <w:color w:val="231F20"/>
          <w:w w:val="110"/>
        </w:rPr>
        <w:t>Opioids; Behavioral</w:t>
      </w:r>
    </w:p>
    <w:p w:rsidR="002E4A25" w:rsidRDefault="002E4A25">
      <w:pPr>
        <w:pStyle w:val="BodyText"/>
      </w:pPr>
    </w:p>
    <w:p w:rsidR="002E4A25" w:rsidRDefault="00D74ED8">
      <w:pPr>
        <w:pStyle w:val="BodyText"/>
        <w:spacing w:before="103"/>
        <w:ind w:left="119"/>
        <w:jc w:val="both"/>
      </w:pPr>
      <w:r>
        <w:rPr>
          <w:color w:val="231F20"/>
          <w:w w:val="110"/>
        </w:rPr>
        <w:t>Introduction</w:t>
      </w:r>
    </w:p>
    <w:p w:rsidR="002E4A25" w:rsidRDefault="002E4A25">
      <w:pPr>
        <w:pStyle w:val="BodyText"/>
        <w:spacing w:before="7"/>
      </w:pPr>
    </w:p>
    <w:p w:rsidR="002E4A25" w:rsidRDefault="00D74ED8">
      <w:pPr>
        <w:pStyle w:val="BodyText"/>
        <w:spacing w:line="254" w:lineRule="auto"/>
        <w:ind w:left="119" w:right="474"/>
        <w:jc w:val="both"/>
      </w:pPr>
      <w:r>
        <w:rPr>
          <w:color w:val="231F20"/>
        </w:rPr>
        <w:t>The use of opioids began in prehistory [</w:t>
      </w:r>
      <w:hyperlink w:anchor="_bookmark5" w:history="1">
        <w:r>
          <w:rPr>
            <w:color w:val="2E3092"/>
          </w:rPr>
          <w:t>1</w:t>
        </w:r>
      </w:hyperlink>
      <w:r>
        <w:rPr>
          <w:color w:val="231F20"/>
        </w:rPr>
        <w:t>] and is now standard practice in much of the world for the manage- ment of acute, chronic, and cancer-related pain. Concerns</w:t>
      </w:r>
      <w:r>
        <w:rPr>
          <w:color w:val="231F20"/>
          <w:spacing w:val="-8"/>
        </w:rPr>
        <w:t xml:space="preserve"> </w:t>
      </w:r>
      <w:r>
        <w:rPr>
          <w:color w:val="231F20"/>
        </w:rPr>
        <w:t>related</w:t>
      </w:r>
      <w:r>
        <w:rPr>
          <w:color w:val="231F20"/>
          <w:spacing w:val="-8"/>
        </w:rPr>
        <w:t xml:space="preserve"> </w:t>
      </w:r>
      <w:r>
        <w:rPr>
          <w:color w:val="231F20"/>
        </w:rPr>
        <w:t>to</w:t>
      </w:r>
      <w:r>
        <w:rPr>
          <w:color w:val="231F20"/>
          <w:spacing w:val="-9"/>
        </w:rPr>
        <w:t xml:space="preserve"> </w:t>
      </w:r>
      <w:r>
        <w:rPr>
          <w:color w:val="231F20"/>
        </w:rPr>
        <w:t>long-term</w:t>
      </w:r>
      <w:r>
        <w:rPr>
          <w:color w:val="231F20"/>
          <w:spacing w:val="-8"/>
        </w:rPr>
        <w:t xml:space="preserve"> </w:t>
      </w:r>
      <w:r>
        <w:rPr>
          <w:color w:val="231F20"/>
        </w:rPr>
        <w:t>eff</w:t>
      </w:r>
      <w:r>
        <w:rPr>
          <w:color w:val="231F20"/>
        </w:rPr>
        <w:t>ectiveness,</w:t>
      </w:r>
      <w:r>
        <w:rPr>
          <w:color w:val="231F20"/>
          <w:spacing w:val="-8"/>
        </w:rPr>
        <w:t xml:space="preserve"> </w:t>
      </w:r>
      <w:r>
        <w:rPr>
          <w:color w:val="231F20"/>
        </w:rPr>
        <w:t>safety,</w:t>
      </w:r>
      <w:r>
        <w:rPr>
          <w:color w:val="231F20"/>
          <w:spacing w:val="-8"/>
        </w:rPr>
        <w:t xml:space="preserve"> </w:t>
      </w:r>
      <w:r>
        <w:rPr>
          <w:color w:val="231F20"/>
        </w:rPr>
        <w:t>and</w:t>
      </w:r>
    </w:p>
    <w:p w:rsidR="002E4A25" w:rsidRDefault="002E4A25">
      <w:pPr>
        <w:spacing w:line="254" w:lineRule="auto"/>
        <w:jc w:val="both"/>
        <w:sectPr w:rsidR="002E4A25">
          <w:type w:val="continuous"/>
          <w:pgSz w:w="11880" w:h="15660"/>
          <w:pgMar w:top="320" w:right="1000" w:bottom="280" w:left="1080" w:header="720" w:footer="720" w:gutter="0"/>
          <w:cols w:num="2" w:space="720" w:equalWidth="0">
            <w:col w:w="4542" w:space="238"/>
            <w:col w:w="5020"/>
          </w:cols>
        </w:sectPr>
      </w:pPr>
    </w:p>
    <w:p w:rsidR="002E4A25" w:rsidRDefault="00D74ED8">
      <w:pPr>
        <w:pStyle w:val="BodyText"/>
        <w:spacing w:before="10"/>
        <w:rPr>
          <w:sz w:val="26"/>
        </w:rPr>
      </w:pPr>
      <w:r>
        <w:pict>
          <v:shapetype id="_x0000_t202" coordsize="21600,21600" o:spt="202" path="m,l,21600r21600,l21600,xe">
            <v:stroke joinstyle="miter"/>
            <v:path gradientshapeok="t" o:connecttype="rect"/>
          </v:shapetype>
          <v:shape id="_x0000_s1067" type="#_x0000_t202" style="position:absolute;margin-left:574.25pt;margin-top:245.3pt;width:10.9pt;height:293.3pt;z-index:251648512;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8">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2E4A25" w:rsidRDefault="00D74ED8">
      <w:pPr>
        <w:tabs>
          <w:tab w:val="left" w:pos="8922"/>
        </w:tabs>
        <w:spacing w:before="72"/>
        <w:ind w:left="112"/>
        <w:rPr>
          <w:sz w:val="18"/>
        </w:rPr>
      </w:pPr>
      <w:r>
        <w:rPr>
          <w:color w:val="231F20"/>
          <w:spacing w:val="-86"/>
          <w:w w:val="134"/>
          <w:position w:val="1"/>
          <w:sz w:val="12"/>
        </w:rPr>
        <w:t>V</w:t>
      </w:r>
      <w:r>
        <w:rPr>
          <w:color w:val="231F20"/>
          <w:w w:val="99"/>
          <w:position w:val="2"/>
          <w:sz w:val="8"/>
        </w:rPr>
        <w:t>C</w:t>
      </w:r>
      <w:r>
        <w:rPr>
          <w:color w:val="231F20"/>
          <w:position w:val="2"/>
          <w:sz w:val="8"/>
        </w:rPr>
        <w:t xml:space="preserve"> </w:t>
      </w:r>
      <w:r>
        <w:rPr>
          <w:color w:val="231F20"/>
          <w:spacing w:val="-5"/>
          <w:position w:val="2"/>
          <w:sz w:val="8"/>
        </w:rPr>
        <w:t xml:space="preserve"> </w:t>
      </w:r>
      <w:r>
        <w:rPr>
          <w:color w:val="231F20"/>
          <w:w w:val="99"/>
          <w:sz w:val="14"/>
        </w:rPr>
        <w:t>2016</w:t>
      </w:r>
      <w:r>
        <w:rPr>
          <w:color w:val="231F20"/>
          <w:spacing w:val="9"/>
          <w:sz w:val="14"/>
        </w:rPr>
        <w:t xml:space="preserve"> </w:t>
      </w:r>
      <w:r>
        <w:rPr>
          <w:color w:val="231F20"/>
          <w:w w:val="99"/>
          <w:sz w:val="14"/>
        </w:rPr>
        <w:t>Ame</w:t>
      </w:r>
      <w:r>
        <w:rPr>
          <w:color w:val="231F20"/>
          <w:spacing w:val="1"/>
          <w:w w:val="99"/>
          <w:sz w:val="14"/>
        </w:rPr>
        <w:t>r</w:t>
      </w:r>
      <w:r>
        <w:rPr>
          <w:color w:val="231F20"/>
          <w:w w:val="99"/>
          <w:sz w:val="14"/>
        </w:rPr>
        <w:t>ican</w:t>
      </w:r>
      <w:r>
        <w:rPr>
          <w:color w:val="231F20"/>
          <w:spacing w:val="8"/>
          <w:sz w:val="14"/>
        </w:rPr>
        <w:t xml:space="preserve"> </w:t>
      </w:r>
      <w:r>
        <w:rPr>
          <w:color w:val="231F20"/>
          <w:w w:val="99"/>
          <w:sz w:val="14"/>
        </w:rPr>
        <w:t>Academy</w:t>
      </w:r>
      <w:r>
        <w:rPr>
          <w:color w:val="231F20"/>
          <w:spacing w:val="5"/>
          <w:sz w:val="14"/>
        </w:rPr>
        <w:t xml:space="preserve"> </w:t>
      </w:r>
      <w:r>
        <w:rPr>
          <w:color w:val="231F20"/>
          <w:w w:val="99"/>
          <w:sz w:val="14"/>
        </w:rPr>
        <w:t>of</w:t>
      </w:r>
      <w:r>
        <w:rPr>
          <w:color w:val="231F20"/>
          <w:spacing w:val="7"/>
          <w:sz w:val="14"/>
        </w:rPr>
        <w:t xml:space="preserve"> </w:t>
      </w:r>
      <w:r>
        <w:rPr>
          <w:color w:val="231F20"/>
          <w:spacing w:val="-4"/>
          <w:w w:val="99"/>
          <w:sz w:val="14"/>
        </w:rPr>
        <w:t>P</w:t>
      </w:r>
      <w:r>
        <w:rPr>
          <w:color w:val="231F20"/>
          <w:w w:val="99"/>
          <w:sz w:val="14"/>
        </w:rPr>
        <w:t>ain</w:t>
      </w:r>
      <w:r>
        <w:rPr>
          <w:color w:val="231F20"/>
          <w:spacing w:val="8"/>
          <w:sz w:val="14"/>
        </w:rPr>
        <w:t xml:space="preserve"> </w:t>
      </w:r>
      <w:r>
        <w:rPr>
          <w:color w:val="231F20"/>
          <w:w w:val="99"/>
          <w:sz w:val="14"/>
        </w:rPr>
        <w:t>Medicine.</w:t>
      </w:r>
      <w:r>
        <w:rPr>
          <w:color w:val="231F20"/>
          <w:spacing w:val="6"/>
          <w:sz w:val="14"/>
        </w:rPr>
        <w:t xml:space="preserve"> </w:t>
      </w:r>
      <w:r>
        <w:rPr>
          <w:color w:val="231F20"/>
          <w:w w:val="99"/>
          <w:sz w:val="14"/>
        </w:rPr>
        <w:t>All</w:t>
      </w:r>
      <w:r>
        <w:rPr>
          <w:color w:val="231F20"/>
          <w:spacing w:val="8"/>
          <w:sz w:val="14"/>
        </w:rPr>
        <w:t xml:space="preserve"> </w:t>
      </w:r>
      <w:r>
        <w:rPr>
          <w:color w:val="231F20"/>
          <w:spacing w:val="2"/>
          <w:sz w:val="14"/>
        </w:rPr>
        <w:t>r</w:t>
      </w:r>
      <w:r>
        <w:rPr>
          <w:color w:val="231F20"/>
          <w:w w:val="99"/>
          <w:sz w:val="14"/>
        </w:rPr>
        <w:t>ights</w:t>
      </w:r>
      <w:r>
        <w:rPr>
          <w:color w:val="231F20"/>
          <w:spacing w:val="7"/>
          <w:sz w:val="14"/>
        </w:rPr>
        <w:t xml:space="preserve"> </w:t>
      </w:r>
      <w:r>
        <w:rPr>
          <w:color w:val="231F20"/>
          <w:w w:val="99"/>
          <w:sz w:val="14"/>
        </w:rPr>
        <w:t>rese</w:t>
      </w:r>
      <w:r>
        <w:rPr>
          <w:color w:val="231F20"/>
          <w:spacing w:val="4"/>
          <w:w w:val="99"/>
          <w:sz w:val="14"/>
        </w:rPr>
        <w:t>r</w:t>
      </w:r>
      <w:r>
        <w:rPr>
          <w:color w:val="231F20"/>
          <w:spacing w:val="-4"/>
          <w:sz w:val="14"/>
        </w:rPr>
        <w:t>v</w:t>
      </w:r>
      <w:r>
        <w:rPr>
          <w:color w:val="231F20"/>
          <w:w w:val="99"/>
          <w:sz w:val="14"/>
        </w:rPr>
        <w:t>ed.</w:t>
      </w:r>
      <w:r>
        <w:rPr>
          <w:color w:val="231F20"/>
          <w:spacing w:val="7"/>
          <w:sz w:val="14"/>
        </w:rPr>
        <w:t xml:space="preserve"> </w:t>
      </w:r>
      <w:r>
        <w:rPr>
          <w:color w:val="231F20"/>
          <w:w w:val="99"/>
          <w:sz w:val="14"/>
        </w:rPr>
        <w:t>F</w:t>
      </w:r>
      <w:r>
        <w:rPr>
          <w:color w:val="231F20"/>
          <w:spacing w:val="-3"/>
          <w:w w:val="99"/>
          <w:sz w:val="14"/>
        </w:rPr>
        <w:t>o</w:t>
      </w:r>
      <w:r>
        <w:rPr>
          <w:color w:val="231F20"/>
          <w:w w:val="99"/>
          <w:sz w:val="14"/>
        </w:rPr>
        <w:t>r</w:t>
      </w:r>
      <w:r>
        <w:rPr>
          <w:color w:val="231F20"/>
          <w:spacing w:val="10"/>
          <w:w w:val="99"/>
          <w:sz w:val="14"/>
        </w:rPr>
        <w:t xml:space="preserve"> </w:t>
      </w:r>
      <w:r>
        <w:rPr>
          <w:color w:val="231F20"/>
          <w:w w:val="99"/>
          <w:sz w:val="14"/>
        </w:rPr>
        <w:t>pe</w:t>
      </w:r>
      <w:r>
        <w:rPr>
          <w:color w:val="231F20"/>
          <w:spacing w:val="2"/>
          <w:w w:val="99"/>
          <w:sz w:val="14"/>
        </w:rPr>
        <w:t>r</w:t>
      </w:r>
      <w:r>
        <w:rPr>
          <w:color w:val="231F20"/>
          <w:w w:val="99"/>
          <w:sz w:val="14"/>
        </w:rPr>
        <w:t>missio</w:t>
      </w:r>
      <w:r>
        <w:rPr>
          <w:color w:val="231F20"/>
          <w:spacing w:val="1"/>
          <w:w w:val="99"/>
          <w:sz w:val="14"/>
        </w:rPr>
        <w:t>n</w:t>
      </w:r>
      <w:r>
        <w:rPr>
          <w:color w:val="231F20"/>
          <w:sz w:val="14"/>
        </w:rPr>
        <w:t>s,</w:t>
      </w:r>
      <w:r>
        <w:rPr>
          <w:color w:val="231F20"/>
          <w:spacing w:val="5"/>
          <w:sz w:val="14"/>
        </w:rPr>
        <w:t xml:space="preserve"> </w:t>
      </w:r>
      <w:r>
        <w:rPr>
          <w:color w:val="231F20"/>
          <w:w w:val="99"/>
          <w:sz w:val="14"/>
        </w:rPr>
        <w:t>please</w:t>
      </w:r>
      <w:r>
        <w:rPr>
          <w:color w:val="231F20"/>
          <w:spacing w:val="8"/>
          <w:sz w:val="14"/>
        </w:rPr>
        <w:t xml:space="preserve"> </w:t>
      </w:r>
      <w:r>
        <w:rPr>
          <w:color w:val="231F20"/>
          <w:w w:val="99"/>
          <w:sz w:val="14"/>
        </w:rPr>
        <w:t>e-mail:</w:t>
      </w:r>
      <w:r>
        <w:rPr>
          <w:color w:val="231F20"/>
          <w:spacing w:val="8"/>
          <w:sz w:val="14"/>
        </w:rPr>
        <w:t xml:space="preserve"> </w:t>
      </w:r>
      <w:hyperlink r:id="rId9">
        <w:r>
          <w:rPr>
            <w:color w:val="231F20"/>
            <w:w w:val="99"/>
            <w:sz w:val="14"/>
          </w:rPr>
          <w:t>jou</w:t>
        </w:r>
        <w:r>
          <w:rPr>
            <w:color w:val="231F20"/>
            <w:spacing w:val="4"/>
            <w:w w:val="99"/>
            <w:sz w:val="14"/>
          </w:rPr>
          <w:t>r</w:t>
        </w:r>
        <w:r>
          <w:rPr>
            <w:color w:val="231F20"/>
            <w:w w:val="99"/>
            <w:sz w:val="14"/>
          </w:rPr>
          <w:t>nals.pe</w:t>
        </w:r>
        <w:r>
          <w:rPr>
            <w:color w:val="231F20"/>
            <w:spacing w:val="2"/>
            <w:w w:val="99"/>
            <w:sz w:val="14"/>
          </w:rPr>
          <w:t>r</w:t>
        </w:r>
        <w:r>
          <w:rPr>
            <w:color w:val="231F20"/>
            <w:w w:val="99"/>
            <w:sz w:val="14"/>
          </w:rPr>
          <w:t>missions@</w:t>
        </w:r>
        <w:r>
          <w:rPr>
            <w:color w:val="231F20"/>
            <w:spacing w:val="2"/>
            <w:w w:val="99"/>
            <w:sz w:val="14"/>
          </w:rPr>
          <w:t>o</w:t>
        </w:r>
        <w:r>
          <w:rPr>
            <w:color w:val="231F20"/>
            <w:w w:val="99"/>
            <w:sz w:val="14"/>
          </w:rPr>
          <w:t>u</w:t>
        </w:r>
        <w:r>
          <w:rPr>
            <w:color w:val="231F20"/>
            <w:spacing w:val="-5"/>
            <w:w w:val="99"/>
            <w:sz w:val="14"/>
          </w:rPr>
          <w:t>p</w:t>
        </w:r>
        <w:r>
          <w:rPr>
            <w:color w:val="231F20"/>
            <w:w w:val="99"/>
            <w:sz w:val="14"/>
          </w:rPr>
          <w:t>.com</w:t>
        </w:r>
      </w:hyperlink>
      <w:r>
        <w:rPr>
          <w:color w:val="231F20"/>
          <w:sz w:val="14"/>
        </w:rPr>
        <w:tab/>
      </w:r>
      <w:r>
        <w:rPr>
          <w:color w:val="231F20"/>
          <w:w w:val="99"/>
          <w:sz w:val="18"/>
        </w:rPr>
        <w:t>2036</w:t>
      </w:r>
    </w:p>
    <w:p w:rsidR="002E4A25" w:rsidRDefault="002E4A25">
      <w:pPr>
        <w:rPr>
          <w:sz w:val="18"/>
        </w:rPr>
        <w:sectPr w:rsidR="002E4A25">
          <w:type w:val="continuous"/>
          <w:pgSz w:w="11880" w:h="15660"/>
          <w:pgMar w:top="320" w:right="1000" w:bottom="280" w:left="1080" w:header="720" w:footer="720" w:gutter="0"/>
          <w:cols w:space="720"/>
        </w:sectPr>
      </w:pPr>
    </w:p>
    <w:p w:rsidR="002E4A25" w:rsidRDefault="002E4A25">
      <w:pPr>
        <w:pStyle w:val="BodyText"/>
        <w:spacing w:before="2"/>
        <w:rPr>
          <w:sz w:val="17"/>
        </w:rPr>
      </w:pPr>
    </w:p>
    <w:p w:rsidR="002E4A25" w:rsidRDefault="002E4A25">
      <w:pPr>
        <w:rPr>
          <w:sz w:val="17"/>
        </w:rPr>
        <w:sectPr w:rsidR="002E4A25">
          <w:headerReference w:type="even" r:id="rId10"/>
          <w:headerReference w:type="default" r:id="rId11"/>
          <w:footerReference w:type="even" r:id="rId12"/>
          <w:footerReference w:type="default" r:id="rId13"/>
          <w:pgSz w:w="11880" w:h="15660"/>
          <w:pgMar w:top="1260" w:right="1000" w:bottom="880" w:left="1360" w:header="1068" w:footer="688" w:gutter="0"/>
          <w:pgNumType w:start="2037"/>
          <w:cols w:space="720"/>
        </w:sectPr>
      </w:pPr>
    </w:p>
    <w:p w:rsidR="002E4A25" w:rsidRDefault="00D74ED8">
      <w:pPr>
        <w:pStyle w:val="BodyText"/>
        <w:spacing w:before="76" w:line="242" w:lineRule="auto"/>
        <w:ind w:left="119" w:right="1"/>
        <w:jc w:val="both"/>
      </w:pPr>
      <w:r>
        <w:pict>
          <v:shape id="_x0000_s1066" type="#_x0000_t202" style="position:absolute;left:0;text-align:left;margin-left:574.25pt;margin-top:245.3pt;width:10.9pt;height:293.3pt;z-index:251649536;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14">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r>
        <w:rPr>
          <w:color w:val="231F20"/>
        </w:rPr>
        <w:t>abuse liability of prescription opioids have increased in recent decades, particularly in the United States, as both the numbers of prescriptions for and total doses of opioids</w:t>
      </w:r>
      <w:r>
        <w:rPr>
          <w:color w:val="231F20"/>
          <w:spacing w:val="-7"/>
        </w:rPr>
        <w:t xml:space="preserve"> </w:t>
      </w:r>
      <w:r>
        <w:rPr>
          <w:color w:val="231F20"/>
        </w:rPr>
        <w:t>have</w:t>
      </w:r>
      <w:r>
        <w:rPr>
          <w:color w:val="231F20"/>
          <w:spacing w:val="-7"/>
        </w:rPr>
        <w:t xml:space="preserve"> </w:t>
      </w:r>
      <w:r>
        <w:rPr>
          <w:color w:val="231F20"/>
        </w:rPr>
        <w:t>increased</w:t>
      </w:r>
      <w:r>
        <w:rPr>
          <w:color w:val="231F20"/>
          <w:spacing w:val="-7"/>
        </w:rPr>
        <w:t xml:space="preserve"> </w:t>
      </w:r>
      <w:r>
        <w:rPr>
          <w:color w:val="231F20"/>
        </w:rPr>
        <w:t>markedly</w:t>
      </w:r>
      <w:r>
        <w:rPr>
          <w:color w:val="231F20"/>
          <w:spacing w:val="-7"/>
        </w:rPr>
        <w:t xml:space="preserve"> </w:t>
      </w:r>
      <w:r>
        <w:rPr>
          <w:color w:val="231F20"/>
        </w:rPr>
        <w:t>[</w:t>
      </w:r>
      <w:hyperlink w:anchor="_bookmark6" w:history="1">
        <w:r>
          <w:rPr>
            <w:color w:val="2E3092"/>
          </w:rPr>
          <w:t>2</w:t>
        </w:r>
      </w:hyperlink>
      <w:r>
        <w:rPr>
          <w:color w:val="231F20"/>
        </w:rPr>
        <w:t>,</w:t>
      </w:r>
      <w:hyperlink w:anchor="_bookmark7" w:history="1">
        <w:r>
          <w:rPr>
            <w:color w:val="2E3092"/>
          </w:rPr>
          <w:t>3</w:t>
        </w:r>
      </w:hyperlink>
      <w:r>
        <w:rPr>
          <w:color w:val="231F20"/>
        </w:rPr>
        <w:t>].</w:t>
      </w:r>
      <w:r>
        <w:rPr>
          <w:color w:val="231F20"/>
          <w:spacing w:val="-7"/>
        </w:rPr>
        <w:t xml:space="preserve"> </w:t>
      </w:r>
      <w:r>
        <w:rPr>
          <w:color w:val="231F20"/>
        </w:rPr>
        <w:t>Balancing</w:t>
      </w:r>
      <w:r>
        <w:rPr>
          <w:color w:val="231F20"/>
          <w:spacing w:val="-7"/>
        </w:rPr>
        <w:t xml:space="preserve"> </w:t>
      </w:r>
      <w:r>
        <w:rPr>
          <w:color w:val="231F20"/>
        </w:rPr>
        <w:t>the</w:t>
      </w:r>
      <w:r>
        <w:rPr>
          <w:color w:val="231F20"/>
          <w:spacing w:val="-7"/>
        </w:rPr>
        <w:t xml:space="preserve"> </w:t>
      </w:r>
      <w:r>
        <w:rPr>
          <w:color w:val="231F20"/>
        </w:rPr>
        <w:t>le- gitimate medical use of opioids for analgesia vs</w:t>
      </w:r>
      <w:r>
        <w:rPr>
          <w:color w:val="231F20"/>
          <w:spacing w:val="-24"/>
        </w:rPr>
        <w:t xml:space="preserve"> </w:t>
      </w:r>
      <w:r>
        <w:rPr>
          <w:color w:val="231F20"/>
        </w:rPr>
        <w:t>society- wide abuse, misuse, diversion, addiction, and mortality has</w:t>
      </w:r>
      <w:r>
        <w:rPr>
          <w:color w:val="231F20"/>
          <w:spacing w:val="-6"/>
        </w:rPr>
        <w:t xml:space="preserve"> </w:t>
      </w:r>
      <w:r>
        <w:rPr>
          <w:color w:val="231F20"/>
        </w:rPr>
        <w:t>become</w:t>
      </w:r>
      <w:r>
        <w:rPr>
          <w:color w:val="231F20"/>
          <w:spacing w:val="-6"/>
        </w:rPr>
        <w:t xml:space="preserve"> </w:t>
      </w:r>
      <w:r>
        <w:rPr>
          <w:color w:val="231F20"/>
        </w:rPr>
        <w:t>a</w:t>
      </w:r>
      <w:r>
        <w:rPr>
          <w:color w:val="231F20"/>
          <w:spacing w:val="-6"/>
        </w:rPr>
        <w:t xml:space="preserve"> </w:t>
      </w:r>
      <w:r>
        <w:rPr>
          <w:color w:val="231F20"/>
        </w:rPr>
        <w:t>major</w:t>
      </w:r>
      <w:r>
        <w:rPr>
          <w:color w:val="231F20"/>
          <w:spacing w:val="-6"/>
        </w:rPr>
        <w:t xml:space="preserve"> </w:t>
      </w:r>
      <w:r>
        <w:rPr>
          <w:color w:val="231F20"/>
        </w:rPr>
        <w:t>public</w:t>
      </w:r>
      <w:r>
        <w:rPr>
          <w:color w:val="231F20"/>
          <w:spacing w:val="-6"/>
        </w:rPr>
        <w:t xml:space="preserve"> </w:t>
      </w:r>
      <w:r>
        <w:rPr>
          <w:color w:val="231F20"/>
        </w:rPr>
        <w:t>health</w:t>
      </w:r>
      <w:r>
        <w:rPr>
          <w:color w:val="231F20"/>
          <w:spacing w:val="-5"/>
        </w:rPr>
        <w:t xml:space="preserve"> </w:t>
      </w:r>
      <w:r>
        <w:rPr>
          <w:color w:val="231F20"/>
        </w:rPr>
        <w:t>theme</w:t>
      </w:r>
      <w:r>
        <w:rPr>
          <w:color w:val="231F20"/>
          <w:spacing w:val="-6"/>
        </w:rPr>
        <w:t xml:space="preserve"> </w:t>
      </w:r>
      <w:r>
        <w:rPr>
          <w:color w:val="231F20"/>
        </w:rPr>
        <w:t>[</w:t>
      </w:r>
      <w:hyperlink w:anchor="_bookmark8" w:history="1">
        <w:r>
          <w:rPr>
            <w:color w:val="2E3092"/>
          </w:rPr>
          <w:t>4</w:t>
        </w:r>
      </w:hyperlink>
      <w:r>
        <w:rPr>
          <w:color w:val="231F20"/>
        </w:rPr>
        <w:t>].</w:t>
      </w:r>
    </w:p>
    <w:p w:rsidR="002E4A25" w:rsidRDefault="002E4A25">
      <w:pPr>
        <w:pStyle w:val="BodyText"/>
        <w:spacing w:before="3"/>
      </w:pPr>
    </w:p>
    <w:p w:rsidR="002E4A25" w:rsidRDefault="00D74ED8">
      <w:pPr>
        <w:pStyle w:val="BodyText"/>
        <w:spacing w:line="242" w:lineRule="auto"/>
        <w:ind w:left="119"/>
        <w:jc w:val="both"/>
      </w:pPr>
      <w:r>
        <w:rPr>
          <w:color w:val="231F20"/>
        </w:rPr>
        <w:t>In March 2016, th</w:t>
      </w:r>
      <w:r>
        <w:rPr>
          <w:color w:val="231F20"/>
        </w:rPr>
        <w:t>e US Centers for Disease Control</w:t>
      </w:r>
      <w:r>
        <w:rPr>
          <w:color w:val="231F20"/>
          <w:spacing w:val="-12"/>
        </w:rPr>
        <w:t xml:space="preserve"> </w:t>
      </w:r>
      <w:r>
        <w:rPr>
          <w:color w:val="231F20"/>
        </w:rPr>
        <w:t>and Prevention (CDC) published a guideline for prescribing opioids for chronic pain on the CDC website [</w:t>
      </w:r>
      <w:hyperlink w:anchor="_bookmark9" w:history="1">
        <w:r>
          <w:rPr>
            <w:color w:val="2E3092"/>
          </w:rPr>
          <w:t>5</w:t>
        </w:r>
      </w:hyperlink>
      <w:r>
        <w:rPr>
          <w:color w:val="231F20"/>
        </w:rPr>
        <w:t>]. The guideline’s</w:t>
      </w:r>
      <w:r>
        <w:rPr>
          <w:color w:val="231F20"/>
          <w:spacing w:val="-8"/>
        </w:rPr>
        <w:t xml:space="preserve"> </w:t>
      </w:r>
      <w:r>
        <w:rPr>
          <w:color w:val="231F20"/>
        </w:rPr>
        <w:t>intent</w:t>
      </w:r>
      <w:r>
        <w:rPr>
          <w:color w:val="231F20"/>
          <w:spacing w:val="-8"/>
        </w:rPr>
        <w:t xml:space="preserve"> </w:t>
      </w:r>
      <w:r>
        <w:rPr>
          <w:color w:val="231F20"/>
        </w:rPr>
        <w:t>is</w:t>
      </w:r>
      <w:r>
        <w:rPr>
          <w:color w:val="231F20"/>
          <w:spacing w:val="-9"/>
        </w:rPr>
        <w:t xml:space="preserve"> </w:t>
      </w:r>
      <w:r>
        <w:rPr>
          <w:color w:val="231F20"/>
        </w:rPr>
        <w:t>“to</w:t>
      </w:r>
      <w:r>
        <w:rPr>
          <w:color w:val="231F20"/>
          <w:spacing w:val="-9"/>
        </w:rPr>
        <w:t xml:space="preserve"> </w:t>
      </w:r>
      <w:r>
        <w:rPr>
          <w:color w:val="231F20"/>
        </w:rPr>
        <w:t>improve</w:t>
      </w:r>
      <w:r>
        <w:rPr>
          <w:color w:val="231F20"/>
          <w:spacing w:val="-8"/>
        </w:rPr>
        <w:t xml:space="preserve"> </w:t>
      </w:r>
      <w:r>
        <w:rPr>
          <w:color w:val="231F20"/>
        </w:rPr>
        <w:t>communication</w:t>
      </w:r>
      <w:r>
        <w:rPr>
          <w:color w:val="231F20"/>
          <w:spacing w:val="-8"/>
        </w:rPr>
        <w:t xml:space="preserve"> </w:t>
      </w:r>
      <w:r>
        <w:rPr>
          <w:color w:val="231F20"/>
        </w:rPr>
        <w:t>between clinicians and patients a</w:t>
      </w:r>
      <w:r>
        <w:rPr>
          <w:color w:val="231F20"/>
        </w:rPr>
        <w:t>bout the risks and benefits of opioid therapy for chronic pain, improve the safety and effectiveness of pain treatment, and reduce the risks associated with long-term opioid therapy.” An important message communicated in the CDC guideline and related press</w:t>
      </w:r>
      <w:r>
        <w:rPr>
          <w:color w:val="231F20"/>
        </w:rPr>
        <w:t xml:space="preserve"> releases is that the body of evidence ad- dressing the effectiveness or efficacy of opioid therapy for</w:t>
      </w:r>
      <w:r>
        <w:rPr>
          <w:color w:val="231F20"/>
          <w:spacing w:val="-12"/>
        </w:rPr>
        <w:t xml:space="preserve"> </w:t>
      </w:r>
      <w:r>
        <w:rPr>
          <w:color w:val="231F20"/>
        </w:rPr>
        <w:t>outcomes</w:t>
      </w:r>
      <w:r>
        <w:rPr>
          <w:color w:val="231F20"/>
          <w:spacing w:val="-14"/>
        </w:rPr>
        <w:t xml:space="preserve"> </w:t>
      </w:r>
      <w:r>
        <w:rPr>
          <w:color w:val="231F20"/>
        </w:rPr>
        <w:t>of</w:t>
      </w:r>
      <w:r>
        <w:rPr>
          <w:color w:val="231F20"/>
          <w:spacing w:val="-13"/>
        </w:rPr>
        <w:t xml:space="preserve"> </w:t>
      </w:r>
      <w:r>
        <w:rPr>
          <w:color w:val="231F20"/>
        </w:rPr>
        <w:t>pain,</w:t>
      </w:r>
      <w:r>
        <w:rPr>
          <w:color w:val="231F20"/>
          <w:spacing w:val="-12"/>
        </w:rPr>
        <w:t xml:space="preserve"> </w:t>
      </w:r>
      <w:r>
        <w:rPr>
          <w:color w:val="231F20"/>
        </w:rPr>
        <w:t>function,</w:t>
      </w:r>
      <w:r>
        <w:rPr>
          <w:color w:val="231F20"/>
          <w:spacing w:val="-12"/>
        </w:rPr>
        <w:t xml:space="preserve"> </w:t>
      </w:r>
      <w:r>
        <w:rPr>
          <w:color w:val="231F20"/>
        </w:rPr>
        <w:t>or</w:t>
      </w:r>
      <w:r>
        <w:rPr>
          <w:color w:val="231F20"/>
          <w:spacing w:val="-13"/>
        </w:rPr>
        <w:t xml:space="preserve"> </w:t>
      </w:r>
      <w:r>
        <w:rPr>
          <w:color w:val="231F20"/>
        </w:rPr>
        <w:t>quality</w:t>
      </w:r>
      <w:r>
        <w:rPr>
          <w:color w:val="231F20"/>
          <w:spacing w:val="-12"/>
        </w:rPr>
        <w:t xml:space="preserve"> </w:t>
      </w:r>
      <w:r>
        <w:rPr>
          <w:color w:val="231F20"/>
        </w:rPr>
        <w:t>of</w:t>
      </w:r>
      <w:r>
        <w:rPr>
          <w:color w:val="231F20"/>
          <w:spacing w:val="-13"/>
        </w:rPr>
        <w:t xml:space="preserve"> </w:t>
      </w:r>
      <w:r>
        <w:rPr>
          <w:color w:val="231F20"/>
        </w:rPr>
        <w:t>life</w:t>
      </w:r>
      <w:r>
        <w:rPr>
          <w:color w:val="231F20"/>
          <w:spacing w:val="-13"/>
        </w:rPr>
        <w:t xml:space="preserve"> </w:t>
      </w:r>
      <w:r>
        <w:rPr>
          <w:color w:val="231F20"/>
        </w:rPr>
        <w:t>was</w:t>
      </w:r>
      <w:r>
        <w:rPr>
          <w:color w:val="231F20"/>
          <w:spacing w:val="-12"/>
        </w:rPr>
        <w:t xml:space="preserve"> </w:t>
      </w:r>
      <w:r>
        <w:rPr>
          <w:color w:val="231F20"/>
        </w:rPr>
        <w:t>insuf- ficient to contribute any studies for their analyses. In reaching this conclusion, the minimal duration for</w:t>
      </w:r>
      <w:r>
        <w:rPr>
          <w:color w:val="231F20"/>
          <w:spacing w:val="27"/>
        </w:rPr>
        <w:t xml:space="preserve"> </w:t>
      </w:r>
      <w:r>
        <w:rPr>
          <w:color w:val="231F20"/>
        </w:rPr>
        <w:t>inclu-</w:t>
      </w:r>
    </w:p>
    <w:p w:rsidR="002E4A25" w:rsidRDefault="00D74ED8">
      <w:pPr>
        <w:pStyle w:val="BodyText"/>
        <w:spacing w:line="206" w:lineRule="auto"/>
        <w:ind w:left="119"/>
        <w:jc w:val="both"/>
      </w:pPr>
      <w:r>
        <w:rPr>
          <w:color w:val="231F20"/>
        </w:rPr>
        <w:t>sion of a long-term study was set by the authors as “</w:t>
      </w:r>
      <w:r>
        <w:rPr>
          <w:rFonts w:ascii="Lucida Sans Unicode" w:hAnsi="Lucida Sans Unicode"/>
          <w:color w:val="231F20"/>
        </w:rPr>
        <w:t>&gt;</w:t>
      </w:r>
      <w:r>
        <w:rPr>
          <w:color w:val="231F20"/>
        </w:rPr>
        <w:t>1 year,”</w:t>
      </w:r>
      <w:r>
        <w:rPr>
          <w:color w:val="231F20"/>
          <w:spacing w:val="-9"/>
        </w:rPr>
        <w:t xml:space="preserve"> </w:t>
      </w:r>
      <w:r>
        <w:rPr>
          <w:color w:val="231F20"/>
        </w:rPr>
        <w:t>the</w:t>
      </w:r>
      <w:r>
        <w:rPr>
          <w:color w:val="231F20"/>
          <w:spacing w:val="-9"/>
        </w:rPr>
        <w:t xml:space="preserve"> </w:t>
      </w:r>
      <w:r>
        <w:rPr>
          <w:color w:val="231F20"/>
        </w:rPr>
        <w:t>same</w:t>
      </w:r>
      <w:r>
        <w:rPr>
          <w:color w:val="231F20"/>
          <w:spacing w:val="-9"/>
        </w:rPr>
        <w:t xml:space="preserve"> </w:t>
      </w:r>
      <w:r>
        <w:rPr>
          <w:color w:val="231F20"/>
        </w:rPr>
        <w:t>threshold</w:t>
      </w:r>
      <w:r>
        <w:rPr>
          <w:color w:val="231F20"/>
          <w:spacing w:val="-11"/>
        </w:rPr>
        <w:t xml:space="preserve"> </w:t>
      </w:r>
      <w:r>
        <w:rPr>
          <w:color w:val="231F20"/>
        </w:rPr>
        <w:t>employed</w:t>
      </w:r>
      <w:r>
        <w:rPr>
          <w:color w:val="231F20"/>
          <w:spacing w:val="-10"/>
        </w:rPr>
        <w:t xml:space="preserve"> </w:t>
      </w:r>
      <w:r>
        <w:rPr>
          <w:color w:val="231F20"/>
        </w:rPr>
        <w:t>by</w:t>
      </w:r>
      <w:r>
        <w:rPr>
          <w:color w:val="231F20"/>
          <w:spacing w:val="-11"/>
        </w:rPr>
        <w:t xml:space="preserve"> </w:t>
      </w:r>
      <w:r>
        <w:rPr>
          <w:color w:val="231F20"/>
        </w:rPr>
        <w:t>a</w:t>
      </w:r>
      <w:r>
        <w:rPr>
          <w:color w:val="231F20"/>
          <w:spacing w:val="-9"/>
        </w:rPr>
        <w:t xml:space="preserve"> </w:t>
      </w:r>
      <w:r>
        <w:rPr>
          <w:color w:val="231F20"/>
        </w:rPr>
        <w:t>2014</w:t>
      </w:r>
      <w:r>
        <w:rPr>
          <w:color w:val="231F20"/>
          <w:spacing w:val="-10"/>
        </w:rPr>
        <w:t xml:space="preserve"> </w:t>
      </w:r>
      <w:r>
        <w:rPr>
          <w:color w:val="231F20"/>
        </w:rPr>
        <w:t>evidence</w:t>
      </w:r>
    </w:p>
    <w:p w:rsidR="002E4A25" w:rsidRDefault="00D74ED8">
      <w:pPr>
        <w:pStyle w:val="BodyText"/>
        <w:spacing w:before="9" w:line="242" w:lineRule="auto"/>
        <w:ind w:left="119"/>
        <w:jc w:val="both"/>
      </w:pPr>
      <w:r>
        <w:rPr>
          <w:color w:val="231F20"/>
        </w:rPr>
        <w:t>report [</w:t>
      </w:r>
      <w:hyperlink w:anchor="_bookmark10" w:history="1">
        <w:r>
          <w:rPr>
            <w:color w:val="2E3092"/>
          </w:rPr>
          <w:t>6</w:t>
        </w:r>
      </w:hyperlink>
      <w:r>
        <w:rPr>
          <w:color w:val="231F20"/>
        </w:rPr>
        <w:t>] that informed the 2016 CDC guideline. The same</w:t>
      </w:r>
      <w:r>
        <w:rPr>
          <w:color w:val="231F20"/>
          <w:spacing w:val="-12"/>
        </w:rPr>
        <w:t xml:space="preserve"> </w:t>
      </w:r>
      <w:r>
        <w:rPr>
          <w:color w:val="231F20"/>
        </w:rPr>
        <w:t>consultant</w:t>
      </w:r>
      <w:r>
        <w:rPr>
          <w:color w:val="231F20"/>
          <w:spacing w:val="-12"/>
        </w:rPr>
        <w:t xml:space="preserve"> </w:t>
      </w:r>
      <w:r>
        <w:rPr>
          <w:color w:val="231F20"/>
        </w:rPr>
        <w:t>was</w:t>
      </w:r>
      <w:r>
        <w:rPr>
          <w:color w:val="231F20"/>
          <w:spacing w:val="-10"/>
        </w:rPr>
        <w:t xml:space="preserve"> </w:t>
      </w:r>
      <w:r>
        <w:rPr>
          <w:color w:val="231F20"/>
        </w:rPr>
        <w:t>the</w:t>
      </w:r>
      <w:r>
        <w:rPr>
          <w:color w:val="231F20"/>
          <w:spacing w:val="-11"/>
        </w:rPr>
        <w:t xml:space="preserve"> </w:t>
      </w:r>
      <w:r>
        <w:rPr>
          <w:color w:val="231F20"/>
        </w:rPr>
        <w:t>lead</w:t>
      </w:r>
      <w:r>
        <w:rPr>
          <w:color w:val="231F20"/>
          <w:spacing w:val="-12"/>
        </w:rPr>
        <w:t xml:space="preserve"> </w:t>
      </w:r>
      <w:r>
        <w:rPr>
          <w:color w:val="231F20"/>
        </w:rPr>
        <w:t>methodologist</w:t>
      </w:r>
      <w:r>
        <w:rPr>
          <w:color w:val="231F20"/>
          <w:spacing w:val="-11"/>
        </w:rPr>
        <w:t xml:space="preserve"> </w:t>
      </w:r>
      <w:r>
        <w:rPr>
          <w:color w:val="231F20"/>
        </w:rPr>
        <w:t>for</w:t>
      </w:r>
      <w:r>
        <w:rPr>
          <w:color w:val="231F20"/>
          <w:spacing w:val="-12"/>
        </w:rPr>
        <w:t xml:space="preserve"> </w:t>
      </w:r>
      <w:r>
        <w:rPr>
          <w:color w:val="231F20"/>
        </w:rPr>
        <w:t>both</w:t>
      </w:r>
      <w:r>
        <w:rPr>
          <w:color w:val="231F20"/>
          <w:spacing w:val="-12"/>
        </w:rPr>
        <w:t xml:space="preserve"> </w:t>
      </w:r>
      <w:r>
        <w:rPr>
          <w:color w:val="231F20"/>
        </w:rPr>
        <w:t>the 2014 evidence report and the 2016 CDC guideline. However,</w:t>
      </w:r>
      <w:r>
        <w:rPr>
          <w:color w:val="231F20"/>
          <w:spacing w:val="-10"/>
        </w:rPr>
        <w:t xml:space="preserve"> </w:t>
      </w:r>
      <w:r>
        <w:rPr>
          <w:color w:val="231F20"/>
        </w:rPr>
        <w:t>earlier</w:t>
      </w:r>
      <w:r>
        <w:rPr>
          <w:color w:val="231F20"/>
          <w:spacing w:val="-9"/>
        </w:rPr>
        <w:t xml:space="preserve"> </w:t>
      </w:r>
      <w:r>
        <w:rPr>
          <w:color w:val="231F20"/>
        </w:rPr>
        <w:t>systematic</w:t>
      </w:r>
      <w:r>
        <w:rPr>
          <w:color w:val="231F20"/>
          <w:spacing w:val="-10"/>
        </w:rPr>
        <w:t xml:space="preserve"> </w:t>
      </w:r>
      <w:r>
        <w:rPr>
          <w:color w:val="231F20"/>
        </w:rPr>
        <w:t>reviews</w:t>
      </w:r>
      <w:r>
        <w:rPr>
          <w:color w:val="231F20"/>
          <w:spacing w:val="-10"/>
        </w:rPr>
        <w:t xml:space="preserve"> </w:t>
      </w:r>
      <w:r>
        <w:rPr>
          <w:color w:val="231F20"/>
        </w:rPr>
        <w:t>of</w:t>
      </w:r>
      <w:r>
        <w:rPr>
          <w:color w:val="231F20"/>
          <w:spacing w:val="-10"/>
        </w:rPr>
        <w:t xml:space="preserve"> </w:t>
      </w:r>
      <w:r>
        <w:rPr>
          <w:color w:val="231F20"/>
        </w:rPr>
        <w:t>the</w:t>
      </w:r>
      <w:r>
        <w:rPr>
          <w:color w:val="231F20"/>
          <w:spacing w:val="-9"/>
        </w:rPr>
        <w:t xml:space="preserve"> </w:t>
      </w:r>
      <w:r>
        <w:rPr>
          <w:color w:val="231F20"/>
        </w:rPr>
        <w:t>effectiveness or efficacy of opioids for chronic</w:t>
      </w:r>
      <w:r>
        <w:rPr>
          <w:color w:val="231F20"/>
        </w:rPr>
        <w:t xml:space="preserve"> noncancer pain [</w:t>
      </w:r>
      <w:hyperlink w:anchor="_bookmark11" w:history="1">
        <w:r>
          <w:rPr>
            <w:color w:val="2E3092"/>
          </w:rPr>
          <w:t>7</w:t>
        </w:r>
      </w:hyperlink>
      <w:r>
        <w:rPr>
          <w:color w:val="231F20"/>
        </w:rPr>
        <w:t>,</w:t>
      </w:r>
      <w:hyperlink w:anchor="_bookmark12" w:history="1">
        <w:r>
          <w:rPr>
            <w:color w:val="2E3092"/>
          </w:rPr>
          <w:t>8</w:t>
        </w:r>
      </w:hyperlink>
      <w:r>
        <w:rPr>
          <w:color w:val="231F20"/>
        </w:rPr>
        <w:t>], co-authored by the same consultant and based upon the</w:t>
      </w:r>
      <w:r>
        <w:rPr>
          <w:color w:val="231F20"/>
          <w:spacing w:val="-17"/>
        </w:rPr>
        <w:t xml:space="preserve"> </w:t>
      </w:r>
      <w:r>
        <w:rPr>
          <w:color w:val="231F20"/>
        </w:rPr>
        <w:t>best</w:t>
      </w:r>
      <w:r>
        <w:rPr>
          <w:color w:val="231F20"/>
          <w:spacing w:val="-18"/>
        </w:rPr>
        <w:t xml:space="preserve"> </w:t>
      </w:r>
      <w:r>
        <w:rPr>
          <w:color w:val="231F20"/>
        </w:rPr>
        <w:t>available</w:t>
      </w:r>
      <w:r>
        <w:rPr>
          <w:color w:val="231F20"/>
          <w:spacing w:val="-17"/>
        </w:rPr>
        <w:t xml:space="preserve"> </w:t>
      </w:r>
      <w:r>
        <w:rPr>
          <w:color w:val="231F20"/>
        </w:rPr>
        <w:t>evidence,</w:t>
      </w:r>
      <w:r>
        <w:rPr>
          <w:color w:val="231F20"/>
          <w:spacing w:val="-17"/>
        </w:rPr>
        <w:t xml:space="preserve"> </w:t>
      </w:r>
      <w:r>
        <w:rPr>
          <w:color w:val="231F20"/>
        </w:rPr>
        <w:t>had</w:t>
      </w:r>
      <w:r>
        <w:rPr>
          <w:color w:val="231F20"/>
          <w:spacing w:val="-17"/>
        </w:rPr>
        <w:t xml:space="preserve"> </w:t>
      </w:r>
      <w:r>
        <w:rPr>
          <w:color w:val="231F20"/>
        </w:rPr>
        <w:t>identified</w:t>
      </w:r>
      <w:r>
        <w:rPr>
          <w:color w:val="231F20"/>
          <w:spacing w:val="-17"/>
        </w:rPr>
        <w:t xml:space="preserve"> </w:t>
      </w:r>
      <w:r>
        <w:rPr>
          <w:color w:val="231F20"/>
        </w:rPr>
        <w:t>dozens</w:t>
      </w:r>
      <w:r>
        <w:rPr>
          <w:color w:val="231F20"/>
          <w:spacing w:val="-17"/>
        </w:rPr>
        <w:t xml:space="preserve"> </w:t>
      </w:r>
      <w:r>
        <w:rPr>
          <w:color w:val="231F20"/>
        </w:rPr>
        <w:t>of</w:t>
      </w:r>
      <w:r>
        <w:rPr>
          <w:color w:val="231F20"/>
          <w:spacing w:val="-18"/>
        </w:rPr>
        <w:t xml:space="preserve"> </w:t>
      </w:r>
      <w:r>
        <w:rPr>
          <w:color w:val="231F20"/>
        </w:rPr>
        <w:t>clin- ical trials and systematic reviews of this topic. Although their conclusions were guarded due to the poor overall quality of the literature, both earlier reviews concluded that selected, carefully monitored patients might benefit from</w:t>
      </w:r>
      <w:r>
        <w:rPr>
          <w:color w:val="231F20"/>
          <w:spacing w:val="-5"/>
        </w:rPr>
        <w:t xml:space="preserve"> </w:t>
      </w:r>
      <w:r>
        <w:rPr>
          <w:color w:val="231F20"/>
        </w:rPr>
        <w:t>such</w:t>
      </w:r>
      <w:r>
        <w:rPr>
          <w:color w:val="231F20"/>
          <w:spacing w:val="-5"/>
        </w:rPr>
        <w:t xml:space="preserve"> </w:t>
      </w:r>
      <w:r>
        <w:rPr>
          <w:color w:val="231F20"/>
        </w:rPr>
        <w:t>therapy.</w:t>
      </w:r>
      <w:r>
        <w:rPr>
          <w:color w:val="231F20"/>
          <w:spacing w:val="-6"/>
        </w:rPr>
        <w:t xml:space="preserve"> </w:t>
      </w:r>
      <w:r>
        <w:rPr>
          <w:color w:val="231F20"/>
        </w:rPr>
        <w:t>B</w:t>
      </w:r>
      <w:r>
        <w:rPr>
          <w:color w:val="231F20"/>
        </w:rPr>
        <w:t>ecause</w:t>
      </w:r>
      <w:r>
        <w:rPr>
          <w:color w:val="231F20"/>
          <w:spacing w:val="-5"/>
        </w:rPr>
        <w:t xml:space="preserve"> </w:t>
      </w:r>
      <w:r>
        <w:rPr>
          <w:color w:val="231F20"/>
        </w:rPr>
        <w:t>the</w:t>
      </w:r>
      <w:r>
        <w:rPr>
          <w:color w:val="231F20"/>
          <w:spacing w:val="-5"/>
        </w:rPr>
        <w:t xml:space="preserve"> </w:t>
      </w:r>
      <w:r>
        <w:rPr>
          <w:color w:val="231F20"/>
        </w:rPr>
        <w:t>2016</w:t>
      </w:r>
      <w:r>
        <w:rPr>
          <w:color w:val="231F20"/>
          <w:spacing w:val="-6"/>
        </w:rPr>
        <w:t xml:space="preserve"> </w:t>
      </w:r>
      <w:r>
        <w:rPr>
          <w:color w:val="231F20"/>
        </w:rPr>
        <w:t>CDC</w:t>
      </w:r>
      <w:r>
        <w:rPr>
          <w:color w:val="231F20"/>
          <w:spacing w:val="-5"/>
        </w:rPr>
        <w:t xml:space="preserve"> </w:t>
      </w:r>
      <w:r>
        <w:rPr>
          <w:color w:val="231F20"/>
        </w:rPr>
        <w:t>literature</w:t>
      </w:r>
      <w:r>
        <w:rPr>
          <w:color w:val="231F20"/>
          <w:spacing w:val="-7"/>
        </w:rPr>
        <w:t xml:space="preserve"> </w:t>
      </w:r>
      <w:r>
        <w:rPr>
          <w:color w:val="231F20"/>
        </w:rPr>
        <w:t>re- view</w:t>
      </w:r>
      <w:r>
        <w:rPr>
          <w:color w:val="231F20"/>
          <w:spacing w:val="-6"/>
        </w:rPr>
        <w:t xml:space="preserve"> </w:t>
      </w:r>
      <w:r>
        <w:rPr>
          <w:color w:val="231F20"/>
        </w:rPr>
        <w:t>may</w:t>
      </w:r>
      <w:r>
        <w:rPr>
          <w:color w:val="231F20"/>
          <w:spacing w:val="-5"/>
        </w:rPr>
        <w:t xml:space="preserve"> </w:t>
      </w:r>
      <w:r>
        <w:rPr>
          <w:color w:val="231F20"/>
        </w:rPr>
        <w:t>be</w:t>
      </w:r>
      <w:r>
        <w:rPr>
          <w:color w:val="231F20"/>
          <w:spacing w:val="-5"/>
        </w:rPr>
        <w:t xml:space="preserve"> </w:t>
      </w:r>
      <w:r>
        <w:rPr>
          <w:color w:val="231F20"/>
        </w:rPr>
        <w:t>viewed</w:t>
      </w:r>
      <w:r>
        <w:rPr>
          <w:color w:val="231F20"/>
          <w:spacing w:val="-5"/>
        </w:rPr>
        <w:t xml:space="preserve"> </w:t>
      </w:r>
      <w:r>
        <w:rPr>
          <w:color w:val="231F20"/>
        </w:rPr>
        <w:t>as</w:t>
      </w:r>
      <w:r>
        <w:rPr>
          <w:color w:val="231F20"/>
          <w:spacing w:val="-5"/>
        </w:rPr>
        <w:t xml:space="preserve"> </w:t>
      </w:r>
      <w:r>
        <w:rPr>
          <w:color w:val="231F20"/>
        </w:rPr>
        <w:t>an</w:t>
      </w:r>
      <w:r>
        <w:rPr>
          <w:color w:val="231F20"/>
          <w:spacing w:val="-5"/>
        </w:rPr>
        <w:t xml:space="preserve"> </w:t>
      </w:r>
      <w:r>
        <w:rPr>
          <w:color w:val="231F20"/>
        </w:rPr>
        <w:t>update</w:t>
      </w:r>
      <w:r>
        <w:rPr>
          <w:color w:val="231F20"/>
          <w:spacing w:val="-5"/>
        </w:rPr>
        <w:t xml:space="preserve"> </w:t>
      </w:r>
      <w:r>
        <w:rPr>
          <w:color w:val="231F20"/>
        </w:rPr>
        <w:t>of</w:t>
      </w:r>
      <w:r>
        <w:rPr>
          <w:color w:val="231F20"/>
          <w:spacing w:val="-6"/>
        </w:rPr>
        <w:t xml:space="preserve"> </w:t>
      </w:r>
      <w:r>
        <w:rPr>
          <w:color w:val="231F20"/>
        </w:rPr>
        <w:t>the</w:t>
      </w:r>
      <w:r>
        <w:rPr>
          <w:color w:val="231F20"/>
          <w:spacing w:val="-5"/>
        </w:rPr>
        <w:t xml:space="preserve"> </w:t>
      </w:r>
      <w:r>
        <w:rPr>
          <w:color w:val="231F20"/>
        </w:rPr>
        <w:t>earlier</w:t>
      </w:r>
      <w:r>
        <w:rPr>
          <w:color w:val="231F20"/>
          <w:spacing w:val="-5"/>
        </w:rPr>
        <w:t xml:space="preserve"> </w:t>
      </w:r>
      <w:r>
        <w:rPr>
          <w:color w:val="231F20"/>
        </w:rPr>
        <w:t>reviews, it was striking that the 2016 review reached far more negative</w:t>
      </w:r>
      <w:r>
        <w:rPr>
          <w:color w:val="231F20"/>
          <w:spacing w:val="-14"/>
        </w:rPr>
        <w:t xml:space="preserve"> </w:t>
      </w:r>
      <w:r>
        <w:rPr>
          <w:color w:val="231F20"/>
        </w:rPr>
        <w:t>conclusions</w:t>
      </w:r>
      <w:r>
        <w:rPr>
          <w:color w:val="231F20"/>
          <w:spacing w:val="-15"/>
        </w:rPr>
        <w:t xml:space="preserve"> </w:t>
      </w:r>
      <w:r>
        <w:rPr>
          <w:color w:val="231F20"/>
        </w:rPr>
        <w:t>about</w:t>
      </w:r>
      <w:r>
        <w:rPr>
          <w:color w:val="231F20"/>
          <w:spacing w:val="-14"/>
        </w:rPr>
        <w:t xml:space="preserve"> </w:t>
      </w:r>
      <w:r>
        <w:rPr>
          <w:color w:val="231F20"/>
        </w:rPr>
        <w:t>the</w:t>
      </w:r>
      <w:r>
        <w:rPr>
          <w:color w:val="231F20"/>
          <w:spacing w:val="-14"/>
        </w:rPr>
        <w:t xml:space="preserve"> </w:t>
      </w:r>
      <w:r>
        <w:rPr>
          <w:color w:val="231F20"/>
        </w:rPr>
        <w:t>risk-benefit</w:t>
      </w:r>
      <w:r>
        <w:rPr>
          <w:color w:val="231F20"/>
          <w:spacing w:val="-15"/>
        </w:rPr>
        <w:t xml:space="preserve"> </w:t>
      </w:r>
      <w:r>
        <w:rPr>
          <w:color w:val="231F20"/>
        </w:rPr>
        <w:t>ratio</w:t>
      </w:r>
      <w:r>
        <w:rPr>
          <w:color w:val="231F20"/>
          <w:spacing w:val="-14"/>
        </w:rPr>
        <w:t xml:space="preserve"> </w:t>
      </w:r>
      <w:r>
        <w:rPr>
          <w:color w:val="231F20"/>
        </w:rPr>
        <w:t>for</w:t>
      </w:r>
      <w:r>
        <w:rPr>
          <w:color w:val="231F20"/>
          <w:spacing w:val="-14"/>
        </w:rPr>
        <w:t xml:space="preserve"> </w:t>
      </w:r>
      <w:r>
        <w:rPr>
          <w:color w:val="231F20"/>
        </w:rPr>
        <w:t>long- term</w:t>
      </w:r>
      <w:r>
        <w:rPr>
          <w:color w:val="231F20"/>
          <w:spacing w:val="-11"/>
        </w:rPr>
        <w:t xml:space="preserve"> </w:t>
      </w:r>
      <w:r>
        <w:rPr>
          <w:color w:val="231F20"/>
        </w:rPr>
        <w:t>opioid</w:t>
      </w:r>
      <w:r>
        <w:rPr>
          <w:color w:val="231F20"/>
          <w:spacing w:val="-11"/>
        </w:rPr>
        <w:t xml:space="preserve"> </w:t>
      </w:r>
      <w:r>
        <w:rPr>
          <w:color w:val="231F20"/>
        </w:rPr>
        <w:t>therapy</w:t>
      </w:r>
      <w:r>
        <w:rPr>
          <w:color w:val="231F20"/>
          <w:spacing w:val="-10"/>
        </w:rPr>
        <w:t xml:space="preserve"> </w:t>
      </w:r>
      <w:r>
        <w:rPr>
          <w:color w:val="231F20"/>
        </w:rPr>
        <w:t>than</w:t>
      </w:r>
      <w:r>
        <w:rPr>
          <w:color w:val="231F20"/>
          <w:spacing w:val="-11"/>
        </w:rPr>
        <w:t xml:space="preserve"> </w:t>
      </w:r>
      <w:r>
        <w:rPr>
          <w:color w:val="231F20"/>
        </w:rPr>
        <w:t>did</w:t>
      </w:r>
      <w:r>
        <w:rPr>
          <w:color w:val="231F20"/>
          <w:spacing w:val="-10"/>
        </w:rPr>
        <w:t xml:space="preserve"> </w:t>
      </w:r>
      <w:r>
        <w:rPr>
          <w:color w:val="231F20"/>
        </w:rPr>
        <w:t>the</w:t>
      </w:r>
      <w:r>
        <w:rPr>
          <w:color w:val="231F20"/>
          <w:spacing w:val="-10"/>
        </w:rPr>
        <w:t xml:space="preserve"> </w:t>
      </w:r>
      <w:r>
        <w:rPr>
          <w:color w:val="231F20"/>
        </w:rPr>
        <w:t>2009</w:t>
      </w:r>
      <w:r>
        <w:rPr>
          <w:color w:val="231F20"/>
          <w:spacing w:val="-11"/>
        </w:rPr>
        <w:t xml:space="preserve"> </w:t>
      </w:r>
      <w:r>
        <w:rPr>
          <w:color w:val="231F20"/>
        </w:rPr>
        <w:t>and</w:t>
      </w:r>
      <w:r>
        <w:rPr>
          <w:color w:val="231F20"/>
          <w:spacing w:val="-10"/>
        </w:rPr>
        <w:t xml:space="preserve"> </w:t>
      </w:r>
      <w:r>
        <w:rPr>
          <w:color w:val="231F20"/>
        </w:rPr>
        <w:t>2010</w:t>
      </w:r>
      <w:r>
        <w:rPr>
          <w:color w:val="231F20"/>
          <w:spacing w:val="-11"/>
        </w:rPr>
        <w:t xml:space="preserve"> </w:t>
      </w:r>
      <w:r>
        <w:rPr>
          <w:color w:val="231F20"/>
        </w:rPr>
        <w:t>reviews.</w:t>
      </w:r>
    </w:p>
    <w:p w:rsidR="002E4A25" w:rsidRDefault="002E4A25">
      <w:pPr>
        <w:pStyle w:val="BodyText"/>
        <w:spacing w:before="3"/>
      </w:pPr>
    </w:p>
    <w:p w:rsidR="002E4A25" w:rsidRDefault="00D74ED8">
      <w:pPr>
        <w:pStyle w:val="BodyText"/>
        <w:spacing w:line="242" w:lineRule="auto"/>
        <w:ind w:left="119"/>
        <w:jc w:val="both"/>
      </w:pPr>
      <w:r>
        <w:rPr>
          <w:color w:val="231F20"/>
        </w:rPr>
        <w:t xml:space="preserve">The </w:t>
      </w:r>
      <w:r>
        <w:rPr>
          <w:color w:val="231F20"/>
          <w:spacing w:val="-3"/>
        </w:rPr>
        <w:t xml:space="preserve">2014 evidence </w:t>
      </w:r>
      <w:r>
        <w:rPr>
          <w:color w:val="231F20"/>
        </w:rPr>
        <w:t xml:space="preserve">report and the 2016 CDC </w:t>
      </w:r>
      <w:r>
        <w:rPr>
          <w:color w:val="231F20"/>
          <w:spacing w:val="-3"/>
        </w:rPr>
        <w:t xml:space="preserve">guideline </w:t>
      </w:r>
      <w:r>
        <w:rPr>
          <w:color w:val="231F20"/>
          <w:spacing w:val="-2"/>
        </w:rPr>
        <w:t xml:space="preserve">relied </w:t>
      </w:r>
      <w:r>
        <w:rPr>
          <w:color w:val="231F20"/>
          <w:spacing w:val="-3"/>
        </w:rPr>
        <w:t xml:space="preserve">upon </w:t>
      </w:r>
      <w:r>
        <w:rPr>
          <w:color w:val="231F20"/>
        </w:rPr>
        <w:t xml:space="preserve">the </w:t>
      </w:r>
      <w:r>
        <w:rPr>
          <w:color w:val="231F20"/>
          <w:spacing w:val="-3"/>
        </w:rPr>
        <w:t xml:space="preserve">absence </w:t>
      </w:r>
      <w:r>
        <w:rPr>
          <w:color w:val="231F20"/>
        </w:rPr>
        <w:t xml:space="preserve">of </w:t>
      </w:r>
      <w:r>
        <w:rPr>
          <w:color w:val="231F20"/>
          <w:spacing w:val="-3"/>
        </w:rPr>
        <w:t xml:space="preserve">studies </w:t>
      </w:r>
      <w:r>
        <w:rPr>
          <w:color w:val="231F20"/>
        </w:rPr>
        <w:t xml:space="preserve">of a year or </w:t>
      </w:r>
      <w:r>
        <w:rPr>
          <w:color w:val="231F20"/>
          <w:spacing w:val="-3"/>
        </w:rPr>
        <w:t xml:space="preserve">greater duration </w:t>
      </w:r>
      <w:r>
        <w:rPr>
          <w:color w:val="231F20"/>
        </w:rPr>
        <w:t xml:space="preserve">to </w:t>
      </w:r>
      <w:r>
        <w:rPr>
          <w:color w:val="231F20"/>
          <w:spacing w:val="-3"/>
        </w:rPr>
        <w:t xml:space="preserve">advance recommendations reflecting </w:t>
      </w:r>
      <w:r>
        <w:rPr>
          <w:color w:val="231F20"/>
        </w:rPr>
        <w:t xml:space="preserve">a </w:t>
      </w:r>
      <w:r>
        <w:rPr>
          <w:color w:val="231F20"/>
          <w:spacing w:val="-3"/>
        </w:rPr>
        <w:t xml:space="preserve">low perceived benefit-to-risk ratio </w:t>
      </w:r>
      <w:r>
        <w:rPr>
          <w:color w:val="231F20"/>
        </w:rPr>
        <w:t xml:space="preserve">of </w:t>
      </w:r>
      <w:r>
        <w:rPr>
          <w:color w:val="231F20"/>
          <w:spacing w:val="-3"/>
        </w:rPr>
        <w:t xml:space="preserve">opioid </w:t>
      </w:r>
      <w:r>
        <w:rPr>
          <w:color w:val="231F20"/>
        </w:rPr>
        <w:t xml:space="preserve">use for </w:t>
      </w:r>
      <w:r>
        <w:rPr>
          <w:color w:val="231F20"/>
          <w:spacing w:val="-3"/>
        </w:rPr>
        <w:t xml:space="preserve">chronic </w:t>
      </w:r>
      <w:r>
        <w:rPr>
          <w:color w:val="231F20"/>
        </w:rPr>
        <w:t xml:space="preserve">pain. We </w:t>
      </w:r>
      <w:r>
        <w:rPr>
          <w:color w:val="231F20"/>
          <w:spacing w:val="-3"/>
        </w:rPr>
        <w:t xml:space="preserve">wondered whether </w:t>
      </w:r>
      <w:r>
        <w:rPr>
          <w:color w:val="231F20"/>
        </w:rPr>
        <w:t>a</w:t>
      </w:r>
      <w:r>
        <w:rPr>
          <w:color w:val="231F20"/>
        </w:rPr>
        <w:t xml:space="preserve"> </w:t>
      </w:r>
      <w:r>
        <w:rPr>
          <w:color w:val="231F20"/>
          <w:spacing w:val="-3"/>
        </w:rPr>
        <w:t xml:space="preserve">more standard approach </w:t>
      </w:r>
      <w:r>
        <w:rPr>
          <w:color w:val="231F20"/>
        </w:rPr>
        <w:t xml:space="preserve">to study </w:t>
      </w:r>
      <w:r>
        <w:rPr>
          <w:color w:val="231F20"/>
          <w:spacing w:val="-3"/>
        </w:rPr>
        <w:t xml:space="preserve">retrieval </w:t>
      </w:r>
      <w:r>
        <w:rPr>
          <w:color w:val="231F20"/>
        </w:rPr>
        <w:t xml:space="preserve">and </w:t>
      </w:r>
      <w:r>
        <w:rPr>
          <w:color w:val="231F20"/>
          <w:spacing w:val="-3"/>
        </w:rPr>
        <w:t xml:space="preserve">inclusion </w:t>
      </w:r>
      <w:r>
        <w:rPr>
          <w:color w:val="231F20"/>
        </w:rPr>
        <w:t xml:space="preserve">would </w:t>
      </w:r>
      <w:r>
        <w:rPr>
          <w:color w:val="231F20"/>
          <w:spacing w:val="-3"/>
        </w:rPr>
        <w:t xml:space="preserve">confirm </w:t>
      </w:r>
      <w:r>
        <w:rPr>
          <w:color w:val="231F20"/>
        </w:rPr>
        <w:t xml:space="preserve">or </w:t>
      </w:r>
      <w:r>
        <w:rPr>
          <w:color w:val="231F20"/>
          <w:spacing w:val="-3"/>
        </w:rPr>
        <w:t xml:space="preserve">refute this perception. Issues related </w:t>
      </w:r>
      <w:r>
        <w:rPr>
          <w:color w:val="231F20"/>
        </w:rPr>
        <w:t xml:space="preserve">to </w:t>
      </w:r>
      <w:r>
        <w:rPr>
          <w:color w:val="231F20"/>
          <w:spacing w:val="-3"/>
        </w:rPr>
        <w:t xml:space="preserve">study inclusion also have implications </w:t>
      </w:r>
      <w:r>
        <w:rPr>
          <w:color w:val="231F20"/>
        </w:rPr>
        <w:t xml:space="preserve">for </w:t>
      </w:r>
      <w:r>
        <w:rPr>
          <w:color w:val="231F20"/>
          <w:spacing w:val="-3"/>
        </w:rPr>
        <w:t xml:space="preserve">switching from </w:t>
      </w:r>
      <w:r>
        <w:rPr>
          <w:color w:val="231F20"/>
        </w:rPr>
        <w:t xml:space="preserve">or </w:t>
      </w:r>
      <w:r>
        <w:rPr>
          <w:color w:val="231F20"/>
          <w:spacing w:val="-3"/>
        </w:rPr>
        <w:t xml:space="preserve">preferring </w:t>
      </w:r>
      <w:r>
        <w:rPr>
          <w:color w:val="231F20"/>
        </w:rPr>
        <w:t xml:space="preserve">one </w:t>
      </w:r>
      <w:r>
        <w:rPr>
          <w:color w:val="231F20"/>
          <w:spacing w:val="-3"/>
        </w:rPr>
        <w:t xml:space="preserve">therapy </w:t>
      </w:r>
      <w:r>
        <w:rPr>
          <w:color w:val="231F20"/>
        </w:rPr>
        <w:t xml:space="preserve">to </w:t>
      </w:r>
      <w:r>
        <w:rPr>
          <w:color w:val="231F20"/>
          <w:spacing w:val="-3"/>
        </w:rPr>
        <w:t xml:space="preserve">another. </w:t>
      </w:r>
      <w:r>
        <w:rPr>
          <w:color w:val="231F20"/>
        </w:rPr>
        <w:t xml:space="preserve">If </w:t>
      </w:r>
      <w:r>
        <w:rPr>
          <w:color w:val="231F20"/>
          <w:spacing w:val="-3"/>
        </w:rPr>
        <w:t xml:space="preserve">the clinical trial literature supporting </w:t>
      </w:r>
      <w:r>
        <w:rPr>
          <w:color w:val="231F20"/>
        </w:rPr>
        <w:t xml:space="preserve">one or </w:t>
      </w:r>
      <w:r>
        <w:rPr>
          <w:color w:val="231F20"/>
          <w:spacing w:val="-3"/>
        </w:rPr>
        <w:t xml:space="preserve">the other therapy had equivalent distributions </w:t>
      </w:r>
      <w:r>
        <w:rPr>
          <w:color w:val="231F20"/>
        </w:rPr>
        <w:t xml:space="preserve">of </w:t>
      </w:r>
      <w:r>
        <w:rPr>
          <w:color w:val="231F20"/>
          <w:spacing w:val="-3"/>
        </w:rPr>
        <w:t xml:space="preserve">duration </w:t>
      </w:r>
      <w:r>
        <w:rPr>
          <w:color w:val="231F20"/>
        </w:rPr>
        <w:t xml:space="preserve">and their </w:t>
      </w:r>
      <w:r>
        <w:rPr>
          <w:color w:val="231F20"/>
          <w:spacing w:val="-3"/>
        </w:rPr>
        <w:t xml:space="preserve">risk-to-benefit assessments </w:t>
      </w:r>
      <w:r>
        <w:rPr>
          <w:color w:val="231F20"/>
        </w:rPr>
        <w:t xml:space="preserve">were </w:t>
      </w:r>
      <w:r>
        <w:rPr>
          <w:color w:val="231F20"/>
          <w:spacing w:val="-3"/>
        </w:rPr>
        <w:t xml:space="preserve">equivalent, </w:t>
      </w:r>
      <w:r>
        <w:rPr>
          <w:color w:val="231F20"/>
        </w:rPr>
        <w:t xml:space="preserve">the </w:t>
      </w:r>
      <w:r>
        <w:rPr>
          <w:color w:val="231F20"/>
          <w:spacing w:val="-3"/>
        </w:rPr>
        <w:t xml:space="preserve">evidence </w:t>
      </w:r>
      <w:r>
        <w:rPr>
          <w:color w:val="231F20"/>
        </w:rPr>
        <w:t xml:space="preserve">to </w:t>
      </w:r>
      <w:r>
        <w:rPr>
          <w:color w:val="231F20"/>
          <w:spacing w:val="-3"/>
        </w:rPr>
        <w:t xml:space="preserve">support recommending </w:t>
      </w:r>
      <w:r>
        <w:rPr>
          <w:color w:val="231F20"/>
        </w:rPr>
        <w:t xml:space="preserve">such a </w:t>
      </w:r>
      <w:r>
        <w:rPr>
          <w:color w:val="231F20"/>
          <w:spacing w:val="-3"/>
        </w:rPr>
        <w:t xml:space="preserve">switch would </w:t>
      </w:r>
      <w:r>
        <w:rPr>
          <w:color w:val="231F20"/>
        </w:rPr>
        <w:t xml:space="preserve">be </w:t>
      </w:r>
      <w:r>
        <w:rPr>
          <w:color w:val="231F20"/>
          <w:spacing w:val="-3"/>
        </w:rPr>
        <w:t xml:space="preserve">very weak. </w:t>
      </w:r>
      <w:r>
        <w:rPr>
          <w:color w:val="231F20"/>
        </w:rPr>
        <w:t xml:space="preserve">We </w:t>
      </w:r>
      <w:r>
        <w:rPr>
          <w:color w:val="231F20"/>
          <w:spacing w:val="-3"/>
        </w:rPr>
        <w:t xml:space="preserve">therefore sought </w:t>
      </w:r>
      <w:r>
        <w:rPr>
          <w:color w:val="231F20"/>
        </w:rPr>
        <w:t xml:space="preserve">to </w:t>
      </w:r>
      <w:r>
        <w:rPr>
          <w:color w:val="231F20"/>
          <w:spacing w:val="-3"/>
        </w:rPr>
        <w:t xml:space="preserve">characterize </w:t>
      </w:r>
      <w:r>
        <w:rPr>
          <w:color w:val="231F20"/>
        </w:rPr>
        <w:t xml:space="preserve">the </w:t>
      </w:r>
      <w:r>
        <w:rPr>
          <w:color w:val="231F20"/>
          <w:spacing w:val="-3"/>
        </w:rPr>
        <w:t>clinical trial literatur</w:t>
      </w:r>
      <w:r>
        <w:rPr>
          <w:color w:val="231F20"/>
          <w:spacing w:val="-3"/>
        </w:rPr>
        <w:t xml:space="preserve">e </w:t>
      </w:r>
      <w:r>
        <w:rPr>
          <w:color w:val="231F20"/>
        </w:rPr>
        <w:t xml:space="preserve">for </w:t>
      </w:r>
      <w:r>
        <w:rPr>
          <w:color w:val="231F20"/>
          <w:spacing w:val="-3"/>
        </w:rPr>
        <w:t xml:space="preserve">chronic pain treatment with </w:t>
      </w:r>
      <w:r>
        <w:rPr>
          <w:color w:val="231F20"/>
        </w:rPr>
        <w:t xml:space="preserve">an </w:t>
      </w:r>
      <w:r>
        <w:rPr>
          <w:color w:val="231F20"/>
          <w:spacing w:val="-3"/>
        </w:rPr>
        <w:t xml:space="preserve">opioid, based </w:t>
      </w:r>
      <w:r>
        <w:rPr>
          <w:color w:val="231F20"/>
        </w:rPr>
        <w:t xml:space="preserve">upon </w:t>
      </w:r>
      <w:r>
        <w:rPr>
          <w:color w:val="231F20"/>
          <w:spacing w:val="-3"/>
        </w:rPr>
        <w:t xml:space="preserve">the literature retrieved </w:t>
      </w:r>
      <w:r>
        <w:rPr>
          <w:color w:val="231F20"/>
        </w:rPr>
        <w:t xml:space="preserve">for the 2014 </w:t>
      </w:r>
      <w:r>
        <w:rPr>
          <w:color w:val="231F20"/>
          <w:spacing w:val="-3"/>
        </w:rPr>
        <w:t xml:space="preserve">Agency </w:t>
      </w:r>
      <w:r>
        <w:rPr>
          <w:color w:val="231F20"/>
        </w:rPr>
        <w:t xml:space="preserve">for </w:t>
      </w:r>
      <w:r>
        <w:rPr>
          <w:color w:val="231F20"/>
          <w:spacing w:val="-3"/>
        </w:rPr>
        <w:t xml:space="preserve">Healthcare Research </w:t>
      </w:r>
      <w:r>
        <w:rPr>
          <w:color w:val="231F20"/>
        </w:rPr>
        <w:t>and</w:t>
      </w:r>
      <w:r>
        <w:rPr>
          <w:color w:val="231F20"/>
          <w:spacing w:val="-13"/>
        </w:rPr>
        <w:t xml:space="preserve"> </w:t>
      </w:r>
      <w:r>
        <w:rPr>
          <w:color w:val="231F20"/>
          <w:spacing w:val="-3"/>
        </w:rPr>
        <w:t>Quality</w:t>
      </w:r>
      <w:r>
        <w:rPr>
          <w:color w:val="231F20"/>
          <w:spacing w:val="-12"/>
        </w:rPr>
        <w:t xml:space="preserve"> </w:t>
      </w:r>
      <w:r>
        <w:rPr>
          <w:color w:val="231F20"/>
          <w:spacing w:val="-3"/>
        </w:rPr>
        <w:t>(AHRQ)</w:t>
      </w:r>
      <w:r>
        <w:rPr>
          <w:color w:val="231F20"/>
          <w:spacing w:val="-13"/>
        </w:rPr>
        <w:t xml:space="preserve"> </w:t>
      </w:r>
      <w:r>
        <w:rPr>
          <w:color w:val="231F20"/>
          <w:spacing w:val="-3"/>
        </w:rPr>
        <w:t>review</w:t>
      </w:r>
      <w:r>
        <w:rPr>
          <w:color w:val="231F20"/>
          <w:spacing w:val="-12"/>
        </w:rPr>
        <w:t xml:space="preserve"> </w:t>
      </w:r>
      <w:r>
        <w:rPr>
          <w:color w:val="231F20"/>
        </w:rPr>
        <w:t>but</w:t>
      </w:r>
      <w:r>
        <w:rPr>
          <w:color w:val="231F20"/>
          <w:spacing w:val="-12"/>
        </w:rPr>
        <w:t xml:space="preserve"> </w:t>
      </w:r>
      <w:r>
        <w:rPr>
          <w:color w:val="231F20"/>
          <w:spacing w:val="-3"/>
        </w:rPr>
        <w:t>excluded</w:t>
      </w:r>
      <w:r>
        <w:rPr>
          <w:color w:val="231F20"/>
          <w:spacing w:val="-13"/>
        </w:rPr>
        <w:t xml:space="preserve"> </w:t>
      </w:r>
      <w:r>
        <w:rPr>
          <w:color w:val="231F20"/>
        </w:rPr>
        <w:t>by</w:t>
      </w:r>
      <w:r>
        <w:rPr>
          <w:color w:val="231F20"/>
          <w:spacing w:val="-14"/>
        </w:rPr>
        <w:t xml:space="preserve"> </w:t>
      </w:r>
      <w:r>
        <w:rPr>
          <w:color w:val="231F20"/>
          <w:spacing w:val="-3"/>
        </w:rPr>
        <w:t>the</w:t>
      </w:r>
      <w:r>
        <w:rPr>
          <w:color w:val="231F20"/>
          <w:spacing w:val="-12"/>
        </w:rPr>
        <w:t xml:space="preserve"> </w:t>
      </w:r>
      <w:r>
        <w:rPr>
          <w:color w:val="231F20"/>
          <w:spacing w:val="-3"/>
        </w:rPr>
        <w:t>authors</w:t>
      </w:r>
      <w:r>
        <w:rPr>
          <w:color w:val="231F20"/>
          <w:spacing w:val="-12"/>
        </w:rPr>
        <w:t xml:space="preserve"> </w:t>
      </w:r>
      <w:r>
        <w:rPr>
          <w:color w:val="231F20"/>
        </w:rPr>
        <w:t xml:space="preserve">of </w:t>
      </w:r>
      <w:r>
        <w:rPr>
          <w:color w:val="231F20"/>
          <w:spacing w:val="-3"/>
        </w:rPr>
        <w:t xml:space="preserve">that review because </w:t>
      </w:r>
      <w:r>
        <w:rPr>
          <w:color w:val="231F20"/>
        </w:rPr>
        <w:t xml:space="preserve">of </w:t>
      </w:r>
      <w:r>
        <w:rPr>
          <w:color w:val="231F20"/>
          <w:spacing w:val="-3"/>
        </w:rPr>
        <w:t xml:space="preserve">“inadequate duration.” </w:t>
      </w:r>
      <w:r>
        <w:rPr>
          <w:color w:val="231F20"/>
        </w:rPr>
        <w:t xml:space="preserve">In </w:t>
      </w:r>
      <w:r>
        <w:rPr>
          <w:color w:val="231F20"/>
          <w:spacing w:val="-3"/>
        </w:rPr>
        <w:t xml:space="preserve">addition, </w:t>
      </w:r>
      <w:r>
        <w:rPr>
          <w:color w:val="231F20"/>
        </w:rPr>
        <w:t xml:space="preserve">we </w:t>
      </w:r>
      <w:r>
        <w:rPr>
          <w:color w:val="231F20"/>
          <w:spacing w:val="-3"/>
        </w:rPr>
        <w:t xml:space="preserve">examined studies cited </w:t>
      </w:r>
      <w:r>
        <w:rPr>
          <w:color w:val="231F20"/>
        </w:rPr>
        <w:t xml:space="preserve">in in the </w:t>
      </w:r>
      <w:r>
        <w:rPr>
          <w:color w:val="231F20"/>
          <w:spacing w:val="-3"/>
        </w:rPr>
        <w:t>Cochrane Library of Systematic Reviews addressing opioids,</w:t>
      </w:r>
      <w:r>
        <w:rPr>
          <w:color w:val="231F20"/>
          <w:spacing w:val="-20"/>
        </w:rPr>
        <w:t xml:space="preserve"> </w:t>
      </w:r>
      <w:r>
        <w:rPr>
          <w:color w:val="231F20"/>
          <w:spacing w:val="-3"/>
        </w:rPr>
        <w:t>antidepressants,</w:t>
      </w:r>
    </w:p>
    <w:p w:rsidR="002E4A25" w:rsidRDefault="00D74ED8">
      <w:pPr>
        <w:pStyle w:val="BodyText"/>
        <w:spacing w:before="76" w:line="242" w:lineRule="auto"/>
        <w:ind w:left="119" w:right="192"/>
        <w:jc w:val="both"/>
      </w:pPr>
      <w:r>
        <w:br w:type="column"/>
      </w:r>
      <w:r>
        <w:rPr>
          <w:color w:val="231F20"/>
          <w:spacing w:val="-3"/>
        </w:rPr>
        <w:t xml:space="preserve">anticonvulsants, NSAIDs, </w:t>
      </w:r>
      <w:r>
        <w:rPr>
          <w:color w:val="231F20"/>
        </w:rPr>
        <w:t xml:space="preserve">and </w:t>
      </w:r>
      <w:r>
        <w:rPr>
          <w:color w:val="231F20"/>
          <w:spacing w:val="-3"/>
        </w:rPr>
        <w:t xml:space="preserve">behavioral treatments. Our objective </w:t>
      </w:r>
      <w:r>
        <w:rPr>
          <w:color w:val="231F20"/>
        </w:rPr>
        <w:t xml:space="preserve">was to </w:t>
      </w:r>
      <w:r>
        <w:rPr>
          <w:color w:val="231F20"/>
          <w:spacing w:val="-3"/>
        </w:rPr>
        <w:t xml:space="preserve">assess whether differences exist </w:t>
      </w:r>
      <w:r>
        <w:rPr>
          <w:color w:val="231F20"/>
        </w:rPr>
        <w:t xml:space="preserve">be- </w:t>
      </w:r>
      <w:r>
        <w:rPr>
          <w:color w:val="231F20"/>
          <w:spacing w:val="-3"/>
        </w:rPr>
        <w:t xml:space="preserve">tween the duration </w:t>
      </w:r>
      <w:r>
        <w:rPr>
          <w:color w:val="231F20"/>
        </w:rPr>
        <w:t xml:space="preserve">of </w:t>
      </w:r>
      <w:r>
        <w:rPr>
          <w:color w:val="231F20"/>
          <w:spacing w:val="-3"/>
        </w:rPr>
        <w:t>treatment tria</w:t>
      </w:r>
      <w:r>
        <w:rPr>
          <w:color w:val="231F20"/>
          <w:spacing w:val="-3"/>
        </w:rPr>
        <w:t xml:space="preserve">ls </w:t>
      </w:r>
      <w:r>
        <w:rPr>
          <w:color w:val="231F20"/>
        </w:rPr>
        <w:t xml:space="preserve">for </w:t>
      </w:r>
      <w:r>
        <w:rPr>
          <w:color w:val="231F20"/>
          <w:spacing w:val="-3"/>
        </w:rPr>
        <w:t xml:space="preserve">chronic pain </w:t>
      </w:r>
      <w:r>
        <w:rPr>
          <w:color w:val="231F20"/>
        </w:rPr>
        <w:t xml:space="preserve">using each of </w:t>
      </w:r>
      <w:r>
        <w:rPr>
          <w:color w:val="231F20"/>
          <w:spacing w:val="-3"/>
        </w:rPr>
        <w:t xml:space="preserve">these modalities, </w:t>
      </w:r>
      <w:r>
        <w:rPr>
          <w:color w:val="231F20"/>
        </w:rPr>
        <w:t xml:space="preserve">if </w:t>
      </w:r>
      <w:r>
        <w:rPr>
          <w:color w:val="231F20"/>
          <w:spacing w:val="-3"/>
        </w:rPr>
        <w:t xml:space="preserve">analyzed without apply- </w:t>
      </w:r>
      <w:r>
        <w:rPr>
          <w:color w:val="231F20"/>
        </w:rPr>
        <w:t xml:space="preserve">ing </w:t>
      </w:r>
      <w:r>
        <w:rPr>
          <w:color w:val="231F20"/>
          <w:spacing w:val="-3"/>
        </w:rPr>
        <w:t xml:space="preserve">the one-year minimum threshold </w:t>
      </w:r>
      <w:r>
        <w:rPr>
          <w:color w:val="231F20"/>
        </w:rPr>
        <w:t xml:space="preserve">for </w:t>
      </w:r>
      <w:r>
        <w:rPr>
          <w:color w:val="231F20"/>
          <w:spacing w:val="-3"/>
        </w:rPr>
        <w:t xml:space="preserve">inclusion newly introduced </w:t>
      </w:r>
      <w:r>
        <w:rPr>
          <w:color w:val="231F20"/>
        </w:rPr>
        <w:t xml:space="preserve">in the </w:t>
      </w:r>
      <w:r>
        <w:rPr>
          <w:color w:val="231F20"/>
          <w:spacing w:val="-3"/>
        </w:rPr>
        <w:t xml:space="preserve">2014 AHRQ </w:t>
      </w:r>
      <w:r>
        <w:rPr>
          <w:color w:val="231F20"/>
        </w:rPr>
        <w:t xml:space="preserve">and 2016 CDC </w:t>
      </w:r>
      <w:r>
        <w:rPr>
          <w:color w:val="231F20"/>
          <w:spacing w:val="-3"/>
        </w:rPr>
        <w:t>reports.</w:t>
      </w:r>
    </w:p>
    <w:p w:rsidR="002E4A25" w:rsidRDefault="002E4A25">
      <w:pPr>
        <w:pStyle w:val="BodyText"/>
      </w:pPr>
    </w:p>
    <w:p w:rsidR="002E4A25" w:rsidRDefault="00D74ED8">
      <w:pPr>
        <w:pStyle w:val="BodyText"/>
        <w:ind w:left="119"/>
        <w:jc w:val="both"/>
      </w:pPr>
      <w:r>
        <w:rPr>
          <w:color w:val="231F20"/>
          <w:w w:val="110"/>
        </w:rPr>
        <w:t>Methods</w:t>
      </w:r>
    </w:p>
    <w:p w:rsidR="002E4A25" w:rsidRDefault="002E4A25">
      <w:pPr>
        <w:pStyle w:val="BodyText"/>
        <w:spacing w:before="7"/>
      </w:pPr>
    </w:p>
    <w:p w:rsidR="002E4A25" w:rsidRDefault="00D74ED8">
      <w:pPr>
        <w:pStyle w:val="BodyText"/>
        <w:spacing w:line="242" w:lineRule="auto"/>
        <w:ind w:left="119" w:right="194"/>
        <w:jc w:val="both"/>
      </w:pPr>
      <w:r>
        <w:rPr>
          <w:color w:val="231F20"/>
        </w:rPr>
        <w:t>To</w:t>
      </w:r>
      <w:r>
        <w:rPr>
          <w:color w:val="231F20"/>
          <w:spacing w:val="-6"/>
        </w:rPr>
        <w:t xml:space="preserve"> </w:t>
      </w:r>
      <w:r>
        <w:rPr>
          <w:color w:val="231F20"/>
        </w:rPr>
        <w:t>prepare</w:t>
      </w:r>
      <w:r>
        <w:rPr>
          <w:color w:val="231F20"/>
          <w:spacing w:val="-6"/>
        </w:rPr>
        <w:t xml:space="preserve"> </w:t>
      </w:r>
      <w:r>
        <w:rPr>
          <w:color w:val="231F20"/>
        </w:rPr>
        <w:t>a</w:t>
      </w:r>
      <w:r>
        <w:rPr>
          <w:color w:val="231F20"/>
          <w:spacing w:val="-6"/>
        </w:rPr>
        <w:t xml:space="preserve"> </w:t>
      </w:r>
      <w:r>
        <w:rPr>
          <w:color w:val="231F20"/>
        </w:rPr>
        <w:t>profile</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numbers</w:t>
      </w:r>
      <w:r>
        <w:rPr>
          <w:color w:val="231F20"/>
          <w:spacing w:val="-5"/>
        </w:rPr>
        <w:t xml:space="preserve"> </w:t>
      </w:r>
      <w:r>
        <w:rPr>
          <w:color w:val="231F20"/>
        </w:rPr>
        <w:t>of</w:t>
      </w:r>
      <w:r>
        <w:rPr>
          <w:color w:val="231F20"/>
          <w:spacing w:val="-6"/>
        </w:rPr>
        <w:t xml:space="preserve"> </w:t>
      </w:r>
      <w:r>
        <w:rPr>
          <w:color w:val="231F20"/>
        </w:rPr>
        <w:t>studies</w:t>
      </w:r>
      <w:r>
        <w:rPr>
          <w:color w:val="231F20"/>
          <w:spacing w:val="-6"/>
        </w:rPr>
        <w:t xml:space="preserve"> </w:t>
      </w:r>
      <w:r>
        <w:rPr>
          <w:color w:val="231F20"/>
        </w:rPr>
        <w:t>of</w:t>
      </w:r>
      <w:r>
        <w:rPr>
          <w:color w:val="231F20"/>
          <w:spacing w:val="-6"/>
        </w:rPr>
        <w:t xml:space="preserve"> </w:t>
      </w:r>
      <w:r>
        <w:rPr>
          <w:color w:val="231F20"/>
        </w:rPr>
        <w:t>various treatments for chronic pain vs the duration of active treatment in each study, we examined each of the clin- ical trials tabulated in Appendix D (“Excluded Studies”) of the AHRQ 2014 evidence review [</w:t>
      </w:r>
      <w:hyperlink w:anchor="_bookmark10" w:history="1">
        <w:r>
          <w:rPr>
            <w:color w:val="2E3092"/>
          </w:rPr>
          <w:t>6</w:t>
        </w:r>
      </w:hyperlink>
      <w:r>
        <w:rPr>
          <w:color w:val="231F20"/>
        </w:rPr>
        <w:t>]. Data extracti</w:t>
      </w:r>
      <w:r>
        <w:rPr>
          <w:color w:val="231F20"/>
        </w:rPr>
        <w:t>on was carried out independently using Microsoft Excel by two authors (AEB, BOT), who cross-checked each other’s extraction. Two other authors (YSB, DBC) con- ferred as needed to confirm and clarify specifics. A focused third check of study duration and nu</w:t>
      </w:r>
      <w:r>
        <w:rPr>
          <w:color w:val="231F20"/>
        </w:rPr>
        <w:t>mber of participants was performed by (BT) after data entry into Excel;</w:t>
      </w:r>
      <w:r>
        <w:rPr>
          <w:color w:val="231F20"/>
          <w:spacing w:val="-16"/>
        </w:rPr>
        <w:t xml:space="preserve"> </w:t>
      </w:r>
      <w:r>
        <w:rPr>
          <w:color w:val="231F20"/>
        </w:rPr>
        <w:t>any</w:t>
      </w:r>
      <w:r>
        <w:rPr>
          <w:color w:val="231F20"/>
          <w:spacing w:val="-16"/>
        </w:rPr>
        <w:t xml:space="preserve"> </w:t>
      </w:r>
      <w:r>
        <w:rPr>
          <w:color w:val="231F20"/>
        </w:rPr>
        <w:t>disagreement</w:t>
      </w:r>
      <w:r>
        <w:rPr>
          <w:color w:val="231F20"/>
          <w:spacing w:val="-16"/>
        </w:rPr>
        <w:t xml:space="preserve"> </w:t>
      </w:r>
      <w:r>
        <w:rPr>
          <w:color w:val="231F20"/>
        </w:rPr>
        <w:t>was</w:t>
      </w:r>
      <w:r>
        <w:rPr>
          <w:color w:val="231F20"/>
          <w:spacing w:val="-16"/>
        </w:rPr>
        <w:t xml:space="preserve"> </w:t>
      </w:r>
      <w:r>
        <w:rPr>
          <w:color w:val="231F20"/>
        </w:rPr>
        <w:t>resolved</w:t>
      </w:r>
      <w:r>
        <w:rPr>
          <w:color w:val="231F20"/>
          <w:spacing w:val="-16"/>
        </w:rPr>
        <w:t xml:space="preserve"> </w:t>
      </w:r>
      <w:r>
        <w:rPr>
          <w:color w:val="231F20"/>
        </w:rPr>
        <w:t>by</w:t>
      </w:r>
      <w:r>
        <w:rPr>
          <w:color w:val="231F20"/>
          <w:spacing w:val="-16"/>
        </w:rPr>
        <w:t xml:space="preserve"> </w:t>
      </w:r>
      <w:r>
        <w:rPr>
          <w:color w:val="231F20"/>
        </w:rPr>
        <w:t>discussion.</w:t>
      </w:r>
    </w:p>
    <w:p w:rsidR="002E4A25" w:rsidRDefault="002E4A25">
      <w:pPr>
        <w:pStyle w:val="BodyText"/>
        <w:spacing w:before="3"/>
      </w:pPr>
    </w:p>
    <w:p w:rsidR="002E4A25" w:rsidRDefault="00D74ED8">
      <w:pPr>
        <w:pStyle w:val="BodyText"/>
        <w:spacing w:line="242" w:lineRule="auto"/>
        <w:ind w:left="119" w:right="194"/>
        <w:jc w:val="both"/>
      </w:pPr>
      <w:r>
        <w:rPr>
          <w:color w:val="231F20"/>
        </w:rPr>
        <w:t>The number of days of observation during active treat- ment</w:t>
      </w:r>
      <w:r>
        <w:rPr>
          <w:color w:val="231F20"/>
          <w:spacing w:val="-7"/>
        </w:rPr>
        <w:t xml:space="preserve"> </w:t>
      </w:r>
      <w:r>
        <w:rPr>
          <w:color w:val="231F20"/>
        </w:rPr>
        <w:t>included</w:t>
      </w:r>
      <w:r>
        <w:rPr>
          <w:color w:val="231F20"/>
          <w:spacing w:val="-7"/>
        </w:rPr>
        <w:t xml:space="preserve"> </w:t>
      </w:r>
      <w:r>
        <w:rPr>
          <w:color w:val="231F20"/>
        </w:rPr>
        <w:t>only</w:t>
      </w:r>
      <w:r>
        <w:rPr>
          <w:color w:val="231F20"/>
          <w:spacing w:val="-6"/>
        </w:rPr>
        <w:t xml:space="preserve"> </w:t>
      </w:r>
      <w:r>
        <w:rPr>
          <w:color w:val="231F20"/>
        </w:rPr>
        <w:t>the</w:t>
      </w:r>
      <w:r>
        <w:rPr>
          <w:color w:val="231F20"/>
          <w:spacing w:val="-7"/>
        </w:rPr>
        <w:t xml:space="preserve"> </w:t>
      </w:r>
      <w:r>
        <w:rPr>
          <w:color w:val="231F20"/>
        </w:rPr>
        <w:t>interval</w:t>
      </w:r>
      <w:r>
        <w:rPr>
          <w:color w:val="231F20"/>
          <w:spacing w:val="-6"/>
        </w:rPr>
        <w:t xml:space="preserve"> </w:t>
      </w:r>
      <w:r>
        <w:rPr>
          <w:color w:val="231F20"/>
        </w:rPr>
        <w:t>during</w:t>
      </w:r>
      <w:r>
        <w:rPr>
          <w:color w:val="231F20"/>
          <w:spacing w:val="-7"/>
        </w:rPr>
        <w:t xml:space="preserve"> </w:t>
      </w:r>
      <w:r>
        <w:rPr>
          <w:color w:val="231F20"/>
        </w:rPr>
        <w:t>which</w:t>
      </w:r>
      <w:r>
        <w:rPr>
          <w:color w:val="231F20"/>
          <w:spacing w:val="-6"/>
        </w:rPr>
        <w:t xml:space="preserve"> </w:t>
      </w:r>
      <w:r>
        <w:rPr>
          <w:color w:val="231F20"/>
        </w:rPr>
        <w:t>participants received the opioid or other treatment and a measure</w:t>
      </w:r>
      <w:r>
        <w:rPr>
          <w:color w:val="231F20"/>
          <w:spacing w:val="-25"/>
        </w:rPr>
        <w:t xml:space="preserve"> </w:t>
      </w:r>
      <w:r>
        <w:rPr>
          <w:color w:val="231F20"/>
        </w:rPr>
        <w:t>of effectiveness was captured. For example, we did not</w:t>
      </w:r>
      <w:r>
        <w:rPr>
          <w:color w:val="231F20"/>
          <w:spacing w:val="-23"/>
        </w:rPr>
        <w:t xml:space="preserve"> </w:t>
      </w:r>
      <w:r>
        <w:rPr>
          <w:color w:val="231F20"/>
        </w:rPr>
        <w:t>in- clude open-label, safety extension phases during which no data on effectiveness was gathered. When the dur- ation of monitored acti</w:t>
      </w:r>
      <w:r>
        <w:rPr>
          <w:color w:val="231F20"/>
        </w:rPr>
        <w:t>ve treatment was not reported in days, we applied the conventions that one week equals seven days, one month equals four weeks, and one year equals 12 months. The number of patients was defined as the total number of actual randomized pa- tients for random</w:t>
      </w:r>
      <w:r>
        <w:rPr>
          <w:color w:val="231F20"/>
        </w:rPr>
        <w:t>ized controlled trials (i.e., not the intent-to-treat population) or the number of patients entering</w:t>
      </w:r>
      <w:r>
        <w:rPr>
          <w:color w:val="231F20"/>
          <w:spacing w:val="-12"/>
        </w:rPr>
        <w:t xml:space="preserve"> </w:t>
      </w:r>
      <w:r>
        <w:rPr>
          <w:color w:val="231F20"/>
        </w:rPr>
        <w:t>the</w:t>
      </w:r>
      <w:r>
        <w:rPr>
          <w:color w:val="231F20"/>
          <w:spacing w:val="-13"/>
        </w:rPr>
        <w:t xml:space="preserve"> </w:t>
      </w:r>
      <w:r>
        <w:rPr>
          <w:color w:val="231F20"/>
        </w:rPr>
        <w:t>initial</w:t>
      </w:r>
      <w:r>
        <w:rPr>
          <w:color w:val="231F20"/>
          <w:spacing w:val="-12"/>
        </w:rPr>
        <w:t xml:space="preserve"> </w:t>
      </w:r>
      <w:r>
        <w:rPr>
          <w:color w:val="231F20"/>
        </w:rPr>
        <w:t>observation</w:t>
      </w:r>
      <w:r>
        <w:rPr>
          <w:color w:val="231F20"/>
          <w:spacing w:val="-12"/>
        </w:rPr>
        <w:t xml:space="preserve"> </w:t>
      </w:r>
      <w:r>
        <w:rPr>
          <w:color w:val="231F20"/>
        </w:rPr>
        <w:t>period</w:t>
      </w:r>
      <w:r>
        <w:rPr>
          <w:color w:val="231F20"/>
          <w:spacing w:val="-12"/>
        </w:rPr>
        <w:t xml:space="preserve"> </w:t>
      </w:r>
      <w:r>
        <w:rPr>
          <w:color w:val="231F20"/>
        </w:rPr>
        <w:t>for</w:t>
      </w:r>
      <w:r>
        <w:rPr>
          <w:color w:val="231F20"/>
          <w:spacing w:val="-12"/>
        </w:rPr>
        <w:t xml:space="preserve"> </w:t>
      </w:r>
      <w:r>
        <w:rPr>
          <w:color w:val="231F20"/>
        </w:rPr>
        <w:t>nonrandomized experimental</w:t>
      </w:r>
      <w:r>
        <w:rPr>
          <w:color w:val="231F20"/>
          <w:spacing w:val="-25"/>
        </w:rPr>
        <w:t xml:space="preserve"> </w:t>
      </w:r>
      <w:r>
        <w:rPr>
          <w:color w:val="231F20"/>
        </w:rPr>
        <w:t>and</w:t>
      </w:r>
      <w:r>
        <w:rPr>
          <w:color w:val="231F20"/>
          <w:spacing w:val="-25"/>
        </w:rPr>
        <w:t xml:space="preserve"> </w:t>
      </w:r>
      <w:r>
        <w:rPr>
          <w:color w:val="231F20"/>
        </w:rPr>
        <w:t>observation</w:t>
      </w:r>
      <w:r>
        <w:rPr>
          <w:color w:val="231F20"/>
          <w:spacing w:val="-25"/>
        </w:rPr>
        <w:t xml:space="preserve"> </w:t>
      </w:r>
      <w:r>
        <w:rPr>
          <w:color w:val="231F20"/>
        </w:rPr>
        <w:t>studies.</w:t>
      </w:r>
    </w:p>
    <w:p w:rsidR="002E4A25" w:rsidRDefault="002E4A25">
      <w:pPr>
        <w:pStyle w:val="BodyText"/>
        <w:spacing w:before="4"/>
      </w:pPr>
    </w:p>
    <w:p w:rsidR="002E4A25" w:rsidRDefault="00D74ED8">
      <w:pPr>
        <w:pStyle w:val="BodyText"/>
        <w:spacing w:line="242" w:lineRule="auto"/>
        <w:ind w:left="119" w:right="194"/>
        <w:jc w:val="both"/>
      </w:pPr>
      <w:r>
        <w:rPr>
          <w:color w:val="231F20"/>
        </w:rPr>
        <w:t>Data were extracted from tables of included studies within each rev</w:t>
      </w:r>
      <w:r>
        <w:rPr>
          <w:color w:val="231F20"/>
        </w:rPr>
        <w:t>iew. When such data was lacking or un- clear, we retrieved the full text of the original study to verify or complete any missing data. When the above data was not readily available or not clearly defined, we designated the entry as “unclear.”</w:t>
      </w:r>
    </w:p>
    <w:p w:rsidR="002E4A25" w:rsidRDefault="002E4A25">
      <w:pPr>
        <w:pStyle w:val="BodyText"/>
        <w:spacing w:before="3"/>
      </w:pPr>
    </w:p>
    <w:p w:rsidR="002E4A25" w:rsidRDefault="00D74ED8">
      <w:pPr>
        <w:pStyle w:val="BodyText"/>
        <w:spacing w:line="242" w:lineRule="auto"/>
        <w:ind w:left="119" w:right="194"/>
        <w:jc w:val="both"/>
      </w:pPr>
      <w:r>
        <w:rPr>
          <w:color w:val="231F20"/>
        </w:rPr>
        <w:t>To explore t</w:t>
      </w:r>
      <w:r>
        <w:rPr>
          <w:color w:val="231F20"/>
        </w:rPr>
        <w:t>he distributions of active treatment duration in the published literature on opioid therapy for chronic pain, as assessed in separate systematic reviews pub- lished independently of the 2014 AHRQ evidence review,</w:t>
      </w:r>
      <w:r>
        <w:rPr>
          <w:color w:val="231F20"/>
          <w:spacing w:val="-9"/>
        </w:rPr>
        <w:t xml:space="preserve"> </w:t>
      </w:r>
      <w:r>
        <w:rPr>
          <w:color w:val="231F20"/>
        </w:rPr>
        <w:t>we</w:t>
      </w:r>
      <w:r>
        <w:rPr>
          <w:color w:val="231F20"/>
          <w:spacing w:val="-9"/>
        </w:rPr>
        <w:t xml:space="preserve"> </w:t>
      </w:r>
      <w:r>
        <w:rPr>
          <w:color w:val="231F20"/>
        </w:rPr>
        <w:t>searched</w:t>
      </w:r>
      <w:r>
        <w:rPr>
          <w:color w:val="231F20"/>
          <w:spacing w:val="-8"/>
        </w:rPr>
        <w:t xml:space="preserve"> </w:t>
      </w:r>
      <w:r>
        <w:rPr>
          <w:color w:val="231F20"/>
        </w:rPr>
        <w:t>the</w:t>
      </w:r>
      <w:r>
        <w:rPr>
          <w:color w:val="231F20"/>
          <w:spacing w:val="-9"/>
        </w:rPr>
        <w:t xml:space="preserve"> </w:t>
      </w:r>
      <w:r>
        <w:rPr>
          <w:color w:val="231F20"/>
        </w:rPr>
        <w:t>Cochrane</w:t>
      </w:r>
      <w:r>
        <w:rPr>
          <w:color w:val="231F20"/>
          <w:spacing w:val="-8"/>
        </w:rPr>
        <w:t xml:space="preserve"> </w:t>
      </w:r>
      <w:r>
        <w:rPr>
          <w:color w:val="231F20"/>
        </w:rPr>
        <w:t>Library</w:t>
      </w:r>
      <w:r>
        <w:rPr>
          <w:color w:val="231F20"/>
          <w:spacing w:val="-9"/>
        </w:rPr>
        <w:t xml:space="preserve"> </w:t>
      </w:r>
      <w:r>
        <w:rPr>
          <w:color w:val="231F20"/>
        </w:rPr>
        <w:t>[</w:t>
      </w:r>
      <w:hyperlink w:anchor="_bookmark13" w:history="1">
        <w:r>
          <w:rPr>
            <w:color w:val="2E3092"/>
          </w:rPr>
          <w:t>9</w:t>
        </w:r>
      </w:hyperlink>
      <w:r>
        <w:rPr>
          <w:color w:val="231F20"/>
        </w:rPr>
        <w:t>]</w:t>
      </w:r>
      <w:r>
        <w:rPr>
          <w:color w:val="231F20"/>
          <w:spacing w:val="-9"/>
        </w:rPr>
        <w:t xml:space="preserve"> </w:t>
      </w:r>
      <w:r>
        <w:rPr>
          <w:color w:val="231F20"/>
        </w:rPr>
        <w:t>for</w:t>
      </w:r>
      <w:r>
        <w:rPr>
          <w:color w:val="231F20"/>
          <w:spacing w:val="-9"/>
        </w:rPr>
        <w:t xml:space="preserve"> </w:t>
      </w:r>
      <w:r>
        <w:rPr>
          <w:color w:val="231F20"/>
        </w:rPr>
        <w:t>all</w:t>
      </w:r>
      <w:r>
        <w:rPr>
          <w:color w:val="231F20"/>
          <w:spacing w:val="-8"/>
        </w:rPr>
        <w:t xml:space="preserve"> </w:t>
      </w:r>
      <w:r>
        <w:rPr>
          <w:color w:val="231F20"/>
        </w:rPr>
        <w:t>sys- tematic reviews retrieved in response to the single search term “chronic pain.” We also consulted the Cochrane Library for systematic reviews addressing</w:t>
      </w:r>
      <w:r>
        <w:rPr>
          <w:color w:val="231F20"/>
          <w:spacing w:val="-11"/>
        </w:rPr>
        <w:t xml:space="preserve"> </w:t>
      </w:r>
      <w:r>
        <w:rPr>
          <w:color w:val="231F20"/>
        </w:rPr>
        <w:t>the literature on other major modalities for chronic pain:</w:t>
      </w:r>
      <w:r>
        <w:rPr>
          <w:color w:val="231F20"/>
        </w:rPr>
        <w:t xml:space="preserve"> anticonvulsants,</w:t>
      </w:r>
      <w:r>
        <w:rPr>
          <w:color w:val="231F20"/>
          <w:spacing w:val="-11"/>
        </w:rPr>
        <w:t xml:space="preserve"> </w:t>
      </w:r>
      <w:r>
        <w:rPr>
          <w:color w:val="231F20"/>
        </w:rPr>
        <w:t>antidepressants,</w:t>
      </w:r>
      <w:r>
        <w:rPr>
          <w:color w:val="231F20"/>
          <w:spacing w:val="-11"/>
        </w:rPr>
        <w:t xml:space="preserve"> </w:t>
      </w:r>
      <w:r>
        <w:rPr>
          <w:color w:val="231F20"/>
        </w:rPr>
        <w:t>NSAIDs,</w:t>
      </w:r>
      <w:r>
        <w:rPr>
          <w:color w:val="231F20"/>
          <w:spacing w:val="-11"/>
        </w:rPr>
        <w:t xml:space="preserve"> </w:t>
      </w:r>
      <w:r>
        <w:rPr>
          <w:color w:val="231F20"/>
        </w:rPr>
        <w:t>and</w:t>
      </w:r>
      <w:r>
        <w:rPr>
          <w:color w:val="231F20"/>
          <w:spacing w:val="-11"/>
        </w:rPr>
        <w:t xml:space="preserve"> </w:t>
      </w:r>
      <w:r>
        <w:rPr>
          <w:color w:val="231F20"/>
        </w:rPr>
        <w:t>nondrug behavioral therapies. We did not assess other broad categories of analgesic therapies other than those fea- tured in the CDC opioid guideline (e.g., we did not as- sess</w:t>
      </w:r>
      <w:r>
        <w:rPr>
          <w:color w:val="231F20"/>
          <w:spacing w:val="-11"/>
        </w:rPr>
        <w:t xml:space="preserve"> </w:t>
      </w:r>
      <w:r>
        <w:rPr>
          <w:color w:val="231F20"/>
        </w:rPr>
        <w:t>interventional</w:t>
      </w:r>
      <w:r>
        <w:rPr>
          <w:color w:val="231F20"/>
          <w:spacing w:val="-11"/>
        </w:rPr>
        <w:t xml:space="preserve"> </w:t>
      </w:r>
      <w:r>
        <w:rPr>
          <w:color w:val="231F20"/>
        </w:rPr>
        <w:t>pain</w:t>
      </w:r>
      <w:r>
        <w:rPr>
          <w:color w:val="231F20"/>
          <w:spacing w:val="-10"/>
        </w:rPr>
        <w:t xml:space="preserve"> </w:t>
      </w:r>
      <w:r>
        <w:rPr>
          <w:color w:val="231F20"/>
        </w:rPr>
        <w:t>management</w:t>
      </w:r>
      <w:r>
        <w:rPr>
          <w:color w:val="231F20"/>
          <w:spacing w:val="-11"/>
        </w:rPr>
        <w:t xml:space="preserve"> </w:t>
      </w:r>
      <w:r>
        <w:rPr>
          <w:color w:val="231F20"/>
        </w:rPr>
        <w:t>o</w:t>
      </w:r>
      <w:r>
        <w:rPr>
          <w:color w:val="231F20"/>
        </w:rPr>
        <w:t>r</w:t>
      </w:r>
      <w:r>
        <w:rPr>
          <w:color w:val="231F20"/>
          <w:spacing w:val="-10"/>
        </w:rPr>
        <w:t xml:space="preserve"> </w:t>
      </w:r>
      <w:r>
        <w:rPr>
          <w:color w:val="231F20"/>
        </w:rPr>
        <w:t xml:space="preserve">complementary and alternative practices). When an individual study within  a  Cochrane  review  did  not  meet  our  </w:t>
      </w:r>
      <w:r>
        <w:rPr>
          <w:color w:val="231F20"/>
          <w:spacing w:val="23"/>
        </w:rPr>
        <w:t xml:space="preserve"> </w:t>
      </w:r>
      <w:r>
        <w:rPr>
          <w:color w:val="231F20"/>
        </w:rPr>
        <w:t>overall</w:t>
      </w:r>
    </w:p>
    <w:p w:rsidR="002E4A25" w:rsidRDefault="002E4A25">
      <w:pPr>
        <w:spacing w:line="242" w:lineRule="auto"/>
        <w:jc w:val="both"/>
        <w:sectPr w:rsidR="002E4A25">
          <w:type w:val="continuous"/>
          <w:pgSz w:w="11880" w:h="15660"/>
          <w:pgMar w:top="320" w:right="1000" w:bottom="280" w:left="1360" w:header="720" w:footer="720" w:gutter="0"/>
          <w:cols w:num="2" w:space="720" w:equalWidth="0">
            <w:col w:w="4543" w:space="237"/>
            <w:col w:w="4740"/>
          </w:cols>
        </w:sectPr>
      </w:pPr>
    </w:p>
    <w:p w:rsidR="002E4A25" w:rsidRDefault="002E4A25">
      <w:pPr>
        <w:pStyle w:val="BodyText"/>
        <w:spacing w:before="2"/>
        <w:rPr>
          <w:sz w:val="17"/>
        </w:rPr>
      </w:pPr>
    </w:p>
    <w:p w:rsidR="002E4A25" w:rsidRDefault="002E4A25">
      <w:pPr>
        <w:rPr>
          <w:sz w:val="17"/>
        </w:rPr>
        <w:sectPr w:rsidR="002E4A25">
          <w:pgSz w:w="11880" w:h="15660"/>
          <w:pgMar w:top="1260" w:right="1000" w:bottom="880" w:left="1040" w:header="1068" w:footer="689" w:gutter="0"/>
          <w:cols w:space="720"/>
        </w:sectPr>
      </w:pPr>
    </w:p>
    <w:p w:rsidR="002E4A25" w:rsidRDefault="00D74ED8">
      <w:pPr>
        <w:pStyle w:val="BodyText"/>
        <w:spacing w:before="76" w:line="244" w:lineRule="auto"/>
        <w:ind w:left="159" w:right="1"/>
        <w:jc w:val="both"/>
      </w:pPr>
      <w:r>
        <w:rPr>
          <w:color w:val="231F20"/>
        </w:rPr>
        <w:t>inclusion criteria described above, that study was excluded. Most commonly, such e</w:t>
      </w:r>
      <w:r>
        <w:rPr>
          <w:color w:val="231F20"/>
        </w:rPr>
        <w:t>xcluded studies were acute pain trials of interventions whose acute and chronic</w:t>
      </w:r>
      <w:r>
        <w:rPr>
          <w:color w:val="231F20"/>
          <w:spacing w:val="-6"/>
        </w:rPr>
        <w:t xml:space="preserve"> </w:t>
      </w:r>
      <w:r>
        <w:rPr>
          <w:color w:val="231F20"/>
        </w:rPr>
        <w:t>effects</w:t>
      </w:r>
      <w:r>
        <w:rPr>
          <w:color w:val="231F20"/>
          <w:spacing w:val="-7"/>
        </w:rPr>
        <w:t xml:space="preserve"> </w:t>
      </w:r>
      <w:r>
        <w:rPr>
          <w:color w:val="231F20"/>
        </w:rPr>
        <w:t>were</w:t>
      </w:r>
      <w:r>
        <w:rPr>
          <w:color w:val="231F20"/>
          <w:spacing w:val="-8"/>
        </w:rPr>
        <w:t xml:space="preserve"> </w:t>
      </w:r>
      <w:r>
        <w:rPr>
          <w:color w:val="231F20"/>
        </w:rPr>
        <w:t>pooled</w:t>
      </w:r>
      <w:r>
        <w:rPr>
          <w:color w:val="231F20"/>
          <w:spacing w:val="-7"/>
        </w:rPr>
        <w:t xml:space="preserve"> </w:t>
      </w:r>
      <w:r>
        <w:rPr>
          <w:color w:val="231F20"/>
        </w:rPr>
        <w:t>within</w:t>
      </w:r>
      <w:r>
        <w:rPr>
          <w:color w:val="231F20"/>
          <w:spacing w:val="-7"/>
        </w:rPr>
        <w:t xml:space="preserve"> </w:t>
      </w:r>
      <w:r>
        <w:rPr>
          <w:color w:val="231F20"/>
        </w:rPr>
        <w:t>a</w:t>
      </w:r>
      <w:r>
        <w:rPr>
          <w:color w:val="231F20"/>
          <w:spacing w:val="-7"/>
        </w:rPr>
        <w:t xml:space="preserve"> </w:t>
      </w:r>
      <w:r>
        <w:rPr>
          <w:color w:val="231F20"/>
        </w:rPr>
        <w:t>single</w:t>
      </w:r>
      <w:r>
        <w:rPr>
          <w:color w:val="231F20"/>
          <w:spacing w:val="-7"/>
        </w:rPr>
        <w:t xml:space="preserve"> </w:t>
      </w:r>
      <w:r>
        <w:rPr>
          <w:color w:val="231F20"/>
        </w:rPr>
        <w:t>Cochrane</w:t>
      </w:r>
      <w:r>
        <w:rPr>
          <w:color w:val="231F20"/>
          <w:spacing w:val="-8"/>
        </w:rPr>
        <w:t xml:space="preserve"> </w:t>
      </w:r>
      <w:r>
        <w:rPr>
          <w:color w:val="231F20"/>
        </w:rPr>
        <w:t>re- view, e.g., “gabapentin for pain.” We checked for dupli- cate studies presented within the different Cochrane reviews</w:t>
      </w:r>
      <w:r>
        <w:rPr>
          <w:color w:val="231F20"/>
          <w:spacing w:val="-11"/>
        </w:rPr>
        <w:t xml:space="preserve"> </w:t>
      </w:r>
      <w:r>
        <w:rPr>
          <w:color w:val="231F20"/>
        </w:rPr>
        <w:t>in</w:t>
      </w:r>
      <w:r>
        <w:rPr>
          <w:color w:val="231F20"/>
          <w:spacing w:val="-11"/>
        </w:rPr>
        <w:t xml:space="preserve"> </w:t>
      </w:r>
      <w:r>
        <w:rPr>
          <w:color w:val="231F20"/>
        </w:rPr>
        <w:t>each</w:t>
      </w:r>
      <w:r>
        <w:rPr>
          <w:color w:val="231F20"/>
          <w:spacing w:val="-11"/>
        </w:rPr>
        <w:t xml:space="preserve"> </w:t>
      </w:r>
      <w:r>
        <w:rPr>
          <w:color w:val="231F20"/>
        </w:rPr>
        <w:t>i</w:t>
      </w:r>
      <w:r>
        <w:rPr>
          <w:color w:val="231F20"/>
        </w:rPr>
        <w:t>ntervention</w:t>
      </w:r>
      <w:r>
        <w:rPr>
          <w:color w:val="231F20"/>
          <w:spacing w:val="-11"/>
        </w:rPr>
        <w:t xml:space="preserve"> </w:t>
      </w:r>
      <w:r>
        <w:rPr>
          <w:color w:val="231F20"/>
        </w:rPr>
        <w:t>category</w:t>
      </w:r>
      <w:r>
        <w:rPr>
          <w:color w:val="231F20"/>
          <w:spacing w:val="-11"/>
        </w:rPr>
        <w:t xml:space="preserve"> </w:t>
      </w:r>
      <w:r>
        <w:rPr>
          <w:color w:val="231F20"/>
        </w:rPr>
        <w:t>and</w:t>
      </w:r>
      <w:r>
        <w:rPr>
          <w:color w:val="231F20"/>
          <w:spacing w:val="-12"/>
        </w:rPr>
        <w:t xml:space="preserve"> </w:t>
      </w:r>
      <w:r>
        <w:rPr>
          <w:color w:val="231F20"/>
        </w:rPr>
        <w:t>removed</w:t>
      </w:r>
      <w:r>
        <w:rPr>
          <w:color w:val="231F20"/>
          <w:spacing w:val="-11"/>
        </w:rPr>
        <w:t xml:space="preserve"> </w:t>
      </w:r>
      <w:r>
        <w:rPr>
          <w:color w:val="231F20"/>
        </w:rPr>
        <w:t>such duplicates.</w:t>
      </w:r>
    </w:p>
    <w:p w:rsidR="002E4A25" w:rsidRDefault="002E4A25">
      <w:pPr>
        <w:pStyle w:val="BodyText"/>
        <w:spacing w:before="2"/>
      </w:pPr>
    </w:p>
    <w:p w:rsidR="002E4A25" w:rsidRDefault="00D74ED8">
      <w:pPr>
        <w:pStyle w:val="BodyText"/>
        <w:spacing w:line="244" w:lineRule="auto"/>
        <w:ind w:left="159" w:right="1"/>
        <w:jc w:val="both"/>
      </w:pPr>
      <w:r>
        <w:rPr>
          <w:color w:val="231F20"/>
        </w:rPr>
        <w:t>Statistical analysis was conducted in three stages.</w:t>
      </w:r>
      <w:r>
        <w:rPr>
          <w:color w:val="231F20"/>
          <w:spacing w:val="-34"/>
        </w:rPr>
        <w:t xml:space="preserve"> </w:t>
      </w:r>
      <w:r>
        <w:rPr>
          <w:color w:val="231F20"/>
        </w:rPr>
        <w:t xml:space="preserve">First, we derived descriptive statistics for trial length for each intervention. Then, we visualized the distributions as histograms. Finally, to formally compare the differences between the time frames, we conducted a negative bi- nomial regression using </w:t>
      </w:r>
      <w:r>
        <w:rPr>
          <w:color w:val="231F20"/>
        </w:rPr>
        <w:t>the active treatment duration</w:t>
      </w:r>
      <w:r>
        <w:rPr>
          <w:color w:val="231F20"/>
          <w:spacing w:val="-13"/>
        </w:rPr>
        <w:t xml:space="preserve"> </w:t>
      </w:r>
      <w:r>
        <w:rPr>
          <w:color w:val="231F20"/>
        </w:rPr>
        <w:t>of each</w:t>
      </w:r>
      <w:r>
        <w:rPr>
          <w:color w:val="231F20"/>
          <w:spacing w:val="-6"/>
        </w:rPr>
        <w:t xml:space="preserve"> </w:t>
      </w:r>
      <w:r>
        <w:rPr>
          <w:color w:val="231F20"/>
        </w:rPr>
        <w:t>trial</w:t>
      </w:r>
      <w:r>
        <w:rPr>
          <w:color w:val="231F20"/>
          <w:spacing w:val="-5"/>
        </w:rPr>
        <w:t xml:space="preserve"> </w:t>
      </w:r>
      <w:r>
        <w:rPr>
          <w:color w:val="231F20"/>
        </w:rPr>
        <w:t>as</w:t>
      </w:r>
      <w:r>
        <w:rPr>
          <w:color w:val="231F20"/>
          <w:spacing w:val="-6"/>
        </w:rPr>
        <w:t xml:space="preserve"> </w:t>
      </w:r>
      <w:r>
        <w:rPr>
          <w:color w:val="231F20"/>
        </w:rPr>
        <w:t>the</w:t>
      </w:r>
      <w:r>
        <w:rPr>
          <w:color w:val="231F20"/>
          <w:spacing w:val="-6"/>
        </w:rPr>
        <w:t xml:space="preserve"> </w:t>
      </w:r>
      <w:r>
        <w:rPr>
          <w:color w:val="231F20"/>
        </w:rPr>
        <w:t>dependent</w:t>
      </w:r>
      <w:r>
        <w:rPr>
          <w:color w:val="231F20"/>
          <w:spacing w:val="-5"/>
        </w:rPr>
        <w:t xml:space="preserve"> </w:t>
      </w:r>
      <w:r>
        <w:rPr>
          <w:color w:val="231F20"/>
        </w:rPr>
        <w:t>variable</w:t>
      </w:r>
      <w:r>
        <w:rPr>
          <w:color w:val="231F20"/>
          <w:spacing w:val="-5"/>
        </w:rPr>
        <w:t xml:space="preserve"> </w:t>
      </w:r>
      <w:r>
        <w:rPr>
          <w:color w:val="231F20"/>
        </w:rPr>
        <w:t>and</w:t>
      </w:r>
      <w:r>
        <w:rPr>
          <w:color w:val="231F20"/>
          <w:spacing w:val="-5"/>
        </w:rPr>
        <w:t xml:space="preserve"> </w:t>
      </w:r>
      <w:r>
        <w:rPr>
          <w:color w:val="231F20"/>
        </w:rPr>
        <w:t>modality</w:t>
      </w:r>
      <w:r>
        <w:rPr>
          <w:color w:val="231F20"/>
          <w:spacing w:val="-6"/>
        </w:rPr>
        <w:t xml:space="preserve"> </w:t>
      </w:r>
      <w:r>
        <w:rPr>
          <w:color w:val="231F20"/>
        </w:rPr>
        <w:t>as</w:t>
      </w:r>
      <w:r>
        <w:rPr>
          <w:color w:val="231F20"/>
          <w:spacing w:val="-6"/>
        </w:rPr>
        <w:t xml:space="preserve"> </w:t>
      </w:r>
      <w:r>
        <w:rPr>
          <w:color w:val="231F20"/>
        </w:rPr>
        <w:t>the categorical independent variable. We selected negative binomial regression over Poisson regression due to the data being overdispersed. Results are reported as risk r</w:t>
      </w:r>
      <w:r>
        <w:rPr>
          <w:color w:val="231F20"/>
        </w:rPr>
        <w:t>atios, each indicating the ratio of mean duration of ac- tive treatment in trials of nonopioid therapies compared with the duration of active treatment in opioid trials excluded for “inadequate duration” from the 2014  AHRQ review. Stata 14 (College Statio</w:t>
      </w:r>
      <w:r>
        <w:rPr>
          <w:color w:val="231F20"/>
        </w:rPr>
        <w:t>n, TX, USA)</w:t>
      </w:r>
      <w:r>
        <w:rPr>
          <w:color w:val="231F20"/>
          <w:spacing w:val="-3"/>
        </w:rPr>
        <w:t xml:space="preserve"> </w:t>
      </w:r>
      <w:r>
        <w:rPr>
          <w:color w:val="231F20"/>
        </w:rPr>
        <w:t>was used</w:t>
      </w:r>
      <w:r>
        <w:rPr>
          <w:color w:val="231F20"/>
          <w:spacing w:val="-8"/>
        </w:rPr>
        <w:t xml:space="preserve"> </w:t>
      </w:r>
      <w:r>
        <w:rPr>
          <w:color w:val="231F20"/>
        </w:rPr>
        <w:t>for</w:t>
      </w:r>
      <w:r>
        <w:rPr>
          <w:color w:val="231F20"/>
          <w:spacing w:val="-8"/>
        </w:rPr>
        <w:t xml:space="preserve"> </w:t>
      </w:r>
      <w:r>
        <w:rPr>
          <w:color w:val="231F20"/>
        </w:rPr>
        <w:t>data</w:t>
      </w:r>
      <w:r>
        <w:rPr>
          <w:color w:val="231F20"/>
          <w:spacing w:val="-8"/>
        </w:rPr>
        <w:t xml:space="preserve"> </w:t>
      </w:r>
      <w:r>
        <w:rPr>
          <w:color w:val="231F20"/>
        </w:rPr>
        <w:t>visualization</w:t>
      </w:r>
      <w:r>
        <w:rPr>
          <w:color w:val="231F20"/>
          <w:spacing w:val="-8"/>
        </w:rPr>
        <w:t xml:space="preserve"> </w:t>
      </w:r>
      <w:r>
        <w:rPr>
          <w:color w:val="231F20"/>
        </w:rPr>
        <w:t>and</w:t>
      </w:r>
      <w:r>
        <w:rPr>
          <w:color w:val="231F20"/>
          <w:spacing w:val="-8"/>
        </w:rPr>
        <w:t xml:space="preserve"> </w:t>
      </w:r>
      <w:r>
        <w:rPr>
          <w:color w:val="231F20"/>
        </w:rPr>
        <w:t>analysis.</w:t>
      </w:r>
      <w:r>
        <w:rPr>
          <w:color w:val="231F20"/>
          <w:spacing w:val="-8"/>
        </w:rPr>
        <w:t xml:space="preserve"> </w:t>
      </w:r>
      <w:r>
        <w:rPr>
          <w:color w:val="231F20"/>
        </w:rPr>
        <w:t>Statistically</w:t>
      </w:r>
      <w:r>
        <w:rPr>
          <w:color w:val="231F20"/>
          <w:spacing w:val="-7"/>
        </w:rPr>
        <w:t xml:space="preserve"> </w:t>
      </w:r>
      <w:r>
        <w:rPr>
          <w:color w:val="231F20"/>
        </w:rPr>
        <w:t xml:space="preserve">sig- nificant  differences  were  based  on  the  threshold </w:t>
      </w:r>
      <w:r>
        <w:rPr>
          <w:color w:val="231F20"/>
          <w:spacing w:val="43"/>
        </w:rPr>
        <w:t xml:space="preserve"> </w:t>
      </w:r>
      <w:r>
        <w:rPr>
          <w:color w:val="231F20"/>
        </w:rPr>
        <w:t>of</w:t>
      </w:r>
    </w:p>
    <w:p w:rsidR="002E4A25" w:rsidRDefault="00D74ED8">
      <w:pPr>
        <w:spacing w:line="248" w:lineRule="exact"/>
        <w:ind w:left="159"/>
        <w:jc w:val="both"/>
        <w:rPr>
          <w:sz w:val="18"/>
        </w:rPr>
      </w:pPr>
      <w:r>
        <w:rPr>
          <w:i/>
          <w:color w:val="231F20"/>
          <w:sz w:val="18"/>
        </w:rPr>
        <w:t xml:space="preserve">P </w:t>
      </w:r>
      <w:r>
        <w:rPr>
          <w:rFonts w:ascii="Lucida Sans Unicode"/>
          <w:color w:val="231F20"/>
          <w:sz w:val="18"/>
        </w:rPr>
        <w:t xml:space="preserve">&lt; </w:t>
      </w:r>
      <w:r>
        <w:rPr>
          <w:color w:val="231F20"/>
          <w:sz w:val="18"/>
        </w:rPr>
        <w:t>0.05.</w:t>
      </w:r>
    </w:p>
    <w:p w:rsidR="002E4A25" w:rsidRDefault="002E4A25">
      <w:pPr>
        <w:pStyle w:val="BodyText"/>
        <w:spacing w:before="8"/>
        <w:rPr>
          <w:sz w:val="14"/>
        </w:rPr>
      </w:pPr>
    </w:p>
    <w:p w:rsidR="002E4A25" w:rsidRDefault="00D74ED8">
      <w:pPr>
        <w:pStyle w:val="BodyText"/>
        <w:ind w:left="159"/>
        <w:jc w:val="both"/>
      </w:pPr>
      <w:r>
        <w:rPr>
          <w:color w:val="231F20"/>
          <w:w w:val="105"/>
        </w:rPr>
        <w:t>Results</w:t>
      </w:r>
    </w:p>
    <w:p w:rsidR="002E4A25" w:rsidRDefault="002E4A25">
      <w:pPr>
        <w:pStyle w:val="BodyText"/>
        <w:spacing w:before="8"/>
      </w:pPr>
    </w:p>
    <w:p w:rsidR="002E4A25" w:rsidRDefault="00D74ED8">
      <w:pPr>
        <w:pStyle w:val="BodyText"/>
        <w:spacing w:line="244" w:lineRule="auto"/>
        <w:ind w:left="159"/>
        <w:jc w:val="both"/>
      </w:pPr>
      <w:bookmarkStart w:id="0" w:name="pnw245-TF1"/>
      <w:bookmarkEnd w:id="0"/>
      <w:r>
        <w:rPr>
          <w:color w:val="231F20"/>
        </w:rPr>
        <w:t>The</w:t>
      </w:r>
      <w:r>
        <w:rPr>
          <w:color w:val="231F20"/>
          <w:spacing w:val="-25"/>
        </w:rPr>
        <w:t xml:space="preserve"> </w:t>
      </w:r>
      <w:r>
        <w:rPr>
          <w:color w:val="231F20"/>
        </w:rPr>
        <w:t>numbers</w:t>
      </w:r>
      <w:r>
        <w:rPr>
          <w:color w:val="231F20"/>
          <w:spacing w:val="-26"/>
        </w:rPr>
        <w:t xml:space="preserve"> </w:t>
      </w:r>
      <w:r>
        <w:rPr>
          <w:color w:val="231F20"/>
        </w:rPr>
        <w:t>of</w:t>
      </w:r>
      <w:r>
        <w:rPr>
          <w:color w:val="231F20"/>
          <w:spacing w:val="-26"/>
        </w:rPr>
        <w:t xml:space="preserve"> </w:t>
      </w:r>
      <w:r>
        <w:rPr>
          <w:color w:val="231F20"/>
        </w:rPr>
        <w:t>articles</w:t>
      </w:r>
      <w:r>
        <w:rPr>
          <w:color w:val="231F20"/>
          <w:spacing w:val="-26"/>
        </w:rPr>
        <w:t xml:space="preserve"> </w:t>
      </w:r>
      <w:r>
        <w:rPr>
          <w:color w:val="231F20"/>
        </w:rPr>
        <w:t>and</w:t>
      </w:r>
      <w:r>
        <w:rPr>
          <w:color w:val="231F20"/>
          <w:spacing w:val="-25"/>
        </w:rPr>
        <w:t xml:space="preserve"> </w:t>
      </w:r>
      <w:r>
        <w:rPr>
          <w:color w:val="231F20"/>
        </w:rPr>
        <w:t>systematic</w:t>
      </w:r>
      <w:r>
        <w:rPr>
          <w:color w:val="231F20"/>
          <w:spacing w:val="-26"/>
        </w:rPr>
        <w:t xml:space="preserve"> </w:t>
      </w:r>
      <w:r>
        <w:rPr>
          <w:color w:val="231F20"/>
        </w:rPr>
        <w:t>reviews</w:t>
      </w:r>
      <w:r>
        <w:rPr>
          <w:color w:val="231F20"/>
          <w:spacing w:val="-25"/>
        </w:rPr>
        <w:t xml:space="preserve"> </w:t>
      </w:r>
      <w:r>
        <w:rPr>
          <w:color w:val="231F20"/>
        </w:rPr>
        <w:t>retrieved, along with numbers of patients enrolled and the ranges of</w:t>
      </w:r>
      <w:r>
        <w:rPr>
          <w:color w:val="231F20"/>
          <w:spacing w:val="-20"/>
        </w:rPr>
        <w:t xml:space="preserve"> </w:t>
      </w:r>
      <w:r>
        <w:rPr>
          <w:color w:val="231F20"/>
        </w:rPr>
        <w:t>study</w:t>
      </w:r>
      <w:r>
        <w:rPr>
          <w:color w:val="231F20"/>
          <w:spacing w:val="-19"/>
        </w:rPr>
        <w:t xml:space="preserve"> </w:t>
      </w:r>
      <w:r>
        <w:rPr>
          <w:color w:val="231F20"/>
        </w:rPr>
        <w:t>durations,</w:t>
      </w:r>
      <w:r>
        <w:rPr>
          <w:color w:val="231F20"/>
          <w:spacing w:val="-20"/>
        </w:rPr>
        <w:t xml:space="preserve"> </w:t>
      </w:r>
      <w:r>
        <w:rPr>
          <w:color w:val="231F20"/>
        </w:rPr>
        <w:t>are</w:t>
      </w:r>
      <w:r>
        <w:rPr>
          <w:color w:val="231F20"/>
          <w:spacing w:val="-19"/>
        </w:rPr>
        <w:t xml:space="preserve"> </w:t>
      </w:r>
      <w:r>
        <w:rPr>
          <w:color w:val="231F20"/>
        </w:rPr>
        <w:t>presented</w:t>
      </w:r>
      <w:r>
        <w:rPr>
          <w:color w:val="231F20"/>
          <w:spacing w:val="-19"/>
        </w:rPr>
        <w:t xml:space="preserve"> </w:t>
      </w:r>
      <w:r>
        <w:rPr>
          <w:color w:val="231F20"/>
        </w:rPr>
        <w:t>in</w:t>
      </w:r>
      <w:r>
        <w:rPr>
          <w:color w:val="231F20"/>
          <w:spacing w:val="-20"/>
        </w:rPr>
        <w:t xml:space="preserve"> </w:t>
      </w:r>
      <w:hyperlink w:anchor="_bookmark0" w:history="1">
        <w:r>
          <w:rPr>
            <w:color w:val="2E3092"/>
          </w:rPr>
          <w:t>Table</w:t>
        </w:r>
        <w:r>
          <w:rPr>
            <w:color w:val="2E3092"/>
            <w:spacing w:val="-19"/>
          </w:rPr>
          <w:t xml:space="preserve"> </w:t>
        </w:r>
        <w:r>
          <w:rPr>
            <w:color w:val="2E3092"/>
          </w:rPr>
          <w:t>1</w:t>
        </w:r>
      </w:hyperlink>
      <w:r>
        <w:rPr>
          <w:color w:val="231F20"/>
        </w:rPr>
        <w:t>.</w:t>
      </w:r>
      <w:r>
        <w:rPr>
          <w:color w:val="231F20"/>
          <w:spacing w:val="-18"/>
        </w:rPr>
        <w:t xml:space="preserve"> </w:t>
      </w:r>
      <w:r>
        <w:rPr>
          <w:color w:val="231F20"/>
        </w:rPr>
        <w:t>The</w:t>
      </w:r>
      <w:r>
        <w:rPr>
          <w:color w:val="231F20"/>
          <w:spacing w:val="-19"/>
        </w:rPr>
        <w:t xml:space="preserve"> </w:t>
      </w:r>
      <w:r>
        <w:rPr>
          <w:color w:val="231F20"/>
        </w:rPr>
        <w:t>greatest number of included studies was in the category of be- havioral</w:t>
      </w:r>
      <w:r>
        <w:rPr>
          <w:color w:val="231F20"/>
          <w:spacing w:val="-17"/>
        </w:rPr>
        <w:t xml:space="preserve"> </w:t>
      </w:r>
      <w:r>
        <w:rPr>
          <w:color w:val="231F20"/>
        </w:rPr>
        <w:t>interventions,</w:t>
      </w:r>
      <w:r>
        <w:rPr>
          <w:color w:val="231F20"/>
          <w:spacing w:val="-16"/>
        </w:rPr>
        <w:t xml:space="preserve"> </w:t>
      </w:r>
      <w:r>
        <w:rPr>
          <w:color w:val="231F20"/>
        </w:rPr>
        <w:t>with</w:t>
      </w:r>
      <w:r>
        <w:rPr>
          <w:color w:val="231F20"/>
          <w:spacing w:val="-15"/>
        </w:rPr>
        <w:t xml:space="preserve"> </w:t>
      </w:r>
      <w:r>
        <w:rPr>
          <w:color w:val="231F20"/>
        </w:rPr>
        <w:t>269</w:t>
      </w:r>
      <w:r>
        <w:rPr>
          <w:color w:val="231F20"/>
          <w:spacing w:val="-17"/>
        </w:rPr>
        <w:t xml:space="preserve"> </w:t>
      </w:r>
      <w:r>
        <w:rPr>
          <w:color w:val="231F20"/>
        </w:rPr>
        <w:t>articles.</w:t>
      </w:r>
      <w:r>
        <w:rPr>
          <w:color w:val="231F20"/>
          <w:spacing w:val="-16"/>
        </w:rPr>
        <w:t xml:space="preserve"> </w:t>
      </w:r>
      <w:r>
        <w:rPr>
          <w:color w:val="231F20"/>
        </w:rPr>
        <w:t>The</w:t>
      </w:r>
      <w:r>
        <w:rPr>
          <w:color w:val="231F20"/>
          <w:spacing w:val="-16"/>
        </w:rPr>
        <w:t xml:space="preserve"> </w:t>
      </w:r>
      <w:r>
        <w:rPr>
          <w:color w:val="231F20"/>
        </w:rPr>
        <w:t>next</w:t>
      </w:r>
      <w:r>
        <w:rPr>
          <w:color w:val="231F20"/>
          <w:spacing w:val="-15"/>
        </w:rPr>
        <w:t xml:space="preserve"> </w:t>
      </w:r>
      <w:r>
        <w:rPr>
          <w:color w:val="231F20"/>
        </w:rPr>
        <w:t>highest number</w:t>
      </w:r>
      <w:r>
        <w:rPr>
          <w:color w:val="231F20"/>
          <w:spacing w:val="-7"/>
        </w:rPr>
        <w:t xml:space="preserve"> </w:t>
      </w:r>
      <w:r>
        <w:rPr>
          <w:color w:val="231F20"/>
        </w:rPr>
        <w:t>of</w:t>
      </w:r>
      <w:r>
        <w:rPr>
          <w:color w:val="231F20"/>
          <w:spacing w:val="-7"/>
        </w:rPr>
        <w:t xml:space="preserve"> </w:t>
      </w:r>
      <w:r>
        <w:rPr>
          <w:color w:val="231F20"/>
        </w:rPr>
        <w:t>included</w:t>
      </w:r>
      <w:r>
        <w:rPr>
          <w:color w:val="231F20"/>
          <w:spacing w:val="-6"/>
        </w:rPr>
        <w:t xml:space="preserve"> </w:t>
      </w:r>
      <w:r>
        <w:rPr>
          <w:color w:val="231F20"/>
        </w:rPr>
        <w:t>articles</w:t>
      </w:r>
      <w:r>
        <w:rPr>
          <w:color w:val="231F20"/>
          <w:spacing w:val="-6"/>
        </w:rPr>
        <w:t xml:space="preserve"> </w:t>
      </w:r>
      <w:r>
        <w:rPr>
          <w:color w:val="231F20"/>
        </w:rPr>
        <w:t>was</w:t>
      </w:r>
      <w:r>
        <w:rPr>
          <w:color w:val="231F20"/>
          <w:spacing w:val="-5"/>
        </w:rPr>
        <w:t xml:space="preserve"> </w:t>
      </w:r>
      <w:r>
        <w:rPr>
          <w:color w:val="231F20"/>
        </w:rPr>
        <w:t>141</w:t>
      </w:r>
      <w:r>
        <w:rPr>
          <w:color w:val="231F20"/>
          <w:spacing w:val="-6"/>
        </w:rPr>
        <w:t xml:space="preserve"> </w:t>
      </w:r>
      <w:r>
        <w:rPr>
          <w:color w:val="231F20"/>
        </w:rPr>
        <w:t>for</w:t>
      </w:r>
      <w:r>
        <w:rPr>
          <w:color w:val="231F20"/>
          <w:spacing w:val="-5"/>
        </w:rPr>
        <w:t xml:space="preserve"> </w:t>
      </w:r>
      <w:r>
        <w:rPr>
          <w:color w:val="231F20"/>
        </w:rPr>
        <w:t>antidepressants and 148 for the long-term opioids, each approximately half the number for behavioral interventions. The</w:t>
      </w:r>
      <w:r>
        <w:rPr>
          <w:color w:val="231F20"/>
          <w:spacing w:val="-27"/>
        </w:rPr>
        <w:t xml:space="preserve"> </w:t>
      </w:r>
      <w:r>
        <w:rPr>
          <w:color w:val="231F20"/>
        </w:rPr>
        <w:t>fewest number</w:t>
      </w:r>
      <w:r>
        <w:rPr>
          <w:color w:val="231F20"/>
          <w:spacing w:val="-17"/>
        </w:rPr>
        <w:t xml:space="preserve"> </w:t>
      </w:r>
      <w:r>
        <w:rPr>
          <w:color w:val="231F20"/>
        </w:rPr>
        <w:t>of</w:t>
      </w:r>
      <w:r>
        <w:rPr>
          <w:color w:val="231F20"/>
          <w:spacing w:val="-17"/>
        </w:rPr>
        <w:t xml:space="preserve"> </w:t>
      </w:r>
      <w:r>
        <w:rPr>
          <w:color w:val="231F20"/>
        </w:rPr>
        <w:t>articles</w:t>
      </w:r>
      <w:r>
        <w:rPr>
          <w:color w:val="231F20"/>
          <w:spacing w:val="-17"/>
        </w:rPr>
        <w:t xml:space="preserve"> </w:t>
      </w:r>
      <w:r>
        <w:rPr>
          <w:color w:val="231F20"/>
        </w:rPr>
        <w:t>was</w:t>
      </w:r>
      <w:r>
        <w:rPr>
          <w:color w:val="231F20"/>
          <w:spacing w:val="-16"/>
        </w:rPr>
        <w:t xml:space="preserve"> </w:t>
      </w:r>
      <w:r>
        <w:rPr>
          <w:color w:val="231F20"/>
        </w:rPr>
        <w:t>for</w:t>
      </w:r>
      <w:r>
        <w:rPr>
          <w:color w:val="231F20"/>
          <w:spacing w:val="-17"/>
        </w:rPr>
        <w:t xml:space="preserve"> </w:t>
      </w:r>
      <w:r>
        <w:rPr>
          <w:color w:val="231F20"/>
        </w:rPr>
        <w:t>NSAIDS,</w:t>
      </w:r>
      <w:r>
        <w:rPr>
          <w:color w:val="231F20"/>
          <w:spacing w:val="-16"/>
        </w:rPr>
        <w:t xml:space="preserve"> </w:t>
      </w:r>
      <w:r>
        <w:rPr>
          <w:color w:val="231F20"/>
        </w:rPr>
        <w:t>with</w:t>
      </w:r>
      <w:r>
        <w:rPr>
          <w:color w:val="231F20"/>
          <w:spacing w:val="-16"/>
        </w:rPr>
        <w:t xml:space="preserve"> </w:t>
      </w:r>
      <w:r>
        <w:rPr>
          <w:color w:val="231F20"/>
        </w:rPr>
        <w:t>102</w:t>
      </w:r>
      <w:r>
        <w:rPr>
          <w:color w:val="231F20"/>
          <w:spacing w:val="-17"/>
        </w:rPr>
        <w:t xml:space="preserve"> </w:t>
      </w:r>
      <w:r>
        <w:rPr>
          <w:color w:val="231F20"/>
        </w:rPr>
        <w:t>articles</w:t>
      </w:r>
      <w:r>
        <w:rPr>
          <w:color w:val="231F20"/>
          <w:spacing w:val="-17"/>
        </w:rPr>
        <w:t xml:space="preserve"> </w:t>
      </w:r>
      <w:r>
        <w:rPr>
          <w:color w:val="231F20"/>
        </w:rPr>
        <w:t>cov- ering over 34,500 patients. The number of patients included</w:t>
      </w:r>
      <w:r>
        <w:rPr>
          <w:color w:val="231F20"/>
          <w:spacing w:val="-17"/>
        </w:rPr>
        <w:t xml:space="preserve"> </w:t>
      </w:r>
      <w:r>
        <w:rPr>
          <w:color w:val="231F20"/>
        </w:rPr>
        <w:t>in</w:t>
      </w:r>
      <w:r>
        <w:rPr>
          <w:color w:val="231F20"/>
          <w:spacing w:val="-17"/>
        </w:rPr>
        <w:t xml:space="preserve"> </w:t>
      </w:r>
      <w:r>
        <w:rPr>
          <w:color w:val="231F20"/>
        </w:rPr>
        <w:t>studies</w:t>
      </w:r>
      <w:r>
        <w:rPr>
          <w:color w:val="231F20"/>
          <w:spacing w:val="-16"/>
        </w:rPr>
        <w:t xml:space="preserve"> </w:t>
      </w:r>
      <w:r>
        <w:rPr>
          <w:color w:val="231F20"/>
        </w:rPr>
        <w:t>for</w:t>
      </w:r>
      <w:r>
        <w:rPr>
          <w:color w:val="231F20"/>
          <w:spacing w:val="-17"/>
        </w:rPr>
        <w:t xml:space="preserve"> </w:t>
      </w:r>
      <w:r>
        <w:rPr>
          <w:color w:val="231F20"/>
        </w:rPr>
        <w:t>a</w:t>
      </w:r>
      <w:r>
        <w:rPr>
          <w:color w:val="231F20"/>
          <w:spacing w:val="-16"/>
        </w:rPr>
        <w:t xml:space="preserve"> </w:t>
      </w:r>
      <w:r>
        <w:rPr>
          <w:color w:val="231F20"/>
        </w:rPr>
        <w:t>specific</w:t>
      </w:r>
      <w:r>
        <w:rPr>
          <w:color w:val="231F20"/>
          <w:spacing w:val="-17"/>
        </w:rPr>
        <w:t xml:space="preserve"> </w:t>
      </w:r>
      <w:r>
        <w:rPr>
          <w:color w:val="231F20"/>
        </w:rPr>
        <w:t>intervention</w:t>
      </w:r>
      <w:r>
        <w:rPr>
          <w:color w:val="231F20"/>
          <w:spacing w:val="-16"/>
        </w:rPr>
        <w:t xml:space="preserve"> </w:t>
      </w:r>
      <w:r>
        <w:rPr>
          <w:color w:val="231F20"/>
        </w:rPr>
        <w:t>ranged</w:t>
      </w:r>
      <w:r>
        <w:rPr>
          <w:color w:val="231F20"/>
          <w:spacing w:val="-17"/>
        </w:rPr>
        <w:t xml:space="preserve"> </w:t>
      </w:r>
      <w:r>
        <w:rPr>
          <w:color w:val="231F20"/>
        </w:rPr>
        <w:t>from over 45,000 for the long-term opioids category in the 2014</w:t>
      </w:r>
      <w:r>
        <w:rPr>
          <w:color w:val="231F20"/>
          <w:spacing w:val="-11"/>
        </w:rPr>
        <w:t xml:space="preserve"> </w:t>
      </w:r>
      <w:r>
        <w:rPr>
          <w:color w:val="231F20"/>
        </w:rPr>
        <w:t>AHRQ</w:t>
      </w:r>
      <w:r>
        <w:rPr>
          <w:color w:val="231F20"/>
          <w:spacing w:val="-10"/>
        </w:rPr>
        <w:t xml:space="preserve"> </w:t>
      </w:r>
      <w:r>
        <w:rPr>
          <w:color w:val="231F20"/>
        </w:rPr>
        <w:t>evidence</w:t>
      </w:r>
      <w:r>
        <w:rPr>
          <w:color w:val="231F20"/>
          <w:spacing w:val="-11"/>
        </w:rPr>
        <w:t xml:space="preserve"> </w:t>
      </w:r>
      <w:r>
        <w:rPr>
          <w:color w:val="231F20"/>
        </w:rPr>
        <w:t>review</w:t>
      </w:r>
      <w:r>
        <w:rPr>
          <w:color w:val="231F20"/>
          <w:spacing w:val="-11"/>
        </w:rPr>
        <w:t xml:space="preserve"> </w:t>
      </w:r>
      <w:r>
        <w:rPr>
          <w:color w:val="231F20"/>
        </w:rPr>
        <w:t>to</w:t>
      </w:r>
      <w:r>
        <w:rPr>
          <w:color w:val="231F20"/>
          <w:spacing w:val="-11"/>
        </w:rPr>
        <w:t xml:space="preserve"> </w:t>
      </w:r>
      <w:r>
        <w:rPr>
          <w:color w:val="231F20"/>
        </w:rPr>
        <w:t>as</w:t>
      </w:r>
      <w:r>
        <w:rPr>
          <w:color w:val="231F20"/>
          <w:spacing w:val="-11"/>
        </w:rPr>
        <w:t xml:space="preserve"> </w:t>
      </w:r>
      <w:r>
        <w:rPr>
          <w:color w:val="231F20"/>
        </w:rPr>
        <w:t>few</w:t>
      </w:r>
      <w:r>
        <w:rPr>
          <w:color w:val="231F20"/>
          <w:spacing w:val="-10"/>
        </w:rPr>
        <w:t xml:space="preserve"> </w:t>
      </w:r>
      <w:r>
        <w:rPr>
          <w:color w:val="231F20"/>
        </w:rPr>
        <w:t>as</w:t>
      </w:r>
      <w:r>
        <w:rPr>
          <w:color w:val="231F20"/>
          <w:spacing w:val="-11"/>
        </w:rPr>
        <w:t xml:space="preserve"> </w:t>
      </w:r>
      <w:r>
        <w:rPr>
          <w:color w:val="231F20"/>
        </w:rPr>
        <w:t>approximately</w:t>
      </w:r>
    </w:p>
    <w:p w:rsidR="002E4A25" w:rsidRDefault="00D74ED8">
      <w:pPr>
        <w:pStyle w:val="BodyText"/>
        <w:spacing w:before="76" w:line="244" w:lineRule="auto"/>
        <w:ind w:left="159" w:right="473"/>
        <w:jc w:val="both"/>
      </w:pPr>
      <w:r>
        <w:br w:type="column"/>
      </w:r>
      <w:r>
        <w:rPr>
          <w:color w:val="231F20"/>
        </w:rPr>
        <w:t xml:space="preserve">18,000 patients in the Cochrane </w:t>
      </w:r>
      <w:r>
        <w:rPr>
          <w:color w:val="231F20"/>
        </w:rPr>
        <w:t>reviews of opioids and antidepressants. At the middle range of numbers of pa- tients</w:t>
      </w:r>
      <w:r>
        <w:rPr>
          <w:color w:val="231F20"/>
          <w:spacing w:val="-26"/>
        </w:rPr>
        <w:t xml:space="preserve"> </w:t>
      </w:r>
      <w:r>
        <w:rPr>
          <w:color w:val="231F20"/>
        </w:rPr>
        <w:t>studied,</w:t>
      </w:r>
      <w:r>
        <w:rPr>
          <w:color w:val="231F20"/>
          <w:spacing w:val="-26"/>
        </w:rPr>
        <w:t xml:space="preserve"> </w:t>
      </w:r>
      <w:r>
        <w:rPr>
          <w:color w:val="231F20"/>
        </w:rPr>
        <w:t>behavioral</w:t>
      </w:r>
      <w:r>
        <w:rPr>
          <w:color w:val="231F20"/>
          <w:spacing w:val="-26"/>
        </w:rPr>
        <w:t xml:space="preserve"> </w:t>
      </w:r>
      <w:r>
        <w:rPr>
          <w:color w:val="231F20"/>
        </w:rPr>
        <w:t>interventions</w:t>
      </w:r>
      <w:r>
        <w:rPr>
          <w:color w:val="231F20"/>
          <w:spacing w:val="-26"/>
        </w:rPr>
        <w:t xml:space="preserve"> </w:t>
      </w:r>
      <w:r>
        <w:rPr>
          <w:color w:val="231F20"/>
        </w:rPr>
        <w:t>and</w:t>
      </w:r>
      <w:r>
        <w:rPr>
          <w:color w:val="231F20"/>
          <w:spacing w:val="-26"/>
        </w:rPr>
        <w:t xml:space="preserve"> </w:t>
      </w:r>
      <w:r>
        <w:rPr>
          <w:color w:val="231F20"/>
        </w:rPr>
        <w:t>NSAIDS</w:t>
      </w:r>
      <w:r>
        <w:rPr>
          <w:color w:val="231F20"/>
          <w:spacing w:val="-25"/>
        </w:rPr>
        <w:t xml:space="preserve"> </w:t>
      </w:r>
      <w:r>
        <w:rPr>
          <w:color w:val="231F20"/>
        </w:rPr>
        <w:t>each had approximately 28,000 and 34,000 participants, re- spectively.</w:t>
      </w:r>
      <w:r>
        <w:rPr>
          <w:color w:val="231F20"/>
          <w:spacing w:val="-20"/>
        </w:rPr>
        <w:t xml:space="preserve"> </w:t>
      </w:r>
      <w:r>
        <w:rPr>
          <w:color w:val="231F20"/>
        </w:rPr>
        <w:t>Anticonvulsant</w:t>
      </w:r>
      <w:r>
        <w:rPr>
          <w:color w:val="231F20"/>
          <w:spacing w:val="-19"/>
        </w:rPr>
        <w:t xml:space="preserve"> </w:t>
      </w:r>
      <w:r>
        <w:rPr>
          <w:color w:val="231F20"/>
        </w:rPr>
        <w:t>studies</w:t>
      </w:r>
      <w:r>
        <w:rPr>
          <w:color w:val="231F20"/>
          <w:spacing w:val="-18"/>
        </w:rPr>
        <w:t xml:space="preserve"> </w:t>
      </w:r>
      <w:r>
        <w:rPr>
          <w:color w:val="231F20"/>
        </w:rPr>
        <w:t>enrolled</w:t>
      </w:r>
      <w:r>
        <w:rPr>
          <w:color w:val="231F20"/>
          <w:spacing w:val="-19"/>
        </w:rPr>
        <w:t xml:space="preserve"> </w:t>
      </w:r>
      <w:r>
        <w:rPr>
          <w:color w:val="231F20"/>
        </w:rPr>
        <w:t>nearly</w:t>
      </w:r>
      <w:r>
        <w:rPr>
          <w:color w:val="231F20"/>
          <w:spacing w:val="-20"/>
        </w:rPr>
        <w:t xml:space="preserve"> </w:t>
      </w:r>
      <w:r>
        <w:rPr>
          <w:color w:val="231F20"/>
        </w:rPr>
        <w:t>22,000 and</w:t>
      </w:r>
      <w:r>
        <w:rPr>
          <w:color w:val="231F20"/>
          <w:spacing w:val="-14"/>
        </w:rPr>
        <w:t xml:space="preserve"> </w:t>
      </w:r>
      <w:r>
        <w:rPr>
          <w:color w:val="231F20"/>
        </w:rPr>
        <w:t>antidepressants</w:t>
      </w:r>
      <w:r>
        <w:rPr>
          <w:color w:val="231F20"/>
          <w:spacing w:val="-15"/>
        </w:rPr>
        <w:t xml:space="preserve"> </w:t>
      </w:r>
      <w:r>
        <w:rPr>
          <w:color w:val="231F20"/>
        </w:rPr>
        <w:t>over</w:t>
      </w:r>
      <w:r>
        <w:rPr>
          <w:color w:val="231F20"/>
          <w:spacing w:val="-15"/>
        </w:rPr>
        <w:t xml:space="preserve"> </w:t>
      </w:r>
      <w:r>
        <w:rPr>
          <w:color w:val="231F20"/>
        </w:rPr>
        <w:t>17,000</w:t>
      </w:r>
      <w:r>
        <w:rPr>
          <w:color w:val="231F20"/>
          <w:spacing w:val="-15"/>
        </w:rPr>
        <w:t xml:space="preserve"> </w:t>
      </w:r>
      <w:r>
        <w:rPr>
          <w:color w:val="231F20"/>
        </w:rPr>
        <w:t>patients.</w:t>
      </w:r>
      <w:r>
        <w:rPr>
          <w:color w:val="231F20"/>
          <w:spacing w:val="-14"/>
        </w:rPr>
        <w:t xml:space="preserve"> </w:t>
      </w:r>
      <w:r>
        <w:rPr>
          <w:color w:val="231F20"/>
        </w:rPr>
        <w:t>Additional</w:t>
      </w:r>
      <w:r>
        <w:rPr>
          <w:color w:val="231F20"/>
          <w:spacing w:val="-15"/>
        </w:rPr>
        <w:t xml:space="preserve"> </w:t>
      </w:r>
      <w:r>
        <w:rPr>
          <w:color w:val="231F20"/>
        </w:rPr>
        <w:t>de- scriptive</w:t>
      </w:r>
      <w:r>
        <w:rPr>
          <w:color w:val="231F20"/>
          <w:spacing w:val="-27"/>
        </w:rPr>
        <w:t xml:space="preserve"> </w:t>
      </w:r>
      <w:r>
        <w:rPr>
          <w:color w:val="231F20"/>
        </w:rPr>
        <w:t>statistics</w:t>
      </w:r>
      <w:r>
        <w:rPr>
          <w:color w:val="231F20"/>
          <w:spacing w:val="-26"/>
        </w:rPr>
        <w:t xml:space="preserve"> </w:t>
      </w:r>
      <w:r>
        <w:rPr>
          <w:color w:val="231F20"/>
        </w:rPr>
        <w:t>for</w:t>
      </w:r>
      <w:r>
        <w:rPr>
          <w:color w:val="231F20"/>
          <w:spacing w:val="-27"/>
        </w:rPr>
        <w:t xml:space="preserve"> </w:t>
      </w:r>
      <w:r>
        <w:rPr>
          <w:color w:val="231F20"/>
        </w:rPr>
        <w:t>each</w:t>
      </w:r>
      <w:r>
        <w:rPr>
          <w:color w:val="231F20"/>
          <w:spacing w:val="-26"/>
        </w:rPr>
        <w:t xml:space="preserve"> </w:t>
      </w:r>
      <w:r>
        <w:rPr>
          <w:color w:val="231F20"/>
        </w:rPr>
        <w:t>therapeutic</w:t>
      </w:r>
      <w:r>
        <w:rPr>
          <w:color w:val="231F20"/>
          <w:spacing w:val="-26"/>
        </w:rPr>
        <w:t xml:space="preserve"> </w:t>
      </w:r>
      <w:r>
        <w:rPr>
          <w:color w:val="231F20"/>
        </w:rPr>
        <w:t>modality,</w:t>
      </w:r>
      <w:r>
        <w:rPr>
          <w:color w:val="231F20"/>
          <w:spacing w:val="-26"/>
        </w:rPr>
        <w:t xml:space="preserve"> </w:t>
      </w:r>
      <w:r>
        <w:rPr>
          <w:color w:val="231F20"/>
        </w:rPr>
        <w:t>including durations of observation (means, standard deviations modes,</w:t>
      </w:r>
      <w:r>
        <w:rPr>
          <w:color w:val="231F20"/>
          <w:spacing w:val="-20"/>
        </w:rPr>
        <w:t xml:space="preserve"> </w:t>
      </w:r>
      <w:r>
        <w:rPr>
          <w:color w:val="231F20"/>
        </w:rPr>
        <w:t>and</w:t>
      </w:r>
      <w:r>
        <w:rPr>
          <w:color w:val="231F20"/>
          <w:spacing w:val="-20"/>
        </w:rPr>
        <w:t xml:space="preserve"> </w:t>
      </w:r>
      <w:r>
        <w:rPr>
          <w:color w:val="231F20"/>
        </w:rPr>
        <w:t>medians),</w:t>
      </w:r>
      <w:r>
        <w:rPr>
          <w:color w:val="231F20"/>
          <w:spacing w:val="-20"/>
        </w:rPr>
        <w:t xml:space="preserve"> </w:t>
      </w:r>
      <w:r>
        <w:rPr>
          <w:color w:val="231F20"/>
        </w:rPr>
        <w:t>are</w:t>
      </w:r>
      <w:r>
        <w:rPr>
          <w:color w:val="231F20"/>
          <w:spacing w:val="-20"/>
        </w:rPr>
        <w:t xml:space="preserve"> </w:t>
      </w:r>
      <w:r>
        <w:rPr>
          <w:color w:val="231F20"/>
        </w:rPr>
        <w:t>also</w:t>
      </w:r>
      <w:r>
        <w:rPr>
          <w:color w:val="231F20"/>
          <w:spacing w:val="-20"/>
        </w:rPr>
        <w:t xml:space="preserve"> </w:t>
      </w:r>
      <w:r>
        <w:rPr>
          <w:color w:val="231F20"/>
        </w:rPr>
        <w:t>presented</w:t>
      </w:r>
      <w:r>
        <w:rPr>
          <w:color w:val="231F20"/>
          <w:spacing w:val="-21"/>
        </w:rPr>
        <w:t xml:space="preserve"> </w:t>
      </w:r>
      <w:r>
        <w:rPr>
          <w:color w:val="231F20"/>
        </w:rPr>
        <w:t>in</w:t>
      </w:r>
      <w:r>
        <w:rPr>
          <w:color w:val="231F20"/>
          <w:spacing w:val="-21"/>
        </w:rPr>
        <w:t xml:space="preserve"> </w:t>
      </w:r>
      <w:hyperlink w:anchor="_bookmark0" w:history="1">
        <w:r>
          <w:rPr>
            <w:color w:val="2E3092"/>
          </w:rPr>
          <w:t>Table</w:t>
        </w:r>
        <w:r>
          <w:rPr>
            <w:color w:val="2E3092"/>
            <w:spacing w:val="-20"/>
          </w:rPr>
          <w:t xml:space="preserve"> </w:t>
        </w:r>
        <w:r>
          <w:rPr>
            <w:color w:val="2E3092"/>
          </w:rPr>
          <w:t>1</w:t>
        </w:r>
      </w:hyperlink>
      <w:r>
        <w:rPr>
          <w:color w:val="231F20"/>
        </w:rPr>
        <w:t>.</w:t>
      </w:r>
    </w:p>
    <w:p w:rsidR="002E4A25" w:rsidRDefault="002E4A25">
      <w:pPr>
        <w:pStyle w:val="BodyText"/>
        <w:spacing w:before="1"/>
      </w:pPr>
    </w:p>
    <w:p w:rsidR="002E4A25" w:rsidRDefault="00D74ED8">
      <w:pPr>
        <w:pStyle w:val="BodyText"/>
        <w:spacing w:line="244" w:lineRule="auto"/>
        <w:ind w:left="159" w:right="474"/>
        <w:jc w:val="both"/>
      </w:pPr>
      <w:r>
        <w:rPr>
          <w:color w:val="231F20"/>
        </w:rPr>
        <w:t>Of th</w:t>
      </w:r>
      <w:r>
        <w:rPr>
          <w:color w:val="231F20"/>
        </w:rPr>
        <w:t>e retrieved trials in the 2014 AHRQ evidence review, 627 presented in Appendix D of that report did not meet that review’s inclusion criteria; of these, 168 were excluded specifically due to their “inadequate dur- ation.” We retrieved and reviewed all seve</w:t>
      </w:r>
      <w:r>
        <w:rPr>
          <w:color w:val="231F20"/>
        </w:rPr>
        <w:t>n abstracts and 161 complete publications deemed of “inadequate duration” and then excluded those studies that did not examine opioid effectiveness (e.g., that compared one NSAID with another in patients receiving opioids) or were reviews rather than prima</w:t>
      </w:r>
      <w:r>
        <w:rPr>
          <w:color w:val="231F20"/>
        </w:rPr>
        <w:t>ry studies. This process resulted in 148 publications enrolling 45,504 patients.</w:t>
      </w:r>
    </w:p>
    <w:p w:rsidR="002E4A25" w:rsidRDefault="002E4A25">
      <w:pPr>
        <w:pStyle w:val="BodyText"/>
        <w:spacing w:before="2"/>
      </w:pPr>
    </w:p>
    <w:p w:rsidR="002E4A25" w:rsidRDefault="00D74ED8">
      <w:pPr>
        <w:pStyle w:val="BodyText"/>
        <w:spacing w:line="244" w:lineRule="auto"/>
        <w:ind w:left="159" w:right="474"/>
        <w:jc w:val="both"/>
      </w:pPr>
      <w:r>
        <w:rPr>
          <w:color w:val="231F20"/>
        </w:rPr>
        <w:t>Our search of the Cochrane Library identified 378 re- views, of which 72 met inclusion criteria. Nine of these reviews</w:t>
      </w:r>
      <w:r>
        <w:rPr>
          <w:color w:val="231F20"/>
          <w:spacing w:val="-7"/>
        </w:rPr>
        <w:t xml:space="preserve"> </w:t>
      </w:r>
      <w:r>
        <w:rPr>
          <w:color w:val="231F20"/>
        </w:rPr>
        <w:t>were</w:t>
      </w:r>
      <w:r>
        <w:rPr>
          <w:color w:val="231F20"/>
          <w:spacing w:val="-7"/>
        </w:rPr>
        <w:t xml:space="preserve"> </w:t>
      </w:r>
      <w:r>
        <w:rPr>
          <w:color w:val="231F20"/>
        </w:rPr>
        <w:t>excluded</w:t>
      </w:r>
      <w:r>
        <w:rPr>
          <w:color w:val="231F20"/>
          <w:spacing w:val="-7"/>
        </w:rPr>
        <w:t xml:space="preserve"> </w:t>
      </w:r>
      <w:r>
        <w:rPr>
          <w:color w:val="231F20"/>
        </w:rPr>
        <w:t>for</w:t>
      </w:r>
      <w:r>
        <w:rPr>
          <w:color w:val="231F20"/>
          <w:spacing w:val="-7"/>
        </w:rPr>
        <w:t xml:space="preserve"> </w:t>
      </w:r>
      <w:r>
        <w:rPr>
          <w:color w:val="231F20"/>
        </w:rPr>
        <w:t>the</w:t>
      </w:r>
      <w:r>
        <w:rPr>
          <w:color w:val="231F20"/>
          <w:spacing w:val="-7"/>
        </w:rPr>
        <w:t xml:space="preserve"> </w:t>
      </w:r>
      <w:r>
        <w:rPr>
          <w:color w:val="231F20"/>
        </w:rPr>
        <w:t>following</w:t>
      </w:r>
      <w:r>
        <w:rPr>
          <w:color w:val="231F20"/>
          <w:spacing w:val="-7"/>
        </w:rPr>
        <w:t xml:space="preserve"> </w:t>
      </w:r>
      <w:r>
        <w:rPr>
          <w:color w:val="231F20"/>
        </w:rPr>
        <w:t>reasons:</w:t>
      </w:r>
      <w:r>
        <w:rPr>
          <w:color w:val="231F20"/>
          <w:spacing w:val="-7"/>
        </w:rPr>
        <w:t xml:space="preserve"> </w:t>
      </w:r>
      <w:r>
        <w:rPr>
          <w:color w:val="231F20"/>
        </w:rPr>
        <w:t>had</w:t>
      </w:r>
      <w:r>
        <w:rPr>
          <w:color w:val="231F20"/>
          <w:spacing w:val="-7"/>
        </w:rPr>
        <w:t xml:space="preserve"> </w:t>
      </w:r>
      <w:r>
        <w:rPr>
          <w:color w:val="231F20"/>
        </w:rPr>
        <w:t>no included studies (one study); were of a different class</w:t>
      </w:r>
      <w:r>
        <w:rPr>
          <w:color w:val="231F20"/>
          <w:spacing w:val="-26"/>
        </w:rPr>
        <w:t xml:space="preserve"> </w:t>
      </w:r>
      <w:r>
        <w:rPr>
          <w:color w:val="231F20"/>
        </w:rPr>
        <w:t>of medication</w:t>
      </w:r>
      <w:r>
        <w:rPr>
          <w:color w:val="231F20"/>
          <w:spacing w:val="-7"/>
        </w:rPr>
        <w:t xml:space="preserve"> </w:t>
      </w:r>
      <w:r>
        <w:rPr>
          <w:color w:val="231F20"/>
        </w:rPr>
        <w:t>(antipsychotic,</w:t>
      </w:r>
      <w:r>
        <w:rPr>
          <w:color w:val="231F20"/>
          <w:spacing w:val="-7"/>
        </w:rPr>
        <w:t xml:space="preserve"> </w:t>
      </w:r>
      <w:r>
        <w:rPr>
          <w:color w:val="231F20"/>
        </w:rPr>
        <w:t>one</w:t>
      </w:r>
      <w:r>
        <w:rPr>
          <w:color w:val="231F20"/>
          <w:spacing w:val="-8"/>
        </w:rPr>
        <w:t xml:space="preserve"> </w:t>
      </w:r>
      <w:r>
        <w:rPr>
          <w:color w:val="231F20"/>
        </w:rPr>
        <w:t>study),</w:t>
      </w:r>
      <w:r>
        <w:rPr>
          <w:color w:val="231F20"/>
          <w:spacing w:val="-8"/>
        </w:rPr>
        <w:t xml:space="preserve"> </w:t>
      </w:r>
      <w:r>
        <w:rPr>
          <w:color w:val="231F20"/>
        </w:rPr>
        <w:t>were</w:t>
      </w:r>
      <w:r>
        <w:rPr>
          <w:color w:val="231F20"/>
          <w:spacing w:val="-7"/>
        </w:rPr>
        <w:t xml:space="preserve"> </w:t>
      </w:r>
      <w:r>
        <w:rPr>
          <w:color w:val="231F20"/>
        </w:rPr>
        <w:t>an</w:t>
      </w:r>
      <w:r>
        <w:rPr>
          <w:color w:val="231F20"/>
          <w:spacing w:val="-8"/>
        </w:rPr>
        <w:t xml:space="preserve"> </w:t>
      </w:r>
      <w:r>
        <w:rPr>
          <w:color w:val="231F20"/>
        </w:rPr>
        <w:t>overview of</w:t>
      </w:r>
      <w:r>
        <w:rPr>
          <w:color w:val="231F20"/>
          <w:spacing w:val="-9"/>
        </w:rPr>
        <w:t xml:space="preserve"> </w:t>
      </w:r>
      <w:r>
        <w:rPr>
          <w:color w:val="231F20"/>
        </w:rPr>
        <w:t>other</w:t>
      </w:r>
      <w:r>
        <w:rPr>
          <w:color w:val="231F20"/>
          <w:spacing w:val="-9"/>
        </w:rPr>
        <w:t xml:space="preserve"> </w:t>
      </w:r>
      <w:r>
        <w:rPr>
          <w:color w:val="231F20"/>
        </w:rPr>
        <w:t>already-included</w:t>
      </w:r>
      <w:r>
        <w:rPr>
          <w:color w:val="231F20"/>
          <w:spacing w:val="-8"/>
        </w:rPr>
        <w:t xml:space="preserve"> </w:t>
      </w:r>
      <w:r>
        <w:rPr>
          <w:color w:val="231F20"/>
        </w:rPr>
        <w:t>Cochrane</w:t>
      </w:r>
      <w:r>
        <w:rPr>
          <w:color w:val="231F20"/>
          <w:spacing w:val="-9"/>
        </w:rPr>
        <w:t xml:space="preserve"> </w:t>
      </w:r>
      <w:r>
        <w:rPr>
          <w:color w:val="231F20"/>
        </w:rPr>
        <w:t>reviews</w:t>
      </w:r>
      <w:r>
        <w:rPr>
          <w:color w:val="231F20"/>
          <w:spacing w:val="-9"/>
        </w:rPr>
        <w:t xml:space="preserve"> </w:t>
      </w:r>
      <w:r>
        <w:rPr>
          <w:color w:val="231F20"/>
        </w:rPr>
        <w:t>(one</w:t>
      </w:r>
      <w:r>
        <w:rPr>
          <w:color w:val="231F20"/>
          <w:spacing w:val="-9"/>
        </w:rPr>
        <w:t xml:space="preserve"> </w:t>
      </w:r>
      <w:r>
        <w:rPr>
          <w:color w:val="231F20"/>
        </w:rPr>
        <w:t>study), or were proposals for future reviews (six “protocols”). After correcting for dupli</w:t>
      </w:r>
      <w:r>
        <w:rPr>
          <w:color w:val="231F20"/>
        </w:rPr>
        <w:t>cations (i.e., when a single re- view presented information on more than one interven- tion), the end result was 52 reviews comprising 871 individual</w:t>
      </w:r>
      <w:r>
        <w:rPr>
          <w:color w:val="231F20"/>
          <w:spacing w:val="-13"/>
        </w:rPr>
        <w:t xml:space="preserve"> </w:t>
      </w:r>
      <w:r>
        <w:rPr>
          <w:color w:val="231F20"/>
        </w:rPr>
        <w:t>studies</w:t>
      </w:r>
      <w:r>
        <w:rPr>
          <w:color w:val="231F20"/>
          <w:spacing w:val="-13"/>
        </w:rPr>
        <w:t xml:space="preserve"> </w:t>
      </w:r>
      <w:r>
        <w:rPr>
          <w:color w:val="231F20"/>
        </w:rPr>
        <w:t>(see</w:t>
      </w:r>
      <w:r>
        <w:rPr>
          <w:color w:val="231F20"/>
          <w:spacing w:val="-13"/>
        </w:rPr>
        <w:t xml:space="preserve"> </w:t>
      </w:r>
      <w:hyperlink w:anchor="_bookmark1" w:history="1">
        <w:r>
          <w:rPr>
            <w:color w:val="2E3092"/>
          </w:rPr>
          <w:t>Table</w:t>
        </w:r>
        <w:r>
          <w:rPr>
            <w:color w:val="2E3092"/>
            <w:spacing w:val="-13"/>
          </w:rPr>
          <w:t xml:space="preserve"> </w:t>
        </w:r>
        <w:r>
          <w:rPr>
            <w:color w:val="2E3092"/>
          </w:rPr>
          <w:t>2</w:t>
        </w:r>
      </w:hyperlink>
      <w:r>
        <w:rPr>
          <w:color w:val="231F20"/>
        </w:rPr>
        <w:t>).</w:t>
      </w:r>
      <w:r>
        <w:rPr>
          <w:color w:val="231F20"/>
          <w:spacing w:val="-13"/>
        </w:rPr>
        <w:t xml:space="preserve"> </w:t>
      </w:r>
      <w:r>
        <w:rPr>
          <w:color w:val="231F20"/>
        </w:rPr>
        <w:t>Details</w:t>
      </w:r>
      <w:r>
        <w:rPr>
          <w:color w:val="231F20"/>
          <w:spacing w:val="-13"/>
        </w:rPr>
        <w:t xml:space="preserve"> </w:t>
      </w:r>
      <w:r>
        <w:rPr>
          <w:color w:val="231F20"/>
        </w:rPr>
        <w:t>about</w:t>
      </w:r>
      <w:r>
        <w:rPr>
          <w:color w:val="231F20"/>
          <w:spacing w:val="-13"/>
        </w:rPr>
        <w:t xml:space="preserve"> </w:t>
      </w:r>
      <w:r>
        <w:rPr>
          <w:color w:val="231F20"/>
        </w:rPr>
        <w:t>the</w:t>
      </w:r>
      <w:r>
        <w:rPr>
          <w:color w:val="231F20"/>
          <w:spacing w:val="-13"/>
        </w:rPr>
        <w:t xml:space="preserve"> </w:t>
      </w:r>
      <w:r>
        <w:rPr>
          <w:color w:val="231F20"/>
        </w:rPr>
        <w:t>871</w:t>
      </w:r>
      <w:r>
        <w:rPr>
          <w:color w:val="231F20"/>
          <w:spacing w:val="-14"/>
        </w:rPr>
        <w:t xml:space="preserve"> </w:t>
      </w:r>
      <w:r>
        <w:rPr>
          <w:color w:val="231F20"/>
        </w:rPr>
        <w:t>in- dividual included studies a</w:t>
      </w:r>
      <w:r>
        <w:rPr>
          <w:color w:val="231F20"/>
        </w:rPr>
        <w:t>re presented in a</w:t>
      </w:r>
      <w:r>
        <w:rPr>
          <w:color w:val="231F20"/>
          <w:spacing w:val="-24"/>
        </w:rPr>
        <w:t xml:space="preserve"> </w:t>
      </w:r>
      <w:r>
        <w:rPr>
          <w:color w:val="231F20"/>
        </w:rPr>
        <w:t>supplemen- tal</w:t>
      </w:r>
      <w:r>
        <w:rPr>
          <w:color w:val="231F20"/>
          <w:spacing w:val="-24"/>
        </w:rPr>
        <w:t xml:space="preserve"> </w:t>
      </w:r>
      <w:r>
        <w:rPr>
          <w:color w:val="231F20"/>
        </w:rPr>
        <w:t>file.</w:t>
      </w:r>
    </w:p>
    <w:p w:rsidR="002E4A25" w:rsidRDefault="002E4A25">
      <w:pPr>
        <w:pStyle w:val="BodyText"/>
      </w:pPr>
    </w:p>
    <w:p w:rsidR="002E4A25" w:rsidRDefault="00D74ED8">
      <w:pPr>
        <w:pStyle w:val="BodyText"/>
        <w:spacing w:before="1" w:line="244" w:lineRule="auto"/>
        <w:ind w:left="159" w:right="474"/>
        <w:jc w:val="both"/>
      </w:pPr>
      <w:r>
        <w:rPr>
          <w:color w:val="231F20"/>
        </w:rPr>
        <w:t>To explore differences or similarities between the dur- ation profiles of the opioid trial literature retrieved for</w:t>
      </w:r>
      <w:r>
        <w:rPr>
          <w:color w:val="231F20"/>
          <w:spacing w:val="-35"/>
        </w:rPr>
        <w:t xml:space="preserve"> </w:t>
      </w:r>
      <w:r>
        <w:rPr>
          <w:color w:val="231F20"/>
        </w:rPr>
        <w:t>but excluded from analysis in the 2014 AHRQ report and Cochrane reviews of opioids and other typical pain treatments, we prepared histograms showing the num- ber of retrieved studies of a given duration of active treatment   (</w:t>
      </w:r>
      <w:hyperlink w:anchor="_bookmark2" w:history="1">
        <w:r>
          <w:rPr>
            <w:color w:val="2E3092"/>
          </w:rPr>
          <w:t>Figure   1</w:t>
        </w:r>
      </w:hyperlink>
      <w:r>
        <w:rPr>
          <w:color w:val="231F20"/>
        </w:rPr>
        <w:t xml:space="preserve">).   To   avoid   compressing   </w:t>
      </w:r>
      <w:r>
        <w:rPr>
          <w:color w:val="231F20"/>
          <w:spacing w:val="15"/>
        </w:rPr>
        <w:t xml:space="preserve"> </w:t>
      </w:r>
      <w:r>
        <w:rPr>
          <w:color w:val="231F20"/>
        </w:rPr>
        <w:t>the</w:t>
      </w:r>
    </w:p>
    <w:p w:rsidR="002E4A25" w:rsidRDefault="002E4A25">
      <w:pPr>
        <w:spacing w:line="244" w:lineRule="auto"/>
        <w:jc w:val="both"/>
        <w:sectPr w:rsidR="002E4A25">
          <w:type w:val="continuous"/>
          <w:pgSz w:w="11880" w:h="15660"/>
          <w:pgMar w:top="320" w:right="1000" w:bottom="280" w:left="1040" w:header="720" w:footer="720" w:gutter="0"/>
          <w:cols w:num="2" w:space="720" w:equalWidth="0">
            <w:col w:w="4583" w:space="198"/>
            <w:col w:w="5059"/>
          </w:cols>
        </w:sectPr>
      </w:pPr>
    </w:p>
    <w:p w:rsidR="002E4A25" w:rsidRDefault="00D74ED8">
      <w:pPr>
        <w:pStyle w:val="BodyText"/>
        <w:spacing w:before="9"/>
        <w:rPr>
          <w:sz w:val="16"/>
        </w:rPr>
      </w:pPr>
      <w:r>
        <w:pict>
          <v:shape id="_x0000_s1065" type="#_x0000_t202" style="position:absolute;margin-left:574.25pt;margin-top:245.3pt;width:10.9pt;height:293.3pt;z-index:251650560;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15">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2E4A25" w:rsidRDefault="00D74ED8">
      <w:pPr>
        <w:pStyle w:val="Heading1"/>
        <w:tabs>
          <w:tab w:val="left" w:pos="1043"/>
        </w:tabs>
        <w:spacing w:line="292" w:lineRule="auto"/>
        <w:ind w:left="159" w:right="755"/>
      </w:pPr>
      <w:bookmarkStart w:id="1" w:name="_bookmark0"/>
      <w:bookmarkEnd w:id="1"/>
      <w:r>
        <w:rPr>
          <w:color w:val="231F20"/>
          <w:spacing w:val="-5"/>
        </w:rPr>
        <w:t>Table</w:t>
      </w:r>
      <w:r>
        <w:rPr>
          <w:color w:val="231F20"/>
          <w:spacing w:val="22"/>
        </w:rPr>
        <w:t xml:space="preserve"> </w:t>
      </w:r>
      <w:r>
        <w:rPr>
          <w:color w:val="231F20"/>
        </w:rPr>
        <w:t>1</w:t>
      </w:r>
      <w:r>
        <w:rPr>
          <w:color w:val="231F20"/>
        </w:rPr>
        <w:tab/>
      </w:r>
      <w:r>
        <w:rPr>
          <w:color w:val="231F20"/>
          <w:spacing w:val="-4"/>
        </w:rPr>
        <w:t>Articles,</w:t>
      </w:r>
      <w:r>
        <w:rPr>
          <w:color w:val="231F20"/>
          <w:spacing w:val="-19"/>
        </w:rPr>
        <w:t xml:space="preserve"> </w:t>
      </w:r>
      <w:r>
        <w:rPr>
          <w:color w:val="231F20"/>
          <w:spacing w:val="-4"/>
        </w:rPr>
        <w:t>systematic</w:t>
      </w:r>
      <w:r>
        <w:rPr>
          <w:color w:val="231F20"/>
          <w:spacing w:val="-18"/>
        </w:rPr>
        <w:t xml:space="preserve"> </w:t>
      </w:r>
      <w:r>
        <w:rPr>
          <w:color w:val="231F20"/>
          <w:spacing w:val="-4"/>
        </w:rPr>
        <w:t>revi</w:t>
      </w:r>
      <w:r>
        <w:rPr>
          <w:color w:val="231F20"/>
          <w:spacing w:val="-4"/>
        </w:rPr>
        <w:t>ews,</w:t>
      </w:r>
      <w:r>
        <w:rPr>
          <w:color w:val="231F20"/>
          <w:spacing w:val="-18"/>
        </w:rPr>
        <w:t xml:space="preserve"> </w:t>
      </w:r>
      <w:r>
        <w:rPr>
          <w:color w:val="231F20"/>
          <w:spacing w:val="-4"/>
        </w:rPr>
        <w:t>enrolled</w:t>
      </w:r>
      <w:r>
        <w:rPr>
          <w:color w:val="231F20"/>
          <w:spacing w:val="-18"/>
        </w:rPr>
        <w:t xml:space="preserve"> </w:t>
      </w:r>
      <w:r>
        <w:rPr>
          <w:color w:val="231F20"/>
          <w:spacing w:val="-4"/>
        </w:rPr>
        <w:t>patients,</w:t>
      </w:r>
      <w:r>
        <w:rPr>
          <w:color w:val="231F20"/>
          <w:spacing w:val="-18"/>
        </w:rPr>
        <w:t xml:space="preserve"> </w:t>
      </w:r>
      <w:r>
        <w:rPr>
          <w:color w:val="231F20"/>
          <w:spacing w:val="-4"/>
        </w:rPr>
        <w:t>duration</w:t>
      </w:r>
      <w:r>
        <w:rPr>
          <w:color w:val="231F20"/>
          <w:spacing w:val="-18"/>
        </w:rPr>
        <w:t xml:space="preserve"> </w:t>
      </w:r>
      <w:r>
        <w:rPr>
          <w:color w:val="231F20"/>
          <w:spacing w:val="-4"/>
        </w:rPr>
        <w:t>(range</w:t>
      </w:r>
      <w:r>
        <w:rPr>
          <w:color w:val="231F20"/>
          <w:spacing w:val="-18"/>
        </w:rPr>
        <w:t xml:space="preserve"> </w:t>
      </w:r>
      <w:r>
        <w:rPr>
          <w:color w:val="231F20"/>
        </w:rPr>
        <w:t>in</w:t>
      </w:r>
      <w:r>
        <w:rPr>
          <w:color w:val="231F20"/>
          <w:spacing w:val="-19"/>
        </w:rPr>
        <w:t xml:space="preserve"> </w:t>
      </w:r>
      <w:r>
        <w:rPr>
          <w:color w:val="231F20"/>
          <w:spacing w:val="-4"/>
        </w:rPr>
        <w:t>days),</w:t>
      </w:r>
      <w:r>
        <w:rPr>
          <w:color w:val="231F20"/>
          <w:spacing w:val="-18"/>
        </w:rPr>
        <w:t xml:space="preserve"> </w:t>
      </w:r>
      <w:r>
        <w:rPr>
          <w:color w:val="231F20"/>
          <w:spacing w:val="-3"/>
        </w:rPr>
        <w:t>and</w:t>
      </w:r>
      <w:r>
        <w:rPr>
          <w:color w:val="231F20"/>
          <w:spacing w:val="-19"/>
        </w:rPr>
        <w:t xml:space="preserve"> </w:t>
      </w:r>
      <w:r>
        <w:rPr>
          <w:color w:val="231F20"/>
          <w:spacing w:val="-4"/>
        </w:rPr>
        <w:t>other</w:t>
      </w:r>
      <w:r>
        <w:rPr>
          <w:color w:val="231F20"/>
          <w:spacing w:val="-19"/>
        </w:rPr>
        <w:t xml:space="preserve"> </w:t>
      </w:r>
      <w:r>
        <w:rPr>
          <w:color w:val="231F20"/>
          <w:spacing w:val="-4"/>
        </w:rPr>
        <w:t>descriptive</w:t>
      </w:r>
      <w:r>
        <w:rPr>
          <w:color w:val="231F20"/>
          <w:w w:val="93"/>
        </w:rPr>
        <w:t xml:space="preserve"> </w:t>
      </w:r>
      <w:r>
        <w:rPr>
          <w:color w:val="231F20"/>
          <w:spacing w:val="-4"/>
        </w:rPr>
        <w:t>statistics</w:t>
      </w:r>
      <w:r>
        <w:rPr>
          <w:color w:val="231F20"/>
          <w:spacing w:val="-8"/>
        </w:rPr>
        <w:t xml:space="preserve"> </w:t>
      </w:r>
      <w:r>
        <w:rPr>
          <w:color w:val="231F20"/>
          <w:spacing w:val="-3"/>
        </w:rPr>
        <w:t>for</w:t>
      </w:r>
      <w:r>
        <w:rPr>
          <w:color w:val="231F20"/>
          <w:spacing w:val="-9"/>
        </w:rPr>
        <w:t xml:space="preserve"> </w:t>
      </w:r>
      <w:r>
        <w:rPr>
          <w:color w:val="231F20"/>
          <w:spacing w:val="-4"/>
        </w:rPr>
        <w:t>publications</w:t>
      </w:r>
      <w:r>
        <w:rPr>
          <w:color w:val="231F20"/>
          <w:spacing w:val="-8"/>
        </w:rPr>
        <w:t xml:space="preserve"> </w:t>
      </w:r>
      <w:r>
        <w:rPr>
          <w:color w:val="231F20"/>
          <w:spacing w:val="-4"/>
        </w:rPr>
        <w:t>cited</w:t>
      </w:r>
      <w:r>
        <w:rPr>
          <w:color w:val="231F20"/>
          <w:spacing w:val="-8"/>
        </w:rPr>
        <w:t xml:space="preserve"> </w:t>
      </w:r>
      <w:r>
        <w:rPr>
          <w:color w:val="231F20"/>
          <w:spacing w:val="-3"/>
        </w:rPr>
        <w:t>in</w:t>
      </w:r>
      <w:r>
        <w:rPr>
          <w:color w:val="231F20"/>
          <w:spacing w:val="-8"/>
        </w:rPr>
        <w:t xml:space="preserve"> </w:t>
      </w:r>
      <w:r>
        <w:rPr>
          <w:color w:val="231F20"/>
          <w:spacing w:val="-3"/>
        </w:rPr>
        <w:t>2014</w:t>
      </w:r>
      <w:r>
        <w:rPr>
          <w:color w:val="231F20"/>
          <w:spacing w:val="-8"/>
        </w:rPr>
        <w:t xml:space="preserve"> </w:t>
      </w:r>
      <w:r>
        <w:rPr>
          <w:color w:val="231F20"/>
          <w:spacing w:val="-3"/>
        </w:rPr>
        <w:t>AHRQ</w:t>
      </w:r>
      <w:r>
        <w:rPr>
          <w:color w:val="231F20"/>
          <w:spacing w:val="-8"/>
        </w:rPr>
        <w:t xml:space="preserve"> </w:t>
      </w:r>
      <w:r>
        <w:rPr>
          <w:color w:val="231F20"/>
          <w:spacing w:val="-4"/>
        </w:rPr>
        <w:t>review</w:t>
      </w:r>
      <w:r>
        <w:rPr>
          <w:color w:val="231F20"/>
          <w:spacing w:val="-8"/>
        </w:rPr>
        <w:t xml:space="preserve"> </w:t>
      </w:r>
      <w:r>
        <w:rPr>
          <w:color w:val="231F20"/>
          <w:spacing w:val="-3"/>
        </w:rPr>
        <w:t>and</w:t>
      </w:r>
      <w:r>
        <w:rPr>
          <w:color w:val="231F20"/>
          <w:spacing w:val="-9"/>
        </w:rPr>
        <w:t xml:space="preserve"> </w:t>
      </w:r>
      <w:r>
        <w:rPr>
          <w:color w:val="231F20"/>
          <w:spacing w:val="-4"/>
        </w:rPr>
        <w:t>Cochrane</w:t>
      </w:r>
      <w:r>
        <w:rPr>
          <w:color w:val="231F20"/>
          <w:spacing w:val="-8"/>
        </w:rPr>
        <w:t xml:space="preserve"> </w:t>
      </w:r>
      <w:r>
        <w:rPr>
          <w:color w:val="231F20"/>
          <w:spacing w:val="-4"/>
        </w:rPr>
        <w:t>Library,</w:t>
      </w:r>
      <w:r>
        <w:rPr>
          <w:color w:val="231F20"/>
          <w:spacing w:val="-8"/>
        </w:rPr>
        <w:t xml:space="preserve"> </w:t>
      </w:r>
      <w:r>
        <w:rPr>
          <w:color w:val="231F20"/>
        </w:rPr>
        <w:t>on</w:t>
      </w:r>
      <w:r>
        <w:rPr>
          <w:color w:val="231F20"/>
          <w:spacing w:val="-8"/>
        </w:rPr>
        <w:t xml:space="preserve"> </w:t>
      </w:r>
      <w:r>
        <w:rPr>
          <w:color w:val="231F20"/>
          <w:spacing w:val="-4"/>
        </w:rPr>
        <w:t>treatments</w:t>
      </w:r>
      <w:r>
        <w:rPr>
          <w:color w:val="231F20"/>
          <w:spacing w:val="-8"/>
        </w:rPr>
        <w:t xml:space="preserve"> </w:t>
      </w:r>
      <w:r>
        <w:rPr>
          <w:color w:val="231F20"/>
          <w:spacing w:val="-3"/>
        </w:rPr>
        <w:t>for</w:t>
      </w:r>
      <w:r>
        <w:rPr>
          <w:color w:val="231F20"/>
          <w:spacing w:val="-8"/>
        </w:rPr>
        <w:t xml:space="preserve"> </w:t>
      </w:r>
      <w:r>
        <w:rPr>
          <w:color w:val="231F20"/>
          <w:spacing w:val="-4"/>
        </w:rPr>
        <w:t>chronic</w:t>
      </w:r>
      <w:r>
        <w:rPr>
          <w:color w:val="231F20"/>
          <w:spacing w:val="-8"/>
        </w:rPr>
        <w:t xml:space="preserve"> </w:t>
      </w:r>
      <w:r>
        <w:rPr>
          <w:color w:val="231F20"/>
          <w:spacing w:val="-5"/>
        </w:rPr>
        <w:t>pain</w:t>
      </w:r>
    </w:p>
    <w:p w:rsidR="002E4A25" w:rsidRDefault="002E4A25">
      <w:pPr>
        <w:pStyle w:val="BodyText"/>
        <w:spacing w:before="1"/>
        <w:rPr>
          <w:sz w:val="16"/>
        </w:rPr>
      </w:pPr>
    </w:p>
    <w:tbl>
      <w:tblPr>
        <w:tblW w:w="0" w:type="auto"/>
        <w:tblInd w:w="10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45"/>
        <w:gridCol w:w="822"/>
        <w:gridCol w:w="893"/>
        <w:gridCol w:w="871"/>
        <w:gridCol w:w="1697"/>
        <w:gridCol w:w="1756"/>
        <w:gridCol w:w="683"/>
        <w:gridCol w:w="734"/>
      </w:tblGrid>
      <w:tr w:rsidR="002E4A25">
        <w:trPr>
          <w:trHeight w:hRule="exact" w:val="230"/>
        </w:trPr>
        <w:tc>
          <w:tcPr>
            <w:tcW w:w="1845" w:type="dxa"/>
            <w:tcBorders>
              <w:bottom w:val="single" w:sz="2" w:space="0" w:color="231F20"/>
            </w:tcBorders>
          </w:tcPr>
          <w:p w:rsidR="002E4A25" w:rsidRDefault="002E4A25"/>
        </w:tc>
        <w:tc>
          <w:tcPr>
            <w:tcW w:w="822" w:type="dxa"/>
            <w:tcBorders>
              <w:bottom w:val="single" w:sz="2" w:space="0" w:color="231F20"/>
            </w:tcBorders>
          </w:tcPr>
          <w:p w:rsidR="002E4A25" w:rsidRDefault="00D74ED8">
            <w:pPr>
              <w:pStyle w:val="TableParagraph"/>
              <w:spacing w:line="169" w:lineRule="exact"/>
              <w:ind w:left="112" w:right="112"/>
              <w:rPr>
                <w:sz w:val="17"/>
              </w:rPr>
            </w:pPr>
            <w:r>
              <w:rPr>
                <w:color w:val="231F20"/>
                <w:sz w:val="17"/>
              </w:rPr>
              <w:t>Articles</w:t>
            </w:r>
          </w:p>
        </w:tc>
        <w:tc>
          <w:tcPr>
            <w:tcW w:w="893" w:type="dxa"/>
            <w:tcBorders>
              <w:bottom w:val="single" w:sz="2" w:space="0" w:color="231F20"/>
            </w:tcBorders>
          </w:tcPr>
          <w:p w:rsidR="002E4A25" w:rsidRDefault="00D74ED8">
            <w:pPr>
              <w:pStyle w:val="TableParagraph"/>
              <w:spacing w:line="169" w:lineRule="exact"/>
              <w:ind w:left="105" w:right="105"/>
              <w:rPr>
                <w:sz w:val="17"/>
              </w:rPr>
            </w:pPr>
            <w:r>
              <w:rPr>
                <w:color w:val="231F20"/>
                <w:sz w:val="17"/>
              </w:rPr>
              <w:t>Reviews</w:t>
            </w:r>
          </w:p>
        </w:tc>
        <w:tc>
          <w:tcPr>
            <w:tcW w:w="871" w:type="dxa"/>
            <w:tcBorders>
              <w:bottom w:val="single" w:sz="2" w:space="0" w:color="231F20"/>
            </w:tcBorders>
          </w:tcPr>
          <w:p w:rsidR="002E4A25" w:rsidRDefault="00D74ED8">
            <w:pPr>
              <w:pStyle w:val="TableParagraph"/>
              <w:spacing w:line="169" w:lineRule="exact"/>
              <w:ind w:right="108"/>
              <w:rPr>
                <w:sz w:val="17"/>
              </w:rPr>
            </w:pPr>
            <w:r>
              <w:rPr>
                <w:color w:val="231F20"/>
                <w:sz w:val="17"/>
              </w:rPr>
              <w:t>Patients</w:t>
            </w:r>
          </w:p>
        </w:tc>
        <w:tc>
          <w:tcPr>
            <w:tcW w:w="1697" w:type="dxa"/>
            <w:tcBorders>
              <w:bottom w:val="single" w:sz="2" w:space="0" w:color="231F20"/>
            </w:tcBorders>
          </w:tcPr>
          <w:p w:rsidR="002E4A25" w:rsidRDefault="00D74ED8">
            <w:pPr>
              <w:pStyle w:val="TableParagraph"/>
              <w:spacing w:line="169" w:lineRule="exact"/>
              <w:ind w:left="129"/>
              <w:jc w:val="left"/>
              <w:rPr>
                <w:sz w:val="17"/>
              </w:rPr>
            </w:pPr>
            <w:r>
              <w:rPr>
                <w:color w:val="231F20"/>
                <w:sz w:val="17"/>
              </w:rPr>
              <w:t>Duration (range, d)</w:t>
            </w:r>
          </w:p>
        </w:tc>
        <w:tc>
          <w:tcPr>
            <w:tcW w:w="1756" w:type="dxa"/>
            <w:tcBorders>
              <w:bottom w:val="single" w:sz="2" w:space="0" w:color="231F20"/>
            </w:tcBorders>
          </w:tcPr>
          <w:p w:rsidR="002E4A25" w:rsidRDefault="00D74ED8">
            <w:pPr>
              <w:pStyle w:val="TableParagraph"/>
              <w:spacing w:line="169" w:lineRule="exact"/>
              <w:ind w:left="130"/>
              <w:jc w:val="left"/>
              <w:rPr>
                <w:sz w:val="17"/>
              </w:rPr>
            </w:pPr>
            <w:r>
              <w:rPr>
                <w:color w:val="231F20"/>
                <w:sz w:val="17"/>
              </w:rPr>
              <w:t>Mean duration (SD)</w:t>
            </w:r>
          </w:p>
        </w:tc>
        <w:tc>
          <w:tcPr>
            <w:tcW w:w="683" w:type="dxa"/>
            <w:tcBorders>
              <w:bottom w:val="single" w:sz="2" w:space="0" w:color="231F20"/>
            </w:tcBorders>
          </w:tcPr>
          <w:p w:rsidR="002E4A25" w:rsidRDefault="00D74ED8">
            <w:pPr>
              <w:pStyle w:val="TableParagraph"/>
              <w:spacing w:line="169" w:lineRule="exact"/>
              <w:ind w:right="108"/>
              <w:rPr>
                <w:sz w:val="17"/>
              </w:rPr>
            </w:pPr>
            <w:r>
              <w:rPr>
                <w:color w:val="231F20"/>
                <w:sz w:val="17"/>
              </w:rPr>
              <w:t>Mode</w:t>
            </w:r>
          </w:p>
        </w:tc>
        <w:tc>
          <w:tcPr>
            <w:tcW w:w="734" w:type="dxa"/>
            <w:tcBorders>
              <w:bottom w:val="single" w:sz="2" w:space="0" w:color="231F20"/>
            </w:tcBorders>
          </w:tcPr>
          <w:p w:rsidR="002E4A25" w:rsidRDefault="00D74ED8">
            <w:pPr>
              <w:pStyle w:val="TableParagraph"/>
              <w:spacing w:line="169" w:lineRule="exact"/>
              <w:ind w:left="130"/>
              <w:jc w:val="left"/>
              <w:rPr>
                <w:sz w:val="17"/>
              </w:rPr>
            </w:pPr>
            <w:r>
              <w:rPr>
                <w:color w:val="231F20"/>
                <w:sz w:val="17"/>
              </w:rPr>
              <w:t>Median</w:t>
            </w:r>
          </w:p>
        </w:tc>
      </w:tr>
      <w:tr w:rsidR="002E4A25">
        <w:trPr>
          <w:trHeight w:hRule="exact" w:val="365"/>
        </w:trPr>
        <w:tc>
          <w:tcPr>
            <w:tcW w:w="1845" w:type="dxa"/>
            <w:tcBorders>
              <w:top w:val="single" w:sz="2" w:space="0" w:color="231F20"/>
            </w:tcBorders>
          </w:tcPr>
          <w:p w:rsidR="002E4A25" w:rsidRDefault="00D74ED8">
            <w:pPr>
              <w:pStyle w:val="TableParagraph"/>
              <w:spacing w:before="141" w:line="240" w:lineRule="auto"/>
              <w:ind w:left="50"/>
              <w:jc w:val="left"/>
              <w:rPr>
                <w:sz w:val="17"/>
              </w:rPr>
            </w:pPr>
            <w:r>
              <w:rPr>
                <w:color w:val="231F20"/>
                <w:sz w:val="17"/>
              </w:rPr>
              <w:t>Opioids (AHRQ 2014)</w:t>
            </w:r>
          </w:p>
        </w:tc>
        <w:tc>
          <w:tcPr>
            <w:tcW w:w="822" w:type="dxa"/>
            <w:tcBorders>
              <w:top w:val="single" w:sz="2" w:space="0" w:color="231F20"/>
            </w:tcBorders>
          </w:tcPr>
          <w:p w:rsidR="002E4A25" w:rsidRDefault="00D74ED8">
            <w:pPr>
              <w:pStyle w:val="TableParagraph"/>
              <w:spacing w:before="141" w:line="240" w:lineRule="auto"/>
              <w:ind w:left="112" w:right="112"/>
              <w:rPr>
                <w:sz w:val="17"/>
              </w:rPr>
            </w:pPr>
            <w:r>
              <w:rPr>
                <w:color w:val="231F20"/>
                <w:sz w:val="17"/>
              </w:rPr>
              <w:t>148</w:t>
            </w:r>
          </w:p>
        </w:tc>
        <w:tc>
          <w:tcPr>
            <w:tcW w:w="893" w:type="dxa"/>
            <w:tcBorders>
              <w:top w:val="single" w:sz="2" w:space="0" w:color="231F20"/>
            </w:tcBorders>
          </w:tcPr>
          <w:p w:rsidR="002E4A25" w:rsidRDefault="00D74ED8">
            <w:pPr>
              <w:pStyle w:val="TableParagraph"/>
              <w:spacing w:before="141" w:line="240" w:lineRule="auto"/>
              <w:ind w:left="93"/>
              <w:rPr>
                <w:sz w:val="17"/>
              </w:rPr>
            </w:pPr>
            <w:r>
              <w:rPr>
                <w:color w:val="231F20"/>
                <w:w w:val="99"/>
                <w:sz w:val="17"/>
              </w:rPr>
              <w:t>–</w:t>
            </w:r>
          </w:p>
        </w:tc>
        <w:tc>
          <w:tcPr>
            <w:tcW w:w="871" w:type="dxa"/>
            <w:tcBorders>
              <w:top w:val="single" w:sz="2" w:space="0" w:color="231F20"/>
            </w:tcBorders>
          </w:tcPr>
          <w:p w:rsidR="002E4A25" w:rsidRDefault="00D74ED8">
            <w:pPr>
              <w:pStyle w:val="TableParagraph"/>
              <w:spacing w:before="141" w:line="240" w:lineRule="auto"/>
              <w:ind w:right="108"/>
              <w:rPr>
                <w:sz w:val="17"/>
              </w:rPr>
            </w:pPr>
            <w:r>
              <w:rPr>
                <w:color w:val="231F20"/>
                <w:sz w:val="17"/>
              </w:rPr>
              <w:t>45,504</w:t>
            </w:r>
          </w:p>
        </w:tc>
        <w:tc>
          <w:tcPr>
            <w:tcW w:w="1697" w:type="dxa"/>
            <w:tcBorders>
              <w:top w:val="single" w:sz="2" w:space="0" w:color="231F20"/>
            </w:tcBorders>
          </w:tcPr>
          <w:p w:rsidR="002E4A25" w:rsidRDefault="00D74ED8">
            <w:pPr>
              <w:pStyle w:val="TableParagraph"/>
              <w:spacing w:before="141" w:line="240" w:lineRule="auto"/>
              <w:ind w:left="462"/>
              <w:jc w:val="left"/>
              <w:rPr>
                <w:sz w:val="17"/>
              </w:rPr>
            </w:pPr>
            <w:r>
              <w:rPr>
                <w:color w:val="231F20"/>
                <w:sz w:val="17"/>
              </w:rPr>
              <w:t>1 to 2,352</w:t>
            </w:r>
          </w:p>
        </w:tc>
        <w:tc>
          <w:tcPr>
            <w:tcW w:w="1756" w:type="dxa"/>
            <w:tcBorders>
              <w:top w:val="single" w:sz="2" w:space="0" w:color="231F20"/>
            </w:tcBorders>
          </w:tcPr>
          <w:p w:rsidR="002E4A25" w:rsidRDefault="00D74ED8">
            <w:pPr>
              <w:pStyle w:val="TableParagraph"/>
              <w:spacing w:before="141" w:line="240" w:lineRule="auto"/>
              <w:ind w:left="605"/>
              <w:jc w:val="left"/>
              <w:rPr>
                <w:sz w:val="17"/>
              </w:rPr>
            </w:pPr>
            <w:r>
              <w:rPr>
                <w:color w:val="231F20"/>
                <w:sz w:val="17"/>
              </w:rPr>
              <w:t>76 (220)</w:t>
            </w:r>
          </w:p>
        </w:tc>
        <w:tc>
          <w:tcPr>
            <w:tcW w:w="683" w:type="dxa"/>
            <w:tcBorders>
              <w:top w:val="single" w:sz="2" w:space="0" w:color="231F20"/>
            </w:tcBorders>
          </w:tcPr>
          <w:p w:rsidR="002E4A25" w:rsidRDefault="00D74ED8">
            <w:pPr>
              <w:pStyle w:val="TableParagraph"/>
              <w:spacing w:before="141" w:line="240" w:lineRule="auto"/>
              <w:ind w:left="0" w:right="92"/>
              <w:rPr>
                <w:sz w:val="17"/>
              </w:rPr>
            </w:pPr>
            <w:r>
              <w:rPr>
                <w:color w:val="231F20"/>
                <w:w w:val="99"/>
                <w:sz w:val="17"/>
              </w:rPr>
              <w:t>7</w:t>
            </w:r>
          </w:p>
        </w:tc>
        <w:tc>
          <w:tcPr>
            <w:tcW w:w="734" w:type="dxa"/>
            <w:tcBorders>
              <w:top w:val="single" w:sz="2" w:space="0" w:color="231F20"/>
            </w:tcBorders>
          </w:tcPr>
          <w:p w:rsidR="002E4A25" w:rsidRDefault="00D74ED8">
            <w:pPr>
              <w:pStyle w:val="TableParagraph"/>
              <w:spacing w:before="141" w:line="240" w:lineRule="auto"/>
              <w:ind w:left="242"/>
              <w:jc w:val="left"/>
              <w:rPr>
                <w:sz w:val="17"/>
              </w:rPr>
            </w:pPr>
            <w:r>
              <w:rPr>
                <w:color w:val="231F20"/>
                <w:sz w:val="17"/>
              </w:rPr>
              <w:t>28</w:t>
            </w:r>
          </w:p>
        </w:tc>
      </w:tr>
      <w:tr w:rsidR="002E4A25">
        <w:trPr>
          <w:trHeight w:hRule="exact" w:val="220"/>
        </w:trPr>
        <w:tc>
          <w:tcPr>
            <w:tcW w:w="1845" w:type="dxa"/>
          </w:tcPr>
          <w:p w:rsidR="002E4A25" w:rsidRDefault="00D74ED8">
            <w:pPr>
              <w:pStyle w:val="TableParagraph"/>
              <w:ind w:left="50"/>
              <w:jc w:val="left"/>
              <w:rPr>
                <w:sz w:val="17"/>
              </w:rPr>
            </w:pPr>
            <w:r>
              <w:rPr>
                <w:color w:val="231F20"/>
                <w:sz w:val="17"/>
              </w:rPr>
              <w:t>Opioids (Cochrane)</w:t>
            </w:r>
          </w:p>
        </w:tc>
        <w:tc>
          <w:tcPr>
            <w:tcW w:w="822" w:type="dxa"/>
          </w:tcPr>
          <w:p w:rsidR="002E4A25" w:rsidRDefault="00D74ED8">
            <w:pPr>
              <w:pStyle w:val="TableParagraph"/>
              <w:ind w:left="112" w:right="112"/>
              <w:rPr>
                <w:sz w:val="17"/>
              </w:rPr>
            </w:pPr>
            <w:r>
              <w:rPr>
                <w:color w:val="231F20"/>
                <w:sz w:val="17"/>
              </w:rPr>
              <w:t>101</w:t>
            </w:r>
          </w:p>
        </w:tc>
        <w:tc>
          <w:tcPr>
            <w:tcW w:w="893" w:type="dxa"/>
          </w:tcPr>
          <w:p w:rsidR="002E4A25" w:rsidRDefault="00D74ED8">
            <w:pPr>
              <w:pStyle w:val="TableParagraph"/>
              <w:ind w:left="93"/>
              <w:rPr>
                <w:sz w:val="17"/>
              </w:rPr>
            </w:pPr>
            <w:r>
              <w:rPr>
                <w:color w:val="231F20"/>
                <w:w w:val="99"/>
                <w:sz w:val="17"/>
              </w:rPr>
              <w:t>9</w:t>
            </w:r>
          </w:p>
        </w:tc>
        <w:tc>
          <w:tcPr>
            <w:tcW w:w="871" w:type="dxa"/>
          </w:tcPr>
          <w:p w:rsidR="002E4A25" w:rsidRDefault="00D74ED8">
            <w:pPr>
              <w:pStyle w:val="TableParagraph"/>
              <w:ind w:right="108"/>
              <w:rPr>
                <w:sz w:val="17"/>
              </w:rPr>
            </w:pPr>
            <w:r>
              <w:rPr>
                <w:color w:val="231F20"/>
                <w:sz w:val="17"/>
              </w:rPr>
              <w:t>17,796</w:t>
            </w:r>
          </w:p>
        </w:tc>
        <w:tc>
          <w:tcPr>
            <w:tcW w:w="1697" w:type="dxa"/>
          </w:tcPr>
          <w:p w:rsidR="002E4A25" w:rsidRDefault="00D74ED8">
            <w:pPr>
              <w:pStyle w:val="TableParagraph"/>
              <w:ind w:left="462"/>
              <w:jc w:val="left"/>
              <w:rPr>
                <w:sz w:val="17"/>
              </w:rPr>
            </w:pPr>
            <w:r>
              <w:rPr>
                <w:color w:val="231F20"/>
                <w:sz w:val="17"/>
              </w:rPr>
              <w:t>1 to 1,344</w:t>
            </w:r>
          </w:p>
        </w:tc>
        <w:tc>
          <w:tcPr>
            <w:tcW w:w="1756" w:type="dxa"/>
          </w:tcPr>
          <w:p w:rsidR="002E4A25" w:rsidRDefault="00D74ED8">
            <w:pPr>
              <w:pStyle w:val="TableParagraph"/>
              <w:ind w:left="510"/>
              <w:jc w:val="left"/>
              <w:rPr>
                <w:sz w:val="17"/>
              </w:rPr>
            </w:pPr>
            <w:r>
              <w:rPr>
                <w:color w:val="231F20"/>
                <w:sz w:val="17"/>
              </w:rPr>
              <w:t>178 (301)</w:t>
            </w:r>
          </w:p>
        </w:tc>
        <w:tc>
          <w:tcPr>
            <w:tcW w:w="683" w:type="dxa"/>
          </w:tcPr>
          <w:p w:rsidR="002E4A25" w:rsidRDefault="00D74ED8">
            <w:pPr>
              <w:pStyle w:val="TableParagraph"/>
              <w:ind w:left="0" w:right="92"/>
              <w:rPr>
                <w:sz w:val="17"/>
              </w:rPr>
            </w:pPr>
            <w:r>
              <w:rPr>
                <w:color w:val="231F20"/>
                <w:w w:val="99"/>
                <w:sz w:val="17"/>
              </w:rPr>
              <w:t>1</w:t>
            </w:r>
          </w:p>
        </w:tc>
        <w:tc>
          <w:tcPr>
            <w:tcW w:w="734" w:type="dxa"/>
          </w:tcPr>
          <w:p w:rsidR="002E4A25" w:rsidRDefault="00D74ED8">
            <w:pPr>
              <w:pStyle w:val="TableParagraph"/>
              <w:ind w:left="242"/>
              <w:jc w:val="left"/>
              <w:rPr>
                <w:sz w:val="17"/>
              </w:rPr>
            </w:pPr>
            <w:r>
              <w:rPr>
                <w:color w:val="231F20"/>
                <w:sz w:val="17"/>
              </w:rPr>
              <w:t>52.5</w:t>
            </w:r>
          </w:p>
        </w:tc>
      </w:tr>
      <w:tr w:rsidR="002E4A25">
        <w:trPr>
          <w:trHeight w:hRule="exact" w:val="220"/>
        </w:trPr>
        <w:tc>
          <w:tcPr>
            <w:tcW w:w="1845" w:type="dxa"/>
          </w:tcPr>
          <w:p w:rsidR="002E4A25" w:rsidRDefault="00D74ED8">
            <w:pPr>
              <w:pStyle w:val="TableParagraph"/>
              <w:ind w:left="50"/>
              <w:jc w:val="left"/>
              <w:rPr>
                <w:sz w:val="17"/>
              </w:rPr>
            </w:pPr>
            <w:r>
              <w:rPr>
                <w:color w:val="231F20"/>
                <w:sz w:val="17"/>
              </w:rPr>
              <w:t>Anticonvulsants</w:t>
            </w:r>
          </w:p>
        </w:tc>
        <w:tc>
          <w:tcPr>
            <w:tcW w:w="822" w:type="dxa"/>
          </w:tcPr>
          <w:p w:rsidR="002E4A25" w:rsidRDefault="00D74ED8">
            <w:pPr>
              <w:pStyle w:val="TableParagraph"/>
              <w:ind w:left="112" w:right="112"/>
              <w:rPr>
                <w:sz w:val="17"/>
              </w:rPr>
            </w:pPr>
            <w:r>
              <w:rPr>
                <w:color w:val="231F20"/>
                <w:sz w:val="17"/>
              </w:rPr>
              <w:t>108</w:t>
            </w:r>
          </w:p>
        </w:tc>
        <w:tc>
          <w:tcPr>
            <w:tcW w:w="893" w:type="dxa"/>
          </w:tcPr>
          <w:p w:rsidR="002E4A25" w:rsidRDefault="00D74ED8">
            <w:pPr>
              <w:pStyle w:val="TableParagraph"/>
              <w:ind w:left="105" w:right="105"/>
              <w:rPr>
                <w:sz w:val="17"/>
              </w:rPr>
            </w:pPr>
            <w:r>
              <w:rPr>
                <w:color w:val="231F20"/>
                <w:sz w:val="17"/>
              </w:rPr>
              <w:t>13</w:t>
            </w:r>
          </w:p>
        </w:tc>
        <w:tc>
          <w:tcPr>
            <w:tcW w:w="871" w:type="dxa"/>
          </w:tcPr>
          <w:p w:rsidR="002E4A25" w:rsidRDefault="00D74ED8">
            <w:pPr>
              <w:pStyle w:val="TableParagraph"/>
              <w:ind w:right="108"/>
              <w:rPr>
                <w:sz w:val="17"/>
              </w:rPr>
            </w:pPr>
            <w:r>
              <w:rPr>
                <w:color w:val="231F20"/>
                <w:sz w:val="17"/>
              </w:rPr>
              <w:t>22,064</w:t>
            </w:r>
          </w:p>
        </w:tc>
        <w:tc>
          <w:tcPr>
            <w:tcW w:w="1697" w:type="dxa"/>
          </w:tcPr>
          <w:p w:rsidR="002E4A25" w:rsidRDefault="00D74ED8">
            <w:pPr>
              <w:pStyle w:val="TableParagraph"/>
              <w:ind w:left="462"/>
              <w:jc w:val="left"/>
              <w:rPr>
                <w:sz w:val="17"/>
              </w:rPr>
            </w:pPr>
            <w:r>
              <w:rPr>
                <w:color w:val="231F20"/>
                <w:sz w:val="17"/>
              </w:rPr>
              <w:t>5 to 1,176</w:t>
            </w:r>
          </w:p>
        </w:tc>
        <w:tc>
          <w:tcPr>
            <w:tcW w:w="1756" w:type="dxa"/>
          </w:tcPr>
          <w:p w:rsidR="002E4A25" w:rsidRDefault="00D74ED8">
            <w:pPr>
              <w:pStyle w:val="TableParagraph"/>
              <w:ind w:left="605"/>
              <w:jc w:val="left"/>
              <w:rPr>
                <w:sz w:val="17"/>
              </w:rPr>
            </w:pPr>
            <w:r>
              <w:rPr>
                <w:color w:val="231F20"/>
                <w:sz w:val="17"/>
              </w:rPr>
              <w:t>62 (114)</w:t>
            </w:r>
          </w:p>
        </w:tc>
        <w:tc>
          <w:tcPr>
            <w:tcW w:w="683" w:type="dxa"/>
          </w:tcPr>
          <w:p w:rsidR="002E4A25" w:rsidRDefault="00D74ED8">
            <w:pPr>
              <w:pStyle w:val="TableParagraph"/>
              <w:ind w:right="108"/>
              <w:rPr>
                <w:sz w:val="17"/>
              </w:rPr>
            </w:pPr>
            <w:r>
              <w:rPr>
                <w:color w:val="231F20"/>
                <w:sz w:val="17"/>
              </w:rPr>
              <w:t>56</w:t>
            </w:r>
          </w:p>
        </w:tc>
        <w:tc>
          <w:tcPr>
            <w:tcW w:w="734" w:type="dxa"/>
          </w:tcPr>
          <w:p w:rsidR="002E4A25" w:rsidRDefault="00D74ED8">
            <w:pPr>
              <w:pStyle w:val="TableParagraph"/>
              <w:ind w:left="242"/>
              <w:jc w:val="left"/>
              <w:rPr>
                <w:sz w:val="17"/>
              </w:rPr>
            </w:pPr>
            <w:r>
              <w:rPr>
                <w:color w:val="231F20"/>
                <w:sz w:val="17"/>
              </w:rPr>
              <w:t>56</w:t>
            </w:r>
          </w:p>
        </w:tc>
      </w:tr>
      <w:tr w:rsidR="002E4A25">
        <w:trPr>
          <w:trHeight w:hRule="exact" w:val="220"/>
        </w:trPr>
        <w:tc>
          <w:tcPr>
            <w:tcW w:w="1845" w:type="dxa"/>
          </w:tcPr>
          <w:p w:rsidR="002E4A25" w:rsidRDefault="00D74ED8">
            <w:pPr>
              <w:pStyle w:val="TableParagraph"/>
              <w:ind w:left="50"/>
              <w:jc w:val="left"/>
              <w:rPr>
                <w:sz w:val="17"/>
              </w:rPr>
            </w:pPr>
            <w:r>
              <w:rPr>
                <w:color w:val="231F20"/>
                <w:sz w:val="17"/>
              </w:rPr>
              <w:t>Antidepressants</w:t>
            </w:r>
          </w:p>
        </w:tc>
        <w:tc>
          <w:tcPr>
            <w:tcW w:w="822" w:type="dxa"/>
          </w:tcPr>
          <w:p w:rsidR="002E4A25" w:rsidRDefault="00D74ED8">
            <w:pPr>
              <w:pStyle w:val="TableParagraph"/>
              <w:ind w:left="112" w:right="112"/>
              <w:rPr>
                <w:sz w:val="17"/>
              </w:rPr>
            </w:pPr>
            <w:r>
              <w:rPr>
                <w:color w:val="231F20"/>
                <w:sz w:val="17"/>
              </w:rPr>
              <w:t>141</w:t>
            </w:r>
          </w:p>
        </w:tc>
        <w:tc>
          <w:tcPr>
            <w:tcW w:w="893" w:type="dxa"/>
          </w:tcPr>
          <w:p w:rsidR="002E4A25" w:rsidRDefault="00D74ED8">
            <w:pPr>
              <w:pStyle w:val="TableParagraph"/>
              <w:ind w:left="105" w:right="105"/>
              <w:rPr>
                <w:sz w:val="17"/>
              </w:rPr>
            </w:pPr>
            <w:r>
              <w:rPr>
                <w:color w:val="231F20"/>
                <w:sz w:val="17"/>
              </w:rPr>
              <w:t>13</w:t>
            </w:r>
          </w:p>
        </w:tc>
        <w:tc>
          <w:tcPr>
            <w:tcW w:w="871" w:type="dxa"/>
          </w:tcPr>
          <w:p w:rsidR="002E4A25" w:rsidRDefault="00D74ED8">
            <w:pPr>
              <w:pStyle w:val="TableParagraph"/>
              <w:ind w:right="108"/>
              <w:rPr>
                <w:sz w:val="17"/>
              </w:rPr>
            </w:pPr>
            <w:r>
              <w:rPr>
                <w:color w:val="231F20"/>
                <w:sz w:val="17"/>
              </w:rPr>
              <w:t>17,872</w:t>
            </w:r>
          </w:p>
        </w:tc>
        <w:tc>
          <w:tcPr>
            <w:tcW w:w="1697" w:type="dxa"/>
          </w:tcPr>
          <w:p w:rsidR="002E4A25" w:rsidRDefault="00D74ED8">
            <w:pPr>
              <w:pStyle w:val="TableParagraph"/>
              <w:ind w:left="462"/>
              <w:jc w:val="left"/>
              <w:rPr>
                <w:sz w:val="17"/>
              </w:rPr>
            </w:pPr>
            <w:r>
              <w:rPr>
                <w:color w:val="231F20"/>
                <w:sz w:val="17"/>
              </w:rPr>
              <w:t>2 to 189</w:t>
            </w:r>
          </w:p>
        </w:tc>
        <w:tc>
          <w:tcPr>
            <w:tcW w:w="1756" w:type="dxa"/>
          </w:tcPr>
          <w:p w:rsidR="002E4A25" w:rsidRDefault="00D74ED8">
            <w:pPr>
              <w:pStyle w:val="TableParagraph"/>
              <w:ind w:left="588" w:right="588"/>
              <w:rPr>
                <w:sz w:val="17"/>
              </w:rPr>
            </w:pPr>
            <w:r>
              <w:rPr>
                <w:color w:val="231F20"/>
                <w:sz w:val="17"/>
              </w:rPr>
              <w:t>58 (37)</w:t>
            </w:r>
          </w:p>
        </w:tc>
        <w:tc>
          <w:tcPr>
            <w:tcW w:w="683" w:type="dxa"/>
          </w:tcPr>
          <w:p w:rsidR="002E4A25" w:rsidRDefault="00D74ED8">
            <w:pPr>
              <w:pStyle w:val="TableParagraph"/>
              <w:ind w:right="108"/>
              <w:rPr>
                <w:sz w:val="17"/>
              </w:rPr>
            </w:pPr>
            <w:r>
              <w:rPr>
                <w:color w:val="231F20"/>
                <w:sz w:val="17"/>
              </w:rPr>
              <w:t>56</w:t>
            </w:r>
          </w:p>
        </w:tc>
        <w:tc>
          <w:tcPr>
            <w:tcW w:w="734" w:type="dxa"/>
          </w:tcPr>
          <w:p w:rsidR="002E4A25" w:rsidRDefault="00D74ED8">
            <w:pPr>
              <w:pStyle w:val="TableParagraph"/>
              <w:ind w:left="242"/>
              <w:jc w:val="left"/>
              <w:rPr>
                <w:sz w:val="17"/>
              </w:rPr>
            </w:pPr>
            <w:r>
              <w:rPr>
                <w:color w:val="231F20"/>
                <w:sz w:val="17"/>
              </w:rPr>
              <w:t>56</w:t>
            </w:r>
          </w:p>
        </w:tc>
      </w:tr>
      <w:tr w:rsidR="002E4A25">
        <w:trPr>
          <w:trHeight w:hRule="exact" w:val="220"/>
        </w:trPr>
        <w:tc>
          <w:tcPr>
            <w:tcW w:w="1845" w:type="dxa"/>
          </w:tcPr>
          <w:p w:rsidR="002E4A25" w:rsidRDefault="00D74ED8">
            <w:pPr>
              <w:pStyle w:val="TableParagraph"/>
              <w:ind w:left="50"/>
              <w:jc w:val="left"/>
              <w:rPr>
                <w:sz w:val="17"/>
              </w:rPr>
            </w:pPr>
            <w:r>
              <w:rPr>
                <w:color w:val="231F20"/>
                <w:sz w:val="17"/>
              </w:rPr>
              <w:t>NSAIDS</w:t>
            </w:r>
          </w:p>
        </w:tc>
        <w:tc>
          <w:tcPr>
            <w:tcW w:w="822" w:type="dxa"/>
          </w:tcPr>
          <w:p w:rsidR="002E4A25" w:rsidRDefault="00D74ED8">
            <w:pPr>
              <w:pStyle w:val="TableParagraph"/>
              <w:ind w:left="112" w:right="112"/>
              <w:rPr>
                <w:sz w:val="17"/>
              </w:rPr>
            </w:pPr>
            <w:r>
              <w:rPr>
                <w:color w:val="231F20"/>
                <w:sz w:val="17"/>
              </w:rPr>
              <w:t>102</w:t>
            </w:r>
          </w:p>
        </w:tc>
        <w:tc>
          <w:tcPr>
            <w:tcW w:w="893" w:type="dxa"/>
          </w:tcPr>
          <w:p w:rsidR="002E4A25" w:rsidRDefault="00D74ED8">
            <w:pPr>
              <w:pStyle w:val="TableParagraph"/>
              <w:ind w:left="93"/>
              <w:rPr>
                <w:sz w:val="17"/>
              </w:rPr>
            </w:pPr>
            <w:r>
              <w:rPr>
                <w:color w:val="231F20"/>
                <w:w w:val="99"/>
                <w:sz w:val="17"/>
              </w:rPr>
              <w:t>6</w:t>
            </w:r>
          </w:p>
        </w:tc>
        <w:tc>
          <w:tcPr>
            <w:tcW w:w="871" w:type="dxa"/>
          </w:tcPr>
          <w:p w:rsidR="002E4A25" w:rsidRDefault="00D74ED8">
            <w:pPr>
              <w:pStyle w:val="TableParagraph"/>
              <w:ind w:right="108"/>
              <w:rPr>
                <w:sz w:val="17"/>
              </w:rPr>
            </w:pPr>
            <w:r>
              <w:rPr>
                <w:color w:val="231F20"/>
                <w:sz w:val="17"/>
              </w:rPr>
              <w:t>34,531</w:t>
            </w:r>
          </w:p>
        </w:tc>
        <w:tc>
          <w:tcPr>
            <w:tcW w:w="1697" w:type="dxa"/>
          </w:tcPr>
          <w:p w:rsidR="002E4A25" w:rsidRDefault="00D74ED8">
            <w:pPr>
              <w:pStyle w:val="TableParagraph"/>
              <w:ind w:left="462"/>
              <w:jc w:val="left"/>
              <w:rPr>
                <w:sz w:val="17"/>
              </w:rPr>
            </w:pPr>
            <w:r>
              <w:rPr>
                <w:color w:val="231F20"/>
                <w:sz w:val="17"/>
              </w:rPr>
              <w:t>4 to 364</w:t>
            </w:r>
          </w:p>
        </w:tc>
        <w:tc>
          <w:tcPr>
            <w:tcW w:w="1756" w:type="dxa"/>
          </w:tcPr>
          <w:p w:rsidR="002E4A25" w:rsidRDefault="00D74ED8">
            <w:pPr>
              <w:pStyle w:val="TableParagraph"/>
              <w:ind w:left="588" w:right="588"/>
              <w:rPr>
                <w:sz w:val="17"/>
              </w:rPr>
            </w:pPr>
            <w:r>
              <w:rPr>
                <w:color w:val="231F20"/>
                <w:sz w:val="17"/>
              </w:rPr>
              <w:t>37 (49)</w:t>
            </w:r>
          </w:p>
        </w:tc>
        <w:tc>
          <w:tcPr>
            <w:tcW w:w="683" w:type="dxa"/>
          </w:tcPr>
          <w:p w:rsidR="002E4A25" w:rsidRDefault="00D74ED8">
            <w:pPr>
              <w:pStyle w:val="TableParagraph"/>
              <w:ind w:right="108"/>
              <w:rPr>
                <w:sz w:val="17"/>
              </w:rPr>
            </w:pPr>
            <w:r>
              <w:rPr>
                <w:color w:val="231F20"/>
                <w:sz w:val="17"/>
              </w:rPr>
              <w:t>42</w:t>
            </w:r>
          </w:p>
        </w:tc>
        <w:tc>
          <w:tcPr>
            <w:tcW w:w="734" w:type="dxa"/>
          </w:tcPr>
          <w:p w:rsidR="002E4A25" w:rsidRDefault="00D74ED8">
            <w:pPr>
              <w:pStyle w:val="TableParagraph"/>
              <w:ind w:left="242"/>
              <w:jc w:val="left"/>
              <w:rPr>
                <w:sz w:val="17"/>
              </w:rPr>
            </w:pPr>
            <w:r>
              <w:rPr>
                <w:color w:val="231F20"/>
                <w:sz w:val="17"/>
              </w:rPr>
              <w:t>28</w:t>
            </w:r>
          </w:p>
        </w:tc>
      </w:tr>
      <w:tr w:rsidR="002E4A25">
        <w:trPr>
          <w:trHeight w:hRule="exact" w:val="220"/>
        </w:trPr>
        <w:tc>
          <w:tcPr>
            <w:tcW w:w="1845" w:type="dxa"/>
          </w:tcPr>
          <w:p w:rsidR="002E4A25" w:rsidRDefault="00D74ED8">
            <w:pPr>
              <w:pStyle w:val="TableParagraph"/>
              <w:ind w:left="50"/>
              <w:jc w:val="left"/>
              <w:rPr>
                <w:sz w:val="17"/>
              </w:rPr>
            </w:pPr>
            <w:r>
              <w:rPr>
                <w:color w:val="231F20"/>
                <w:sz w:val="17"/>
              </w:rPr>
              <w:t>Behavioral</w:t>
            </w:r>
          </w:p>
        </w:tc>
        <w:tc>
          <w:tcPr>
            <w:tcW w:w="822" w:type="dxa"/>
          </w:tcPr>
          <w:p w:rsidR="002E4A25" w:rsidRDefault="00D74ED8">
            <w:pPr>
              <w:pStyle w:val="TableParagraph"/>
              <w:ind w:left="112" w:right="112"/>
              <w:rPr>
                <w:sz w:val="17"/>
              </w:rPr>
            </w:pPr>
            <w:r>
              <w:rPr>
                <w:color w:val="231F20"/>
                <w:sz w:val="17"/>
              </w:rPr>
              <w:t>269</w:t>
            </w:r>
          </w:p>
        </w:tc>
        <w:tc>
          <w:tcPr>
            <w:tcW w:w="893" w:type="dxa"/>
          </w:tcPr>
          <w:p w:rsidR="002E4A25" w:rsidRDefault="00D74ED8">
            <w:pPr>
              <w:pStyle w:val="TableParagraph"/>
              <w:ind w:left="105" w:right="105"/>
              <w:rPr>
                <w:sz w:val="17"/>
              </w:rPr>
            </w:pPr>
            <w:r>
              <w:rPr>
                <w:color w:val="231F20"/>
                <w:sz w:val="17"/>
              </w:rPr>
              <w:t>14</w:t>
            </w:r>
          </w:p>
        </w:tc>
        <w:tc>
          <w:tcPr>
            <w:tcW w:w="871" w:type="dxa"/>
          </w:tcPr>
          <w:p w:rsidR="002E4A25" w:rsidRDefault="00D74ED8">
            <w:pPr>
              <w:pStyle w:val="TableParagraph"/>
              <w:ind w:right="108"/>
              <w:rPr>
                <w:sz w:val="17"/>
              </w:rPr>
            </w:pPr>
            <w:r>
              <w:rPr>
                <w:color w:val="231F20"/>
                <w:sz w:val="17"/>
              </w:rPr>
              <w:t>28,309</w:t>
            </w:r>
          </w:p>
        </w:tc>
        <w:tc>
          <w:tcPr>
            <w:tcW w:w="1697" w:type="dxa"/>
          </w:tcPr>
          <w:p w:rsidR="002E4A25" w:rsidRDefault="00D74ED8">
            <w:pPr>
              <w:pStyle w:val="TableParagraph"/>
              <w:ind w:left="462"/>
              <w:jc w:val="left"/>
              <w:rPr>
                <w:sz w:val="17"/>
              </w:rPr>
            </w:pPr>
            <w:r>
              <w:rPr>
                <w:color w:val="231F20"/>
                <w:sz w:val="17"/>
              </w:rPr>
              <w:t>1 to 756</w:t>
            </w:r>
          </w:p>
        </w:tc>
        <w:tc>
          <w:tcPr>
            <w:tcW w:w="1756" w:type="dxa"/>
          </w:tcPr>
          <w:p w:rsidR="002E4A25" w:rsidRDefault="00D74ED8">
            <w:pPr>
              <w:pStyle w:val="TableParagraph"/>
              <w:ind w:left="588" w:right="588"/>
              <w:rPr>
                <w:sz w:val="17"/>
              </w:rPr>
            </w:pPr>
            <w:r>
              <w:rPr>
                <w:color w:val="231F20"/>
                <w:sz w:val="17"/>
              </w:rPr>
              <w:t>66 (70)</w:t>
            </w:r>
          </w:p>
        </w:tc>
        <w:tc>
          <w:tcPr>
            <w:tcW w:w="683" w:type="dxa"/>
          </w:tcPr>
          <w:p w:rsidR="002E4A25" w:rsidRDefault="00D74ED8">
            <w:pPr>
              <w:pStyle w:val="TableParagraph"/>
              <w:ind w:right="108"/>
              <w:rPr>
                <w:sz w:val="17"/>
              </w:rPr>
            </w:pPr>
            <w:r>
              <w:rPr>
                <w:color w:val="231F20"/>
                <w:sz w:val="17"/>
              </w:rPr>
              <w:t>56</w:t>
            </w:r>
          </w:p>
        </w:tc>
        <w:tc>
          <w:tcPr>
            <w:tcW w:w="734" w:type="dxa"/>
          </w:tcPr>
          <w:p w:rsidR="002E4A25" w:rsidRDefault="00D74ED8">
            <w:pPr>
              <w:pStyle w:val="TableParagraph"/>
              <w:ind w:left="242"/>
              <w:jc w:val="left"/>
              <w:rPr>
                <w:sz w:val="17"/>
              </w:rPr>
            </w:pPr>
            <w:r>
              <w:rPr>
                <w:color w:val="231F20"/>
                <w:sz w:val="17"/>
              </w:rPr>
              <w:t>56</w:t>
            </w:r>
          </w:p>
        </w:tc>
      </w:tr>
      <w:tr w:rsidR="002E4A25">
        <w:trPr>
          <w:trHeight w:hRule="exact" w:val="375"/>
        </w:trPr>
        <w:tc>
          <w:tcPr>
            <w:tcW w:w="1845" w:type="dxa"/>
            <w:tcBorders>
              <w:bottom w:val="single" w:sz="2" w:space="0" w:color="231F20"/>
            </w:tcBorders>
          </w:tcPr>
          <w:p w:rsidR="002E4A25" w:rsidRDefault="00D74ED8">
            <w:pPr>
              <w:pStyle w:val="TableParagraph"/>
              <w:ind w:left="50"/>
              <w:jc w:val="left"/>
              <w:rPr>
                <w:sz w:val="17"/>
              </w:rPr>
            </w:pPr>
            <w:r>
              <w:rPr>
                <w:color w:val="231F20"/>
                <w:sz w:val="17"/>
              </w:rPr>
              <w:t>Total</w:t>
            </w:r>
          </w:p>
        </w:tc>
        <w:tc>
          <w:tcPr>
            <w:tcW w:w="822" w:type="dxa"/>
            <w:tcBorders>
              <w:bottom w:val="single" w:sz="2" w:space="0" w:color="231F20"/>
            </w:tcBorders>
          </w:tcPr>
          <w:p w:rsidR="002E4A25" w:rsidRDefault="00D74ED8">
            <w:pPr>
              <w:pStyle w:val="TableParagraph"/>
              <w:ind w:left="112" w:right="112"/>
              <w:rPr>
                <w:sz w:val="17"/>
              </w:rPr>
            </w:pPr>
            <w:r>
              <w:rPr>
                <w:color w:val="231F20"/>
                <w:sz w:val="17"/>
              </w:rPr>
              <w:t>869</w:t>
            </w:r>
          </w:p>
        </w:tc>
        <w:tc>
          <w:tcPr>
            <w:tcW w:w="893" w:type="dxa"/>
            <w:tcBorders>
              <w:bottom w:val="single" w:sz="2" w:space="0" w:color="231F20"/>
            </w:tcBorders>
          </w:tcPr>
          <w:p w:rsidR="002E4A25" w:rsidRDefault="00D74ED8">
            <w:pPr>
              <w:pStyle w:val="TableParagraph"/>
              <w:ind w:left="105" w:right="105"/>
              <w:rPr>
                <w:sz w:val="17"/>
              </w:rPr>
            </w:pPr>
            <w:r>
              <w:rPr>
                <w:color w:val="231F20"/>
                <w:sz w:val="17"/>
              </w:rPr>
              <w:t>55</w:t>
            </w:r>
          </w:p>
        </w:tc>
        <w:tc>
          <w:tcPr>
            <w:tcW w:w="871" w:type="dxa"/>
            <w:tcBorders>
              <w:bottom w:val="single" w:sz="2" w:space="0" w:color="231F20"/>
            </w:tcBorders>
          </w:tcPr>
          <w:p w:rsidR="002E4A25" w:rsidRDefault="00D74ED8">
            <w:pPr>
              <w:pStyle w:val="TableParagraph"/>
              <w:ind w:right="108"/>
              <w:rPr>
                <w:sz w:val="17"/>
              </w:rPr>
            </w:pPr>
            <w:r>
              <w:rPr>
                <w:color w:val="231F20"/>
                <w:sz w:val="17"/>
              </w:rPr>
              <w:t>166,076</w:t>
            </w:r>
          </w:p>
        </w:tc>
        <w:tc>
          <w:tcPr>
            <w:tcW w:w="1697" w:type="dxa"/>
            <w:tcBorders>
              <w:bottom w:val="single" w:sz="2" w:space="0" w:color="231F20"/>
            </w:tcBorders>
          </w:tcPr>
          <w:p w:rsidR="002E4A25" w:rsidRDefault="00D74ED8">
            <w:pPr>
              <w:pStyle w:val="TableParagraph"/>
              <w:ind w:left="0"/>
              <w:rPr>
                <w:sz w:val="17"/>
              </w:rPr>
            </w:pPr>
            <w:r>
              <w:rPr>
                <w:color w:val="231F20"/>
                <w:w w:val="99"/>
                <w:sz w:val="17"/>
              </w:rPr>
              <w:t>–</w:t>
            </w:r>
          </w:p>
        </w:tc>
        <w:tc>
          <w:tcPr>
            <w:tcW w:w="1756" w:type="dxa"/>
            <w:tcBorders>
              <w:bottom w:val="single" w:sz="2" w:space="0" w:color="231F20"/>
            </w:tcBorders>
          </w:tcPr>
          <w:p w:rsidR="002E4A25" w:rsidRDefault="00D74ED8">
            <w:pPr>
              <w:pStyle w:val="TableParagraph"/>
              <w:ind w:left="0"/>
              <w:rPr>
                <w:sz w:val="17"/>
              </w:rPr>
            </w:pPr>
            <w:r>
              <w:rPr>
                <w:color w:val="231F20"/>
                <w:w w:val="99"/>
                <w:sz w:val="17"/>
              </w:rPr>
              <w:t>–</w:t>
            </w:r>
          </w:p>
        </w:tc>
        <w:tc>
          <w:tcPr>
            <w:tcW w:w="683" w:type="dxa"/>
            <w:tcBorders>
              <w:bottom w:val="single" w:sz="2" w:space="0" w:color="231F20"/>
            </w:tcBorders>
          </w:tcPr>
          <w:p w:rsidR="002E4A25" w:rsidRDefault="00D74ED8">
            <w:pPr>
              <w:pStyle w:val="TableParagraph"/>
              <w:ind w:left="0"/>
              <w:rPr>
                <w:sz w:val="17"/>
              </w:rPr>
            </w:pPr>
            <w:r>
              <w:rPr>
                <w:color w:val="231F20"/>
                <w:w w:val="99"/>
                <w:sz w:val="17"/>
              </w:rPr>
              <w:t>–</w:t>
            </w:r>
          </w:p>
        </w:tc>
        <w:tc>
          <w:tcPr>
            <w:tcW w:w="734" w:type="dxa"/>
            <w:tcBorders>
              <w:bottom w:val="single" w:sz="2" w:space="0" w:color="231F20"/>
            </w:tcBorders>
          </w:tcPr>
          <w:p w:rsidR="002E4A25" w:rsidRDefault="00D74ED8">
            <w:pPr>
              <w:pStyle w:val="TableParagraph"/>
              <w:ind w:left="80"/>
              <w:rPr>
                <w:sz w:val="17"/>
              </w:rPr>
            </w:pPr>
            <w:r>
              <w:rPr>
                <w:color w:val="231F20"/>
                <w:w w:val="99"/>
                <w:sz w:val="17"/>
              </w:rPr>
              <w:t>–</w:t>
            </w:r>
          </w:p>
        </w:tc>
      </w:tr>
    </w:tbl>
    <w:p w:rsidR="002E4A25" w:rsidRDefault="00D74ED8">
      <w:pPr>
        <w:spacing w:before="49" w:line="259" w:lineRule="auto"/>
        <w:ind w:left="159" w:right="474"/>
        <w:jc w:val="both"/>
        <w:rPr>
          <w:sz w:val="16"/>
        </w:rPr>
      </w:pPr>
      <w:r>
        <w:rPr>
          <w:color w:val="231F20"/>
          <w:sz w:val="16"/>
        </w:rPr>
        <w:t xml:space="preserve">See text for full explanation of retrieval process. Note that several reviews contributed to more than one therapeutic category; removal of multiple citations of the same review (e.g., </w:t>
      </w:r>
      <w:hyperlink w:anchor="_bookmark15" w:history="1">
        <w:r>
          <w:rPr>
            <w:color w:val="2E3092"/>
            <w:sz w:val="16"/>
          </w:rPr>
          <w:t>Chaparro 2012 [10]</w:t>
        </w:r>
      </w:hyperlink>
      <w:r>
        <w:rPr>
          <w:color w:val="2E3092"/>
          <w:sz w:val="16"/>
        </w:rPr>
        <w:t xml:space="preserve"> </w:t>
      </w:r>
      <w:r>
        <w:rPr>
          <w:color w:val="231F20"/>
          <w:sz w:val="16"/>
        </w:rPr>
        <w:t>cited under opioids a</w:t>
      </w:r>
      <w:r>
        <w:rPr>
          <w:color w:val="231F20"/>
          <w:sz w:val="16"/>
        </w:rPr>
        <w:t>s well as anticonvulsants and antidepressants) reduces the actual total of distinct retrieved reviews to 52 instead of  55.</w:t>
      </w:r>
    </w:p>
    <w:p w:rsidR="002E4A25" w:rsidRDefault="002E4A25">
      <w:pPr>
        <w:spacing w:line="259" w:lineRule="auto"/>
        <w:jc w:val="both"/>
        <w:rPr>
          <w:sz w:val="16"/>
        </w:rPr>
        <w:sectPr w:rsidR="002E4A25">
          <w:type w:val="continuous"/>
          <w:pgSz w:w="11880" w:h="15660"/>
          <w:pgMar w:top="320" w:right="1000" w:bottom="280" w:left="1040" w:header="720" w:footer="720" w:gutter="0"/>
          <w:cols w:space="720"/>
        </w:sectPr>
      </w:pPr>
    </w:p>
    <w:p w:rsidR="002E4A25" w:rsidRDefault="002E4A25">
      <w:pPr>
        <w:pStyle w:val="BodyText"/>
        <w:spacing w:before="3"/>
        <w:rPr>
          <w:sz w:val="16"/>
        </w:rPr>
      </w:pPr>
    </w:p>
    <w:p w:rsidR="002E4A25" w:rsidRDefault="00D74ED8">
      <w:pPr>
        <w:pStyle w:val="Heading1"/>
        <w:tabs>
          <w:tab w:val="left" w:pos="1004"/>
        </w:tabs>
      </w:pPr>
      <w:bookmarkStart w:id="2" w:name="pnw245-TF2"/>
      <w:bookmarkStart w:id="3" w:name="_bookmark1"/>
      <w:bookmarkEnd w:id="2"/>
      <w:bookmarkEnd w:id="3"/>
      <w:r>
        <w:rPr>
          <w:color w:val="231F20"/>
          <w:spacing w:val="-5"/>
        </w:rPr>
        <w:t>Table</w:t>
      </w:r>
      <w:r>
        <w:rPr>
          <w:color w:val="231F20"/>
          <w:spacing w:val="22"/>
        </w:rPr>
        <w:t xml:space="preserve"> </w:t>
      </w:r>
      <w:r>
        <w:rPr>
          <w:color w:val="231F20"/>
        </w:rPr>
        <w:t>2</w:t>
      </w:r>
      <w:r>
        <w:rPr>
          <w:color w:val="231F20"/>
        </w:rPr>
        <w:tab/>
        <w:t>Cochrane</w:t>
      </w:r>
      <w:r>
        <w:rPr>
          <w:color w:val="231F20"/>
          <w:spacing w:val="-5"/>
        </w:rPr>
        <w:t xml:space="preserve"> </w:t>
      </w:r>
      <w:r>
        <w:rPr>
          <w:color w:val="231F20"/>
        </w:rPr>
        <w:t>systematic</w:t>
      </w:r>
      <w:r>
        <w:rPr>
          <w:color w:val="231F20"/>
          <w:spacing w:val="-6"/>
        </w:rPr>
        <w:t xml:space="preserve"> </w:t>
      </w:r>
      <w:r>
        <w:rPr>
          <w:color w:val="231F20"/>
        </w:rPr>
        <w:t>reviews</w:t>
      </w:r>
      <w:r>
        <w:rPr>
          <w:color w:val="231F20"/>
          <w:spacing w:val="-5"/>
        </w:rPr>
        <w:t xml:space="preserve"> </w:t>
      </w:r>
      <w:r>
        <w:rPr>
          <w:color w:val="231F20"/>
        </w:rPr>
        <w:t>of</w:t>
      </w:r>
      <w:r>
        <w:rPr>
          <w:color w:val="231F20"/>
          <w:spacing w:val="-6"/>
        </w:rPr>
        <w:t xml:space="preserve"> </w:t>
      </w:r>
      <w:r>
        <w:rPr>
          <w:color w:val="231F20"/>
        </w:rPr>
        <w:t>drug</w:t>
      </w:r>
      <w:r>
        <w:rPr>
          <w:color w:val="231F20"/>
          <w:spacing w:val="-6"/>
        </w:rPr>
        <w:t xml:space="preserve"> </w:t>
      </w:r>
      <w:r>
        <w:rPr>
          <w:color w:val="231F20"/>
        </w:rPr>
        <w:t>and</w:t>
      </w:r>
      <w:r>
        <w:rPr>
          <w:color w:val="231F20"/>
          <w:spacing w:val="-6"/>
        </w:rPr>
        <w:t xml:space="preserve"> </w:t>
      </w:r>
      <w:r>
        <w:rPr>
          <w:color w:val="231F20"/>
        </w:rPr>
        <w:t>nondrug</w:t>
      </w:r>
      <w:r>
        <w:rPr>
          <w:color w:val="231F20"/>
          <w:spacing w:val="-5"/>
        </w:rPr>
        <w:t xml:space="preserve"> </w:t>
      </w:r>
      <w:r>
        <w:rPr>
          <w:color w:val="231F20"/>
        </w:rPr>
        <w:t>modalities</w:t>
      </w:r>
      <w:r>
        <w:rPr>
          <w:color w:val="231F20"/>
          <w:spacing w:val="-6"/>
        </w:rPr>
        <w:t xml:space="preserve"> </w:t>
      </w:r>
      <w:r>
        <w:rPr>
          <w:color w:val="231F20"/>
        </w:rPr>
        <w:t>to</w:t>
      </w:r>
      <w:r>
        <w:rPr>
          <w:color w:val="231F20"/>
          <w:spacing w:val="-6"/>
        </w:rPr>
        <w:t xml:space="preserve"> </w:t>
      </w:r>
      <w:r>
        <w:rPr>
          <w:color w:val="231F20"/>
        </w:rPr>
        <w:t>treat</w:t>
      </w:r>
      <w:r>
        <w:rPr>
          <w:color w:val="231F20"/>
          <w:spacing w:val="-5"/>
        </w:rPr>
        <w:t xml:space="preserve"> </w:t>
      </w:r>
      <w:r>
        <w:rPr>
          <w:color w:val="231F20"/>
        </w:rPr>
        <w:t>chronic</w:t>
      </w:r>
      <w:r>
        <w:rPr>
          <w:color w:val="231F20"/>
          <w:spacing w:val="-6"/>
        </w:rPr>
        <w:t xml:space="preserve"> </w:t>
      </w:r>
      <w:r>
        <w:rPr>
          <w:color w:val="231F20"/>
        </w:rPr>
        <w:t>pain</w:t>
      </w:r>
    </w:p>
    <w:p w:rsidR="002E4A25" w:rsidRDefault="002E4A25">
      <w:pPr>
        <w:pStyle w:val="BodyText"/>
        <w:spacing w:before="1"/>
      </w:pPr>
    </w:p>
    <w:p w:rsidR="002E4A25" w:rsidRDefault="00D74ED8">
      <w:pPr>
        <w:tabs>
          <w:tab w:val="left" w:pos="4847"/>
        </w:tabs>
        <w:ind w:left="119"/>
        <w:rPr>
          <w:sz w:val="17"/>
        </w:rPr>
      </w:pPr>
      <w:r>
        <w:pict>
          <v:line id="_x0000_s1064" style="position:absolute;left:0;text-align:left;z-index:251651584;mso-wrap-distance-left:0;mso-wrap-distance-right:0;mso-position-horizontal-relative:page" from="74pt,12.85pt" to="534pt,12.85pt" strokecolor="#231f20" strokeweight=".08mm">
            <w10:wrap type="topAndBottom" anchorx="page"/>
          </v:line>
        </w:pict>
      </w:r>
      <w:r>
        <w:rPr>
          <w:color w:val="231F20"/>
          <w:sz w:val="17"/>
        </w:rPr>
        <w:t>Modality</w:t>
      </w:r>
      <w:r>
        <w:rPr>
          <w:color w:val="231F20"/>
          <w:sz w:val="17"/>
        </w:rPr>
        <w:tab/>
        <w:t>Included</w:t>
      </w:r>
      <w:r>
        <w:rPr>
          <w:color w:val="231F20"/>
          <w:spacing w:val="-3"/>
          <w:sz w:val="17"/>
        </w:rPr>
        <w:t xml:space="preserve"> </w:t>
      </w:r>
      <w:r>
        <w:rPr>
          <w:color w:val="231F20"/>
          <w:sz w:val="17"/>
        </w:rPr>
        <w:t>review</w:t>
      </w:r>
      <w:r>
        <w:rPr>
          <w:color w:val="231F20"/>
          <w:sz w:val="17"/>
        </w:rPr>
        <w:t>s</w:t>
      </w:r>
    </w:p>
    <w:p w:rsidR="002E4A25" w:rsidRDefault="00D74ED8">
      <w:pPr>
        <w:tabs>
          <w:tab w:val="left" w:pos="1640"/>
        </w:tabs>
        <w:spacing w:before="111"/>
        <w:ind w:left="119"/>
        <w:rPr>
          <w:sz w:val="17"/>
        </w:rPr>
      </w:pPr>
      <w:r>
        <w:rPr>
          <w:color w:val="231F20"/>
          <w:sz w:val="17"/>
        </w:rPr>
        <w:t>Opioids</w:t>
      </w:r>
      <w:r>
        <w:rPr>
          <w:color w:val="231F20"/>
          <w:sz w:val="17"/>
        </w:rPr>
        <w:tab/>
        <w:t>Chaparro 2012 [</w:t>
      </w:r>
      <w:hyperlink w:anchor="_bookmark15" w:history="1">
        <w:r>
          <w:rPr>
            <w:color w:val="2E3092"/>
            <w:sz w:val="17"/>
          </w:rPr>
          <w:t>10</w:t>
        </w:r>
      </w:hyperlink>
      <w:r>
        <w:rPr>
          <w:color w:val="231F20"/>
          <w:sz w:val="17"/>
        </w:rPr>
        <w:t>], Chaparro 2013 [</w:t>
      </w:r>
      <w:hyperlink w:anchor="_bookmark17" w:history="1">
        <w:r>
          <w:rPr>
            <w:color w:val="2E3092"/>
            <w:sz w:val="17"/>
          </w:rPr>
          <w:t>11</w:t>
        </w:r>
      </w:hyperlink>
      <w:r>
        <w:rPr>
          <w:color w:val="231F20"/>
          <w:sz w:val="17"/>
        </w:rPr>
        <w:t>], Gaskell 2014 [</w:t>
      </w:r>
      <w:hyperlink w:anchor="_bookmark20" w:history="1">
        <w:r>
          <w:rPr>
            <w:color w:val="2E3092"/>
            <w:sz w:val="17"/>
          </w:rPr>
          <w:t>12</w:t>
        </w:r>
      </w:hyperlink>
      <w:r>
        <w:rPr>
          <w:color w:val="231F20"/>
          <w:sz w:val="17"/>
        </w:rPr>
        <w:t>], Haroutounian 2012 [</w:t>
      </w:r>
      <w:hyperlink w:anchor="_bookmark22" w:history="1">
        <w:r>
          <w:rPr>
            <w:color w:val="2E3092"/>
            <w:sz w:val="17"/>
          </w:rPr>
          <w:t>13</w:t>
        </w:r>
      </w:hyperlink>
      <w:r>
        <w:rPr>
          <w:color w:val="231F20"/>
          <w:sz w:val="17"/>
        </w:rPr>
        <w:t xml:space="preserve">], McNicol </w:t>
      </w:r>
      <w:r>
        <w:rPr>
          <w:color w:val="231F20"/>
          <w:spacing w:val="27"/>
          <w:sz w:val="17"/>
        </w:rPr>
        <w:t xml:space="preserve"> </w:t>
      </w:r>
      <w:r>
        <w:rPr>
          <w:color w:val="231F20"/>
          <w:sz w:val="17"/>
        </w:rPr>
        <w:t>2013</w:t>
      </w:r>
    </w:p>
    <w:p w:rsidR="002E4A25" w:rsidRDefault="00D74ED8">
      <w:pPr>
        <w:spacing w:before="23"/>
        <w:ind w:left="1800"/>
        <w:rPr>
          <w:sz w:val="17"/>
        </w:rPr>
      </w:pPr>
      <w:r>
        <w:rPr>
          <w:color w:val="231F20"/>
          <w:sz w:val="17"/>
        </w:rPr>
        <w:t>[</w:t>
      </w:r>
      <w:hyperlink w:anchor="_bookmark24" w:history="1">
        <w:r>
          <w:rPr>
            <w:color w:val="2E3092"/>
            <w:sz w:val="17"/>
          </w:rPr>
          <w:t>14</w:t>
        </w:r>
      </w:hyperlink>
      <w:r>
        <w:rPr>
          <w:color w:val="231F20"/>
          <w:sz w:val="17"/>
        </w:rPr>
        <w:t>], Noble 2010 [</w:t>
      </w:r>
      <w:hyperlink w:anchor="_bookmark12" w:history="1">
        <w:r>
          <w:rPr>
            <w:color w:val="2E3092"/>
            <w:sz w:val="17"/>
          </w:rPr>
          <w:t>8</w:t>
        </w:r>
      </w:hyperlink>
      <w:r>
        <w:rPr>
          <w:color w:val="231F20"/>
          <w:sz w:val="17"/>
        </w:rPr>
        <w:t>], Quigley 2002 [</w:t>
      </w:r>
      <w:hyperlink w:anchor="_bookmark25" w:history="1">
        <w:r>
          <w:rPr>
            <w:color w:val="2E3092"/>
            <w:sz w:val="17"/>
          </w:rPr>
          <w:t>15</w:t>
        </w:r>
      </w:hyperlink>
      <w:r>
        <w:rPr>
          <w:color w:val="231F20"/>
          <w:sz w:val="17"/>
        </w:rPr>
        <w:t>], Santos 2015 [</w:t>
      </w:r>
      <w:hyperlink w:anchor="_bookmark27" w:history="1">
        <w:r>
          <w:rPr>
            <w:color w:val="2E3092"/>
            <w:sz w:val="17"/>
          </w:rPr>
          <w:t>16</w:t>
        </w:r>
      </w:hyperlink>
      <w:r>
        <w:rPr>
          <w:color w:val="231F20"/>
          <w:sz w:val="17"/>
        </w:rPr>
        <w:t>], Wrzosek 2014  [</w:t>
      </w:r>
      <w:hyperlink w:anchor="_bookmark29" w:history="1">
        <w:r>
          <w:rPr>
            <w:color w:val="2E3092"/>
            <w:sz w:val="17"/>
          </w:rPr>
          <w:t>17</w:t>
        </w:r>
      </w:hyperlink>
      <w:r>
        <w:rPr>
          <w:color w:val="231F20"/>
          <w:sz w:val="17"/>
        </w:rPr>
        <w:t>]</w:t>
      </w:r>
    </w:p>
    <w:p w:rsidR="002E4A25" w:rsidRDefault="00D74ED8">
      <w:pPr>
        <w:tabs>
          <w:tab w:val="left" w:pos="1640"/>
        </w:tabs>
        <w:spacing w:before="23" w:line="163" w:lineRule="exact"/>
        <w:ind w:left="119"/>
        <w:rPr>
          <w:sz w:val="17"/>
        </w:rPr>
      </w:pPr>
      <w:r>
        <w:rPr>
          <w:color w:val="231F20"/>
          <w:sz w:val="17"/>
        </w:rPr>
        <w:t>Anticonvulsants</w:t>
      </w:r>
      <w:r>
        <w:rPr>
          <w:color w:val="231F20"/>
          <w:sz w:val="17"/>
        </w:rPr>
        <w:tab/>
        <w:t>Aboumarzou</w:t>
      </w:r>
      <w:r>
        <w:rPr>
          <w:color w:val="231F20"/>
          <w:sz w:val="17"/>
        </w:rPr>
        <w:t>k 2012 [</w:t>
      </w:r>
      <w:hyperlink w:anchor="_bookmark31" w:history="1">
        <w:r>
          <w:rPr>
            <w:color w:val="2E3092"/>
            <w:sz w:val="17"/>
          </w:rPr>
          <w:t>18</w:t>
        </w:r>
      </w:hyperlink>
      <w:r>
        <w:rPr>
          <w:color w:val="231F20"/>
          <w:sz w:val="17"/>
        </w:rPr>
        <w:t>], Chaparro 2012 [</w:t>
      </w:r>
      <w:hyperlink w:anchor="_bookmark15" w:history="1">
        <w:r>
          <w:rPr>
            <w:color w:val="2E3092"/>
            <w:sz w:val="17"/>
          </w:rPr>
          <w:t>10</w:t>
        </w:r>
      </w:hyperlink>
      <w:r>
        <w:rPr>
          <w:color w:val="231F20"/>
          <w:sz w:val="17"/>
        </w:rPr>
        <w:t>], Gurusamy 2016 [</w:t>
      </w:r>
      <w:hyperlink w:anchor="_bookmark33" w:history="1">
        <w:r>
          <w:rPr>
            <w:color w:val="2E3092"/>
            <w:sz w:val="17"/>
          </w:rPr>
          <w:t>19</w:t>
        </w:r>
      </w:hyperlink>
      <w:r>
        <w:rPr>
          <w:color w:val="231F20"/>
          <w:sz w:val="17"/>
        </w:rPr>
        <w:t>], Gill 2011 [</w:t>
      </w:r>
      <w:hyperlink w:anchor="_bookmark36" w:history="1">
        <w:r>
          <w:rPr>
            <w:color w:val="2E3092"/>
            <w:sz w:val="17"/>
          </w:rPr>
          <w:t>20</w:t>
        </w:r>
      </w:hyperlink>
      <w:r>
        <w:rPr>
          <w:color w:val="231F20"/>
          <w:sz w:val="17"/>
        </w:rPr>
        <w:t xml:space="preserve">], Hearn 2012 </w:t>
      </w:r>
      <w:r>
        <w:rPr>
          <w:color w:val="231F20"/>
          <w:spacing w:val="44"/>
          <w:sz w:val="17"/>
        </w:rPr>
        <w:t xml:space="preserve"> </w:t>
      </w:r>
      <w:r>
        <w:rPr>
          <w:color w:val="231F20"/>
          <w:sz w:val="17"/>
        </w:rPr>
        <w:t>[</w:t>
      </w:r>
      <w:hyperlink w:anchor="_bookmark38" w:history="1">
        <w:r>
          <w:rPr>
            <w:color w:val="2E3092"/>
            <w:sz w:val="17"/>
          </w:rPr>
          <w:t>21</w:t>
        </w:r>
      </w:hyperlink>
      <w:r>
        <w:rPr>
          <w:color w:val="231F20"/>
          <w:sz w:val="17"/>
        </w:rPr>
        <w:t>],</w:t>
      </w:r>
    </w:p>
    <w:p w:rsidR="002E4A25" w:rsidRDefault="00D74ED8">
      <w:pPr>
        <w:spacing w:line="252" w:lineRule="exact"/>
        <w:ind w:left="1800"/>
        <w:rPr>
          <w:sz w:val="17"/>
        </w:rPr>
      </w:pPr>
      <w:r>
        <w:rPr>
          <w:color w:val="231F20"/>
          <w:w w:val="99"/>
          <w:sz w:val="17"/>
        </w:rPr>
        <w:t>Moore</w:t>
      </w:r>
      <w:r>
        <w:rPr>
          <w:color w:val="231F20"/>
          <w:spacing w:val="9"/>
          <w:sz w:val="17"/>
        </w:rPr>
        <w:t xml:space="preserve"> </w:t>
      </w:r>
      <w:r>
        <w:rPr>
          <w:color w:val="231F20"/>
          <w:w w:val="99"/>
          <w:sz w:val="17"/>
        </w:rPr>
        <w:t>2009</w:t>
      </w:r>
      <w:r>
        <w:rPr>
          <w:color w:val="231F20"/>
          <w:spacing w:val="9"/>
          <w:sz w:val="17"/>
        </w:rPr>
        <w:t xml:space="preserve"> </w:t>
      </w:r>
      <w:r>
        <w:rPr>
          <w:color w:val="231F20"/>
          <w:spacing w:val="-1"/>
          <w:w w:val="101"/>
          <w:sz w:val="17"/>
        </w:rPr>
        <w:t>[</w:t>
      </w:r>
      <w:hyperlink w:anchor="_bookmark14" w:history="1">
        <w:r>
          <w:rPr>
            <w:color w:val="2E3092"/>
            <w:w w:val="99"/>
            <w:sz w:val="17"/>
          </w:rPr>
          <w:t>22</w:t>
        </w:r>
      </w:hyperlink>
      <w:r>
        <w:rPr>
          <w:color w:val="231F20"/>
          <w:w w:val="101"/>
          <w:sz w:val="17"/>
        </w:rPr>
        <w:t>],</w:t>
      </w:r>
      <w:r>
        <w:rPr>
          <w:color w:val="231F20"/>
          <w:spacing w:val="9"/>
          <w:sz w:val="17"/>
        </w:rPr>
        <w:t xml:space="preserve"> </w:t>
      </w:r>
      <w:r>
        <w:rPr>
          <w:color w:val="231F20"/>
          <w:w w:val="99"/>
          <w:sz w:val="17"/>
        </w:rPr>
        <w:t>Moore</w:t>
      </w:r>
      <w:r>
        <w:rPr>
          <w:color w:val="231F20"/>
          <w:spacing w:val="9"/>
          <w:sz w:val="17"/>
        </w:rPr>
        <w:t xml:space="preserve"> </w:t>
      </w:r>
      <w:r>
        <w:rPr>
          <w:color w:val="231F20"/>
          <w:w w:val="99"/>
          <w:sz w:val="17"/>
        </w:rPr>
        <w:t>2014</w:t>
      </w:r>
      <w:r>
        <w:rPr>
          <w:color w:val="231F20"/>
          <w:spacing w:val="9"/>
          <w:sz w:val="17"/>
        </w:rPr>
        <w:t xml:space="preserve"> </w:t>
      </w:r>
      <w:r>
        <w:rPr>
          <w:color w:val="231F20"/>
          <w:spacing w:val="-1"/>
          <w:w w:val="101"/>
          <w:sz w:val="17"/>
        </w:rPr>
        <w:t>[</w:t>
      </w:r>
      <w:hyperlink w:anchor="_bookmark16" w:history="1">
        <w:r>
          <w:rPr>
            <w:color w:val="2E3092"/>
            <w:w w:val="99"/>
            <w:sz w:val="17"/>
          </w:rPr>
          <w:t>2</w:t>
        </w:r>
        <w:r>
          <w:rPr>
            <w:color w:val="2E3092"/>
            <w:spacing w:val="-1"/>
            <w:w w:val="99"/>
            <w:sz w:val="17"/>
          </w:rPr>
          <w:t>3</w:t>
        </w:r>
      </w:hyperlink>
      <w:r>
        <w:rPr>
          <w:color w:val="231F20"/>
          <w:w w:val="101"/>
          <w:sz w:val="17"/>
        </w:rPr>
        <w:t>],</w:t>
      </w:r>
      <w:r>
        <w:rPr>
          <w:color w:val="231F20"/>
          <w:spacing w:val="10"/>
          <w:sz w:val="17"/>
        </w:rPr>
        <w:t xml:space="preserve"> </w:t>
      </w:r>
      <w:r>
        <w:rPr>
          <w:color w:val="231F20"/>
          <w:w w:val="99"/>
          <w:sz w:val="17"/>
        </w:rPr>
        <w:t>Moore</w:t>
      </w:r>
      <w:r>
        <w:rPr>
          <w:color w:val="231F20"/>
          <w:spacing w:val="9"/>
          <w:sz w:val="17"/>
        </w:rPr>
        <w:t xml:space="preserve"> </w:t>
      </w:r>
      <w:r>
        <w:rPr>
          <w:color w:val="231F20"/>
          <w:w w:val="99"/>
          <w:sz w:val="17"/>
        </w:rPr>
        <w:t>2015</w:t>
      </w:r>
      <w:r>
        <w:rPr>
          <w:color w:val="231F20"/>
          <w:spacing w:val="8"/>
          <w:sz w:val="17"/>
        </w:rPr>
        <w:t xml:space="preserve"> </w:t>
      </w:r>
      <w:r>
        <w:rPr>
          <w:color w:val="231F20"/>
          <w:w w:val="101"/>
          <w:sz w:val="17"/>
        </w:rPr>
        <w:t>[</w:t>
      </w:r>
      <w:hyperlink w:anchor="_bookmark18" w:history="1">
        <w:r>
          <w:rPr>
            <w:color w:val="2E3092"/>
            <w:w w:val="99"/>
            <w:sz w:val="17"/>
          </w:rPr>
          <w:t>2</w:t>
        </w:r>
        <w:r>
          <w:rPr>
            <w:color w:val="2E3092"/>
            <w:spacing w:val="-1"/>
            <w:w w:val="99"/>
            <w:sz w:val="17"/>
          </w:rPr>
          <w:t>4</w:t>
        </w:r>
      </w:hyperlink>
      <w:r>
        <w:rPr>
          <w:color w:val="231F20"/>
          <w:w w:val="101"/>
          <w:sz w:val="17"/>
        </w:rPr>
        <w:t>],</w:t>
      </w:r>
      <w:r>
        <w:rPr>
          <w:color w:val="231F20"/>
          <w:spacing w:val="9"/>
          <w:sz w:val="17"/>
        </w:rPr>
        <w:t xml:space="preserve"> </w:t>
      </w:r>
      <w:r>
        <w:rPr>
          <w:color w:val="231F20"/>
          <w:w w:val="99"/>
          <w:sz w:val="17"/>
        </w:rPr>
        <w:t>Mujakpe</w:t>
      </w:r>
      <w:r>
        <w:rPr>
          <w:color w:val="231F20"/>
          <w:spacing w:val="1"/>
          <w:w w:val="99"/>
          <w:sz w:val="17"/>
        </w:rPr>
        <w:t>r</w:t>
      </w:r>
      <w:r>
        <w:rPr>
          <w:color w:val="231F20"/>
          <w:w w:val="99"/>
          <w:sz w:val="17"/>
        </w:rPr>
        <w:t>uo</w:t>
      </w:r>
      <w:r>
        <w:rPr>
          <w:color w:val="231F20"/>
          <w:spacing w:val="10"/>
          <w:sz w:val="17"/>
        </w:rPr>
        <w:t xml:space="preserve"> </w:t>
      </w:r>
      <w:r>
        <w:rPr>
          <w:color w:val="231F20"/>
          <w:w w:val="99"/>
          <w:sz w:val="17"/>
        </w:rPr>
        <w:t>2010</w:t>
      </w:r>
      <w:r>
        <w:rPr>
          <w:color w:val="231F20"/>
          <w:spacing w:val="9"/>
          <w:sz w:val="17"/>
        </w:rPr>
        <w:t xml:space="preserve"> </w:t>
      </w:r>
      <w:r>
        <w:rPr>
          <w:color w:val="231F20"/>
          <w:spacing w:val="-1"/>
          <w:w w:val="101"/>
          <w:sz w:val="17"/>
        </w:rPr>
        <w:t>[</w:t>
      </w:r>
      <w:hyperlink w:anchor="_bookmark19" w:history="1">
        <w:r>
          <w:rPr>
            <w:color w:val="2E3092"/>
            <w:w w:val="99"/>
            <w:sz w:val="17"/>
          </w:rPr>
          <w:t>2</w:t>
        </w:r>
        <w:r>
          <w:rPr>
            <w:color w:val="2E3092"/>
            <w:spacing w:val="-1"/>
            <w:w w:val="99"/>
            <w:sz w:val="17"/>
          </w:rPr>
          <w:t>5</w:t>
        </w:r>
      </w:hyperlink>
      <w:r>
        <w:rPr>
          <w:color w:val="231F20"/>
          <w:w w:val="101"/>
          <w:sz w:val="17"/>
        </w:rPr>
        <w:t>],</w:t>
      </w:r>
      <w:r>
        <w:rPr>
          <w:color w:val="231F20"/>
          <w:spacing w:val="10"/>
          <w:sz w:val="17"/>
        </w:rPr>
        <w:t xml:space="preserve"> </w:t>
      </w:r>
      <w:r>
        <w:rPr>
          <w:color w:val="231F20"/>
          <w:spacing w:val="-104"/>
          <w:w w:val="99"/>
          <w:sz w:val="17"/>
        </w:rPr>
        <w:t>U</w:t>
      </w:r>
      <w:r>
        <w:rPr>
          <w:rFonts w:ascii="SimSun" w:hAnsi="SimSun"/>
          <w:color w:val="231F20"/>
          <w:w w:val="50"/>
          <w:position w:val="5"/>
          <w:sz w:val="17"/>
        </w:rPr>
        <w:t>€</w:t>
      </w:r>
      <w:r>
        <w:rPr>
          <w:rFonts w:ascii="SimSun" w:hAnsi="SimSun"/>
          <w:color w:val="231F20"/>
          <w:spacing w:val="-67"/>
          <w:position w:val="5"/>
          <w:sz w:val="17"/>
        </w:rPr>
        <w:t xml:space="preserve"> </w:t>
      </w:r>
      <w:r>
        <w:rPr>
          <w:color w:val="231F20"/>
          <w:spacing w:val="-58"/>
          <w:sz w:val="17"/>
        </w:rPr>
        <w:t>c</w:t>
      </w:r>
      <w:r>
        <w:rPr>
          <w:color w:val="231F20"/>
          <w:w w:val="99"/>
          <w:sz w:val="17"/>
        </w:rPr>
        <w:t>¸eyler</w:t>
      </w:r>
      <w:r>
        <w:rPr>
          <w:color w:val="231F20"/>
          <w:spacing w:val="8"/>
          <w:sz w:val="17"/>
        </w:rPr>
        <w:t xml:space="preserve"> </w:t>
      </w:r>
      <w:r>
        <w:rPr>
          <w:color w:val="231F20"/>
          <w:w w:val="99"/>
          <w:sz w:val="17"/>
        </w:rPr>
        <w:t>2013</w:t>
      </w:r>
      <w:r>
        <w:rPr>
          <w:color w:val="231F20"/>
          <w:spacing w:val="9"/>
          <w:sz w:val="17"/>
        </w:rPr>
        <w:t xml:space="preserve"> </w:t>
      </w:r>
      <w:r>
        <w:rPr>
          <w:color w:val="231F20"/>
          <w:spacing w:val="-1"/>
          <w:w w:val="101"/>
          <w:sz w:val="17"/>
        </w:rPr>
        <w:t>[</w:t>
      </w:r>
      <w:hyperlink w:anchor="_bookmark21" w:history="1">
        <w:r>
          <w:rPr>
            <w:color w:val="2E3092"/>
            <w:w w:val="99"/>
            <w:sz w:val="17"/>
          </w:rPr>
          <w:t>2</w:t>
        </w:r>
        <w:r>
          <w:rPr>
            <w:color w:val="2E3092"/>
            <w:spacing w:val="-1"/>
            <w:w w:val="99"/>
            <w:sz w:val="17"/>
          </w:rPr>
          <w:t>6</w:t>
        </w:r>
      </w:hyperlink>
      <w:r>
        <w:rPr>
          <w:color w:val="231F20"/>
          <w:w w:val="101"/>
          <w:sz w:val="17"/>
        </w:rPr>
        <w:t>],</w:t>
      </w:r>
    </w:p>
    <w:p w:rsidR="002E4A25" w:rsidRDefault="00D74ED8">
      <w:pPr>
        <w:spacing w:before="25"/>
        <w:ind w:left="1800"/>
        <w:rPr>
          <w:sz w:val="17"/>
        </w:rPr>
      </w:pPr>
      <w:r>
        <w:rPr>
          <w:color w:val="231F20"/>
          <w:sz w:val="17"/>
        </w:rPr>
        <w:t>Wiffen 2013 [</w:t>
      </w:r>
      <w:hyperlink w:anchor="_bookmark23" w:history="1">
        <w:r>
          <w:rPr>
            <w:color w:val="2E3092"/>
            <w:sz w:val="17"/>
          </w:rPr>
          <w:t>27</w:t>
        </w:r>
      </w:hyperlink>
      <w:r>
        <w:rPr>
          <w:color w:val="231F20"/>
          <w:sz w:val="17"/>
        </w:rPr>
        <w:t>], Wiffen 2013 [</w:t>
      </w:r>
      <w:hyperlink w:anchor="_bookmark26" w:history="1">
        <w:r>
          <w:rPr>
            <w:color w:val="2E3092"/>
            <w:sz w:val="17"/>
          </w:rPr>
          <w:t>28</w:t>
        </w:r>
      </w:hyperlink>
      <w:r>
        <w:rPr>
          <w:color w:val="231F20"/>
          <w:sz w:val="17"/>
        </w:rPr>
        <w:t>], Wiffen 2014 [</w:t>
      </w:r>
      <w:hyperlink w:anchor="_bookmark28" w:history="1">
        <w:r>
          <w:rPr>
            <w:color w:val="2E3092"/>
            <w:sz w:val="17"/>
          </w:rPr>
          <w:t>29</w:t>
        </w:r>
      </w:hyperlink>
      <w:r>
        <w:rPr>
          <w:color w:val="231F20"/>
          <w:sz w:val="17"/>
        </w:rPr>
        <w:t>]</w:t>
      </w:r>
    </w:p>
    <w:p w:rsidR="002E4A25" w:rsidRDefault="00D74ED8">
      <w:pPr>
        <w:tabs>
          <w:tab w:val="left" w:pos="1640"/>
        </w:tabs>
        <w:spacing w:before="24"/>
        <w:ind w:left="119"/>
        <w:rPr>
          <w:sz w:val="17"/>
        </w:rPr>
      </w:pPr>
      <w:r>
        <w:rPr>
          <w:color w:val="231F20"/>
          <w:sz w:val="17"/>
        </w:rPr>
        <w:t>Antidepressants</w:t>
      </w:r>
      <w:r>
        <w:rPr>
          <w:color w:val="231F20"/>
          <w:sz w:val="17"/>
        </w:rPr>
        <w:tab/>
        <w:t>Chaparro 2012 [</w:t>
      </w:r>
      <w:hyperlink w:anchor="_bookmark15" w:history="1">
        <w:r>
          <w:rPr>
            <w:color w:val="2E3092"/>
            <w:sz w:val="17"/>
          </w:rPr>
          <w:t>10</w:t>
        </w:r>
      </w:hyperlink>
      <w:r>
        <w:rPr>
          <w:color w:val="231F20"/>
          <w:sz w:val="17"/>
        </w:rPr>
        <w:t>], Cording 2015 [</w:t>
      </w:r>
      <w:hyperlink w:anchor="_bookmark30" w:history="1">
        <w:r>
          <w:rPr>
            <w:color w:val="2E3092"/>
            <w:sz w:val="17"/>
          </w:rPr>
          <w:t>30</w:t>
        </w:r>
      </w:hyperlink>
      <w:r>
        <w:rPr>
          <w:color w:val="231F20"/>
          <w:sz w:val="17"/>
        </w:rPr>
        <w:t>], Derry 20</w:t>
      </w:r>
      <w:r>
        <w:rPr>
          <w:color w:val="231F20"/>
          <w:sz w:val="17"/>
        </w:rPr>
        <w:t>15 [</w:t>
      </w:r>
      <w:hyperlink w:anchor="_bookmark32" w:history="1">
        <w:r>
          <w:rPr>
            <w:color w:val="2E3092"/>
            <w:sz w:val="17"/>
          </w:rPr>
          <w:t>31</w:t>
        </w:r>
      </w:hyperlink>
      <w:r>
        <w:rPr>
          <w:color w:val="231F20"/>
          <w:sz w:val="17"/>
        </w:rPr>
        <w:t>], Derry 2015 [</w:t>
      </w:r>
      <w:hyperlink w:anchor="_bookmark34" w:history="1">
        <w:r>
          <w:rPr>
            <w:color w:val="2E3092"/>
            <w:sz w:val="17"/>
          </w:rPr>
          <w:t>32</w:t>
        </w:r>
      </w:hyperlink>
      <w:r>
        <w:rPr>
          <w:color w:val="231F20"/>
          <w:sz w:val="17"/>
        </w:rPr>
        <w:t xml:space="preserve">], Gallagher 2015  </w:t>
      </w:r>
      <w:r>
        <w:rPr>
          <w:color w:val="231F20"/>
          <w:spacing w:val="3"/>
          <w:sz w:val="17"/>
        </w:rPr>
        <w:t xml:space="preserve"> </w:t>
      </w:r>
      <w:r>
        <w:rPr>
          <w:color w:val="231F20"/>
          <w:sz w:val="17"/>
        </w:rPr>
        <w:t>[</w:t>
      </w:r>
      <w:hyperlink w:anchor="_bookmark35" w:history="1">
        <w:r>
          <w:rPr>
            <w:color w:val="2E3092"/>
            <w:sz w:val="17"/>
          </w:rPr>
          <w:t>33</w:t>
        </w:r>
      </w:hyperlink>
      <w:r>
        <w:rPr>
          <w:color w:val="231F20"/>
          <w:sz w:val="17"/>
        </w:rPr>
        <w:t>],</w:t>
      </w:r>
    </w:p>
    <w:p w:rsidR="002E4A25" w:rsidRDefault="00D74ED8">
      <w:pPr>
        <w:spacing w:before="24"/>
        <w:ind w:left="1800"/>
        <w:rPr>
          <w:sz w:val="17"/>
        </w:rPr>
      </w:pPr>
      <w:r>
        <w:rPr>
          <w:color w:val="231F20"/>
          <w:sz w:val="17"/>
        </w:rPr>
        <w:t>Hauser 2013 [</w:t>
      </w:r>
      <w:hyperlink w:anchor="_bookmark37" w:history="1">
        <w:r>
          <w:rPr>
            <w:color w:val="2E3092"/>
            <w:sz w:val="17"/>
          </w:rPr>
          <w:t>34</w:t>
        </w:r>
      </w:hyperlink>
      <w:r>
        <w:rPr>
          <w:color w:val="231F20"/>
          <w:sz w:val="17"/>
        </w:rPr>
        <w:t>], Hearn 2014 [</w:t>
      </w:r>
      <w:hyperlink w:anchor="_bookmark39" w:history="1">
        <w:r>
          <w:rPr>
            <w:color w:val="2E3092"/>
            <w:sz w:val="17"/>
          </w:rPr>
          <w:t>35</w:t>
        </w:r>
      </w:hyperlink>
      <w:r>
        <w:rPr>
          <w:color w:val="231F20"/>
          <w:sz w:val="17"/>
        </w:rPr>
        <w:t>], Lunn 2014 [</w:t>
      </w:r>
      <w:hyperlink w:anchor="_bookmark41" w:history="1">
        <w:r>
          <w:rPr>
            <w:color w:val="2E3092"/>
            <w:sz w:val="17"/>
          </w:rPr>
          <w:t>36</w:t>
        </w:r>
      </w:hyperlink>
      <w:r>
        <w:rPr>
          <w:color w:val="231F20"/>
          <w:sz w:val="17"/>
        </w:rPr>
        <w:t>], Moore 2015 [</w:t>
      </w:r>
      <w:hyperlink w:anchor="_bookmark43" w:history="1">
        <w:r>
          <w:rPr>
            <w:color w:val="2E3092"/>
            <w:sz w:val="17"/>
          </w:rPr>
          <w:t>37</w:t>
        </w:r>
      </w:hyperlink>
      <w:r>
        <w:rPr>
          <w:color w:val="231F20"/>
          <w:sz w:val="17"/>
        </w:rPr>
        <w:t>], Saarto 2007 [</w:t>
      </w:r>
      <w:hyperlink w:anchor="_bookmark45" w:history="1">
        <w:r>
          <w:rPr>
            <w:color w:val="2E3092"/>
            <w:sz w:val="17"/>
          </w:rPr>
          <w:t>38</w:t>
        </w:r>
      </w:hyperlink>
      <w:r>
        <w:rPr>
          <w:color w:val="231F20"/>
          <w:sz w:val="17"/>
        </w:rPr>
        <w:t>], Tort   2012</w:t>
      </w:r>
    </w:p>
    <w:p w:rsidR="002E4A25" w:rsidRDefault="00D74ED8">
      <w:pPr>
        <w:spacing w:before="24"/>
        <w:ind w:left="1800"/>
        <w:rPr>
          <w:sz w:val="17"/>
        </w:rPr>
      </w:pPr>
      <w:r>
        <w:rPr>
          <w:color w:val="231F20"/>
          <w:sz w:val="17"/>
        </w:rPr>
        <w:t>[</w:t>
      </w:r>
      <w:hyperlink w:anchor="_bookmark47" w:history="1">
        <w:r>
          <w:rPr>
            <w:color w:val="2E3092"/>
            <w:sz w:val="17"/>
          </w:rPr>
          <w:t>39</w:t>
        </w:r>
      </w:hyperlink>
      <w:r>
        <w:rPr>
          <w:color w:val="231F20"/>
          <w:sz w:val="17"/>
        </w:rPr>
        <w:t>], Urquhart 2008 [</w:t>
      </w:r>
      <w:hyperlink w:anchor="_bookmark49" w:history="1">
        <w:r>
          <w:rPr>
            <w:color w:val="2E3092"/>
            <w:sz w:val="17"/>
          </w:rPr>
          <w:t>40</w:t>
        </w:r>
      </w:hyperlink>
      <w:r>
        <w:rPr>
          <w:color w:val="231F20"/>
          <w:sz w:val="17"/>
        </w:rPr>
        <w:t>], Walitt 2015 [</w:t>
      </w:r>
      <w:hyperlink w:anchor="_bookmark50" w:history="1">
        <w:r>
          <w:rPr>
            <w:color w:val="2E3092"/>
            <w:sz w:val="17"/>
          </w:rPr>
          <w:t>41</w:t>
        </w:r>
      </w:hyperlink>
      <w:r>
        <w:rPr>
          <w:color w:val="231F20"/>
          <w:sz w:val="17"/>
        </w:rPr>
        <w:t>]</w:t>
      </w:r>
    </w:p>
    <w:p w:rsidR="002E4A25" w:rsidRDefault="00D74ED8">
      <w:pPr>
        <w:tabs>
          <w:tab w:val="left" w:pos="1640"/>
        </w:tabs>
        <w:spacing w:before="24"/>
        <w:ind w:left="119"/>
        <w:rPr>
          <w:sz w:val="17"/>
        </w:rPr>
      </w:pPr>
      <w:r>
        <w:rPr>
          <w:color w:val="231F20"/>
          <w:sz w:val="17"/>
        </w:rPr>
        <w:t>NSAIDs</w:t>
      </w:r>
      <w:r>
        <w:rPr>
          <w:color w:val="231F20"/>
          <w:sz w:val="17"/>
        </w:rPr>
        <w:tab/>
        <w:t>Garner 2005 [</w:t>
      </w:r>
      <w:hyperlink w:anchor="_bookmark53" w:history="1">
        <w:r>
          <w:rPr>
            <w:color w:val="2E3092"/>
            <w:sz w:val="17"/>
          </w:rPr>
          <w:t>42</w:t>
        </w:r>
      </w:hyperlink>
      <w:r>
        <w:rPr>
          <w:color w:val="231F20"/>
          <w:sz w:val="17"/>
        </w:rPr>
        <w:t>], Moore 2015 [</w:t>
      </w:r>
      <w:hyperlink w:anchor="_bookmark54" w:history="1">
        <w:r>
          <w:rPr>
            <w:color w:val="2E3092"/>
            <w:sz w:val="17"/>
          </w:rPr>
          <w:t>43</w:t>
        </w:r>
      </w:hyperlink>
      <w:r>
        <w:rPr>
          <w:color w:val="231F20"/>
          <w:sz w:val="17"/>
        </w:rPr>
        <w:t>], Mujakperuo 2010 [</w:t>
      </w:r>
      <w:hyperlink w:anchor="_bookmark19" w:history="1">
        <w:r>
          <w:rPr>
            <w:color w:val="2E3092"/>
            <w:sz w:val="17"/>
          </w:rPr>
          <w:t>25</w:t>
        </w:r>
      </w:hyperlink>
      <w:r>
        <w:rPr>
          <w:color w:val="231F20"/>
          <w:sz w:val="17"/>
        </w:rPr>
        <w:t>], Roelofs 2008 [</w:t>
      </w:r>
      <w:hyperlink w:anchor="_bookmark55" w:history="1">
        <w:r>
          <w:rPr>
            <w:color w:val="2E3092"/>
            <w:sz w:val="17"/>
          </w:rPr>
          <w:t>44</w:t>
        </w:r>
      </w:hyperlink>
      <w:r>
        <w:rPr>
          <w:color w:val="231F20"/>
          <w:sz w:val="17"/>
        </w:rPr>
        <w:t xml:space="preserve">], Derry 2012  </w:t>
      </w:r>
      <w:r>
        <w:rPr>
          <w:color w:val="231F20"/>
          <w:spacing w:val="5"/>
          <w:sz w:val="17"/>
        </w:rPr>
        <w:t xml:space="preserve"> </w:t>
      </w:r>
      <w:r>
        <w:rPr>
          <w:color w:val="231F20"/>
          <w:sz w:val="17"/>
        </w:rPr>
        <w:t>[</w:t>
      </w:r>
      <w:hyperlink w:anchor="_bookmark57" w:history="1">
        <w:r>
          <w:rPr>
            <w:color w:val="2E3092"/>
            <w:sz w:val="17"/>
          </w:rPr>
          <w:t>45</w:t>
        </w:r>
      </w:hyperlink>
      <w:r>
        <w:rPr>
          <w:color w:val="231F20"/>
          <w:sz w:val="17"/>
        </w:rPr>
        <w:t>],</w:t>
      </w:r>
    </w:p>
    <w:p w:rsidR="002E4A25" w:rsidRDefault="00D74ED8">
      <w:pPr>
        <w:spacing w:before="24"/>
        <w:ind w:left="1800"/>
        <w:rPr>
          <w:sz w:val="17"/>
        </w:rPr>
      </w:pPr>
      <w:r>
        <w:rPr>
          <w:color w:val="231F20"/>
          <w:sz w:val="17"/>
        </w:rPr>
        <w:t>Derry 2014 [</w:t>
      </w:r>
      <w:hyperlink w:anchor="_bookmark60" w:history="1">
        <w:r>
          <w:rPr>
            <w:color w:val="2E3092"/>
            <w:sz w:val="17"/>
          </w:rPr>
          <w:t>46</w:t>
        </w:r>
      </w:hyperlink>
      <w:r>
        <w:rPr>
          <w:color w:val="231F20"/>
          <w:sz w:val="17"/>
        </w:rPr>
        <w:t>]</w:t>
      </w:r>
    </w:p>
    <w:p w:rsidR="002E4A25" w:rsidRDefault="00D74ED8">
      <w:pPr>
        <w:tabs>
          <w:tab w:val="left" w:pos="1640"/>
        </w:tabs>
        <w:spacing w:before="24"/>
        <w:ind w:left="119"/>
        <w:rPr>
          <w:sz w:val="17"/>
        </w:rPr>
      </w:pPr>
      <w:r>
        <w:rPr>
          <w:color w:val="231F20"/>
          <w:sz w:val="17"/>
        </w:rPr>
        <w:t>Behavioral</w:t>
      </w:r>
      <w:r>
        <w:rPr>
          <w:color w:val="231F20"/>
          <w:sz w:val="17"/>
        </w:rPr>
        <w:tab/>
        <w:t>Anie 2015 [</w:t>
      </w:r>
      <w:hyperlink w:anchor="_bookmark62" w:history="1">
        <w:r>
          <w:rPr>
            <w:color w:val="2E3092"/>
            <w:sz w:val="17"/>
          </w:rPr>
          <w:t>47</w:t>
        </w:r>
      </w:hyperlink>
      <w:r>
        <w:rPr>
          <w:color w:val="231F20"/>
          <w:sz w:val="17"/>
        </w:rPr>
        <w:t>], Bernardy 2013 [</w:t>
      </w:r>
      <w:hyperlink w:anchor="_bookmark40" w:history="1">
        <w:r>
          <w:rPr>
            <w:color w:val="2E3092"/>
            <w:sz w:val="17"/>
          </w:rPr>
          <w:t>48</w:t>
        </w:r>
      </w:hyperlink>
      <w:r>
        <w:rPr>
          <w:color w:val="231F20"/>
          <w:sz w:val="17"/>
        </w:rPr>
        <w:t>], Boldt 2014 [</w:t>
      </w:r>
      <w:hyperlink w:anchor="_bookmark42" w:history="1">
        <w:r>
          <w:rPr>
            <w:color w:val="2E3092"/>
            <w:sz w:val="17"/>
          </w:rPr>
          <w:t>49</w:t>
        </w:r>
      </w:hyperlink>
      <w:r>
        <w:rPr>
          <w:color w:val="231F20"/>
          <w:sz w:val="17"/>
        </w:rPr>
        <w:t>], Eccleston 2014 [</w:t>
      </w:r>
      <w:hyperlink w:anchor="_bookmark44" w:history="1">
        <w:r>
          <w:rPr>
            <w:color w:val="2E3092"/>
            <w:sz w:val="17"/>
          </w:rPr>
          <w:t>50</w:t>
        </w:r>
      </w:hyperlink>
      <w:r>
        <w:rPr>
          <w:color w:val="231F20"/>
          <w:sz w:val="17"/>
        </w:rPr>
        <w:t xml:space="preserve">], Eccleston 2014  </w:t>
      </w:r>
      <w:r>
        <w:rPr>
          <w:color w:val="231F20"/>
          <w:spacing w:val="2"/>
          <w:sz w:val="17"/>
        </w:rPr>
        <w:t xml:space="preserve"> </w:t>
      </w:r>
      <w:r>
        <w:rPr>
          <w:color w:val="231F20"/>
          <w:sz w:val="17"/>
        </w:rPr>
        <w:t>[</w:t>
      </w:r>
      <w:hyperlink w:anchor="_bookmark46" w:history="1">
        <w:r>
          <w:rPr>
            <w:color w:val="2E3092"/>
            <w:sz w:val="17"/>
          </w:rPr>
          <w:t>51</w:t>
        </w:r>
      </w:hyperlink>
      <w:r>
        <w:rPr>
          <w:color w:val="231F20"/>
          <w:sz w:val="17"/>
        </w:rPr>
        <w:t>],</w:t>
      </w:r>
    </w:p>
    <w:p w:rsidR="002E4A25" w:rsidRDefault="00D74ED8">
      <w:pPr>
        <w:spacing w:before="24"/>
        <w:ind w:left="1800"/>
        <w:rPr>
          <w:sz w:val="17"/>
        </w:rPr>
      </w:pPr>
      <w:r>
        <w:rPr>
          <w:color w:val="231F20"/>
          <w:sz w:val="17"/>
        </w:rPr>
        <w:t>Fisher 2015 [</w:t>
      </w:r>
      <w:hyperlink w:anchor="_bookmark48" w:history="1">
        <w:r>
          <w:rPr>
            <w:color w:val="2E3092"/>
            <w:sz w:val="17"/>
          </w:rPr>
          <w:t>52</w:t>
        </w:r>
      </w:hyperlink>
      <w:r>
        <w:rPr>
          <w:color w:val="231F20"/>
          <w:sz w:val="17"/>
        </w:rPr>
        <w:t>], Henschke 2010 [</w:t>
      </w:r>
      <w:hyperlink w:anchor="_bookmark51" w:history="1">
        <w:r>
          <w:rPr>
            <w:color w:val="2E3092"/>
            <w:sz w:val="17"/>
          </w:rPr>
          <w:t>53</w:t>
        </w:r>
      </w:hyperlink>
      <w:r>
        <w:rPr>
          <w:color w:val="231F20"/>
          <w:sz w:val="17"/>
        </w:rPr>
        <w:t>], Kamper 2014 [</w:t>
      </w:r>
      <w:hyperlink w:anchor="_bookmark52" w:history="1">
        <w:r>
          <w:rPr>
            <w:color w:val="2E3092"/>
            <w:sz w:val="17"/>
          </w:rPr>
          <w:t>54</w:t>
        </w:r>
      </w:hyperlink>
      <w:r>
        <w:rPr>
          <w:color w:val="231F20"/>
          <w:sz w:val="17"/>
        </w:rPr>
        <w:t>], Karjalainen 1999 [</w:t>
      </w:r>
      <w:hyperlink w:anchor="_bookmark56" w:history="1">
        <w:r>
          <w:rPr>
            <w:color w:val="2E3092"/>
            <w:sz w:val="17"/>
          </w:rPr>
          <w:t>55</w:t>
        </w:r>
      </w:hyperlink>
      <w:r>
        <w:rPr>
          <w:color w:val="231F20"/>
          <w:sz w:val="17"/>
        </w:rPr>
        <w:t>], Karjalainen  2003</w:t>
      </w:r>
    </w:p>
    <w:p w:rsidR="002E4A25" w:rsidRDefault="00D74ED8">
      <w:pPr>
        <w:spacing w:before="24"/>
        <w:ind w:left="1800"/>
        <w:rPr>
          <w:sz w:val="17"/>
        </w:rPr>
      </w:pPr>
      <w:r>
        <w:rPr>
          <w:color w:val="231F20"/>
          <w:sz w:val="17"/>
        </w:rPr>
        <w:t>[</w:t>
      </w:r>
      <w:hyperlink w:anchor="_bookmark58" w:history="1">
        <w:r>
          <w:rPr>
            <w:color w:val="2E3092"/>
            <w:sz w:val="17"/>
          </w:rPr>
          <w:t>56</w:t>
        </w:r>
      </w:hyperlink>
      <w:r>
        <w:rPr>
          <w:color w:val="231F20"/>
          <w:sz w:val="17"/>
        </w:rPr>
        <w:t>], Monticone 2015 [</w:t>
      </w:r>
      <w:hyperlink w:anchor="_bookmark59" w:history="1">
        <w:r>
          <w:rPr>
            <w:color w:val="2E3092"/>
            <w:sz w:val="17"/>
          </w:rPr>
          <w:t>57</w:t>
        </w:r>
      </w:hyperlink>
      <w:r>
        <w:rPr>
          <w:color w:val="231F20"/>
          <w:sz w:val="17"/>
        </w:rPr>
        <w:t>], Price 2008 [</w:t>
      </w:r>
      <w:hyperlink w:anchor="_bookmark61" w:history="1">
        <w:r>
          <w:rPr>
            <w:color w:val="2E3092"/>
            <w:sz w:val="17"/>
          </w:rPr>
          <w:t>58</w:t>
        </w:r>
      </w:hyperlink>
      <w:r>
        <w:rPr>
          <w:color w:val="231F20"/>
          <w:sz w:val="17"/>
        </w:rPr>
        <w:t>], Theadom 2015 [</w:t>
      </w:r>
      <w:hyperlink w:anchor="_bookmark63" w:history="1">
        <w:r>
          <w:rPr>
            <w:color w:val="2E3092"/>
            <w:sz w:val="17"/>
          </w:rPr>
          <w:t>59</w:t>
        </w:r>
      </w:hyperlink>
      <w:r>
        <w:rPr>
          <w:color w:val="231F20"/>
          <w:sz w:val="17"/>
        </w:rPr>
        <w:t>], Williams 2012  [</w:t>
      </w:r>
      <w:hyperlink w:anchor="_bookmark64" w:history="1">
        <w:r>
          <w:rPr>
            <w:color w:val="2E3092"/>
            <w:sz w:val="17"/>
          </w:rPr>
          <w:t>60</w:t>
        </w:r>
      </w:hyperlink>
      <w:r>
        <w:rPr>
          <w:color w:val="231F20"/>
          <w:sz w:val="17"/>
        </w:rPr>
        <w:t>]</w:t>
      </w:r>
    </w:p>
    <w:p w:rsidR="002E4A25" w:rsidRDefault="00D74ED8">
      <w:pPr>
        <w:pStyle w:val="BodyText"/>
        <w:spacing w:before="2"/>
        <w:rPr>
          <w:sz w:val="12"/>
        </w:rPr>
      </w:pPr>
      <w:r>
        <w:pict>
          <v:line id="_x0000_s1063" style="position:absolute;z-index:251652608;mso-wrap-distance-left:0;mso-wrap-distance-right:0;mso-position-horizontal-relative:page" from="74pt,9.05pt" to="534pt,9.05pt" strokecolor="#231f20" strokeweight=".08mm">
            <w10:wrap type="topAndBottom" anchorx="page"/>
          </v:line>
        </w:pict>
      </w:r>
    </w:p>
    <w:p w:rsidR="002E4A25" w:rsidRDefault="00D74ED8">
      <w:pPr>
        <w:spacing w:before="21" w:line="261" w:lineRule="auto"/>
        <w:ind w:left="119" w:right="188"/>
        <w:rPr>
          <w:sz w:val="16"/>
        </w:rPr>
      </w:pPr>
      <w:r>
        <w:rPr>
          <w:color w:val="231F20"/>
          <w:sz w:val="16"/>
        </w:rPr>
        <w:t xml:space="preserve">See text for full explanation of retrieval process. Note that </w:t>
      </w:r>
      <w:hyperlink w:anchor="_bookmark15" w:history="1">
        <w:r>
          <w:rPr>
            <w:color w:val="2E3092"/>
            <w:sz w:val="16"/>
          </w:rPr>
          <w:t>Chapparo 2012 [11]</w:t>
        </w:r>
      </w:hyperlink>
      <w:r>
        <w:rPr>
          <w:color w:val="2E3092"/>
          <w:sz w:val="16"/>
        </w:rPr>
        <w:t xml:space="preserve"> </w:t>
      </w:r>
      <w:r>
        <w:rPr>
          <w:color w:val="231F20"/>
          <w:sz w:val="16"/>
        </w:rPr>
        <w:t xml:space="preserve">is cited under opioids as well as anticonvulsants and antidepressants, and </w:t>
      </w:r>
      <w:hyperlink w:anchor="_bookmark19" w:history="1">
        <w:r>
          <w:rPr>
            <w:color w:val="2E3092"/>
            <w:sz w:val="16"/>
          </w:rPr>
          <w:t>Mujakperuo 2010 [25]</w:t>
        </w:r>
      </w:hyperlink>
      <w:r>
        <w:rPr>
          <w:color w:val="2E3092"/>
          <w:sz w:val="16"/>
        </w:rPr>
        <w:t xml:space="preserve"> </w:t>
      </w:r>
      <w:r>
        <w:rPr>
          <w:color w:val="231F20"/>
          <w:sz w:val="16"/>
        </w:rPr>
        <w:t>is cited under NSAIDs as well as  anticonvulsants.</w:t>
      </w:r>
    </w:p>
    <w:p w:rsidR="002E4A25" w:rsidRDefault="002E4A25">
      <w:pPr>
        <w:pStyle w:val="BodyText"/>
        <w:rPr>
          <w:sz w:val="20"/>
        </w:rPr>
      </w:pPr>
    </w:p>
    <w:p w:rsidR="002E4A25" w:rsidRDefault="002E4A25">
      <w:pPr>
        <w:pStyle w:val="BodyText"/>
        <w:spacing w:before="3"/>
      </w:pPr>
    </w:p>
    <w:p w:rsidR="002E4A25" w:rsidRDefault="002E4A25">
      <w:pPr>
        <w:sectPr w:rsidR="002E4A25">
          <w:pgSz w:w="11880" w:h="15660"/>
          <w:pgMar w:top="1260" w:right="1000" w:bottom="880" w:left="1360" w:header="1068" w:footer="688" w:gutter="0"/>
          <w:cols w:space="720"/>
        </w:sectPr>
      </w:pPr>
    </w:p>
    <w:p w:rsidR="002E4A25" w:rsidRDefault="00D74ED8">
      <w:pPr>
        <w:pStyle w:val="BodyText"/>
        <w:spacing w:before="75" w:line="244" w:lineRule="auto"/>
        <w:ind w:left="119"/>
        <w:jc w:val="both"/>
      </w:pPr>
      <w:r>
        <w:pict>
          <v:shape id="_x0000_s1062" type="#_x0000_t202" style="position:absolute;left:0;text-align:left;margin-left:574.25pt;margin-top:245.3pt;width:10.9pt;height:293.3pt;z-index:251653632;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16">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r>
        <w:rPr>
          <w:color w:val="231F20"/>
        </w:rPr>
        <w:t>histograms</w:t>
      </w:r>
      <w:r>
        <w:rPr>
          <w:color w:val="231F20"/>
          <w:spacing w:val="-7"/>
        </w:rPr>
        <w:t xml:space="preserve"> </w:t>
      </w:r>
      <w:r>
        <w:rPr>
          <w:color w:val="231F20"/>
        </w:rPr>
        <w:t>by</w:t>
      </w:r>
      <w:r>
        <w:rPr>
          <w:color w:val="231F20"/>
          <w:spacing w:val="-7"/>
        </w:rPr>
        <w:t xml:space="preserve"> </w:t>
      </w:r>
      <w:r>
        <w:rPr>
          <w:color w:val="231F20"/>
        </w:rPr>
        <w:t>vi</w:t>
      </w:r>
      <w:r>
        <w:rPr>
          <w:color w:val="231F20"/>
        </w:rPr>
        <w:t>rtue</w:t>
      </w:r>
      <w:r>
        <w:rPr>
          <w:color w:val="231F20"/>
          <w:spacing w:val="-7"/>
        </w:rPr>
        <w:t xml:space="preserve"> </w:t>
      </w:r>
      <w:r>
        <w:rPr>
          <w:color w:val="231F20"/>
        </w:rPr>
        <w:t>of</w:t>
      </w:r>
      <w:r>
        <w:rPr>
          <w:color w:val="231F20"/>
          <w:spacing w:val="-7"/>
        </w:rPr>
        <w:t xml:space="preserve"> </w:t>
      </w:r>
      <w:r>
        <w:rPr>
          <w:color w:val="231F20"/>
        </w:rPr>
        <w:t>lengthening</w:t>
      </w:r>
      <w:r>
        <w:rPr>
          <w:color w:val="231F20"/>
          <w:spacing w:val="-6"/>
        </w:rPr>
        <w:t xml:space="preserve"> </w:t>
      </w:r>
      <w:r>
        <w:rPr>
          <w:color w:val="231F20"/>
        </w:rPr>
        <w:t>the</w:t>
      </w:r>
      <w:r>
        <w:rPr>
          <w:color w:val="231F20"/>
          <w:spacing w:val="-7"/>
        </w:rPr>
        <w:t xml:space="preserve"> </w:t>
      </w:r>
      <w:r>
        <w:rPr>
          <w:color w:val="231F20"/>
        </w:rPr>
        <w:t>x-axis</w:t>
      </w:r>
      <w:r>
        <w:rPr>
          <w:color w:val="231F20"/>
          <w:spacing w:val="-7"/>
        </w:rPr>
        <w:t xml:space="preserve"> </w:t>
      </w:r>
      <w:r>
        <w:rPr>
          <w:color w:val="231F20"/>
        </w:rPr>
        <w:t>in</w:t>
      </w:r>
      <w:r>
        <w:rPr>
          <w:color w:val="231F20"/>
          <w:spacing w:val="-7"/>
        </w:rPr>
        <w:t xml:space="preserve"> </w:t>
      </w:r>
      <w:r>
        <w:rPr>
          <w:color w:val="231F20"/>
        </w:rPr>
        <w:t>order</w:t>
      </w:r>
      <w:r>
        <w:rPr>
          <w:color w:val="231F20"/>
          <w:spacing w:val="-6"/>
        </w:rPr>
        <w:t xml:space="preserve"> </w:t>
      </w:r>
      <w:r>
        <w:rPr>
          <w:color w:val="231F20"/>
        </w:rPr>
        <w:t xml:space="preserve">to capture the very few trials in which active treatment ex- tended beyond a year, we truncated the x-axes in </w:t>
      </w:r>
      <w:hyperlink w:anchor="_bookmark2" w:history="1">
        <w:r>
          <w:rPr>
            <w:color w:val="2E3092"/>
          </w:rPr>
          <w:t>Figure 1</w:t>
        </w:r>
      </w:hyperlink>
      <w:r>
        <w:rPr>
          <w:color w:val="2E3092"/>
        </w:rPr>
        <w:t xml:space="preserve"> </w:t>
      </w:r>
      <w:r>
        <w:rPr>
          <w:color w:val="231F20"/>
        </w:rPr>
        <w:t>at 15</w:t>
      </w:r>
      <w:r>
        <w:rPr>
          <w:color w:val="231F20"/>
          <w:spacing w:val="-11"/>
        </w:rPr>
        <w:t xml:space="preserve"> </w:t>
      </w:r>
      <w:r>
        <w:rPr>
          <w:color w:val="231F20"/>
        </w:rPr>
        <w:t>months.</w:t>
      </w:r>
    </w:p>
    <w:p w:rsidR="002E4A25" w:rsidRDefault="002E4A25">
      <w:pPr>
        <w:pStyle w:val="BodyText"/>
      </w:pPr>
    </w:p>
    <w:p w:rsidR="002E4A25" w:rsidRDefault="00D74ED8">
      <w:pPr>
        <w:pStyle w:val="BodyText"/>
        <w:spacing w:before="1" w:line="244" w:lineRule="auto"/>
        <w:ind w:left="119"/>
        <w:jc w:val="both"/>
      </w:pPr>
      <w:r>
        <w:rPr>
          <w:color w:val="231F20"/>
        </w:rPr>
        <w:t xml:space="preserve">We noted that the distribution of the opioid trials </w:t>
      </w:r>
      <w:r>
        <w:rPr>
          <w:color w:val="231F20"/>
        </w:rPr>
        <w:t>excluded from the 2014 AHRQ report appeared to be an overdispersed Poisson distribution. We therefore fit- ted the plots of active treatment durations vs number of trials using binomial distributions so as to smooth the curves and facilitate visual compari</w:t>
      </w:r>
      <w:r>
        <w:rPr>
          <w:color w:val="231F20"/>
        </w:rPr>
        <w:t>sons with the refer- ence</w:t>
      </w:r>
      <w:r>
        <w:rPr>
          <w:color w:val="231F20"/>
          <w:spacing w:val="-6"/>
        </w:rPr>
        <w:t xml:space="preserve"> </w:t>
      </w:r>
      <w:r>
        <w:rPr>
          <w:color w:val="231F20"/>
        </w:rPr>
        <w:t>distribution,</w:t>
      </w:r>
      <w:r>
        <w:rPr>
          <w:color w:val="231F20"/>
          <w:spacing w:val="-6"/>
        </w:rPr>
        <w:t xml:space="preserve"> </w:t>
      </w:r>
      <w:r>
        <w:rPr>
          <w:color w:val="231F20"/>
        </w:rPr>
        <w:t>i.e.,</w:t>
      </w:r>
      <w:r>
        <w:rPr>
          <w:color w:val="231F20"/>
          <w:spacing w:val="-6"/>
        </w:rPr>
        <w:t xml:space="preserve"> </w:t>
      </w:r>
      <w:r>
        <w:rPr>
          <w:color w:val="231F20"/>
        </w:rPr>
        <w:t>the</w:t>
      </w:r>
      <w:r>
        <w:rPr>
          <w:color w:val="231F20"/>
          <w:spacing w:val="-6"/>
        </w:rPr>
        <w:t xml:space="preserve"> </w:t>
      </w:r>
      <w:r>
        <w:rPr>
          <w:color w:val="231F20"/>
        </w:rPr>
        <w:t>opioid</w:t>
      </w:r>
      <w:r>
        <w:rPr>
          <w:color w:val="231F20"/>
          <w:spacing w:val="-6"/>
        </w:rPr>
        <w:t xml:space="preserve"> </w:t>
      </w:r>
      <w:r>
        <w:rPr>
          <w:color w:val="231F20"/>
        </w:rPr>
        <w:t>studies</w:t>
      </w:r>
      <w:r>
        <w:rPr>
          <w:color w:val="231F20"/>
          <w:spacing w:val="-6"/>
        </w:rPr>
        <w:t xml:space="preserve"> </w:t>
      </w:r>
      <w:r>
        <w:rPr>
          <w:color w:val="231F20"/>
        </w:rPr>
        <w:t>retrieved</w:t>
      </w:r>
      <w:r>
        <w:rPr>
          <w:color w:val="231F20"/>
          <w:spacing w:val="-6"/>
        </w:rPr>
        <w:t xml:space="preserve"> </w:t>
      </w:r>
      <w:r>
        <w:rPr>
          <w:color w:val="231F20"/>
        </w:rPr>
        <w:t>for</w:t>
      </w:r>
      <w:r>
        <w:rPr>
          <w:color w:val="231F20"/>
          <w:spacing w:val="-6"/>
        </w:rPr>
        <w:t xml:space="preserve"> </w:t>
      </w:r>
      <w:r>
        <w:rPr>
          <w:color w:val="231F20"/>
        </w:rPr>
        <w:t>the 2014 AHRQ opioid evidence report but not selected  due to their “inadequate duration.” Comparisons of the 2014 AHRQ opioid trial number-vs-duration distribution with the other modalities commonly employed to treat chronic</w:t>
      </w:r>
      <w:r>
        <w:rPr>
          <w:color w:val="231F20"/>
          <w:spacing w:val="-9"/>
        </w:rPr>
        <w:t xml:space="preserve"> </w:t>
      </w:r>
      <w:r>
        <w:rPr>
          <w:color w:val="231F20"/>
        </w:rPr>
        <w:t>pain</w:t>
      </w:r>
      <w:r>
        <w:rPr>
          <w:color w:val="231F20"/>
          <w:spacing w:val="-10"/>
        </w:rPr>
        <w:t xml:space="preserve"> </w:t>
      </w:r>
      <w:r>
        <w:rPr>
          <w:color w:val="231F20"/>
        </w:rPr>
        <w:t>are</w:t>
      </w:r>
      <w:r>
        <w:rPr>
          <w:color w:val="231F20"/>
          <w:spacing w:val="-10"/>
        </w:rPr>
        <w:t xml:space="preserve"> </w:t>
      </w:r>
      <w:r>
        <w:rPr>
          <w:color w:val="231F20"/>
        </w:rPr>
        <w:t>displayed</w:t>
      </w:r>
      <w:r>
        <w:rPr>
          <w:color w:val="231F20"/>
          <w:spacing w:val="-9"/>
        </w:rPr>
        <w:t xml:space="preserve"> </w:t>
      </w:r>
      <w:r>
        <w:rPr>
          <w:color w:val="231F20"/>
        </w:rPr>
        <w:t>in</w:t>
      </w:r>
      <w:r>
        <w:rPr>
          <w:color w:val="231F20"/>
          <w:spacing w:val="-10"/>
        </w:rPr>
        <w:t xml:space="preserve"> </w:t>
      </w:r>
      <w:hyperlink w:anchor="_bookmark3" w:history="1">
        <w:r>
          <w:rPr>
            <w:color w:val="2E3092"/>
          </w:rPr>
          <w:t>Figure</w:t>
        </w:r>
        <w:r>
          <w:rPr>
            <w:color w:val="2E3092"/>
            <w:spacing w:val="-10"/>
          </w:rPr>
          <w:t xml:space="preserve"> </w:t>
        </w:r>
        <w:r>
          <w:rPr>
            <w:color w:val="2E3092"/>
          </w:rPr>
          <w:t>2</w:t>
        </w:r>
      </w:hyperlink>
      <w:r>
        <w:rPr>
          <w:color w:val="231F20"/>
        </w:rPr>
        <w:t>.</w:t>
      </w:r>
    </w:p>
    <w:p w:rsidR="002E4A25" w:rsidRDefault="002E4A25">
      <w:pPr>
        <w:pStyle w:val="BodyText"/>
        <w:spacing w:before="1"/>
      </w:pPr>
    </w:p>
    <w:p w:rsidR="002E4A25" w:rsidRDefault="00D74ED8">
      <w:pPr>
        <w:pStyle w:val="BodyText"/>
        <w:spacing w:line="244" w:lineRule="auto"/>
        <w:ind w:left="119"/>
        <w:jc w:val="both"/>
      </w:pPr>
      <w:hyperlink w:anchor="_bookmark4" w:history="1">
        <w:r>
          <w:rPr>
            <w:color w:val="2E3092"/>
          </w:rPr>
          <w:t>Table 3</w:t>
        </w:r>
      </w:hyperlink>
      <w:r>
        <w:rPr>
          <w:color w:val="2E3092"/>
        </w:rPr>
        <w:t xml:space="preserve"> </w:t>
      </w:r>
      <w:r>
        <w:rPr>
          <w:color w:val="231F20"/>
        </w:rPr>
        <w:t xml:space="preserve">provides quantitative comparisons of the data presented visually in </w:t>
      </w:r>
      <w:hyperlink w:anchor="_bookmark2" w:history="1">
        <w:r>
          <w:rPr>
            <w:color w:val="2E3092"/>
          </w:rPr>
          <w:t>Figures 1</w:t>
        </w:r>
      </w:hyperlink>
      <w:r>
        <w:rPr>
          <w:color w:val="2E3092"/>
        </w:rPr>
        <w:t xml:space="preserve"> </w:t>
      </w:r>
      <w:r>
        <w:rPr>
          <w:color w:val="231F20"/>
        </w:rPr>
        <w:t xml:space="preserve">and </w:t>
      </w:r>
      <w:hyperlink w:anchor="_bookmark3" w:history="1">
        <w:r>
          <w:rPr>
            <w:color w:val="2E3092"/>
          </w:rPr>
          <w:t>2</w:t>
        </w:r>
      </w:hyperlink>
      <w:r>
        <w:rPr>
          <w:color w:val="231F20"/>
        </w:rPr>
        <w:t xml:space="preserve">. The results pre- sented in </w:t>
      </w:r>
      <w:hyperlink w:anchor="_bookmark4" w:history="1">
        <w:r>
          <w:rPr>
            <w:color w:val="2E3092"/>
          </w:rPr>
          <w:t>Table 3</w:t>
        </w:r>
      </w:hyperlink>
      <w:r>
        <w:rPr>
          <w:color w:val="2E3092"/>
        </w:rPr>
        <w:t xml:space="preserve"> </w:t>
      </w:r>
      <w:r>
        <w:rPr>
          <w:color w:val="231F20"/>
        </w:rPr>
        <w:t>indicate that the durations of the ac- tive interventions in trials of anticonvulsants and behavioral therapies, although numerically shorter than those for opioid trials excluded from the 2014 AHRQ</w:t>
      </w:r>
      <w:r>
        <w:rPr>
          <w:color w:val="231F20"/>
          <w:spacing w:val="-15"/>
        </w:rPr>
        <w:t xml:space="preserve"> </w:t>
      </w:r>
      <w:r>
        <w:rPr>
          <w:color w:val="231F20"/>
        </w:rPr>
        <w:t xml:space="preserve">re- view, are not statistically </w:t>
      </w:r>
      <w:r>
        <w:rPr>
          <w:color w:val="231F20"/>
        </w:rPr>
        <w:t>significantly shorter. On the other</w:t>
      </w:r>
      <w:r>
        <w:rPr>
          <w:color w:val="231F20"/>
          <w:spacing w:val="26"/>
        </w:rPr>
        <w:t xml:space="preserve"> </w:t>
      </w:r>
      <w:r>
        <w:rPr>
          <w:color w:val="231F20"/>
        </w:rPr>
        <w:t>hand,</w:t>
      </w:r>
      <w:r>
        <w:rPr>
          <w:color w:val="231F20"/>
          <w:spacing w:val="27"/>
        </w:rPr>
        <w:t xml:space="preserve"> </w:t>
      </w:r>
      <w:r>
        <w:rPr>
          <w:color w:val="231F20"/>
        </w:rPr>
        <w:t>the</w:t>
      </w:r>
      <w:r>
        <w:rPr>
          <w:color w:val="231F20"/>
          <w:spacing w:val="26"/>
        </w:rPr>
        <w:t xml:space="preserve"> </w:t>
      </w:r>
      <w:r>
        <w:rPr>
          <w:color w:val="231F20"/>
        </w:rPr>
        <w:t>duration</w:t>
      </w:r>
      <w:r>
        <w:rPr>
          <w:color w:val="231F20"/>
          <w:spacing w:val="27"/>
        </w:rPr>
        <w:t xml:space="preserve"> </w:t>
      </w:r>
      <w:r>
        <w:rPr>
          <w:color w:val="231F20"/>
        </w:rPr>
        <w:t>of</w:t>
      </w:r>
      <w:r>
        <w:rPr>
          <w:color w:val="231F20"/>
          <w:spacing w:val="26"/>
        </w:rPr>
        <w:t xml:space="preserve"> </w:t>
      </w:r>
      <w:r>
        <w:rPr>
          <w:color w:val="231F20"/>
        </w:rPr>
        <w:t>NSAID</w:t>
      </w:r>
      <w:r>
        <w:rPr>
          <w:color w:val="231F20"/>
          <w:spacing w:val="25"/>
        </w:rPr>
        <w:t xml:space="preserve"> </w:t>
      </w:r>
      <w:r>
        <w:rPr>
          <w:color w:val="231F20"/>
        </w:rPr>
        <w:t>active</w:t>
      </w:r>
      <w:r>
        <w:rPr>
          <w:color w:val="231F20"/>
          <w:spacing w:val="26"/>
        </w:rPr>
        <w:t xml:space="preserve"> </w:t>
      </w:r>
      <w:r>
        <w:rPr>
          <w:color w:val="231F20"/>
        </w:rPr>
        <w:t>exposure</w:t>
      </w:r>
      <w:r>
        <w:rPr>
          <w:color w:val="231F20"/>
          <w:spacing w:val="27"/>
        </w:rPr>
        <w:t xml:space="preserve"> </w:t>
      </w:r>
      <w:r>
        <w:rPr>
          <w:color w:val="231F20"/>
        </w:rPr>
        <w:t>is</w:t>
      </w:r>
    </w:p>
    <w:p w:rsidR="002E4A25" w:rsidRDefault="00D74ED8">
      <w:pPr>
        <w:pStyle w:val="BodyText"/>
        <w:spacing w:before="21" w:line="208" w:lineRule="auto"/>
        <w:ind w:left="119"/>
        <w:jc w:val="both"/>
      </w:pPr>
      <w:r>
        <w:rPr>
          <w:color w:val="231F20"/>
        </w:rPr>
        <w:t>less than half of those in the excluded opioid studies in the</w:t>
      </w:r>
      <w:r>
        <w:rPr>
          <w:color w:val="231F20"/>
          <w:spacing w:val="-8"/>
        </w:rPr>
        <w:t xml:space="preserve"> </w:t>
      </w:r>
      <w:r>
        <w:rPr>
          <w:color w:val="231F20"/>
        </w:rPr>
        <w:t>2014</w:t>
      </w:r>
      <w:r>
        <w:rPr>
          <w:color w:val="231F20"/>
          <w:spacing w:val="-8"/>
        </w:rPr>
        <w:t xml:space="preserve"> </w:t>
      </w:r>
      <w:r>
        <w:rPr>
          <w:color w:val="231F20"/>
        </w:rPr>
        <w:t>AHRQ</w:t>
      </w:r>
      <w:r>
        <w:rPr>
          <w:color w:val="231F20"/>
          <w:spacing w:val="-8"/>
        </w:rPr>
        <w:t xml:space="preserve"> </w:t>
      </w:r>
      <w:r>
        <w:rPr>
          <w:color w:val="231F20"/>
        </w:rPr>
        <w:t>review</w:t>
      </w:r>
      <w:r>
        <w:rPr>
          <w:color w:val="231F20"/>
          <w:spacing w:val="-8"/>
        </w:rPr>
        <w:t xml:space="preserve"> </w:t>
      </w:r>
      <w:r>
        <w:rPr>
          <w:color w:val="231F20"/>
        </w:rPr>
        <w:t>(</w:t>
      </w:r>
      <w:r>
        <w:rPr>
          <w:i/>
          <w:color w:val="231F20"/>
        </w:rPr>
        <w:t>P</w:t>
      </w:r>
      <w:r>
        <w:rPr>
          <w:i/>
          <w:color w:val="231F20"/>
          <w:spacing w:val="-30"/>
        </w:rPr>
        <w:t xml:space="preserve"> </w:t>
      </w:r>
      <w:r>
        <w:rPr>
          <w:rFonts w:ascii="Lucida Sans Unicode"/>
          <w:color w:val="231F20"/>
        </w:rPr>
        <w:t>&lt;</w:t>
      </w:r>
      <w:r>
        <w:rPr>
          <w:rFonts w:ascii="Lucida Sans Unicode"/>
          <w:color w:val="231F20"/>
          <w:spacing w:val="-36"/>
        </w:rPr>
        <w:t xml:space="preserve"> </w:t>
      </w:r>
      <w:r>
        <w:rPr>
          <w:color w:val="231F20"/>
        </w:rPr>
        <w:t>0.001),</w:t>
      </w:r>
      <w:r>
        <w:rPr>
          <w:color w:val="231F20"/>
          <w:spacing w:val="-8"/>
        </w:rPr>
        <w:t xml:space="preserve"> </w:t>
      </w:r>
      <w:r>
        <w:rPr>
          <w:color w:val="231F20"/>
        </w:rPr>
        <w:t>while</w:t>
      </w:r>
      <w:r>
        <w:rPr>
          <w:color w:val="231F20"/>
          <w:spacing w:val="-7"/>
        </w:rPr>
        <w:t xml:space="preserve"> </w:t>
      </w:r>
      <w:r>
        <w:rPr>
          <w:color w:val="231F20"/>
        </w:rPr>
        <w:t>the</w:t>
      </w:r>
      <w:r>
        <w:rPr>
          <w:color w:val="231F20"/>
          <w:spacing w:val="-8"/>
        </w:rPr>
        <w:t xml:space="preserve"> </w:t>
      </w:r>
      <w:r>
        <w:rPr>
          <w:color w:val="231F20"/>
        </w:rPr>
        <w:t>duration</w:t>
      </w:r>
      <w:r>
        <w:rPr>
          <w:color w:val="231F20"/>
          <w:spacing w:val="-9"/>
        </w:rPr>
        <w:t xml:space="preserve"> </w:t>
      </w:r>
      <w:r>
        <w:rPr>
          <w:color w:val="231F20"/>
        </w:rPr>
        <w:t>of active</w:t>
      </w:r>
      <w:r>
        <w:rPr>
          <w:color w:val="231F20"/>
          <w:spacing w:val="36"/>
        </w:rPr>
        <w:t xml:space="preserve"> </w:t>
      </w:r>
      <w:r>
        <w:rPr>
          <w:color w:val="231F20"/>
        </w:rPr>
        <w:t>opioid</w:t>
      </w:r>
      <w:r>
        <w:rPr>
          <w:color w:val="231F20"/>
          <w:spacing w:val="36"/>
        </w:rPr>
        <w:t xml:space="preserve"> </w:t>
      </w:r>
      <w:r>
        <w:rPr>
          <w:color w:val="231F20"/>
        </w:rPr>
        <w:t>treatment</w:t>
      </w:r>
      <w:r>
        <w:rPr>
          <w:color w:val="231F20"/>
          <w:spacing w:val="37"/>
        </w:rPr>
        <w:t xml:space="preserve"> </w:t>
      </w:r>
      <w:r>
        <w:rPr>
          <w:color w:val="231F20"/>
        </w:rPr>
        <w:t>in</w:t>
      </w:r>
      <w:r>
        <w:rPr>
          <w:color w:val="231F20"/>
          <w:spacing w:val="37"/>
        </w:rPr>
        <w:t xml:space="preserve"> </w:t>
      </w:r>
      <w:r>
        <w:rPr>
          <w:color w:val="231F20"/>
        </w:rPr>
        <w:t>the</w:t>
      </w:r>
      <w:r>
        <w:rPr>
          <w:color w:val="231F20"/>
          <w:spacing w:val="36"/>
        </w:rPr>
        <w:t xml:space="preserve"> </w:t>
      </w:r>
      <w:r>
        <w:rPr>
          <w:color w:val="231F20"/>
        </w:rPr>
        <w:t>reports</w:t>
      </w:r>
      <w:r>
        <w:rPr>
          <w:color w:val="231F20"/>
          <w:spacing w:val="36"/>
        </w:rPr>
        <w:t xml:space="preserve"> </w:t>
      </w:r>
      <w:r>
        <w:rPr>
          <w:color w:val="231F20"/>
        </w:rPr>
        <w:t>included</w:t>
      </w:r>
      <w:r>
        <w:rPr>
          <w:color w:val="231F20"/>
          <w:spacing w:val="37"/>
        </w:rPr>
        <w:t xml:space="preserve"> </w:t>
      </w:r>
      <w:r>
        <w:rPr>
          <w:color w:val="231F20"/>
        </w:rPr>
        <w:t>in</w:t>
      </w:r>
      <w:r>
        <w:rPr>
          <w:color w:val="231F20"/>
          <w:spacing w:val="36"/>
        </w:rPr>
        <w:t xml:space="preserve"> </w:t>
      </w:r>
      <w:r>
        <w:rPr>
          <w:color w:val="231F20"/>
        </w:rPr>
        <w:t>the</w:t>
      </w:r>
    </w:p>
    <w:p w:rsidR="002E4A25" w:rsidRDefault="00D74ED8">
      <w:pPr>
        <w:pStyle w:val="BodyText"/>
        <w:spacing w:before="15" w:line="230" w:lineRule="auto"/>
        <w:ind w:left="119"/>
        <w:jc w:val="both"/>
      </w:pPr>
      <w:r>
        <w:rPr>
          <w:color w:val="231F20"/>
        </w:rPr>
        <w:t>Cochrane opioid review is 2.4 times longer than the</w:t>
      </w:r>
      <w:r>
        <w:rPr>
          <w:color w:val="231F20"/>
          <w:spacing w:val="-26"/>
        </w:rPr>
        <w:t xml:space="preserve"> </w:t>
      </w:r>
      <w:r>
        <w:rPr>
          <w:color w:val="231F20"/>
        </w:rPr>
        <w:t>opi- oid trials identified but excluded from the 2014 AHRQ review (</w:t>
      </w:r>
      <w:r>
        <w:rPr>
          <w:i/>
          <w:color w:val="231F20"/>
        </w:rPr>
        <w:t xml:space="preserve">P </w:t>
      </w:r>
      <w:r>
        <w:rPr>
          <w:rFonts w:ascii="Lucida Sans Unicode"/>
          <w:color w:val="231F20"/>
        </w:rPr>
        <w:t xml:space="preserve">&lt; </w:t>
      </w:r>
      <w:r>
        <w:rPr>
          <w:color w:val="231F20"/>
        </w:rPr>
        <w:t>0.001). Thus, the durations of active treat- ment in efficacy or effectiveness trials for chronic pain are shorter, although not alwa</w:t>
      </w:r>
      <w:r>
        <w:rPr>
          <w:color w:val="231F20"/>
        </w:rPr>
        <w:t>ys statistically so, for any of the nonopioid modalities (including behavioral treat- ments)</w:t>
      </w:r>
      <w:r>
        <w:rPr>
          <w:color w:val="231F20"/>
          <w:spacing w:val="-4"/>
        </w:rPr>
        <w:t xml:space="preserve"> </w:t>
      </w:r>
      <w:r>
        <w:rPr>
          <w:color w:val="231F20"/>
        </w:rPr>
        <w:t>than</w:t>
      </w:r>
      <w:r>
        <w:rPr>
          <w:color w:val="231F20"/>
          <w:spacing w:val="-5"/>
        </w:rPr>
        <w:t xml:space="preserve"> </w:t>
      </w:r>
      <w:r>
        <w:rPr>
          <w:color w:val="231F20"/>
        </w:rPr>
        <w:t>for</w:t>
      </w:r>
      <w:r>
        <w:rPr>
          <w:color w:val="231F20"/>
          <w:spacing w:val="-4"/>
        </w:rPr>
        <w:t xml:space="preserve"> </w:t>
      </w:r>
      <w:r>
        <w:rPr>
          <w:color w:val="231F20"/>
        </w:rPr>
        <w:t>the</w:t>
      </w:r>
      <w:r>
        <w:rPr>
          <w:color w:val="231F20"/>
          <w:spacing w:val="-5"/>
        </w:rPr>
        <w:t xml:space="preserve"> </w:t>
      </w:r>
      <w:r>
        <w:rPr>
          <w:color w:val="231F20"/>
        </w:rPr>
        <w:t>opioid</w:t>
      </w:r>
      <w:r>
        <w:rPr>
          <w:color w:val="231F20"/>
          <w:spacing w:val="-4"/>
        </w:rPr>
        <w:t xml:space="preserve"> </w:t>
      </w:r>
      <w:r>
        <w:rPr>
          <w:color w:val="231F20"/>
        </w:rPr>
        <w:t>trials</w:t>
      </w:r>
      <w:r>
        <w:rPr>
          <w:color w:val="231F20"/>
          <w:spacing w:val="-4"/>
        </w:rPr>
        <w:t xml:space="preserve"> </w:t>
      </w:r>
      <w:r>
        <w:rPr>
          <w:color w:val="231F20"/>
        </w:rPr>
        <w:t>identified</w:t>
      </w:r>
      <w:r>
        <w:rPr>
          <w:color w:val="231F20"/>
          <w:spacing w:val="-4"/>
        </w:rPr>
        <w:t xml:space="preserve"> </w:t>
      </w:r>
      <w:r>
        <w:rPr>
          <w:color w:val="231F20"/>
        </w:rPr>
        <w:t>but</w:t>
      </w:r>
      <w:r>
        <w:rPr>
          <w:color w:val="231F20"/>
          <w:spacing w:val="-4"/>
        </w:rPr>
        <w:t xml:space="preserve"> </w:t>
      </w:r>
      <w:r>
        <w:rPr>
          <w:color w:val="231F20"/>
        </w:rPr>
        <w:t>not</w:t>
      </w:r>
      <w:r>
        <w:rPr>
          <w:color w:val="231F20"/>
          <w:spacing w:val="-4"/>
        </w:rPr>
        <w:t xml:space="preserve"> </w:t>
      </w:r>
      <w:r>
        <w:rPr>
          <w:color w:val="231F20"/>
        </w:rPr>
        <w:t>utilized</w:t>
      </w:r>
    </w:p>
    <w:p w:rsidR="002E4A25" w:rsidRDefault="00D74ED8">
      <w:pPr>
        <w:pStyle w:val="BodyText"/>
        <w:spacing w:before="5" w:line="242" w:lineRule="auto"/>
        <w:ind w:left="119"/>
        <w:jc w:val="both"/>
      </w:pPr>
      <w:r>
        <w:rPr>
          <w:color w:val="231F20"/>
        </w:rPr>
        <w:t>in the 2014 AHRQ evidence review. In turn, the opioid treatment trials retrieved for the latter review are</w:t>
      </w:r>
      <w:r>
        <w:rPr>
          <w:color w:val="231F20"/>
          <w:spacing w:val="-26"/>
        </w:rPr>
        <w:t xml:space="preserve"> </w:t>
      </w:r>
      <w:r>
        <w:rPr>
          <w:color w:val="231F20"/>
        </w:rPr>
        <w:t>s</w:t>
      </w:r>
      <w:r>
        <w:rPr>
          <w:color w:val="231F20"/>
        </w:rPr>
        <w:t>horter</w:t>
      </w:r>
    </w:p>
    <w:p w:rsidR="002E4A25" w:rsidRDefault="00D74ED8">
      <w:pPr>
        <w:pStyle w:val="BodyText"/>
        <w:spacing w:before="75" w:line="244" w:lineRule="auto"/>
        <w:ind w:left="119" w:right="194"/>
        <w:jc w:val="both"/>
      </w:pPr>
      <w:r>
        <w:br w:type="column"/>
      </w:r>
      <w:r>
        <w:rPr>
          <w:color w:val="231F20"/>
        </w:rPr>
        <w:t>as a group than those in the aggregated literature on opioids for chronic pain cited in Cochrane systematic reviews of that topic.</w:t>
      </w:r>
    </w:p>
    <w:p w:rsidR="002E4A25" w:rsidRDefault="002E4A25">
      <w:pPr>
        <w:pStyle w:val="BodyText"/>
        <w:spacing w:before="10"/>
        <w:rPr>
          <w:sz w:val="17"/>
        </w:rPr>
      </w:pPr>
    </w:p>
    <w:p w:rsidR="002E4A25" w:rsidRDefault="00D74ED8">
      <w:pPr>
        <w:pStyle w:val="BodyText"/>
        <w:ind w:left="119"/>
        <w:jc w:val="both"/>
      </w:pPr>
      <w:r>
        <w:rPr>
          <w:color w:val="231F20"/>
          <w:w w:val="110"/>
        </w:rPr>
        <w:t>Discussion</w:t>
      </w:r>
    </w:p>
    <w:p w:rsidR="002E4A25" w:rsidRDefault="002E4A25">
      <w:pPr>
        <w:pStyle w:val="BodyText"/>
        <w:spacing w:before="8"/>
      </w:pPr>
    </w:p>
    <w:p w:rsidR="002E4A25" w:rsidRDefault="00D74ED8">
      <w:pPr>
        <w:pStyle w:val="BodyText"/>
        <w:spacing w:before="1" w:line="244" w:lineRule="auto"/>
        <w:ind w:left="119" w:right="194"/>
        <w:jc w:val="both"/>
      </w:pPr>
      <w:r>
        <w:rPr>
          <w:color w:val="231F20"/>
        </w:rPr>
        <w:t>We conducted an investigation of the nature of the evi- dence for five frequently used interventions for chronic pain recommended in the 2016 CDC guideline [</w:t>
      </w:r>
      <w:hyperlink w:anchor="_bookmark9" w:history="1">
        <w:r>
          <w:rPr>
            <w:color w:val="2E3092"/>
          </w:rPr>
          <w:t>5</w:t>
        </w:r>
      </w:hyperlink>
      <w:r>
        <w:rPr>
          <w:color w:val="231F20"/>
        </w:rPr>
        <w:t>] for opioids in chronic pain: pharmacotherapies (anticonvul- sants,</w:t>
      </w:r>
      <w:r>
        <w:rPr>
          <w:color w:val="231F20"/>
        </w:rPr>
        <w:t xml:space="preserve"> antidepressants, NSAIDs, and opioids) and non- drug, behavioral interventions. Our motivation for doing so was curiosity as to why the 2014 AHRQ evidence</w:t>
      </w:r>
      <w:r>
        <w:rPr>
          <w:color w:val="231F20"/>
          <w:spacing w:val="-25"/>
        </w:rPr>
        <w:t xml:space="preserve"> </w:t>
      </w:r>
      <w:r>
        <w:rPr>
          <w:color w:val="231F20"/>
        </w:rPr>
        <w:t>re- view [</w:t>
      </w:r>
      <w:hyperlink w:anchor="_bookmark10" w:history="1">
        <w:r>
          <w:rPr>
            <w:color w:val="2E3092"/>
          </w:rPr>
          <w:t>6</w:t>
        </w:r>
      </w:hyperlink>
      <w:r>
        <w:rPr>
          <w:color w:val="231F20"/>
        </w:rPr>
        <w:t xml:space="preserve">] and 2016 CDC guideline for the use of opioids in chronic </w:t>
      </w:r>
      <w:r>
        <w:rPr>
          <w:color w:val="231F20"/>
        </w:rPr>
        <w:t>pain [</w:t>
      </w:r>
      <w:hyperlink w:anchor="_bookmark9" w:history="1">
        <w:r>
          <w:rPr>
            <w:color w:val="2E3092"/>
          </w:rPr>
          <w:t>5</w:t>
        </w:r>
      </w:hyperlink>
      <w:r>
        <w:rPr>
          <w:color w:val="231F20"/>
        </w:rPr>
        <w:t>] declared that no suitable studies of opioid therapy qualified for inclusion. Earlier systematic reviews [</w:t>
      </w:r>
      <w:hyperlink w:anchor="_bookmark11" w:history="1">
        <w:r>
          <w:rPr>
            <w:color w:val="2E3092"/>
          </w:rPr>
          <w:t>7</w:t>
        </w:r>
      </w:hyperlink>
      <w:r>
        <w:rPr>
          <w:color w:val="231F20"/>
        </w:rPr>
        <w:t>,</w:t>
      </w:r>
      <w:hyperlink w:anchor="_bookmark12" w:history="1">
        <w:r>
          <w:rPr>
            <w:color w:val="2E3092"/>
          </w:rPr>
          <w:t>8</w:t>
        </w:r>
      </w:hyperlink>
      <w:r>
        <w:rPr>
          <w:color w:val="231F20"/>
        </w:rPr>
        <w:t>] in which one or more coauthors of the 2014 AH</w:t>
      </w:r>
      <w:r>
        <w:rPr>
          <w:color w:val="231F20"/>
        </w:rPr>
        <w:t>RQ evidence review [</w:t>
      </w:r>
      <w:hyperlink w:anchor="_bookmark10" w:history="1">
        <w:r>
          <w:rPr>
            <w:color w:val="2E3092"/>
          </w:rPr>
          <w:t>6</w:t>
        </w:r>
      </w:hyperlink>
      <w:r>
        <w:rPr>
          <w:color w:val="231F20"/>
        </w:rPr>
        <w:t>] and 2016 CDC guideline [</w:t>
      </w:r>
      <w:hyperlink w:anchor="_bookmark9" w:history="1">
        <w:r>
          <w:rPr>
            <w:color w:val="2E3092"/>
          </w:rPr>
          <w:t>5</w:t>
        </w:r>
      </w:hyperlink>
      <w:r>
        <w:rPr>
          <w:color w:val="231F20"/>
        </w:rPr>
        <w:t>] had participated, had identified sufficient studies to conclude, albeit guardedly, that selected pa- tients</w:t>
      </w:r>
      <w:r>
        <w:rPr>
          <w:color w:val="231F20"/>
          <w:spacing w:val="-9"/>
        </w:rPr>
        <w:t xml:space="preserve"> </w:t>
      </w:r>
      <w:r>
        <w:rPr>
          <w:color w:val="231F20"/>
        </w:rPr>
        <w:t>carefully</w:t>
      </w:r>
      <w:r>
        <w:rPr>
          <w:color w:val="231F20"/>
          <w:spacing w:val="-10"/>
        </w:rPr>
        <w:t xml:space="preserve"> </w:t>
      </w:r>
      <w:r>
        <w:rPr>
          <w:color w:val="231F20"/>
        </w:rPr>
        <w:t>followed</w:t>
      </w:r>
      <w:r>
        <w:rPr>
          <w:color w:val="231F20"/>
          <w:spacing w:val="-9"/>
        </w:rPr>
        <w:t xml:space="preserve"> </w:t>
      </w:r>
      <w:r>
        <w:rPr>
          <w:color w:val="231F20"/>
        </w:rPr>
        <w:t>might</w:t>
      </w:r>
      <w:r>
        <w:rPr>
          <w:color w:val="231F20"/>
          <w:spacing w:val="-9"/>
        </w:rPr>
        <w:t xml:space="preserve"> </w:t>
      </w:r>
      <w:r>
        <w:rPr>
          <w:color w:val="231F20"/>
        </w:rPr>
        <w:t>benefit</w:t>
      </w:r>
      <w:r>
        <w:rPr>
          <w:color w:val="231F20"/>
          <w:spacing w:val="-9"/>
        </w:rPr>
        <w:t xml:space="preserve"> </w:t>
      </w:r>
      <w:r>
        <w:rPr>
          <w:color w:val="231F20"/>
        </w:rPr>
        <w:t>from</w:t>
      </w:r>
      <w:r>
        <w:rPr>
          <w:color w:val="231F20"/>
          <w:spacing w:val="-9"/>
        </w:rPr>
        <w:t xml:space="preserve"> </w:t>
      </w:r>
      <w:r>
        <w:rPr>
          <w:color w:val="231F20"/>
        </w:rPr>
        <w:t>such</w:t>
      </w:r>
      <w:r>
        <w:rPr>
          <w:color w:val="231F20"/>
          <w:spacing w:val="-10"/>
        </w:rPr>
        <w:t xml:space="preserve"> </w:t>
      </w:r>
      <w:r>
        <w:rPr>
          <w:color w:val="231F20"/>
        </w:rPr>
        <w:t>therapy. Because the principal reason for the 2014 and 2016 documents’ exclusion of all retrieved effectiveness and efficacy trials was stated as “inadequate duration,” we focused our analysis upon the durations of active treat- ment in published cli</w:t>
      </w:r>
      <w:r>
        <w:rPr>
          <w:color w:val="231F20"/>
        </w:rPr>
        <w:t>nical trials of all six modalities for chronic pain. We did not attempt a reanalysis of the published evidence in favor of or against the use of opi- oids or any other modality for chronic pain. To reach such an overall conclusion was the task of the syste</w:t>
      </w:r>
      <w:r>
        <w:rPr>
          <w:color w:val="231F20"/>
        </w:rPr>
        <w:t>m- atic reviews themselves, and the fact that none of the reviews of opioids for chronic pain reached an un- equivocal conclusion speaks to the difficulty of synthe- sizing this literature. For example, even the assignment of a binary rating of effective/i</w:t>
      </w:r>
      <w:r>
        <w:rPr>
          <w:color w:val="231F20"/>
        </w:rPr>
        <w:t>neffective to each study was precluded by the heterogeneity of study protocols, participants enrolled, outcomes measured, and</w:t>
      </w:r>
      <w:r>
        <w:rPr>
          <w:color w:val="231F20"/>
          <w:spacing w:val="-13"/>
        </w:rPr>
        <w:t xml:space="preserve"> </w:t>
      </w:r>
      <w:r>
        <w:rPr>
          <w:color w:val="231F20"/>
        </w:rPr>
        <w:t xml:space="preserve">differing results   at   some   time   points   vs   others.   Had    </w:t>
      </w:r>
      <w:r>
        <w:rPr>
          <w:color w:val="231F20"/>
          <w:spacing w:val="14"/>
        </w:rPr>
        <w:t xml:space="preserve"> </w:t>
      </w:r>
      <w:r>
        <w:rPr>
          <w:color w:val="231F20"/>
        </w:rPr>
        <w:t>a</w:t>
      </w:r>
    </w:p>
    <w:p w:rsidR="002E4A25" w:rsidRDefault="002E4A25">
      <w:pPr>
        <w:spacing w:line="244" w:lineRule="auto"/>
        <w:jc w:val="both"/>
        <w:sectPr w:rsidR="002E4A25">
          <w:type w:val="continuous"/>
          <w:pgSz w:w="11880" w:h="15660"/>
          <w:pgMar w:top="320" w:right="1000" w:bottom="280" w:left="1360" w:header="720" w:footer="720" w:gutter="0"/>
          <w:cols w:num="2" w:space="720" w:equalWidth="0">
            <w:col w:w="4541" w:space="239"/>
            <w:col w:w="4740"/>
          </w:cols>
        </w:sectPr>
      </w:pPr>
    </w:p>
    <w:p w:rsidR="002E4A25" w:rsidRDefault="00D74ED8">
      <w:pPr>
        <w:pStyle w:val="BodyText"/>
        <w:spacing w:before="1"/>
        <w:rPr>
          <w:sz w:val="27"/>
        </w:rPr>
      </w:pPr>
      <w:r>
        <w:lastRenderedPageBreak/>
        <w:pict>
          <v:shape id="_x0000_s1061" type="#_x0000_t202" style="position:absolute;margin-left:574.25pt;margin-top:245.3pt;width:10.9pt;height:293.3pt;z-index:251655680;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17">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2E4A25" w:rsidRDefault="00D74ED8">
      <w:pPr>
        <w:pStyle w:val="BodyText"/>
        <w:ind w:left="289"/>
        <w:rPr>
          <w:sz w:val="20"/>
        </w:rPr>
      </w:pPr>
      <w:r>
        <w:rPr>
          <w:noProof/>
          <w:sz w:val="20"/>
        </w:rPr>
        <w:drawing>
          <wp:inline distT="0" distB="0" distL="0" distR="0">
            <wp:extent cx="2592740" cy="76809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2592740" cy="7680959"/>
                    </a:xfrm>
                    <a:prstGeom prst="rect">
                      <a:avLst/>
                    </a:prstGeom>
                  </pic:spPr>
                </pic:pic>
              </a:graphicData>
            </a:graphic>
          </wp:inline>
        </w:drawing>
      </w:r>
    </w:p>
    <w:p w:rsidR="002E4A25" w:rsidRDefault="002E4A25">
      <w:pPr>
        <w:pStyle w:val="BodyText"/>
        <w:spacing w:before="3"/>
        <w:rPr>
          <w:sz w:val="21"/>
        </w:rPr>
      </w:pPr>
    </w:p>
    <w:p w:rsidR="002E4A25" w:rsidRDefault="00D74ED8">
      <w:pPr>
        <w:pStyle w:val="BodyText"/>
        <w:spacing w:line="254" w:lineRule="auto"/>
        <w:ind w:left="119"/>
      </w:pPr>
      <w:bookmarkStart w:id="4" w:name="_bookmark2"/>
      <w:bookmarkEnd w:id="4"/>
      <w:r>
        <w:rPr>
          <w:color w:val="231F20"/>
        </w:rPr>
        <w:t>Figure 1 Durations of active treatment in trials of typical treatments for chronic pain (x-axis) vs numbers of trials</w:t>
      </w:r>
    </w:p>
    <w:p w:rsidR="002E4A25" w:rsidRDefault="00D74ED8">
      <w:pPr>
        <w:pStyle w:val="BodyText"/>
        <w:spacing w:before="8"/>
        <w:rPr>
          <w:sz w:val="23"/>
        </w:rPr>
      </w:pPr>
      <w:r>
        <w:br w:type="column"/>
      </w:r>
    </w:p>
    <w:p w:rsidR="002E4A25" w:rsidRDefault="00D74ED8">
      <w:pPr>
        <w:pStyle w:val="BodyText"/>
        <w:spacing w:before="1" w:line="249" w:lineRule="auto"/>
        <w:ind w:left="120" w:right="474"/>
        <w:jc w:val="both"/>
      </w:pPr>
      <w:r>
        <w:rPr>
          <w:color w:val="231F20"/>
        </w:rPr>
        <w:t>straightforward synthesis of the literature on opioids for chronic pain been possible, it would already have been published; hence the tentative and conditional</w:t>
      </w:r>
      <w:r>
        <w:rPr>
          <w:color w:val="231F20"/>
          <w:spacing w:val="-23"/>
        </w:rPr>
        <w:t xml:space="preserve"> </w:t>
      </w:r>
      <w:r>
        <w:rPr>
          <w:color w:val="231F20"/>
        </w:rPr>
        <w:t>language of</w:t>
      </w:r>
      <w:r>
        <w:rPr>
          <w:color w:val="231F20"/>
          <w:spacing w:val="-5"/>
        </w:rPr>
        <w:t xml:space="preserve"> </w:t>
      </w:r>
      <w:r>
        <w:rPr>
          <w:color w:val="231F20"/>
        </w:rPr>
        <w:t>the</w:t>
      </w:r>
      <w:r>
        <w:rPr>
          <w:color w:val="231F20"/>
          <w:spacing w:val="-5"/>
        </w:rPr>
        <w:t xml:space="preserve"> </w:t>
      </w:r>
      <w:r>
        <w:rPr>
          <w:color w:val="231F20"/>
        </w:rPr>
        <w:t>2009</w:t>
      </w:r>
      <w:r>
        <w:rPr>
          <w:color w:val="231F20"/>
          <w:spacing w:val="-5"/>
        </w:rPr>
        <w:t xml:space="preserve"> </w:t>
      </w:r>
      <w:r>
        <w:rPr>
          <w:color w:val="231F20"/>
        </w:rPr>
        <w:t>[7]</w:t>
      </w:r>
      <w:r>
        <w:rPr>
          <w:color w:val="231F20"/>
          <w:spacing w:val="-5"/>
        </w:rPr>
        <w:t xml:space="preserve"> </w:t>
      </w:r>
      <w:r>
        <w:rPr>
          <w:color w:val="231F20"/>
        </w:rPr>
        <w:t>and</w:t>
      </w:r>
      <w:r>
        <w:rPr>
          <w:color w:val="231F20"/>
          <w:spacing w:val="-5"/>
        </w:rPr>
        <w:t xml:space="preserve"> </w:t>
      </w:r>
      <w:r>
        <w:rPr>
          <w:color w:val="231F20"/>
        </w:rPr>
        <w:t>2010</w:t>
      </w:r>
      <w:r>
        <w:rPr>
          <w:color w:val="231F20"/>
          <w:spacing w:val="-6"/>
        </w:rPr>
        <w:t xml:space="preserve"> </w:t>
      </w:r>
      <w:r>
        <w:rPr>
          <w:color w:val="231F20"/>
        </w:rPr>
        <w:t>[8]</w:t>
      </w:r>
      <w:r>
        <w:rPr>
          <w:color w:val="231F20"/>
          <w:spacing w:val="-5"/>
        </w:rPr>
        <w:t xml:space="preserve"> </w:t>
      </w:r>
      <w:r>
        <w:rPr>
          <w:color w:val="231F20"/>
        </w:rPr>
        <w:t>systematic</w:t>
      </w:r>
      <w:r>
        <w:rPr>
          <w:color w:val="231F20"/>
          <w:spacing w:val="-4"/>
        </w:rPr>
        <w:t xml:space="preserve"> </w:t>
      </w:r>
      <w:r>
        <w:rPr>
          <w:color w:val="231F20"/>
        </w:rPr>
        <w:t>reviews.</w:t>
      </w:r>
    </w:p>
    <w:p w:rsidR="002E4A25" w:rsidRDefault="002E4A25">
      <w:pPr>
        <w:pStyle w:val="BodyText"/>
        <w:spacing w:before="9"/>
        <w:rPr>
          <w:sz w:val="17"/>
        </w:rPr>
      </w:pPr>
    </w:p>
    <w:p w:rsidR="002E4A25" w:rsidRDefault="00D74ED8">
      <w:pPr>
        <w:pStyle w:val="BodyText"/>
        <w:spacing w:line="249" w:lineRule="auto"/>
        <w:ind w:left="120" w:right="474"/>
        <w:jc w:val="both"/>
      </w:pPr>
      <w:r>
        <w:rPr>
          <w:color w:val="231F20"/>
        </w:rPr>
        <w:t>Focusing upon study duration, we use</w:t>
      </w:r>
      <w:r>
        <w:rPr>
          <w:color w:val="231F20"/>
        </w:rPr>
        <w:t>d the best avail- able evidence and tabulated the number of studies of each modality vs the duration of exposure to active treatment in all included studies. We included opioid treatment studies that were identified for the 2014 AHRQ and 2016 CDC reports b</w:t>
      </w:r>
      <w:r>
        <w:rPr>
          <w:color w:val="231F20"/>
        </w:rPr>
        <w:t>ut discarded due to  their having durations of active treatment of less than a year. We separately gathered studies of opioid treat- ment that were reported upon in nine Cochrane</w:t>
      </w:r>
      <w:r>
        <w:rPr>
          <w:color w:val="231F20"/>
          <w:spacing w:val="-34"/>
        </w:rPr>
        <w:t xml:space="preserve"> </w:t>
      </w:r>
      <w:r>
        <w:rPr>
          <w:color w:val="231F20"/>
        </w:rPr>
        <w:t>system- atic reviews [</w:t>
      </w:r>
      <w:hyperlink w:anchor="_bookmark12" w:history="1">
        <w:r>
          <w:rPr>
            <w:color w:val="2E3092"/>
          </w:rPr>
          <w:t>8</w:t>
        </w:r>
      </w:hyperlink>
      <w:r>
        <w:rPr>
          <w:color w:val="231F20"/>
        </w:rPr>
        <w:t>,</w:t>
      </w:r>
      <w:hyperlink w:anchor="_bookmark15" w:history="1">
        <w:r>
          <w:rPr>
            <w:color w:val="2E3092"/>
          </w:rPr>
          <w:t>10</w:t>
        </w:r>
      </w:hyperlink>
      <w:r>
        <w:rPr>
          <w:color w:val="231F20"/>
        </w:rPr>
        <w:t>–</w:t>
      </w:r>
      <w:hyperlink w:anchor="_bookmark29" w:history="1">
        <w:r>
          <w:rPr>
            <w:color w:val="2E3092"/>
          </w:rPr>
          <w:t>17</w:t>
        </w:r>
      </w:hyperlink>
      <w:r>
        <w:rPr>
          <w:color w:val="231F20"/>
        </w:rPr>
        <w:t>]. The methods employed to prepare Cochrane reviews are widely accepted as</w:t>
      </w:r>
      <w:r>
        <w:rPr>
          <w:color w:val="231F20"/>
          <w:spacing w:val="-24"/>
        </w:rPr>
        <w:t xml:space="preserve"> </w:t>
      </w:r>
      <w:r>
        <w:rPr>
          <w:color w:val="231F20"/>
        </w:rPr>
        <w:t>likely to minimize bias in their assessment of treatment</w:t>
      </w:r>
      <w:r>
        <w:rPr>
          <w:color w:val="231F20"/>
          <w:spacing w:val="-34"/>
        </w:rPr>
        <w:t xml:space="preserve"> </w:t>
      </w:r>
      <w:r>
        <w:rPr>
          <w:color w:val="231F20"/>
        </w:rPr>
        <w:t>effect- iveness</w:t>
      </w:r>
      <w:r>
        <w:rPr>
          <w:color w:val="231F20"/>
          <w:spacing w:val="-20"/>
        </w:rPr>
        <w:t xml:space="preserve"> </w:t>
      </w:r>
      <w:r>
        <w:rPr>
          <w:color w:val="231F20"/>
        </w:rPr>
        <w:t>and</w:t>
      </w:r>
      <w:r>
        <w:rPr>
          <w:color w:val="231F20"/>
          <w:spacing w:val="-20"/>
        </w:rPr>
        <w:t xml:space="preserve"> </w:t>
      </w:r>
      <w:r>
        <w:rPr>
          <w:color w:val="231F20"/>
        </w:rPr>
        <w:t>efficacy</w:t>
      </w:r>
      <w:r>
        <w:rPr>
          <w:color w:val="231F20"/>
          <w:spacing w:val="-20"/>
        </w:rPr>
        <w:t xml:space="preserve"> </w:t>
      </w:r>
      <w:r>
        <w:rPr>
          <w:color w:val="231F20"/>
        </w:rPr>
        <w:t>[</w:t>
      </w:r>
      <w:hyperlink w:anchor="_bookmark66" w:history="1">
        <w:r>
          <w:rPr>
            <w:color w:val="2E3092"/>
          </w:rPr>
          <w:t>61</w:t>
        </w:r>
      </w:hyperlink>
      <w:r>
        <w:rPr>
          <w:color w:val="231F20"/>
        </w:rPr>
        <w:t>].</w:t>
      </w:r>
    </w:p>
    <w:p w:rsidR="002E4A25" w:rsidRDefault="002E4A25">
      <w:pPr>
        <w:pStyle w:val="BodyText"/>
        <w:spacing w:before="10"/>
        <w:rPr>
          <w:sz w:val="17"/>
        </w:rPr>
      </w:pPr>
    </w:p>
    <w:p w:rsidR="002E4A25" w:rsidRDefault="00D74ED8">
      <w:pPr>
        <w:pStyle w:val="BodyText"/>
        <w:spacing w:line="249" w:lineRule="auto"/>
        <w:ind w:left="120" w:right="475"/>
        <w:jc w:val="both"/>
      </w:pPr>
      <w:r>
        <w:rPr>
          <w:color w:val="231F20"/>
        </w:rPr>
        <w:t>We formally compared the distributions of the lengths</w:t>
      </w:r>
      <w:r>
        <w:rPr>
          <w:color w:val="231F20"/>
          <w:spacing w:val="-24"/>
        </w:rPr>
        <w:t xml:space="preserve"> </w:t>
      </w:r>
      <w:r>
        <w:rPr>
          <w:color w:val="231F20"/>
        </w:rPr>
        <w:t>of trials using negative binomial regression and found that the lengths of anticonvulsants, behavioral drugs, and antidepressants were about 95%, 87%, and 79%, re- spectively, of those of the AHRQ-selec</w:t>
      </w:r>
      <w:r>
        <w:rPr>
          <w:color w:val="231F20"/>
        </w:rPr>
        <w:t>ted studies. NSAID trials tend to be shorter, while opioid trails tend to be</w:t>
      </w:r>
      <w:r>
        <w:rPr>
          <w:color w:val="231F20"/>
          <w:spacing w:val="-5"/>
        </w:rPr>
        <w:t xml:space="preserve"> </w:t>
      </w:r>
      <w:r>
        <w:rPr>
          <w:color w:val="231F20"/>
        </w:rPr>
        <w:t>longer.</w:t>
      </w:r>
    </w:p>
    <w:p w:rsidR="002E4A25" w:rsidRDefault="002E4A25">
      <w:pPr>
        <w:pStyle w:val="BodyText"/>
        <w:spacing w:before="8"/>
        <w:rPr>
          <w:sz w:val="17"/>
        </w:rPr>
      </w:pPr>
    </w:p>
    <w:p w:rsidR="002E4A25" w:rsidRDefault="00D74ED8">
      <w:pPr>
        <w:pStyle w:val="BodyText"/>
        <w:spacing w:before="1" w:line="249" w:lineRule="auto"/>
        <w:ind w:left="119" w:right="474" w:firstLine="1"/>
        <w:jc w:val="both"/>
      </w:pPr>
      <w:r>
        <w:rPr>
          <w:color w:val="231F20"/>
        </w:rPr>
        <w:t>The distribution of active treatment duration in the 148 opioid studies retrieved for but not used in the 2014 AHRQ evidence review showed a shorter duration than the 101</w:t>
      </w:r>
      <w:r>
        <w:rPr>
          <w:color w:val="231F20"/>
        </w:rPr>
        <w:t xml:space="preserve"> opioid studies examined to support nine Cochrane systematic reviews of the same therapy. Nonetheless, in both groups nearly all trials had a dur- ation of 100 days or shorter. The shape of the distribu- tion for the opioid trials retrieved for but not use</w:t>
      </w:r>
      <w:r>
        <w:rPr>
          <w:color w:val="231F20"/>
        </w:rPr>
        <w:t>d in the 2014 AHRQ report displays a clustering at the low range and a tapering off toward the high range, i.e., an apparent Poisson distribution [</w:t>
      </w:r>
      <w:hyperlink w:anchor="_bookmark68" w:history="1">
        <w:r>
          <w:rPr>
            <w:color w:val="2E3092"/>
          </w:rPr>
          <w:t>62</w:t>
        </w:r>
      </w:hyperlink>
      <w:r>
        <w:rPr>
          <w:color w:val="231F20"/>
        </w:rPr>
        <w:t>]. The qualitative over- dispersed</w:t>
      </w:r>
      <w:r>
        <w:rPr>
          <w:color w:val="231F20"/>
          <w:spacing w:val="-10"/>
        </w:rPr>
        <w:t xml:space="preserve"> </w:t>
      </w:r>
      <w:r>
        <w:rPr>
          <w:color w:val="231F20"/>
        </w:rPr>
        <w:t>Poisson</w:t>
      </w:r>
      <w:r>
        <w:rPr>
          <w:color w:val="231F20"/>
          <w:spacing w:val="-12"/>
        </w:rPr>
        <w:t xml:space="preserve"> </w:t>
      </w:r>
      <w:r>
        <w:rPr>
          <w:color w:val="231F20"/>
        </w:rPr>
        <w:t>distribution</w:t>
      </w:r>
      <w:r>
        <w:rPr>
          <w:color w:val="231F20"/>
          <w:spacing w:val="-10"/>
        </w:rPr>
        <w:t xml:space="preserve"> </w:t>
      </w:r>
      <w:r>
        <w:rPr>
          <w:color w:val="231F20"/>
        </w:rPr>
        <w:t>shape</w:t>
      </w:r>
      <w:r>
        <w:rPr>
          <w:color w:val="231F20"/>
          <w:spacing w:val="-11"/>
        </w:rPr>
        <w:t xml:space="preserve"> </w:t>
      </w:r>
      <w:r>
        <w:rPr>
          <w:color w:val="231F20"/>
        </w:rPr>
        <w:t>was</w:t>
      </w:r>
      <w:r>
        <w:rPr>
          <w:color w:val="231F20"/>
          <w:spacing w:val="-11"/>
        </w:rPr>
        <w:t xml:space="preserve"> </w:t>
      </w:r>
      <w:r>
        <w:rPr>
          <w:color w:val="231F20"/>
        </w:rPr>
        <w:t>less</w:t>
      </w:r>
      <w:r>
        <w:rPr>
          <w:color w:val="231F20"/>
          <w:spacing w:val="-11"/>
        </w:rPr>
        <w:t xml:space="preserve"> </w:t>
      </w:r>
      <w:r>
        <w:rPr>
          <w:color w:val="231F20"/>
        </w:rPr>
        <w:t>evide</w:t>
      </w:r>
      <w:r>
        <w:rPr>
          <w:color w:val="231F20"/>
        </w:rPr>
        <w:t>nt</w:t>
      </w:r>
      <w:r>
        <w:rPr>
          <w:color w:val="231F20"/>
          <w:spacing w:val="-11"/>
        </w:rPr>
        <w:t xml:space="preserve"> </w:t>
      </w:r>
      <w:r>
        <w:rPr>
          <w:color w:val="231F20"/>
        </w:rPr>
        <w:t>in the Cochrane opioid trials, which had a greater duration of active treatment than the 2014 AHRQ trials. Similar distribution shapes were evident in the graphical sum- maries of anticonvulsants, antidepressants, NSAIDs, and nondrug behavioral therapie</w:t>
      </w:r>
      <w:r>
        <w:rPr>
          <w:color w:val="231F20"/>
        </w:rPr>
        <w:t>s; as a group, these four modalities had equivalent durations, all of which were</w:t>
      </w:r>
      <w:r>
        <w:rPr>
          <w:color w:val="231F20"/>
          <w:spacing w:val="27"/>
        </w:rPr>
        <w:t xml:space="preserve"> </w:t>
      </w:r>
      <w:r>
        <w:rPr>
          <w:color w:val="231F20"/>
        </w:rPr>
        <w:t>shorter</w:t>
      </w:r>
      <w:r>
        <w:rPr>
          <w:color w:val="231F20"/>
          <w:spacing w:val="25"/>
        </w:rPr>
        <w:t xml:space="preserve"> </w:t>
      </w:r>
      <w:r>
        <w:rPr>
          <w:color w:val="231F20"/>
        </w:rPr>
        <w:t>than</w:t>
      </w:r>
      <w:r>
        <w:rPr>
          <w:color w:val="231F20"/>
          <w:spacing w:val="27"/>
        </w:rPr>
        <w:t xml:space="preserve"> </w:t>
      </w:r>
      <w:r>
        <w:rPr>
          <w:color w:val="231F20"/>
        </w:rPr>
        <w:t>the</w:t>
      </w:r>
      <w:r>
        <w:rPr>
          <w:color w:val="231F20"/>
          <w:spacing w:val="26"/>
        </w:rPr>
        <w:t xml:space="preserve"> </w:t>
      </w:r>
      <w:r>
        <w:rPr>
          <w:color w:val="231F20"/>
        </w:rPr>
        <w:t>2014</w:t>
      </w:r>
      <w:r>
        <w:rPr>
          <w:color w:val="231F20"/>
          <w:spacing w:val="26"/>
        </w:rPr>
        <w:t xml:space="preserve"> </w:t>
      </w:r>
      <w:r>
        <w:rPr>
          <w:color w:val="231F20"/>
        </w:rPr>
        <w:t>opioid</w:t>
      </w:r>
      <w:r>
        <w:rPr>
          <w:color w:val="231F20"/>
          <w:spacing w:val="25"/>
        </w:rPr>
        <w:t xml:space="preserve"> </w:t>
      </w:r>
      <w:r>
        <w:rPr>
          <w:color w:val="231F20"/>
        </w:rPr>
        <w:t>trials.</w:t>
      </w:r>
      <w:r>
        <w:rPr>
          <w:color w:val="231F20"/>
          <w:spacing w:val="26"/>
        </w:rPr>
        <w:t xml:space="preserve"> </w:t>
      </w:r>
      <w:r>
        <w:rPr>
          <w:color w:val="231F20"/>
        </w:rPr>
        <w:t>In</w:t>
      </w:r>
      <w:r>
        <w:rPr>
          <w:color w:val="231F20"/>
          <w:spacing w:val="26"/>
        </w:rPr>
        <w:t xml:space="preserve"> </w:t>
      </w:r>
      <w:r>
        <w:rPr>
          <w:color w:val="231F20"/>
        </w:rPr>
        <w:t>summary,</w:t>
      </w:r>
    </w:p>
    <w:p w:rsidR="002E4A25" w:rsidRDefault="00D74ED8">
      <w:pPr>
        <w:pStyle w:val="BodyText"/>
        <w:spacing w:before="10"/>
        <w:rPr>
          <w:sz w:val="23"/>
        </w:rPr>
      </w:pPr>
      <w:r>
        <w:pict>
          <v:line id="_x0000_s1060" style="position:absolute;z-index:251654656;mso-wrap-distance-left:0;mso-wrap-distance-right:0;mso-position-horizontal-relative:page" from="298.95pt,15.75pt" to="520pt,15.75pt" strokecolor="#231f20" strokeweight=".04mm">
            <w10:wrap type="topAndBottom" anchorx="page"/>
          </v:line>
        </w:pict>
      </w:r>
    </w:p>
    <w:p w:rsidR="002E4A25" w:rsidRDefault="002E4A25">
      <w:pPr>
        <w:pStyle w:val="BodyText"/>
        <w:spacing w:before="11"/>
        <w:rPr>
          <w:sz w:val="14"/>
        </w:rPr>
      </w:pPr>
    </w:p>
    <w:p w:rsidR="002E4A25" w:rsidRDefault="00D74ED8">
      <w:pPr>
        <w:pStyle w:val="BodyText"/>
        <w:spacing w:line="263" w:lineRule="exact"/>
        <w:ind w:left="119"/>
        <w:jc w:val="both"/>
      </w:pPr>
      <w:r>
        <w:rPr>
          <w:rFonts w:ascii="Lucida Sans Unicode"/>
          <w:color w:val="231F20"/>
        </w:rPr>
        <w:t xml:space="preserve">Figure 1. </w:t>
      </w:r>
      <w:r>
        <w:rPr>
          <w:color w:val="231F20"/>
        </w:rPr>
        <w:t>Continued</w:t>
      </w:r>
    </w:p>
    <w:p w:rsidR="002E4A25" w:rsidRDefault="00D74ED8">
      <w:pPr>
        <w:pStyle w:val="BodyText"/>
        <w:spacing w:line="193" w:lineRule="exact"/>
        <w:ind w:left="119"/>
        <w:jc w:val="both"/>
      </w:pPr>
      <w:r>
        <w:rPr>
          <w:color w:val="231F20"/>
        </w:rPr>
        <w:t>with each duration (y-axis). The treatments    evaluated</w:t>
      </w:r>
    </w:p>
    <w:p w:rsidR="002E4A25" w:rsidRDefault="00D74ED8">
      <w:pPr>
        <w:pStyle w:val="BodyText"/>
        <w:spacing w:before="13" w:line="254" w:lineRule="auto"/>
        <w:ind w:left="119" w:right="474"/>
        <w:jc w:val="both"/>
      </w:pPr>
      <w:r>
        <w:rPr>
          <w:color w:val="231F20"/>
        </w:rPr>
        <w:t xml:space="preserve">were opioids as described in the 2014 AHRQ review (top graph) and the following modalities as described in Cochrane systematic reviews (second from top, pro- ceeding downwards): anticonvulsants, antidepressants, behavioral, NSAIDs, and opioids. To enhance </w:t>
      </w:r>
      <w:r>
        <w:rPr>
          <w:color w:val="231F20"/>
        </w:rPr>
        <w:t>legibility (i.e., to avoid compressing these graphs horizontally), the x-axes were truncated at 15 months; a negligible number of studies exceeded that active treatment duration.</w:t>
      </w:r>
    </w:p>
    <w:p w:rsidR="002E4A25" w:rsidRDefault="002E4A25">
      <w:pPr>
        <w:spacing w:line="254" w:lineRule="auto"/>
        <w:jc w:val="both"/>
        <w:sectPr w:rsidR="002E4A25">
          <w:pgSz w:w="11880" w:h="15660"/>
          <w:pgMar w:top="1260" w:right="1000" w:bottom="880" w:left="1080" w:header="1068" w:footer="689" w:gutter="0"/>
          <w:cols w:num="2" w:space="720" w:equalWidth="0">
            <w:col w:w="4542" w:space="237"/>
            <w:col w:w="5021"/>
          </w:cols>
        </w:sectPr>
      </w:pPr>
    </w:p>
    <w:p w:rsidR="002E4A25" w:rsidRDefault="00D74ED8">
      <w:pPr>
        <w:pStyle w:val="BodyText"/>
        <w:rPr>
          <w:sz w:val="20"/>
        </w:rPr>
      </w:pPr>
      <w:r>
        <w:lastRenderedPageBreak/>
        <w:pict>
          <v:group id="_x0000_s1055" style="position:absolute;margin-left:310pt;margin-top:78.95pt;width:194.2pt;height:194.25pt;z-index:251656704;mso-position-horizontal-relative:page;mso-position-vertical-relative:page" coordorigin="6200,1579" coordsize="3884,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6200;top:1579;width:3883;height:3885">
              <v:imagedata r:id="rId19" o:title=""/>
            </v:shape>
            <v:rect id="_x0000_s1058" style="position:absolute;left:8083;top:4820;width:494;height:121" fillcolor="#eceded" stroked="f"/>
            <v:shape id="_x0000_s1057" type="#_x0000_t202" style="position:absolute;left:6320;top:1665;width:165;height:297" filled="f" stroked="f">
              <v:textbox inset="0,0,0,0">
                <w:txbxContent>
                  <w:p w:rsidR="002E4A25" w:rsidRDefault="00D74ED8">
                    <w:pPr>
                      <w:spacing w:before="19"/>
                      <w:rPr>
                        <w:b/>
                        <w:sz w:val="20"/>
                      </w:rPr>
                    </w:pPr>
                    <w:r>
                      <w:rPr>
                        <w:b/>
                        <w:color w:val="231F20"/>
                        <w:w w:val="99"/>
                        <w:sz w:val="20"/>
                      </w:rPr>
                      <w:t>B</w:t>
                    </w:r>
                  </w:p>
                </w:txbxContent>
              </v:textbox>
            </v:shape>
            <v:shape id="_x0000_s1056" type="#_x0000_t202" style="position:absolute;left:8087;top:4806;width:512;height:153" filled="f" stroked="f">
              <v:textbox inset="0,0,0,0">
                <w:txbxContent>
                  <w:p w:rsidR="002E4A25" w:rsidRDefault="00D74ED8">
                    <w:pPr>
                      <w:spacing w:line="147" w:lineRule="exact"/>
                      <w:rPr>
                        <w:sz w:val="13"/>
                      </w:rPr>
                    </w:pPr>
                    <w:r>
                      <w:rPr>
                        <w:color w:val="231F20"/>
                        <w:sz w:val="13"/>
                      </w:rPr>
                      <w:t>Duration</w:t>
                    </w:r>
                  </w:p>
                </w:txbxContent>
              </v:textbox>
            </v:shape>
            <w10:wrap anchorx="page" anchory="page"/>
          </v:group>
        </w:pict>
      </w:r>
      <w:r>
        <w:pict>
          <v:group id="_x0000_s1050" style="position:absolute;margin-left:103.75pt;margin-top:285.2pt;width:194.25pt;height:194.25pt;z-index:251657728;mso-position-horizontal-relative:page;mso-position-vertical-relative:page" coordorigin="2075,5704" coordsize="3885,3885">
            <v:shape id="_x0000_s1054" type="#_x0000_t75" style="position:absolute;left:2075;top:5704;width:3885;height:3885">
              <v:imagedata r:id="rId20" o:title=""/>
            </v:shape>
            <v:rect id="_x0000_s1053" style="position:absolute;left:3960;top:8945;width:494;height:121" fillcolor="#eceded" stroked="f"/>
            <v:shape id="_x0000_s1052" type="#_x0000_t202" style="position:absolute;left:2195;top:5790;width:165;height:297" filled="f" stroked="f">
              <v:textbox inset="0,0,0,0">
                <w:txbxContent>
                  <w:p w:rsidR="002E4A25" w:rsidRDefault="00D74ED8">
                    <w:pPr>
                      <w:spacing w:before="19"/>
                      <w:rPr>
                        <w:b/>
                        <w:sz w:val="20"/>
                      </w:rPr>
                    </w:pPr>
                    <w:r>
                      <w:rPr>
                        <w:b/>
                        <w:color w:val="231F20"/>
                        <w:w w:val="99"/>
                        <w:sz w:val="20"/>
                      </w:rPr>
                      <w:t>C</w:t>
                    </w:r>
                  </w:p>
                </w:txbxContent>
              </v:textbox>
            </v:shape>
            <v:shape id="_x0000_s1051" type="#_x0000_t202" style="position:absolute;left:3963;top:8931;width:512;height:153" filled="f" stroked="f">
              <v:textbox inset="0,0,0,0">
                <w:txbxContent>
                  <w:p w:rsidR="002E4A25" w:rsidRDefault="00D74ED8">
                    <w:pPr>
                      <w:spacing w:line="147" w:lineRule="exact"/>
                      <w:rPr>
                        <w:sz w:val="13"/>
                      </w:rPr>
                    </w:pPr>
                    <w:r>
                      <w:rPr>
                        <w:color w:val="231F20"/>
                        <w:sz w:val="13"/>
                      </w:rPr>
                      <w:t>Duration</w:t>
                    </w:r>
                  </w:p>
                </w:txbxContent>
              </v:textbox>
            </v:shape>
            <w10:wrap anchorx="page" anchory="page"/>
          </v:group>
        </w:pict>
      </w:r>
      <w:r>
        <w:pict>
          <v:group id="_x0000_s1045" style="position:absolute;margin-left:310pt;margin-top:285.2pt;width:194.2pt;height:194.25pt;z-index:251658752;mso-position-horizontal-relative:page;mso-position-vertical-relative:page" coordorigin="6200,5704" coordsize="3884,3885">
            <v:shape id="_x0000_s1049" type="#_x0000_t75" style="position:absolute;left:6200;top:5704;width:3883;height:3885">
              <v:imagedata r:id="rId21" o:title=""/>
            </v:shape>
            <v:rect id="_x0000_s1048" style="position:absolute;left:8083;top:8945;width:494;height:121" fillcolor="#eceded" stroked="f"/>
            <v:shape id="_x0000_s1047" type="#_x0000_t202" style="position:absolute;left:6320;top:5790;width:165;height:297" filled="f" stroked="f">
              <v:textbox inset="0,0,0,0">
                <w:txbxContent>
                  <w:p w:rsidR="002E4A25" w:rsidRDefault="00D74ED8">
                    <w:pPr>
                      <w:spacing w:before="19"/>
                      <w:rPr>
                        <w:b/>
                        <w:sz w:val="20"/>
                      </w:rPr>
                    </w:pPr>
                    <w:r>
                      <w:rPr>
                        <w:b/>
                        <w:color w:val="231F20"/>
                        <w:w w:val="99"/>
                        <w:sz w:val="20"/>
                      </w:rPr>
                      <w:t>D</w:t>
                    </w:r>
                  </w:p>
                </w:txbxContent>
              </v:textbox>
            </v:shape>
            <v:shape id="_x0000_s1046" type="#_x0000_t202" style="position:absolute;left:8087;top:8931;width:512;height:153" filled="f" stroked="f">
              <v:textbox inset="0,0,0,0">
                <w:txbxContent>
                  <w:p w:rsidR="002E4A25" w:rsidRDefault="00D74ED8">
                    <w:pPr>
                      <w:spacing w:line="147" w:lineRule="exact"/>
                      <w:rPr>
                        <w:sz w:val="13"/>
                      </w:rPr>
                    </w:pPr>
                    <w:r>
                      <w:rPr>
                        <w:color w:val="231F20"/>
                        <w:sz w:val="13"/>
                      </w:rPr>
                      <w:t>Duration</w:t>
                    </w:r>
                  </w:p>
                </w:txbxContent>
              </v:textbox>
            </v:shape>
            <w10:wrap anchorx="page" anchory="page"/>
          </v:group>
        </w:pict>
      </w:r>
      <w:r>
        <w:pict>
          <v:group id="_x0000_s1040" style="position:absolute;margin-left:103.75pt;margin-top:78.95pt;width:194.25pt;height:194.25pt;z-index:251660800;mso-position-horizontal-relative:page;mso-position-vertical-relative:page" coordorigin="2075,1579" coordsize="3885,3885">
            <v:shape id="_x0000_s1044" type="#_x0000_t75" style="position:absolute;left:2075;top:1579;width:3885;height:3885">
              <v:imagedata r:id="rId22" o:title=""/>
            </v:shape>
            <v:rect id="_x0000_s1043" style="position:absolute;left:3960;top:4820;width:494;height:121" fillcolor="#eceded" stroked="f"/>
            <v:shape id="_x0000_s1042" type="#_x0000_t202" style="position:absolute;left:2195;top:1665;width:165;height:297" filled="f" stroked="f">
              <v:textbox inset="0,0,0,0">
                <w:txbxContent>
                  <w:p w:rsidR="002E4A25" w:rsidRDefault="00D74ED8">
                    <w:pPr>
                      <w:spacing w:before="19"/>
                      <w:rPr>
                        <w:b/>
                        <w:sz w:val="20"/>
                      </w:rPr>
                    </w:pPr>
                    <w:r>
                      <w:rPr>
                        <w:b/>
                        <w:color w:val="231F20"/>
                        <w:w w:val="99"/>
                        <w:sz w:val="20"/>
                      </w:rPr>
                      <w:t>A</w:t>
                    </w:r>
                  </w:p>
                </w:txbxContent>
              </v:textbox>
            </v:shape>
            <v:shape id="_x0000_s1041" type="#_x0000_t202" style="position:absolute;left:3963;top:4806;width:512;height:153" filled="f" stroked="f">
              <v:textbox inset="0,0,0,0">
                <w:txbxContent>
                  <w:p w:rsidR="002E4A25" w:rsidRDefault="00D74ED8">
                    <w:pPr>
                      <w:spacing w:line="147" w:lineRule="exact"/>
                      <w:rPr>
                        <w:sz w:val="13"/>
                      </w:rPr>
                    </w:pPr>
                    <w:r>
                      <w:rPr>
                        <w:color w:val="231F20"/>
                        <w:sz w:val="13"/>
                      </w:rPr>
                      <w:t>Duration</w:t>
                    </w:r>
                  </w:p>
                </w:txbxContent>
              </v:textbox>
            </v:shape>
            <w10:wrap anchorx="page" anchory="page"/>
          </v:group>
        </w:pict>
      </w:r>
      <w:r>
        <w:pict>
          <v:shape id="_x0000_s1039" type="#_x0000_t202" style="position:absolute;margin-left:574.25pt;margin-top:245.3pt;width:10.9pt;height:293.3pt;z-index:251661824;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23">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rPr>
          <w:sz w:val="20"/>
        </w:rPr>
      </w:pPr>
    </w:p>
    <w:p w:rsidR="002E4A25" w:rsidRDefault="002E4A25">
      <w:pPr>
        <w:pStyle w:val="BodyText"/>
        <w:spacing w:before="7"/>
        <w:rPr>
          <w:sz w:val="17"/>
        </w:rPr>
      </w:pPr>
    </w:p>
    <w:p w:rsidR="002E4A25" w:rsidRDefault="00D74ED8">
      <w:pPr>
        <w:pStyle w:val="BodyText"/>
        <w:spacing w:before="75" w:line="254" w:lineRule="auto"/>
        <w:ind w:left="119"/>
      </w:pPr>
      <w:r>
        <w:pict>
          <v:group id="_x0000_s1034" style="position:absolute;left:0;text-align:left;margin-left:206.85pt;margin-top:-203pt;width:194.25pt;height:194.2pt;z-index:251659776;mso-position-horizontal-relative:page" coordorigin="4137,-4060" coordsize="3885,3884">
            <v:shape id="_x0000_s1038" type="#_x0000_t75" style="position:absolute;left:4137;top:-4060;width:3885;height:3883">
              <v:imagedata r:id="rId24" o:title=""/>
            </v:shape>
            <v:rect id="_x0000_s1037" style="position:absolute;left:6020;top:-810;width:494;height:121" fillcolor="#eceded" stroked="f"/>
            <v:shape id="_x0000_s1036" type="#_x0000_t202" style="position:absolute;left:4257;top:-3975;width:154;height:297" filled="f" stroked="f">
              <v:textbox inset="0,0,0,0">
                <w:txbxContent>
                  <w:p w:rsidR="002E4A25" w:rsidRDefault="00D74ED8">
                    <w:pPr>
                      <w:spacing w:before="19"/>
                      <w:rPr>
                        <w:b/>
                        <w:sz w:val="20"/>
                      </w:rPr>
                    </w:pPr>
                    <w:r>
                      <w:rPr>
                        <w:b/>
                        <w:color w:val="231F20"/>
                        <w:sz w:val="20"/>
                      </w:rPr>
                      <w:t>E</w:t>
                    </w:r>
                  </w:p>
                </w:txbxContent>
              </v:textbox>
            </v:shape>
            <v:shape id="_x0000_s1035" type="#_x0000_t202" style="position:absolute;left:6023;top:-824;width:512;height:153" filled="f" stroked="f">
              <v:textbox inset="0,0,0,0">
                <w:txbxContent>
                  <w:p w:rsidR="002E4A25" w:rsidRDefault="00D74ED8">
                    <w:pPr>
                      <w:spacing w:line="147" w:lineRule="exact"/>
                      <w:rPr>
                        <w:sz w:val="13"/>
                      </w:rPr>
                    </w:pPr>
                    <w:r>
                      <w:rPr>
                        <w:color w:val="231F20"/>
                        <w:sz w:val="13"/>
                      </w:rPr>
                      <w:t>Duration</w:t>
                    </w:r>
                  </w:p>
                </w:txbxContent>
              </v:textbox>
            </v:shape>
            <w10:wrap anchorx="page"/>
          </v:group>
        </w:pict>
      </w:r>
      <w:bookmarkStart w:id="5" w:name="_bookmark3"/>
      <w:bookmarkEnd w:id="5"/>
      <w:r>
        <w:rPr>
          <w:color w:val="231F20"/>
        </w:rPr>
        <w:t>Figure 2 Pairwise comparisons of curves fitted (i.e., smoothed) to the distributions of active treatment duration vs numbers of trials with that duration, and those of the opioid trials retrieved for 2014 AHRQ opioid evidence review</w:t>
      </w:r>
    </w:p>
    <w:p w:rsidR="002E4A25" w:rsidRDefault="002E4A25">
      <w:pPr>
        <w:spacing w:line="254" w:lineRule="auto"/>
        <w:sectPr w:rsidR="002E4A25">
          <w:pgSz w:w="11880" w:h="15660"/>
          <w:pgMar w:top="1260" w:right="1000" w:bottom="880" w:left="1360" w:header="1068" w:footer="688" w:gutter="0"/>
          <w:cols w:space="720"/>
        </w:sectPr>
      </w:pPr>
    </w:p>
    <w:p w:rsidR="002E4A25" w:rsidRDefault="002E4A25">
      <w:pPr>
        <w:pStyle w:val="BodyText"/>
        <w:spacing w:before="3"/>
        <w:rPr>
          <w:sz w:val="16"/>
        </w:rPr>
      </w:pPr>
    </w:p>
    <w:p w:rsidR="002E4A25" w:rsidRDefault="002E4A25">
      <w:pPr>
        <w:rPr>
          <w:sz w:val="16"/>
        </w:rPr>
        <w:sectPr w:rsidR="002E4A25">
          <w:pgSz w:w="11880" w:h="15660"/>
          <w:pgMar w:top="1260" w:right="1000" w:bottom="880" w:left="1080" w:header="1068" w:footer="689" w:gutter="0"/>
          <w:cols w:space="720"/>
        </w:sectPr>
      </w:pPr>
    </w:p>
    <w:p w:rsidR="002E4A25" w:rsidRDefault="00D74ED8">
      <w:pPr>
        <w:pStyle w:val="Heading1"/>
        <w:tabs>
          <w:tab w:val="left" w:pos="1003"/>
        </w:tabs>
        <w:spacing w:line="292" w:lineRule="auto"/>
        <w:ind w:right="144"/>
      </w:pPr>
      <w:bookmarkStart w:id="6" w:name="pnw245-TF3"/>
      <w:bookmarkStart w:id="7" w:name="_bookmark4"/>
      <w:bookmarkEnd w:id="6"/>
      <w:bookmarkEnd w:id="7"/>
      <w:r>
        <w:rPr>
          <w:color w:val="231F20"/>
          <w:spacing w:val="-5"/>
        </w:rPr>
        <w:t>Table</w:t>
      </w:r>
      <w:r>
        <w:rPr>
          <w:color w:val="231F20"/>
          <w:spacing w:val="22"/>
        </w:rPr>
        <w:t xml:space="preserve"> </w:t>
      </w:r>
      <w:r>
        <w:rPr>
          <w:color w:val="231F20"/>
        </w:rPr>
        <w:t>3</w:t>
      </w:r>
      <w:r>
        <w:rPr>
          <w:color w:val="231F20"/>
        </w:rPr>
        <w:tab/>
        <w:t>Comparisons</w:t>
      </w:r>
      <w:r>
        <w:rPr>
          <w:color w:val="231F20"/>
          <w:spacing w:val="-13"/>
        </w:rPr>
        <w:t xml:space="preserve"> </w:t>
      </w:r>
      <w:r>
        <w:rPr>
          <w:color w:val="231F20"/>
        </w:rPr>
        <w:t>of</w:t>
      </w:r>
      <w:r>
        <w:rPr>
          <w:color w:val="231F20"/>
          <w:spacing w:val="-13"/>
        </w:rPr>
        <w:t xml:space="preserve"> </w:t>
      </w:r>
      <w:r>
        <w:rPr>
          <w:color w:val="231F20"/>
        </w:rPr>
        <w:t>trial</w:t>
      </w:r>
      <w:r>
        <w:rPr>
          <w:color w:val="231F20"/>
          <w:spacing w:val="-12"/>
        </w:rPr>
        <w:t xml:space="preserve"> </w:t>
      </w:r>
      <w:r>
        <w:rPr>
          <w:color w:val="231F20"/>
        </w:rPr>
        <w:t>duration</w:t>
      </w:r>
      <w:r>
        <w:rPr>
          <w:color w:val="231F20"/>
          <w:spacing w:val="-12"/>
        </w:rPr>
        <w:t xml:space="preserve"> </w:t>
      </w:r>
      <w:r>
        <w:rPr>
          <w:color w:val="231F20"/>
        </w:rPr>
        <w:t>for</w:t>
      </w:r>
      <w:r>
        <w:rPr>
          <w:color w:val="231F20"/>
          <w:spacing w:val="-12"/>
        </w:rPr>
        <w:t xml:space="preserve"> </w:t>
      </w:r>
      <w:r>
        <w:rPr>
          <w:color w:val="231F20"/>
        </w:rPr>
        <w:t>varied</w:t>
      </w:r>
      <w:r>
        <w:rPr>
          <w:color w:val="231F20"/>
          <w:w w:val="94"/>
        </w:rPr>
        <w:t xml:space="preserve"> </w:t>
      </w:r>
      <w:r>
        <w:rPr>
          <w:color w:val="231F20"/>
        </w:rPr>
        <w:t>analgesic</w:t>
      </w:r>
      <w:r>
        <w:rPr>
          <w:color w:val="231F20"/>
          <w:spacing w:val="-18"/>
        </w:rPr>
        <w:t xml:space="preserve"> </w:t>
      </w:r>
      <w:r>
        <w:rPr>
          <w:color w:val="231F20"/>
        </w:rPr>
        <w:t>interventions</w:t>
      </w:r>
      <w:r>
        <w:rPr>
          <w:color w:val="231F20"/>
          <w:spacing w:val="-18"/>
        </w:rPr>
        <w:t xml:space="preserve"> </w:t>
      </w:r>
      <w:r>
        <w:rPr>
          <w:color w:val="231F20"/>
        </w:rPr>
        <w:t>for</w:t>
      </w:r>
      <w:r>
        <w:rPr>
          <w:color w:val="231F20"/>
          <w:spacing w:val="-20"/>
        </w:rPr>
        <w:t xml:space="preserve"> </w:t>
      </w:r>
      <w:r>
        <w:rPr>
          <w:color w:val="231F20"/>
        </w:rPr>
        <w:t>chronic</w:t>
      </w:r>
      <w:r>
        <w:rPr>
          <w:color w:val="231F20"/>
          <w:spacing w:val="-19"/>
        </w:rPr>
        <w:t xml:space="preserve"> </w:t>
      </w:r>
      <w:r>
        <w:rPr>
          <w:color w:val="231F20"/>
        </w:rPr>
        <w:t>pain</w:t>
      </w:r>
    </w:p>
    <w:p w:rsidR="002E4A25" w:rsidRDefault="00D74ED8">
      <w:pPr>
        <w:tabs>
          <w:tab w:val="left" w:pos="2942"/>
          <w:tab w:val="left" w:pos="4205"/>
        </w:tabs>
        <w:spacing w:before="159"/>
        <w:ind w:left="1878"/>
        <w:rPr>
          <w:i/>
          <w:sz w:val="17"/>
        </w:rPr>
      </w:pPr>
      <w:r>
        <w:pict>
          <v:line id="_x0000_s1033" style="position:absolute;left:0;text-align:left;z-index:251662848;mso-position-horizontal-relative:page" from="60pt,20.8pt" to="281.05pt,20.8pt" strokecolor="#231f20" strokeweight=".07997mm">
            <w10:wrap anchorx="page"/>
          </v:line>
        </w:pict>
      </w:r>
      <w:r>
        <w:rPr>
          <w:color w:val="231F20"/>
          <w:sz w:val="17"/>
        </w:rPr>
        <w:t>Ratio</w:t>
      </w:r>
      <w:r>
        <w:rPr>
          <w:color w:val="231F20"/>
          <w:sz w:val="17"/>
        </w:rPr>
        <w:tab/>
        <w:t>95%</w:t>
      </w:r>
      <w:r>
        <w:rPr>
          <w:color w:val="231F20"/>
          <w:spacing w:val="8"/>
          <w:sz w:val="17"/>
        </w:rPr>
        <w:t xml:space="preserve"> </w:t>
      </w:r>
      <w:r>
        <w:rPr>
          <w:color w:val="231F20"/>
          <w:sz w:val="17"/>
        </w:rPr>
        <w:t>CI</w:t>
      </w:r>
      <w:r>
        <w:rPr>
          <w:color w:val="231F20"/>
          <w:sz w:val="17"/>
        </w:rPr>
        <w:tab/>
      </w:r>
      <w:r>
        <w:rPr>
          <w:i/>
          <w:color w:val="231F20"/>
          <w:sz w:val="17"/>
        </w:rPr>
        <w:t>P</w:t>
      </w:r>
    </w:p>
    <w:p w:rsidR="002E4A25" w:rsidRDefault="002E4A25">
      <w:pPr>
        <w:pStyle w:val="BodyText"/>
        <w:spacing w:before="9"/>
        <w:rPr>
          <w:i/>
          <w:sz w:val="17"/>
        </w:rPr>
      </w:pPr>
    </w:p>
    <w:p w:rsidR="002E4A25" w:rsidRDefault="00D74ED8">
      <w:pPr>
        <w:ind w:left="119"/>
        <w:rPr>
          <w:sz w:val="17"/>
        </w:rPr>
      </w:pPr>
      <w:r>
        <w:rPr>
          <w:color w:val="231F20"/>
          <w:sz w:val="17"/>
        </w:rPr>
        <w:t>Intervention</w:t>
      </w:r>
    </w:p>
    <w:p w:rsidR="002E4A25" w:rsidRDefault="00D74ED8">
      <w:pPr>
        <w:tabs>
          <w:tab w:val="left" w:pos="1686"/>
          <w:tab w:val="left" w:pos="1911"/>
          <w:tab w:val="left" w:pos="2792"/>
          <w:tab w:val="left" w:pos="3177"/>
          <w:tab w:val="left" w:pos="4216"/>
          <w:tab w:val="right" w:pos="4539"/>
        </w:tabs>
        <w:spacing w:before="24" w:line="271" w:lineRule="auto"/>
        <w:ind w:left="119"/>
        <w:rPr>
          <w:sz w:val="17"/>
        </w:rPr>
      </w:pPr>
      <w:r>
        <w:rPr>
          <w:color w:val="231F20"/>
          <w:sz w:val="17"/>
        </w:rPr>
        <w:t>AHRQ</w:t>
      </w:r>
      <w:r>
        <w:rPr>
          <w:color w:val="231F20"/>
          <w:spacing w:val="8"/>
          <w:sz w:val="17"/>
        </w:rPr>
        <w:t xml:space="preserve"> </w:t>
      </w:r>
      <w:r>
        <w:rPr>
          <w:color w:val="231F20"/>
          <w:sz w:val="17"/>
        </w:rPr>
        <w:t>opioid</w:t>
      </w:r>
      <w:r>
        <w:rPr>
          <w:color w:val="231F20"/>
          <w:sz w:val="17"/>
        </w:rPr>
        <w:tab/>
        <w:t>Reference</w:t>
      </w:r>
      <w:r>
        <w:rPr>
          <w:color w:val="231F20"/>
          <w:sz w:val="17"/>
        </w:rPr>
        <w:tab/>
      </w:r>
      <w:r>
        <w:rPr>
          <w:color w:val="231F20"/>
          <w:sz w:val="17"/>
        </w:rPr>
        <w:tab/>
        <w:t>–</w:t>
      </w:r>
      <w:r>
        <w:rPr>
          <w:color w:val="231F20"/>
          <w:sz w:val="17"/>
        </w:rPr>
        <w:tab/>
        <w:t>– Anticonvulsant</w:t>
      </w:r>
      <w:r>
        <w:rPr>
          <w:color w:val="231F20"/>
          <w:sz w:val="17"/>
        </w:rPr>
        <w:tab/>
      </w:r>
      <w:r>
        <w:rPr>
          <w:color w:val="231F20"/>
          <w:sz w:val="17"/>
        </w:rPr>
        <w:tab/>
        <w:t>0.95</w:t>
      </w:r>
      <w:r>
        <w:rPr>
          <w:color w:val="231F20"/>
          <w:sz w:val="17"/>
        </w:rPr>
        <w:tab/>
        <w:t>(0.81–1.13)</w:t>
      </w:r>
      <w:r>
        <w:rPr>
          <w:color w:val="231F20"/>
          <w:sz w:val="17"/>
        </w:rPr>
        <w:tab/>
      </w:r>
      <w:r>
        <w:rPr>
          <w:color w:val="231F20"/>
          <w:sz w:val="17"/>
        </w:rPr>
        <w:tab/>
      </w:r>
      <w:r>
        <w:rPr>
          <w:color w:val="231F20"/>
          <w:spacing w:val="-86"/>
          <w:sz w:val="17"/>
        </w:rPr>
        <w:t>0.565</w:t>
      </w:r>
    </w:p>
    <w:p w:rsidR="002E4A25" w:rsidRDefault="00D74ED8">
      <w:pPr>
        <w:tabs>
          <w:tab w:val="left" w:pos="1911"/>
          <w:tab w:val="left" w:pos="2792"/>
          <w:tab w:val="right" w:pos="4539"/>
        </w:tabs>
        <w:spacing w:line="195" w:lineRule="exact"/>
        <w:ind w:left="119"/>
        <w:rPr>
          <w:sz w:val="17"/>
        </w:rPr>
      </w:pPr>
      <w:r>
        <w:rPr>
          <w:color w:val="231F20"/>
          <w:sz w:val="17"/>
        </w:rPr>
        <w:t>Antidepressant</w:t>
      </w:r>
      <w:r>
        <w:rPr>
          <w:color w:val="231F20"/>
          <w:sz w:val="17"/>
        </w:rPr>
        <w:tab/>
        <w:t>0.79</w:t>
      </w:r>
      <w:r>
        <w:rPr>
          <w:color w:val="231F20"/>
          <w:sz w:val="17"/>
        </w:rPr>
        <w:tab/>
        <w:t>(0.67–0.94)</w:t>
      </w:r>
      <w:r>
        <w:rPr>
          <w:color w:val="231F20"/>
          <w:sz w:val="17"/>
        </w:rPr>
        <w:tab/>
        <w:t>0.008</w:t>
      </w:r>
    </w:p>
    <w:p w:rsidR="002E4A25" w:rsidRDefault="00D74ED8">
      <w:pPr>
        <w:tabs>
          <w:tab w:val="left" w:pos="1911"/>
          <w:tab w:val="left" w:pos="2792"/>
          <w:tab w:val="right" w:pos="4539"/>
        </w:tabs>
        <w:spacing w:before="25" w:line="194" w:lineRule="exact"/>
        <w:ind w:left="119"/>
        <w:rPr>
          <w:sz w:val="17"/>
        </w:rPr>
      </w:pPr>
      <w:r>
        <w:rPr>
          <w:color w:val="231F20"/>
          <w:sz w:val="17"/>
        </w:rPr>
        <w:t>Behavioral</w:t>
      </w:r>
      <w:r>
        <w:rPr>
          <w:color w:val="231F20"/>
          <w:sz w:val="17"/>
        </w:rPr>
        <w:tab/>
      </w:r>
      <w:r>
        <w:rPr>
          <w:color w:val="231F20"/>
          <w:sz w:val="17"/>
        </w:rPr>
        <w:t>0.87</w:t>
      </w:r>
      <w:r>
        <w:rPr>
          <w:color w:val="231F20"/>
          <w:sz w:val="17"/>
        </w:rPr>
        <w:tab/>
        <w:t>(0.76–1.01)</w:t>
      </w:r>
      <w:r>
        <w:rPr>
          <w:color w:val="231F20"/>
          <w:sz w:val="17"/>
        </w:rPr>
        <w:tab/>
        <w:t>0.066</w:t>
      </w:r>
    </w:p>
    <w:p w:rsidR="002E4A25" w:rsidRDefault="00D74ED8">
      <w:pPr>
        <w:tabs>
          <w:tab w:val="left" w:pos="1911"/>
          <w:tab w:val="left" w:pos="2792"/>
          <w:tab w:val="left" w:pos="3986"/>
        </w:tabs>
        <w:spacing w:line="239" w:lineRule="exact"/>
        <w:ind w:left="119"/>
        <w:rPr>
          <w:sz w:val="17"/>
        </w:rPr>
      </w:pPr>
      <w:r>
        <w:rPr>
          <w:color w:val="231F20"/>
          <w:sz w:val="17"/>
        </w:rPr>
        <w:t>NSAIDS</w:t>
      </w:r>
      <w:r>
        <w:rPr>
          <w:color w:val="231F20"/>
          <w:sz w:val="17"/>
        </w:rPr>
        <w:tab/>
        <w:t>0.49</w:t>
      </w:r>
      <w:r>
        <w:rPr>
          <w:color w:val="231F20"/>
          <w:sz w:val="17"/>
        </w:rPr>
        <w:tab/>
        <w:t>(0.40–0.60)</w:t>
      </w:r>
      <w:r>
        <w:rPr>
          <w:color w:val="231F20"/>
          <w:sz w:val="17"/>
        </w:rPr>
        <w:tab/>
      </w:r>
      <w:r>
        <w:rPr>
          <w:rFonts w:ascii="Lucida Sans Unicode" w:hAnsi="Lucida Sans Unicode"/>
          <w:color w:val="231F20"/>
          <w:spacing w:val="-1"/>
          <w:w w:val="95"/>
          <w:sz w:val="17"/>
        </w:rPr>
        <w:t>&lt;</w:t>
      </w:r>
      <w:r>
        <w:rPr>
          <w:color w:val="231F20"/>
          <w:spacing w:val="-1"/>
          <w:w w:val="95"/>
          <w:sz w:val="17"/>
        </w:rPr>
        <w:t>0.001</w:t>
      </w:r>
    </w:p>
    <w:p w:rsidR="002E4A25" w:rsidRDefault="00D74ED8">
      <w:pPr>
        <w:tabs>
          <w:tab w:val="left" w:pos="1911"/>
          <w:tab w:val="left" w:pos="2792"/>
          <w:tab w:val="left" w:pos="3985"/>
        </w:tabs>
        <w:spacing w:line="213" w:lineRule="exact"/>
        <w:ind w:left="119"/>
        <w:rPr>
          <w:sz w:val="17"/>
        </w:rPr>
      </w:pPr>
      <w:r>
        <w:rPr>
          <w:color w:val="231F20"/>
          <w:sz w:val="17"/>
        </w:rPr>
        <w:t>Cochrane</w:t>
      </w:r>
      <w:r>
        <w:rPr>
          <w:color w:val="231F20"/>
          <w:spacing w:val="7"/>
          <w:sz w:val="17"/>
        </w:rPr>
        <w:t xml:space="preserve"> </w:t>
      </w:r>
      <w:r>
        <w:rPr>
          <w:color w:val="231F20"/>
          <w:sz w:val="17"/>
        </w:rPr>
        <w:t>opioid</w:t>
      </w:r>
      <w:r>
        <w:rPr>
          <w:color w:val="231F20"/>
          <w:sz w:val="17"/>
        </w:rPr>
        <w:tab/>
        <w:t>2.36</w:t>
      </w:r>
      <w:r>
        <w:rPr>
          <w:color w:val="231F20"/>
          <w:sz w:val="17"/>
        </w:rPr>
        <w:tab/>
        <w:t>(2.06–2.72)</w:t>
      </w:r>
      <w:r>
        <w:rPr>
          <w:color w:val="231F20"/>
          <w:sz w:val="17"/>
        </w:rPr>
        <w:tab/>
      </w:r>
      <w:r>
        <w:rPr>
          <w:rFonts w:ascii="Lucida Sans Unicode" w:hAnsi="Lucida Sans Unicode"/>
          <w:color w:val="231F20"/>
          <w:spacing w:val="-1"/>
          <w:w w:val="95"/>
          <w:sz w:val="17"/>
        </w:rPr>
        <w:t>&lt;</w:t>
      </w:r>
      <w:r>
        <w:rPr>
          <w:color w:val="231F20"/>
          <w:spacing w:val="-1"/>
          <w:w w:val="95"/>
          <w:sz w:val="17"/>
        </w:rPr>
        <w:t>0.001</w:t>
      </w:r>
    </w:p>
    <w:p w:rsidR="002E4A25" w:rsidRDefault="00D74ED8">
      <w:pPr>
        <w:pStyle w:val="BodyText"/>
        <w:spacing w:before="86" w:line="252" w:lineRule="auto"/>
        <w:ind w:left="119" w:right="474"/>
        <w:jc w:val="both"/>
      </w:pPr>
      <w:r>
        <w:br w:type="column"/>
      </w:r>
      <w:r>
        <w:rPr>
          <w:color w:val="231F20"/>
        </w:rPr>
        <w:t>corresponding literatures for anticonvulsant,</w:t>
      </w:r>
      <w:r>
        <w:rPr>
          <w:color w:val="231F20"/>
          <w:spacing w:val="-22"/>
        </w:rPr>
        <w:t xml:space="preserve"> </w:t>
      </w:r>
      <w:r>
        <w:rPr>
          <w:color w:val="231F20"/>
        </w:rPr>
        <w:t>antidepres- sant, NSAID, and behavioral therapies. Thus we found no</w:t>
      </w:r>
      <w:r>
        <w:rPr>
          <w:color w:val="231F20"/>
          <w:spacing w:val="-7"/>
        </w:rPr>
        <w:t xml:space="preserve"> </w:t>
      </w:r>
      <w:r>
        <w:rPr>
          <w:color w:val="231F20"/>
        </w:rPr>
        <w:t>evidence</w:t>
      </w:r>
      <w:r>
        <w:rPr>
          <w:color w:val="231F20"/>
          <w:spacing w:val="-5"/>
        </w:rPr>
        <w:t xml:space="preserve"> </w:t>
      </w:r>
      <w:r>
        <w:rPr>
          <w:color w:val="231F20"/>
        </w:rPr>
        <w:t>for</w:t>
      </w:r>
      <w:r>
        <w:rPr>
          <w:color w:val="231F20"/>
          <w:spacing w:val="-6"/>
        </w:rPr>
        <w:t xml:space="preserve"> </w:t>
      </w:r>
      <w:r>
        <w:rPr>
          <w:color w:val="231F20"/>
        </w:rPr>
        <w:t>the</w:t>
      </w:r>
      <w:r>
        <w:rPr>
          <w:color w:val="231F20"/>
          <w:spacing w:val="-6"/>
        </w:rPr>
        <w:t xml:space="preserve"> </w:t>
      </w:r>
      <w:r>
        <w:rPr>
          <w:color w:val="231F20"/>
        </w:rPr>
        <w:t>statement</w:t>
      </w:r>
      <w:r>
        <w:rPr>
          <w:color w:val="231F20"/>
          <w:spacing w:val="-6"/>
        </w:rPr>
        <w:t xml:space="preserve"> </w:t>
      </w:r>
      <w:r>
        <w:rPr>
          <w:color w:val="231F20"/>
        </w:rPr>
        <w:t>that</w:t>
      </w:r>
      <w:r>
        <w:rPr>
          <w:color w:val="231F20"/>
          <w:spacing w:val="-6"/>
        </w:rPr>
        <w:t xml:space="preserve"> </w:t>
      </w:r>
      <w:r>
        <w:rPr>
          <w:color w:val="231F20"/>
        </w:rPr>
        <w:t>currently</w:t>
      </w:r>
      <w:r>
        <w:rPr>
          <w:color w:val="231F20"/>
          <w:spacing w:val="-5"/>
        </w:rPr>
        <w:t xml:space="preserve"> </w:t>
      </w:r>
      <w:r>
        <w:rPr>
          <w:color w:val="231F20"/>
        </w:rPr>
        <w:t>avail</w:t>
      </w:r>
      <w:r>
        <w:rPr>
          <w:color w:val="231F20"/>
        </w:rPr>
        <w:t>able</w:t>
      </w:r>
      <w:r>
        <w:rPr>
          <w:color w:val="231F20"/>
          <w:spacing w:val="-6"/>
        </w:rPr>
        <w:t xml:space="preserve"> </w:t>
      </w:r>
      <w:r>
        <w:rPr>
          <w:color w:val="231F20"/>
        </w:rPr>
        <w:t>lit- erature on opioid efficacy and effectiveness are inad- equate to provide clinical guidance. Further, if a one- year minimum threshold for duration of active treatment were required to justify using any of the major typical therapies for chronic p</w:t>
      </w:r>
      <w:r>
        <w:rPr>
          <w:color w:val="231F20"/>
        </w:rPr>
        <w:t>ain, then none of these</w:t>
      </w:r>
      <w:r>
        <w:rPr>
          <w:color w:val="231F20"/>
          <w:spacing w:val="-26"/>
        </w:rPr>
        <w:t xml:space="preserve"> </w:t>
      </w:r>
      <w:r>
        <w:rPr>
          <w:color w:val="231F20"/>
        </w:rPr>
        <w:t>nonopioid therapies</w:t>
      </w:r>
      <w:r>
        <w:rPr>
          <w:color w:val="231F20"/>
          <w:spacing w:val="-7"/>
        </w:rPr>
        <w:t xml:space="preserve"> </w:t>
      </w:r>
      <w:r>
        <w:rPr>
          <w:color w:val="231F20"/>
        </w:rPr>
        <w:t>could</w:t>
      </w:r>
      <w:r>
        <w:rPr>
          <w:color w:val="231F20"/>
          <w:spacing w:val="-7"/>
        </w:rPr>
        <w:t xml:space="preserve"> </w:t>
      </w:r>
      <w:r>
        <w:rPr>
          <w:color w:val="231F20"/>
        </w:rPr>
        <w:t>be</w:t>
      </w:r>
      <w:r>
        <w:rPr>
          <w:color w:val="231F20"/>
          <w:spacing w:val="-7"/>
        </w:rPr>
        <w:t xml:space="preserve"> </w:t>
      </w:r>
      <w:r>
        <w:rPr>
          <w:color w:val="231F20"/>
        </w:rPr>
        <w:t>recommended.</w:t>
      </w:r>
      <w:r>
        <w:rPr>
          <w:color w:val="231F20"/>
          <w:spacing w:val="-7"/>
        </w:rPr>
        <w:t xml:space="preserve"> </w:t>
      </w:r>
      <w:r>
        <w:rPr>
          <w:color w:val="231F20"/>
        </w:rPr>
        <w:t>Insofar</w:t>
      </w:r>
      <w:r>
        <w:rPr>
          <w:color w:val="231F20"/>
          <w:spacing w:val="-7"/>
        </w:rPr>
        <w:t xml:space="preserve"> </w:t>
      </w:r>
      <w:r>
        <w:rPr>
          <w:color w:val="231F20"/>
        </w:rPr>
        <w:t>as</w:t>
      </w:r>
      <w:r>
        <w:rPr>
          <w:color w:val="231F20"/>
          <w:spacing w:val="-7"/>
        </w:rPr>
        <w:t xml:space="preserve"> </w:t>
      </w:r>
      <w:r>
        <w:rPr>
          <w:color w:val="231F20"/>
        </w:rPr>
        <w:t>strength</w:t>
      </w:r>
      <w:r>
        <w:rPr>
          <w:color w:val="231F20"/>
          <w:spacing w:val="-7"/>
        </w:rPr>
        <w:t xml:space="preserve"> </w:t>
      </w:r>
      <w:r>
        <w:rPr>
          <w:color w:val="231F20"/>
        </w:rPr>
        <w:t xml:space="preserve">of the recommendation to switch from an opioid to a non- opioid therapy was based upon the durations of active treatment in the corresponding clinical trials, the   </w:t>
      </w:r>
      <w:r>
        <w:rPr>
          <w:color w:val="231F20"/>
          <w:spacing w:val="44"/>
        </w:rPr>
        <w:t xml:space="preserve"> </w:t>
      </w:r>
      <w:r>
        <w:rPr>
          <w:color w:val="231F20"/>
        </w:rPr>
        <w:t>pub-</w:t>
      </w:r>
    </w:p>
    <w:p w:rsidR="002E4A25" w:rsidRDefault="002E4A25">
      <w:pPr>
        <w:spacing w:line="252" w:lineRule="auto"/>
        <w:jc w:val="both"/>
        <w:sectPr w:rsidR="002E4A25">
          <w:type w:val="continuous"/>
          <w:pgSz w:w="11880" w:h="15660"/>
          <w:pgMar w:top="320" w:right="1000" w:bottom="280" w:left="1080" w:header="720" w:footer="720" w:gutter="0"/>
          <w:cols w:num="2" w:space="720" w:equalWidth="0">
            <w:col w:w="4540" w:space="240"/>
            <w:col w:w="5020"/>
          </w:cols>
        </w:sectPr>
      </w:pPr>
    </w:p>
    <w:p w:rsidR="002E4A25" w:rsidRDefault="00D74ED8">
      <w:pPr>
        <w:pStyle w:val="BodyText"/>
        <w:tabs>
          <w:tab w:val="left" w:pos="4540"/>
          <w:tab w:val="left" w:pos="4899"/>
        </w:tabs>
        <w:spacing w:line="183" w:lineRule="exact"/>
        <w:ind w:left="119"/>
      </w:pPr>
      <w:r>
        <w:rPr>
          <w:color w:val="231F20"/>
          <w:w w:val="101"/>
          <w:u w:val="single" w:color="231F20"/>
        </w:rPr>
        <w:t xml:space="preserve"> </w:t>
      </w:r>
      <w:r>
        <w:rPr>
          <w:color w:val="231F20"/>
          <w:u w:val="single" w:color="231F20"/>
        </w:rPr>
        <w:tab/>
      </w:r>
      <w:r>
        <w:rPr>
          <w:color w:val="231F20"/>
        </w:rPr>
        <w:tab/>
        <w:t>lished literature is insufficient to recommend any</w:t>
      </w:r>
      <w:r>
        <w:rPr>
          <w:color w:val="231F20"/>
          <w:spacing w:val="25"/>
        </w:rPr>
        <w:t xml:space="preserve"> </w:t>
      </w:r>
      <w:r>
        <w:rPr>
          <w:color w:val="231F20"/>
        </w:rPr>
        <w:t>switch</w:t>
      </w:r>
    </w:p>
    <w:p w:rsidR="002E4A25" w:rsidRDefault="002E4A25">
      <w:pPr>
        <w:spacing w:line="183" w:lineRule="exact"/>
        <w:sectPr w:rsidR="002E4A25">
          <w:type w:val="continuous"/>
          <w:pgSz w:w="11880" w:h="15660"/>
          <w:pgMar w:top="320" w:right="1000" w:bottom="280" w:left="1080" w:header="720" w:footer="720" w:gutter="0"/>
          <w:cols w:space="720"/>
        </w:sectPr>
      </w:pPr>
    </w:p>
    <w:p w:rsidR="002E4A25" w:rsidRDefault="00D74ED8">
      <w:pPr>
        <w:spacing w:before="41" w:line="261" w:lineRule="auto"/>
        <w:ind w:left="119"/>
        <w:jc w:val="both"/>
        <w:rPr>
          <w:sz w:val="16"/>
        </w:rPr>
      </w:pPr>
      <w:r>
        <w:rPr>
          <w:color w:val="231F20"/>
          <w:sz w:val="16"/>
        </w:rPr>
        <w:t xml:space="preserve">Data comparison using negative binomial regression reveals that the average durations of exposure to the active interven- tion for anticonvulsants and </w:t>
      </w:r>
      <w:r>
        <w:rPr>
          <w:color w:val="231F20"/>
          <w:sz w:val="16"/>
        </w:rPr>
        <w:t>behavioral modalities do not differ from those in the opioid studies screened for inclusion in, but subsequently excluded from, the 2014 AHRQ review. The duration of active treatment with antidepressants is over 20% shorter than the excluded opioid studies</w:t>
      </w:r>
      <w:r>
        <w:rPr>
          <w:color w:val="231F20"/>
          <w:sz w:val="16"/>
        </w:rPr>
        <w:t xml:space="preserve"> in the 2014 AHRQ review (</w:t>
      </w:r>
      <w:r>
        <w:rPr>
          <w:i/>
          <w:color w:val="231F20"/>
          <w:sz w:val="16"/>
        </w:rPr>
        <w:t xml:space="preserve">P </w:t>
      </w:r>
      <w:r>
        <w:rPr>
          <w:color w:val="231F20"/>
          <w:sz w:val="16"/>
        </w:rPr>
        <w:t>¼ 0.008). The duration of NSAID active exposure is less than half of  those in  the excluded opioid studies in     the</w:t>
      </w:r>
    </w:p>
    <w:p w:rsidR="002E4A25" w:rsidRDefault="00D74ED8">
      <w:pPr>
        <w:spacing w:line="218" w:lineRule="auto"/>
        <w:ind w:left="119"/>
        <w:jc w:val="both"/>
        <w:rPr>
          <w:sz w:val="16"/>
        </w:rPr>
      </w:pPr>
      <w:r>
        <w:rPr>
          <w:color w:val="231F20"/>
          <w:sz w:val="16"/>
        </w:rPr>
        <w:t>2014 AHRQ review (</w:t>
      </w:r>
      <w:r>
        <w:rPr>
          <w:i/>
          <w:color w:val="231F20"/>
          <w:sz w:val="16"/>
        </w:rPr>
        <w:t xml:space="preserve">P </w:t>
      </w:r>
      <w:r>
        <w:rPr>
          <w:rFonts w:ascii="Lucida Sans Unicode"/>
          <w:color w:val="231F20"/>
          <w:sz w:val="16"/>
        </w:rPr>
        <w:t xml:space="preserve">&lt; </w:t>
      </w:r>
      <w:r>
        <w:rPr>
          <w:color w:val="231F20"/>
          <w:sz w:val="16"/>
        </w:rPr>
        <w:t xml:space="preserve">0.001), while the duration of active opioid treatment in the reports included in the   </w:t>
      </w:r>
      <w:r>
        <w:rPr>
          <w:color w:val="231F20"/>
          <w:sz w:val="16"/>
        </w:rPr>
        <w:t xml:space="preserve"> Cochrane opi-</w:t>
      </w:r>
    </w:p>
    <w:p w:rsidR="002E4A25" w:rsidRDefault="00D74ED8">
      <w:pPr>
        <w:spacing w:before="27" w:line="244" w:lineRule="auto"/>
        <w:ind w:left="119"/>
        <w:jc w:val="both"/>
        <w:rPr>
          <w:sz w:val="16"/>
        </w:rPr>
      </w:pPr>
      <w:r>
        <w:rPr>
          <w:color w:val="231F20"/>
          <w:sz w:val="16"/>
        </w:rPr>
        <w:t>oid review is 2.4 times longer than the opioid trials identified but in, but subsequently excluded from, the 2014 AHRQ re- view (</w:t>
      </w:r>
      <w:r>
        <w:rPr>
          <w:i/>
          <w:color w:val="231F20"/>
          <w:sz w:val="16"/>
        </w:rPr>
        <w:t xml:space="preserve">P </w:t>
      </w:r>
      <w:r>
        <w:rPr>
          <w:rFonts w:ascii="Lucida Sans Unicode" w:hAnsi="Lucida Sans Unicode"/>
          <w:color w:val="231F20"/>
          <w:sz w:val="16"/>
        </w:rPr>
        <w:t xml:space="preserve">&lt; </w:t>
      </w:r>
      <w:r>
        <w:rPr>
          <w:color w:val="231F20"/>
          <w:sz w:val="16"/>
        </w:rPr>
        <w:t>0.001). Except for “AHRQ opioid,” all tabulated data</w:t>
      </w:r>
    </w:p>
    <w:p w:rsidR="002E4A25" w:rsidRDefault="00D74ED8">
      <w:pPr>
        <w:spacing w:line="159" w:lineRule="exact"/>
        <w:ind w:left="119"/>
        <w:jc w:val="both"/>
        <w:rPr>
          <w:sz w:val="16"/>
        </w:rPr>
      </w:pPr>
      <w:r>
        <w:rPr>
          <w:color w:val="231F20"/>
          <w:sz w:val="16"/>
        </w:rPr>
        <w:t>is from the Cochrane Database of Systematic Reviews (see</w:t>
      </w:r>
    </w:p>
    <w:p w:rsidR="002E4A25" w:rsidRDefault="00D74ED8">
      <w:pPr>
        <w:spacing w:before="16"/>
        <w:ind w:left="119"/>
        <w:jc w:val="both"/>
        <w:rPr>
          <w:sz w:val="16"/>
        </w:rPr>
      </w:pPr>
      <w:hyperlink w:anchor="_bookmark1" w:history="1">
        <w:r>
          <w:rPr>
            <w:color w:val="2E3092"/>
            <w:sz w:val="16"/>
          </w:rPr>
          <w:t>Table 2</w:t>
        </w:r>
      </w:hyperlink>
      <w:r>
        <w:rPr>
          <w:color w:val="231F20"/>
          <w:sz w:val="16"/>
        </w:rPr>
        <w:t>).</w:t>
      </w:r>
    </w:p>
    <w:p w:rsidR="002E4A25" w:rsidRDefault="002E4A25">
      <w:pPr>
        <w:pStyle w:val="BodyText"/>
        <w:rPr>
          <w:sz w:val="16"/>
        </w:rPr>
      </w:pPr>
    </w:p>
    <w:p w:rsidR="002E4A25" w:rsidRDefault="002E4A25">
      <w:pPr>
        <w:pStyle w:val="BodyText"/>
        <w:rPr>
          <w:sz w:val="16"/>
        </w:rPr>
      </w:pPr>
    </w:p>
    <w:p w:rsidR="002E4A25" w:rsidRDefault="002E4A25">
      <w:pPr>
        <w:pStyle w:val="BodyText"/>
        <w:spacing w:before="3"/>
        <w:rPr>
          <w:sz w:val="14"/>
        </w:rPr>
      </w:pPr>
    </w:p>
    <w:p w:rsidR="002E4A25" w:rsidRDefault="00D74ED8">
      <w:pPr>
        <w:pStyle w:val="BodyText"/>
        <w:spacing w:line="247" w:lineRule="auto"/>
        <w:ind w:left="119" w:right="1"/>
        <w:jc w:val="both"/>
      </w:pPr>
      <w:r>
        <w:rPr>
          <w:color w:val="231F20"/>
        </w:rPr>
        <w:t>the distribution of active treatment durations in the opi- oid trials retrieved for but not used in the 2014 AHRQ evidence report and 2016 CDC guideline lay</w:t>
      </w:r>
      <w:r>
        <w:rPr>
          <w:color w:val="231F20"/>
        </w:rPr>
        <w:t xml:space="preserve"> between those for the anticonvulsant/antidepressant/NSAID/be- havioral trials and the Cochrane reviews of opioid therapy.</w:t>
      </w:r>
    </w:p>
    <w:p w:rsidR="002E4A25" w:rsidRDefault="002E4A25">
      <w:pPr>
        <w:pStyle w:val="BodyText"/>
        <w:spacing w:before="10"/>
        <w:rPr>
          <w:sz w:val="17"/>
        </w:rPr>
      </w:pPr>
    </w:p>
    <w:p w:rsidR="002E4A25" w:rsidRDefault="00D74ED8">
      <w:pPr>
        <w:pStyle w:val="BodyText"/>
        <w:spacing w:before="1" w:line="247" w:lineRule="auto"/>
        <w:ind w:left="119" w:right="1"/>
        <w:jc w:val="both"/>
      </w:pPr>
      <w:r>
        <w:rPr>
          <w:color w:val="231F20"/>
        </w:rPr>
        <w:t>Is it justified to state, as did the 2014 AHRQ evidence report and the 2016 CDC guideline, that there are no trials</w:t>
      </w:r>
      <w:r>
        <w:rPr>
          <w:color w:val="231F20"/>
          <w:spacing w:val="-5"/>
        </w:rPr>
        <w:t xml:space="preserve"> </w:t>
      </w:r>
      <w:r>
        <w:rPr>
          <w:color w:val="231F20"/>
        </w:rPr>
        <w:t>of</w:t>
      </w:r>
      <w:r>
        <w:rPr>
          <w:color w:val="231F20"/>
          <w:spacing w:val="-6"/>
        </w:rPr>
        <w:t xml:space="preserve"> </w:t>
      </w:r>
      <w:r>
        <w:rPr>
          <w:color w:val="231F20"/>
        </w:rPr>
        <w:t>opioid</w:t>
      </w:r>
      <w:r>
        <w:rPr>
          <w:color w:val="231F20"/>
          <w:spacing w:val="-6"/>
        </w:rPr>
        <w:t xml:space="preserve"> </w:t>
      </w:r>
      <w:r>
        <w:rPr>
          <w:color w:val="231F20"/>
        </w:rPr>
        <w:t>therapy</w:t>
      </w:r>
      <w:r>
        <w:rPr>
          <w:color w:val="231F20"/>
          <w:spacing w:val="-5"/>
        </w:rPr>
        <w:t xml:space="preserve"> </w:t>
      </w:r>
      <w:r>
        <w:rPr>
          <w:color w:val="231F20"/>
        </w:rPr>
        <w:t>whose</w:t>
      </w:r>
      <w:r>
        <w:rPr>
          <w:color w:val="231F20"/>
          <w:spacing w:val="-5"/>
        </w:rPr>
        <w:t xml:space="preserve"> </w:t>
      </w:r>
      <w:r>
        <w:rPr>
          <w:color w:val="231F20"/>
        </w:rPr>
        <w:t>duration</w:t>
      </w:r>
      <w:r>
        <w:rPr>
          <w:color w:val="231F20"/>
          <w:spacing w:val="-5"/>
        </w:rPr>
        <w:t xml:space="preserve"> </w:t>
      </w:r>
      <w:r>
        <w:rPr>
          <w:color w:val="231F20"/>
        </w:rPr>
        <w:t>is</w:t>
      </w:r>
      <w:r>
        <w:rPr>
          <w:color w:val="231F20"/>
          <w:spacing w:val="-5"/>
        </w:rPr>
        <w:t xml:space="preserve"> </w:t>
      </w:r>
      <w:r>
        <w:rPr>
          <w:color w:val="231F20"/>
        </w:rPr>
        <w:t>adequate</w:t>
      </w:r>
      <w:r>
        <w:rPr>
          <w:color w:val="231F20"/>
          <w:spacing w:val="-6"/>
        </w:rPr>
        <w:t xml:space="preserve"> </w:t>
      </w:r>
      <w:r>
        <w:rPr>
          <w:color w:val="231F20"/>
        </w:rPr>
        <w:t>to</w:t>
      </w:r>
      <w:r>
        <w:rPr>
          <w:color w:val="231F20"/>
          <w:spacing w:val="-5"/>
        </w:rPr>
        <w:t xml:space="preserve"> </w:t>
      </w:r>
      <w:r>
        <w:rPr>
          <w:color w:val="231F20"/>
        </w:rPr>
        <w:t>in- form clinical guidelines on chronic pain treatment? Based upon the above analysis, the opioid literature retrieved for but not included in the 2014 AHRQ evi- dence report and 2016 CDC guideline has a shorter durati</w:t>
      </w:r>
      <w:r>
        <w:rPr>
          <w:color w:val="231F20"/>
        </w:rPr>
        <w:t xml:space="preserve">on of exposure to active treatment than the stud- ies of opioid therapy included in the nine aggregated Cochrane systematic reviews. Both the AHRQ and Cochrane opioid literatures have longer durations </w:t>
      </w:r>
      <w:r>
        <w:rPr>
          <w:color w:val="231F20"/>
          <w:spacing w:val="35"/>
        </w:rPr>
        <w:t xml:space="preserve"> </w:t>
      </w:r>
      <w:r>
        <w:rPr>
          <w:color w:val="231F20"/>
        </w:rPr>
        <w:t>than</w:t>
      </w:r>
    </w:p>
    <w:p w:rsidR="002E4A25" w:rsidRDefault="00D74ED8">
      <w:pPr>
        <w:pStyle w:val="BodyText"/>
        <w:spacing w:before="9"/>
        <w:ind w:left="119"/>
        <w:jc w:val="both"/>
      </w:pPr>
      <w:r>
        <w:br w:type="column"/>
      </w:r>
      <w:r>
        <w:rPr>
          <w:color w:val="231F20"/>
        </w:rPr>
        <w:t>from one modality to another.</w:t>
      </w:r>
    </w:p>
    <w:p w:rsidR="002E4A25" w:rsidRDefault="002E4A25">
      <w:pPr>
        <w:pStyle w:val="BodyText"/>
        <w:spacing w:before="6"/>
      </w:pPr>
    </w:p>
    <w:p w:rsidR="002E4A25" w:rsidRDefault="00D74ED8">
      <w:pPr>
        <w:pStyle w:val="BodyText"/>
        <w:spacing w:line="252" w:lineRule="auto"/>
        <w:ind w:left="119" w:right="474"/>
        <w:jc w:val="both"/>
      </w:pPr>
      <w:r>
        <w:rPr>
          <w:color w:val="231F20"/>
        </w:rPr>
        <w:t xml:space="preserve">The similarities </w:t>
      </w:r>
      <w:r>
        <w:rPr>
          <w:color w:val="231F20"/>
        </w:rPr>
        <w:t>between the graphs of numbers of</w:t>
      </w:r>
      <w:r>
        <w:rPr>
          <w:color w:val="231F20"/>
          <w:spacing w:val="-14"/>
        </w:rPr>
        <w:t xml:space="preserve"> </w:t>
      </w:r>
      <w:r>
        <w:rPr>
          <w:color w:val="231F20"/>
        </w:rPr>
        <w:t>stud- ies</w:t>
      </w:r>
      <w:r>
        <w:rPr>
          <w:color w:val="231F20"/>
          <w:spacing w:val="-7"/>
        </w:rPr>
        <w:t xml:space="preserve"> </w:t>
      </w:r>
      <w:r>
        <w:rPr>
          <w:color w:val="231F20"/>
        </w:rPr>
        <w:t>vs</w:t>
      </w:r>
      <w:r>
        <w:rPr>
          <w:color w:val="231F20"/>
          <w:spacing w:val="-9"/>
        </w:rPr>
        <w:t xml:space="preserve"> </w:t>
      </w:r>
      <w:r>
        <w:rPr>
          <w:color w:val="231F20"/>
        </w:rPr>
        <w:t>duration</w:t>
      </w:r>
      <w:r>
        <w:rPr>
          <w:color w:val="231F20"/>
          <w:spacing w:val="-7"/>
        </w:rPr>
        <w:t xml:space="preserve"> </w:t>
      </w:r>
      <w:r>
        <w:rPr>
          <w:color w:val="231F20"/>
        </w:rPr>
        <w:t>of</w:t>
      </w:r>
      <w:r>
        <w:rPr>
          <w:color w:val="231F20"/>
          <w:spacing w:val="-8"/>
        </w:rPr>
        <w:t xml:space="preserve"> </w:t>
      </w:r>
      <w:r>
        <w:rPr>
          <w:color w:val="231F20"/>
        </w:rPr>
        <w:t>active</w:t>
      </w:r>
      <w:r>
        <w:rPr>
          <w:color w:val="231F20"/>
          <w:spacing w:val="-7"/>
        </w:rPr>
        <w:t xml:space="preserve"> </w:t>
      </w:r>
      <w:r>
        <w:rPr>
          <w:color w:val="231F20"/>
        </w:rPr>
        <w:t>treatment</w:t>
      </w:r>
      <w:r>
        <w:rPr>
          <w:color w:val="231F20"/>
          <w:spacing w:val="-8"/>
        </w:rPr>
        <w:t xml:space="preserve"> </w:t>
      </w:r>
      <w:r>
        <w:rPr>
          <w:color w:val="231F20"/>
        </w:rPr>
        <w:t>in</w:t>
      </w:r>
      <w:r>
        <w:rPr>
          <w:color w:val="231F20"/>
          <w:spacing w:val="-7"/>
        </w:rPr>
        <w:t xml:space="preserve"> </w:t>
      </w:r>
      <w:r>
        <w:rPr>
          <w:color w:val="231F20"/>
        </w:rPr>
        <w:t>each</w:t>
      </w:r>
      <w:r>
        <w:rPr>
          <w:color w:val="231F20"/>
          <w:spacing w:val="-7"/>
        </w:rPr>
        <w:t xml:space="preserve"> </w:t>
      </w:r>
      <w:r>
        <w:rPr>
          <w:color w:val="231F20"/>
        </w:rPr>
        <w:t>study</w:t>
      </w:r>
      <w:r>
        <w:rPr>
          <w:color w:val="231F20"/>
          <w:spacing w:val="-7"/>
        </w:rPr>
        <w:t xml:space="preserve"> </w:t>
      </w:r>
      <w:r>
        <w:rPr>
          <w:color w:val="231F20"/>
        </w:rPr>
        <w:t>suggest that</w:t>
      </w:r>
      <w:r>
        <w:rPr>
          <w:color w:val="231F20"/>
          <w:spacing w:val="-6"/>
        </w:rPr>
        <w:t xml:space="preserve"> </w:t>
      </w:r>
      <w:r>
        <w:rPr>
          <w:color w:val="231F20"/>
        </w:rPr>
        <w:t>the</w:t>
      </w:r>
      <w:r>
        <w:rPr>
          <w:color w:val="231F20"/>
          <w:spacing w:val="-6"/>
        </w:rPr>
        <w:t xml:space="preserve"> </w:t>
      </w:r>
      <w:r>
        <w:rPr>
          <w:color w:val="231F20"/>
        </w:rPr>
        <w:t>clinical</w:t>
      </w:r>
      <w:r>
        <w:rPr>
          <w:color w:val="231F20"/>
          <w:spacing w:val="-6"/>
        </w:rPr>
        <w:t xml:space="preserve"> </w:t>
      </w:r>
      <w:r>
        <w:rPr>
          <w:color w:val="231F20"/>
        </w:rPr>
        <w:t>trial</w:t>
      </w:r>
      <w:r>
        <w:rPr>
          <w:color w:val="231F20"/>
          <w:spacing w:val="-6"/>
        </w:rPr>
        <w:t xml:space="preserve"> </w:t>
      </w:r>
      <w:r>
        <w:rPr>
          <w:color w:val="231F20"/>
        </w:rPr>
        <w:t>literature</w:t>
      </w:r>
      <w:r>
        <w:rPr>
          <w:color w:val="231F20"/>
          <w:spacing w:val="-6"/>
        </w:rPr>
        <w:t xml:space="preserve"> </w:t>
      </w:r>
      <w:r>
        <w:rPr>
          <w:color w:val="231F20"/>
        </w:rPr>
        <w:t>concerning</w:t>
      </w:r>
      <w:r>
        <w:rPr>
          <w:color w:val="231F20"/>
          <w:spacing w:val="-6"/>
        </w:rPr>
        <w:t xml:space="preserve"> </w:t>
      </w:r>
      <w:r>
        <w:rPr>
          <w:color w:val="231F20"/>
        </w:rPr>
        <w:t>therapy</w:t>
      </w:r>
      <w:r>
        <w:rPr>
          <w:color w:val="231F20"/>
          <w:spacing w:val="-6"/>
        </w:rPr>
        <w:t xml:space="preserve"> </w:t>
      </w:r>
      <w:r>
        <w:rPr>
          <w:color w:val="231F20"/>
        </w:rPr>
        <w:t>for</w:t>
      </w:r>
      <w:r>
        <w:rPr>
          <w:color w:val="231F20"/>
          <w:spacing w:val="-6"/>
        </w:rPr>
        <w:t xml:space="preserve"> </w:t>
      </w:r>
      <w:r>
        <w:rPr>
          <w:color w:val="231F20"/>
        </w:rPr>
        <w:t>any chronic pain condition represents a balance between</w:t>
      </w:r>
      <w:r>
        <w:rPr>
          <w:color w:val="231F20"/>
          <w:spacing w:val="-14"/>
        </w:rPr>
        <w:t xml:space="preserve"> </w:t>
      </w:r>
      <w:r>
        <w:rPr>
          <w:color w:val="231F20"/>
        </w:rPr>
        <w:t>its expected target population, ease of recru</w:t>
      </w:r>
      <w:r>
        <w:rPr>
          <w:color w:val="231F20"/>
        </w:rPr>
        <w:t>itment, the anticipated dose and duration of therapy, and its ex- pected</w:t>
      </w:r>
      <w:r>
        <w:rPr>
          <w:color w:val="231F20"/>
          <w:spacing w:val="-5"/>
        </w:rPr>
        <w:t xml:space="preserve"> </w:t>
      </w:r>
      <w:r>
        <w:rPr>
          <w:color w:val="231F20"/>
        </w:rPr>
        <w:t>effects</w:t>
      </w:r>
      <w:r>
        <w:rPr>
          <w:color w:val="231F20"/>
          <w:spacing w:val="-4"/>
        </w:rPr>
        <w:t xml:space="preserve"> </w:t>
      </w:r>
      <w:r>
        <w:rPr>
          <w:color w:val="231F20"/>
        </w:rPr>
        <w:t>and</w:t>
      </w:r>
      <w:r>
        <w:rPr>
          <w:color w:val="231F20"/>
          <w:spacing w:val="-5"/>
        </w:rPr>
        <w:t xml:space="preserve"> </w:t>
      </w:r>
      <w:r>
        <w:rPr>
          <w:color w:val="231F20"/>
        </w:rPr>
        <w:t>adverse</w:t>
      </w:r>
      <w:r>
        <w:rPr>
          <w:color w:val="231F20"/>
          <w:spacing w:val="-5"/>
        </w:rPr>
        <w:t xml:space="preserve"> </w:t>
      </w:r>
      <w:r>
        <w:rPr>
          <w:color w:val="231F20"/>
        </w:rPr>
        <w:t>effects—all</w:t>
      </w:r>
      <w:r>
        <w:rPr>
          <w:color w:val="231F20"/>
          <w:spacing w:val="-5"/>
        </w:rPr>
        <w:t xml:space="preserve"> </w:t>
      </w:r>
      <w:r>
        <w:rPr>
          <w:color w:val="231F20"/>
        </w:rPr>
        <w:t>of</w:t>
      </w:r>
      <w:r>
        <w:rPr>
          <w:color w:val="231F20"/>
          <w:spacing w:val="-5"/>
        </w:rPr>
        <w:t xml:space="preserve"> </w:t>
      </w:r>
      <w:r>
        <w:rPr>
          <w:color w:val="231F20"/>
        </w:rPr>
        <w:t>which</w:t>
      </w:r>
      <w:r>
        <w:rPr>
          <w:color w:val="231F20"/>
          <w:spacing w:val="-5"/>
        </w:rPr>
        <w:t xml:space="preserve"> </w:t>
      </w:r>
      <w:r>
        <w:rPr>
          <w:color w:val="231F20"/>
        </w:rPr>
        <w:t>may</w:t>
      </w:r>
      <w:r>
        <w:rPr>
          <w:color w:val="231F20"/>
          <w:spacing w:val="-5"/>
        </w:rPr>
        <w:t xml:space="preserve"> </w:t>
      </w:r>
      <w:r>
        <w:rPr>
          <w:color w:val="231F20"/>
        </w:rPr>
        <w:t>be similar across trials of different types of interventions [</w:t>
      </w:r>
      <w:hyperlink w:anchor="_bookmark70" w:history="1">
        <w:r>
          <w:rPr>
            <w:color w:val="2E3092"/>
          </w:rPr>
          <w:t>63</w:t>
        </w:r>
      </w:hyperlink>
      <w:r>
        <w:rPr>
          <w:color w:val="231F20"/>
        </w:rPr>
        <w:t>]. Overall trial duration also reflects, for analgesic tri- als,</w:t>
      </w:r>
      <w:r>
        <w:rPr>
          <w:color w:val="231F20"/>
          <w:spacing w:val="-8"/>
        </w:rPr>
        <w:t xml:space="preserve"> </w:t>
      </w:r>
      <w:r>
        <w:rPr>
          <w:color w:val="231F20"/>
        </w:rPr>
        <w:t>the</w:t>
      </w:r>
      <w:r>
        <w:rPr>
          <w:color w:val="231F20"/>
          <w:spacing w:val="-9"/>
        </w:rPr>
        <w:t xml:space="preserve"> </w:t>
      </w:r>
      <w:r>
        <w:rPr>
          <w:color w:val="231F20"/>
        </w:rPr>
        <w:t>feasibility</w:t>
      </w:r>
      <w:r>
        <w:rPr>
          <w:color w:val="231F20"/>
          <w:spacing w:val="-8"/>
        </w:rPr>
        <w:t xml:space="preserve"> </w:t>
      </w:r>
      <w:r>
        <w:rPr>
          <w:color w:val="231F20"/>
        </w:rPr>
        <w:t>of</w:t>
      </w:r>
      <w:r>
        <w:rPr>
          <w:color w:val="231F20"/>
          <w:spacing w:val="-9"/>
        </w:rPr>
        <w:t xml:space="preserve"> </w:t>
      </w:r>
      <w:r>
        <w:rPr>
          <w:color w:val="231F20"/>
        </w:rPr>
        <w:t>designing</w:t>
      </w:r>
      <w:r>
        <w:rPr>
          <w:color w:val="231F20"/>
          <w:spacing w:val="-8"/>
        </w:rPr>
        <w:t xml:space="preserve"> </w:t>
      </w:r>
      <w:r>
        <w:rPr>
          <w:color w:val="231F20"/>
        </w:rPr>
        <w:t>and</w:t>
      </w:r>
      <w:r>
        <w:rPr>
          <w:color w:val="231F20"/>
          <w:spacing w:val="-9"/>
        </w:rPr>
        <w:t xml:space="preserve"> </w:t>
      </w:r>
      <w:r>
        <w:rPr>
          <w:color w:val="231F20"/>
        </w:rPr>
        <w:t>executing</w:t>
      </w:r>
      <w:r>
        <w:rPr>
          <w:color w:val="231F20"/>
          <w:spacing w:val="-9"/>
        </w:rPr>
        <w:t xml:space="preserve"> </w:t>
      </w:r>
      <w:r>
        <w:rPr>
          <w:color w:val="231F20"/>
        </w:rPr>
        <w:t>trials</w:t>
      </w:r>
      <w:r>
        <w:rPr>
          <w:color w:val="231F20"/>
          <w:spacing w:val="-8"/>
        </w:rPr>
        <w:t xml:space="preserve"> </w:t>
      </w:r>
      <w:r>
        <w:rPr>
          <w:color w:val="231F20"/>
        </w:rPr>
        <w:t>in</w:t>
      </w:r>
      <w:r>
        <w:rPr>
          <w:color w:val="231F20"/>
          <w:spacing w:val="-9"/>
        </w:rPr>
        <w:t xml:space="preserve"> </w:t>
      </w:r>
      <w:r>
        <w:rPr>
          <w:color w:val="231F20"/>
        </w:rPr>
        <w:t>pa- tient cohorts in whom ethical and practical considerations</w:t>
      </w:r>
      <w:r>
        <w:rPr>
          <w:color w:val="231F20"/>
          <w:spacing w:val="-11"/>
        </w:rPr>
        <w:t xml:space="preserve"> </w:t>
      </w:r>
      <w:r>
        <w:rPr>
          <w:color w:val="231F20"/>
        </w:rPr>
        <w:t>preclude</w:t>
      </w:r>
      <w:r>
        <w:rPr>
          <w:color w:val="231F20"/>
          <w:spacing w:val="-10"/>
        </w:rPr>
        <w:t xml:space="preserve"> </w:t>
      </w:r>
      <w:r>
        <w:rPr>
          <w:color w:val="231F20"/>
        </w:rPr>
        <w:t>very</w:t>
      </w:r>
      <w:r>
        <w:rPr>
          <w:color w:val="231F20"/>
          <w:spacing w:val="-11"/>
        </w:rPr>
        <w:t xml:space="preserve"> </w:t>
      </w:r>
      <w:r>
        <w:rPr>
          <w:color w:val="231F20"/>
        </w:rPr>
        <w:t>long</w:t>
      </w:r>
      <w:r>
        <w:rPr>
          <w:color w:val="231F20"/>
          <w:spacing w:val="-11"/>
        </w:rPr>
        <w:t xml:space="preserve"> </w:t>
      </w:r>
      <w:r>
        <w:rPr>
          <w:color w:val="231F20"/>
        </w:rPr>
        <w:t>exposures</w:t>
      </w:r>
      <w:r>
        <w:rPr>
          <w:color w:val="231F20"/>
          <w:spacing w:val="-10"/>
        </w:rPr>
        <w:t xml:space="preserve"> </w:t>
      </w:r>
      <w:r>
        <w:rPr>
          <w:color w:val="231F20"/>
        </w:rPr>
        <w:t>to</w:t>
      </w:r>
      <w:r>
        <w:rPr>
          <w:color w:val="231F20"/>
          <w:spacing w:val="-11"/>
        </w:rPr>
        <w:t xml:space="preserve"> </w:t>
      </w:r>
      <w:r>
        <w:rPr>
          <w:color w:val="231F20"/>
        </w:rPr>
        <w:t>active</w:t>
      </w:r>
      <w:r>
        <w:rPr>
          <w:color w:val="231F20"/>
          <w:spacing w:val="-11"/>
        </w:rPr>
        <w:t xml:space="preserve"> </w:t>
      </w:r>
      <w:r>
        <w:rPr>
          <w:color w:val="231F20"/>
        </w:rPr>
        <w:t>or placebo treatments [</w:t>
      </w:r>
      <w:hyperlink w:anchor="_bookmark72" w:history="1">
        <w:r>
          <w:rPr>
            <w:color w:val="2E3092"/>
          </w:rPr>
          <w:t>64</w:t>
        </w:r>
      </w:hyperlink>
      <w:r>
        <w:rPr>
          <w:color w:val="231F20"/>
        </w:rPr>
        <w:t>]. Academics, regulatory bodies, and commercial sponsors have worked for decades to establish</w:t>
      </w:r>
      <w:r>
        <w:rPr>
          <w:color w:val="231F20"/>
          <w:spacing w:val="36"/>
        </w:rPr>
        <w:t xml:space="preserve"> </w:t>
      </w:r>
      <w:r>
        <w:rPr>
          <w:color w:val="231F20"/>
        </w:rPr>
        <w:t>and</w:t>
      </w:r>
      <w:r>
        <w:rPr>
          <w:color w:val="231F20"/>
          <w:spacing w:val="37"/>
        </w:rPr>
        <w:t xml:space="preserve"> </w:t>
      </w:r>
      <w:r>
        <w:rPr>
          <w:color w:val="231F20"/>
        </w:rPr>
        <w:t>update</w:t>
      </w:r>
      <w:r>
        <w:rPr>
          <w:color w:val="231F20"/>
          <w:spacing w:val="37"/>
        </w:rPr>
        <w:t xml:space="preserve"> </w:t>
      </w:r>
      <w:r>
        <w:rPr>
          <w:color w:val="231F20"/>
        </w:rPr>
        <w:t>guidances</w:t>
      </w:r>
      <w:r>
        <w:rPr>
          <w:color w:val="231F20"/>
          <w:spacing w:val="37"/>
        </w:rPr>
        <w:t xml:space="preserve"> </w:t>
      </w:r>
      <w:r>
        <w:rPr>
          <w:color w:val="231F20"/>
        </w:rPr>
        <w:t>in</w:t>
      </w:r>
      <w:r>
        <w:rPr>
          <w:color w:val="231F20"/>
          <w:spacing w:val="36"/>
        </w:rPr>
        <w:t xml:space="preserve"> </w:t>
      </w:r>
      <w:r>
        <w:rPr>
          <w:color w:val="231F20"/>
        </w:rPr>
        <w:t>the</w:t>
      </w:r>
      <w:r>
        <w:rPr>
          <w:color w:val="231F20"/>
          <w:spacing w:val="36"/>
        </w:rPr>
        <w:t xml:space="preserve"> </w:t>
      </w:r>
      <w:r>
        <w:rPr>
          <w:color w:val="231F20"/>
        </w:rPr>
        <w:t>United</w:t>
      </w:r>
      <w:r>
        <w:rPr>
          <w:color w:val="231F20"/>
          <w:spacing w:val="37"/>
        </w:rPr>
        <w:t xml:space="preserve"> </w:t>
      </w:r>
      <w:r>
        <w:rPr>
          <w:color w:val="231F20"/>
        </w:rPr>
        <w:t>States</w:t>
      </w:r>
    </w:p>
    <w:p w:rsidR="002E4A25" w:rsidRDefault="00D74ED8">
      <w:pPr>
        <w:pStyle w:val="BodyText"/>
        <w:spacing w:line="252" w:lineRule="auto"/>
        <w:ind w:left="119" w:right="474"/>
        <w:jc w:val="both"/>
      </w:pPr>
      <w:r>
        <w:rPr>
          <w:color w:val="231F20"/>
        </w:rPr>
        <w:t>[</w:t>
      </w:r>
      <w:hyperlink w:anchor="_bookmark73" w:history="1">
        <w:r>
          <w:rPr>
            <w:color w:val="2E3092"/>
          </w:rPr>
          <w:t>65</w:t>
        </w:r>
      </w:hyperlink>
      <w:r>
        <w:rPr>
          <w:color w:val="231F20"/>
        </w:rPr>
        <w:t>] and abroad, e.g., Europe [</w:t>
      </w:r>
      <w:hyperlink w:anchor="_bookmark75" w:history="1">
        <w:r>
          <w:rPr>
            <w:color w:val="2E3092"/>
          </w:rPr>
          <w:t>66</w:t>
        </w:r>
      </w:hyperlink>
      <w:r>
        <w:rPr>
          <w:color w:val="231F20"/>
        </w:rPr>
        <w:t>], to</w:t>
      </w:r>
      <w:r>
        <w:rPr>
          <w:color w:val="231F20"/>
        </w:rPr>
        <w:t xml:space="preserve"> advise investiga- tors about all aspects of clinical analgesic trials, includ- ing their duration. Presently, international harmonized standards adopted by the United States and Europe recommend that for approval to treat chronic pain, registration trials</w:t>
      </w:r>
      <w:r>
        <w:rPr>
          <w:color w:val="231F20"/>
        </w:rPr>
        <w:t xml:space="preserve"> must show efficacy and acceptable safety in replicate trials of a duration of 12 weeks in a cohort of at least 1,000 patients, with safety data con- tinued for a year in at least 500 patients [</w:t>
      </w:r>
      <w:hyperlink w:anchor="_bookmark78" w:history="1">
        <w:r>
          <w:rPr>
            <w:color w:val="2E3092"/>
          </w:rPr>
          <w:t>67</w:t>
        </w:r>
      </w:hyperlink>
      <w:r>
        <w:rPr>
          <w:color w:val="231F20"/>
        </w:rPr>
        <w:t>]. More pro- longed periods of observation were not recommended by those crafting such guidance [</w:t>
      </w:r>
      <w:hyperlink w:anchor="_bookmark73" w:history="1">
        <w:r>
          <w:rPr>
            <w:color w:val="2E3092"/>
          </w:rPr>
          <w:t>65</w:t>
        </w:r>
      </w:hyperlink>
      <w:r>
        <w:rPr>
          <w:color w:val="231F20"/>
        </w:rPr>
        <w:t>–</w:t>
      </w:r>
      <w:hyperlink w:anchor="_bookmark78" w:history="1">
        <w:r>
          <w:rPr>
            <w:color w:val="2E3092"/>
          </w:rPr>
          <w:t>67</w:t>
        </w:r>
      </w:hyperlink>
      <w:r>
        <w:rPr>
          <w:color w:val="231F20"/>
        </w:rPr>
        <w:t>], given (for ex- ample) their tendency to accrue an enriched population of placebo responde</w:t>
      </w:r>
      <w:r>
        <w:rPr>
          <w:color w:val="231F20"/>
        </w:rPr>
        <w:t>rs, increasingly greater likelihood</w:t>
      </w:r>
      <w:r>
        <w:rPr>
          <w:color w:val="231F20"/>
          <w:spacing w:val="-33"/>
        </w:rPr>
        <w:t xml:space="preserve"> </w:t>
      </w:r>
      <w:r>
        <w:rPr>
          <w:color w:val="231F20"/>
        </w:rPr>
        <w:t>of confounding intercurrent conditions or other morbidity, and the tendency for adverse drug reactions to occur early during prolonged exposure [</w:t>
      </w:r>
      <w:hyperlink w:anchor="_bookmark73" w:history="1">
        <w:r>
          <w:rPr>
            <w:color w:val="2E3092"/>
          </w:rPr>
          <w:t>65</w:t>
        </w:r>
      </w:hyperlink>
      <w:r>
        <w:rPr>
          <w:color w:val="231F20"/>
        </w:rPr>
        <w:t>–</w:t>
      </w:r>
      <w:hyperlink w:anchor="_bookmark78" w:history="1">
        <w:r>
          <w:rPr>
            <w:color w:val="2E3092"/>
          </w:rPr>
          <w:t>67</w:t>
        </w:r>
      </w:hyperlink>
      <w:r>
        <w:rPr>
          <w:color w:val="231F20"/>
        </w:rPr>
        <w:t>]. There</w:t>
      </w:r>
      <w:r>
        <w:rPr>
          <w:color w:val="231F20"/>
        </w:rPr>
        <w:t>fore,</w:t>
      </w:r>
      <w:r>
        <w:rPr>
          <w:color w:val="231F20"/>
          <w:spacing w:val="-15"/>
        </w:rPr>
        <w:t xml:space="preserve"> </w:t>
      </w:r>
      <w:r>
        <w:rPr>
          <w:color w:val="231F20"/>
        </w:rPr>
        <w:t>re- gardless</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specific</w:t>
      </w:r>
      <w:r>
        <w:rPr>
          <w:color w:val="231F20"/>
          <w:spacing w:val="-8"/>
        </w:rPr>
        <w:t xml:space="preserve"> </w:t>
      </w:r>
      <w:r>
        <w:rPr>
          <w:color w:val="231F20"/>
        </w:rPr>
        <w:t>modality</w:t>
      </w:r>
      <w:r>
        <w:rPr>
          <w:color w:val="231F20"/>
          <w:spacing w:val="-8"/>
        </w:rPr>
        <w:t xml:space="preserve"> </w:t>
      </w:r>
      <w:r>
        <w:rPr>
          <w:color w:val="231F20"/>
        </w:rPr>
        <w:t>studied,</w:t>
      </w:r>
      <w:r>
        <w:rPr>
          <w:color w:val="231F20"/>
          <w:spacing w:val="-8"/>
        </w:rPr>
        <w:t xml:space="preserve"> </w:t>
      </w:r>
      <w:r>
        <w:rPr>
          <w:color w:val="231F20"/>
        </w:rPr>
        <w:t>analgesic</w:t>
      </w:r>
      <w:r>
        <w:rPr>
          <w:color w:val="231F20"/>
          <w:spacing w:val="-8"/>
        </w:rPr>
        <w:t xml:space="preserve"> </w:t>
      </w:r>
      <w:r>
        <w:rPr>
          <w:color w:val="231F20"/>
        </w:rPr>
        <w:t>trials of   therapies   for   chronic   pain   generally   adhere</w:t>
      </w:r>
      <w:r>
        <w:rPr>
          <w:color w:val="231F20"/>
          <w:spacing w:val="3"/>
        </w:rPr>
        <w:t xml:space="preserve"> </w:t>
      </w:r>
      <w:r>
        <w:rPr>
          <w:color w:val="231F20"/>
        </w:rPr>
        <w:t>to</w:t>
      </w:r>
    </w:p>
    <w:p w:rsidR="002E4A25" w:rsidRDefault="002E4A25">
      <w:pPr>
        <w:spacing w:line="252" w:lineRule="auto"/>
        <w:jc w:val="both"/>
        <w:sectPr w:rsidR="002E4A25">
          <w:type w:val="continuous"/>
          <w:pgSz w:w="11880" w:h="15660"/>
          <w:pgMar w:top="320" w:right="1000" w:bottom="280" w:left="1080" w:header="720" w:footer="720" w:gutter="0"/>
          <w:cols w:num="2" w:space="720" w:equalWidth="0">
            <w:col w:w="4543" w:space="238"/>
            <w:col w:w="5019"/>
          </w:cols>
        </w:sectPr>
      </w:pPr>
    </w:p>
    <w:p w:rsidR="002E4A25" w:rsidRDefault="00D74ED8">
      <w:pPr>
        <w:pStyle w:val="BodyText"/>
        <w:rPr>
          <w:sz w:val="20"/>
        </w:rPr>
      </w:pPr>
      <w:r>
        <w:pict>
          <v:shape id="_x0000_s1032" type="#_x0000_t202" style="position:absolute;margin-left:574.25pt;margin-top:245.3pt;width:10.9pt;height:293.3pt;z-index:251663872;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25">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2E4A25" w:rsidRDefault="002E4A25">
      <w:pPr>
        <w:pStyle w:val="BodyText"/>
        <w:spacing w:before="2"/>
        <w:rPr>
          <w:sz w:val="15"/>
        </w:rPr>
      </w:pPr>
    </w:p>
    <w:p w:rsidR="002E4A25" w:rsidRDefault="00D74ED8">
      <w:pPr>
        <w:pStyle w:val="BodyText"/>
        <w:spacing w:line="20" w:lineRule="exact"/>
        <w:ind w:left="118"/>
        <w:rPr>
          <w:sz w:val="2"/>
        </w:rPr>
      </w:pPr>
      <w:r>
        <w:rPr>
          <w:sz w:val="2"/>
        </w:rPr>
      </w:r>
      <w:r>
        <w:rPr>
          <w:sz w:val="2"/>
        </w:rPr>
        <w:pict>
          <v:group id="_x0000_s1030" style="width:460.2pt;height:.15pt;mso-position-horizontal-relative:char;mso-position-vertical-relative:line" coordsize="9204,3">
            <v:line id="_x0000_s1031" style="position:absolute" from="2,2" to="9202,2" strokecolor="#231f20" strokeweight=".04mm"/>
            <w10:wrap type="none"/>
            <w10:anchorlock/>
          </v:group>
        </w:pict>
      </w:r>
    </w:p>
    <w:p w:rsidR="002E4A25" w:rsidRDefault="002E4A25">
      <w:pPr>
        <w:pStyle w:val="BodyText"/>
        <w:spacing w:before="5"/>
        <w:rPr>
          <w:sz w:val="12"/>
        </w:rPr>
      </w:pPr>
    </w:p>
    <w:p w:rsidR="002E4A25" w:rsidRDefault="00D74ED8">
      <w:pPr>
        <w:pStyle w:val="BodyText"/>
        <w:spacing w:before="47" w:line="263" w:lineRule="exact"/>
        <w:ind w:left="119"/>
        <w:jc w:val="both"/>
      </w:pPr>
      <w:r>
        <w:rPr>
          <w:rFonts w:ascii="Lucida Sans Unicode"/>
          <w:color w:val="231F20"/>
        </w:rPr>
        <w:t xml:space="preserve">Figure 2. </w:t>
      </w:r>
      <w:r>
        <w:rPr>
          <w:color w:val="231F20"/>
        </w:rPr>
        <w:t>Continued</w:t>
      </w:r>
    </w:p>
    <w:p w:rsidR="002E4A25" w:rsidRDefault="00D74ED8">
      <w:pPr>
        <w:pStyle w:val="BodyText"/>
        <w:spacing w:line="193" w:lineRule="exact"/>
        <w:ind w:left="119"/>
        <w:jc w:val="both"/>
      </w:pPr>
      <w:r>
        <w:rPr>
          <w:color w:val="231F20"/>
        </w:rPr>
        <w:t>but excluded because of “inadequate” duration (the reference distribution). In each figure, the AHRQ opioid reference</w:t>
      </w:r>
    </w:p>
    <w:p w:rsidR="002E4A25" w:rsidRDefault="00D74ED8">
      <w:pPr>
        <w:pStyle w:val="BodyText"/>
        <w:spacing w:before="13" w:line="254" w:lineRule="auto"/>
        <w:ind w:left="119" w:right="474"/>
        <w:jc w:val="both"/>
      </w:pPr>
      <w:r>
        <w:rPr>
          <w:color w:val="231F20"/>
        </w:rPr>
        <w:t>distribution is shown as a solid line and the comparison treatment (from the Coch</w:t>
      </w:r>
      <w:r>
        <w:rPr>
          <w:color w:val="231F20"/>
        </w:rPr>
        <w:t>rane reviews) as a dashed line. To normalize</w:t>
      </w:r>
      <w:r>
        <w:rPr>
          <w:color w:val="231F20"/>
          <w:spacing w:val="-11"/>
        </w:rPr>
        <w:t xml:space="preserve"> </w:t>
      </w:r>
      <w:r>
        <w:rPr>
          <w:color w:val="231F20"/>
        </w:rPr>
        <w:t>results</w:t>
      </w:r>
      <w:r>
        <w:rPr>
          <w:color w:val="231F20"/>
          <w:spacing w:val="-11"/>
        </w:rPr>
        <w:t xml:space="preserve"> </w:t>
      </w:r>
      <w:r>
        <w:rPr>
          <w:color w:val="231F20"/>
        </w:rPr>
        <w:t>and</w:t>
      </w:r>
      <w:r>
        <w:rPr>
          <w:color w:val="231F20"/>
          <w:spacing w:val="-12"/>
        </w:rPr>
        <w:t xml:space="preserve"> </w:t>
      </w:r>
      <w:r>
        <w:rPr>
          <w:color w:val="231F20"/>
        </w:rPr>
        <w:t>thereby</w:t>
      </w:r>
      <w:r>
        <w:rPr>
          <w:color w:val="231F20"/>
          <w:spacing w:val="-11"/>
        </w:rPr>
        <w:t xml:space="preserve"> </w:t>
      </w:r>
      <w:r>
        <w:rPr>
          <w:color w:val="231F20"/>
        </w:rPr>
        <w:t>facilitate</w:t>
      </w:r>
      <w:r>
        <w:rPr>
          <w:color w:val="231F20"/>
          <w:spacing w:val="-11"/>
        </w:rPr>
        <w:t xml:space="preserve"> </w:t>
      </w:r>
      <w:r>
        <w:rPr>
          <w:color w:val="231F20"/>
        </w:rPr>
        <w:t>visual</w:t>
      </w:r>
      <w:r>
        <w:rPr>
          <w:color w:val="231F20"/>
          <w:spacing w:val="-11"/>
        </w:rPr>
        <w:t xml:space="preserve"> </w:t>
      </w:r>
      <w:r>
        <w:rPr>
          <w:color w:val="231F20"/>
        </w:rPr>
        <w:t>comparisons,</w:t>
      </w:r>
      <w:r>
        <w:rPr>
          <w:color w:val="231F20"/>
          <w:spacing w:val="-11"/>
        </w:rPr>
        <w:t xml:space="preserve"> </w:t>
      </w:r>
      <w:r>
        <w:rPr>
          <w:color w:val="231F20"/>
        </w:rPr>
        <w:t>the</w:t>
      </w:r>
      <w:r>
        <w:rPr>
          <w:color w:val="231F20"/>
          <w:spacing w:val="-11"/>
        </w:rPr>
        <w:t xml:space="preserve"> </w:t>
      </w:r>
      <w:r>
        <w:rPr>
          <w:color w:val="231F20"/>
        </w:rPr>
        <w:t>y-axis</w:t>
      </w:r>
      <w:r>
        <w:rPr>
          <w:color w:val="231F20"/>
          <w:spacing w:val="-11"/>
        </w:rPr>
        <w:t xml:space="preserve"> </w:t>
      </w:r>
      <w:r>
        <w:rPr>
          <w:color w:val="231F20"/>
        </w:rPr>
        <w:t>presents</w:t>
      </w:r>
      <w:r>
        <w:rPr>
          <w:color w:val="231F20"/>
          <w:spacing w:val="-11"/>
        </w:rPr>
        <w:t xml:space="preserve"> </w:t>
      </w:r>
      <w:r>
        <w:rPr>
          <w:color w:val="231F20"/>
        </w:rPr>
        <w:t>the</w:t>
      </w:r>
      <w:r>
        <w:rPr>
          <w:color w:val="231F20"/>
          <w:spacing w:val="-11"/>
        </w:rPr>
        <w:t xml:space="preserve"> </w:t>
      </w:r>
      <w:r>
        <w:rPr>
          <w:color w:val="231F20"/>
        </w:rPr>
        <w:t>probability</w:t>
      </w:r>
      <w:r>
        <w:rPr>
          <w:color w:val="231F20"/>
          <w:spacing w:val="-11"/>
        </w:rPr>
        <w:t xml:space="preserve"> </w:t>
      </w:r>
      <w:r>
        <w:rPr>
          <w:color w:val="231F20"/>
        </w:rPr>
        <w:t>that</w:t>
      </w:r>
      <w:r>
        <w:rPr>
          <w:color w:val="231F20"/>
          <w:spacing w:val="-11"/>
        </w:rPr>
        <w:t xml:space="preserve"> </w:t>
      </w:r>
      <w:r>
        <w:rPr>
          <w:color w:val="231F20"/>
        </w:rPr>
        <w:t>a</w:t>
      </w:r>
      <w:r>
        <w:rPr>
          <w:color w:val="231F20"/>
          <w:spacing w:val="-11"/>
        </w:rPr>
        <w:t xml:space="preserve"> </w:t>
      </w:r>
      <w:r>
        <w:rPr>
          <w:color w:val="231F20"/>
        </w:rPr>
        <w:t>clinical</w:t>
      </w:r>
      <w:r>
        <w:rPr>
          <w:color w:val="231F20"/>
          <w:spacing w:val="-11"/>
        </w:rPr>
        <w:t xml:space="preserve"> </w:t>
      </w:r>
      <w:r>
        <w:rPr>
          <w:color w:val="231F20"/>
        </w:rPr>
        <w:t>trial,</w:t>
      </w:r>
      <w:r>
        <w:rPr>
          <w:color w:val="231F20"/>
          <w:spacing w:val="-11"/>
        </w:rPr>
        <w:t xml:space="preserve"> </w:t>
      </w:r>
      <w:r>
        <w:rPr>
          <w:color w:val="231F20"/>
        </w:rPr>
        <w:t>or</w:t>
      </w:r>
      <w:r>
        <w:rPr>
          <w:color w:val="231F20"/>
          <w:spacing w:val="-11"/>
        </w:rPr>
        <w:t xml:space="preserve"> </w:t>
      </w:r>
      <w:r>
        <w:rPr>
          <w:color w:val="231F20"/>
        </w:rPr>
        <w:t>tri- als, having an active duration of the number of days shown on the x-axis contributes to the a</w:t>
      </w:r>
      <w:r>
        <w:rPr>
          <w:color w:val="231F20"/>
        </w:rPr>
        <w:t>reas under the entire curve for that intervention. Hence the summed total area under each curve by definition is set at 1. See text for full explanation</w:t>
      </w:r>
      <w:r>
        <w:rPr>
          <w:color w:val="231F20"/>
          <w:spacing w:val="-9"/>
        </w:rPr>
        <w:t xml:space="preserve"> </w:t>
      </w:r>
      <w:r>
        <w:rPr>
          <w:color w:val="231F20"/>
        </w:rPr>
        <w:t>of</w:t>
      </w:r>
      <w:r>
        <w:rPr>
          <w:color w:val="231F20"/>
          <w:spacing w:val="-9"/>
        </w:rPr>
        <w:t xml:space="preserve"> </w:t>
      </w:r>
      <w:r>
        <w:rPr>
          <w:color w:val="231F20"/>
        </w:rPr>
        <w:t>statistical</w:t>
      </w:r>
      <w:r>
        <w:rPr>
          <w:color w:val="231F20"/>
          <w:spacing w:val="-9"/>
        </w:rPr>
        <w:t xml:space="preserve"> </w:t>
      </w:r>
      <w:r>
        <w:rPr>
          <w:color w:val="231F20"/>
        </w:rPr>
        <w:t>analysis.</w:t>
      </w:r>
      <w:r>
        <w:rPr>
          <w:color w:val="231F20"/>
          <w:spacing w:val="-10"/>
        </w:rPr>
        <w:t xml:space="preserve"> </w:t>
      </w:r>
      <w:hyperlink w:anchor="_bookmark3" w:history="1">
        <w:r>
          <w:rPr>
            <w:color w:val="2E3092"/>
          </w:rPr>
          <w:t>Figure</w:t>
        </w:r>
        <w:r>
          <w:rPr>
            <w:color w:val="2E3092"/>
            <w:spacing w:val="-9"/>
          </w:rPr>
          <w:t xml:space="preserve"> </w:t>
        </w:r>
        <w:r>
          <w:rPr>
            <w:color w:val="2E3092"/>
          </w:rPr>
          <w:t>2A</w:t>
        </w:r>
      </w:hyperlink>
      <w:r>
        <w:rPr>
          <w:color w:val="2E3092"/>
          <w:spacing w:val="-10"/>
        </w:rPr>
        <w:t xml:space="preserve"> </w:t>
      </w:r>
      <w:r>
        <w:rPr>
          <w:color w:val="231F20"/>
        </w:rPr>
        <w:t>shows</w:t>
      </w:r>
      <w:r>
        <w:rPr>
          <w:color w:val="231F20"/>
          <w:spacing w:val="-10"/>
        </w:rPr>
        <w:t xml:space="preserve"> </w:t>
      </w:r>
      <w:r>
        <w:rPr>
          <w:color w:val="231F20"/>
        </w:rPr>
        <w:t>anticonvulsants,</w:t>
      </w:r>
      <w:r>
        <w:rPr>
          <w:color w:val="231F20"/>
          <w:spacing w:val="-10"/>
        </w:rPr>
        <w:t xml:space="preserve"> </w:t>
      </w:r>
      <w:r>
        <w:rPr>
          <w:color w:val="231F20"/>
        </w:rPr>
        <w:t>2B</w:t>
      </w:r>
      <w:r>
        <w:rPr>
          <w:color w:val="231F20"/>
          <w:spacing w:val="-9"/>
        </w:rPr>
        <w:t xml:space="preserve"> </w:t>
      </w:r>
      <w:r>
        <w:rPr>
          <w:color w:val="231F20"/>
        </w:rPr>
        <w:t>shows</w:t>
      </w:r>
      <w:r>
        <w:rPr>
          <w:color w:val="231F20"/>
          <w:spacing w:val="-10"/>
        </w:rPr>
        <w:t xml:space="preserve"> </w:t>
      </w:r>
      <w:r>
        <w:rPr>
          <w:color w:val="231F20"/>
        </w:rPr>
        <w:t>antidepressants,</w:t>
      </w:r>
      <w:r>
        <w:rPr>
          <w:color w:val="231F20"/>
          <w:spacing w:val="-9"/>
        </w:rPr>
        <w:t xml:space="preserve"> </w:t>
      </w:r>
      <w:r>
        <w:rPr>
          <w:color w:val="231F20"/>
        </w:rPr>
        <w:t>2C</w:t>
      </w:r>
      <w:r>
        <w:rPr>
          <w:color w:val="231F20"/>
          <w:spacing w:val="-10"/>
        </w:rPr>
        <w:t xml:space="preserve"> </w:t>
      </w:r>
      <w:r>
        <w:rPr>
          <w:color w:val="231F20"/>
        </w:rPr>
        <w:t>shows</w:t>
      </w:r>
      <w:r>
        <w:rPr>
          <w:color w:val="231F20"/>
          <w:spacing w:val="-10"/>
        </w:rPr>
        <w:t xml:space="preserve"> </w:t>
      </w:r>
      <w:r>
        <w:rPr>
          <w:color w:val="231F20"/>
        </w:rPr>
        <w:t>behavioral interventions,</w:t>
      </w:r>
      <w:r>
        <w:rPr>
          <w:color w:val="231F20"/>
          <w:spacing w:val="-9"/>
        </w:rPr>
        <w:t xml:space="preserve"> </w:t>
      </w:r>
      <w:r>
        <w:rPr>
          <w:color w:val="231F20"/>
        </w:rPr>
        <w:t>2D</w:t>
      </w:r>
      <w:r>
        <w:rPr>
          <w:color w:val="231F20"/>
          <w:spacing w:val="-11"/>
        </w:rPr>
        <w:t xml:space="preserve"> </w:t>
      </w:r>
      <w:r>
        <w:rPr>
          <w:color w:val="231F20"/>
        </w:rPr>
        <w:t>shows</w:t>
      </w:r>
      <w:r>
        <w:rPr>
          <w:color w:val="231F20"/>
          <w:spacing w:val="-10"/>
        </w:rPr>
        <w:t xml:space="preserve"> </w:t>
      </w:r>
      <w:r>
        <w:rPr>
          <w:color w:val="231F20"/>
        </w:rPr>
        <w:t>NSAIDs,</w:t>
      </w:r>
      <w:r>
        <w:rPr>
          <w:color w:val="231F20"/>
          <w:spacing w:val="-11"/>
        </w:rPr>
        <w:t xml:space="preserve"> </w:t>
      </w:r>
      <w:r>
        <w:rPr>
          <w:color w:val="231F20"/>
        </w:rPr>
        <w:t>and</w:t>
      </w:r>
      <w:r>
        <w:rPr>
          <w:color w:val="231F20"/>
          <w:spacing w:val="-11"/>
        </w:rPr>
        <w:t xml:space="preserve"> </w:t>
      </w:r>
      <w:r>
        <w:rPr>
          <w:color w:val="231F20"/>
        </w:rPr>
        <w:t>2E</w:t>
      </w:r>
      <w:r>
        <w:rPr>
          <w:color w:val="231F20"/>
          <w:spacing w:val="-11"/>
        </w:rPr>
        <w:t xml:space="preserve"> </w:t>
      </w:r>
      <w:r>
        <w:rPr>
          <w:color w:val="231F20"/>
        </w:rPr>
        <w:t>shows</w:t>
      </w:r>
      <w:r>
        <w:rPr>
          <w:color w:val="231F20"/>
          <w:spacing w:val="-10"/>
        </w:rPr>
        <w:t xml:space="preserve"> </w:t>
      </w:r>
      <w:r>
        <w:rPr>
          <w:color w:val="231F20"/>
        </w:rPr>
        <w:t>the</w:t>
      </w:r>
      <w:r>
        <w:rPr>
          <w:color w:val="231F20"/>
          <w:spacing w:val="-10"/>
        </w:rPr>
        <w:t xml:space="preserve"> </w:t>
      </w:r>
      <w:r>
        <w:rPr>
          <w:color w:val="231F20"/>
        </w:rPr>
        <w:t>Cochrane</w:t>
      </w:r>
      <w:r>
        <w:rPr>
          <w:color w:val="231F20"/>
          <w:spacing w:val="-10"/>
        </w:rPr>
        <w:t xml:space="preserve"> </w:t>
      </w:r>
      <w:r>
        <w:rPr>
          <w:color w:val="231F20"/>
        </w:rPr>
        <w:t>opioid</w:t>
      </w:r>
      <w:r>
        <w:rPr>
          <w:color w:val="231F20"/>
          <w:spacing w:val="-11"/>
        </w:rPr>
        <w:t xml:space="preserve"> </w:t>
      </w:r>
      <w:r>
        <w:rPr>
          <w:color w:val="231F20"/>
        </w:rPr>
        <w:t>reviews.</w:t>
      </w:r>
    </w:p>
    <w:p w:rsidR="002E4A25" w:rsidRDefault="002E4A25">
      <w:pPr>
        <w:spacing w:line="254" w:lineRule="auto"/>
        <w:jc w:val="both"/>
        <w:sectPr w:rsidR="002E4A25">
          <w:type w:val="continuous"/>
          <w:pgSz w:w="11880" w:h="15660"/>
          <w:pgMar w:top="320" w:right="1000" w:bottom="280" w:left="1080" w:header="720" w:footer="720" w:gutter="0"/>
          <w:cols w:space="720"/>
        </w:sectPr>
      </w:pPr>
    </w:p>
    <w:p w:rsidR="002E4A25" w:rsidRDefault="002E4A25">
      <w:pPr>
        <w:pStyle w:val="BodyText"/>
        <w:spacing w:before="2"/>
        <w:rPr>
          <w:sz w:val="17"/>
        </w:rPr>
      </w:pPr>
    </w:p>
    <w:p w:rsidR="002E4A25" w:rsidRDefault="002E4A25">
      <w:pPr>
        <w:rPr>
          <w:sz w:val="17"/>
        </w:rPr>
        <w:sectPr w:rsidR="002E4A25">
          <w:pgSz w:w="11880" w:h="15660"/>
          <w:pgMar w:top="1260" w:right="1000" w:bottom="880" w:left="1360" w:header="1068" w:footer="688" w:gutter="0"/>
          <w:cols w:space="720"/>
        </w:sectPr>
      </w:pPr>
    </w:p>
    <w:p w:rsidR="002E4A25" w:rsidRDefault="00D74ED8">
      <w:pPr>
        <w:pStyle w:val="BodyText"/>
        <w:spacing w:before="75" w:line="242" w:lineRule="auto"/>
        <w:ind w:left="119"/>
        <w:jc w:val="both"/>
      </w:pPr>
      <w:r>
        <w:pict>
          <v:shape id="_x0000_s1029" type="#_x0000_t202" style="position:absolute;left:0;text-align:left;margin-left:574.25pt;margin-top:245.3pt;width:10.9pt;height:293.3pt;z-index:251664896;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26">
                    <w:r>
                      <w:rPr>
                        <w:rFonts w:ascii="Times New Roman"/>
                        <w:color w:val="0000FF"/>
                        <w:sz w:val="16"/>
                      </w:rPr>
                      <w:t>http://painmedicine.oxfordjourna</w:t>
                    </w:r>
                    <w:r>
                      <w:rPr>
                        <w:rFonts w:ascii="Times New Roman"/>
                        <w:color w:val="0000FF"/>
                        <w:sz w:val="16"/>
                      </w:rPr>
                      <w:t xml:space="preserve">ls.org/ </w:t>
                    </w:r>
                  </w:hyperlink>
                  <w:r>
                    <w:rPr>
                      <w:rFonts w:ascii="Times New Roman"/>
                      <w:sz w:val="16"/>
                    </w:rPr>
                    <w:t>by guest on November 15, 2016</w:t>
                  </w:r>
                </w:p>
              </w:txbxContent>
            </v:textbox>
            <w10:wrap anchorx="page" anchory="page"/>
          </v:shape>
        </w:pict>
      </w:r>
      <w:r>
        <w:rPr>
          <w:color w:val="231F20"/>
        </w:rPr>
        <w:t>prevailing</w:t>
      </w:r>
      <w:r>
        <w:rPr>
          <w:color w:val="231F20"/>
          <w:spacing w:val="-11"/>
        </w:rPr>
        <w:t xml:space="preserve"> </w:t>
      </w:r>
      <w:r>
        <w:rPr>
          <w:color w:val="231F20"/>
        </w:rPr>
        <w:t>regulatory</w:t>
      </w:r>
      <w:r>
        <w:rPr>
          <w:color w:val="231F20"/>
          <w:spacing w:val="-11"/>
        </w:rPr>
        <w:t xml:space="preserve"> </w:t>
      </w:r>
      <w:r>
        <w:rPr>
          <w:color w:val="231F20"/>
        </w:rPr>
        <w:t>standards</w:t>
      </w:r>
      <w:r>
        <w:rPr>
          <w:color w:val="231F20"/>
          <w:spacing w:val="-11"/>
        </w:rPr>
        <w:t xml:space="preserve"> </w:t>
      </w:r>
      <w:r>
        <w:rPr>
          <w:color w:val="231F20"/>
        </w:rPr>
        <w:t>and</w:t>
      </w:r>
      <w:r>
        <w:rPr>
          <w:color w:val="231F20"/>
          <w:spacing w:val="-11"/>
        </w:rPr>
        <w:t xml:space="preserve"> </w:t>
      </w:r>
      <w:r>
        <w:rPr>
          <w:color w:val="231F20"/>
        </w:rPr>
        <w:t>hence</w:t>
      </w:r>
      <w:r>
        <w:rPr>
          <w:color w:val="231F20"/>
          <w:spacing w:val="-11"/>
        </w:rPr>
        <w:t xml:space="preserve"> </w:t>
      </w:r>
      <w:r>
        <w:rPr>
          <w:color w:val="231F20"/>
        </w:rPr>
        <w:t>rarely</w:t>
      </w:r>
      <w:r>
        <w:rPr>
          <w:color w:val="231F20"/>
          <w:spacing w:val="-11"/>
        </w:rPr>
        <w:t xml:space="preserve"> </w:t>
      </w:r>
      <w:r>
        <w:rPr>
          <w:color w:val="231F20"/>
        </w:rPr>
        <w:t>exceed 12</w:t>
      </w:r>
      <w:r>
        <w:rPr>
          <w:color w:val="231F20"/>
          <w:spacing w:val="-14"/>
        </w:rPr>
        <w:t xml:space="preserve"> </w:t>
      </w:r>
      <w:r>
        <w:rPr>
          <w:color w:val="231F20"/>
        </w:rPr>
        <w:t>weeks</w:t>
      </w:r>
      <w:r>
        <w:rPr>
          <w:color w:val="231F20"/>
          <w:spacing w:val="-14"/>
        </w:rPr>
        <w:t xml:space="preserve"> </w:t>
      </w:r>
      <w:r>
        <w:rPr>
          <w:color w:val="231F20"/>
        </w:rPr>
        <w:t>of</w:t>
      </w:r>
      <w:r>
        <w:rPr>
          <w:color w:val="231F20"/>
          <w:spacing w:val="-14"/>
        </w:rPr>
        <w:t xml:space="preserve"> </w:t>
      </w:r>
      <w:r>
        <w:rPr>
          <w:color w:val="231F20"/>
        </w:rPr>
        <w:t>efficacy</w:t>
      </w:r>
      <w:r>
        <w:rPr>
          <w:color w:val="231F20"/>
          <w:spacing w:val="-14"/>
        </w:rPr>
        <w:t xml:space="preserve"> </w:t>
      </w:r>
      <w:r>
        <w:rPr>
          <w:color w:val="231F20"/>
        </w:rPr>
        <w:t>or</w:t>
      </w:r>
      <w:r>
        <w:rPr>
          <w:color w:val="231F20"/>
          <w:spacing w:val="-14"/>
        </w:rPr>
        <w:t xml:space="preserve"> </w:t>
      </w:r>
      <w:r>
        <w:rPr>
          <w:color w:val="231F20"/>
        </w:rPr>
        <w:t>effectiveness</w:t>
      </w:r>
      <w:r>
        <w:rPr>
          <w:color w:val="231F20"/>
          <w:spacing w:val="-14"/>
        </w:rPr>
        <w:t xml:space="preserve"> </w:t>
      </w:r>
      <w:r>
        <w:rPr>
          <w:color w:val="231F20"/>
        </w:rPr>
        <w:t>assessment.</w:t>
      </w:r>
    </w:p>
    <w:p w:rsidR="002E4A25" w:rsidRDefault="002E4A25">
      <w:pPr>
        <w:pStyle w:val="BodyText"/>
        <w:spacing w:before="2"/>
      </w:pPr>
    </w:p>
    <w:p w:rsidR="002E4A25" w:rsidRDefault="00D74ED8">
      <w:pPr>
        <w:pStyle w:val="BodyText"/>
        <w:spacing w:before="1" w:line="242" w:lineRule="auto"/>
        <w:ind w:left="119"/>
        <w:jc w:val="both"/>
      </w:pPr>
      <w:r>
        <w:rPr>
          <w:color w:val="231F20"/>
        </w:rPr>
        <w:t>Our focus in the present analysis on duration of active treatment reflects our observation that raising the threshold of this inclusion criterion to become greater than a year was responsible for disqualification of an entire literature. That disqualificat</w:t>
      </w:r>
      <w:r>
        <w:rPr>
          <w:color w:val="231F20"/>
        </w:rPr>
        <w:t xml:space="preserve">ion led to negative conclusions about the efficacy and effectiveness of opi- oid therapy in the AHRQ 2014 evidence review and the 2016 CDC guideline that it informed, as well as other related publications involving one or more authors of these reports and </w:t>
      </w:r>
      <w:r>
        <w:rPr>
          <w:color w:val="231F20"/>
        </w:rPr>
        <w:t>including the same threshold of one year for inclusion of efficacy or effectiveness trials [</w:t>
      </w:r>
      <w:hyperlink w:anchor="_bookmark65" w:history="1">
        <w:r>
          <w:rPr>
            <w:color w:val="2E3092"/>
          </w:rPr>
          <w:t>68</w:t>
        </w:r>
      </w:hyperlink>
      <w:r>
        <w:rPr>
          <w:color w:val="231F20"/>
        </w:rPr>
        <w:t xml:space="preserve">]. These negative conclusions were in contrast to two guardedly positive earlier systematic reviews by the same methodologist, who </w:t>
      </w:r>
      <w:r>
        <w:rPr>
          <w:color w:val="231F20"/>
        </w:rPr>
        <w:t>led the 2009 American Pain Society/American Academy of Pain Medicine</w:t>
      </w:r>
      <w:r>
        <w:rPr>
          <w:color w:val="231F20"/>
          <w:spacing w:val="-25"/>
        </w:rPr>
        <w:t xml:space="preserve"> </w:t>
      </w:r>
      <w:r>
        <w:rPr>
          <w:color w:val="231F20"/>
        </w:rPr>
        <w:t>guidelines</w:t>
      </w:r>
    </w:p>
    <w:p w:rsidR="002E4A25" w:rsidRDefault="00D74ED8">
      <w:pPr>
        <w:pStyle w:val="ListParagraph"/>
        <w:numPr>
          <w:ilvl w:val="0"/>
          <w:numId w:val="1"/>
        </w:numPr>
        <w:tabs>
          <w:tab w:val="left" w:pos="398"/>
        </w:tabs>
        <w:spacing w:before="1" w:line="244" w:lineRule="auto"/>
        <w:ind w:firstLine="0"/>
        <w:jc w:val="both"/>
        <w:rPr>
          <w:sz w:val="18"/>
        </w:rPr>
      </w:pPr>
      <w:r>
        <w:rPr>
          <w:color w:val="231F20"/>
          <w:sz w:val="18"/>
        </w:rPr>
        <w:t>and contributed to a 2010 Cochrane review [</w:t>
      </w:r>
      <w:hyperlink w:anchor="_bookmark12" w:history="1">
        <w:r>
          <w:rPr>
            <w:color w:val="2E3092"/>
            <w:sz w:val="18"/>
          </w:rPr>
          <w:t>8</w:t>
        </w:r>
      </w:hyperlink>
      <w:r>
        <w:rPr>
          <w:color w:val="231F20"/>
          <w:sz w:val="18"/>
        </w:rPr>
        <w:t>] of the same topic. Of course, duration of active treatment is only one of many dimensions of evidence-based medicine that must be considered when evaluating and synthesizing the published literature to inform medical practice [</w:t>
      </w:r>
      <w:hyperlink w:anchor="_bookmark67" w:history="1">
        <w:r>
          <w:rPr>
            <w:color w:val="2E3092"/>
            <w:sz w:val="18"/>
          </w:rPr>
          <w:t>69</w:t>
        </w:r>
      </w:hyperlink>
      <w:r>
        <w:rPr>
          <w:color w:val="231F20"/>
          <w:sz w:val="18"/>
        </w:rPr>
        <w:t>], and many approaches have been applied to rate the strength of scientific evidence</w:t>
      </w:r>
      <w:r>
        <w:rPr>
          <w:color w:val="231F20"/>
          <w:spacing w:val="-22"/>
          <w:sz w:val="18"/>
        </w:rPr>
        <w:t xml:space="preserve"> </w:t>
      </w:r>
      <w:r>
        <w:rPr>
          <w:color w:val="231F20"/>
          <w:sz w:val="18"/>
        </w:rPr>
        <w:t>[</w:t>
      </w:r>
      <w:hyperlink w:anchor="_bookmark69" w:history="1">
        <w:r>
          <w:rPr>
            <w:color w:val="2E3092"/>
            <w:sz w:val="18"/>
          </w:rPr>
          <w:t>70</w:t>
        </w:r>
      </w:hyperlink>
      <w:r>
        <w:rPr>
          <w:color w:val="231F20"/>
          <w:sz w:val="18"/>
        </w:rPr>
        <w:t>].</w:t>
      </w:r>
    </w:p>
    <w:p w:rsidR="002E4A25" w:rsidRDefault="002E4A25">
      <w:pPr>
        <w:pStyle w:val="BodyText"/>
        <w:spacing w:before="10"/>
        <w:rPr>
          <w:sz w:val="17"/>
        </w:rPr>
      </w:pPr>
    </w:p>
    <w:p w:rsidR="002E4A25" w:rsidRDefault="00D74ED8">
      <w:pPr>
        <w:pStyle w:val="BodyText"/>
        <w:spacing w:before="1"/>
        <w:ind w:left="119"/>
        <w:jc w:val="both"/>
      </w:pPr>
      <w:r>
        <w:rPr>
          <w:color w:val="231F20"/>
          <w:w w:val="110"/>
        </w:rPr>
        <w:t>Conclusion</w:t>
      </w:r>
    </w:p>
    <w:p w:rsidR="002E4A25" w:rsidRDefault="002E4A25">
      <w:pPr>
        <w:pStyle w:val="BodyText"/>
        <w:spacing w:before="7"/>
      </w:pPr>
    </w:p>
    <w:p w:rsidR="002E4A25" w:rsidRDefault="00D74ED8">
      <w:pPr>
        <w:pStyle w:val="BodyText"/>
        <w:spacing w:before="1" w:line="244" w:lineRule="auto"/>
        <w:ind w:left="119"/>
        <w:jc w:val="both"/>
      </w:pPr>
      <w:r>
        <w:rPr>
          <w:color w:val="231F20"/>
        </w:rPr>
        <w:t xml:space="preserve">To categorize analgesic trials as of </w:t>
      </w:r>
      <w:bookmarkStart w:id="8" w:name="_bookmark5"/>
      <w:bookmarkStart w:id="9" w:name="_bookmark6"/>
      <w:bookmarkEnd w:id="8"/>
      <w:bookmarkEnd w:id="9"/>
      <w:r>
        <w:rPr>
          <w:color w:val="231F20"/>
        </w:rPr>
        <w:t>“inadequate dur- ation” if their observation period is a year or less is a maj</w:t>
      </w:r>
      <w:r>
        <w:rPr>
          <w:color w:val="231F20"/>
        </w:rPr>
        <w:t>or departure from existing standards for the</w:t>
      </w:r>
      <w:r>
        <w:rPr>
          <w:color w:val="231F20"/>
          <w:spacing w:val="-24"/>
        </w:rPr>
        <w:t xml:space="preserve"> </w:t>
      </w:r>
      <w:r>
        <w:rPr>
          <w:color w:val="231F20"/>
        </w:rPr>
        <w:t xml:space="preserve">duration of published treatment trials for chronic pain, the vast majority of which are 12 weeks or less. The </w:t>
      </w:r>
      <w:bookmarkStart w:id="10" w:name="_bookmark7"/>
      <w:bookmarkEnd w:id="10"/>
      <w:r>
        <w:rPr>
          <w:color w:val="231F20"/>
        </w:rPr>
        <w:t>published literature on major drug and nondrug treatments for chronic</w:t>
      </w:r>
      <w:r>
        <w:rPr>
          <w:color w:val="231F20"/>
          <w:spacing w:val="-12"/>
        </w:rPr>
        <w:t xml:space="preserve"> </w:t>
      </w:r>
      <w:r>
        <w:rPr>
          <w:color w:val="231F20"/>
        </w:rPr>
        <w:t>pain</w:t>
      </w:r>
      <w:r>
        <w:rPr>
          <w:color w:val="231F20"/>
          <w:spacing w:val="-12"/>
        </w:rPr>
        <w:t xml:space="preserve"> </w:t>
      </w:r>
      <w:r>
        <w:rPr>
          <w:color w:val="231F20"/>
        </w:rPr>
        <w:t>reveals</w:t>
      </w:r>
      <w:r>
        <w:rPr>
          <w:color w:val="231F20"/>
          <w:spacing w:val="-12"/>
        </w:rPr>
        <w:t xml:space="preserve"> </w:t>
      </w:r>
      <w:r>
        <w:rPr>
          <w:color w:val="231F20"/>
        </w:rPr>
        <w:t>similar</w:t>
      </w:r>
      <w:r>
        <w:rPr>
          <w:color w:val="231F20"/>
          <w:spacing w:val="-12"/>
        </w:rPr>
        <w:t xml:space="preserve"> </w:t>
      </w:r>
      <w:r>
        <w:rPr>
          <w:color w:val="231F20"/>
        </w:rPr>
        <w:t>profiles</w:t>
      </w:r>
      <w:r>
        <w:rPr>
          <w:color w:val="231F20"/>
          <w:spacing w:val="-12"/>
        </w:rPr>
        <w:t xml:space="preserve"> </w:t>
      </w:r>
      <w:r>
        <w:rPr>
          <w:color w:val="231F20"/>
        </w:rPr>
        <w:t>a</w:t>
      </w:r>
      <w:r>
        <w:rPr>
          <w:color w:val="231F20"/>
        </w:rPr>
        <w:t>cross</w:t>
      </w:r>
      <w:r>
        <w:rPr>
          <w:color w:val="231F20"/>
          <w:spacing w:val="-12"/>
        </w:rPr>
        <w:t xml:space="preserve"> </w:t>
      </w:r>
      <w:r>
        <w:rPr>
          <w:color w:val="231F20"/>
        </w:rPr>
        <w:t>modalities</w:t>
      </w:r>
      <w:r>
        <w:rPr>
          <w:color w:val="231F20"/>
          <w:spacing w:val="-12"/>
        </w:rPr>
        <w:t xml:space="preserve"> </w:t>
      </w:r>
      <w:r>
        <w:rPr>
          <w:color w:val="231F20"/>
        </w:rPr>
        <w:t>for numbers</w:t>
      </w:r>
      <w:r>
        <w:rPr>
          <w:color w:val="231F20"/>
          <w:spacing w:val="-7"/>
        </w:rPr>
        <w:t xml:space="preserve"> </w:t>
      </w:r>
      <w:r>
        <w:rPr>
          <w:color w:val="231F20"/>
        </w:rPr>
        <w:t>of</w:t>
      </w:r>
      <w:r>
        <w:rPr>
          <w:color w:val="231F20"/>
          <w:spacing w:val="-7"/>
        </w:rPr>
        <w:t xml:space="preserve"> </w:t>
      </w:r>
      <w:r>
        <w:rPr>
          <w:color w:val="231F20"/>
        </w:rPr>
        <w:t>studies</w:t>
      </w:r>
      <w:r>
        <w:rPr>
          <w:color w:val="231F20"/>
          <w:spacing w:val="-7"/>
        </w:rPr>
        <w:t xml:space="preserve"> </w:t>
      </w:r>
      <w:r>
        <w:rPr>
          <w:color w:val="231F20"/>
        </w:rPr>
        <w:t>vs</w:t>
      </w:r>
      <w:r>
        <w:rPr>
          <w:color w:val="231F20"/>
          <w:spacing w:val="-7"/>
        </w:rPr>
        <w:t xml:space="preserve"> </w:t>
      </w:r>
      <w:r>
        <w:rPr>
          <w:color w:val="231F20"/>
        </w:rPr>
        <w:t>duration</w:t>
      </w:r>
      <w:r>
        <w:rPr>
          <w:color w:val="231F20"/>
          <w:spacing w:val="-7"/>
        </w:rPr>
        <w:t xml:space="preserve"> </w:t>
      </w:r>
      <w:r>
        <w:rPr>
          <w:color w:val="231F20"/>
        </w:rPr>
        <w:t>of</w:t>
      </w:r>
      <w:r>
        <w:rPr>
          <w:color w:val="231F20"/>
          <w:spacing w:val="-7"/>
        </w:rPr>
        <w:t xml:space="preserve"> </w:t>
      </w:r>
      <w:r>
        <w:rPr>
          <w:color w:val="231F20"/>
        </w:rPr>
        <w:t>active</w:t>
      </w:r>
      <w:r>
        <w:rPr>
          <w:color w:val="231F20"/>
          <w:spacing w:val="-7"/>
        </w:rPr>
        <w:t xml:space="preserve"> </w:t>
      </w:r>
      <w:r>
        <w:rPr>
          <w:color w:val="231F20"/>
        </w:rPr>
        <w:t>treatment.</w:t>
      </w:r>
    </w:p>
    <w:p w:rsidR="002E4A25" w:rsidRDefault="002E4A25">
      <w:pPr>
        <w:pStyle w:val="BodyText"/>
        <w:spacing w:before="1"/>
      </w:pPr>
    </w:p>
    <w:p w:rsidR="002E4A25" w:rsidRDefault="00D74ED8">
      <w:pPr>
        <w:pStyle w:val="BodyText"/>
        <w:spacing w:line="242" w:lineRule="auto"/>
        <w:ind w:left="119"/>
        <w:jc w:val="both"/>
      </w:pPr>
      <w:r>
        <w:rPr>
          <w:color w:val="231F20"/>
        </w:rPr>
        <w:t>The</w:t>
      </w:r>
      <w:r>
        <w:rPr>
          <w:color w:val="231F20"/>
          <w:spacing w:val="-6"/>
        </w:rPr>
        <w:t xml:space="preserve"> </w:t>
      </w:r>
      <w:r>
        <w:rPr>
          <w:color w:val="231F20"/>
        </w:rPr>
        <w:t>risks</w:t>
      </w:r>
      <w:r>
        <w:rPr>
          <w:color w:val="231F20"/>
          <w:spacing w:val="-5"/>
        </w:rPr>
        <w:t xml:space="preserve"> </w:t>
      </w:r>
      <w:r>
        <w:rPr>
          <w:color w:val="231F20"/>
        </w:rPr>
        <w:t>of</w:t>
      </w:r>
      <w:r>
        <w:rPr>
          <w:color w:val="231F20"/>
          <w:spacing w:val="-6"/>
        </w:rPr>
        <w:t xml:space="preserve"> </w:t>
      </w:r>
      <w:r>
        <w:rPr>
          <w:color w:val="231F20"/>
        </w:rPr>
        <w:t>substance</w:t>
      </w:r>
      <w:r>
        <w:rPr>
          <w:color w:val="231F20"/>
          <w:spacing w:val="-5"/>
        </w:rPr>
        <w:t xml:space="preserve"> </w:t>
      </w:r>
      <w:r>
        <w:rPr>
          <w:color w:val="231F20"/>
        </w:rPr>
        <w:t>misuse</w:t>
      </w:r>
      <w:r>
        <w:rPr>
          <w:color w:val="231F20"/>
          <w:spacing w:val="-5"/>
        </w:rPr>
        <w:t xml:space="preserve"> </w:t>
      </w:r>
      <w:r>
        <w:rPr>
          <w:color w:val="231F20"/>
        </w:rPr>
        <w:t>and</w:t>
      </w:r>
      <w:r>
        <w:rPr>
          <w:color w:val="231F20"/>
          <w:spacing w:val="-6"/>
        </w:rPr>
        <w:t xml:space="preserve"> </w:t>
      </w:r>
      <w:r>
        <w:rPr>
          <w:color w:val="231F20"/>
        </w:rPr>
        <w:t>abuse</w:t>
      </w:r>
      <w:r>
        <w:rPr>
          <w:color w:val="231F20"/>
          <w:spacing w:val="-5"/>
        </w:rPr>
        <w:t xml:space="preserve"> </w:t>
      </w:r>
      <w:r>
        <w:rPr>
          <w:color w:val="231F20"/>
        </w:rPr>
        <w:t>posed</w:t>
      </w:r>
      <w:r>
        <w:rPr>
          <w:color w:val="231F20"/>
          <w:spacing w:val="-5"/>
        </w:rPr>
        <w:t xml:space="preserve"> </w:t>
      </w:r>
      <w:bookmarkStart w:id="11" w:name="_bookmark8"/>
      <w:bookmarkEnd w:id="11"/>
      <w:r>
        <w:rPr>
          <w:color w:val="231F20"/>
        </w:rPr>
        <w:t>by</w:t>
      </w:r>
      <w:r>
        <w:rPr>
          <w:color w:val="231F20"/>
          <w:spacing w:val="-5"/>
        </w:rPr>
        <w:t xml:space="preserve"> </w:t>
      </w:r>
      <w:r>
        <w:rPr>
          <w:color w:val="231F20"/>
        </w:rPr>
        <w:t xml:space="preserve">pre- scriptions of opioids at high doses for long durations— leading to more prolonged periods of opportunity for their diversion and diffusion into the </w:t>
      </w:r>
      <w:bookmarkStart w:id="12" w:name="_bookmark9"/>
      <w:bookmarkEnd w:id="12"/>
      <w:r>
        <w:rPr>
          <w:color w:val="231F20"/>
        </w:rPr>
        <w:t>community at large—have appropriately led to numerous efforts to curtail this public health problem. Ho</w:t>
      </w:r>
      <w:r>
        <w:rPr>
          <w:color w:val="231F20"/>
        </w:rPr>
        <w:t xml:space="preserve">wever, basing therapeutic decision-making upon durations of pub- lished clinical efficacy or effectiveness trials </w:t>
      </w:r>
      <w:bookmarkStart w:id="13" w:name="_bookmark10"/>
      <w:bookmarkEnd w:id="13"/>
      <w:r>
        <w:rPr>
          <w:color w:val="231F20"/>
        </w:rPr>
        <w:t>does not support choosing any drug or nondrug therapy over an- other. In fact, the opening words of the first recommen- dation of the CDC guid</w:t>
      </w:r>
      <w:r>
        <w:rPr>
          <w:color w:val="231F20"/>
        </w:rPr>
        <w:t>eline [</w:t>
      </w:r>
      <w:hyperlink w:anchor="_bookmark9" w:history="1">
        <w:r>
          <w:rPr>
            <w:color w:val="2E3092"/>
          </w:rPr>
          <w:t>5</w:t>
        </w:r>
      </w:hyperlink>
      <w:r>
        <w:rPr>
          <w:color w:val="231F20"/>
        </w:rPr>
        <w:t>] (“Nonpharmacologic therapy and nonopioid pharmacologic therapy are pre- ferred for chronic pain”) and the rationale presented</w:t>
      </w:r>
      <w:r>
        <w:rPr>
          <w:color w:val="231F20"/>
          <w:spacing w:val="-4"/>
        </w:rPr>
        <w:t xml:space="preserve"> </w:t>
      </w:r>
      <w:r>
        <w:rPr>
          <w:color w:val="231F20"/>
        </w:rPr>
        <w:t xml:space="preserve">dir- ectly below it make no mention of the overwhelmingly strong evidence for significant </w:t>
      </w:r>
      <w:r>
        <w:rPr>
          <w:color w:val="231F20"/>
        </w:rPr>
        <w:t xml:space="preserve">morbidity and mortality risk from the most likely nonopioid alternatives </w:t>
      </w:r>
      <w:bookmarkStart w:id="14" w:name="_bookmark11"/>
      <w:bookmarkEnd w:id="14"/>
      <w:r>
        <w:rPr>
          <w:color w:val="231F20"/>
        </w:rPr>
        <w:t>to opioid therapy for chronic pain: NSAIDs, coxibs, and acet- aminophen</w:t>
      </w:r>
      <w:r>
        <w:rPr>
          <w:color w:val="231F20"/>
          <w:spacing w:val="-7"/>
        </w:rPr>
        <w:t xml:space="preserve"> </w:t>
      </w:r>
      <w:r>
        <w:rPr>
          <w:color w:val="231F20"/>
        </w:rPr>
        <w:t>[</w:t>
      </w:r>
      <w:hyperlink w:anchor="_bookmark71" w:history="1">
        <w:r>
          <w:rPr>
            <w:color w:val="2E3092"/>
          </w:rPr>
          <w:t>71</w:t>
        </w:r>
      </w:hyperlink>
      <w:r>
        <w:rPr>
          <w:color w:val="231F20"/>
        </w:rPr>
        <w:t>–</w:t>
      </w:r>
      <w:hyperlink w:anchor="_bookmark74" w:history="1">
        <w:r>
          <w:rPr>
            <w:color w:val="2E3092"/>
          </w:rPr>
          <w:t>73</w:t>
        </w:r>
      </w:hyperlink>
      <w:r>
        <w:rPr>
          <w:color w:val="231F20"/>
        </w:rPr>
        <w:t>].</w:t>
      </w:r>
      <w:r>
        <w:rPr>
          <w:color w:val="231F20"/>
          <w:spacing w:val="-7"/>
        </w:rPr>
        <w:t xml:space="preserve"> </w:t>
      </w:r>
      <w:r>
        <w:rPr>
          <w:color w:val="231F20"/>
        </w:rPr>
        <w:t>The</w:t>
      </w:r>
      <w:r>
        <w:rPr>
          <w:color w:val="231F20"/>
          <w:spacing w:val="-7"/>
        </w:rPr>
        <w:t xml:space="preserve"> </w:t>
      </w:r>
      <w:r>
        <w:rPr>
          <w:color w:val="231F20"/>
        </w:rPr>
        <w:t>morbidity</w:t>
      </w:r>
      <w:r>
        <w:rPr>
          <w:color w:val="231F20"/>
          <w:spacing w:val="-7"/>
        </w:rPr>
        <w:t xml:space="preserve"> </w:t>
      </w:r>
      <w:r>
        <w:rPr>
          <w:color w:val="231F20"/>
        </w:rPr>
        <w:t>and</w:t>
      </w:r>
      <w:r>
        <w:rPr>
          <w:color w:val="231F20"/>
          <w:spacing w:val="-7"/>
        </w:rPr>
        <w:t xml:space="preserve"> </w:t>
      </w:r>
      <w:r>
        <w:rPr>
          <w:color w:val="231F20"/>
        </w:rPr>
        <w:t>mortality</w:t>
      </w:r>
      <w:r>
        <w:rPr>
          <w:color w:val="231F20"/>
          <w:spacing w:val="-7"/>
        </w:rPr>
        <w:t xml:space="preserve"> </w:t>
      </w:r>
      <w:r>
        <w:rPr>
          <w:color w:val="231F20"/>
        </w:rPr>
        <w:t>likely</w:t>
      </w:r>
      <w:r>
        <w:rPr>
          <w:color w:val="231F20"/>
          <w:spacing w:val="-7"/>
        </w:rPr>
        <w:t xml:space="preserve"> </w:t>
      </w:r>
      <w:r>
        <w:rPr>
          <w:color w:val="231F20"/>
        </w:rPr>
        <w:t>to re</w:t>
      </w:r>
      <w:r>
        <w:rPr>
          <w:color w:val="231F20"/>
        </w:rPr>
        <w:t>sult from an increased population-wide consumption as a consequence of following this recommendation</w:t>
      </w:r>
      <w:r>
        <w:rPr>
          <w:color w:val="231F20"/>
          <w:spacing w:val="-26"/>
        </w:rPr>
        <w:t xml:space="preserve"> </w:t>
      </w:r>
      <w:r>
        <w:rPr>
          <w:color w:val="231F20"/>
        </w:rPr>
        <w:t>are difficult to estimate [</w:t>
      </w:r>
      <w:hyperlink w:anchor="_bookmark76" w:history="1">
        <w:r>
          <w:rPr>
            <w:color w:val="2E3092"/>
          </w:rPr>
          <w:t>74</w:t>
        </w:r>
      </w:hyperlink>
      <w:r>
        <w:rPr>
          <w:color w:val="231F20"/>
        </w:rPr>
        <w:t xml:space="preserve">] but likely to be of </w:t>
      </w:r>
      <w:bookmarkStart w:id="15" w:name="_bookmark12"/>
      <w:bookmarkEnd w:id="15"/>
      <w:r>
        <w:rPr>
          <w:color w:val="231F20"/>
        </w:rPr>
        <w:t>the same magnitude as from opioids. Safety concerns about these nonopioid</w:t>
      </w:r>
      <w:r>
        <w:rPr>
          <w:color w:val="231F20"/>
        </w:rPr>
        <w:t xml:space="preserve"> alternatives are sufficiently compelling as</w:t>
      </w:r>
      <w:r>
        <w:rPr>
          <w:color w:val="231F20"/>
          <w:spacing w:val="16"/>
        </w:rPr>
        <w:t xml:space="preserve"> </w:t>
      </w:r>
      <w:r>
        <w:rPr>
          <w:color w:val="231F20"/>
        </w:rPr>
        <w:t>to</w:t>
      </w:r>
      <w:r>
        <w:rPr>
          <w:color w:val="231F20"/>
          <w:spacing w:val="17"/>
        </w:rPr>
        <w:t xml:space="preserve"> </w:t>
      </w:r>
      <w:r>
        <w:rPr>
          <w:color w:val="231F20"/>
        </w:rPr>
        <w:t>have</w:t>
      </w:r>
      <w:r>
        <w:rPr>
          <w:color w:val="231F20"/>
          <w:spacing w:val="16"/>
        </w:rPr>
        <w:t xml:space="preserve"> </w:t>
      </w:r>
      <w:r>
        <w:rPr>
          <w:color w:val="231F20"/>
        </w:rPr>
        <w:t>prompted</w:t>
      </w:r>
      <w:r>
        <w:rPr>
          <w:color w:val="231F20"/>
          <w:spacing w:val="17"/>
        </w:rPr>
        <w:t xml:space="preserve"> </w:t>
      </w:r>
      <w:r>
        <w:rPr>
          <w:color w:val="231F20"/>
        </w:rPr>
        <w:t>the</w:t>
      </w:r>
      <w:r>
        <w:rPr>
          <w:color w:val="231F20"/>
          <w:spacing w:val="16"/>
        </w:rPr>
        <w:t xml:space="preserve"> </w:t>
      </w:r>
      <w:r>
        <w:rPr>
          <w:color w:val="231F20"/>
        </w:rPr>
        <w:t>US</w:t>
      </w:r>
      <w:r>
        <w:rPr>
          <w:color w:val="231F20"/>
          <w:spacing w:val="17"/>
        </w:rPr>
        <w:t xml:space="preserve"> </w:t>
      </w:r>
      <w:r>
        <w:rPr>
          <w:color w:val="231F20"/>
        </w:rPr>
        <w:t>FDA</w:t>
      </w:r>
      <w:r>
        <w:rPr>
          <w:color w:val="231F20"/>
          <w:spacing w:val="17"/>
        </w:rPr>
        <w:t xml:space="preserve"> </w:t>
      </w:r>
      <w:r>
        <w:rPr>
          <w:color w:val="231F20"/>
        </w:rPr>
        <w:t>to</w:t>
      </w:r>
      <w:r>
        <w:rPr>
          <w:color w:val="231F20"/>
          <w:spacing w:val="16"/>
        </w:rPr>
        <w:t xml:space="preserve"> </w:t>
      </w:r>
      <w:r>
        <w:rPr>
          <w:color w:val="231F20"/>
        </w:rPr>
        <w:t>issue</w:t>
      </w:r>
      <w:r>
        <w:rPr>
          <w:color w:val="231F20"/>
          <w:spacing w:val="17"/>
        </w:rPr>
        <w:t xml:space="preserve"> </w:t>
      </w:r>
      <w:r>
        <w:rPr>
          <w:color w:val="231F20"/>
        </w:rPr>
        <w:t>its</w:t>
      </w:r>
      <w:r>
        <w:rPr>
          <w:color w:val="231F20"/>
          <w:spacing w:val="16"/>
        </w:rPr>
        <w:t xml:space="preserve"> </w:t>
      </w:r>
      <w:r>
        <w:rPr>
          <w:color w:val="231F20"/>
        </w:rPr>
        <w:t>latest</w:t>
      </w:r>
      <w:r>
        <w:rPr>
          <w:color w:val="231F20"/>
          <w:spacing w:val="17"/>
        </w:rPr>
        <w:t xml:space="preserve"> </w:t>
      </w:r>
      <w:r>
        <w:rPr>
          <w:color w:val="231F20"/>
        </w:rPr>
        <w:t>of</w:t>
      </w:r>
    </w:p>
    <w:p w:rsidR="002E4A25" w:rsidRDefault="00D74ED8">
      <w:pPr>
        <w:pStyle w:val="BodyText"/>
        <w:spacing w:before="76" w:line="249" w:lineRule="auto"/>
        <w:ind w:left="119" w:right="196"/>
        <w:jc w:val="both"/>
      </w:pPr>
      <w:r>
        <w:br w:type="column"/>
      </w:r>
      <w:r>
        <w:rPr>
          <w:color w:val="231F20"/>
        </w:rPr>
        <w:t>many NSAID safety warnings in a 2015 “Drug Safety Communication” [</w:t>
      </w:r>
      <w:hyperlink w:anchor="_bookmark77" w:history="1">
        <w:r>
          <w:rPr>
            <w:color w:val="2E3092"/>
          </w:rPr>
          <w:t>75</w:t>
        </w:r>
      </w:hyperlink>
      <w:r>
        <w:rPr>
          <w:color w:val="231F20"/>
        </w:rPr>
        <w:t>]. In the future, as more population- based information becomes available to fill existing re- search gaps [</w:t>
      </w:r>
      <w:hyperlink w:anchor="_bookmark79" w:history="1">
        <w:r>
          <w:rPr>
            <w:color w:val="2E3092"/>
          </w:rPr>
          <w:t>76</w:t>
        </w:r>
      </w:hyperlink>
      <w:r>
        <w:rPr>
          <w:color w:val="231F20"/>
        </w:rPr>
        <w:t>], clarifying the selection and mainten- ance of patients who may benefit from opioid therapy</w:t>
      </w:r>
      <w:r>
        <w:rPr>
          <w:color w:val="231F20"/>
          <w:spacing w:val="-15"/>
        </w:rPr>
        <w:t xml:space="preserve"> </w:t>
      </w:r>
      <w:r>
        <w:rPr>
          <w:color w:val="231F20"/>
        </w:rPr>
        <w:t>or other drug or nond</w:t>
      </w:r>
      <w:r>
        <w:rPr>
          <w:color w:val="231F20"/>
        </w:rPr>
        <w:t>rug interventions to control chronic pain must be a high</w:t>
      </w:r>
      <w:r>
        <w:rPr>
          <w:color w:val="231F20"/>
          <w:spacing w:val="-17"/>
        </w:rPr>
        <w:t xml:space="preserve"> </w:t>
      </w:r>
      <w:r>
        <w:rPr>
          <w:color w:val="231F20"/>
        </w:rPr>
        <w:t>priority.</w:t>
      </w:r>
    </w:p>
    <w:p w:rsidR="002E4A25" w:rsidRDefault="002E4A25">
      <w:pPr>
        <w:pStyle w:val="BodyText"/>
      </w:pPr>
    </w:p>
    <w:p w:rsidR="002E4A25" w:rsidRDefault="002E4A25">
      <w:pPr>
        <w:pStyle w:val="BodyText"/>
        <w:spacing w:before="10"/>
        <w:rPr>
          <w:sz w:val="17"/>
        </w:rPr>
      </w:pPr>
    </w:p>
    <w:p w:rsidR="002E4A25" w:rsidRDefault="00D74ED8">
      <w:pPr>
        <w:pStyle w:val="BodyText"/>
        <w:ind w:left="119"/>
        <w:jc w:val="both"/>
      </w:pPr>
      <w:r>
        <w:rPr>
          <w:color w:val="231F20"/>
          <w:w w:val="110"/>
        </w:rPr>
        <w:t>Acknowledgments</w:t>
      </w:r>
    </w:p>
    <w:p w:rsidR="002E4A25" w:rsidRDefault="002E4A25">
      <w:pPr>
        <w:pStyle w:val="BodyText"/>
        <w:spacing w:before="2"/>
      </w:pPr>
    </w:p>
    <w:p w:rsidR="002E4A25" w:rsidRDefault="00D74ED8">
      <w:pPr>
        <w:pStyle w:val="BodyText"/>
        <w:spacing w:line="249" w:lineRule="auto"/>
        <w:ind w:left="119" w:right="195"/>
        <w:jc w:val="both"/>
      </w:pPr>
      <w:r>
        <w:rPr>
          <w:color w:val="231F20"/>
        </w:rPr>
        <w:t>We</w:t>
      </w:r>
      <w:r>
        <w:rPr>
          <w:color w:val="231F20"/>
          <w:spacing w:val="-9"/>
        </w:rPr>
        <w:t xml:space="preserve"> </w:t>
      </w:r>
      <w:r>
        <w:rPr>
          <w:color w:val="231F20"/>
        </w:rPr>
        <w:t>thank</w:t>
      </w:r>
      <w:r>
        <w:rPr>
          <w:color w:val="231F20"/>
          <w:spacing w:val="-9"/>
        </w:rPr>
        <w:t xml:space="preserve"> </w:t>
      </w:r>
      <w:r>
        <w:rPr>
          <w:color w:val="231F20"/>
        </w:rPr>
        <w:t>Laura</w:t>
      </w:r>
      <w:r>
        <w:rPr>
          <w:color w:val="231F20"/>
          <w:spacing w:val="-9"/>
        </w:rPr>
        <w:t xml:space="preserve"> </w:t>
      </w:r>
      <w:r>
        <w:rPr>
          <w:color w:val="231F20"/>
        </w:rPr>
        <w:t>Pavlech</w:t>
      </w:r>
      <w:r>
        <w:rPr>
          <w:color w:val="231F20"/>
          <w:spacing w:val="-8"/>
        </w:rPr>
        <w:t xml:space="preserve"> </w:t>
      </w:r>
      <w:r>
        <w:rPr>
          <w:color w:val="231F20"/>
        </w:rPr>
        <w:t>DVM</w:t>
      </w:r>
      <w:r>
        <w:rPr>
          <w:color w:val="231F20"/>
          <w:spacing w:val="-9"/>
        </w:rPr>
        <w:t xml:space="preserve"> </w:t>
      </w:r>
      <w:r>
        <w:rPr>
          <w:color w:val="231F20"/>
        </w:rPr>
        <w:t>MSLS</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Hirsh</w:t>
      </w:r>
      <w:r>
        <w:rPr>
          <w:color w:val="231F20"/>
          <w:spacing w:val="-9"/>
        </w:rPr>
        <w:t xml:space="preserve"> </w:t>
      </w:r>
      <w:r>
        <w:rPr>
          <w:color w:val="231F20"/>
        </w:rPr>
        <w:t>Health Sciences</w:t>
      </w:r>
      <w:r>
        <w:rPr>
          <w:color w:val="231F20"/>
          <w:spacing w:val="-19"/>
        </w:rPr>
        <w:t xml:space="preserve"> </w:t>
      </w:r>
      <w:r>
        <w:rPr>
          <w:color w:val="231F20"/>
        </w:rPr>
        <w:t>Library,</w:t>
      </w:r>
      <w:r>
        <w:rPr>
          <w:color w:val="231F20"/>
          <w:spacing w:val="-19"/>
        </w:rPr>
        <w:t xml:space="preserve"> </w:t>
      </w:r>
      <w:r>
        <w:rPr>
          <w:color w:val="231F20"/>
        </w:rPr>
        <w:t>Tufts</w:t>
      </w:r>
      <w:r>
        <w:rPr>
          <w:color w:val="231F20"/>
          <w:spacing w:val="-20"/>
        </w:rPr>
        <w:t xml:space="preserve"> </w:t>
      </w:r>
      <w:r>
        <w:rPr>
          <w:color w:val="231F20"/>
        </w:rPr>
        <w:t>University</w:t>
      </w:r>
      <w:r>
        <w:rPr>
          <w:color w:val="231F20"/>
          <w:spacing w:val="-19"/>
        </w:rPr>
        <w:t xml:space="preserve"> </w:t>
      </w:r>
      <w:r>
        <w:rPr>
          <w:color w:val="231F20"/>
        </w:rPr>
        <w:t>School</w:t>
      </w:r>
      <w:r>
        <w:rPr>
          <w:color w:val="231F20"/>
          <w:spacing w:val="-20"/>
        </w:rPr>
        <w:t xml:space="preserve"> </w:t>
      </w:r>
      <w:r>
        <w:rPr>
          <w:color w:val="231F20"/>
        </w:rPr>
        <w:t>of</w:t>
      </w:r>
      <w:r>
        <w:rPr>
          <w:color w:val="231F20"/>
          <w:spacing w:val="-20"/>
        </w:rPr>
        <w:t xml:space="preserve"> </w:t>
      </w:r>
      <w:r>
        <w:rPr>
          <w:color w:val="231F20"/>
        </w:rPr>
        <w:t>Medicine,</w:t>
      </w:r>
      <w:r>
        <w:rPr>
          <w:color w:val="231F20"/>
          <w:spacing w:val="-20"/>
        </w:rPr>
        <w:t xml:space="preserve"> </w:t>
      </w:r>
      <w:r>
        <w:rPr>
          <w:color w:val="231F20"/>
        </w:rPr>
        <w:t xml:space="preserve">for </w:t>
      </w:r>
      <w:r>
        <w:rPr>
          <w:color w:val="231F20"/>
          <w:w w:val="95"/>
        </w:rPr>
        <w:t>assistance with literature</w:t>
      </w:r>
      <w:r>
        <w:rPr>
          <w:color w:val="231F20"/>
          <w:spacing w:val="-26"/>
          <w:w w:val="95"/>
        </w:rPr>
        <w:t xml:space="preserve"> </w:t>
      </w:r>
      <w:r>
        <w:rPr>
          <w:color w:val="231F20"/>
          <w:w w:val="95"/>
        </w:rPr>
        <w:t>retrieval.</w:t>
      </w:r>
    </w:p>
    <w:p w:rsidR="002E4A25" w:rsidRDefault="002E4A25">
      <w:pPr>
        <w:pStyle w:val="BodyText"/>
      </w:pPr>
    </w:p>
    <w:p w:rsidR="002E4A25" w:rsidRDefault="00D74ED8">
      <w:pPr>
        <w:pStyle w:val="BodyText"/>
        <w:spacing w:before="145"/>
        <w:ind w:left="119"/>
        <w:jc w:val="both"/>
      </w:pPr>
      <w:r>
        <w:rPr>
          <w:color w:val="231F20"/>
          <w:w w:val="105"/>
        </w:rPr>
        <w:t>Supplementary Data</w:t>
      </w:r>
    </w:p>
    <w:p w:rsidR="002E4A25" w:rsidRDefault="002E4A25">
      <w:pPr>
        <w:pStyle w:val="BodyText"/>
        <w:spacing w:before="7"/>
      </w:pPr>
    </w:p>
    <w:p w:rsidR="002E4A25" w:rsidRDefault="00D74ED8">
      <w:pPr>
        <w:pStyle w:val="BodyText"/>
        <w:spacing w:line="252" w:lineRule="auto"/>
        <w:ind w:left="119" w:right="192"/>
        <w:jc w:val="both"/>
      </w:pPr>
      <w:r>
        <w:rPr>
          <w:color w:val="2E3092"/>
        </w:rPr>
        <w:t xml:space="preserve">Supplementary Data </w:t>
      </w:r>
      <w:r>
        <w:rPr>
          <w:color w:val="231F20"/>
        </w:rPr>
        <w:t xml:space="preserve">can be found online at </w:t>
      </w:r>
      <w:hyperlink r:id="rId27">
        <w:r>
          <w:rPr>
            <w:color w:val="231F20"/>
          </w:rPr>
          <w:t>http://</w:t>
        </w:r>
      </w:hyperlink>
      <w:r>
        <w:rPr>
          <w:color w:val="231F20"/>
        </w:rPr>
        <w:t xml:space="preserve"> </w:t>
      </w:r>
      <w:hyperlink r:id="rId28">
        <w:r>
          <w:rPr>
            <w:color w:val="231F20"/>
          </w:rPr>
          <w:t>painmedicine.oxfordjournals.or</w:t>
        </w:r>
      </w:hyperlink>
      <w:r>
        <w:rPr>
          <w:color w:val="231F20"/>
        </w:rPr>
        <w:t>g.</w:t>
      </w:r>
    </w:p>
    <w:p w:rsidR="002E4A25" w:rsidRDefault="002E4A25">
      <w:pPr>
        <w:pStyle w:val="BodyText"/>
      </w:pPr>
    </w:p>
    <w:p w:rsidR="002E4A25" w:rsidRDefault="002E4A25">
      <w:pPr>
        <w:pStyle w:val="BodyText"/>
      </w:pPr>
    </w:p>
    <w:p w:rsidR="002E4A25" w:rsidRDefault="002E4A25">
      <w:pPr>
        <w:pStyle w:val="BodyText"/>
        <w:spacing w:before="2"/>
        <w:rPr>
          <w:sz w:val="26"/>
        </w:rPr>
      </w:pPr>
    </w:p>
    <w:p w:rsidR="002E4A25" w:rsidRDefault="00D74ED8">
      <w:pPr>
        <w:pStyle w:val="BodyText"/>
        <w:ind w:left="119"/>
        <w:jc w:val="both"/>
      </w:pPr>
      <w:r>
        <w:rPr>
          <w:color w:val="231F20"/>
          <w:w w:val="105"/>
        </w:rPr>
        <w:t>References</w:t>
      </w:r>
    </w:p>
    <w:p w:rsidR="002E4A25" w:rsidRDefault="00D74ED8">
      <w:pPr>
        <w:pStyle w:val="ListParagraph"/>
        <w:numPr>
          <w:ilvl w:val="1"/>
          <w:numId w:val="1"/>
        </w:numPr>
        <w:tabs>
          <w:tab w:val="left" w:pos="418"/>
        </w:tabs>
        <w:spacing w:before="12" w:line="261" w:lineRule="auto"/>
        <w:ind w:right="195" w:hanging="198"/>
        <w:jc w:val="both"/>
        <w:rPr>
          <w:sz w:val="18"/>
        </w:rPr>
      </w:pPr>
      <w:r>
        <w:rPr>
          <w:color w:val="231F20"/>
          <w:sz w:val="18"/>
        </w:rPr>
        <w:t>Homer. The Odyssey. 1st ed. New York: Far</w:t>
      </w:r>
      <w:r>
        <w:rPr>
          <w:color w:val="231F20"/>
          <w:sz w:val="18"/>
        </w:rPr>
        <w:t>rar, Straus and Giroux;</w:t>
      </w:r>
      <w:r>
        <w:rPr>
          <w:color w:val="231F20"/>
          <w:spacing w:val="-27"/>
          <w:sz w:val="18"/>
        </w:rPr>
        <w:t xml:space="preserve"> </w:t>
      </w:r>
      <w:r>
        <w:rPr>
          <w:color w:val="231F20"/>
          <w:sz w:val="18"/>
        </w:rPr>
        <w:t>1998.</w:t>
      </w:r>
    </w:p>
    <w:p w:rsidR="002E4A25" w:rsidRDefault="002E4A25">
      <w:pPr>
        <w:pStyle w:val="BodyText"/>
        <w:spacing w:before="11"/>
        <w:rPr>
          <w:sz w:val="16"/>
        </w:rPr>
      </w:pPr>
    </w:p>
    <w:p w:rsidR="002E4A25" w:rsidRDefault="00D74ED8">
      <w:pPr>
        <w:pStyle w:val="ListParagraph"/>
        <w:numPr>
          <w:ilvl w:val="1"/>
          <w:numId w:val="1"/>
        </w:numPr>
        <w:tabs>
          <w:tab w:val="left" w:pos="418"/>
        </w:tabs>
        <w:spacing w:line="261" w:lineRule="auto"/>
        <w:ind w:right="195" w:hanging="198"/>
        <w:jc w:val="both"/>
        <w:rPr>
          <w:sz w:val="18"/>
        </w:rPr>
      </w:pPr>
      <w:r>
        <w:rPr>
          <w:color w:val="231F20"/>
          <w:sz w:val="18"/>
        </w:rPr>
        <w:t xml:space="preserve">Rosenblum A, Marsch LA, Joseph H, Portenoy RK. Opioids and the treatment of chronic pain: Controversies, current status, and future directions. </w:t>
      </w:r>
      <w:r>
        <w:rPr>
          <w:color w:val="231F20"/>
          <w:w w:val="95"/>
          <w:sz w:val="18"/>
        </w:rPr>
        <w:t>Exp  Clin  Psychopharmacol 2008;16(5):405–16.</w:t>
      </w:r>
    </w:p>
    <w:p w:rsidR="002E4A25" w:rsidRDefault="002E4A25">
      <w:pPr>
        <w:pStyle w:val="BodyText"/>
        <w:spacing w:before="11"/>
        <w:rPr>
          <w:sz w:val="16"/>
        </w:rPr>
      </w:pPr>
    </w:p>
    <w:p w:rsidR="002E4A25" w:rsidRDefault="00D74ED8">
      <w:pPr>
        <w:pStyle w:val="ListParagraph"/>
        <w:numPr>
          <w:ilvl w:val="1"/>
          <w:numId w:val="1"/>
        </w:numPr>
        <w:tabs>
          <w:tab w:val="left" w:pos="418"/>
        </w:tabs>
        <w:spacing w:line="261" w:lineRule="auto"/>
        <w:ind w:right="194" w:hanging="198"/>
        <w:jc w:val="both"/>
        <w:rPr>
          <w:sz w:val="18"/>
        </w:rPr>
      </w:pPr>
      <w:r>
        <w:rPr>
          <w:color w:val="231F20"/>
          <w:sz w:val="18"/>
        </w:rPr>
        <w:t>Volkow ND, McLellan AT. Opioid abu</w:t>
      </w:r>
      <w:r>
        <w:rPr>
          <w:color w:val="231F20"/>
          <w:sz w:val="18"/>
        </w:rPr>
        <w:t>se in chronic pain–misconceptions and mitigation strategies. N Engl</w:t>
      </w:r>
      <w:r>
        <w:rPr>
          <w:color w:val="231F20"/>
          <w:spacing w:val="-18"/>
          <w:sz w:val="18"/>
        </w:rPr>
        <w:t xml:space="preserve"> </w:t>
      </w:r>
      <w:r>
        <w:rPr>
          <w:color w:val="231F20"/>
          <w:sz w:val="18"/>
        </w:rPr>
        <w:t>J</w:t>
      </w:r>
      <w:r>
        <w:rPr>
          <w:color w:val="231F20"/>
          <w:spacing w:val="-18"/>
          <w:sz w:val="18"/>
        </w:rPr>
        <w:t xml:space="preserve"> </w:t>
      </w:r>
      <w:r>
        <w:rPr>
          <w:color w:val="231F20"/>
          <w:sz w:val="18"/>
        </w:rPr>
        <w:t>Med</w:t>
      </w:r>
      <w:r>
        <w:rPr>
          <w:color w:val="231F20"/>
          <w:spacing w:val="-18"/>
          <w:sz w:val="18"/>
        </w:rPr>
        <w:t xml:space="preserve"> </w:t>
      </w:r>
      <w:r>
        <w:rPr>
          <w:color w:val="231F20"/>
          <w:sz w:val="18"/>
        </w:rPr>
        <w:t>2016;374(13):1253–63.</w:t>
      </w:r>
    </w:p>
    <w:p w:rsidR="002E4A25" w:rsidRDefault="002E4A25">
      <w:pPr>
        <w:pStyle w:val="BodyText"/>
        <w:spacing w:before="10"/>
        <w:rPr>
          <w:sz w:val="16"/>
        </w:rPr>
      </w:pPr>
    </w:p>
    <w:p w:rsidR="002E4A25" w:rsidRDefault="00D74ED8">
      <w:pPr>
        <w:pStyle w:val="ListParagraph"/>
        <w:numPr>
          <w:ilvl w:val="1"/>
          <w:numId w:val="1"/>
        </w:numPr>
        <w:tabs>
          <w:tab w:val="left" w:pos="418"/>
        </w:tabs>
        <w:spacing w:line="264" w:lineRule="auto"/>
        <w:ind w:right="194" w:hanging="198"/>
        <w:jc w:val="both"/>
        <w:rPr>
          <w:sz w:val="18"/>
        </w:rPr>
      </w:pPr>
      <w:r>
        <w:rPr>
          <w:color w:val="231F20"/>
          <w:sz w:val="18"/>
        </w:rPr>
        <w:t>Carr DB. “Pain is a public health problem”—what does that mean and why should we care? Pain</w:t>
      </w:r>
      <w:r>
        <w:rPr>
          <w:color w:val="231F20"/>
          <w:spacing w:val="-13"/>
          <w:sz w:val="18"/>
        </w:rPr>
        <w:t xml:space="preserve"> </w:t>
      </w:r>
      <w:r>
        <w:rPr>
          <w:color w:val="231F20"/>
          <w:sz w:val="18"/>
        </w:rPr>
        <w:t>Med 2016;17(4):626–7.</w:t>
      </w:r>
    </w:p>
    <w:p w:rsidR="002E4A25" w:rsidRDefault="002E4A25">
      <w:pPr>
        <w:pStyle w:val="BodyText"/>
        <w:spacing w:before="8"/>
        <w:rPr>
          <w:sz w:val="16"/>
        </w:rPr>
      </w:pPr>
    </w:p>
    <w:p w:rsidR="002E4A25" w:rsidRDefault="00D74ED8">
      <w:pPr>
        <w:pStyle w:val="ListParagraph"/>
        <w:numPr>
          <w:ilvl w:val="1"/>
          <w:numId w:val="1"/>
        </w:numPr>
        <w:tabs>
          <w:tab w:val="left" w:pos="418"/>
        </w:tabs>
        <w:spacing w:line="261" w:lineRule="auto"/>
        <w:ind w:right="194" w:hanging="198"/>
        <w:jc w:val="both"/>
        <w:rPr>
          <w:sz w:val="18"/>
        </w:rPr>
      </w:pPr>
      <w:r>
        <w:rPr>
          <w:color w:val="231F20"/>
          <w:sz w:val="18"/>
        </w:rPr>
        <w:t>Dowell</w:t>
      </w:r>
      <w:r>
        <w:rPr>
          <w:color w:val="231F20"/>
          <w:spacing w:val="-7"/>
          <w:sz w:val="18"/>
        </w:rPr>
        <w:t xml:space="preserve"> </w:t>
      </w:r>
      <w:r>
        <w:rPr>
          <w:color w:val="231F20"/>
          <w:sz w:val="18"/>
        </w:rPr>
        <w:t>D,</w:t>
      </w:r>
      <w:r>
        <w:rPr>
          <w:color w:val="231F20"/>
          <w:spacing w:val="-9"/>
          <w:sz w:val="18"/>
        </w:rPr>
        <w:t xml:space="preserve"> </w:t>
      </w:r>
      <w:r>
        <w:rPr>
          <w:color w:val="231F20"/>
          <w:sz w:val="18"/>
        </w:rPr>
        <w:t>Haegerich</w:t>
      </w:r>
      <w:r>
        <w:rPr>
          <w:color w:val="231F20"/>
          <w:spacing w:val="-8"/>
          <w:sz w:val="18"/>
        </w:rPr>
        <w:t xml:space="preserve"> </w:t>
      </w:r>
      <w:r>
        <w:rPr>
          <w:color w:val="231F20"/>
          <w:sz w:val="18"/>
        </w:rPr>
        <w:t>TM,</w:t>
      </w:r>
      <w:r>
        <w:rPr>
          <w:color w:val="231F20"/>
          <w:spacing w:val="-8"/>
          <w:sz w:val="18"/>
        </w:rPr>
        <w:t xml:space="preserve"> </w:t>
      </w:r>
      <w:r>
        <w:rPr>
          <w:color w:val="231F20"/>
          <w:sz w:val="18"/>
        </w:rPr>
        <w:t>Chou</w:t>
      </w:r>
      <w:r>
        <w:rPr>
          <w:color w:val="231F20"/>
          <w:spacing w:val="-8"/>
          <w:sz w:val="18"/>
        </w:rPr>
        <w:t xml:space="preserve"> </w:t>
      </w:r>
      <w:r>
        <w:rPr>
          <w:color w:val="231F20"/>
          <w:sz w:val="18"/>
        </w:rPr>
        <w:t>R.</w:t>
      </w:r>
      <w:r>
        <w:rPr>
          <w:color w:val="231F20"/>
          <w:spacing w:val="-8"/>
          <w:sz w:val="18"/>
        </w:rPr>
        <w:t xml:space="preserve"> </w:t>
      </w:r>
      <w:r>
        <w:rPr>
          <w:color w:val="231F20"/>
          <w:sz w:val="18"/>
        </w:rPr>
        <w:t>CDC</w:t>
      </w:r>
      <w:r>
        <w:rPr>
          <w:color w:val="231F20"/>
          <w:spacing w:val="-8"/>
          <w:sz w:val="18"/>
        </w:rPr>
        <w:t xml:space="preserve"> </w:t>
      </w:r>
      <w:r>
        <w:rPr>
          <w:color w:val="231F20"/>
          <w:sz w:val="18"/>
        </w:rPr>
        <w:t>guideline</w:t>
      </w:r>
      <w:r>
        <w:rPr>
          <w:color w:val="231F20"/>
          <w:spacing w:val="-8"/>
          <w:sz w:val="18"/>
        </w:rPr>
        <w:t xml:space="preserve"> </w:t>
      </w:r>
      <w:r>
        <w:rPr>
          <w:color w:val="231F20"/>
          <w:sz w:val="18"/>
        </w:rPr>
        <w:t>for prescribing opioids for chronic pain—United States, 2016.</w:t>
      </w:r>
      <w:r>
        <w:rPr>
          <w:color w:val="231F20"/>
          <w:spacing w:val="-16"/>
          <w:sz w:val="18"/>
        </w:rPr>
        <w:t xml:space="preserve"> </w:t>
      </w:r>
      <w:r>
        <w:rPr>
          <w:color w:val="231F20"/>
          <w:sz w:val="18"/>
        </w:rPr>
        <w:t>MMWR</w:t>
      </w:r>
      <w:r>
        <w:rPr>
          <w:color w:val="231F20"/>
          <w:spacing w:val="-15"/>
          <w:sz w:val="18"/>
        </w:rPr>
        <w:t xml:space="preserve"> </w:t>
      </w:r>
      <w:r>
        <w:rPr>
          <w:color w:val="231F20"/>
          <w:sz w:val="18"/>
        </w:rPr>
        <w:t>Recomm</w:t>
      </w:r>
      <w:r>
        <w:rPr>
          <w:color w:val="231F20"/>
          <w:spacing w:val="-16"/>
          <w:sz w:val="18"/>
        </w:rPr>
        <w:t xml:space="preserve"> </w:t>
      </w:r>
      <w:r>
        <w:rPr>
          <w:color w:val="231F20"/>
          <w:sz w:val="18"/>
        </w:rPr>
        <w:t>Rep</w:t>
      </w:r>
      <w:r>
        <w:rPr>
          <w:color w:val="231F20"/>
          <w:spacing w:val="-15"/>
          <w:sz w:val="18"/>
        </w:rPr>
        <w:t xml:space="preserve"> </w:t>
      </w:r>
      <w:r>
        <w:rPr>
          <w:color w:val="231F20"/>
          <w:sz w:val="18"/>
        </w:rPr>
        <w:t>2016;65(1):1–49.</w:t>
      </w:r>
    </w:p>
    <w:p w:rsidR="002E4A25" w:rsidRDefault="002E4A25">
      <w:pPr>
        <w:pStyle w:val="BodyText"/>
        <w:spacing w:before="11"/>
        <w:rPr>
          <w:sz w:val="16"/>
        </w:rPr>
      </w:pPr>
    </w:p>
    <w:p w:rsidR="002E4A25" w:rsidRDefault="00D74ED8">
      <w:pPr>
        <w:pStyle w:val="ListParagraph"/>
        <w:numPr>
          <w:ilvl w:val="1"/>
          <w:numId w:val="1"/>
        </w:numPr>
        <w:tabs>
          <w:tab w:val="left" w:pos="418"/>
        </w:tabs>
        <w:spacing w:line="261" w:lineRule="auto"/>
        <w:ind w:right="195" w:hanging="198"/>
        <w:jc w:val="both"/>
        <w:rPr>
          <w:sz w:val="18"/>
        </w:rPr>
      </w:pPr>
      <w:r>
        <w:rPr>
          <w:color w:val="231F20"/>
          <w:sz w:val="18"/>
        </w:rPr>
        <w:t>Chou R, Deyo R, Devine B, et al. The effectiveness and risks of long-term opioid treatment of chronic pain.  Evidence  report/technology  assessment</w:t>
      </w:r>
      <w:r>
        <w:rPr>
          <w:color w:val="231F20"/>
          <w:spacing w:val="6"/>
          <w:sz w:val="18"/>
        </w:rPr>
        <w:t xml:space="preserve"> </w:t>
      </w:r>
      <w:r>
        <w:rPr>
          <w:color w:val="231F20"/>
          <w:sz w:val="18"/>
        </w:rPr>
        <w:t>N</w:t>
      </w:r>
      <w:r>
        <w:rPr>
          <w:color w:val="231F20"/>
          <w:sz w:val="18"/>
        </w:rPr>
        <w:t>o.</w:t>
      </w:r>
    </w:p>
    <w:p w:rsidR="002E4A25" w:rsidRDefault="00D74ED8">
      <w:pPr>
        <w:pStyle w:val="BodyText"/>
        <w:spacing w:line="261" w:lineRule="auto"/>
        <w:ind w:left="417" w:right="196"/>
        <w:jc w:val="both"/>
      </w:pPr>
      <w:r>
        <w:rPr>
          <w:color w:val="231F20"/>
        </w:rPr>
        <w:t xml:space="preserve">218. AHRQ publication No. 14-E005-EF. Rockville, MD: Agency for Healthcare Research and Quality; </w:t>
      </w:r>
      <w:r>
        <w:rPr>
          <w:color w:val="231F20"/>
          <w:w w:val="95"/>
        </w:rPr>
        <w:t xml:space="preserve">September 2014. </w:t>
      </w:r>
      <w:hyperlink r:id="rId29">
        <w:r>
          <w:rPr>
            <w:color w:val="231F20"/>
            <w:w w:val="95"/>
          </w:rPr>
          <w:t>www.effectivehealthcare.ahrq.gov/</w:t>
        </w:r>
      </w:hyperlink>
      <w:r>
        <w:rPr>
          <w:color w:val="231F20"/>
          <w:w w:val="95"/>
        </w:rPr>
        <w:t xml:space="preserve"> </w:t>
      </w:r>
      <w:hyperlink r:id="rId30">
        <w:r>
          <w:rPr>
            <w:color w:val="231F20"/>
          </w:rPr>
          <w:t>reports/final.cfm</w:t>
        </w:r>
      </w:hyperlink>
      <w:r>
        <w:rPr>
          <w:color w:val="231F20"/>
        </w:rPr>
        <w:t xml:space="preserve"> (accessed June 2016).</w:t>
      </w:r>
    </w:p>
    <w:p w:rsidR="002E4A25" w:rsidRDefault="002E4A25">
      <w:pPr>
        <w:pStyle w:val="BodyText"/>
        <w:spacing w:before="10"/>
        <w:rPr>
          <w:sz w:val="16"/>
        </w:rPr>
      </w:pPr>
    </w:p>
    <w:p w:rsidR="002E4A25" w:rsidRDefault="00D74ED8">
      <w:pPr>
        <w:pStyle w:val="ListParagraph"/>
        <w:numPr>
          <w:ilvl w:val="1"/>
          <w:numId w:val="1"/>
        </w:numPr>
        <w:tabs>
          <w:tab w:val="left" w:pos="418"/>
        </w:tabs>
        <w:spacing w:line="264" w:lineRule="auto"/>
        <w:ind w:right="195" w:hanging="198"/>
        <w:jc w:val="both"/>
        <w:rPr>
          <w:sz w:val="18"/>
        </w:rPr>
      </w:pPr>
      <w:r>
        <w:rPr>
          <w:color w:val="231F20"/>
          <w:sz w:val="18"/>
        </w:rPr>
        <w:t>Chou R, Fanciullo GJ, Fine PG, et al. Clinical</w:t>
      </w:r>
      <w:r>
        <w:rPr>
          <w:color w:val="231F20"/>
          <w:spacing w:val="-23"/>
          <w:sz w:val="18"/>
        </w:rPr>
        <w:t xml:space="preserve"> </w:t>
      </w:r>
      <w:r>
        <w:rPr>
          <w:color w:val="231F20"/>
          <w:sz w:val="18"/>
        </w:rPr>
        <w:t>guide- lines for the use of chronic opioid therapy in chronic noncancer</w:t>
      </w:r>
      <w:r>
        <w:rPr>
          <w:color w:val="231F20"/>
          <w:spacing w:val="-17"/>
          <w:sz w:val="18"/>
        </w:rPr>
        <w:t xml:space="preserve"> </w:t>
      </w:r>
      <w:r>
        <w:rPr>
          <w:color w:val="231F20"/>
          <w:sz w:val="18"/>
        </w:rPr>
        <w:t>pain.</w:t>
      </w:r>
      <w:r>
        <w:rPr>
          <w:color w:val="231F20"/>
          <w:spacing w:val="-17"/>
          <w:sz w:val="18"/>
        </w:rPr>
        <w:t xml:space="preserve"> </w:t>
      </w:r>
      <w:r>
        <w:rPr>
          <w:color w:val="231F20"/>
          <w:sz w:val="18"/>
        </w:rPr>
        <w:t>J</w:t>
      </w:r>
      <w:r>
        <w:rPr>
          <w:color w:val="231F20"/>
          <w:spacing w:val="-18"/>
          <w:sz w:val="18"/>
        </w:rPr>
        <w:t xml:space="preserve"> </w:t>
      </w:r>
      <w:r>
        <w:rPr>
          <w:color w:val="231F20"/>
          <w:sz w:val="18"/>
        </w:rPr>
        <w:t>Pain</w:t>
      </w:r>
      <w:r>
        <w:rPr>
          <w:color w:val="231F20"/>
          <w:spacing w:val="-17"/>
          <w:sz w:val="18"/>
        </w:rPr>
        <w:t xml:space="preserve"> </w:t>
      </w:r>
      <w:r>
        <w:rPr>
          <w:color w:val="231F20"/>
          <w:sz w:val="18"/>
        </w:rPr>
        <w:t>2009;10(2):113–30.</w:t>
      </w:r>
    </w:p>
    <w:p w:rsidR="002E4A25" w:rsidRDefault="002E4A25">
      <w:pPr>
        <w:pStyle w:val="BodyText"/>
        <w:spacing w:before="8"/>
        <w:rPr>
          <w:sz w:val="16"/>
        </w:rPr>
      </w:pPr>
    </w:p>
    <w:p w:rsidR="002E4A25" w:rsidRDefault="00D74ED8">
      <w:pPr>
        <w:pStyle w:val="ListParagraph"/>
        <w:numPr>
          <w:ilvl w:val="1"/>
          <w:numId w:val="1"/>
        </w:numPr>
        <w:tabs>
          <w:tab w:val="left" w:pos="418"/>
        </w:tabs>
        <w:spacing w:line="261" w:lineRule="auto"/>
        <w:ind w:right="195" w:hanging="198"/>
        <w:jc w:val="both"/>
        <w:rPr>
          <w:sz w:val="18"/>
        </w:rPr>
      </w:pPr>
      <w:r>
        <w:rPr>
          <w:color w:val="231F20"/>
          <w:sz w:val="18"/>
        </w:rPr>
        <w:t>Noble</w:t>
      </w:r>
      <w:r>
        <w:rPr>
          <w:color w:val="231F20"/>
          <w:spacing w:val="-7"/>
          <w:sz w:val="18"/>
        </w:rPr>
        <w:t xml:space="preserve"> </w:t>
      </w:r>
      <w:r>
        <w:rPr>
          <w:color w:val="231F20"/>
          <w:sz w:val="18"/>
        </w:rPr>
        <w:t>M,</w:t>
      </w:r>
      <w:r>
        <w:rPr>
          <w:color w:val="231F20"/>
          <w:spacing w:val="-7"/>
          <w:sz w:val="18"/>
        </w:rPr>
        <w:t xml:space="preserve"> </w:t>
      </w:r>
      <w:r>
        <w:rPr>
          <w:color w:val="231F20"/>
          <w:sz w:val="18"/>
        </w:rPr>
        <w:t>Treadwell</w:t>
      </w:r>
      <w:r>
        <w:rPr>
          <w:color w:val="231F20"/>
          <w:spacing w:val="-7"/>
          <w:sz w:val="18"/>
        </w:rPr>
        <w:t xml:space="preserve"> </w:t>
      </w:r>
      <w:r>
        <w:rPr>
          <w:color w:val="231F20"/>
          <w:sz w:val="18"/>
        </w:rPr>
        <w:t>JR,</w:t>
      </w:r>
      <w:r>
        <w:rPr>
          <w:color w:val="231F20"/>
          <w:spacing w:val="-7"/>
          <w:sz w:val="18"/>
        </w:rPr>
        <w:t xml:space="preserve"> </w:t>
      </w:r>
      <w:r>
        <w:rPr>
          <w:color w:val="231F20"/>
          <w:sz w:val="18"/>
        </w:rPr>
        <w:t>Tregear</w:t>
      </w:r>
      <w:r>
        <w:rPr>
          <w:color w:val="231F20"/>
          <w:spacing w:val="-7"/>
          <w:sz w:val="18"/>
        </w:rPr>
        <w:t xml:space="preserve"> </w:t>
      </w:r>
      <w:r>
        <w:rPr>
          <w:color w:val="231F20"/>
          <w:sz w:val="18"/>
        </w:rPr>
        <w:t>SJ,</w:t>
      </w:r>
      <w:r>
        <w:rPr>
          <w:color w:val="231F20"/>
          <w:spacing w:val="-7"/>
          <w:sz w:val="18"/>
        </w:rPr>
        <w:t xml:space="preserve"> </w:t>
      </w:r>
      <w:r>
        <w:rPr>
          <w:color w:val="231F20"/>
          <w:sz w:val="18"/>
        </w:rPr>
        <w:t>et</w:t>
      </w:r>
      <w:r>
        <w:rPr>
          <w:color w:val="231F20"/>
          <w:spacing w:val="-7"/>
          <w:sz w:val="18"/>
        </w:rPr>
        <w:t xml:space="preserve"> </w:t>
      </w:r>
      <w:r>
        <w:rPr>
          <w:color w:val="231F20"/>
          <w:sz w:val="18"/>
        </w:rPr>
        <w:t>al.</w:t>
      </w:r>
      <w:r>
        <w:rPr>
          <w:color w:val="231F20"/>
          <w:spacing w:val="-7"/>
          <w:sz w:val="18"/>
        </w:rPr>
        <w:t xml:space="preserve"> </w:t>
      </w:r>
      <w:r>
        <w:rPr>
          <w:color w:val="231F20"/>
          <w:sz w:val="18"/>
        </w:rPr>
        <w:t>Long-term opioid management for chronic noncancer pain.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2010;1:CD006605.</w:t>
      </w:r>
    </w:p>
    <w:p w:rsidR="002E4A25" w:rsidRDefault="002E4A25">
      <w:pPr>
        <w:spacing w:line="261" w:lineRule="auto"/>
        <w:jc w:val="both"/>
        <w:rPr>
          <w:sz w:val="18"/>
        </w:rPr>
        <w:sectPr w:rsidR="002E4A25">
          <w:type w:val="continuous"/>
          <w:pgSz w:w="11880" w:h="15660"/>
          <w:pgMar w:top="320" w:right="1000" w:bottom="280" w:left="1360" w:header="720" w:footer="720" w:gutter="0"/>
          <w:cols w:num="2" w:space="720" w:equalWidth="0">
            <w:col w:w="4541" w:space="239"/>
            <w:col w:w="4740"/>
          </w:cols>
        </w:sectPr>
      </w:pPr>
    </w:p>
    <w:p w:rsidR="002E4A25" w:rsidRDefault="002E4A25">
      <w:pPr>
        <w:pStyle w:val="BodyText"/>
        <w:spacing w:before="6"/>
        <w:rPr>
          <w:sz w:val="16"/>
        </w:rPr>
      </w:pPr>
    </w:p>
    <w:p w:rsidR="002E4A25" w:rsidRDefault="002E4A25">
      <w:pPr>
        <w:rPr>
          <w:sz w:val="16"/>
        </w:rPr>
        <w:sectPr w:rsidR="002E4A25">
          <w:pgSz w:w="11880" w:h="15660"/>
          <w:pgMar w:top="1260" w:right="1000" w:bottom="880" w:left="1080" w:header="1068" w:footer="689" w:gutter="0"/>
          <w:cols w:space="720"/>
        </w:sectPr>
      </w:pPr>
    </w:p>
    <w:p w:rsidR="002E4A25" w:rsidRDefault="00D74ED8">
      <w:pPr>
        <w:pStyle w:val="ListParagraph"/>
        <w:numPr>
          <w:ilvl w:val="1"/>
          <w:numId w:val="1"/>
        </w:numPr>
        <w:tabs>
          <w:tab w:val="left" w:pos="419"/>
        </w:tabs>
        <w:spacing w:before="76" w:line="259" w:lineRule="auto"/>
        <w:ind w:left="418"/>
        <w:jc w:val="both"/>
        <w:rPr>
          <w:sz w:val="18"/>
        </w:rPr>
      </w:pPr>
      <w:r>
        <w:pict>
          <v:shape id="_x0000_s1028" type="#_x0000_t202" style="position:absolute;left:0;text-align:left;margin-left:574.25pt;margin-top:245.3pt;width:10.9pt;height:293.3pt;z-index:251665920;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31">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bookmarkStart w:id="16" w:name="_bookmark13"/>
      <w:bookmarkEnd w:id="16"/>
      <w:r>
        <w:rPr>
          <w:color w:val="231F20"/>
          <w:sz w:val="18"/>
        </w:rPr>
        <w:t xml:space="preserve">Cochrane Database of Systematic </w:t>
      </w:r>
      <w:bookmarkStart w:id="17" w:name="_bookmark14"/>
      <w:bookmarkEnd w:id="17"/>
      <w:r>
        <w:rPr>
          <w:color w:val="231F20"/>
          <w:sz w:val="18"/>
        </w:rPr>
        <w:t xml:space="preserve">Reviews. Available at: </w:t>
      </w:r>
      <w:hyperlink r:id="rId32">
        <w:r>
          <w:rPr>
            <w:color w:val="231F20"/>
            <w:sz w:val="18"/>
          </w:rPr>
          <w:t>http://www.cochranelibrary.co</w:t>
        </w:r>
        <w:r>
          <w:rPr>
            <w:color w:val="231F20"/>
            <w:sz w:val="18"/>
          </w:rPr>
          <w:t>m/</w:t>
        </w:r>
      </w:hyperlink>
      <w:r>
        <w:rPr>
          <w:color w:val="231F20"/>
          <w:sz w:val="18"/>
        </w:rPr>
        <w:t xml:space="preserve"> </w:t>
      </w:r>
      <w:hyperlink r:id="rId33">
        <w:r>
          <w:rPr>
            <w:color w:val="231F20"/>
            <w:w w:val="95"/>
            <w:sz w:val="18"/>
          </w:rPr>
          <w:t>cochrane-database-of-systematic-reviews/index.html</w:t>
        </w:r>
      </w:hyperlink>
      <w:r>
        <w:rPr>
          <w:color w:val="231F20"/>
          <w:w w:val="95"/>
          <w:sz w:val="18"/>
        </w:rPr>
        <w:t xml:space="preserve"> </w:t>
      </w:r>
      <w:r>
        <w:rPr>
          <w:color w:val="231F20"/>
          <w:sz w:val="18"/>
        </w:rPr>
        <w:t>(accessed</w:t>
      </w:r>
      <w:r>
        <w:rPr>
          <w:color w:val="231F20"/>
          <w:spacing w:val="-24"/>
          <w:sz w:val="18"/>
        </w:rPr>
        <w:t xml:space="preserve"> </w:t>
      </w:r>
      <w:r>
        <w:rPr>
          <w:color w:val="231F20"/>
          <w:sz w:val="18"/>
        </w:rPr>
        <w:t>June</w:t>
      </w:r>
      <w:r>
        <w:rPr>
          <w:color w:val="231F20"/>
          <w:spacing w:val="-23"/>
          <w:sz w:val="18"/>
        </w:rPr>
        <w:t xml:space="preserve"> </w:t>
      </w:r>
      <w:r>
        <w:rPr>
          <w:color w:val="231F20"/>
          <w:sz w:val="18"/>
        </w:rPr>
        <w:t>2016).</w:t>
      </w:r>
    </w:p>
    <w:p w:rsidR="002E4A25" w:rsidRDefault="002E4A25">
      <w:pPr>
        <w:pStyle w:val="BodyText"/>
        <w:spacing w:before="2"/>
        <w:rPr>
          <w:sz w:val="17"/>
        </w:rPr>
      </w:pPr>
    </w:p>
    <w:p w:rsidR="002E4A25" w:rsidRDefault="00D74ED8">
      <w:pPr>
        <w:pStyle w:val="ListParagraph"/>
        <w:numPr>
          <w:ilvl w:val="1"/>
          <w:numId w:val="1"/>
        </w:numPr>
        <w:tabs>
          <w:tab w:val="left" w:pos="419"/>
        </w:tabs>
        <w:spacing w:line="256" w:lineRule="auto"/>
        <w:ind w:left="418" w:hanging="299"/>
        <w:jc w:val="both"/>
        <w:rPr>
          <w:sz w:val="18"/>
        </w:rPr>
      </w:pPr>
      <w:bookmarkStart w:id="18" w:name="_bookmark15"/>
      <w:bookmarkEnd w:id="18"/>
      <w:r>
        <w:rPr>
          <w:color w:val="231F20"/>
          <w:sz w:val="18"/>
        </w:rPr>
        <w:t xml:space="preserve">Chaparro LE, Wiffen PJ, Moore RA, </w:t>
      </w:r>
      <w:bookmarkStart w:id="19" w:name="_bookmark16"/>
      <w:bookmarkEnd w:id="19"/>
      <w:r>
        <w:rPr>
          <w:color w:val="231F20"/>
          <w:sz w:val="18"/>
        </w:rPr>
        <w:t>Gilron I. Combination pharmacotherapy for th</w:t>
      </w:r>
      <w:r>
        <w:rPr>
          <w:color w:val="231F20"/>
          <w:sz w:val="18"/>
        </w:rPr>
        <w:t>e treatment of neuropathic pain in adults. Cochrane Database</w:t>
      </w:r>
      <w:r>
        <w:rPr>
          <w:color w:val="231F20"/>
          <w:spacing w:val="-32"/>
          <w:sz w:val="18"/>
        </w:rPr>
        <w:t xml:space="preserve"> </w:t>
      </w:r>
      <w:r>
        <w:rPr>
          <w:color w:val="231F20"/>
          <w:sz w:val="18"/>
        </w:rPr>
        <w:t xml:space="preserve">Syst </w:t>
      </w:r>
      <w:r>
        <w:rPr>
          <w:color w:val="231F20"/>
          <w:w w:val="95"/>
          <w:sz w:val="18"/>
        </w:rPr>
        <w:t xml:space="preserve">Rev </w:t>
      </w:r>
      <w:r>
        <w:rPr>
          <w:color w:val="231F20"/>
          <w:spacing w:val="15"/>
          <w:w w:val="95"/>
          <w:sz w:val="18"/>
        </w:rPr>
        <w:t xml:space="preserve"> </w:t>
      </w:r>
      <w:r>
        <w:rPr>
          <w:color w:val="231F20"/>
          <w:w w:val="95"/>
          <w:sz w:val="18"/>
        </w:rPr>
        <w:t>2012;7:CD008943.</w:t>
      </w:r>
    </w:p>
    <w:p w:rsidR="002E4A25" w:rsidRDefault="002E4A25">
      <w:pPr>
        <w:pStyle w:val="BodyText"/>
        <w:spacing w:before="3"/>
        <w:rPr>
          <w:sz w:val="17"/>
        </w:rPr>
      </w:pPr>
    </w:p>
    <w:p w:rsidR="002E4A25" w:rsidRDefault="00D74ED8">
      <w:pPr>
        <w:pStyle w:val="ListParagraph"/>
        <w:numPr>
          <w:ilvl w:val="1"/>
          <w:numId w:val="1"/>
        </w:numPr>
        <w:tabs>
          <w:tab w:val="left" w:pos="419"/>
        </w:tabs>
        <w:spacing w:before="1" w:line="259" w:lineRule="auto"/>
        <w:ind w:left="418" w:right="1" w:hanging="299"/>
        <w:jc w:val="both"/>
        <w:rPr>
          <w:sz w:val="18"/>
        </w:rPr>
      </w:pPr>
      <w:bookmarkStart w:id="20" w:name="_bookmark17"/>
      <w:bookmarkEnd w:id="20"/>
      <w:r>
        <w:rPr>
          <w:color w:val="231F20"/>
          <w:sz w:val="18"/>
        </w:rPr>
        <w:t xml:space="preserve">Chaparro LE, Furlan AD, Deshpande A, </w:t>
      </w:r>
      <w:bookmarkStart w:id="21" w:name="_bookmark18"/>
      <w:bookmarkEnd w:id="21"/>
      <w:r>
        <w:rPr>
          <w:color w:val="231F20"/>
          <w:sz w:val="18"/>
        </w:rPr>
        <w:t xml:space="preserve">et al. Opioids compared to placebo or other treatments  for chronic low-back pain. Cochrane </w:t>
      </w:r>
      <w:bookmarkStart w:id="22" w:name="_bookmark19"/>
      <w:bookmarkEnd w:id="22"/>
      <w:r>
        <w:rPr>
          <w:color w:val="231F20"/>
          <w:sz w:val="18"/>
        </w:rPr>
        <w:t xml:space="preserve">Database Syst </w:t>
      </w:r>
      <w:r>
        <w:rPr>
          <w:color w:val="231F20"/>
          <w:w w:val="95"/>
          <w:sz w:val="18"/>
        </w:rPr>
        <w:t xml:space="preserve">Rev </w:t>
      </w:r>
      <w:r>
        <w:rPr>
          <w:color w:val="231F20"/>
          <w:spacing w:val="15"/>
          <w:w w:val="95"/>
          <w:sz w:val="18"/>
        </w:rPr>
        <w:t xml:space="preserve"> </w:t>
      </w:r>
      <w:r>
        <w:rPr>
          <w:color w:val="231F20"/>
          <w:w w:val="95"/>
          <w:sz w:val="18"/>
        </w:rPr>
        <w:t>2013;8:CD004959.</w:t>
      </w:r>
    </w:p>
    <w:p w:rsidR="002E4A25" w:rsidRDefault="002E4A25">
      <w:pPr>
        <w:pStyle w:val="BodyText"/>
        <w:spacing w:before="1"/>
        <w:rPr>
          <w:sz w:val="17"/>
        </w:rPr>
      </w:pPr>
    </w:p>
    <w:p w:rsidR="002E4A25" w:rsidRDefault="00D74ED8">
      <w:pPr>
        <w:pStyle w:val="ListParagraph"/>
        <w:numPr>
          <w:ilvl w:val="1"/>
          <w:numId w:val="1"/>
        </w:numPr>
        <w:tabs>
          <w:tab w:val="left" w:pos="419"/>
        </w:tabs>
        <w:spacing w:line="259" w:lineRule="auto"/>
        <w:ind w:left="418" w:right="1" w:hanging="299"/>
        <w:jc w:val="both"/>
        <w:rPr>
          <w:sz w:val="18"/>
        </w:rPr>
      </w:pPr>
      <w:bookmarkStart w:id="23" w:name="_bookmark20"/>
      <w:bookmarkEnd w:id="23"/>
      <w:r>
        <w:rPr>
          <w:color w:val="231F20"/>
          <w:sz w:val="18"/>
        </w:rPr>
        <w:t xml:space="preserve">Gaskell H, Moore RA, Derry S, Stannard C. Oxycodone for neuropathic pain and fibromyalgia in adults. Cochrane Database Syst Rev </w:t>
      </w:r>
      <w:bookmarkStart w:id="24" w:name="_bookmark21"/>
      <w:bookmarkEnd w:id="24"/>
      <w:r>
        <w:rPr>
          <w:color w:val="231F20"/>
          <w:sz w:val="18"/>
        </w:rPr>
        <w:t>2014;6: CD010692.</w:t>
      </w:r>
    </w:p>
    <w:p w:rsidR="002E4A25" w:rsidRDefault="002E4A25">
      <w:pPr>
        <w:pStyle w:val="BodyText"/>
        <w:rPr>
          <w:sz w:val="17"/>
        </w:rPr>
      </w:pPr>
    </w:p>
    <w:p w:rsidR="002E4A25" w:rsidRDefault="00D74ED8">
      <w:pPr>
        <w:pStyle w:val="ListParagraph"/>
        <w:numPr>
          <w:ilvl w:val="1"/>
          <w:numId w:val="1"/>
        </w:numPr>
        <w:tabs>
          <w:tab w:val="left" w:pos="419"/>
        </w:tabs>
        <w:spacing w:before="1" w:line="259" w:lineRule="auto"/>
        <w:ind w:left="418" w:hanging="299"/>
        <w:jc w:val="both"/>
        <w:rPr>
          <w:sz w:val="18"/>
        </w:rPr>
      </w:pPr>
      <w:bookmarkStart w:id="25" w:name="_bookmark22"/>
      <w:bookmarkEnd w:id="25"/>
      <w:r>
        <w:rPr>
          <w:color w:val="231F20"/>
          <w:spacing w:val="-3"/>
          <w:sz w:val="18"/>
        </w:rPr>
        <w:t>Haroutounian</w:t>
      </w:r>
      <w:r>
        <w:rPr>
          <w:color w:val="231F20"/>
          <w:spacing w:val="-13"/>
          <w:sz w:val="18"/>
        </w:rPr>
        <w:t xml:space="preserve"> </w:t>
      </w:r>
      <w:r>
        <w:rPr>
          <w:color w:val="231F20"/>
          <w:sz w:val="18"/>
        </w:rPr>
        <w:t>S,</w:t>
      </w:r>
      <w:r>
        <w:rPr>
          <w:color w:val="231F20"/>
          <w:spacing w:val="-11"/>
          <w:sz w:val="18"/>
        </w:rPr>
        <w:t xml:space="preserve"> </w:t>
      </w:r>
      <w:r>
        <w:rPr>
          <w:color w:val="231F20"/>
          <w:spacing w:val="-3"/>
          <w:sz w:val="18"/>
        </w:rPr>
        <w:t>McNicol</w:t>
      </w:r>
      <w:r>
        <w:rPr>
          <w:color w:val="231F20"/>
          <w:spacing w:val="-11"/>
          <w:sz w:val="18"/>
        </w:rPr>
        <w:t xml:space="preserve"> </w:t>
      </w:r>
      <w:r>
        <w:rPr>
          <w:color w:val="231F20"/>
          <w:spacing w:val="-3"/>
          <w:sz w:val="18"/>
        </w:rPr>
        <w:t>ED,</w:t>
      </w:r>
      <w:r>
        <w:rPr>
          <w:color w:val="231F20"/>
          <w:spacing w:val="-11"/>
          <w:sz w:val="18"/>
        </w:rPr>
        <w:t xml:space="preserve"> </w:t>
      </w:r>
      <w:r>
        <w:rPr>
          <w:color w:val="231F20"/>
          <w:spacing w:val="-3"/>
          <w:sz w:val="18"/>
        </w:rPr>
        <w:t>Lipman</w:t>
      </w:r>
      <w:r>
        <w:rPr>
          <w:color w:val="231F20"/>
          <w:spacing w:val="-13"/>
          <w:sz w:val="18"/>
        </w:rPr>
        <w:t xml:space="preserve"> </w:t>
      </w:r>
      <w:r>
        <w:rPr>
          <w:color w:val="231F20"/>
          <w:sz w:val="18"/>
        </w:rPr>
        <w:t>AG.</w:t>
      </w:r>
      <w:r>
        <w:rPr>
          <w:color w:val="231F20"/>
          <w:spacing w:val="-11"/>
          <w:sz w:val="18"/>
        </w:rPr>
        <w:t xml:space="preserve"> </w:t>
      </w:r>
      <w:r>
        <w:rPr>
          <w:color w:val="231F20"/>
          <w:spacing w:val="-3"/>
          <w:sz w:val="18"/>
        </w:rPr>
        <w:t xml:space="preserve">Methadone </w:t>
      </w:r>
      <w:r>
        <w:rPr>
          <w:color w:val="231F20"/>
          <w:sz w:val="18"/>
        </w:rPr>
        <w:t xml:space="preserve">for </w:t>
      </w:r>
      <w:r>
        <w:rPr>
          <w:color w:val="231F20"/>
          <w:spacing w:val="-3"/>
          <w:sz w:val="18"/>
        </w:rPr>
        <w:t xml:space="preserve">chronic non-cancer pain </w:t>
      </w:r>
      <w:r>
        <w:rPr>
          <w:color w:val="231F20"/>
          <w:sz w:val="18"/>
        </w:rPr>
        <w:t xml:space="preserve">in </w:t>
      </w:r>
      <w:r>
        <w:rPr>
          <w:color w:val="231F20"/>
          <w:spacing w:val="-3"/>
          <w:sz w:val="18"/>
        </w:rPr>
        <w:t>adults. C</w:t>
      </w:r>
      <w:bookmarkStart w:id="26" w:name="_bookmark23"/>
      <w:bookmarkEnd w:id="26"/>
      <w:r>
        <w:rPr>
          <w:color w:val="231F20"/>
          <w:spacing w:val="-3"/>
          <w:sz w:val="18"/>
        </w:rPr>
        <w:t>ochrane Database</w:t>
      </w:r>
      <w:r>
        <w:rPr>
          <w:color w:val="231F20"/>
          <w:spacing w:val="-16"/>
          <w:sz w:val="18"/>
        </w:rPr>
        <w:t xml:space="preserve"> </w:t>
      </w:r>
      <w:r>
        <w:rPr>
          <w:color w:val="231F20"/>
          <w:spacing w:val="-3"/>
          <w:sz w:val="18"/>
        </w:rPr>
        <w:t>Sys</w:t>
      </w:r>
      <w:r>
        <w:rPr>
          <w:color w:val="231F20"/>
          <w:spacing w:val="-3"/>
          <w:sz w:val="18"/>
        </w:rPr>
        <w:t>t</w:t>
      </w:r>
      <w:r>
        <w:rPr>
          <w:color w:val="231F20"/>
          <w:spacing w:val="-17"/>
          <w:sz w:val="18"/>
        </w:rPr>
        <w:t xml:space="preserve"> </w:t>
      </w:r>
      <w:r>
        <w:rPr>
          <w:color w:val="231F20"/>
          <w:sz w:val="18"/>
        </w:rPr>
        <w:t>Rev</w:t>
      </w:r>
      <w:r>
        <w:rPr>
          <w:color w:val="231F20"/>
          <w:spacing w:val="-16"/>
          <w:sz w:val="18"/>
        </w:rPr>
        <w:t xml:space="preserve"> </w:t>
      </w:r>
      <w:r>
        <w:rPr>
          <w:color w:val="231F20"/>
          <w:spacing w:val="-4"/>
          <w:sz w:val="18"/>
        </w:rPr>
        <w:t>2012;11:CD008025.</w:t>
      </w:r>
      <w:r>
        <w:rPr>
          <w:color w:val="231F20"/>
          <w:spacing w:val="-16"/>
          <w:sz w:val="18"/>
        </w:rPr>
        <w:t xml:space="preserve"> </w:t>
      </w:r>
      <w:r>
        <w:rPr>
          <w:color w:val="231F20"/>
          <w:spacing w:val="-3"/>
          <w:sz w:val="18"/>
        </w:rPr>
        <w:t>[23152251]</w:t>
      </w:r>
    </w:p>
    <w:p w:rsidR="002E4A25" w:rsidRDefault="002E4A25">
      <w:pPr>
        <w:pStyle w:val="BodyText"/>
        <w:spacing w:before="1"/>
        <w:rPr>
          <w:sz w:val="17"/>
        </w:rPr>
      </w:pPr>
    </w:p>
    <w:p w:rsidR="002E4A25" w:rsidRDefault="00D74ED8">
      <w:pPr>
        <w:pStyle w:val="ListParagraph"/>
        <w:numPr>
          <w:ilvl w:val="1"/>
          <w:numId w:val="1"/>
        </w:numPr>
        <w:tabs>
          <w:tab w:val="left" w:pos="419"/>
        </w:tabs>
        <w:spacing w:line="259" w:lineRule="auto"/>
        <w:ind w:left="418" w:hanging="299"/>
        <w:jc w:val="both"/>
        <w:rPr>
          <w:sz w:val="18"/>
        </w:rPr>
      </w:pPr>
      <w:bookmarkStart w:id="27" w:name="_bookmark24"/>
      <w:bookmarkEnd w:id="27"/>
      <w:r>
        <w:rPr>
          <w:color w:val="231F20"/>
          <w:sz w:val="18"/>
        </w:rPr>
        <w:t>McNicol ED, Midbari A, Eisenberg E. Opioids for neuropathic pain. Cochrane Database Syst Rev 2013;8:CD006146.</w:t>
      </w:r>
    </w:p>
    <w:p w:rsidR="002E4A25" w:rsidRDefault="002E4A25">
      <w:pPr>
        <w:pStyle w:val="BodyText"/>
        <w:rPr>
          <w:sz w:val="17"/>
        </w:rPr>
      </w:pPr>
    </w:p>
    <w:p w:rsidR="002E4A25" w:rsidRDefault="00D74ED8">
      <w:pPr>
        <w:pStyle w:val="ListParagraph"/>
        <w:numPr>
          <w:ilvl w:val="1"/>
          <w:numId w:val="1"/>
        </w:numPr>
        <w:tabs>
          <w:tab w:val="left" w:pos="419"/>
        </w:tabs>
        <w:spacing w:before="1" w:line="259" w:lineRule="auto"/>
        <w:ind w:left="418" w:hanging="299"/>
        <w:jc w:val="both"/>
        <w:rPr>
          <w:sz w:val="18"/>
        </w:rPr>
      </w:pPr>
      <w:bookmarkStart w:id="28" w:name="_bookmark25"/>
      <w:bookmarkEnd w:id="28"/>
      <w:r>
        <w:rPr>
          <w:color w:val="231F20"/>
          <w:sz w:val="18"/>
        </w:rPr>
        <w:t xml:space="preserve">Quigley C. Hydromorphone for acute and </w:t>
      </w:r>
      <w:bookmarkStart w:id="29" w:name="_bookmark26"/>
      <w:bookmarkEnd w:id="29"/>
      <w:r>
        <w:rPr>
          <w:color w:val="231F20"/>
          <w:sz w:val="18"/>
        </w:rPr>
        <w:t>chronic pain. Cochrane Database Syst Rev 2013;10: CD003447.</w:t>
      </w:r>
    </w:p>
    <w:p w:rsidR="002E4A25" w:rsidRDefault="00D74ED8">
      <w:pPr>
        <w:pStyle w:val="ListParagraph"/>
        <w:numPr>
          <w:ilvl w:val="1"/>
          <w:numId w:val="1"/>
        </w:numPr>
        <w:tabs>
          <w:tab w:val="left" w:pos="419"/>
        </w:tabs>
        <w:spacing w:before="135" w:line="256" w:lineRule="auto"/>
        <w:ind w:left="418" w:right="1" w:hanging="299"/>
        <w:jc w:val="both"/>
        <w:rPr>
          <w:sz w:val="18"/>
        </w:rPr>
      </w:pPr>
      <w:bookmarkStart w:id="30" w:name="_bookmark27"/>
      <w:bookmarkEnd w:id="30"/>
      <w:r>
        <w:rPr>
          <w:color w:val="231F20"/>
          <w:w w:val="96"/>
          <w:sz w:val="18"/>
        </w:rPr>
        <w:t>Santos</w:t>
      </w:r>
      <w:r>
        <w:rPr>
          <w:color w:val="231F20"/>
          <w:sz w:val="18"/>
        </w:rPr>
        <w:t xml:space="preserve"> </w:t>
      </w:r>
      <w:r>
        <w:rPr>
          <w:color w:val="231F20"/>
          <w:spacing w:val="6"/>
          <w:sz w:val="18"/>
        </w:rPr>
        <w:t xml:space="preserve"> </w:t>
      </w:r>
      <w:r>
        <w:rPr>
          <w:color w:val="231F20"/>
          <w:sz w:val="18"/>
        </w:rPr>
        <w:t>J,</w:t>
      </w:r>
      <w:r>
        <w:rPr>
          <w:color w:val="231F20"/>
          <w:sz w:val="18"/>
        </w:rPr>
        <w:t xml:space="preserve"> </w:t>
      </w:r>
      <w:r>
        <w:rPr>
          <w:color w:val="231F20"/>
          <w:spacing w:val="6"/>
          <w:sz w:val="18"/>
        </w:rPr>
        <w:t xml:space="preserve"> </w:t>
      </w:r>
      <w:r>
        <w:rPr>
          <w:color w:val="231F20"/>
          <w:w w:val="94"/>
          <w:sz w:val="18"/>
        </w:rPr>
        <w:t>Alarc</w:t>
      </w:r>
      <w:r>
        <w:rPr>
          <w:color w:val="231F20"/>
          <w:spacing w:val="-93"/>
          <w:w w:val="93"/>
          <w:sz w:val="18"/>
        </w:rPr>
        <w:t>a</w:t>
      </w:r>
      <w:r>
        <w:rPr>
          <w:rFonts w:ascii="SimSun"/>
          <w:color w:val="231F20"/>
          <w:spacing w:val="2"/>
          <w:position w:val="2"/>
          <w:sz w:val="18"/>
        </w:rPr>
        <w:t>~</w:t>
      </w:r>
      <w:r>
        <w:rPr>
          <w:color w:val="231F20"/>
          <w:w w:val="99"/>
          <w:sz w:val="18"/>
        </w:rPr>
        <w:t>o</w:t>
      </w:r>
      <w:r>
        <w:rPr>
          <w:color w:val="231F20"/>
          <w:sz w:val="18"/>
        </w:rPr>
        <w:t xml:space="preserve"> </w:t>
      </w:r>
      <w:r>
        <w:rPr>
          <w:color w:val="231F20"/>
          <w:spacing w:val="6"/>
          <w:sz w:val="18"/>
        </w:rPr>
        <w:t xml:space="preserve"> </w:t>
      </w:r>
      <w:r>
        <w:rPr>
          <w:color w:val="231F20"/>
          <w:sz w:val="18"/>
        </w:rPr>
        <w:t>J,</w:t>
      </w:r>
      <w:r>
        <w:rPr>
          <w:color w:val="231F20"/>
          <w:sz w:val="18"/>
        </w:rPr>
        <w:t xml:space="preserve"> </w:t>
      </w:r>
      <w:r>
        <w:rPr>
          <w:color w:val="231F20"/>
          <w:spacing w:val="5"/>
          <w:sz w:val="18"/>
        </w:rPr>
        <w:t xml:space="preserve"> </w:t>
      </w:r>
      <w:r>
        <w:rPr>
          <w:color w:val="231F20"/>
          <w:w w:val="91"/>
          <w:sz w:val="18"/>
        </w:rPr>
        <w:t>Fareleira</w:t>
      </w:r>
      <w:r>
        <w:rPr>
          <w:color w:val="231F20"/>
          <w:sz w:val="18"/>
        </w:rPr>
        <w:t xml:space="preserve"> </w:t>
      </w:r>
      <w:r>
        <w:rPr>
          <w:color w:val="231F20"/>
          <w:spacing w:val="7"/>
          <w:sz w:val="18"/>
        </w:rPr>
        <w:t xml:space="preserve"> </w:t>
      </w:r>
      <w:r>
        <w:rPr>
          <w:color w:val="231F20"/>
          <w:w w:val="92"/>
          <w:sz w:val="18"/>
        </w:rPr>
        <w:t>F,</w:t>
      </w:r>
      <w:r>
        <w:rPr>
          <w:color w:val="231F20"/>
          <w:sz w:val="18"/>
        </w:rPr>
        <w:t xml:space="preserve"> </w:t>
      </w:r>
      <w:r>
        <w:rPr>
          <w:color w:val="231F20"/>
          <w:spacing w:val="7"/>
          <w:sz w:val="18"/>
        </w:rPr>
        <w:t xml:space="preserve"> </w:t>
      </w:r>
      <w:bookmarkStart w:id="31" w:name="_bookmark28"/>
      <w:bookmarkEnd w:id="31"/>
      <w:r>
        <w:rPr>
          <w:color w:val="231F20"/>
          <w:w w:val="95"/>
          <w:sz w:val="18"/>
        </w:rPr>
        <w:t>Vaz-Carneiro</w:t>
      </w:r>
      <w:r>
        <w:rPr>
          <w:color w:val="231F20"/>
          <w:sz w:val="18"/>
        </w:rPr>
        <w:t xml:space="preserve"> </w:t>
      </w:r>
      <w:r>
        <w:rPr>
          <w:color w:val="231F20"/>
          <w:spacing w:val="6"/>
          <w:sz w:val="18"/>
        </w:rPr>
        <w:t xml:space="preserve"> </w:t>
      </w:r>
      <w:r>
        <w:rPr>
          <w:color w:val="231F20"/>
          <w:w w:val="95"/>
          <w:sz w:val="18"/>
        </w:rPr>
        <w:t xml:space="preserve">A, </w:t>
      </w:r>
      <w:r>
        <w:rPr>
          <w:color w:val="231F20"/>
          <w:sz w:val="18"/>
        </w:rPr>
        <w:t>Costa J. Tapentadol for chronic musculoskeletal pain</w:t>
      </w:r>
      <w:r>
        <w:rPr>
          <w:color w:val="231F20"/>
          <w:spacing w:val="-9"/>
          <w:sz w:val="18"/>
        </w:rPr>
        <w:t xml:space="preserve"> </w:t>
      </w:r>
      <w:r>
        <w:rPr>
          <w:color w:val="231F20"/>
          <w:sz w:val="18"/>
        </w:rPr>
        <w:t>in</w:t>
      </w:r>
      <w:r>
        <w:rPr>
          <w:color w:val="231F20"/>
          <w:spacing w:val="-10"/>
          <w:sz w:val="18"/>
        </w:rPr>
        <w:t xml:space="preserve"> </w:t>
      </w:r>
      <w:r>
        <w:rPr>
          <w:color w:val="231F20"/>
          <w:sz w:val="18"/>
        </w:rPr>
        <w:t>adults.</w:t>
      </w:r>
      <w:r>
        <w:rPr>
          <w:color w:val="231F20"/>
          <w:spacing w:val="-9"/>
          <w:sz w:val="18"/>
        </w:rPr>
        <w:t xml:space="preserve"> </w:t>
      </w:r>
      <w:r>
        <w:rPr>
          <w:color w:val="231F20"/>
          <w:sz w:val="18"/>
        </w:rPr>
        <w:t>Cochrane</w:t>
      </w:r>
      <w:r>
        <w:rPr>
          <w:color w:val="231F20"/>
          <w:spacing w:val="-9"/>
          <w:sz w:val="18"/>
        </w:rPr>
        <w:t xml:space="preserve"> </w:t>
      </w:r>
      <w:r>
        <w:rPr>
          <w:color w:val="231F20"/>
          <w:sz w:val="18"/>
        </w:rPr>
        <w:t>Database</w:t>
      </w:r>
      <w:r>
        <w:rPr>
          <w:color w:val="231F20"/>
          <w:spacing w:val="-9"/>
          <w:sz w:val="18"/>
        </w:rPr>
        <w:t xml:space="preserve"> </w:t>
      </w:r>
      <w:r>
        <w:rPr>
          <w:color w:val="231F20"/>
          <w:sz w:val="18"/>
        </w:rPr>
        <w:t>Syst</w:t>
      </w:r>
      <w:r>
        <w:rPr>
          <w:color w:val="231F20"/>
          <w:spacing w:val="-11"/>
          <w:sz w:val="18"/>
        </w:rPr>
        <w:t xml:space="preserve"> </w:t>
      </w:r>
      <w:r>
        <w:rPr>
          <w:color w:val="231F20"/>
          <w:sz w:val="18"/>
        </w:rPr>
        <w:t>Rev</w:t>
      </w:r>
      <w:r>
        <w:rPr>
          <w:color w:val="231F20"/>
          <w:spacing w:val="-9"/>
          <w:sz w:val="18"/>
        </w:rPr>
        <w:t xml:space="preserve"> </w:t>
      </w:r>
      <w:r>
        <w:rPr>
          <w:color w:val="231F20"/>
          <w:sz w:val="18"/>
        </w:rPr>
        <w:t>2015;5: CD009923.</w:t>
      </w:r>
    </w:p>
    <w:p w:rsidR="002E4A25" w:rsidRDefault="002E4A25">
      <w:pPr>
        <w:pStyle w:val="BodyText"/>
        <w:spacing w:before="4"/>
        <w:rPr>
          <w:sz w:val="17"/>
        </w:rPr>
      </w:pPr>
    </w:p>
    <w:p w:rsidR="002E4A25" w:rsidRDefault="00D74ED8">
      <w:pPr>
        <w:pStyle w:val="ListParagraph"/>
        <w:numPr>
          <w:ilvl w:val="1"/>
          <w:numId w:val="1"/>
        </w:numPr>
        <w:tabs>
          <w:tab w:val="left" w:pos="419"/>
        </w:tabs>
        <w:spacing w:line="259" w:lineRule="auto"/>
        <w:ind w:left="418" w:right="1" w:hanging="299"/>
        <w:jc w:val="both"/>
        <w:rPr>
          <w:sz w:val="18"/>
        </w:rPr>
      </w:pPr>
      <w:bookmarkStart w:id="32" w:name="_bookmark29"/>
      <w:bookmarkEnd w:id="32"/>
      <w:r>
        <w:rPr>
          <w:color w:val="231F20"/>
          <w:sz w:val="18"/>
        </w:rPr>
        <w:t xml:space="preserve">Wrzosek A, Woron J, Dobrogowski J, </w:t>
      </w:r>
      <w:bookmarkStart w:id="33" w:name="_bookmark30"/>
      <w:bookmarkEnd w:id="33"/>
      <w:r>
        <w:rPr>
          <w:color w:val="231F20"/>
          <w:sz w:val="18"/>
        </w:rPr>
        <w:t>Jakowicka- Wordliczek J, Wordliczek J. Topical clonidine for ne</w:t>
      </w:r>
      <w:r>
        <w:rPr>
          <w:color w:val="231F20"/>
          <w:sz w:val="18"/>
        </w:rPr>
        <w:t>uropathic pain. Cochrane Database Syst Rev 2015;8:CD010967.</w:t>
      </w:r>
    </w:p>
    <w:p w:rsidR="002E4A25" w:rsidRDefault="002E4A25">
      <w:pPr>
        <w:pStyle w:val="BodyText"/>
        <w:spacing w:before="1"/>
        <w:rPr>
          <w:sz w:val="17"/>
        </w:rPr>
      </w:pPr>
    </w:p>
    <w:p w:rsidR="002E4A25" w:rsidRDefault="00D74ED8">
      <w:pPr>
        <w:pStyle w:val="ListParagraph"/>
        <w:numPr>
          <w:ilvl w:val="1"/>
          <w:numId w:val="1"/>
        </w:numPr>
        <w:tabs>
          <w:tab w:val="left" w:pos="419"/>
        </w:tabs>
        <w:spacing w:line="259" w:lineRule="auto"/>
        <w:ind w:left="418" w:hanging="299"/>
        <w:jc w:val="both"/>
        <w:rPr>
          <w:sz w:val="18"/>
        </w:rPr>
      </w:pPr>
      <w:bookmarkStart w:id="34" w:name="_bookmark31"/>
      <w:bookmarkEnd w:id="34"/>
      <w:r>
        <w:rPr>
          <w:color w:val="231F20"/>
          <w:sz w:val="18"/>
        </w:rPr>
        <w:t xml:space="preserve">Aboumarzouk OM, Nelson RL. </w:t>
      </w:r>
      <w:bookmarkStart w:id="35" w:name="_bookmark32"/>
      <w:bookmarkEnd w:id="35"/>
      <w:r>
        <w:rPr>
          <w:color w:val="231F20"/>
          <w:sz w:val="18"/>
        </w:rPr>
        <w:t>Pregabalin for chronic prostatitis. Cochrane Database Syst Rev 2012;8:CD009063.</w:t>
      </w:r>
    </w:p>
    <w:p w:rsidR="002E4A25" w:rsidRDefault="002E4A25">
      <w:pPr>
        <w:pStyle w:val="BodyText"/>
        <w:spacing w:before="1"/>
        <w:rPr>
          <w:sz w:val="17"/>
        </w:rPr>
      </w:pPr>
    </w:p>
    <w:p w:rsidR="002E4A25" w:rsidRDefault="00D74ED8">
      <w:pPr>
        <w:pStyle w:val="ListParagraph"/>
        <w:numPr>
          <w:ilvl w:val="1"/>
          <w:numId w:val="1"/>
        </w:numPr>
        <w:tabs>
          <w:tab w:val="left" w:pos="419"/>
        </w:tabs>
        <w:spacing w:line="259" w:lineRule="auto"/>
        <w:ind w:left="418" w:right="1" w:hanging="299"/>
        <w:jc w:val="both"/>
        <w:rPr>
          <w:sz w:val="18"/>
        </w:rPr>
      </w:pPr>
      <w:bookmarkStart w:id="36" w:name="_bookmark33"/>
      <w:bookmarkEnd w:id="36"/>
      <w:r>
        <w:rPr>
          <w:color w:val="231F20"/>
          <w:sz w:val="18"/>
        </w:rPr>
        <w:t xml:space="preserve">Gurusamy KS, Lusuku C, Davidson BR. </w:t>
      </w:r>
      <w:bookmarkStart w:id="37" w:name="_bookmark34"/>
      <w:bookmarkEnd w:id="37"/>
      <w:r>
        <w:rPr>
          <w:color w:val="231F20"/>
          <w:sz w:val="18"/>
        </w:rPr>
        <w:t>Pregabalin</w:t>
      </w:r>
      <w:r>
        <w:rPr>
          <w:color w:val="231F20"/>
          <w:sz w:val="18"/>
        </w:rPr>
        <w:t xml:space="preserve"> for decreasing pancreatic pain in chronic pancrea- titis. Cochrane Database Syst Rev </w:t>
      </w:r>
      <w:bookmarkStart w:id="38" w:name="_bookmark35"/>
      <w:bookmarkEnd w:id="38"/>
      <w:r>
        <w:rPr>
          <w:color w:val="231F20"/>
          <w:sz w:val="18"/>
        </w:rPr>
        <w:t>2016;2: CD011522.</w:t>
      </w:r>
    </w:p>
    <w:p w:rsidR="002E4A25" w:rsidRDefault="002E4A25">
      <w:pPr>
        <w:pStyle w:val="BodyText"/>
        <w:spacing w:before="1"/>
        <w:rPr>
          <w:sz w:val="17"/>
        </w:rPr>
      </w:pPr>
    </w:p>
    <w:p w:rsidR="002E4A25" w:rsidRDefault="00D74ED8">
      <w:pPr>
        <w:pStyle w:val="ListParagraph"/>
        <w:numPr>
          <w:ilvl w:val="1"/>
          <w:numId w:val="1"/>
        </w:numPr>
        <w:tabs>
          <w:tab w:val="left" w:pos="419"/>
        </w:tabs>
        <w:spacing w:line="259" w:lineRule="auto"/>
        <w:ind w:left="418" w:hanging="299"/>
        <w:jc w:val="both"/>
        <w:rPr>
          <w:sz w:val="18"/>
        </w:rPr>
      </w:pPr>
      <w:bookmarkStart w:id="39" w:name="_bookmark36"/>
      <w:bookmarkEnd w:id="39"/>
      <w:r>
        <w:rPr>
          <w:color w:val="231F20"/>
          <w:sz w:val="18"/>
        </w:rPr>
        <w:t>Gill D, Derry S, Wiffen PJ, Moore RA. Valproic acid and sodium valproate for neuropathic pain and fibromyalgia</w:t>
      </w:r>
      <w:r>
        <w:rPr>
          <w:color w:val="231F20"/>
          <w:spacing w:val="-7"/>
          <w:sz w:val="18"/>
        </w:rPr>
        <w:t xml:space="preserve"> </w:t>
      </w:r>
      <w:r>
        <w:rPr>
          <w:color w:val="231F20"/>
          <w:sz w:val="18"/>
        </w:rPr>
        <w:t>in</w:t>
      </w:r>
      <w:r>
        <w:rPr>
          <w:color w:val="231F20"/>
          <w:spacing w:val="-8"/>
          <w:sz w:val="18"/>
        </w:rPr>
        <w:t xml:space="preserve"> </w:t>
      </w:r>
      <w:r>
        <w:rPr>
          <w:color w:val="231F20"/>
          <w:sz w:val="18"/>
        </w:rPr>
        <w:t>adults.</w:t>
      </w:r>
      <w:r>
        <w:rPr>
          <w:color w:val="231F20"/>
          <w:spacing w:val="-7"/>
          <w:sz w:val="18"/>
        </w:rPr>
        <w:t xml:space="preserve"> </w:t>
      </w:r>
      <w:r>
        <w:rPr>
          <w:color w:val="231F20"/>
          <w:sz w:val="18"/>
        </w:rPr>
        <w:t>Cochrane</w:t>
      </w:r>
      <w:r>
        <w:rPr>
          <w:color w:val="231F20"/>
          <w:spacing w:val="-8"/>
          <w:sz w:val="18"/>
        </w:rPr>
        <w:t xml:space="preserve"> </w:t>
      </w:r>
      <w:r>
        <w:rPr>
          <w:color w:val="231F20"/>
          <w:sz w:val="18"/>
        </w:rPr>
        <w:t>Database</w:t>
      </w:r>
      <w:r>
        <w:rPr>
          <w:color w:val="231F20"/>
          <w:spacing w:val="-6"/>
          <w:sz w:val="18"/>
        </w:rPr>
        <w:t xml:space="preserve"> </w:t>
      </w:r>
      <w:bookmarkStart w:id="40" w:name="_bookmark37"/>
      <w:bookmarkEnd w:id="40"/>
      <w:r>
        <w:rPr>
          <w:color w:val="231F20"/>
          <w:sz w:val="18"/>
        </w:rPr>
        <w:t>Syst</w:t>
      </w:r>
      <w:r>
        <w:rPr>
          <w:color w:val="231F20"/>
          <w:spacing w:val="-8"/>
          <w:sz w:val="18"/>
        </w:rPr>
        <w:t xml:space="preserve"> </w:t>
      </w:r>
      <w:r>
        <w:rPr>
          <w:color w:val="231F20"/>
          <w:sz w:val="18"/>
        </w:rPr>
        <w:t>Rev 20</w:t>
      </w:r>
      <w:r>
        <w:rPr>
          <w:color w:val="231F20"/>
          <w:sz w:val="18"/>
        </w:rPr>
        <w:t>11;10:CD009183.</w:t>
      </w:r>
    </w:p>
    <w:p w:rsidR="002E4A25" w:rsidRDefault="002E4A25">
      <w:pPr>
        <w:pStyle w:val="BodyText"/>
        <w:spacing w:before="2"/>
        <w:rPr>
          <w:sz w:val="17"/>
        </w:rPr>
      </w:pPr>
    </w:p>
    <w:p w:rsidR="002E4A25" w:rsidRDefault="00D74ED8">
      <w:pPr>
        <w:pStyle w:val="ListParagraph"/>
        <w:numPr>
          <w:ilvl w:val="1"/>
          <w:numId w:val="1"/>
        </w:numPr>
        <w:tabs>
          <w:tab w:val="left" w:pos="419"/>
        </w:tabs>
        <w:spacing w:line="256" w:lineRule="auto"/>
        <w:ind w:left="418" w:hanging="299"/>
        <w:jc w:val="both"/>
        <w:rPr>
          <w:sz w:val="18"/>
        </w:rPr>
      </w:pPr>
      <w:bookmarkStart w:id="41" w:name="_bookmark38"/>
      <w:bookmarkEnd w:id="41"/>
      <w:r>
        <w:rPr>
          <w:color w:val="231F20"/>
          <w:sz w:val="18"/>
        </w:rPr>
        <w:t>Hearn</w:t>
      </w:r>
      <w:r>
        <w:rPr>
          <w:color w:val="231F20"/>
          <w:spacing w:val="-6"/>
          <w:sz w:val="18"/>
        </w:rPr>
        <w:t xml:space="preserve"> </w:t>
      </w:r>
      <w:r>
        <w:rPr>
          <w:color w:val="231F20"/>
          <w:sz w:val="18"/>
        </w:rPr>
        <w:t>L,</w:t>
      </w:r>
      <w:r>
        <w:rPr>
          <w:color w:val="231F20"/>
          <w:spacing w:val="-6"/>
          <w:sz w:val="18"/>
        </w:rPr>
        <w:t xml:space="preserve"> </w:t>
      </w:r>
      <w:r>
        <w:rPr>
          <w:color w:val="231F20"/>
          <w:sz w:val="18"/>
        </w:rPr>
        <w:t>Derry</w:t>
      </w:r>
      <w:r>
        <w:rPr>
          <w:color w:val="231F20"/>
          <w:spacing w:val="-6"/>
          <w:sz w:val="18"/>
        </w:rPr>
        <w:t xml:space="preserve"> </w:t>
      </w:r>
      <w:r>
        <w:rPr>
          <w:color w:val="231F20"/>
          <w:sz w:val="18"/>
        </w:rPr>
        <w:t>S,</w:t>
      </w:r>
      <w:r>
        <w:rPr>
          <w:color w:val="231F20"/>
          <w:spacing w:val="-6"/>
          <w:sz w:val="18"/>
        </w:rPr>
        <w:t xml:space="preserve"> </w:t>
      </w:r>
      <w:r>
        <w:rPr>
          <w:color w:val="231F20"/>
          <w:sz w:val="18"/>
        </w:rPr>
        <w:t>Moore</w:t>
      </w:r>
      <w:r>
        <w:rPr>
          <w:color w:val="231F20"/>
          <w:spacing w:val="-6"/>
          <w:sz w:val="18"/>
        </w:rPr>
        <w:t xml:space="preserve"> </w:t>
      </w:r>
      <w:r>
        <w:rPr>
          <w:color w:val="231F20"/>
          <w:sz w:val="18"/>
        </w:rPr>
        <w:t>RA.</w:t>
      </w:r>
      <w:r>
        <w:rPr>
          <w:color w:val="231F20"/>
          <w:spacing w:val="-6"/>
          <w:sz w:val="18"/>
        </w:rPr>
        <w:t xml:space="preserve"> </w:t>
      </w:r>
      <w:r>
        <w:rPr>
          <w:color w:val="231F20"/>
          <w:sz w:val="18"/>
        </w:rPr>
        <w:t>Lacosamide</w:t>
      </w:r>
      <w:r>
        <w:rPr>
          <w:color w:val="231F20"/>
          <w:spacing w:val="-6"/>
          <w:sz w:val="18"/>
        </w:rPr>
        <w:t xml:space="preserve"> </w:t>
      </w:r>
      <w:r>
        <w:rPr>
          <w:color w:val="231F20"/>
          <w:sz w:val="18"/>
        </w:rPr>
        <w:t>for</w:t>
      </w:r>
      <w:r>
        <w:rPr>
          <w:color w:val="231F20"/>
          <w:spacing w:val="-6"/>
          <w:sz w:val="18"/>
        </w:rPr>
        <w:t xml:space="preserve"> </w:t>
      </w:r>
      <w:r>
        <w:rPr>
          <w:color w:val="231F20"/>
          <w:sz w:val="18"/>
        </w:rPr>
        <w:t>neuro- pathic pain and fibromyalgia in adults. Cochrane Database</w:t>
      </w:r>
      <w:r>
        <w:rPr>
          <w:color w:val="231F20"/>
          <w:spacing w:val="-30"/>
          <w:sz w:val="18"/>
        </w:rPr>
        <w:t xml:space="preserve"> </w:t>
      </w:r>
      <w:r>
        <w:rPr>
          <w:color w:val="231F20"/>
          <w:sz w:val="18"/>
        </w:rPr>
        <w:t>Syst</w:t>
      </w:r>
      <w:r>
        <w:rPr>
          <w:color w:val="231F20"/>
          <w:spacing w:val="-30"/>
          <w:sz w:val="18"/>
        </w:rPr>
        <w:t xml:space="preserve"> </w:t>
      </w:r>
      <w:r>
        <w:rPr>
          <w:color w:val="231F20"/>
          <w:sz w:val="18"/>
        </w:rPr>
        <w:t>Rev</w:t>
      </w:r>
      <w:r>
        <w:rPr>
          <w:color w:val="231F20"/>
          <w:spacing w:val="-29"/>
          <w:sz w:val="18"/>
        </w:rPr>
        <w:t xml:space="preserve"> </w:t>
      </w:r>
      <w:r>
        <w:rPr>
          <w:color w:val="231F20"/>
          <w:sz w:val="18"/>
        </w:rPr>
        <w:t>2012;2:CD009318.</w:t>
      </w:r>
    </w:p>
    <w:p w:rsidR="002E4A25" w:rsidRDefault="00D74ED8">
      <w:pPr>
        <w:pStyle w:val="ListParagraph"/>
        <w:numPr>
          <w:ilvl w:val="1"/>
          <w:numId w:val="1"/>
        </w:numPr>
        <w:tabs>
          <w:tab w:val="left" w:pos="418"/>
        </w:tabs>
        <w:spacing w:before="75" w:line="266" w:lineRule="auto"/>
        <w:ind w:right="475" w:hanging="298"/>
        <w:jc w:val="both"/>
        <w:rPr>
          <w:sz w:val="18"/>
        </w:rPr>
      </w:pPr>
      <w:r>
        <w:rPr>
          <w:color w:val="231F20"/>
          <w:w w:val="97"/>
          <w:sz w:val="18"/>
        </w:rPr>
        <w:br w:type="column"/>
      </w:r>
      <w:r>
        <w:rPr>
          <w:color w:val="231F20"/>
          <w:sz w:val="18"/>
        </w:rPr>
        <w:t>Moore RA, Straube S, Wiffen PJ, Derry S, McQuay HJ. Pregabalin for acute and chronic pain in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8"/>
          <w:sz w:val="18"/>
        </w:rPr>
        <w:t xml:space="preserve"> </w:t>
      </w:r>
      <w:r>
        <w:rPr>
          <w:color w:val="231F20"/>
          <w:sz w:val="18"/>
        </w:rPr>
        <w:t>Rev</w:t>
      </w:r>
      <w:r>
        <w:rPr>
          <w:color w:val="231F20"/>
          <w:spacing w:val="-18"/>
          <w:sz w:val="18"/>
        </w:rPr>
        <w:t xml:space="preserve"> </w:t>
      </w:r>
      <w:r>
        <w:rPr>
          <w:color w:val="231F20"/>
          <w:sz w:val="18"/>
        </w:rPr>
        <w:t>2009;3:CD007076.</w:t>
      </w:r>
    </w:p>
    <w:p w:rsidR="002E4A25" w:rsidRDefault="002E4A25">
      <w:pPr>
        <w:pStyle w:val="BodyText"/>
        <w:spacing w:before="5"/>
        <w:rPr>
          <w:sz w:val="16"/>
        </w:rPr>
      </w:pPr>
    </w:p>
    <w:p w:rsidR="002E4A25" w:rsidRDefault="00D74ED8">
      <w:pPr>
        <w:pStyle w:val="ListParagraph"/>
        <w:numPr>
          <w:ilvl w:val="1"/>
          <w:numId w:val="1"/>
        </w:numPr>
        <w:tabs>
          <w:tab w:val="left" w:pos="418"/>
        </w:tabs>
        <w:spacing w:line="266" w:lineRule="auto"/>
        <w:ind w:right="474" w:hanging="298"/>
        <w:jc w:val="both"/>
        <w:rPr>
          <w:sz w:val="18"/>
        </w:rPr>
      </w:pPr>
      <w:r>
        <w:rPr>
          <w:color w:val="231F20"/>
          <w:sz w:val="18"/>
        </w:rPr>
        <w:t>Moore RA, Wiffen PJ, Derry S, Toelle T, Rice AS. Gabapentin for chronic neuropathic pain and fibro- myalgia in</w:t>
      </w:r>
      <w:r>
        <w:rPr>
          <w:color w:val="231F20"/>
          <w:sz w:val="18"/>
        </w:rPr>
        <w:t xml:space="preserve"> adults. Cochrane Database Syst Rev 2014;4:CD007938.</w:t>
      </w:r>
    </w:p>
    <w:p w:rsidR="002E4A25" w:rsidRDefault="002E4A25">
      <w:pPr>
        <w:pStyle w:val="BodyText"/>
        <w:spacing w:before="5"/>
        <w:rPr>
          <w:sz w:val="16"/>
        </w:rPr>
      </w:pPr>
    </w:p>
    <w:p w:rsidR="002E4A25" w:rsidRDefault="00D74ED8">
      <w:pPr>
        <w:pStyle w:val="ListParagraph"/>
        <w:numPr>
          <w:ilvl w:val="1"/>
          <w:numId w:val="1"/>
        </w:numPr>
        <w:tabs>
          <w:tab w:val="left" w:pos="418"/>
        </w:tabs>
        <w:spacing w:line="266" w:lineRule="auto"/>
        <w:ind w:right="475" w:hanging="298"/>
        <w:jc w:val="both"/>
        <w:rPr>
          <w:sz w:val="18"/>
        </w:rPr>
      </w:pPr>
      <w:r>
        <w:rPr>
          <w:color w:val="231F20"/>
          <w:sz w:val="18"/>
        </w:rPr>
        <w:t>Moore RA, Wiffen PJ, Derry S, Lunn MP. Zonisamide</w:t>
      </w:r>
      <w:r>
        <w:rPr>
          <w:color w:val="231F20"/>
          <w:spacing w:val="-9"/>
          <w:sz w:val="18"/>
        </w:rPr>
        <w:t xml:space="preserve"> </w:t>
      </w:r>
      <w:r>
        <w:rPr>
          <w:color w:val="231F20"/>
          <w:sz w:val="18"/>
        </w:rPr>
        <w:t>for</w:t>
      </w:r>
      <w:r>
        <w:rPr>
          <w:color w:val="231F20"/>
          <w:spacing w:val="-10"/>
          <w:sz w:val="18"/>
        </w:rPr>
        <w:t xml:space="preserve"> </w:t>
      </w:r>
      <w:r>
        <w:rPr>
          <w:color w:val="231F20"/>
          <w:sz w:val="18"/>
        </w:rPr>
        <w:t>neuropathic</w:t>
      </w:r>
      <w:r>
        <w:rPr>
          <w:color w:val="231F20"/>
          <w:spacing w:val="-8"/>
          <w:sz w:val="18"/>
        </w:rPr>
        <w:t xml:space="preserve"> </w:t>
      </w:r>
      <w:r>
        <w:rPr>
          <w:color w:val="231F20"/>
          <w:sz w:val="18"/>
        </w:rPr>
        <w:t>pain</w:t>
      </w:r>
      <w:r>
        <w:rPr>
          <w:color w:val="231F20"/>
          <w:spacing w:val="-9"/>
          <w:sz w:val="18"/>
        </w:rPr>
        <w:t xml:space="preserve"> </w:t>
      </w:r>
      <w:r>
        <w:rPr>
          <w:color w:val="231F20"/>
          <w:sz w:val="18"/>
        </w:rPr>
        <w:t>in</w:t>
      </w:r>
      <w:r>
        <w:rPr>
          <w:color w:val="231F20"/>
          <w:spacing w:val="-10"/>
          <w:sz w:val="18"/>
        </w:rPr>
        <w:t xml:space="preserve"> </w:t>
      </w:r>
      <w:r>
        <w:rPr>
          <w:color w:val="231F20"/>
          <w:sz w:val="18"/>
        </w:rPr>
        <w:t>adults.</w:t>
      </w:r>
      <w:r>
        <w:rPr>
          <w:color w:val="231F20"/>
          <w:spacing w:val="-9"/>
          <w:sz w:val="18"/>
        </w:rPr>
        <w:t xml:space="preserve"> </w:t>
      </w:r>
      <w:r>
        <w:rPr>
          <w:color w:val="231F20"/>
          <w:sz w:val="18"/>
        </w:rPr>
        <w:t>Cochrane Database</w:t>
      </w:r>
      <w:r>
        <w:rPr>
          <w:color w:val="231F20"/>
          <w:spacing w:val="-29"/>
          <w:sz w:val="18"/>
        </w:rPr>
        <w:t xml:space="preserve"> </w:t>
      </w:r>
      <w:r>
        <w:rPr>
          <w:color w:val="231F20"/>
          <w:sz w:val="18"/>
        </w:rPr>
        <w:t>Syst</w:t>
      </w:r>
      <w:r>
        <w:rPr>
          <w:color w:val="231F20"/>
          <w:spacing w:val="-29"/>
          <w:sz w:val="18"/>
        </w:rPr>
        <w:t xml:space="preserve"> </w:t>
      </w:r>
      <w:r>
        <w:rPr>
          <w:color w:val="231F20"/>
          <w:sz w:val="18"/>
        </w:rPr>
        <w:t>Rev</w:t>
      </w:r>
      <w:r>
        <w:rPr>
          <w:color w:val="231F20"/>
          <w:spacing w:val="-29"/>
          <w:sz w:val="18"/>
        </w:rPr>
        <w:t xml:space="preserve"> </w:t>
      </w:r>
      <w:r>
        <w:rPr>
          <w:color w:val="231F20"/>
          <w:sz w:val="18"/>
        </w:rPr>
        <w:t>2015;1:CD011241.</w:t>
      </w:r>
    </w:p>
    <w:p w:rsidR="002E4A25" w:rsidRDefault="002E4A25">
      <w:pPr>
        <w:pStyle w:val="BodyText"/>
        <w:spacing w:before="5"/>
        <w:rPr>
          <w:sz w:val="16"/>
        </w:rPr>
      </w:pPr>
    </w:p>
    <w:p w:rsidR="002E4A25" w:rsidRDefault="00D74ED8">
      <w:pPr>
        <w:pStyle w:val="ListParagraph"/>
        <w:numPr>
          <w:ilvl w:val="1"/>
          <w:numId w:val="1"/>
        </w:numPr>
        <w:tabs>
          <w:tab w:val="left" w:pos="418"/>
        </w:tabs>
        <w:spacing w:line="266" w:lineRule="auto"/>
        <w:ind w:right="475" w:hanging="298"/>
        <w:jc w:val="both"/>
        <w:rPr>
          <w:sz w:val="18"/>
        </w:rPr>
      </w:pPr>
      <w:r>
        <w:rPr>
          <w:color w:val="231F20"/>
          <w:sz w:val="18"/>
        </w:rPr>
        <w:t>Mujakperuo HR, Watson M, Morrison R,</w:t>
      </w:r>
      <w:r>
        <w:rPr>
          <w:color w:val="231F20"/>
          <w:spacing w:val="-10"/>
          <w:sz w:val="18"/>
        </w:rPr>
        <w:t xml:space="preserve"> </w:t>
      </w:r>
      <w:r>
        <w:rPr>
          <w:color w:val="231F20"/>
          <w:sz w:val="18"/>
        </w:rPr>
        <w:t>Macfarlane TV. Pharmacological interventions for pain in pa- tients with temporomandibular disorders. Cochrane Database</w:t>
      </w:r>
      <w:r>
        <w:rPr>
          <w:color w:val="231F20"/>
          <w:spacing w:val="-20"/>
          <w:sz w:val="18"/>
        </w:rPr>
        <w:t xml:space="preserve"> </w:t>
      </w:r>
      <w:r>
        <w:rPr>
          <w:color w:val="231F20"/>
          <w:sz w:val="18"/>
        </w:rPr>
        <w:t>Syst</w:t>
      </w:r>
      <w:r>
        <w:rPr>
          <w:color w:val="231F20"/>
          <w:spacing w:val="-20"/>
          <w:sz w:val="18"/>
        </w:rPr>
        <w:t xml:space="preserve"> </w:t>
      </w:r>
      <w:r>
        <w:rPr>
          <w:color w:val="231F20"/>
          <w:sz w:val="18"/>
        </w:rPr>
        <w:t>Rev</w:t>
      </w:r>
      <w:r>
        <w:rPr>
          <w:color w:val="231F20"/>
          <w:spacing w:val="-20"/>
          <w:sz w:val="18"/>
        </w:rPr>
        <w:t xml:space="preserve"> </w:t>
      </w:r>
      <w:r>
        <w:rPr>
          <w:color w:val="231F20"/>
          <w:sz w:val="18"/>
        </w:rPr>
        <w:t>2010;10:CD00471.</w:t>
      </w:r>
    </w:p>
    <w:p w:rsidR="002E4A25" w:rsidRDefault="00D74ED8">
      <w:pPr>
        <w:pStyle w:val="ListParagraph"/>
        <w:numPr>
          <w:ilvl w:val="1"/>
          <w:numId w:val="1"/>
        </w:numPr>
        <w:tabs>
          <w:tab w:val="left" w:pos="418"/>
        </w:tabs>
        <w:spacing w:before="98" w:line="264" w:lineRule="auto"/>
        <w:ind w:right="474" w:hanging="298"/>
        <w:jc w:val="both"/>
        <w:rPr>
          <w:sz w:val="18"/>
        </w:rPr>
      </w:pPr>
      <w:r>
        <w:rPr>
          <w:color w:val="231F20"/>
          <w:spacing w:val="-107"/>
          <w:w w:val="95"/>
          <w:sz w:val="18"/>
        </w:rPr>
        <w:t>U</w:t>
      </w:r>
      <w:r>
        <w:rPr>
          <w:rFonts w:ascii="SimSun" w:hAnsi="SimSun"/>
          <w:color w:val="231F20"/>
          <w:w w:val="50"/>
          <w:position w:val="5"/>
          <w:sz w:val="18"/>
        </w:rPr>
        <w:t>€</w:t>
      </w:r>
      <w:r>
        <w:rPr>
          <w:rFonts w:ascii="SimSun" w:hAnsi="SimSun"/>
          <w:color w:val="231F20"/>
          <w:spacing w:val="-74"/>
          <w:position w:val="5"/>
          <w:sz w:val="18"/>
        </w:rPr>
        <w:t xml:space="preserve"> </w:t>
      </w:r>
      <w:r>
        <w:rPr>
          <w:color w:val="231F20"/>
          <w:spacing w:val="-37"/>
          <w:w w:val="104"/>
          <w:sz w:val="18"/>
        </w:rPr>
        <w:t>c</w:t>
      </w:r>
      <w:r>
        <w:rPr>
          <w:color w:val="231F20"/>
          <w:spacing w:val="3"/>
          <w:w w:val="56"/>
          <w:sz w:val="18"/>
        </w:rPr>
        <w:t>¸</w:t>
      </w:r>
      <w:r>
        <w:rPr>
          <w:color w:val="231F20"/>
          <w:w w:val="92"/>
          <w:sz w:val="18"/>
        </w:rPr>
        <w:t>eyler</w:t>
      </w:r>
      <w:r>
        <w:rPr>
          <w:color w:val="231F20"/>
          <w:sz w:val="18"/>
        </w:rPr>
        <w:t xml:space="preserve">  </w:t>
      </w:r>
      <w:r>
        <w:rPr>
          <w:color w:val="231F20"/>
          <w:spacing w:val="15"/>
          <w:sz w:val="18"/>
        </w:rPr>
        <w:t xml:space="preserve"> </w:t>
      </w:r>
      <w:r>
        <w:rPr>
          <w:color w:val="231F20"/>
          <w:w w:val="98"/>
          <w:sz w:val="18"/>
        </w:rPr>
        <w:t>N,</w:t>
      </w:r>
      <w:r>
        <w:rPr>
          <w:color w:val="231F20"/>
          <w:sz w:val="18"/>
        </w:rPr>
        <w:t xml:space="preserve">  </w:t>
      </w:r>
      <w:r>
        <w:rPr>
          <w:color w:val="231F20"/>
          <w:spacing w:val="15"/>
          <w:sz w:val="18"/>
        </w:rPr>
        <w:t xml:space="preserve"> </w:t>
      </w:r>
      <w:r>
        <w:rPr>
          <w:color w:val="231F20"/>
          <w:w w:val="97"/>
          <w:sz w:val="18"/>
        </w:rPr>
        <w:t>Sommer</w:t>
      </w:r>
      <w:r>
        <w:rPr>
          <w:color w:val="231F20"/>
          <w:sz w:val="18"/>
        </w:rPr>
        <w:t xml:space="preserve">  </w:t>
      </w:r>
      <w:r>
        <w:rPr>
          <w:color w:val="231F20"/>
          <w:spacing w:val="16"/>
          <w:sz w:val="18"/>
        </w:rPr>
        <w:t xml:space="preserve"> </w:t>
      </w:r>
      <w:r>
        <w:rPr>
          <w:color w:val="231F20"/>
          <w:w w:val="98"/>
          <w:sz w:val="18"/>
        </w:rPr>
        <w:t>C,</w:t>
      </w:r>
      <w:r>
        <w:rPr>
          <w:color w:val="231F20"/>
          <w:sz w:val="18"/>
        </w:rPr>
        <w:t xml:space="preserve">  </w:t>
      </w:r>
      <w:r>
        <w:rPr>
          <w:color w:val="231F20"/>
          <w:spacing w:val="15"/>
          <w:sz w:val="18"/>
        </w:rPr>
        <w:t xml:space="preserve"> </w:t>
      </w:r>
      <w:r>
        <w:rPr>
          <w:color w:val="231F20"/>
          <w:w w:val="95"/>
          <w:sz w:val="18"/>
        </w:rPr>
        <w:t>Walitt</w:t>
      </w:r>
      <w:r>
        <w:rPr>
          <w:color w:val="231F20"/>
          <w:sz w:val="18"/>
        </w:rPr>
        <w:t xml:space="preserve">  </w:t>
      </w:r>
      <w:r>
        <w:rPr>
          <w:color w:val="231F20"/>
          <w:spacing w:val="15"/>
          <w:sz w:val="18"/>
        </w:rPr>
        <w:t xml:space="preserve"> </w:t>
      </w:r>
      <w:r>
        <w:rPr>
          <w:color w:val="231F20"/>
          <w:sz w:val="18"/>
        </w:rPr>
        <w:t>B,</w:t>
      </w:r>
      <w:r>
        <w:rPr>
          <w:color w:val="231F20"/>
          <w:sz w:val="18"/>
        </w:rPr>
        <w:t xml:space="preserve">  </w:t>
      </w:r>
      <w:r>
        <w:rPr>
          <w:color w:val="231F20"/>
          <w:spacing w:val="16"/>
          <w:sz w:val="18"/>
        </w:rPr>
        <w:t xml:space="preserve"> </w:t>
      </w:r>
      <w:r>
        <w:rPr>
          <w:color w:val="231F20"/>
          <w:spacing w:val="-1"/>
          <w:w w:val="98"/>
          <w:sz w:val="18"/>
        </w:rPr>
        <w:t>H</w:t>
      </w:r>
      <w:r>
        <w:rPr>
          <w:color w:val="231F20"/>
          <w:spacing w:val="-92"/>
          <w:w w:val="93"/>
          <w:sz w:val="18"/>
        </w:rPr>
        <w:t>a</w:t>
      </w:r>
      <w:r>
        <w:rPr>
          <w:rFonts w:ascii="SimSun" w:hAnsi="SimSun"/>
          <w:color w:val="231F20"/>
          <w:spacing w:val="1"/>
          <w:w w:val="50"/>
          <w:position w:val="2"/>
          <w:sz w:val="18"/>
        </w:rPr>
        <w:t>€</w:t>
      </w:r>
      <w:r>
        <w:rPr>
          <w:color w:val="231F20"/>
          <w:w w:val="95"/>
          <w:sz w:val="18"/>
        </w:rPr>
        <w:t>user</w:t>
      </w:r>
      <w:r>
        <w:rPr>
          <w:color w:val="231F20"/>
          <w:sz w:val="18"/>
        </w:rPr>
        <w:t xml:space="preserve">  </w:t>
      </w:r>
      <w:r>
        <w:rPr>
          <w:color w:val="231F20"/>
          <w:spacing w:val="16"/>
          <w:sz w:val="18"/>
        </w:rPr>
        <w:t xml:space="preserve"> </w:t>
      </w:r>
      <w:r>
        <w:rPr>
          <w:color w:val="231F20"/>
          <w:w w:val="97"/>
          <w:sz w:val="18"/>
        </w:rPr>
        <w:t xml:space="preserve">W. </w:t>
      </w:r>
      <w:r>
        <w:rPr>
          <w:color w:val="231F20"/>
          <w:sz w:val="18"/>
        </w:rPr>
        <w:t>Anticonvulsants for fibromyalgia. Cochrane Database</w:t>
      </w:r>
      <w:r>
        <w:rPr>
          <w:color w:val="231F20"/>
          <w:spacing w:val="-20"/>
          <w:sz w:val="18"/>
        </w:rPr>
        <w:t xml:space="preserve"> </w:t>
      </w:r>
      <w:r>
        <w:rPr>
          <w:color w:val="231F20"/>
          <w:sz w:val="18"/>
        </w:rPr>
        <w:t>Syst</w:t>
      </w:r>
      <w:r>
        <w:rPr>
          <w:color w:val="231F20"/>
          <w:spacing w:val="-20"/>
          <w:sz w:val="18"/>
        </w:rPr>
        <w:t xml:space="preserve"> </w:t>
      </w:r>
      <w:r>
        <w:rPr>
          <w:color w:val="231F20"/>
          <w:sz w:val="18"/>
        </w:rPr>
        <w:t>Rev</w:t>
      </w:r>
      <w:r>
        <w:rPr>
          <w:color w:val="231F20"/>
          <w:spacing w:val="-20"/>
          <w:sz w:val="18"/>
        </w:rPr>
        <w:t xml:space="preserve"> </w:t>
      </w:r>
      <w:r>
        <w:rPr>
          <w:color w:val="231F20"/>
          <w:sz w:val="18"/>
        </w:rPr>
        <w:t>2013;10:CD010782.</w:t>
      </w:r>
    </w:p>
    <w:p w:rsidR="002E4A25" w:rsidRDefault="002E4A25">
      <w:pPr>
        <w:pStyle w:val="BodyText"/>
        <w:spacing w:before="8"/>
        <w:rPr>
          <w:sz w:val="16"/>
        </w:rPr>
      </w:pPr>
    </w:p>
    <w:p w:rsidR="002E4A25" w:rsidRDefault="00D74ED8">
      <w:pPr>
        <w:pStyle w:val="ListParagraph"/>
        <w:numPr>
          <w:ilvl w:val="1"/>
          <w:numId w:val="1"/>
        </w:numPr>
        <w:tabs>
          <w:tab w:val="left" w:pos="418"/>
        </w:tabs>
        <w:spacing w:line="266" w:lineRule="auto"/>
        <w:ind w:right="473" w:hanging="298"/>
        <w:jc w:val="both"/>
        <w:rPr>
          <w:sz w:val="18"/>
        </w:rPr>
      </w:pPr>
      <w:r>
        <w:rPr>
          <w:color w:val="231F20"/>
          <w:spacing w:val="2"/>
          <w:sz w:val="18"/>
        </w:rPr>
        <w:t xml:space="preserve">Wiffen PJ, Derry </w:t>
      </w:r>
      <w:r>
        <w:rPr>
          <w:color w:val="231F20"/>
          <w:sz w:val="18"/>
        </w:rPr>
        <w:t xml:space="preserve">S, </w:t>
      </w:r>
      <w:r>
        <w:rPr>
          <w:color w:val="231F20"/>
          <w:spacing w:val="2"/>
          <w:sz w:val="18"/>
        </w:rPr>
        <w:t xml:space="preserve">Moore </w:t>
      </w:r>
      <w:r>
        <w:rPr>
          <w:color w:val="231F20"/>
          <w:sz w:val="18"/>
        </w:rPr>
        <w:t xml:space="preserve">RA. </w:t>
      </w:r>
      <w:r>
        <w:rPr>
          <w:color w:val="231F20"/>
          <w:spacing w:val="2"/>
          <w:sz w:val="18"/>
        </w:rPr>
        <w:t xml:space="preserve">Lamotrigine </w:t>
      </w:r>
      <w:r>
        <w:rPr>
          <w:color w:val="231F20"/>
          <w:spacing w:val="3"/>
          <w:sz w:val="18"/>
        </w:rPr>
        <w:t xml:space="preserve">for </w:t>
      </w:r>
      <w:r>
        <w:rPr>
          <w:color w:val="231F20"/>
          <w:spacing w:val="2"/>
          <w:sz w:val="18"/>
        </w:rPr>
        <w:t xml:space="preserve">chronic neuropathic pain </w:t>
      </w:r>
      <w:r>
        <w:rPr>
          <w:color w:val="231F20"/>
          <w:sz w:val="18"/>
        </w:rPr>
        <w:t xml:space="preserve">and </w:t>
      </w:r>
      <w:r>
        <w:rPr>
          <w:color w:val="231F20"/>
          <w:spacing w:val="2"/>
          <w:sz w:val="18"/>
        </w:rPr>
        <w:t xml:space="preserve">fibromyalgia  </w:t>
      </w:r>
      <w:r>
        <w:rPr>
          <w:color w:val="231F20"/>
          <w:sz w:val="18"/>
        </w:rPr>
        <w:t xml:space="preserve">in </w:t>
      </w:r>
      <w:r>
        <w:rPr>
          <w:color w:val="231F20"/>
          <w:spacing w:val="2"/>
          <w:sz w:val="18"/>
        </w:rPr>
        <w:t xml:space="preserve">adults. Cochrane Database Syst </w:t>
      </w:r>
      <w:r>
        <w:rPr>
          <w:color w:val="231F20"/>
          <w:sz w:val="18"/>
        </w:rPr>
        <w:t xml:space="preserve">Rev </w:t>
      </w:r>
      <w:r>
        <w:rPr>
          <w:color w:val="231F20"/>
          <w:spacing w:val="3"/>
          <w:sz w:val="18"/>
        </w:rPr>
        <w:t xml:space="preserve">2013;12: </w:t>
      </w:r>
      <w:r>
        <w:rPr>
          <w:color w:val="231F20"/>
          <w:spacing w:val="2"/>
          <w:sz w:val="18"/>
        </w:rPr>
        <w:t>CD006044.</w:t>
      </w:r>
    </w:p>
    <w:p w:rsidR="002E4A25" w:rsidRDefault="002E4A25">
      <w:pPr>
        <w:pStyle w:val="BodyText"/>
        <w:spacing w:before="6"/>
        <w:rPr>
          <w:sz w:val="16"/>
        </w:rPr>
      </w:pPr>
    </w:p>
    <w:p w:rsidR="002E4A25" w:rsidRDefault="00D74ED8">
      <w:pPr>
        <w:pStyle w:val="ListParagraph"/>
        <w:numPr>
          <w:ilvl w:val="1"/>
          <w:numId w:val="1"/>
        </w:numPr>
        <w:tabs>
          <w:tab w:val="left" w:pos="418"/>
        </w:tabs>
        <w:spacing w:line="266" w:lineRule="auto"/>
        <w:ind w:right="474" w:hanging="298"/>
        <w:jc w:val="both"/>
        <w:rPr>
          <w:sz w:val="18"/>
        </w:rPr>
      </w:pPr>
      <w:r>
        <w:rPr>
          <w:color w:val="231F20"/>
          <w:sz w:val="18"/>
        </w:rPr>
        <w:t>Wiffen PJ, Derry S, Lunn MP, Moore RA. Topiramate for neuropathic pain and fibromyalgia in adults. Cochrane Database Syst Rev 2013;8: CD008314.</w:t>
      </w:r>
    </w:p>
    <w:p w:rsidR="002E4A25" w:rsidRDefault="002E4A25">
      <w:pPr>
        <w:pStyle w:val="BodyText"/>
        <w:spacing w:before="7"/>
        <w:rPr>
          <w:sz w:val="16"/>
        </w:rPr>
      </w:pPr>
    </w:p>
    <w:p w:rsidR="002E4A25" w:rsidRDefault="00D74ED8">
      <w:pPr>
        <w:pStyle w:val="ListParagraph"/>
        <w:numPr>
          <w:ilvl w:val="1"/>
          <w:numId w:val="1"/>
        </w:numPr>
        <w:tabs>
          <w:tab w:val="left" w:pos="418"/>
        </w:tabs>
        <w:spacing w:line="266" w:lineRule="auto"/>
        <w:ind w:right="475" w:hanging="298"/>
        <w:jc w:val="both"/>
        <w:rPr>
          <w:sz w:val="18"/>
        </w:rPr>
      </w:pPr>
      <w:r>
        <w:rPr>
          <w:color w:val="231F20"/>
          <w:sz w:val="18"/>
        </w:rPr>
        <w:t>Wiffen PJ, Derry S, Moore RA, Kalso EA. Carbamazepine for chronic neuropathic pain and fibromyalgia</w:t>
      </w:r>
      <w:r>
        <w:rPr>
          <w:color w:val="231F20"/>
          <w:spacing w:val="-7"/>
          <w:sz w:val="18"/>
        </w:rPr>
        <w:t xml:space="preserve"> </w:t>
      </w:r>
      <w:r>
        <w:rPr>
          <w:color w:val="231F20"/>
          <w:sz w:val="18"/>
        </w:rPr>
        <w:t>in</w:t>
      </w:r>
      <w:r>
        <w:rPr>
          <w:color w:val="231F20"/>
          <w:spacing w:val="-7"/>
          <w:sz w:val="18"/>
        </w:rPr>
        <w:t xml:space="preserve"> </w:t>
      </w:r>
      <w:r>
        <w:rPr>
          <w:color w:val="231F20"/>
          <w:sz w:val="18"/>
        </w:rPr>
        <w:t>adults.</w:t>
      </w:r>
      <w:r>
        <w:rPr>
          <w:color w:val="231F20"/>
          <w:spacing w:val="-8"/>
          <w:sz w:val="18"/>
        </w:rPr>
        <w:t xml:space="preserve"> </w:t>
      </w:r>
      <w:r>
        <w:rPr>
          <w:color w:val="231F20"/>
          <w:sz w:val="18"/>
        </w:rPr>
        <w:t>Cochrane</w:t>
      </w:r>
      <w:r>
        <w:rPr>
          <w:color w:val="231F20"/>
          <w:spacing w:val="-7"/>
          <w:sz w:val="18"/>
        </w:rPr>
        <w:t xml:space="preserve"> </w:t>
      </w:r>
      <w:r>
        <w:rPr>
          <w:color w:val="231F20"/>
          <w:sz w:val="18"/>
        </w:rPr>
        <w:t>Database</w:t>
      </w:r>
      <w:r>
        <w:rPr>
          <w:color w:val="231F20"/>
          <w:spacing w:val="-8"/>
          <w:sz w:val="18"/>
        </w:rPr>
        <w:t xml:space="preserve"> </w:t>
      </w:r>
      <w:r>
        <w:rPr>
          <w:color w:val="231F20"/>
          <w:sz w:val="18"/>
        </w:rPr>
        <w:t>Syst</w:t>
      </w:r>
      <w:r>
        <w:rPr>
          <w:color w:val="231F20"/>
          <w:spacing w:val="-7"/>
          <w:sz w:val="18"/>
        </w:rPr>
        <w:t xml:space="preserve"> </w:t>
      </w:r>
      <w:r>
        <w:rPr>
          <w:color w:val="231F20"/>
          <w:sz w:val="18"/>
        </w:rPr>
        <w:t>Rev 2014;4:CD005451.</w:t>
      </w:r>
    </w:p>
    <w:p w:rsidR="002E4A25" w:rsidRDefault="002E4A25">
      <w:pPr>
        <w:pStyle w:val="BodyText"/>
        <w:spacing w:before="7"/>
        <w:rPr>
          <w:sz w:val="16"/>
        </w:rPr>
      </w:pPr>
    </w:p>
    <w:p w:rsidR="002E4A25" w:rsidRDefault="00D74ED8">
      <w:pPr>
        <w:pStyle w:val="ListParagraph"/>
        <w:numPr>
          <w:ilvl w:val="1"/>
          <w:numId w:val="1"/>
        </w:numPr>
        <w:tabs>
          <w:tab w:val="left" w:pos="418"/>
        </w:tabs>
        <w:spacing w:line="266" w:lineRule="auto"/>
        <w:ind w:right="474" w:hanging="298"/>
        <w:jc w:val="both"/>
        <w:rPr>
          <w:sz w:val="18"/>
        </w:rPr>
      </w:pPr>
      <w:r>
        <w:rPr>
          <w:color w:val="231F20"/>
          <w:sz w:val="18"/>
        </w:rPr>
        <w:t>Cording M, Derry S, Phillips T, Moore RA, Wiffen PJ. Milnacipran for pain in fibromyalgia in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2015;10:CD008244.</w:t>
      </w:r>
    </w:p>
    <w:p w:rsidR="002E4A25" w:rsidRDefault="002E4A25">
      <w:pPr>
        <w:pStyle w:val="BodyText"/>
        <w:spacing w:before="7"/>
        <w:rPr>
          <w:sz w:val="16"/>
        </w:rPr>
      </w:pPr>
    </w:p>
    <w:p w:rsidR="002E4A25" w:rsidRDefault="00D74ED8">
      <w:pPr>
        <w:pStyle w:val="ListParagraph"/>
        <w:numPr>
          <w:ilvl w:val="1"/>
          <w:numId w:val="1"/>
        </w:numPr>
        <w:tabs>
          <w:tab w:val="left" w:pos="418"/>
        </w:tabs>
        <w:spacing w:line="266" w:lineRule="auto"/>
        <w:ind w:right="475" w:hanging="298"/>
        <w:jc w:val="both"/>
        <w:rPr>
          <w:sz w:val="18"/>
        </w:rPr>
      </w:pPr>
      <w:r>
        <w:rPr>
          <w:color w:val="231F20"/>
          <w:sz w:val="18"/>
        </w:rPr>
        <w:t>Derry S, Phillips T, Moore RA, Wiffen PJ. Milnacipran</w:t>
      </w:r>
      <w:r>
        <w:rPr>
          <w:color w:val="231F20"/>
          <w:spacing w:val="-7"/>
          <w:sz w:val="18"/>
        </w:rPr>
        <w:t xml:space="preserve"> </w:t>
      </w:r>
      <w:r>
        <w:rPr>
          <w:color w:val="231F20"/>
          <w:sz w:val="18"/>
        </w:rPr>
        <w:t>for</w:t>
      </w:r>
      <w:r>
        <w:rPr>
          <w:color w:val="231F20"/>
          <w:spacing w:val="-7"/>
          <w:sz w:val="18"/>
        </w:rPr>
        <w:t xml:space="preserve"> </w:t>
      </w:r>
      <w:r>
        <w:rPr>
          <w:color w:val="231F20"/>
          <w:sz w:val="18"/>
        </w:rPr>
        <w:t>neurop</w:t>
      </w:r>
      <w:r>
        <w:rPr>
          <w:color w:val="231F20"/>
          <w:sz w:val="18"/>
        </w:rPr>
        <w:t>athic</w:t>
      </w:r>
      <w:r>
        <w:rPr>
          <w:color w:val="231F20"/>
          <w:spacing w:val="-7"/>
          <w:sz w:val="18"/>
        </w:rPr>
        <w:t xml:space="preserve"> </w:t>
      </w:r>
      <w:r>
        <w:rPr>
          <w:color w:val="231F20"/>
          <w:sz w:val="18"/>
        </w:rPr>
        <w:t>pain</w:t>
      </w:r>
      <w:r>
        <w:rPr>
          <w:color w:val="231F20"/>
          <w:spacing w:val="-7"/>
          <w:sz w:val="18"/>
        </w:rPr>
        <w:t xml:space="preserve"> </w:t>
      </w:r>
      <w:r>
        <w:rPr>
          <w:color w:val="231F20"/>
          <w:sz w:val="18"/>
        </w:rPr>
        <w:t>in</w:t>
      </w:r>
      <w:r>
        <w:rPr>
          <w:color w:val="231F20"/>
          <w:spacing w:val="-7"/>
          <w:sz w:val="18"/>
        </w:rPr>
        <w:t xml:space="preserve"> </w:t>
      </w:r>
      <w:r>
        <w:rPr>
          <w:color w:val="231F20"/>
          <w:sz w:val="18"/>
        </w:rPr>
        <w:t>adults.</w:t>
      </w:r>
      <w:r>
        <w:rPr>
          <w:color w:val="231F20"/>
          <w:spacing w:val="-7"/>
          <w:sz w:val="18"/>
        </w:rPr>
        <w:t xml:space="preserve"> </w:t>
      </w:r>
      <w:r>
        <w:rPr>
          <w:color w:val="231F20"/>
          <w:sz w:val="18"/>
        </w:rPr>
        <w:t>Cochrane Database</w:t>
      </w:r>
      <w:r>
        <w:rPr>
          <w:color w:val="231F20"/>
          <w:spacing w:val="-29"/>
          <w:sz w:val="18"/>
        </w:rPr>
        <w:t xml:space="preserve"> </w:t>
      </w:r>
      <w:r>
        <w:rPr>
          <w:color w:val="231F20"/>
          <w:sz w:val="18"/>
        </w:rPr>
        <w:t>Syst</w:t>
      </w:r>
      <w:r>
        <w:rPr>
          <w:color w:val="231F20"/>
          <w:spacing w:val="-29"/>
          <w:sz w:val="18"/>
        </w:rPr>
        <w:t xml:space="preserve"> </w:t>
      </w:r>
      <w:r>
        <w:rPr>
          <w:color w:val="231F20"/>
          <w:sz w:val="18"/>
        </w:rPr>
        <w:t>Rev</w:t>
      </w:r>
      <w:r>
        <w:rPr>
          <w:color w:val="231F20"/>
          <w:spacing w:val="-29"/>
          <w:sz w:val="18"/>
        </w:rPr>
        <w:t xml:space="preserve"> </w:t>
      </w:r>
      <w:r>
        <w:rPr>
          <w:color w:val="231F20"/>
          <w:sz w:val="18"/>
        </w:rPr>
        <w:t>2015;7:CD011789.</w:t>
      </w:r>
    </w:p>
    <w:p w:rsidR="002E4A25" w:rsidRDefault="002E4A25">
      <w:pPr>
        <w:pStyle w:val="BodyText"/>
        <w:spacing w:before="6"/>
        <w:rPr>
          <w:sz w:val="16"/>
        </w:rPr>
      </w:pPr>
    </w:p>
    <w:p w:rsidR="002E4A25" w:rsidRDefault="00D74ED8">
      <w:pPr>
        <w:pStyle w:val="ListParagraph"/>
        <w:numPr>
          <w:ilvl w:val="1"/>
          <w:numId w:val="1"/>
        </w:numPr>
        <w:tabs>
          <w:tab w:val="left" w:pos="418"/>
        </w:tabs>
        <w:spacing w:line="266" w:lineRule="auto"/>
        <w:ind w:right="474" w:hanging="298"/>
        <w:jc w:val="both"/>
        <w:rPr>
          <w:sz w:val="18"/>
        </w:rPr>
      </w:pPr>
      <w:r>
        <w:rPr>
          <w:color w:val="231F20"/>
          <w:sz w:val="18"/>
        </w:rPr>
        <w:t>Derry S, Wiffen PJ, Aldington D, Moore RA. Nortriptyline for neuropathic pain in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8"/>
          <w:sz w:val="18"/>
        </w:rPr>
        <w:t xml:space="preserve"> </w:t>
      </w:r>
      <w:r>
        <w:rPr>
          <w:color w:val="231F20"/>
          <w:sz w:val="18"/>
        </w:rPr>
        <w:t>Rev</w:t>
      </w:r>
      <w:r>
        <w:rPr>
          <w:color w:val="231F20"/>
          <w:spacing w:val="-18"/>
          <w:sz w:val="18"/>
        </w:rPr>
        <w:t xml:space="preserve"> </w:t>
      </w:r>
      <w:r>
        <w:rPr>
          <w:color w:val="231F20"/>
          <w:sz w:val="18"/>
        </w:rPr>
        <w:t>2015;1:CD011209.</w:t>
      </w:r>
    </w:p>
    <w:p w:rsidR="002E4A25" w:rsidRDefault="002E4A25">
      <w:pPr>
        <w:pStyle w:val="BodyText"/>
        <w:spacing w:before="6"/>
        <w:rPr>
          <w:sz w:val="16"/>
        </w:rPr>
      </w:pPr>
    </w:p>
    <w:p w:rsidR="002E4A25" w:rsidRDefault="00D74ED8">
      <w:pPr>
        <w:pStyle w:val="ListParagraph"/>
        <w:numPr>
          <w:ilvl w:val="1"/>
          <w:numId w:val="1"/>
        </w:numPr>
        <w:tabs>
          <w:tab w:val="left" w:pos="418"/>
        </w:tabs>
        <w:spacing w:line="266" w:lineRule="auto"/>
        <w:ind w:right="474" w:hanging="298"/>
        <w:jc w:val="both"/>
        <w:rPr>
          <w:sz w:val="18"/>
        </w:rPr>
      </w:pPr>
      <w:r>
        <w:rPr>
          <w:color w:val="231F20"/>
          <w:sz w:val="18"/>
        </w:rPr>
        <w:t>Gallagher HC, Gallagher RM, Butler M, Buggy DJ, Henman</w:t>
      </w:r>
      <w:r>
        <w:rPr>
          <w:color w:val="231F20"/>
          <w:sz w:val="18"/>
        </w:rPr>
        <w:t xml:space="preserve"> MC. Venlafaxine for neuropathic pain in adults. Cochrane Database Syst Rev 2015;8: CD011091.</w:t>
      </w:r>
    </w:p>
    <w:p w:rsidR="002E4A25" w:rsidRDefault="00D74ED8">
      <w:pPr>
        <w:pStyle w:val="ListParagraph"/>
        <w:numPr>
          <w:ilvl w:val="1"/>
          <w:numId w:val="1"/>
        </w:numPr>
        <w:tabs>
          <w:tab w:val="left" w:pos="418"/>
        </w:tabs>
        <w:spacing w:before="98" w:line="264" w:lineRule="auto"/>
        <w:ind w:right="474" w:hanging="298"/>
        <w:jc w:val="both"/>
        <w:rPr>
          <w:sz w:val="18"/>
        </w:rPr>
      </w:pPr>
      <w:r>
        <w:rPr>
          <w:color w:val="231F20"/>
          <w:w w:val="98"/>
          <w:sz w:val="18"/>
        </w:rPr>
        <w:t>H</w:t>
      </w:r>
      <w:r>
        <w:rPr>
          <w:color w:val="231F20"/>
          <w:spacing w:val="-93"/>
          <w:w w:val="93"/>
          <w:sz w:val="18"/>
        </w:rPr>
        <w:t>a</w:t>
      </w:r>
      <w:r>
        <w:rPr>
          <w:rFonts w:ascii="SimSun" w:hAnsi="SimSun"/>
          <w:color w:val="231F20"/>
          <w:spacing w:val="2"/>
          <w:w w:val="50"/>
          <w:position w:val="2"/>
          <w:sz w:val="18"/>
        </w:rPr>
        <w:t>€</w:t>
      </w:r>
      <w:r>
        <w:rPr>
          <w:color w:val="231F20"/>
          <w:w w:val="95"/>
          <w:sz w:val="18"/>
        </w:rPr>
        <w:t>user</w:t>
      </w:r>
      <w:r>
        <w:rPr>
          <w:color w:val="231F20"/>
          <w:sz w:val="18"/>
        </w:rPr>
        <w:t xml:space="preserve"> </w:t>
      </w:r>
      <w:r>
        <w:rPr>
          <w:color w:val="231F20"/>
          <w:spacing w:val="-8"/>
          <w:sz w:val="18"/>
        </w:rPr>
        <w:t xml:space="preserve"> </w:t>
      </w:r>
      <w:r>
        <w:rPr>
          <w:color w:val="231F20"/>
          <w:w w:val="97"/>
          <w:sz w:val="18"/>
        </w:rPr>
        <w:t>W,</w:t>
      </w:r>
      <w:r>
        <w:rPr>
          <w:color w:val="231F20"/>
          <w:sz w:val="18"/>
        </w:rPr>
        <w:t xml:space="preserve"> </w:t>
      </w:r>
      <w:r>
        <w:rPr>
          <w:color w:val="231F20"/>
          <w:spacing w:val="-8"/>
          <w:sz w:val="18"/>
        </w:rPr>
        <w:t xml:space="preserve"> </w:t>
      </w:r>
      <w:r>
        <w:rPr>
          <w:color w:val="231F20"/>
          <w:w w:val="94"/>
          <w:sz w:val="18"/>
        </w:rPr>
        <w:t>Ur</w:t>
      </w:r>
      <w:r>
        <w:rPr>
          <w:color w:val="231F20"/>
          <w:spacing w:val="-1"/>
          <w:w w:val="94"/>
          <w:sz w:val="18"/>
        </w:rPr>
        <w:t>r</w:t>
      </w:r>
      <w:r>
        <w:rPr>
          <w:color w:val="231F20"/>
          <w:spacing w:val="-94"/>
          <w:w w:val="97"/>
          <w:sz w:val="18"/>
        </w:rPr>
        <w:t>u</w:t>
      </w:r>
      <w:r>
        <w:rPr>
          <w:rFonts w:ascii="SimSun" w:hAnsi="SimSun"/>
          <w:color w:val="231F20"/>
          <w:spacing w:val="3"/>
          <w:position w:val="1"/>
          <w:sz w:val="18"/>
        </w:rPr>
        <w:t>'</w:t>
      </w:r>
      <w:r>
        <w:rPr>
          <w:color w:val="231F20"/>
          <w:w w:val="94"/>
          <w:sz w:val="18"/>
        </w:rPr>
        <w:t>tia</w:t>
      </w:r>
      <w:r>
        <w:rPr>
          <w:color w:val="231F20"/>
          <w:sz w:val="18"/>
        </w:rPr>
        <w:t xml:space="preserve"> </w:t>
      </w:r>
      <w:r>
        <w:rPr>
          <w:color w:val="231F20"/>
          <w:spacing w:val="-8"/>
          <w:sz w:val="18"/>
        </w:rPr>
        <w:t xml:space="preserve"> </w:t>
      </w:r>
      <w:r>
        <w:rPr>
          <w:color w:val="231F20"/>
          <w:w w:val="96"/>
          <w:sz w:val="18"/>
        </w:rPr>
        <w:t>G,</w:t>
      </w:r>
      <w:r>
        <w:rPr>
          <w:color w:val="231F20"/>
          <w:sz w:val="18"/>
        </w:rPr>
        <w:t xml:space="preserve"> </w:t>
      </w:r>
      <w:r>
        <w:rPr>
          <w:color w:val="231F20"/>
          <w:spacing w:val="-9"/>
          <w:sz w:val="18"/>
        </w:rPr>
        <w:t xml:space="preserve"> </w:t>
      </w:r>
      <w:r>
        <w:rPr>
          <w:color w:val="231F20"/>
          <w:w w:val="96"/>
          <w:sz w:val="18"/>
        </w:rPr>
        <w:t>Tort</w:t>
      </w:r>
      <w:r>
        <w:rPr>
          <w:color w:val="231F20"/>
          <w:sz w:val="18"/>
        </w:rPr>
        <w:t xml:space="preserve"> </w:t>
      </w:r>
      <w:r>
        <w:rPr>
          <w:color w:val="231F20"/>
          <w:spacing w:val="-7"/>
          <w:sz w:val="18"/>
        </w:rPr>
        <w:t xml:space="preserve"> </w:t>
      </w:r>
      <w:r>
        <w:rPr>
          <w:color w:val="231F20"/>
          <w:w w:val="95"/>
          <w:sz w:val="18"/>
        </w:rPr>
        <w:t>S,</w:t>
      </w:r>
      <w:r>
        <w:rPr>
          <w:color w:val="231F20"/>
          <w:sz w:val="18"/>
        </w:rPr>
        <w:t xml:space="preserve"> </w:t>
      </w:r>
      <w:r>
        <w:rPr>
          <w:color w:val="231F20"/>
          <w:spacing w:val="-8"/>
          <w:sz w:val="18"/>
        </w:rPr>
        <w:t xml:space="preserve"> </w:t>
      </w:r>
      <w:r>
        <w:rPr>
          <w:color w:val="231F20"/>
          <w:spacing w:val="-107"/>
          <w:w w:val="95"/>
          <w:sz w:val="18"/>
        </w:rPr>
        <w:t>U</w:t>
      </w:r>
      <w:r>
        <w:rPr>
          <w:rFonts w:ascii="SimSun" w:hAnsi="SimSun"/>
          <w:color w:val="231F20"/>
          <w:w w:val="50"/>
          <w:position w:val="5"/>
          <w:sz w:val="18"/>
        </w:rPr>
        <w:t>€</w:t>
      </w:r>
      <w:r>
        <w:rPr>
          <w:rFonts w:ascii="SimSun" w:hAnsi="SimSun"/>
          <w:color w:val="231F20"/>
          <w:spacing w:val="-74"/>
          <w:position w:val="5"/>
          <w:sz w:val="18"/>
        </w:rPr>
        <w:t xml:space="preserve"> </w:t>
      </w:r>
      <w:r>
        <w:rPr>
          <w:color w:val="231F20"/>
          <w:spacing w:val="-37"/>
          <w:w w:val="104"/>
          <w:sz w:val="18"/>
        </w:rPr>
        <w:t>c</w:t>
      </w:r>
      <w:r>
        <w:rPr>
          <w:color w:val="231F20"/>
          <w:spacing w:val="3"/>
          <w:w w:val="56"/>
          <w:sz w:val="18"/>
        </w:rPr>
        <w:t>¸</w:t>
      </w:r>
      <w:r>
        <w:rPr>
          <w:color w:val="231F20"/>
          <w:w w:val="92"/>
          <w:sz w:val="18"/>
        </w:rPr>
        <w:t>eyler</w:t>
      </w:r>
      <w:r>
        <w:rPr>
          <w:color w:val="231F20"/>
          <w:sz w:val="18"/>
        </w:rPr>
        <w:t xml:space="preserve"> </w:t>
      </w:r>
      <w:r>
        <w:rPr>
          <w:color w:val="231F20"/>
          <w:spacing w:val="-9"/>
          <w:sz w:val="18"/>
        </w:rPr>
        <w:t xml:space="preserve"> </w:t>
      </w:r>
      <w:r>
        <w:rPr>
          <w:color w:val="231F20"/>
          <w:w w:val="98"/>
          <w:sz w:val="18"/>
        </w:rPr>
        <w:t>N,</w:t>
      </w:r>
      <w:r>
        <w:rPr>
          <w:color w:val="231F20"/>
          <w:sz w:val="18"/>
        </w:rPr>
        <w:t xml:space="preserve"> </w:t>
      </w:r>
      <w:r>
        <w:rPr>
          <w:color w:val="231F20"/>
          <w:spacing w:val="-8"/>
          <w:sz w:val="18"/>
        </w:rPr>
        <w:t xml:space="preserve"> </w:t>
      </w:r>
      <w:r>
        <w:rPr>
          <w:color w:val="231F20"/>
          <w:w w:val="95"/>
          <w:sz w:val="18"/>
        </w:rPr>
        <w:t>Walitt</w:t>
      </w:r>
      <w:r>
        <w:rPr>
          <w:color w:val="231F20"/>
          <w:sz w:val="18"/>
        </w:rPr>
        <w:t xml:space="preserve"> </w:t>
      </w:r>
      <w:r>
        <w:rPr>
          <w:color w:val="231F20"/>
          <w:spacing w:val="-8"/>
          <w:sz w:val="18"/>
        </w:rPr>
        <w:t xml:space="preserve"> </w:t>
      </w:r>
      <w:r>
        <w:rPr>
          <w:color w:val="231F20"/>
          <w:sz w:val="18"/>
        </w:rPr>
        <w:t xml:space="preserve">B. </w:t>
      </w:r>
      <w:r>
        <w:rPr>
          <w:color w:val="231F20"/>
          <w:sz w:val="18"/>
        </w:rPr>
        <w:t>Serotonin and noradrenaline reuptake inhibitors (snris) for fibromyalgia syndrome. Cochrane Database</w:t>
      </w:r>
      <w:r>
        <w:rPr>
          <w:color w:val="231F20"/>
          <w:spacing w:val="-29"/>
          <w:sz w:val="18"/>
        </w:rPr>
        <w:t xml:space="preserve"> </w:t>
      </w:r>
      <w:r>
        <w:rPr>
          <w:color w:val="231F20"/>
          <w:sz w:val="18"/>
        </w:rPr>
        <w:t>Syst</w:t>
      </w:r>
      <w:r>
        <w:rPr>
          <w:color w:val="231F20"/>
          <w:spacing w:val="-29"/>
          <w:sz w:val="18"/>
        </w:rPr>
        <w:t xml:space="preserve"> </w:t>
      </w:r>
      <w:r>
        <w:rPr>
          <w:color w:val="231F20"/>
          <w:sz w:val="18"/>
        </w:rPr>
        <w:t>Rev</w:t>
      </w:r>
      <w:r>
        <w:rPr>
          <w:color w:val="231F20"/>
          <w:spacing w:val="-29"/>
          <w:sz w:val="18"/>
        </w:rPr>
        <w:t xml:space="preserve"> </w:t>
      </w:r>
      <w:r>
        <w:rPr>
          <w:color w:val="231F20"/>
          <w:sz w:val="18"/>
        </w:rPr>
        <w:t>2013;1:CD010292.</w:t>
      </w:r>
    </w:p>
    <w:p w:rsidR="002E4A25" w:rsidRDefault="002E4A25">
      <w:pPr>
        <w:spacing w:line="264" w:lineRule="auto"/>
        <w:jc w:val="both"/>
        <w:rPr>
          <w:sz w:val="18"/>
        </w:rPr>
        <w:sectPr w:rsidR="002E4A25">
          <w:type w:val="continuous"/>
          <w:pgSz w:w="11880" w:h="15660"/>
          <w:pgMar w:top="320" w:right="1000" w:bottom="280" w:left="1080" w:header="720" w:footer="720" w:gutter="0"/>
          <w:cols w:num="2" w:space="720" w:equalWidth="0">
            <w:col w:w="4543" w:space="238"/>
            <w:col w:w="5019"/>
          </w:cols>
        </w:sectPr>
      </w:pPr>
    </w:p>
    <w:p w:rsidR="002E4A25" w:rsidRDefault="002E4A25">
      <w:pPr>
        <w:pStyle w:val="BodyText"/>
        <w:spacing w:before="10"/>
        <w:rPr>
          <w:sz w:val="15"/>
        </w:rPr>
      </w:pPr>
    </w:p>
    <w:p w:rsidR="002E4A25" w:rsidRDefault="002E4A25">
      <w:pPr>
        <w:rPr>
          <w:sz w:val="15"/>
        </w:rPr>
        <w:sectPr w:rsidR="002E4A25">
          <w:pgSz w:w="11880" w:h="15660"/>
          <w:pgMar w:top="1260" w:right="1000" w:bottom="880" w:left="1360" w:header="1068" w:footer="688" w:gutter="0"/>
          <w:cols w:space="720"/>
        </w:sectPr>
      </w:pPr>
    </w:p>
    <w:p w:rsidR="002E4A25" w:rsidRDefault="00D74ED8">
      <w:pPr>
        <w:pStyle w:val="ListParagraph"/>
        <w:numPr>
          <w:ilvl w:val="1"/>
          <w:numId w:val="1"/>
        </w:numPr>
        <w:tabs>
          <w:tab w:val="left" w:pos="420"/>
        </w:tabs>
        <w:spacing w:before="83" w:line="266" w:lineRule="auto"/>
        <w:ind w:left="419" w:hanging="300"/>
        <w:jc w:val="both"/>
        <w:rPr>
          <w:sz w:val="18"/>
        </w:rPr>
      </w:pPr>
      <w:r>
        <w:pict>
          <v:shape id="_x0000_s1027" type="#_x0000_t202" style="position:absolute;left:0;text-align:left;margin-left:574.25pt;margin-top:245.3pt;width:10.9pt;height:293.3pt;z-index:251666944;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 xml:space="preserve">Downloaded from </w:t>
                  </w:r>
                  <w:hyperlink r:id="rId34">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bookmarkStart w:id="42" w:name="_bookmark39"/>
      <w:bookmarkEnd w:id="42"/>
      <w:r>
        <w:rPr>
          <w:color w:val="231F20"/>
          <w:sz w:val="18"/>
        </w:rPr>
        <w:t xml:space="preserve">Hearn L, Derry S, Phillips T, Moore RA, </w:t>
      </w:r>
      <w:bookmarkStart w:id="43" w:name="_bookmark40"/>
      <w:bookmarkEnd w:id="43"/>
      <w:r>
        <w:rPr>
          <w:color w:val="231F20"/>
          <w:sz w:val="18"/>
        </w:rPr>
        <w:t>Wiffen PJ. Imipramine for neuropathic pain in adults.</w:t>
      </w:r>
      <w:r>
        <w:rPr>
          <w:color w:val="231F20"/>
          <w:spacing w:val="-14"/>
          <w:sz w:val="18"/>
        </w:rPr>
        <w:t xml:space="preserve"> </w:t>
      </w:r>
      <w:r>
        <w:rPr>
          <w:color w:val="231F20"/>
          <w:sz w:val="18"/>
        </w:rPr>
        <w:t>Cochrane Database</w:t>
      </w:r>
      <w:r>
        <w:rPr>
          <w:color w:val="231F20"/>
          <w:spacing w:val="-30"/>
          <w:sz w:val="18"/>
        </w:rPr>
        <w:t xml:space="preserve"> </w:t>
      </w:r>
      <w:r>
        <w:rPr>
          <w:color w:val="231F20"/>
          <w:sz w:val="18"/>
        </w:rPr>
        <w:t>Syst</w:t>
      </w:r>
      <w:r>
        <w:rPr>
          <w:color w:val="231F20"/>
          <w:spacing w:val="-30"/>
          <w:sz w:val="18"/>
        </w:rPr>
        <w:t xml:space="preserve"> </w:t>
      </w:r>
      <w:r>
        <w:rPr>
          <w:color w:val="231F20"/>
          <w:sz w:val="18"/>
        </w:rPr>
        <w:t>Rev</w:t>
      </w:r>
      <w:r>
        <w:rPr>
          <w:color w:val="231F20"/>
          <w:spacing w:val="-29"/>
          <w:sz w:val="18"/>
        </w:rPr>
        <w:t xml:space="preserve"> </w:t>
      </w:r>
      <w:r>
        <w:rPr>
          <w:color w:val="231F20"/>
          <w:sz w:val="18"/>
        </w:rPr>
        <w:t>2014;5:CD010769.</w:t>
      </w:r>
    </w:p>
    <w:p w:rsidR="002E4A25" w:rsidRDefault="002E4A25">
      <w:pPr>
        <w:pStyle w:val="BodyText"/>
        <w:spacing w:before="5"/>
        <w:rPr>
          <w:sz w:val="16"/>
        </w:rPr>
      </w:pPr>
    </w:p>
    <w:p w:rsidR="002E4A25" w:rsidRDefault="00D74ED8">
      <w:pPr>
        <w:pStyle w:val="ListParagraph"/>
        <w:numPr>
          <w:ilvl w:val="1"/>
          <w:numId w:val="1"/>
        </w:numPr>
        <w:tabs>
          <w:tab w:val="left" w:pos="420"/>
        </w:tabs>
        <w:spacing w:before="1" w:line="266" w:lineRule="auto"/>
        <w:ind w:left="419" w:hanging="300"/>
        <w:jc w:val="both"/>
        <w:rPr>
          <w:sz w:val="18"/>
        </w:rPr>
      </w:pPr>
      <w:bookmarkStart w:id="44" w:name="_bookmark41"/>
      <w:bookmarkEnd w:id="44"/>
      <w:r>
        <w:rPr>
          <w:color w:val="231F20"/>
          <w:sz w:val="18"/>
        </w:rPr>
        <w:t xml:space="preserve">Lunn MP, Hughes RA, Wiffen PJ. </w:t>
      </w:r>
      <w:bookmarkStart w:id="45" w:name="_bookmark42"/>
      <w:bookmarkEnd w:id="45"/>
      <w:r>
        <w:rPr>
          <w:color w:val="231F20"/>
          <w:sz w:val="18"/>
        </w:rPr>
        <w:t>Duloxetine</w:t>
      </w:r>
      <w:r>
        <w:rPr>
          <w:color w:val="231F20"/>
          <w:sz w:val="18"/>
        </w:rPr>
        <w:t xml:space="preserve"> for treating painful neuropathy, chronic pain or fibro- myalgia. Cochrane Database Syst Rev 2014;1: CD007115.</w:t>
      </w:r>
    </w:p>
    <w:p w:rsidR="002E4A25" w:rsidRDefault="002E4A25">
      <w:pPr>
        <w:pStyle w:val="BodyText"/>
        <w:spacing w:before="6"/>
        <w:rPr>
          <w:sz w:val="16"/>
        </w:rPr>
      </w:pPr>
    </w:p>
    <w:p w:rsidR="002E4A25" w:rsidRDefault="00D74ED8">
      <w:pPr>
        <w:pStyle w:val="ListParagraph"/>
        <w:numPr>
          <w:ilvl w:val="1"/>
          <w:numId w:val="1"/>
        </w:numPr>
        <w:tabs>
          <w:tab w:val="left" w:pos="420"/>
        </w:tabs>
        <w:spacing w:line="266" w:lineRule="auto"/>
        <w:ind w:left="419" w:hanging="300"/>
        <w:jc w:val="both"/>
        <w:rPr>
          <w:sz w:val="18"/>
        </w:rPr>
      </w:pPr>
      <w:bookmarkStart w:id="46" w:name="_bookmark43"/>
      <w:bookmarkEnd w:id="46"/>
      <w:r>
        <w:rPr>
          <w:color w:val="231F20"/>
          <w:sz w:val="18"/>
        </w:rPr>
        <w:t xml:space="preserve">Moore RA, Derry S, Aldington D, Cole P, </w:t>
      </w:r>
      <w:bookmarkStart w:id="47" w:name="_bookmark44"/>
      <w:bookmarkEnd w:id="47"/>
      <w:r>
        <w:rPr>
          <w:color w:val="231F20"/>
          <w:sz w:val="18"/>
        </w:rPr>
        <w:t>Wiffen PJ. Amitriptyline for neuropathic pain in adults. Cochrane</w:t>
      </w:r>
      <w:r>
        <w:rPr>
          <w:color w:val="231F20"/>
          <w:spacing w:val="-18"/>
          <w:sz w:val="18"/>
        </w:rPr>
        <w:t xml:space="preserve"> </w:t>
      </w:r>
      <w:r>
        <w:rPr>
          <w:color w:val="231F20"/>
          <w:sz w:val="18"/>
        </w:rPr>
        <w:t>Database</w:t>
      </w:r>
      <w:r>
        <w:rPr>
          <w:color w:val="231F20"/>
          <w:spacing w:val="-19"/>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2015;7:CD008242.</w:t>
      </w:r>
    </w:p>
    <w:p w:rsidR="002E4A25" w:rsidRDefault="002E4A25">
      <w:pPr>
        <w:pStyle w:val="BodyText"/>
        <w:spacing w:before="5"/>
        <w:rPr>
          <w:sz w:val="16"/>
        </w:rPr>
      </w:pPr>
    </w:p>
    <w:p w:rsidR="002E4A25" w:rsidRDefault="00D74ED8">
      <w:pPr>
        <w:pStyle w:val="ListParagraph"/>
        <w:numPr>
          <w:ilvl w:val="1"/>
          <w:numId w:val="1"/>
        </w:numPr>
        <w:tabs>
          <w:tab w:val="left" w:pos="420"/>
        </w:tabs>
        <w:spacing w:before="1" w:line="266" w:lineRule="auto"/>
        <w:ind w:left="419" w:hanging="300"/>
        <w:jc w:val="both"/>
        <w:rPr>
          <w:sz w:val="18"/>
        </w:rPr>
      </w:pPr>
      <w:bookmarkStart w:id="48" w:name="_bookmark45"/>
      <w:bookmarkEnd w:id="48"/>
      <w:r>
        <w:rPr>
          <w:color w:val="231F20"/>
          <w:sz w:val="18"/>
        </w:rPr>
        <w:t>Sa</w:t>
      </w:r>
      <w:r>
        <w:rPr>
          <w:color w:val="231F20"/>
          <w:sz w:val="18"/>
        </w:rPr>
        <w:t>arto</w:t>
      </w:r>
      <w:r>
        <w:rPr>
          <w:color w:val="231F20"/>
          <w:spacing w:val="-15"/>
          <w:sz w:val="18"/>
        </w:rPr>
        <w:t xml:space="preserve"> </w:t>
      </w:r>
      <w:r>
        <w:rPr>
          <w:color w:val="231F20"/>
          <w:sz w:val="18"/>
        </w:rPr>
        <w:t>T,</w:t>
      </w:r>
      <w:r>
        <w:rPr>
          <w:color w:val="231F20"/>
          <w:spacing w:val="-14"/>
          <w:sz w:val="18"/>
        </w:rPr>
        <w:t xml:space="preserve"> </w:t>
      </w:r>
      <w:r>
        <w:rPr>
          <w:color w:val="231F20"/>
          <w:sz w:val="18"/>
        </w:rPr>
        <w:t>Wiffen</w:t>
      </w:r>
      <w:r>
        <w:rPr>
          <w:color w:val="231F20"/>
          <w:spacing w:val="-14"/>
          <w:sz w:val="18"/>
        </w:rPr>
        <w:t xml:space="preserve"> </w:t>
      </w:r>
      <w:r>
        <w:rPr>
          <w:color w:val="231F20"/>
          <w:sz w:val="18"/>
        </w:rPr>
        <w:t>PJ.</w:t>
      </w:r>
      <w:r>
        <w:rPr>
          <w:color w:val="231F20"/>
          <w:spacing w:val="-15"/>
          <w:sz w:val="18"/>
        </w:rPr>
        <w:t xml:space="preserve"> </w:t>
      </w:r>
      <w:r>
        <w:rPr>
          <w:color w:val="231F20"/>
          <w:sz w:val="18"/>
        </w:rPr>
        <w:t>Antidepressants</w:t>
      </w:r>
      <w:r>
        <w:rPr>
          <w:color w:val="231F20"/>
          <w:spacing w:val="-14"/>
          <w:sz w:val="18"/>
        </w:rPr>
        <w:t xml:space="preserve"> </w:t>
      </w:r>
      <w:r>
        <w:rPr>
          <w:color w:val="231F20"/>
          <w:sz w:val="18"/>
        </w:rPr>
        <w:t>for</w:t>
      </w:r>
      <w:r>
        <w:rPr>
          <w:color w:val="231F20"/>
          <w:spacing w:val="-14"/>
          <w:sz w:val="18"/>
        </w:rPr>
        <w:t xml:space="preserve"> </w:t>
      </w:r>
      <w:r>
        <w:rPr>
          <w:color w:val="231F20"/>
          <w:sz w:val="18"/>
        </w:rPr>
        <w:t xml:space="preserve">neuropathic pain. Cochrane Database Syst Rev </w:t>
      </w:r>
      <w:bookmarkStart w:id="49" w:name="_bookmark46"/>
      <w:bookmarkEnd w:id="49"/>
      <w:r>
        <w:rPr>
          <w:color w:val="231F20"/>
          <w:sz w:val="18"/>
        </w:rPr>
        <w:t>2007;4: CD005454.</w:t>
      </w:r>
    </w:p>
    <w:p w:rsidR="002E4A25" w:rsidRDefault="00D74ED8">
      <w:pPr>
        <w:pStyle w:val="ListParagraph"/>
        <w:numPr>
          <w:ilvl w:val="1"/>
          <w:numId w:val="1"/>
        </w:numPr>
        <w:tabs>
          <w:tab w:val="left" w:pos="420"/>
        </w:tabs>
        <w:spacing w:before="139" w:line="264" w:lineRule="auto"/>
        <w:ind w:left="419" w:hanging="300"/>
        <w:jc w:val="both"/>
        <w:rPr>
          <w:sz w:val="18"/>
        </w:rPr>
      </w:pPr>
      <w:bookmarkStart w:id="50" w:name="_bookmark47"/>
      <w:bookmarkEnd w:id="50"/>
      <w:r>
        <w:rPr>
          <w:color w:val="231F20"/>
          <w:w w:val="96"/>
          <w:sz w:val="18"/>
        </w:rPr>
        <w:t>Tort</w:t>
      </w:r>
      <w:r>
        <w:rPr>
          <w:color w:val="231F20"/>
          <w:sz w:val="18"/>
        </w:rPr>
        <w:t xml:space="preserve">  </w:t>
      </w:r>
      <w:r>
        <w:rPr>
          <w:color w:val="231F20"/>
          <w:spacing w:val="15"/>
          <w:sz w:val="18"/>
        </w:rPr>
        <w:t xml:space="preserve"> </w:t>
      </w:r>
      <w:r>
        <w:rPr>
          <w:color w:val="231F20"/>
          <w:w w:val="95"/>
          <w:sz w:val="18"/>
        </w:rPr>
        <w:t>S,</w:t>
      </w:r>
      <w:r>
        <w:rPr>
          <w:color w:val="231F20"/>
          <w:sz w:val="18"/>
        </w:rPr>
        <w:t xml:space="preserve">  </w:t>
      </w:r>
      <w:r>
        <w:rPr>
          <w:color w:val="231F20"/>
          <w:spacing w:val="16"/>
          <w:sz w:val="18"/>
        </w:rPr>
        <w:t xml:space="preserve"> </w:t>
      </w:r>
      <w:r>
        <w:rPr>
          <w:color w:val="231F20"/>
          <w:w w:val="94"/>
          <w:sz w:val="18"/>
        </w:rPr>
        <w:t>Ur</w:t>
      </w:r>
      <w:r>
        <w:rPr>
          <w:color w:val="231F20"/>
          <w:spacing w:val="-1"/>
          <w:w w:val="94"/>
          <w:sz w:val="18"/>
        </w:rPr>
        <w:t>r</w:t>
      </w:r>
      <w:r>
        <w:rPr>
          <w:color w:val="231F20"/>
          <w:spacing w:val="-94"/>
          <w:w w:val="97"/>
          <w:sz w:val="18"/>
        </w:rPr>
        <w:t>u</w:t>
      </w:r>
      <w:r>
        <w:rPr>
          <w:rFonts w:ascii="SimSun"/>
          <w:color w:val="231F20"/>
          <w:spacing w:val="3"/>
          <w:position w:val="1"/>
          <w:sz w:val="18"/>
        </w:rPr>
        <w:t>'</w:t>
      </w:r>
      <w:r>
        <w:rPr>
          <w:color w:val="231F20"/>
          <w:w w:val="94"/>
          <w:sz w:val="18"/>
        </w:rPr>
        <w:t>tia</w:t>
      </w:r>
      <w:r>
        <w:rPr>
          <w:color w:val="231F20"/>
          <w:sz w:val="18"/>
        </w:rPr>
        <w:t xml:space="preserve">  </w:t>
      </w:r>
      <w:r>
        <w:rPr>
          <w:color w:val="231F20"/>
          <w:spacing w:val="16"/>
          <w:sz w:val="18"/>
        </w:rPr>
        <w:t xml:space="preserve"> </w:t>
      </w:r>
      <w:r>
        <w:rPr>
          <w:color w:val="231F20"/>
          <w:w w:val="96"/>
          <w:sz w:val="18"/>
        </w:rPr>
        <w:t>G,</w:t>
      </w:r>
      <w:r>
        <w:rPr>
          <w:color w:val="231F20"/>
          <w:sz w:val="18"/>
        </w:rPr>
        <w:t xml:space="preserve">  </w:t>
      </w:r>
      <w:r>
        <w:rPr>
          <w:color w:val="231F20"/>
          <w:spacing w:val="16"/>
          <w:sz w:val="18"/>
        </w:rPr>
        <w:t xml:space="preserve"> </w:t>
      </w:r>
      <w:r>
        <w:rPr>
          <w:color w:val="231F20"/>
          <w:w w:val="94"/>
          <w:sz w:val="18"/>
        </w:rPr>
        <w:t>Nishishinya</w:t>
      </w:r>
      <w:r>
        <w:rPr>
          <w:color w:val="231F20"/>
          <w:sz w:val="18"/>
        </w:rPr>
        <w:t xml:space="preserve">  </w:t>
      </w:r>
      <w:r>
        <w:rPr>
          <w:color w:val="231F20"/>
          <w:spacing w:val="17"/>
          <w:sz w:val="18"/>
        </w:rPr>
        <w:t xml:space="preserve"> </w:t>
      </w:r>
      <w:r>
        <w:rPr>
          <w:color w:val="231F20"/>
          <w:sz w:val="18"/>
        </w:rPr>
        <w:t>MB,</w:t>
      </w:r>
      <w:r>
        <w:rPr>
          <w:color w:val="231F20"/>
          <w:sz w:val="18"/>
        </w:rPr>
        <w:t xml:space="preserve">  </w:t>
      </w:r>
      <w:r>
        <w:rPr>
          <w:color w:val="231F20"/>
          <w:spacing w:val="16"/>
          <w:sz w:val="18"/>
        </w:rPr>
        <w:t xml:space="preserve"> </w:t>
      </w:r>
      <w:r>
        <w:rPr>
          <w:color w:val="231F20"/>
          <w:w w:val="95"/>
          <w:sz w:val="18"/>
        </w:rPr>
        <w:t>Walitt</w:t>
      </w:r>
      <w:r>
        <w:rPr>
          <w:color w:val="231F20"/>
          <w:sz w:val="18"/>
        </w:rPr>
        <w:t xml:space="preserve">  </w:t>
      </w:r>
      <w:r>
        <w:rPr>
          <w:color w:val="231F20"/>
          <w:spacing w:val="16"/>
          <w:sz w:val="18"/>
        </w:rPr>
        <w:t xml:space="preserve"> </w:t>
      </w:r>
      <w:r>
        <w:rPr>
          <w:color w:val="231F20"/>
          <w:sz w:val="18"/>
        </w:rPr>
        <w:t xml:space="preserve">B. </w:t>
      </w:r>
      <w:r>
        <w:rPr>
          <w:color w:val="231F20"/>
          <w:sz w:val="18"/>
        </w:rPr>
        <w:t>Monoamine oxidase inhibitors (maois)</w:t>
      </w:r>
      <w:r>
        <w:rPr>
          <w:color w:val="231F20"/>
          <w:spacing w:val="-9"/>
          <w:sz w:val="18"/>
        </w:rPr>
        <w:t xml:space="preserve"> </w:t>
      </w:r>
      <w:r>
        <w:rPr>
          <w:color w:val="231F20"/>
          <w:sz w:val="18"/>
        </w:rPr>
        <w:t>for</w:t>
      </w:r>
      <w:r>
        <w:rPr>
          <w:color w:val="231F20"/>
          <w:spacing w:val="-3"/>
          <w:sz w:val="18"/>
        </w:rPr>
        <w:t xml:space="preserve"> </w:t>
      </w:r>
      <w:r>
        <w:rPr>
          <w:color w:val="231F20"/>
          <w:sz w:val="18"/>
        </w:rPr>
        <w:t>fibromyal-</w:t>
      </w:r>
      <w:r>
        <w:rPr>
          <w:color w:val="231F20"/>
          <w:w w:val="96"/>
          <w:sz w:val="18"/>
        </w:rPr>
        <w:t xml:space="preserve"> </w:t>
      </w:r>
      <w:r>
        <w:rPr>
          <w:color w:val="231F20"/>
          <w:sz w:val="18"/>
        </w:rPr>
        <w:t>gia</w:t>
      </w:r>
      <w:r>
        <w:rPr>
          <w:color w:val="231F20"/>
          <w:spacing w:val="-7"/>
          <w:sz w:val="18"/>
        </w:rPr>
        <w:t xml:space="preserve"> </w:t>
      </w:r>
      <w:r>
        <w:rPr>
          <w:color w:val="231F20"/>
          <w:sz w:val="18"/>
        </w:rPr>
        <w:t>syndrome.</w:t>
      </w:r>
      <w:r>
        <w:rPr>
          <w:color w:val="231F20"/>
          <w:spacing w:val="-6"/>
          <w:sz w:val="18"/>
        </w:rPr>
        <w:t xml:space="preserve"> </w:t>
      </w:r>
      <w:r>
        <w:rPr>
          <w:color w:val="231F20"/>
          <w:sz w:val="18"/>
        </w:rPr>
        <w:t>Cochrane</w:t>
      </w:r>
      <w:r>
        <w:rPr>
          <w:color w:val="231F20"/>
          <w:spacing w:val="-6"/>
          <w:sz w:val="18"/>
        </w:rPr>
        <w:t xml:space="preserve"> </w:t>
      </w:r>
      <w:r>
        <w:rPr>
          <w:color w:val="231F20"/>
          <w:sz w:val="18"/>
        </w:rPr>
        <w:t>Database</w:t>
      </w:r>
      <w:r>
        <w:rPr>
          <w:color w:val="231F20"/>
          <w:spacing w:val="-6"/>
          <w:sz w:val="18"/>
        </w:rPr>
        <w:t xml:space="preserve"> </w:t>
      </w:r>
      <w:r>
        <w:rPr>
          <w:color w:val="231F20"/>
          <w:sz w:val="18"/>
        </w:rPr>
        <w:t>Syst</w:t>
      </w:r>
      <w:r>
        <w:rPr>
          <w:color w:val="231F20"/>
          <w:spacing w:val="-6"/>
          <w:sz w:val="18"/>
        </w:rPr>
        <w:t xml:space="preserve"> </w:t>
      </w:r>
      <w:r>
        <w:rPr>
          <w:color w:val="231F20"/>
          <w:sz w:val="18"/>
        </w:rPr>
        <w:t>Rev</w:t>
      </w:r>
      <w:r>
        <w:rPr>
          <w:color w:val="231F20"/>
          <w:spacing w:val="-6"/>
          <w:sz w:val="18"/>
        </w:rPr>
        <w:t xml:space="preserve"> </w:t>
      </w:r>
      <w:bookmarkStart w:id="51" w:name="_bookmark48"/>
      <w:bookmarkEnd w:id="51"/>
      <w:r>
        <w:rPr>
          <w:color w:val="231F20"/>
          <w:sz w:val="18"/>
        </w:rPr>
        <w:t>2012;4</w:t>
      </w:r>
    </w:p>
    <w:p w:rsidR="002E4A25" w:rsidRDefault="00D74ED8">
      <w:pPr>
        <w:pStyle w:val="BodyText"/>
        <w:spacing w:before="2"/>
        <w:ind w:left="419"/>
        <w:jc w:val="both"/>
      </w:pPr>
      <w:r>
        <w:rPr>
          <w:color w:val="231F20"/>
        </w:rPr>
        <w:t>:CD009807.</w:t>
      </w:r>
    </w:p>
    <w:p w:rsidR="002E4A25" w:rsidRDefault="002E4A25">
      <w:pPr>
        <w:pStyle w:val="BodyText"/>
        <w:spacing w:before="5"/>
      </w:pPr>
    </w:p>
    <w:p w:rsidR="002E4A25" w:rsidRDefault="00D74ED8">
      <w:pPr>
        <w:pStyle w:val="ListParagraph"/>
        <w:numPr>
          <w:ilvl w:val="1"/>
          <w:numId w:val="1"/>
        </w:numPr>
        <w:tabs>
          <w:tab w:val="left" w:pos="420"/>
        </w:tabs>
        <w:spacing w:line="266" w:lineRule="auto"/>
        <w:ind w:left="419" w:hanging="300"/>
        <w:jc w:val="both"/>
        <w:rPr>
          <w:sz w:val="18"/>
        </w:rPr>
      </w:pPr>
      <w:bookmarkStart w:id="52" w:name="_bookmark49"/>
      <w:bookmarkEnd w:id="52"/>
      <w:r>
        <w:rPr>
          <w:color w:val="231F20"/>
          <w:sz w:val="18"/>
        </w:rPr>
        <w:t>Urquhart DM, Hoving JL, Assendelft WW, Roland M, van Tulder MW. Antidepressants for</w:t>
      </w:r>
      <w:r>
        <w:rPr>
          <w:color w:val="231F20"/>
          <w:spacing w:val="-13"/>
          <w:sz w:val="18"/>
        </w:rPr>
        <w:t xml:space="preserve"> </w:t>
      </w:r>
      <w:r>
        <w:rPr>
          <w:color w:val="231F20"/>
          <w:sz w:val="18"/>
        </w:rPr>
        <w:t>non-specific low</w:t>
      </w:r>
      <w:r>
        <w:rPr>
          <w:color w:val="231F20"/>
          <w:spacing w:val="-7"/>
          <w:sz w:val="18"/>
        </w:rPr>
        <w:t xml:space="preserve"> </w:t>
      </w:r>
      <w:r>
        <w:rPr>
          <w:color w:val="231F20"/>
          <w:sz w:val="18"/>
        </w:rPr>
        <w:t>back</w:t>
      </w:r>
      <w:r>
        <w:rPr>
          <w:color w:val="231F20"/>
          <w:spacing w:val="-7"/>
          <w:sz w:val="18"/>
        </w:rPr>
        <w:t xml:space="preserve"> </w:t>
      </w:r>
      <w:r>
        <w:rPr>
          <w:color w:val="231F20"/>
          <w:sz w:val="18"/>
        </w:rPr>
        <w:t>pain.</w:t>
      </w:r>
      <w:r>
        <w:rPr>
          <w:color w:val="231F20"/>
          <w:spacing w:val="-7"/>
          <w:sz w:val="18"/>
        </w:rPr>
        <w:t xml:space="preserve"> </w:t>
      </w:r>
      <w:r>
        <w:rPr>
          <w:color w:val="231F20"/>
          <w:sz w:val="18"/>
        </w:rPr>
        <w:t>Cochrane</w:t>
      </w:r>
      <w:r>
        <w:rPr>
          <w:color w:val="231F20"/>
          <w:spacing w:val="-7"/>
          <w:sz w:val="18"/>
        </w:rPr>
        <w:t xml:space="preserve"> </w:t>
      </w:r>
      <w:r>
        <w:rPr>
          <w:color w:val="231F20"/>
          <w:sz w:val="18"/>
        </w:rPr>
        <w:t>Database</w:t>
      </w:r>
      <w:r>
        <w:rPr>
          <w:color w:val="231F20"/>
          <w:spacing w:val="-7"/>
          <w:sz w:val="18"/>
        </w:rPr>
        <w:t xml:space="preserve"> </w:t>
      </w:r>
      <w:r>
        <w:rPr>
          <w:color w:val="231F20"/>
          <w:sz w:val="18"/>
        </w:rPr>
        <w:t>Syst</w:t>
      </w:r>
      <w:r>
        <w:rPr>
          <w:color w:val="231F20"/>
          <w:spacing w:val="-7"/>
          <w:sz w:val="18"/>
        </w:rPr>
        <w:t xml:space="preserve"> </w:t>
      </w:r>
      <w:r>
        <w:rPr>
          <w:color w:val="231F20"/>
          <w:sz w:val="18"/>
        </w:rPr>
        <w:t>Rev</w:t>
      </w:r>
      <w:r>
        <w:rPr>
          <w:color w:val="231F20"/>
          <w:spacing w:val="-7"/>
          <w:sz w:val="18"/>
        </w:rPr>
        <w:t xml:space="preserve"> </w:t>
      </w:r>
      <w:r>
        <w:rPr>
          <w:color w:val="231F20"/>
          <w:sz w:val="18"/>
        </w:rPr>
        <w:t>2008;1</w:t>
      </w:r>
    </w:p>
    <w:p w:rsidR="002E4A25" w:rsidRDefault="00D74ED8">
      <w:pPr>
        <w:pStyle w:val="BodyText"/>
        <w:ind w:left="419"/>
        <w:jc w:val="both"/>
      </w:pPr>
      <w:r>
        <w:rPr>
          <w:color w:val="231F20"/>
        </w:rPr>
        <w:t>:CD001703.</w:t>
      </w:r>
    </w:p>
    <w:p w:rsidR="002E4A25" w:rsidRDefault="00D74ED8">
      <w:pPr>
        <w:pStyle w:val="ListParagraph"/>
        <w:numPr>
          <w:ilvl w:val="1"/>
          <w:numId w:val="1"/>
        </w:numPr>
        <w:tabs>
          <w:tab w:val="left" w:pos="420"/>
        </w:tabs>
        <w:spacing w:before="162" w:line="239" w:lineRule="exact"/>
        <w:ind w:left="419" w:hanging="300"/>
        <w:jc w:val="both"/>
        <w:rPr>
          <w:sz w:val="18"/>
        </w:rPr>
      </w:pPr>
      <w:bookmarkStart w:id="53" w:name="_bookmark50"/>
      <w:bookmarkEnd w:id="53"/>
      <w:r>
        <w:rPr>
          <w:color w:val="231F20"/>
          <w:w w:val="95"/>
          <w:sz w:val="18"/>
        </w:rPr>
        <w:t>Walitt</w:t>
      </w:r>
      <w:r>
        <w:rPr>
          <w:color w:val="231F20"/>
          <w:sz w:val="18"/>
        </w:rPr>
        <w:t xml:space="preserve"> </w:t>
      </w:r>
      <w:r>
        <w:rPr>
          <w:color w:val="231F20"/>
          <w:spacing w:val="10"/>
          <w:sz w:val="18"/>
        </w:rPr>
        <w:t xml:space="preserve"> </w:t>
      </w:r>
      <w:r>
        <w:rPr>
          <w:color w:val="231F20"/>
          <w:sz w:val="18"/>
        </w:rPr>
        <w:t>B,</w:t>
      </w:r>
      <w:r>
        <w:rPr>
          <w:color w:val="231F20"/>
          <w:sz w:val="18"/>
        </w:rPr>
        <w:t xml:space="preserve"> </w:t>
      </w:r>
      <w:r>
        <w:rPr>
          <w:color w:val="231F20"/>
          <w:spacing w:val="10"/>
          <w:sz w:val="18"/>
        </w:rPr>
        <w:t xml:space="preserve"> </w:t>
      </w:r>
      <w:r>
        <w:rPr>
          <w:color w:val="231F20"/>
          <w:w w:val="94"/>
          <w:sz w:val="18"/>
        </w:rPr>
        <w:t>Ur</w:t>
      </w:r>
      <w:r>
        <w:rPr>
          <w:color w:val="231F20"/>
          <w:spacing w:val="-1"/>
          <w:w w:val="94"/>
          <w:sz w:val="18"/>
        </w:rPr>
        <w:t>r</w:t>
      </w:r>
      <w:r>
        <w:rPr>
          <w:color w:val="231F20"/>
          <w:spacing w:val="-93"/>
          <w:w w:val="97"/>
          <w:sz w:val="18"/>
        </w:rPr>
        <w:t>u</w:t>
      </w:r>
      <w:r>
        <w:rPr>
          <w:rFonts w:ascii="SimSun"/>
          <w:color w:val="231F20"/>
          <w:spacing w:val="2"/>
          <w:position w:val="1"/>
          <w:sz w:val="18"/>
        </w:rPr>
        <w:t>'</w:t>
      </w:r>
      <w:r>
        <w:rPr>
          <w:color w:val="231F20"/>
          <w:w w:val="94"/>
          <w:sz w:val="18"/>
        </w:rPr>
        <w:t>tia</w:t>
      </w:r>
      <w:r>
        <w:rPr>
          <w:color w:val="231F20"/>
          <w:sz w:val="18"/>
        </w:rPr>
        <w:t xml:space="preserve"> </w:t>
      </w:r>
      <w:r>
        <w:rPr>
          <w:color w:val="231F20"/>
          <w:spacing w:val="11"/>
          <w:sz w:val="18"/>
        </w:rPr>
        <w:t xml:space="preserve"> </w:t>
      </w:r>
      <w:r>
        <w:rPr>
          <w:color w:val="231F20"/>
          <w:w w:val="96"/>
          <w:sz w:val="18"/>
        </w:rPr>
        <w:t>G,</w:t>
      </w:r>
      <w:r>
        <w:rPr>
          <w:color w:val="231F20"/>
          <w:sz w:val="18"/>
        </w:rPr>
        <w:t xml:space="preserve"> </w:t>
      </w:r>
      <w:r>
        <w:rPr>
          <w:color w:val="231F20"/>
          <w:spacing w:val="11"/>
          <w:sz w:val="18"/>
        </w:rPr>
        <w:t xml:space="preserve"> </w:t>
      </w:r>
      <w:r>
        <w:rPr>
          <w:color w:val="231F20"/>
          <w:w w:val="94"/>
          <w:sz w:val="18"/>
        </w:rPr>
        <w:t>Nishishinya</w:t>
      </w:r>
      <w:r>
        <w:rPr>
          <w:color w:val="231F20"/>
          <w:sz w:val="18"/>
        </w:rPr>
        <w:t xml:space="preserve"> </w:t>
      </w:r>
      <w:r>
        <w:rPr>
          <w:color w:val="231F20"/>
          <w:spacing w:val="10"/>
          <w:sz w:val="18"/>
        </w:rPr>
        <w:t xml:space="preserve"> </w:t>
      </w:r>
      <w:r>
        <w:rPr>
          <w:color w:val="231F20"/>
          <w:sz w:val="18"/>
        </w:rPr>
        <w:t>MB,</w:t>
      </w:r>
      <w:r>
        <w:rPr>
          <w:color w:val="231F20"/>
          <w:sz w:val="18"/>
        </w:rPr>
        <w:t xml:space="preserve"> </w:t>
      </w:r>
      <w:r>
        <w:rPr>
          <w:color w:val="231F20"/>
          <w:spacing w:val="11"/>
          <w:sz w:val="18"/>
        </w:rPr>
        <w:t xml:space="preserve"> </w:t>
      </w:r>
      <w:bookmarkStart w:id="54" w:name="_bookmark51"/>
      <w:bookmarkEnd w:id="54"/>
      <w:r>
        <w:rPr>
          <w:color w:val="231F20"/>
          <w:w w:val="94"/>
          <w:sz w:val="18"/>
        </w:rPr>
        <w:t>Cantrell</w:t>
      </w:r>
      <w:r>
        <w:rPr>
          <w:color w:val="231F20"/>
          <w:sz w:val="18"/>
        </w:rPr>
        <w:t xml:space="preserve"> </w:t>
      </w:r>
      <w:r>
        <w:rPr>
          <w:color w:val="231F20"/>
          <w:spacing w:val="10"/>
          <w:sz w:val="18"/>
        </w:rPr>
        <w:t xml:space="preserve"> </w:t>
      </w:r>
      <w:r>
        <w:rPr>
          <w:color w:val="231F20"/>
          <w:w w:val="93"/>
          <w:sz w:val="18"/>
        </w:rPr>
        <w:t>SE,</w:t>
      </w:r>
    </w:p>
    <w:p w:rsidR="002E4A25" w:rsidRDefault="00D74ED8">
      <w:pPr>
        <w:pStyle w:val="BodyText"/>
        <w:spacing w:before="27" w:line="230" w:lineRule="exact"/>
        <w:ind w:left="419"/>
        <w:jc w:val="both"/>
      </w:pPr>
      <w:r>
        <w:rPr>
          <w:color w:val="231F20"/>
          <w:spacing w:val="-1"/>
          <w:w w:val="98"/>
        </w:rPr>
        <w:t>H</w:t>
      </w:r>
      <w:r>
        <w:rPr>
          <w:color w:val="231F20"/>
          <w:spacing w:val="-92"/>
          <w:w w:val="93"/>
        </w:rPr>
        <w:t>a</w:t>
      </w:r>
      <w:r>
        <w:rPr>
          <w:rFonts w:ascii="SimSun" w:hAnsi="SimSun"/>
          <w:color w:val="231F20"/>
          <w:spacing w:val="1"/>
          <w:w w:val="50"/>
          <w:position w:val="2"/>
        </w:rPr>
        <w:t>€</w:t>
      </w:r>
      <w:r>
        <w:rPr>
          <w:color w:val="231F20"/>
          <w:w w:val="95"/>
        </w:rPr>
        <w:t>user</w:t>
      </w:r>
      <w:r>
        <w:rPr>
          <w:color w:val="231F20"/>
        </w:rPr>
        <w:t xml:space="preserve"> </w:t>
      </w:r>
      <w:r>
        <w:rPr>
          <w:color w:val="231F20"/>
          <w:w w:val="97"/>
        </w:rPr>
        <w:t>W.</w:t>
      </w:r>
      <w:r>
        <w:rPr>
          <w:color w:val="231F20"/>
        </w:rPr>
        <w:t xml:space="preserve"> </w:t>
      </w:r>
      <w:r>
        <w:rPr>
          <w:color w:val="231F20"/>
          <w:w w:val="94"/>
        </w:rPr>
        <w:t>Selective</w:t>
      </w:r>
      <w:r>
        <w:rPr>
          <w:color w:val="231F20"/>
        </w:rPr>
        <w:t xml:space="preserve"> </w:t>
      </w:r>
      <w:r>
        <w:rPr>
          <w:color w:val="231F20"/>
          <w:w w:val="96"/>
        </w:rPr>
        <w:t>serotonin</w:t>
      </w:r>
      <w:r>
        <w:rPr>
          <w:color w:val="231F20"/>
        </w:rPr>
        <w:t xml:space="preserve"> </w:t>
      </w:r>
      <w:r>
        <w:rPr>
          <w:color w:val="231F20"/>
          <w:w w:val="97"/>
        </w:rPr>
        <w:t>reuptake</w:t>
      </w:r>
      <w:r>
        <w:rPr>
          <w:color w:val="231F20"/>
        </w:rPr>
        <w:t xml:space="preserve"> </w:t>
      </w:r>
      <w:r>
        <w:rPr>
          <w:color w:val="231F20"/>
          <w:w w:val="96"/>
        </w:rPr>
        <w:t>inhibitors</w:t>
      </w:r>
      <w:r>
        <w:rPr>
          <w:color w:val="231F20"/>
        </w:rPr>
        <w:t xml:space="preserve"> </w:t>
      </w:r>
      <w:r>
        <w:rPr>
          <w:color w:val="231F20"/>
          <w:w w:val="96"/>
        </w:rPr>
        <w:t xml:space="preserve">for </w:t>
      </w:r>
      <w:r>
        <w:rPr>
          <w:color w:val="231F20"/>
        </w:rPr>
        <w:t xml:space="preserve">fibromyalgia syndrome. Cochrane </w:t>
      </w:r>
      <w:bookmarkStart w:id="55" w:name="_bookmark52"/>
      <w:bookmarkEnd w:id="55"/>
      <w:r>
        <w:rPr>
          <w:color w:val="231F20"/>
        </w:rPr>
        <w:t>Database Syst</w:t>
      </w:r>
      <w:r>
        <w:rPr>
          <w:color w:val="231F20"/>
          <w:w w:val="95"/>
        </w:rPr>
        <w:t xml:space="preserve"> Rev  2015;6:CD011735.</w:t>
      </w:r>
    </w:p>
    <w:p w:rsidR="002E4A25" w:rsidRDefault="002E4A25">
      <w:pPr>
        <w:pStyle w:val="BodyText"/>
        <w:spacing w:before="10"/>
        <w:rPr>
          <w:sz w:val="17"/>
        </w:rPr>
      </w:pPr>
    </w:p>
    <w:p w:rsidR="002E4A25" w:rsidRDefault="00D74ED8">
      <w:pPr>
        <w:pStyle w:val="ListParagraph"/>
        <w:numPr>
          <w:ilvl w:val="1"/>
          <w:numId w:val="1"/>
        </w:numPr>
        <w:tabs>
          <w:tab w:val="left" w:pos="420"/>
        </w:tabs>
        <w:spacing w:line="266" w:lineRule="auto"/>
        <w:ind w:left="419" w:hanging="300"/>
        <w:jc w:val="both"/>
        <w:rPr>
          <w:sz w:val="18"/>
        </w:rPr>
      </w:pPr>
      <w:bookmarkStart w:id="56" w:name="_bookmark53"/>
      <w:bookmarkEnd w:id="56"/>
      <w:r>
        <w:rPr>
          <w:color w:val="231F20"/>
          <w:sz w:val="18"/>
        </w:rPr>
        <w:t>Garner SE, Fidan D, Frankish RR, Maxwell L. Rofecoxib for osteoarthritis. Cochrane Database Syst Rev</w:t>
      </w:r>
      <w:r>
        <w:rPr>
          <w:color w:val="231F20"/>
          <w:spacing w:val="-40"/>
          <w:sz w:val="18"/>
        </w:rPr>
        <w:t xml:space="preserve"> </w:t>
      </w:r>
      <w:r>
        <w:rPr>
          <w:color w:val="231F20"/>
          <w:sz w:val="18"/>
        </w:rPr>
        <w:t>2005;1:CD005115.</w:t>
      </w:r>
    </w:p>
    <w:p w:rsidR="002E4A25" w:rsidRDefault="002E4A25">
      <w:pPr>
        <w:pStyle w:val="BodyText"/>
        <w:spacing w:before="6"/>
        <w:rPr>
          <w:sz w:val="16"/>
        </w:rPr>
      </w:pPr>
    </w:p>
    <w:p w:rsidR="002E4A25" w:rsidRDefault="00D74ED8">
      <w:pPr>
        <w:pStyle w:val="ListParagraph"/>
        <w:numPr>
          <w:ilvl w:val="1"/>
          <w:numId w:val="1"/>
        </w:numPr>
        <w:tabs>
          <w:tab w:val="left" w:pos="420"/>
        </w:tabs>
        <w:spacing w:line="266" w:lineRule="auto"/>
        <w:ind w:left="419" w:hanging="300"/>
        <w:jc w:val="both"/>
        <w:rPr>
          <w:sz w:val="18"/>
        </w:rPr>
      </w:pPr>
      <w:bookmarkStart w:id="57" w:name="_bookmark54"/>
      <w:bookmarkEnd w:id="57"/>
      <w:r>
        <w:rPr>
          <w:color w:val="231F20"/>
          <w:sz w:val="18"/>
        </w:rPr>
        <w:t>Moore</w:t>
      </w:r>
      <w:r>
        <w:rPr>
          <w:color w:val="231F20"/>
          <w:sz w:val="18"/>
        </w:rPr>
        <w:t xml:space="preserve"> RA, Chi C-C, Wiffen PJ, Derry S, </w:t>
      </w:r>
      <w:bookmarkStart w:id="58" w:name="_bookmark56"/>
      <w:bookmarkEnd w:id="58"/>
      <w:r>
        <w:rPr>
          <w:color w:val="231F20"/>
          <w:sz w:val="18"/>
        </w:rPr>
        <w:t>Rice AS. Oral nonsteroidal anti-inflammatory drugs for</w:t>
      </w:r>
      <w:r>
        <w:rPr>
          <w:color w:val="231F20"/>
          <w:spacing w:val="-13"/>
          <w:sz w:val="18"/>
        </w:rPr>
        <w:t xml:space="preserve"> </w:t>
      </w:r>
      <w:r>
        <w:rPr>
          <w:color w:val="231F20"/>
          <w:sz w:val="18"/>
        </w:rPr>
        <w:t xml:space="preserve">neuro- pathic pain. Cochrane Database Syst Rev 2015;10: </w:t>
      </w:r>
      <w:bookmarkStart w:id="59" w:name="_bookmark55"/>
      <w:bookmarkEnd w:id="59"/>
      <w:r>
        <w:rPr>
          <w:color w:val="231F20"/>
          <w:sz w:val="18"/>
        </w:rPr>
        <w:t>CD010902.</w:t>
      </w:r>
    </w:p>
    <w:p w:rsidR="002E4A25" w:rsidRDefault="002E4A25">
      <w:pPr>
        <w:pStyle w:val="BodyText"/>
        <w:spacing w:before="7"/>
        <w:rPr>
          <w:sz w:val="16"/>
        </w:rPr>
      </w:pPr>
    </w:p>
    <w:p w:rsidR="002E4A25" w:rsidRDefault="00D74ED8">
      <w:pPr>
        <w:pStyle w:val="ListParagraph"/>
        <w:numPr>
          <w:ilvl w:val="1"/>
          <w:numId w:val="1"/>
        </w:numPr>
        <w:tabs>
          <w:tab w:val="left" w:pos="420"/>
        </w:tabs>
        <w:spacing w:line="266" w:lineRule="auto"/>
        <w:ind w:left="419" w:hanging="300"/>
        <w:jc w:val="both"/>
        <w:rPr>
          <w:sz w:val="18"/>
        </w:rPr>
      </w:pPr>
      <w:r>
        <w:rPr>
          <w:color w:val="231F20"/>
          <w:sz w:val="18"/>
        </w:rPr>
        <w:t xml:space="preserve">Roelofs PD, Deyo RA, Koes BW, Scholten </w:t>
      </w:r>
      <w:bookmarkStart w:id="60" w:name="_bookmark58"/>
      <w:bookmarkEnd w:id="60"/>
      <w:r>
        <w:rPr>
          <w:color w:val="231F20"/>
          <w:sz w:val="18"/>
        </w:rPr>
        <w:t xml:space="preserve">RJ, van Tulder MW. Non-steroidal anti-inflammatory drugs for </w:t>
      </w:r>
      <w:r>
        <w:rPr>
          <w:color w:val="231F20"/>
          <w:sz w:val="18"/>
        </w:rPr>
        <w:t xml:space="preserve">low back pain. Cochrane Database </w:t>
      </w:r>
      <w:bookmarkStart w:id="61" w:name="_bookmark59"/>
      <w:bookmarkEnd w:id="61"/>
      <w:r>
        <w:rPr>
          <w:color w:val="231F20"/>
          <w:sz w:val="18"/>
        </w:rPr>
        <w:t xml:space="preserve">Syst Rev </w:t>
      </w:r>
      <w:bookmarkStart w:id="62" w:name="_bookmark57"/>
      <w:bookmarkEnd w:id="62"/>
      <w:r>
        <w:rPr>
          <w:color w:val="231F20"/>
          <w:sz w:val="18"/>
        </w:rPr>
        <w:t>2008;1:CD000396.</w:t>
      </w:r>
    </w:p>
    <w:p w:rsidR="002E4A25" w:rsidRDefault="002E4A25">
      <w:pPr>
        <w:pStyle w:val="BodyText"/>
        <w:spacing w:before="7"/>
        <w:rPr>
          <w:sz w:val="16"/>
        </w:rPr>
      </w:pPr>
    </w:p>
    <w:p w:rsidR="002E4A25" w:rsidRDefault="00D74ED8">
      <w:pPr>
        <w:pStyle w:val="ListParagraph"/>
        <w:numPr>
          <w:ilvl w:val="1"/>
          <w:numId w:val="1"/>
        </w:numPr>
        <w:tabs>
          <w:tab w:val="left" w:pos="420"/>
        </w:tabs>
        <w:spacing w:line="266" w:lineRule="auto"/>
        <w:ind w:left="419" w:hanging="300"/>
        <w:jc w:val="both"/>
        <w:rPr>
          <w:sz w:val="18"/>
        </w:rPr>
      </w:pPr>
      <w:r>
        <w:rPr>
          <w:color w:val="231F20"/>
          <w:sz w:val="18"/>
        </w:rPr>
        <w:t xml:space="preserve">Derry S, Moore RA. Topical capsaicin (low concen- tration) for chronic neuropathic pain in adults. </w:t>
      </w:r>
      <w:bookmarkStart w:id="63" w:name="_bookmark60"/>
      <w:bookmarkEnd w:id="63"/>
      <w:r>
        <w:rPr>
          <w:color w:val="231F20"/>
          <w:sz w:val="18"/>
        </w:rPr>
        <w:t>Cochrane</w:t>
      </w:r>
      <w:r>
        <w:rPr>
          <w:color w:val="231F20"/>
          <w:spacing w:val="-18"/>
          <w:sz w:val="18"/>
        </w:rPr>
        <w:t xml:space="preserve"> </w:t>
      </w:r>
      <w:r>
        <w:rPr>
          <w:color w:val="231F20"/>
          <w:sz w:val="18"/>
        </w:rPr>
        <w:t>Database</w:t>
      </w:r>
      <w:r>
        <w:rPr>
          <w:color w:val="231F20"/>
          <w:spacing w:val="-19"/>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bookmarkStart w:id="64" w:name="_bookmark61"/>
      <w:bookmarkEnd w:id="64"/>
      <w:r>
        <w:rPr>
          <w:color w:val="231F20"/>
          <w:sz w:val="18"/>
        </w:rPr>
        <w:t>2012;9:CD010111.</w:t>
      </w:r>
    </w:p>
    <w:p w:rsidR="002E4A25" w:rsidRDefault="002E4A25">
      <w:pPr>
        <w:pStyle w:val="BodyText"/>
        <w:spacing w:before="7"/>
        <w:rPr>
          <w:sz w:val="16"/>
        </w:rPr>
      </w:pPr>
    </w:p>
    <w:p w:rsidR="002E4A25" w:rsidRDefault="00D74ED8">
      <w:pPr>
        <w:pStyle w:val="ListParagraph"/>
        <w:numPr>
          <w:ilvl w:val="1"/>
          <w:numId w:val="1"/>
        </w:numPr>
        <w:tabs>
          <w:tab w:val="left" w:pos="420"/>
        </w:tabs>
        <w:spacing w:line="266" w:lineRule="auto"/>
        <w:ind w:left="419" w:hanging="300"/>
        <w:jc w:val="both"/>
        <w:rPr>
          <w:sz w:val="18"/>
        </w:rPr>
      </w:pPr>
      <w:r>
        <w:rPr>
          <w:color w:val="231F20"/>
          <w:sz w:val="18"/>
        </w:rPr>
        <w:t>Derry S, Matthews PRL, Wiffen PJ, Moore RA. Salicyla</w:t>
      </w:r>
      <w:r>
        <w:rPr>
          <w:color w:val="231F20"/>
          <w:sz w:val="18"/>
        </w:rPr>
        <w:t xml:space="preserve">te-containing rubefacients for acute and chronic musculoskeletal pain in adults. Cochrane </w:t>
      </w:r>
      <w:bookmarkStart w:id="65" w:name="_bookmark62"/>
      <w:bookmarkEnd w:id="65"/>
      <w:r>
        <w:rPr>
          <w:color w:val="231F20"/>
          <w:sz w:val="18"/>
        </w:rPr>
        <w:t>Database</w:t>
      </w:r>
      <w:r>
        <w:rPr>
          <w:color w:val="231F20"/>
          <w:spacing w:val="-21"/>
          <w:sz w:val="18"/>
        </w:rPr>
        <w:t xml:space="preserve"> </w:t>
      </w:r>
      <w:r>
        <w:rPr>
          <w:color w:val="231F20"/>
          <w:sz w:val="18"/>
        </w:rPr>
        <w:t>Syst</w:t>
      </w:r>
      <w:r>
        <w:rPr>
          <w:color w:val="231F20"/>
          <w:spacing w:val="-21"/>
          <w:sz w:val="18"/>
        </w:rPr>
        <w:t xml:space="preserve"> </w:t>
      </w:r>
      <w:r>
        <w:rPr>
          <w:color w:val="231F20"/>
          <w:sz w:val="18"/>
        </w:rPr>
        <w:t>Rev</w:t>
      </w:r>
      <w:r>
        <w:rPr>
          <w:color w:val="231F20"/>
          <w:spacing w:val="-20"/>
          <w:sz w:val="18"/>
        </w:rPr>
        <w:t xml:space="preserve"> </w:t>
      </w:r>
      <w:r>
        <w:rPr>
          <w:color w:val="231F20"/>
          <w:sz w:val="18"/>
        </w:rPr>
        <w:t>2014;11:CD007403.</w:t>
      </w:r>
    </w:p>
    <w:p w:rsidR="002E4A25" w:rsidRDefault="002E4A25">
      <w:pPr>
        <w:pStyle w:val="BodyText"/>
        <w:spacing w:before="7"/>
        <w:rPr>
          <w:sz w:val="16"/>
        </w:rPr>
      </w:pPr>
    </w:p>
    <w:p w:rsidR="002E4A25" w:rsidRDefault="00D74ED8">
      <w:pPr>
        <w:pStyle w:val="ListParagraph"/>
        <w:numPr>
          <w:ilvl w:val="1"/>
          <w:numId w:val="1"/>
        </w:numPr>
        <w:tabs>
          <w:tab w:val="left" w:pos="420"/>
        </w:tabs>
        <w:spacing w:line="266" w:lineRule="auto"/>
        <w:ind w:left="419" w:right="1" w:hanging="300"/>
        <w:jc w:val="both"/>
        <w:rPr>
          <w:sz w:val="18"/>
        </w:rPr>
      </w:pPr>
      <w:r>
        <w:rPr>
          <w:color w:val="231F20"/>
          <w:sz w:val="18"/>
        </w:rPr>
        <w:t xml:space="preserve">Anie KA, Green J. Psychological therapies </w:t>
      </w:r>
      <w:bookmarkStart w:id="66" w:name="_bookmark63"/>
      <w:bookmarkEnd w:id="66"/>
      <w:r>
        <w:rPr>
          <w:color w:val="231F20"/>
          <w:sz w:val="18"/>
        </w:rPr>
        <w:t>for</w:t>
      </w:r>
      <w:r>
        <w:rPr>
          <w:color w:val="231F20"/>
          <w:spacing w:val="-25"/>
          <w:sz w:val="18"/>
        </w:rPr>
        <w:t xml:space="preserve"> </w:t>
      </w:r>
      <w:r>
        <w:rPr>
          <w:color w:val="231F20"/>
          <w:sz w:val="18"/>
        </w:rPr>
        <w:t>sickle cell disease and pain. Cochrane Database Syst</w:t>
      </w:r>
      <w:r>
        <w:rPr>
          <w:color w:val="231F20"/>
          <w:spacing w:val="-35"/>
          <w:sz w:val="18"/>
        </w:rPr>
        <w:t xml:space="preserve"> </w:t>
      </w:r>
      <w:r>
        <w:rPr>
          <w:color w:val="231F20"/>
          <w:sz w:val="18"/>
        </w:rPr>
        <w:t>Rev 2015;5:CD001916.</w:t>
      </w:r>
    </w:p>
    <w:p w:rsidR="002E4A25" w:rsidRDefault="00D74ED8">
      <w:pPr>
        <w:pStyle w:val="ListParagraph"/>
        <w:numPr>
          <w:ilvl w:val="1"/>
          <w:numId w:val="1"/>
        </w:numPr>
        <w:tabs>
          <w:tab w:val="left" w:pos="418"/>
        </w:tabs>
        <w:spacing w:before="22"/>
        <w:ind w:hanging="298"/>
        <w:jc w:val="left"/>
        <w:rPr>
          <w:sz w:val="18"/>
        </w:rPr>
      </w:pPr>
      <w:r>
        <w:rPr>
          <w:color w:val="231F20"/>
          <w:w w:val="96"/>
          <w:sz w:val="18"/>
        </w:rPr>
        <w:br w:type="column"/>
      </w:r>
      <w:r>
        <w:rPr>
          <w:color w:val="231F20"/>
          <w:w w:val="96"/>
          <w:sz w:val="18"/>
        </w:rPr>
        <w:t>Bernardy</w:t>
      </w:r>
      <w:r>
        <w:rPr>
          <w:color w:val="231F20"/>
          <w:spacing w:val="20"/>
          <w:sz w:val="18"/>
        </w:rPr>
        <w:t xml:space="preserve"> </w:t>
      </w:r>
      <w:r>
        <w:rPr>
          <w:color w:val="231F20"/>
          <w:w w:val="98"/>
          <w:sz w:val="18"/>
        </w:rPr>
        <w:t>K,</w:t>
      </w:r>
      <w:r>
        <w:rPr>
          <w:color w:val="231F20"/>
          <w:spacing w:val="19"/>
          <w:sz w:val="18"/>
        </w:rPr>
        <w:t xml:space="preserve"> </w:t>
      </w:r>
      <w:r>
        <w:rPr>
          <w:color w:val="231F20"/>
          <w:w w:val="95"/>
          <w:sz w:val="18"/>
        </w:rPr>
        <w:t>Klose</w:t>
      </w:r>
      <w:r>
        <w:rPr>
          <w:color w:val="231F20"/>
          <w:spacing w:val="19"/>
          <w:sz w:val="18"/>
        </w:rPr>
        <w:t xml:space="preserve"> </w:t>
      </w:r>
      <w:r>
        <w:rPr>
          <w:color w:val="231F20"/>
          <w:w w:val="95"/>
          <w:sz w:val="18"/>
        </w:rPr>
        <w:t>P,</w:t>
      </w:r>
      <w:r>
        <w:rPr>
          <w:color w:val="231F20"/>
          <w:spacing w:val="18"/>
          <w:sz w:val="18"/>
        </w:rPr>
        <w:t xml:space="preserve"> </w:t>
      </w:r>
      <w:r>
        <w:rPr>
          <w:color w:val="231F20"/>
          <w:w w:val="98"/>
          <w:sz w:val="18"/>
        </w:rPr>
        <w:t>Busch</w:t>
      </w:r>
      <w:r>
        <w:rPr>
          <w:color w:val="231F20"/>
          <w:spacing w:val="20"/>
          <w:sz w:val="18"/>
        </w:rPr>
        <w:t xml:space="preserve"> </w:t>
      </w:r>
      <w:r>
        <w:rPr>
          <w:color w:val="231F20"/>
          <w:w w:val="97"/>
          <w:sz w:val="18"/>
        </w:rPr>
        <w:t>AJ,</w:t>
      </w:r>
      <w:r>
        <w:rPr>
          <w:color w:val="231F20"/>
          <w:spacing w:val="18"/>
          <w:sz w:val="18"/>
        </w:rPr>
        <w:t xml:space="preserve"> </w:t>
      </w:r>
      <w:r>
        <w:rPr>
          <w:color w:val="231F20"/>
          <w:w w:val="96"/>
          <w:sz w:val="18"/>
        </w:rPr>
        <w:t>Choy</w:t>
      </w:r>
      <w:r>
        <w:rPr>
          <w:color w:val="231F20"/>
          <w:spacing w:val="19"/>
          <w:sz w:val="18"/>
        </w:rPr>
        <w:t xml:space="preserve"> </w:t>
      </w:r>
      <w:r>
        <w:rPr>
          <w:color w:val="231F20"/>
          <w:w w:val="94"/>
          <w:sz w:val="18"/>
        </w:rPr>
        <w:t>EHS,</w:t>
      </w:r>
      <w:r>
        <w:rPr>
          <w:color w:val="231F20"/>
          <w:spacing w:val="18"/>
          <w:sz w:val="18"/>
        </w:rPr>
        <w:t xml:space="preserve"> </w:t>
      </w:r>
      <w:r>
        <w:rPr>
          <w:color w:val="231F20"/>
          <w:spacing w:val="-1"/>
          <w:w w:val="98"/>
          <w:sz w:val="18"/>
        </w:rPr>
        <w:t>H</w:t>
      </w:r>
      <w:r>
        <w:rPr>
          <w:color w:val="231F20"/>
          <w:spacing w:val="-92"/>
          <w:w w:val="93"/>
          <w:sz w:val="18"/>
        </w:rPr>
        <w:t>a</w:t>
      </w:r>
      <w:r>
        <w:rPr>
          <w:rFonts w:ascii="SimSun" w:hAnsi="SimSun"/>
          <w:color w:val="231F20"/>
          <w:spacing w:val="1"/>
          <w:w w:val="50"/>
          <w:position w:val="2"/>
          <w:sz w:val="18"/>
        </w:rPr>
        <w:t>€</w:t>
      </w:r>
      <w:r>
        <w:rPr>
          <w:color w:val="231F20"/>
          <w:w w:val="95"/>
          <w:sz w:val="18"/>
        </w:rPr>
        <w:t>user</w:t>
      </w:r>
    </w:p>
    <w:p w:rsidR="002E4A25" w:rsidRDefault="00D74ED8">
      <w:pPr>
        <w:pStyle w:val="BodyText"/>
        <w:spacing w:before="15" w:line="256" w:lineRule="auto"/>
        <w:ind w:left="417" w:right="181"/>
      </w:pPr>
      <w:r>
        <w:rPr>
          <w:color w:val="231F20"/>
        </w:rPr>
        <w:t>W. Cognitive behavioural therapies for fibromyalgia. Cochrane Database Syst Rev 2013;9:CD009796.</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194" w:hanging="298"/>
        <w:jc w:val="both"/>
        <w:rPr>
          <w:sz w:val="18"/>
        </w:rPr>
      </w:pPr>
      <w:r>
        <w:rPr>
          <w:color w:val="231F20"/>
          <w:sz w:val="18"/>
        </w:rPr>
        <w:t>Boldt I, Eriks-Hoogland I, Brinkhof MWG, et al.</w:t>
      </w:r>
      <w:r>
        <w:rPr>
          <w:color w:val="231F20"/>
          <w:spacing w:val="-22"/>
          <w:sz w:val="18"/>
        </w:rPr>
        <w:t xml:space="preserve"> </w:t>
      </w:r>
      <w:r>
        <w:rPr>
          <w:color w:val="231F20"/>
          <w:sz w:val="18"/>
        </w:rPr>
        <w:t>Non- pharmacological interventions for chronic pain in people with sp</w:t>
      </w:r>
      <w:r>
        <w:rPr>
          <w:color w:val="231F20"/>
          <w:sz w:val="18"/>
        </w:rPr>
        <w:t>inal cord injury. Cochrane Database Syst Rev</w:t>
      </w:r>
      <w:r>
        <w:rPr>
          <w:color w:val="231F20"/>
          <w:spacing w:val="-38"/>
          <w:sz w:val="18"/>
        </w:rPr>
        <w:t xml:space="preserve"> </w:t>
      </w:r>
      <w:r>
        <w:rPr>
          <w:color w:val="231F20"/>
          <w:sz w:val="18"/>
        </w:rPr>
        <w:t>2014;11:CD009177.</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195" w:hanging="298"/>
        <w:jc w:val="both"/>
        <w:rPr>
          <w:sz w:val="18"/>
        </w:rPr>
      </w:pPr>
      <w:r>
        <w:rPr>
          <w:color w:val="231F20"/>
          <w:sz w:val="18"/>
        </w:rPr>
        <w:t>Eccleston C, Palermo TM, Williams ACdC, et al. Psychological therapies for the management of chronic and recurrent pain in children and adoles- cents. Cochrane Database Syst Rev 2014;5: CD0039</w:t>
      </w:r>
      <w:r>
        <w:rPr>
          <w:color w:val="231F20"/>
          <w:sz w:val="18"/>
        </w:rPr>
        <w:t>68.</w:t>
      </w:r>
    </w:p>
    <w:p w:rsidR="002E4A25" w:rsidRDefault="002E4A25">
      <w:pPr>
        <w:pStyle w:val="BodyText"/>
        <w:spacing w:before="3"/>
        <w:rPr>
          <w:sz w:val="17"/>
        </w:rPr>
      </w:pPr>
    </w:p>
    <w:p w:rsidR="002E4A25" w:rsidRDefault="00D74ED8">
      <w:pPr>
        <w:pStyle w:val="ListParagraph"/>
        <w:numPr>
          <w:ilvl w:val="1"/>
          <w:numId w:val="1"/>
        </w:numPr>
        <w:tabs>
          <w:tab w:val="left" w:pos="418"/>
        </w:tabs>
        <w:spacing w:line="256" w:lineRule="auto"/>
        <w:ind w:right="194" w:hanging="298"/>
        <w:jc w:val="both"/>
        <w:rPr>
          <w:sz w:val="18"/>
        </w:rPr>
      </w:pPr>
      <w:r>
        <w:rPr>
          <w:color w:val="231F20"/>
          <w:sz w:val="18"/>
        </w:rPr>
        <w:t>Eccleston C, Fisher E, Craig L, et al. Psychological therapies</w:t>
      </w:r>
      <w:r>
        <w:rPr>
          <w:color w:val="231F20"/>
          <w:spacing w:val="-8"/>
          <w:sz w:val="18"/>
        </w:rPr>
        <w:t xml:space="preserve"> </w:t>
      </w:r>
      <w:r>
        <w:rPr>
          <w:color w:val="231F20"/>
          <w:sz w:val="18"/>
        </w:rPr>
        <w:t>(internet-delivered)</w:t>
      </w:r>
      <w:r>
        <w:rPr>
          <w:color w:val="231F20"/>
          <w:spacing w:val="-8"/>
          <w:sz w:val="18"/>
        </w:rPr>
        <w:t xml:space="preserve"> </w:t>
      </w:r>
      <w:r>
        <w:rPr>
          <w:color w:val="231F20"/>
          <w:sz w:val="18"/>
        </w:rPr>
        <w:t>for</w:t>
      </w:r>
      <w:r>
        <w:rPr>
          <w:color w:val="231F20"/>
          <w:spacing w:val="-8"/>
          <w:sz w:val="18"/>
        </w:rPr>
        <w:t xml:space="preserve"> </w:t>
      </w:r>
      <w:r>
        <w:rPr>
          <w:color w:val="231F20"/>
          <w:sz w:val="18"/>
        </w:rPr>
        <w:t>the</w:t>
      </w:r>
      <w:r>
        <w:rPr>
          <w:color w:val="231F20"/>
          <w:spacing w:val="-8"/>
          <w:sz w:val="18"/>
        </w:rPr>
        <w:t xml:space="preserve"> </w:t>
      </w:r>
      <w:r>
        <w:rPr>
          <w:color w:val="231F20"/>
          <w:sz w:val="18"/>
        </w:rPr>
        <w:t>management</w:t>
      </w:r>
      <w:r>
        <w:rPr>
          <w:color w:val="231F20"/>
          <w:spacing w:val="-9"/>
          <w:sz w:val="18"/>
        </w:rPr>
        <w:t xml:space="preserve"> </w:t>
      </w:r>
      <w:r>
        <w:rPr>
          <w:color w:val="231F20"/>
          <w:sz w:val="18"/>
        </w:rPr>
        <w:t>of chronic</w:t>
      </w:r>
      <w:r>
        <w:rPr>
          <w:color w:val="231F20"/>
          <w:spacing w:val="-7"/>
          <w:sz w:val="18"/>
        </w:rPr>
        <w:t xml:space="preserve"> </w:t>
      </w:r>
      <w:r>
        <w:rPr>
          <w:color w:val="231F20"/>
          <w:sz w:val="18"/>
        </w:rPr>
        <w:t>pain</w:t>
      </w:r>
      <w:r>
        <w:rPr>
          <w:color w:val="231F20"/>
          <w:spacing w:val="-6"/>
          <w:sz w:val="18"/>
        </w:rPr>
        <w:t xml:space="preserve"> </w:t>
      </w:r>
      <w:r>
        <w:rPr>
          <w:color w:val="231F20"/>
          <w:sz w:val="18"/>
        </w:rPr>
        <w:t>in</w:t>
      </w:r>
      <w:r>
        <w:rPr>
          <w:color w:val="231F20"/>
          <w:spacing w:val="-7"/>
          <w:sz w:val="18"/>
        </w:rPr>
        <w:t xml:space="preserve"> </w:t>
      </w:r>
      <w:r>
        <w:rPr>
          <w:color w:val="231F20"/>
          <w:sz w:val="18"/>
        </w:rPr>
        <w:t>adults.</w:t>
      </w:r>
      <w:r>
        <w:rPr>
          <w:color w:val="231F20"/>
          <w:spacing w:val="-6"/>
          <w:sz w:val="18"/>
        </w:rPr>
        <w:t xml:space="preserve"> </w:t>
      </w:r>
      <w:r>
        <w:rPr>
          <w:color w:val="231F20"/>
          <w:sz w:val="18"/>
        </w:rPr>
        <w:t>Cochrane</w:t>
      </w:r>
      <w:r>
        <w:rPr>
          <w:color w:val="231F20"/>
          <w:spacing w:val="-7"/>
          <w:sz w:val="18"/>
        </w:rPr>
        <w:t xml:space="preserve"> </w:t>
      </w:r>
      <w:r>
        <w:rPr>
          <w:color w:val="231F20"/>
          <w:sz w:val="18"/>
        </w:rPr>
        <w:t>Database</w:t>
      </w:r>
      <w:r>
        <w:rPr>
          <w:color w:val="231F20"/>
          <w:spacing w:val="-6"/>
          <w:sz w:val="18"/>
        </w:rPr>
        <w:t xml:space="preserve"> </w:t>
      </w:r>
      <w:r>
        <w:rPr>
          <w:color w:val="231F20"/>
          <w:sz w:val="18"/>
        </w:rPr>
        <w:t>Syst</w:t>
      </w:r>
      <w:r>
        <w:rPr>
          <w:color w:val="231F20"/>
          <w:spacing w:val="-7"/>
          <w:sz w:val="18"/>
        </w:rPr>
        <w:t xml:space="preserve"> </w:t>
      </w:r>
      <w:r>
        <w:rPr>
          <w:color w:val="231F20"/>
          <w:sz w:val="18"/>
        </w:rPr>
        <w:t>Rev 2014;2:CD010152.</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195" w:hanging="298"/>
        <w:jc w:val="both"/>
        <w:rPr>
          <w:sz w:val="18"/>
        </w:rPr>
      </w:pPr>
      <w:r>
        <w:rPr>
          <w:color w:val="231F20"/>
          <w:sz w:val="18"/>
        </w:rPr>
        <w:t>Fisher E, Law E, Palermo TM, Eccleston C. Psychological therapies (remotely delivered) for the management of chronic and recurrent pain in chil- dren</w:t>
      </w:r>
      <w:r>
        <w:rPr>
          <w:color w:val="231F20"/>
          <w:spacing w:val="-12"/>
          <w:sz w:val="18"/>
        </w:rPr>
        <w:t xml:space="preserve"> </w:t>
      </w:r>
      <w:r>
        <w:rPr>
          <w:color w:val="231F20"/>
          <w:sz w:val="18"/>
        </w:rPr>
        <w:t>and</w:t>
      </w:r>
      <w:r>
        <w:rPr>
          <w:color w:val="231F20"/>
          <w:spacing w:val="-13"/>
          <w:sz w:val="18"/>
        </w:rPr>
        <w:t xml:space="preserve"> </w:t>
      </w:r>
      <w:r>
        <w:rPr>
          <w:color w:val="231F20"/>
          <w:sz w:val="18"/>
        </w:rPr>
        <w:t>adolescents.</w:t>
      </w:r>
      <w:r>
        <w:rPr>
          <w:color w:val="231F20"/>
          <w:spacing w:val="-12"/>
          <w:sz w:val="18"/>
        </w:rPr>
        <w:t xml:space="preserve"> </w:t>
      </w:r>
      <w:r>
        <w:rPr>
          <w:color w:val="231F20"/>
          <w:sz w:val="18"/>
        </w:rPr>
        <w:t>Cochrane</w:t>
      </w:r>
      <w:r>
        <w:rPr>
          <w:color w:val="231F20"/>
          <w:spacing w:val="-12"/>
          <w:sz w:val="18"/>
        </w:rPr>
        <w:t xml:space="preserve"> </w:t>
      </w:r>
      <w:r>
        <w:rPr>
          <w:color w:val="231F20"/>
          <w:sz w:val="18"/>
        </w:rPr>
        <w:t>Database</w:t>
      </w:r>
      <w:r>
        <w:rPr>
          <w:color w:val="231F20"/>
          <w:spacing w:val="-13"/>
          <w:sz w:val="18"/>
        </w:rPr>
        <w:t xml:space="preserve"> </w:t>
      </w:r>
      <w:r>
        <w:rPr>
          <w:color w:val="231F20"/>
          <w:sz w:val="18"/>
        </w:rPr>
        <w:t>Syst</w:t>
      </w:r>
      <w:r>
        <w:rPr>
          <w:color w:val="231F20"/>
          <w:spacing w:val="-12"/>
          <w:sz w:val="18"/>
        </w:rPr>
        <w:t xml:space="preserve"> </w:t>
      </w:r>
      <w:r>
        <w:rPr>
          <w:color w:val="231F20"/>
          <w:sz w:val="18"/>
        </w:rPr>
        <w:t>Rev 2015;3:CD011118.</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195" w:hanging="298"/>
        <w:jc w:val="both"/>
        <w:rPr>
          <w:sz w:val="18"/>
        </w:rPr>
      </w:pPr>
      <w:r>
        <w:rPr>
          <w:color w:val="231F20"/>
          <w:sz w:val="18"/>
        </w:rPr>
        <w:t>Henschke N, Ostelo RWJG, van Tulder MW, et a</w:t>
      </w:r>
      <w:r>
        <w:rPr>
          <w:color w:val="231F20"/>
          <w:sz w:val="18"/>
        </w:rPr>
        <w:t>l. Behavioural treatment for chronic low-back pain.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2010;7:CD002014.</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194" w:hanging="298"/>
        <w:jc w:val="both"/>
        <w:rPr>
          <w:sz w:val="18"/>
        </w:rPr>
      </w:pPr>
      <w:r>
        <w:rPr>
          <w:color w:val="231F20"/>
          <w:sz w:val="18"/>
        </w:rPr>
        <w:t>Kamper SJ, Apeldoorn AT, Chiarotto A, et al. Multidisciplinary biopsychosocial rehabilitation for chronic low back pain. Cochrane Database  Syst Rev</w:t>
      </w:r>
      <w:r>
        <w:rPr>
          <w:color w:val="231F20"/>
          <w:spacing w:val="-30"/>
          <w:sz w:val="18"/>
        </w:rPr>
        <w:t xml:space="preserve"> </w:t>
      </w:r>
      <w:r>
        <w:rPr>
          <w:color w:val="231F20"/>
          <w:sz w:val="18"/>
        </w:rPr>
        <w:t>2014;9:CD0</w:t>
      </w:r>
      <w:r>
        <w:rPr>
          <w:color w:val="231F20"/>
          <w:sz w:val="18"/>
        </w:rPr>
        <w:t>00963.</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194" w:hanging="298"/>
        <w:jc w:val="both"/>
        <w:rPr>
          <w:sz w:val="18"/>
        </w:rPr>
      </w:pPr>
      <w:r>
        <w:rPr>
          <w:color w:val="231F20"/>
          <w:sz w:val="18"/>
        </w:rPr>
        <w:t>Karjalainen</w:t>
      </w:r>
      <w:r>
        <w:rPr>
          <w:color w:val="231F20"/>
          <w:spacing w:val="-10"/>
          <w:sz w:val="18"/>
        </w:rPr>
        <w:t xml:space="preserve"> </w:t>
      </w:r>
      <w:r>
        <w:rPr>
          <w:color w:val="231F20"/>
          <w:sz w:val="18"/>
        </w:rPr>
        <w:t>KA,</w:t>
      </w:r>
      <w:r>
        <w:rPr>
          <w:color w:val="231F20"/>
          <w:spacing w:val="-10"/>
          <w:sz w:val="18"/>
        </w:rPr>
        <w:t xml:space="preserve"> </w:t>
      </w:r>
      <w:r>
        <w:rPr>
          <w:color w:val="231F20"/>
          <w:sz w:val="18"/>
        </w:rPr>
        <w:t>Malmivaara</w:t>
      </w:r>
      <w:r>
        <w:rPr>
          <w:color w:val="231F20"/>
          <w:spacing w:val="-10"/>
          <w:sz w:val="18"/>
        </w:rPr>
        <w:t xml:space="preserve"> </w:t>
      </w:r>
      <w:r>
        <w:rPr>
          <w:color w:val="231F20"/>
          <w:sz w:val="18"/>
        </w:rPr>
        <w:t>A,</w:t>
      </w:r>
      <w:r>
        <w:rPr>
          <w:color w:val="231F20"/>
          <w:spacing w:val="-11"/>
          <w:sz w:val="18"/>
        </w:rPr>
        <w:t xml:space="preserve"> </w:t>
      </w:r>
      <w:r>
        <w:rPr>
          <w:color w:val="231F20"/>
          <w:sz w:val="18"/>
        </w:rPr>
        <w:t>van</w:t>
      </w:r>
      <w:r>
        <w:rPr>
          <w:color w:val="231F20"/>
          <w:spacing w:val="-11"/>
          <w:sz w:val="18"/>
        </w:rPr>
        <w:t xml:space="preserve"> </w:t>
      </w:r>
      <w:r>
        <w:rPr>
          <w:color w:val="231F20"/>
          <w:sz w:val="18"/>
        </w:rPr>
        <w:t>Tulder</w:t>
      </w:r>
      <w:r>
        <w:rPr>
          <w:color w:val="231F20"/>
          <w:spacing w:val="-10"/>
          <w:sz w:val="18"/>
        </w:rPr>
        <w:t xml:space="preserve"> </w:t>
      </w:r>
      <w:r>
        <w:rPr>
          <w:color w:val="231F20"/>
          <w:sz w:val="18"/>
        </w:rPr>
        <w:t>MW,</w:t>
      </w:r>
      <w:r>
        <w:rPr>
          <w:color w:val="231F20"/>
          <w:spacing w:val="-11"/>
          <w:sz w:val="18"/>
        </w:rPr>
        <w:t xml:space="preserve"> </w:t>
      </w:r>
      <w:r>
        <w:rPr>
          <w:color w:val="231F20"/>
          <w:sz w:val="18"/>
        </w:rPr>
        <w:t>et</w:t>
      </w:r>
      <w:r>
        <w:rPr>
          <w:color w:val="231F20"/>
          <w:spacing w:val="-11"/>
          <w:sz w:val="18"/>
        </w:rPr>
        <w:t xml:space="preserve"> </w:t>
      </w:r>
      <w:r>
        <w:rPr>
          <w:color w:val="231F20"/>
          <w:sz w:val="18"/>
        </w:rPr>
        <w:t>al. Multidisciplinary rehabilitation for fibromyalgia and musculoskeletal pain in working age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1999;3:CD001984.</w:t>
      </w:r>
    </w:p>
    <w:p w:rsidR="002E4A25" w:rsidRDefault="002E4A25">
      <w:pPr>
        <w:pStyle w:val="BodyText"/>
        <w:spacing w:before="3"/>
        <w:rPr>
          <w:sz w:val="17"/>
        </w:rPr>
      </w:pPr>
    </w:p>
    <w:p w:rsidR="002E4A25" w:rsidRDefault="00D74ED8">
      <w:pPr>
        <w:pStyle w:val="ListParagraph"/>
        <w:numPr>
          <w:ilvl w:val="1"/>
          <w:numId w:val="1"/>
        </w:numPr>
        <w:tabs>
          <w:tab w:val="left" w:pos="418"/>
        </w:tabs>
        <w:spacing w:line="256" w:lineRule="auto"/>
        <w:ind w:right="194" w:hanging="298"/>
        <w:jc w:val="both"/>
        <w:rPr>
          <w:sz w:val="18"/>
        </w:rPr>
      </w:pPr>
      <w:r>
        <w:rPr>
          <w:color w:val="231F20"/>
          <w:sz w:val="18"/>
        </w:rPr>
        <w:t>Karjalainen</w:t>
      </w:r>
      <w:r>
        <w:rPr>
          <w:color w:val="231F20"/>
          <w:spacing w:val="-10"/>
          <w:sz w:val="18"/>
        </w:rPr>
        <w:t xml:space="preserve"> </w:t>
      </w:r>
      <w:r>
        <w:rPr>
          <w:color w:val="231F20"/>
          <w:sz w:val="18"/>
        </w:rPr>
        <w:t>KA,</w:t>
      </w:r>
      <w:r>
        <w:rPr>
          <w:color w:val="231F20"/>
          <w:spacing w:val="-10"/>
          <w:sz w:val="18"/>
        </w:rPr>
        <w:t xml:space="preserve"> </w:t>
      </w:r>
      <w:r>
        <w:rPr>
          <w:color w:val="231F20"/>
          <w:sz w:val="18"/>
        </w:rPr>
        <w:t>Malmivaara</w:t>
      </w:r>
      <w:r>
        <w:rPr>
          <w:color w:val="231F20"/>
          <w:spacing w:val="-10"/>
          <w:sz w:val="18"/>
        </w:rPr>
        <w:t xml:space="preserve"> </w:t>
      </w:r>
      <w:r>
        <w:rPr>
          <w:color w:val="231F20"/>
          <w:sz w:val="18"/>
        </w:rPr>
        <w:t>A,</w:t>
      </w:r>
      <w:r>
        <w:rPr>
          <w:color w:val="231F20"/>
          <w:spacing w:val="-11"/>
          <w:sz w:val="18"/>
        </w:rPr>
        <w:t xml:space="preserve"> </w:t>
      </w:r>
      <w:r>
        <w:rPr>
          <w:color w:val="231F20"/>
          <w:sz w:val="18"/>
        </w:rPr>
        <w:t>van</w:t>
      </w:r>
      <w:r>
        <w:rPr>
          <w:color w:val="231F20"/>
          <w:spacing w:val="-11"/>
          <w:sz w:val="18"/>
        </w:rPr>
        <w:t xml:space="preserve"> </w:t>
      </w:r>
      <w:r>
        <w:rPr>
          <w:color w:val="231F20"/>
          <w:sz w:val="18"/>
        </w:rPr>
        <w:t>Tulder</w:t>
      </w:r>
      <w:r>
        <w:rPr>
          <w:color w:val="231F20"/>
          <w:spacing w:val="-10"/>
          <w:sz w:val="18"/>
        </w:rPr>
        <w:t xml:space="preserve"> </w:t>
      </w:r>
      <w:r>
        <w:rPr>
          <w:color w:val="231F20"/>
          <w:sz w:val="18"/>
        </w:rPr>
        <w:t>MW,</w:t>
      </w:r>
      <w:r>
        <w:rPr>
          <w:color w:val="231F20"/>
          <w:spacing w:val="-11"/>
          <w:sz w:val="18"/>
        </w:rPr>
        <w:t xml:space="preserve"> </w:t>
      </w:r>
      <w:r>
        <w:rPr>
          <w:color w:val="231F20"/>
          <w:sz w:val="18"/>
        </w:rPr>
        <w:t>et</w:t>
      </w:r>
      <w:r>
        <w:rPr>
          <w:color w:val="231F20"/>
          <w:spacing w:val="-11"/>
          <w:sz w:val="18"/>
        </w:rPr>
        <w:t xml:space="preserve"> </w:t>
      </w:r>
      <w:r>
        <w:rPr>
          <w:color w:val="231F20"/>
          <w:sz w:val="18"/>
        </w:rPr>
        <w:t>al. Multidisciplinary biopsychosocial rehabilitation for neck and shoulder pain among working age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2003;2:CD002194.</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194" w:hanging="298"/>
        <w:jc w:val="both"/>
        <w:rPr>
          <w:sz w:val="18"/>
        </w:rPr>
      </w:pPr>
      <w:r>
        <w:rPr>
          <w:color w:val="231F20"/>
          <w:sz w:val="18"/>
        </w:rPr>
        <w:t>Monticone M, Cedraschi C, Ambrosini E, et al. Cognitive-behavioural treatment for subacute and chronic neck pain. Cochrane Database Syst Rev 2015;5:CD010664.</w:t>
      </w:r>
    </w:p>
    <w:p w:rsidR="002E4A25" w:rsidRDefault="002E4A25">
      <w:pPr>
        <w:pStyle w:val="BodyText"/>
        <w:spacing w:before="3"/>
        <w:rPr>
          <w:sz w:val="17"/>
        </w:rPr>
      </w:pPr>
    </w:p>
    <w:p w:rsidR="002E4A25" w:rsidRDefault="00D74ED8">
      <w:pPr>
        <w:pStyle w:val="ListParagraph"/>
        <w:numPr>
          <w:ilvl w:val="1"/>
          <w:numId w:val="1"/>
        </w:numPr>
        <w:tabs>
          <w:tab w:val="left" w:pos="418"/>
        </w:tabs>
        <w:spacing w:line="256" w:lineRule="auto"/>
        <w:ind w:right="194" w:hanging="298"/>
        <w:jc w:val="both"/>
        <w:rPr>
          <w:sz w:val="18"/>
        </w:rPr>
      </w:pPr>
      <w:r>
        <w:rPr>
          <w:color w:val="231F20"/>
          <w:sz w:val="18"/>
        </w:rPr>
        <w:t>Price JR, Mitchell E, Tidy E, Hunot V. Cognitive be- haviour therapy for chronic fatigue syndrome</w:t>
      </w:r>
      <w:r>
        <w:rPr>
          <w:color w:val="231F20"/>
          <w:sz w:val="18"/>
        </w:rPr>
        <w:t xml:space="preserve"> in adults. Cochrane Database Syst Rev 2008;3: CD001027.</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195" w:hanging="298"/>
        <w:jc w:val="both"/>
        <w:rPr>
          <w:sz w:val="18"/>
        </w:rPr>
      </w:pPr>
      <w:r>
        <w:rPr>
          <w:color w:val="231F20"/>
          <w:sz w:val="18"/>
        </w:rPr>
        <w:t>Theadom A, Cropley M, Smith HE, Feigin VL, McPherson K. Mind and body therapy for fibromyal- gia. Cochrane Database Syst Rev 2015;4: CD001980.</w:t>
      </w:r>
    </w:p>
    <w:p w:rsidR="002E4A25" w:rsidRDefault="002E4A25">
      <w:pPr>
        <w:spacing w:line="256" w:lineRule="auto"/>
        <w:jc w:val="both"/>
        <w:rPr>
          <w:sz w:val="18"/>
        </w:rPr>
        <w:sectPr w:rsidR="002E4A25">
          <w:type w:val="continuous"/>
          <w:pgSz w:w="11880" w:h="15660"/>
          <w:pgMar w:top="320" w:right="1000" w:bottom="280" w:left="1360" w:header="720" w:footer="720" w:gutter="0"/>
          <w:cols w:num="2" w:space="720" w:equalWidth="0">
            <w:col w:w="4541" w:space="239"/>
            <w:col w:w="4740"/>
          </w:cols>
        </w:sectPr>
      </w:pPr>
    </w:p>
    <w:p w:rsidR="002E4A25" w:rsidRDefault="002E4A25">
      <w:pPr>
        <w:pStyle w:val="BodyText"/>
        <w:spacing w:before="6"/>
        <w:rPr>
          <w:sz w:val="16"/>
        </w:rPr>
      </w:pPr>
      <w:bookmarkStart w:id="67" w:name="_GoBack"/>
    </w:p>
    <w:p w:rsidR="002E4A25" w:rsidRDefault="002E4A25">
      <w:pPr>
        <w:rPr>
          <w:sz w:val="16"/>
        </w:rPr>
        <w:sectPr w:rsidR="002E4A25">
          <w:pgSz w:w="11880" w:h="15660"/>
          <w:pgMar w:top="1260" w:right="1000" w:bottom="880" w:left="1080" w:header="1068" w:footer="689" w:gutter="0"/>
          <w:cols w:space="720"/>
        </w:sectPr>
      </w:pPr>
    </w:p>
    <w:p w:rsidR="002E4A25" w:rsidRDefault="00D74ED8">
      <w:pPr>
        <w:pStyle w:val="ListParagraph"/>
        <w:numPr>
          <w:ilvl w:val="1"/>
          <w:numId w:val="1"/>
        </w:numPr>
        <w:tabs>
          <w:tab w:val="left" w:pos="419"/>
        </w:tabs>
        <w:spacing w:before="76" w:line="254" w:lineRule="auto"/>
        <w:ind w:left="418" w:right="2" w:hanging="299"/>
        <w:jc w:val="both"/>
        <w:rPr>
          <w:sz w:val="18"/>
        </w:rPr>
      </w:pPr>
      <w:r>
        <w:pict>
          <v:shape id="_x0000_s1026" type="#_x0000_t202" style="position:absolute;left:0;text-align:left;margin-left:574.25pt;margin-top:245.3pt;width:10.9pt;height:293.3pt;z-index:251667968;mso-position-horizontal-relative:page;mso-position-vertical-relative:page" filled="f" stroked="f">
            <v:textbox style="layout-flow:vertical" inset="0,0,0,0">
              <w:txbxContent>
                <w:p w:rsidR="002E4A25" w:rsidRDefault="00D74ED8">
                  <w:pPr>
                    <w:spacing w:before="13"/>
                    <w:ind w:left="20"/>
                    <w:rPr>
                      <w:rFonts w:ascii="Times New Roman"/>
                      <w:sz w:val="16"/>
                    </w:rPr>
                  </w:pPr>
                  <w:r>
                    <w:rPr>
                      <w:rFonts w:ascii="Times New Roman"/>
                      <w:sz w:val="16"/>
                    </w:rPr>
                    <w:t>Downlo</w:t>
                  </w:r>
                  <w:r>
                    <w:rPr>
                      <w:rFonts w:ascii="Times New Roman"/>
                      <w:sz w:val="16"/>
                    </w:rPr>
                    <w:t xml:space="preserve">aded from </w:t>
                  </w:r>
                  <w:hyperlink r:id="rId35">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bookmarkStart w:id="68" w:name="_bookmark64"/>
      <w:bookmarkEnd w:id="68"/>
      <w:r>
        <w:rPr>
          <w:color w:val="231F20"/>
          <w:sz w:val="18"/>
        </w:rPr>
        <w:t xml:space="preserve">Williams ACdC, Eccleston C, </w:t>
      </w:r>
      <w:bookmarkStart w:id="69" w:name="_bookmark65"/>
      <w:bookmarkEnd w:id="69"/>
      <w:r>
        <w:rPr>
          <w:color w:val="231F20"/>
          <w:sz w:val="18"/>
        </w:rPr>
        <w:t>Morley</w:t>
      </w:r>
      <w:r>
        <w:rPr>
          <w:color w:val="231F20"/>
          <w:sz w:val="18"/>
        </w:rPr>
        <w:t xml:space="preserve"> S. Psychological therapies for the management of chronic pain (excluding headache) in adults. Cochrane</w:t>
      </w:r>
      <w:r>
        <w:rPr>
          <w:color w:val="231F20"/>
          <w:spacing w:val="-18"/>
          <w:sz w:val="18"/>
        </w:rPr>
        <w:t xml:space="preserve"> </w:t>
      </w:r>
      <w:r>
        <w:rPr>
          <w:color w:val="231F20"/>
          <w:sz w:val="18"/>
        </w:rPr>
        <w:t>Database</w:t>
      </w:r>
      <w:r>
        <w:rPr>
          <w:color w:val="231F20"/>
          <w:spacing w:val="-19"/>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2012;11:CD007407.</w:t>
      </w:r>
    </w:p>
    <w:p w:rsidR="002E4A25" w:rsidRDefault="002E4A25">
      <w:pPr>
        <w:pStyle w:val="BodyText"/>
        <w:spacing w:before="6"/>
        <w:rPr>
          <w:sz w:val="17"/>
        </w:rPr>
      </w:pPr>
    </w:p>
    <w:p w:rsidR="002E4A25" w:rsidRDefault="00D74ED8">
      <w:pPr>
        <w:pStyle w:val="ListParagraph"/>
        <w:numPr>
          <w:ilvl w:val="1"/>
          <w:numId w:val="1"/>
        </w:numPr>
        <w:tabs>
          <w:tab w:val="left" w:pos="419"/>
        </w:tabs>
        <w:spacing w:line="254" w:lineRule="auto"/>
        <w:ind w:left="418" w:right="2" w:hanging="299"/>
        <w:jc w:val="both"/>
        <w:rPr>
          <w:sz w:val="18"/>
        </w:rPr>
      </w:pPr>
      <w:bookmarkStart w:id="70" w:name="_bookmark66"/>
      <w:bookmarkEnd w:id="70"/>
      <w:r>
        <w:rPr>
          <w:color w:val="231F20"/>
          <w:sz w:val="18"/>
        </w:rPr>
        <w:t xml:space="preserve">Cochrane Handbook of Systematic </w:t>
      </w:r>
      <w:bookmarkStart w:id="71" w:name="_bookmark67"/>
      <w:bookmarkEnd w:id="71"/>
      <w:r>
        <w:rPr>
          <w:color w:val="231F20"/>
          <w:sz w:val="18"/>
        </w:rPr>
        <w:t xml:space="preserve">Reviews of Interventions 2011. 2011. Available at: </w:t>
      </w:r>
      <w:hyperlink r:id="rId36">
        <w:r>
          <w:rPr>
            <w:color w:val="231F20"/>
            <w:sz w:val="18"/>
          </w:rPr>
          <w:t>w</w:t>
        </w:r>
        <w:r>
          <w:rPr>
            <w:color w:val="231F20"/>
            <w:sz w:val="18"/>
          </w:rPr>
          <w:t>ww.</w:t>
        </w:r>
      </w:hyperlink>
      <w:r>
        <w:rPr>
          <w:color w:val="231F20"/>
          <w:sz w:val="18"/>
        </w:rPr>
        <w:t xml:space="preserve"> cochrane–handbook.org</w:t>
      </w:r>
      <w:r>
        <w:rPr>
          <w:color w:val="231F20"/>
          <w:spacing w:val="-26"/>
          <w:sz w:val="18"/>
        </w:rPr>
        <w:t xml:space="preserve"> </w:t>
      </w:r>
      <w:r>
        <w:rPr>
          <w:color w:val="231F20"/>
          <w:sz w:val="18"/>
        </w:rPr>
        <w:t>(accessed</w:t>
      </w:r>
      <w:r>
        <w:rPr>
          <w:color w:val="231F20"/>
          <w:spacing w:val="-25"/>
          <w:sz w:val="18"/>
        </w:rPr>
        <w:t xml:space="preserve"> </w:t>
      </w:r>
      <w:r>
        <w:rPr>
          <w:color w:val="231F20"/>
          <w:sz w:val="18"/>
        </w:rPr>
        <w:t>June</w:t>
      </w:r>
      <w:r>
        <w:rPr>
          <w:color w:val="231F20"/>
          <w:spacing w:val="-25"/>
          <w:sz w:val="18"/>
        </w:rPr>
        <w:t xml:space="preserve"> </w:t>
      </w:r>
      <w:r>
        <w:rPr>
          <w:color w:val="231F20"/>
          <w:sz w:val="18"/>
        </w:rPr>
        <w:t>2016).</w:t>
      </w:r>
    </w:p>
    <w:p w:rsidR="002E4A25" w:rsidRDefault="002E4A25">
      <w:pPr>
        <w:pStyle w:val="BodyText"/>
        <w:spacing w:before="4"/>
        <w:rPr>
          <w:sz w:val="17"/>
        </w:rPr>
      </w:pPr>
    </w:p>
    <w:p w:rsidR="002E4A25" w:rsidRDefault="00D74ED8">
      <w:pPr>
        <w:pStyle w:val="ListParagraph"/>
        <w:numPr>
          <w:ilvl w:val="1"/>
          <w:numId w:val="1"/>
        </w:numPr>
        <w:tabs>
          <w:tab w:val="left" w:pos="419"/>
        </w:tabs>
        <w:spacing w:line="254" w:lineRule="auto"/>
        <w:ind w:left="418" w:right="3" w:hanging="299"/>
        <w:jc w:val="left"/>
        <w:rPr>
          <w:sz w:val="18"/>
        </w:rPr>
      </w:pPr>
      <w:bookmarkStart w:id="72" w:name="_bookmark68"/>
      <w:bookmarkEnd w:id="72"/>
      <w:r>
        <w:rPr>
          <w:color w:val="231F20"/>
          <w:sz w:val="18"/>
        </w:rPr>
        <w:t xml:space="preserve">Stata online manual. Available at: </w:t>
      </w:r>
      <w:hyperlink r:id="rId37">
        <w:bookmarkStart w:id="73" w:name="_bookmark69"/>
        <w:bookmarkEnd w:id="73"/>
        <w:r>
          <w:rPr>
            <w:color w:val="231F20"/>
            <w:sz w:val="18"/>
          </w:rPr>
          <w:t>http://www.stata.</w:t>
        </w:r>
      </w:hyperlink>
      <w:r>
        <w:rPr>
          <w:color w:val="231F20"/>
          <w:sz w:val="18"/>
        </w:rPr>
        <w:t xml:space="preserve"> </w:t>
      </w:r>
      <w:hyperlink r:id="rId38">
        <w:r>
          <w:rPr>
            <w:color w:val="231F20"/>
            <w:sz w:val="18"/>
          </w:rPr>
          <w:t>com/support/faqs/statistics/overdispersion-and-ex</w:t>
        </w:r>
      </w:hyperlink>
      <w:r>
        <w:rPr>
          <w:color w:val="231F20"/>
          <w:sz w:val="18"/>
        </w:rPr>
        <w:t xml:space="preserve"> </w:t>
      </w:r>
      <w:hyperlink r:id="rId39">
        <w:r>
          <w:rPr>
            <w:color w:val="231F20"/>
            <w:sz w:val="18"/>
          </w:rPr>
          <w:t>cess-zeros/</w:t>
        </w:r>
      </w:hyperlink>
      <w:r>
        <w:rPr>
          <w:color w:val="231F20"/>
          <w:spacing w:val="-12"/>
          <w:sz w:val="18"/>
        </w:rPr>
        <w:t xml:space="preserve"> </w:t>
      </w:r>
      <w:r>
        <w:rPr>
          <w:color w:val="231F20"/>
          <w:sz w:val="18"/>
        </w:rPr>
        <w:t>(a</w:t>
      </w:r>
      <w:r>
        <w:rPr>
          <w:color w:val="231F20"/>
          <w:sz w:val="18"/>
        </w:rPr>
        <w:t>ccessed</w:t>
      </w:r>
      <w:r>
        <w:rPr>
          <w:color w:val="231F20"/>
          <w:spacing w:val="-13"/>
          <w:sz w:val="18"/>
        </w:rPr>
        <w:t xml:space="preserve"> </w:t>
      </w:r>
      <w:r>
        <w:rPr>
          <w:color w:val="231F20"/>
          <w:sz w:val="18"/>
        </w:rPr>
        <w:t>July</w:t>
      </w:r>
      <w:r>
        <w:rPr>
          <w:color w:val="231F20"/>
          <w:spacing w:val="-12"/>
          <w:sz w:val="18"/>
        </w:rPr>
        <w:t xml:space="preserve"> </w:t>
      </w:r>
      <w:r>
        <w:rPr>
          <w:color w:val="231F20"/>
          <w:sz w:val="18"/>
        </w:rPr>
        <w:t>5,</w:t>
      </w:r>
      <w:r>
        <w:rPr>
          <w:color w:val="231F20"/>
          <w:spacing w:val="-13"/>
          <w:sz w:val="18"/>
        </w:rPr>
        <w:t xml:space="preserve"> </w:t>
      </w:r>
      <w:r>
        <w:rPr>
          <w:color w:val="231F20"/>
          <w:sz w:val="18"/>
        </w:rPr>
        <w:t>2016).</w:t>
      </w:r>
    </w:p>
    <w:p w:rsidR="002E4A25" w:rsidRDefault="002E4A25">
      <w:pPr>
        <w:pStyle w:val="BodyText"/>
        <w:spacing w:before="5"/>
        <w:rPr>
          <w:sz w:val="17"/>
        </w:rPr>
      </w:pPr>
    </w:p>
    <w:p w:rsidR="002E4A25" w:rsidRDefault="00D74ED8">
      <w:pPr>
        <w:pStyle w:val="ListParagraph"/>
        <w:numPr>
          <w:ilvl w:val="1"/>
          <w:numId w:val="1"/>
        </w:numPr>
        <w:tabs>
          <w:tab w:val="left" w:pos="419"/>
        </w:tabs>
        <w:spacing w:line="254" w:lineRule="auto"/>
        <w:ind w:left="418" w:right="2" w:hanging="299"/>
        <w:jc w:val="both"/>
        <w:rPr>
          <w:sz w:val="18"/>
        </w:rPr>
      </w:pPr>
      <w:bookmarkStart w:id="74" w:name="_bookmark70"/>
      <w:bookmarkEnd w:id="74"/>
      <w:r>
        <w:rPr>
          <w:color w:val="231F20"/>
          <w:sz w:val="18"/>
        </w:rPr>
        <w:t xml:space="preserve">Dworkin RH, Turk DC, Peirce-Sandner S, et al. Considerations for improving assay sensitivity in chronic pain clinical trials: IMMPACT </w:t>
      </w:r>
      <w:bookmarkStart w:id="75" w:name="_bookmark71"/>
      <w:bookmarkEnd w:id="75"/>
      <w:r>
        <w:rPr>
          <w:color w:val="231F20"/>
          <w:sz w:val="18"/>
        </w:rPr>
        <w:t xml:space="preserve">recommenda- </w:t>
      </w:r>
      <w:r>
        <w:rPr>
          <w:color w:val="231F20"/>
          <w:w w:val="95"/>
          <w:sz w:val="18"/>
        </w:rPr>
        <w:t>tions.  Pain</w:t>
      </w:r>
      <w:r>
        <w:rPr>
          <w:color w:val="231F20"/>
          <w:spacing w:val="17"/>
          <w:w w:val="95"/>
          <w:sz w:val="18"/>
        </w:rPr>
        <w:t xml:space="preserve"> </w:t>
      </w:r>
      <w:r>
        <w:rPr>
          <w:color w:val="231F20"/>
          <w:w w:val="95"/>
          <w:sz w:val="18"/>
        </w:rPr>
        <w:t>2012;153(6):1148–58.</w:t>
      </w:r>
    </w:p>
    <w:p w:rsidR="002E4A25" w:rsidRDefault="002E4A25">
      <w:pPr>
        <w:pStyle w:val="BodyText"/>
        <w:spacing w:before="4"/>
        <w:rPr>
          <w:sz w:val="17"/>
        </w:rPr>
      </w:pPr>
    </w:p>
    <w:p w:rsidR="002E4A25" w:rsidRDefault="00D74ED8">
      <w:pPr>
        <w:pStyle w:val="ListParagraph"/>
        <w:numPr>
          <w:ilvl w:val="1"/>
          <w:numId w:val="1"/>
        </w:numPr>
        <w:tabs>
          <w:tab w:val="left" w:pos="419"/>
        </w:tabs>
        <w:spacing w:line="254" w:lineRule="auto"/>
        <w:ind w:left="418" w:right="2" w:hanging="299"/>
        <w:jc w:val="both"/>
        <w:rPr>
          <w:sz w:val="18"/>
        </w:rPr>
      </w:pPr>
      <w:bookmarkStart w:id="76" w:name="_bookmark72"/>
      <w:bookmarkEnd w:id="76"/>
      <w:r>
        <w:rPr>
          <w:color w:val="231F20"/>
          <w:sz w:val="18"/>
        </w:rPr>
        <w:t>Dworkin</w:t>
      </w:r>
      <w:r>
        <w:rPr>
          <w:color w:val="231F20"/>
          <w:sz w:val="18"/>
        </w:rPr>
        <w:t xml:space="preserve"> RH, Turk DC, Peirce-Sandner S, et al. Research design considerations for confirmatory chronic pain clinical trials: IMMPACT recommenda- </w:t>
      </w:r>
      <w:r>
        <w:rPr>
          <w:color w:val="231F20"/>
          <w:w w:val="95"/>
          <w:sz w:val="18"/>
        </w:rPr>
        <w:t>tions.  Pain</w:t>
      </w:r>
      <w:r>
        <w:rPr>
          <w:color w:val="231F20"/>
          <w:spacing w:val="12"/>
          <w:w w:val="95"/>
          <w:sz w:val="18"/>
        </w:rPr>
        <w:t xml:space="preserve"> </w:t>
      </w:r>
      <w:r>
        <w:rPr>
          <w:color w:val="231F20"/>
          <w:w w:val="95"/>
          <w:sz w:val="18"/>
        </w:rPr>
        <w:t>2010;149(2):177–93.</w:t>
      </w:r>
    </w:p>
    <w:p w:rsidR="002E4A25" w:rsidRDefault="002E4A25">
      <w:pPr>
        <w:pStyle w:val="BodyText"/>
        <w:spacing w:before="5"/>
        <w:rPr>
          <w:sz w:val="17"/>
        </w:rPr>
      </w:pPr>
    </w:p>
    <w:p w:rsidR="002E4A25" w:rsidRDefault="00D74ED8">
      <w:pPr>
        <w:pStyle w:val="ListParagraph"/>
        <w:numPr>
          <w:ilvl w:val="1"/>
          <w:numId w:val="1"/>
        </w:numPr>
        <w:tabs>
          <w:tab w:val="left" w:pos="419"/>
        </w:tabs>
        <w:spacing w:line="254" w:lineRule="auto"/>
        <w:ind w:left="418" w:right="1" w:hanging="299"/>
        <w:jc w:val="both"/>
        <w:rPr>
          <w:sz w:val="18"/>
        </w:rPr>
      </w:pPr>
      <w:bookmarkStart w:id="77" w:name="_bookmark73"/>
      <w:bookmarkEnd w:id="77"/>
      <w:r>
        <w:rPr>
          <w:color w:val="231F20"/>
          <w:sz w:val="18"/>
        </w:rPr>
        <w:t>U.S. Department of Health and Human Services, Food</w:t>
      </w:r>
      <w:r>
        <w:rPr>
          <w:color w:val="231F20"/>
          <w:spacing w:val="-26"/>
          <w:sz w:val="18"/>
        </w:rPr>
        <w:t xml:space="preserve"> </w:t>
      </w:r>
      <w:r>
        <w:rPr>
          <w:color w:val="231F20"/>
          <w:sz w:val="18"/>
        </w:rPr>
        <w:t>Drug</w:t>
      </w:r>
      <w:r>
        <w:rPr>
          <w:color w:val="231F20"/>
          <w:spacing w:val="-25"/>
          <w:sz w:val="18"/>
        </w:rPr>
        <w:t xml:space="preserve"> </w:t>
      </w:r>
      <w:r>
        <w:rPr>
          <w:color w:val="231F20"/>
          <w:sz w:val="18"/>
        </w:rPr>
        <w:t>Administration,</w:t>
      </w:r>
      <w:r>
        <w:rPr>
          <w:color w:val="231F20"/>
          <w:spacing w:val="-26"/>
          <w:sz w:val="18"/>
        </w:rPr>
        <w:t xml:space="preserve"> </w:t>
      </w:r>
      <w:r>
        <w:rPr>
          <w:color w:val="231F20"/>
          <w:sz w:val="18"/>
        </w:rPr>
        <w:t>Center</w:t>
      </w:r>
      <w:r>
        <w:rPr>
          <w:color w:val="231F20"/>
          <w:spacing w:val="-26"/>
          <w:sz w:val="18"/>
        </w:rPr>
        <w:t xml:space="preserve"> </w:t>
      </w:r>
      <w:r>
        <w:rPr>
          <w:color w:val="231F20"/>
          <w:sz w:val="18"/>
        </w:rPr>
        <w:t>for</w:t>
      </w:r>
      <w:r>
        <w:rPr>
          <w:color w:val="231F20"/>
          <w:spacing w:val="-26"/>
          <w:sz w:val="18"/>
        </w:rPr>
        <w:t xml:space="preserve"> </w:t>
      </w:r>
      <w:r>
        <w:rPr>
          <w:color w:val="231F20"/>
          <w:sz w:val="18"/>
        </w:rPr>
        <w:t>Dr</w:t>
      </w:r>
      <w:r>
        <w:rPr>
          <w:color w:val="231F20"/>
          <w:sz w:val="18"/>
        </w:rPr>
        <w:t>ug</w:t>
      </w:r>
      <w:r>
        <w:rPr>
          <w:color w:val="231F20"/>
          <w:spacing w:val="-27"/>
          <w:sz w:val="18"/>
        </w:rPr>
        <w:t xml:space="preserve"> </w:t>
      </w:r>
      <w:r>
        <w:rPr>
          <w:color w:val="231F20"/>
          <w:sz w:val="18"/>
        </w:rPr>
        <w:t>Evaluation and Research (CDER). Guidance for indus</w:t>
      </w:r>
      <w:bookmarkStart w:id="78" w:name="_bookmark74"/>
      <w:bookmarkEnd w:id="78"/>
      <w:r>
        <w:rPr>
          <w:color w:val="231F20"/>
          <w:sz w:val="18"/>
        </w:rPr>
        <w:t xml:space="preserve">try anal- gesic indications: Developing drug and biological products. Draft guidance. 2014. Available at: </w:t>
      </w:r>
      <w:hyperlink r:id="rId40">
        <w:r>
          <w:rPr>
            <w:color w:val="231F20"/>
            <w:sz w:val="18"/>
          </w:rPr>
          <w:t>http://</w:t>
        </w:r>
      </w:hyperlink>
      <w:r>
        <w:rPr>
          <w:color w:val="231F20"/>
          <w:sz w:val="18"/>
        </w:rPr>
        <w:t xml:space="preserve"> </w:t>
      </w:r>
      <w:hyperlink r:id="rId41">
        <w:r>
          <w:rPr>
            <w:color w:val="231F20"/>
            <w:spacing w:val="-2"/>
            <w:w w:val="95"/>
            <w:sz w:val="18"/>
          </w:rPr>
          <w:t>www.fda.gov/downloads/Drugs/GuidanceCompliance</w:t>
        </w:r>
      </w:hyperlink>
      <w:r>
        <w:rPr>
          <w:color w:val="231F20"/>
          <w:spacing w:val="-2"/>
          <w:w w:val="95"/>
          <w:sz w:val="18"/>
        </w:rPr>
        <w:t xml:space="preserve"> </w:t>
      </w:r>
      <w:hyperlink r:id="rId42">
        <w:r>
          <w:rPr>
            <w:color w:val="231F20"/>
            <w:spacing w:val="3"/>
            <w:w w:val="95"/>
            <w:sz w:val="18"/>
          </w:rPr>
          <w:t>RegulatoryInformation/Guidances/UCM384691.pdf</w:t>
        </w:r>
      </w:hyperlink>
      <w:r>
        <w:rPr>
          <w:color w:val="231F20"/>
          <w:spacing w:val="3"/>
          <w:w w:val="95"/>
          <w:sz w:val="18"/>
        </w:rPr>
        <w:t xml:space="preserve"> </w:t>
      </w:r>
      <w:r>
        <w:rPr>
          <w:color w:val="231F20"/>
          <w:spacing w:val="2"/>
          <w:sz w:val="18"/>
        </w:rPr>
        <w:t>(accessed June</w:t>
      </w:r>
      <w:r>
        <w:rPr>
          <w:color w:val="231F20"/>
          <w:spacing w:val="-33"/>
          <w:sz w:val="18"/>
        </w:rPr>
        <w:t xml:space="preserve"> </w:t>
      </w:r>
      <w:r>
        <w:rPr>
          <w:color w:val="231F20"/>
          <w:spacing w:val="2"/>
          <w:sz w:val="18"/>
        </w:rPr>
        <w:t>2016).</w:t>
      </w:r>
    </w:p>
    <w:p w:rsidR="002E4A25" w:rsidRDefault="002E4A25">
      <w:pPr>
        <w:pStyle w:val="BodyText"/>
        <w:spacing w:before="4"/>
        <w:rPr>
          <w:sz w:val="17"/>
        </w:rPr>
      </w:pPr>
    </w:p>
    <w:p w:rsidR="002E4A25" w:rsidRDefault="00D74ED8">
      <w:pPr>
        <w:pStyle w:val="ListParagraph"/>
        <w:numPr>
          <w:ilvl w:val="1"/>
          <w:numId w:val="1"/>
        </w:numPr>
        <w:tabs>
          <w:tab w:val="left" w:pos="419"/>
        </w:tabs>
        <w:spacing w:line="254" w:lineRule="auto"/>
        <w:ind w:left="418" w:right="2" w:hanging="299"/>
        <w:jc w:val="left"/>
        <w:rPr>
          <w:sz w:val="18"/>
        </w:rPr>
      </w:pPr>
      <w:bookmarkStart w:id="79" w:name="_bookmark75"/>
      <w:bookmarkEnd w:id="79"/>
      <w:r>
        <w:rPr>
          <w:color w:val="231F20"/>
          <w:sz w:val="18"/>
        </w:rPr>
        <w:t xml:space="preserve">Committee for Medicinal Products for </w:t>
      </w:r>
      <w:bookmarkStart w:id="80" w:name="_bookmark76"/>
      <w:bookmarkEnd w:id="80"/>
      <w:r>
        <w:rPr>
          <w:color w:val="231F20"/>
          <w:sz w:val="18"/>
        </w:rPr>
        <w:t>Human Use, European Medicines Agency. Guideline on the clin- ical development of medicinal pro</w:t>
      </w:r>
      <w:r>
        <w:rPr>
          <w:color w:val="231F20"/>
          <w:sz w:val="18"/>
        </w:rPr>
        <w:t xml:space="preserve">ducts intended for the treatment of pain. 2nd draft. 2015. Available at: </w:t>
      </w:r>
      <w:hyperlink r:id="rId43">
        <w:r>
          <w:rPr>
            <w:color w:val="231F20"/>
            <w:sz w:val="18"/>
          </w:rPr>
          <w:t>http://www.ema.europa.eu/docs/en_GB/document_</w:t>
        </w:r>
      </w:hyperlink>
      <w:r>
        <w:rPr>
          <w:color w:val="231F20"/>
          <w:sz w:val="18"/>
        </w:rPr>
        <w:t xml:space="preserve"> </w:t>
      </w:r>
      <w:hyperlink r:id="rId44">
        <w:r>
          <w:rPr>
            <w:color w:val="231F20"/>
            <w:spacing w:val="-5"/>
            <w:sz w:val="18"/>
          </w:rPr>
          <w:t>library/Scientific_guideline/2015/12/WC500199</w:t>
        </w:r>
        <w:bookmarkStart w:id="81" w:name="_bookmark77"/>
        <w:bookmarkEnd w:id="81"/>
        <w:r>
          <w:rPr>
            <w:color w:val="231F20"/>
            <w:spacing w:val="-5"/>
            <w:sz w:val="18"/>
          </w:rPr>
          <w:t>242.pdf</w:t>
        </w:r>
      </w:hyperlink>
      <w:r>
        <w:rPr>
          <w:color w:val="231F20"/>
          <w:spacing w:val="-5"/>
          <w:sz w:val="18"/>
        </w:rPr>
        <w:t xml:space="preserve"> </w:t>
      </w:r>
      <w:r>
        <w:rPr>
          <w:color w:val="231F20"/>
          <w:spacing w:val="-4"/>
          <w:sz w:val="18"/>
        </w:rPr>
        <w:t>(accessed</w:t>
      </w:r>
      <w:r>
        <w:rPr>
          <w:color w:val="231F20"/>
          <w:spacing w:val="-24"/>
          <w:sz w:val="18"/>
        </w:rPr>
        <w:t xml:space="preserve"> </w:t>
      </w:r>
      <w:r>
        <w:rPr>
          <w:color w:val="231F20"/>
          <w:spacing w:val="-3"/>
          <w:sz w:val="18"/>
        </w:rPr>
        <w:t>June</w:t>
      </w:r>
      <w:r>
        <w:rPr>
          <w:color w:val="231F20"/>
          <w:spacing w:val="-23"/>
          <w:sz w:val="18"/>
        </w:rPr>
        <w:t xml:space="preserve"> </w:t>
      </w:r>
      <w:r>
        <w:rPr>
          <w:color w:val="231F20"/>
          <w:spacing w:val="-4"/>
          <w:sz w:val="18"/>
        </w:rPr>
        <w:t>2016).</w:t>
      </w:r>
    </w:p>
    <w:p w:rsidR="002E4A25" w:rsidRDefault="002E4A25">
      <w:pPr>
        <w:pStyle w:val="BodyText"/>
        <w:spacing w:before="4"/>
        <w:rPr>
          <w:sz w:val="17"/>
        </w:rPr>
      </w:pPr>
    </w:p>
    <w:p w:rsidR="002E4A25" w:rsidRDefault="00D74ED8">
      <w:pPr>
        <w:pStyle w:val="ListParagraph"/>
        <w:numPr>
          <w:ilvl w:val="1"/>
          <w:numId w:val="1"/>
        </w:numPr>
        <w:tabs>
          <w:tab w:val="left" w:pos="419"/>
          <w:tab w:val="left" w:pos="1655"/>
          <w:tab w:val="left" w:pos="2511"/>
          <w:tab w:val="left" w:pos="2971"/>
          <w:tab w:val="left" w:pos="3720"/>
          <w:tab w:val="left" w:pos="4388"/>
        </w:tabs>
        <w:spacing w:line="254" w:lineRule="auto"/>
        <w:ind w:left="418" w:hanging="299"/>
        <w:jc w:val="left"/>
        <w:rPr>
          <w:sz w:val="18"/>
        </w:rPr>
      </w:pPr>
      <w:bookmarkStart w:id="82" w:name="_bookmark78"/>
      <w:bookmarkEnd w:id="82"/>
      <w:r>
        <w:rPr>
          <w:color w:val="231F20"/>
          <w:spacing w:val="2"/>
          <w:sz w:val="18"/>
        </w:rPr>
        <w:t>International</w:t>
      </w:r>
      <w:r>
        <w:rPr>
          <w:color w:val="231F20"/>
          <w:spacing w:val="2"/>
          <w:sz w:val="18"/>
        </w:rPr>
        <w:tab/>
        <w:t>Council</w:t>
      </w:r>
      <w:r>
        <w:rPr>
          <w:color w:val="231F20"/>
          <w:spacing w:val="2"/>
          <w:sz w:val="18"/>
        </w:rPr>
        <w:tab/>
      </w:r>
      <w:r>
        <w:rPr>
          <w:color w:val="231F20"/>
          <w:sz w:val="18"/>
        </w:rPr>
        <w:t>for</w:t>
      </w:r>
      <w:r>
        <w:rPr>
          <w:color w:val="231F20"/>
          <w:sz w:val="18"/>
        </w:rPr>
        <w:tab/>
      </w:r>
      <w:r>
        <w:rPr>
          <w:color w:val="231F20"/>
          <w:spacing w:val="2"/>
          <w:sz w:val="18"/>
        </w:rPr>
        <w:t>Harmonisation</w:t>
      </w:r>
      <w:r>
        <w:rPr>
          <w:color w:val="231F20"/>
          <w:spacing w:val="2"/>
          <w:sz w:val="18"/>
        </w:rPr>
        <w:tab/>
      </w:r>
      <w:r>
        <w:rPr>
          <w:color w:val="231F20"/>
          <w:spacing w:val="3"/>
          <w:w w:val="95"/>
          <w:sz w:val="18"/>
        </w:rPr>
        <w:t xml:space="preserve">of </w:t>
      </w:r>
      <w:r>
        <w:rPr>
          <w:color w:val="231F20"/>
          <w:spacing w:val="2"/>
          <w:sz w:val="18"/>
        </w:rPr>
        <w:t xml:space="preserve">Technical Requirements </w:t>
      </w:r>
      <w:r>
        <w:rPr>
          <w:color w:val="231F20"/>
          <w:sz w:val="18"/>
        </w:rPr>
        <w:t xml:space="preserve">for </w:t>
      </w:r>
      <w:r>
        <w:rPr>
          <w:color w:val="231F20"/>
          <w:spacing w:val="2"/>
          <w:sz w:val="18"/>
        </w:rPr>
        <w:t xml:space="preserve">Pharmaceuticals </w:t>
      </w:r>
      <w:r>
        <w:rPr>
          <w:color w:val="231F20"/>
          <w:spacing w:val="3"/>
          <w:sz w:val="18"/>
        </w:rPr>
        <w:t xml:space="preserve">for Human Use. </w:t>
      </w:r>
      <w:r>
        <w:rPr>
          <w:color w:val="231F20"/>
          <w:spacing w:val="2"/>
          <w:sz w:val="18"/>
        </w:rPr>
        <w:t xml:space="preserve">The </w:t>
      </w:r>
      <w:r>
        <w:rPr>
          <w:color w:val="231F20"/>
          <w:spacing w:val="3"/>
          <w:sz w:val="18"/>
        </w:rPr>
        <w:t xml:space="preserve">extent </w:t>
      </w:r>
      <w:r>
        <w:rPr>
          <w:color w:val="231F20"/>
          <w:sz w:val="18"/>
        </w:rPr>
        <w:t xml:space="preserve">of </w:t>
      </w:r>
      <w:r>
        <w:rPr>
          <w:color w:val="231F20"/>
          <w:spacing w:val="3"/>
          <w:sz w:val="18"/>
        </w:rPr>
        <w:t xml:space="preserve">population exposure </w:t>
      </w:r>
      <w:r>
        <w:rPr>
          <w:color w:val="231F20"/>
          <w:spacing w:val="4"/>
          <w:sz w:val="18"/>
        </w:rPr>
        <w:t xml:space="preserve">to </w:t>
      </w:r>
      <w:r>
        <w:rPr>
          <w:color w:val="231F20"/>
          <w:spacing w:val="3"/>
          <w:sz w:val="18"/>
        </w:rPr>
        <w:t xml:space="preserve">assess clinical safety </w:t>
      </w:r>
      <w:r>
        <w:rPr>
          <w:color w:val="231F20"/>
          <w:spacing w:val="2"/>
          <w:sz w:val="18"/>
        </w:rPr>
        <w:t xml:space="preserve">for </w:t>
      </w:r>
      <w:r>
        <w:rPr>
          <w:color w:val="231F20"/>
          <w:spacing w:val="3"/>
          <w:sz w:val="18"/>
        </w:rPr>
        <w:t xml:space="preserve">drugs intended </w:t>
      </w:r>
      <w:r>
        <w:rPr>
          <w:color w:val="231F20"/>
          <w:spacing w:val="2"/>
          <w:sz w:val="18"/>
        </w:rPr>
        <w:t xml:space="preserve">for </w:t>
      </w:r>
      <w:r>
        <w:rPr>
          <w:color w:val="231F20"/>
          <w:spacing w:val="3"/>
          <w:sz w:val="18"/>
        </w:rPr>
        <w:t xml:space="preserve">long- </w:t>
      </w:r>
      <w:r>
        <w:rPr>
          <w:color w:val="231F20"/>
          <w:spacing w:val="2"/>
          <w:sz w:val="18"/>
        </w:rPr>
        <w:t xml:space="preserve">term treatment </w:t>
      </w:r>
      <w:r>
        <w:rPr>
          <w:color w:val="231F20"/>
          <w:sz w:val="18"/>
        </w:rPr>
        <w:t xml:space="preserve">of </w:t>
      </w:r>
      <w:r>
        <w:rPr>
          <w:color w:val="231F20"/>
          <w:spacing w:val="3"/>
          <w:sz w:val="18"/>
        </w:rPr>
        <w:t xml:space="preserve">non-life-threatening </w:t>
      </w:r>
      <w:bookmarkStart w:id="83" w:name="_bookmark79"/>
      <w:bookmarkEnd w:id="83"/>
      <w:r>
        <w:rPr>
          <w:color w:val="231F20"/>
          <w:spacing w:val="3"/>
          <w:sz w:val="18"/>
        </w:rPr>
        <w:t xml:space="preserve">conditions </w:t>
      </w:r>
      <w:r>
        <w:rPr>
          <w:color w:val="231F20"/>
          <w:sz w:val="18"/>
        </w:rPr>
        <w:t xml:space="preserve">E1. </w:t>
      </w:r>
      <w:r>
        <w:rPr>
          <w:color w:val="231F20"/>
          <w:spacing w:val="2"/>
          <w:sz w:val="18"/>
        </w:rPr>
        <w:t xml:space="preserve">1994. Available </w:t>
      </w:r>
      <w:r>
        <w:rPr>
          <w:color w:val="231F20"/>
          <w:sz w:val="18"/>
        </w:rPr>
        <w:t xml:space="preserve">at: </w:t>
      </w:r>
      <w:hyperlink r:id="rId45">
        <w:r>
          <w:rPr>
            <w:color w:val="231F20"/>
            <w:spacing w:val="4"/>
            <w:sz w:val="18"/>
          </w:rPr>
          <w:t>http://www.ich.org/filead</w:t>
        </w:r>
      </w:hyperlink>
      <w:r>
        <w:rPr>
          <w:color w:val="231F20"/>
          <w:spacing w:val="4"/>
          <w:sz w:val="18"/>
        </w:rPr>
        <w:t xml:space="preserve"> </w:t>
      </w:r>
      <w:hyperlink r:id="rId46">
        <w:r>
          <w:rPr>
            <w:color w:val="231F20"/>
            <w:spacing w:val="3"/>
            <w:sz w:val="18"/>
          </w:rPr>
          <w:t>min/Public_Web_Site/ICH_Products/Guidelines/</w:t>
        </w:r>
      </w:hyperlink>
      <w:r>
        <w:rPr>
          <w:color w:val="231F20"/>
          <w:spacing w:val="3"/>
          <w:sz w:val="18"/>
        </w:rPr>
        <w:t xml:space="preserve"> </w:t>
      </w:r>
      <w:hyperlink r:id="rId47">
        <w:r>
          <w:rPr>
            <w:color w:val="231F20"/>
            <w:spacing w:val="3"/>
            <w:sz w:val="18"/>
          </w:rPr>
          <w:t>Efficacy/E1/Step4/E1_Guideline.pdf</w:t>
        </w:r>
      </w:hyperlink>
      <w:r>
        <w:rPr>
          <w:color w:val="231F20"/>
          <w:spacing w:val="3"/>
          <w:sz w:val="18"/>
        </w:rPr>
        <w:tab/>
      </w:r>
      <w:r>
        <w:rPr>
          <w:color w:val="231F20"/>
          <w:spacing w:val="2"/>
          <w:w w:val="95"/>
          <w:sz w:val="18"/>
        </w:rPr>
        <w:t xml:space="preserve">(accessed </w:t>
      </w:r>
      <w:r>
        <w:rPr>
          <w:color w:val="231F20"/>
          <w:spacing w:val="2"/>
          <w:sz w:val="18"/>
        </w:rPr>
        <w:t>June</w:t>
      </w:r>
      <w:r>
        <w:rPr>
          <w:color w:val="231F20"/>
          <w:spacing w:val="-16"/>
          <w:sz w:val="18"/>
        </w:rPr>
        <w:t xml:space="preserve"> </w:t>
      </w:r>
      <w:r>
        <w:rPr>
          <w:color w:val="231F20"/>
          <w:spacing w:val="3"/>
          <w:sz w:val="18"/>
        </w:rPr>
        <w:t>2016).</w:t>
      </w:r>
    </w:p>
    <w:p w:rsidR="002E4A25" w:rsidRDefault="00D74ED8">
      <w:pPr>
        <w:pStyle w:val="ListParagraph"/>
        <w:numPr>
          <w:ilvl w:val="1"/>
          <w:numId w:val="1"/>
        </w:numPr>
        <w:tabs>
          <w:tab w:val="left" w:pos="418"/>
        </w:tabs>
        <w:spacing w:before="75" w:line="256" w:lineRule="auto"/>
        <w:ind w:right="474" w:hanging="298"/>
        <w:jc w:val="both"/>
        <w:rPr>
          <w:sz w:val="18"/>
        </w:rPr>
      </w:pPr>
      <w:r>
        <w:rPr>
          <w:color w:val="231F20"/>
          <w:w w:val="97"/>
          <w:sz w:val="18"/>
        </w:rPr>
        <w:br w:type="column"/>
      </w:r>
      <w:r>
        <w:rPr>
          <w:color w:val="231F20"/>
          <w:sz w:val="18"/>
        </w:rPr>
        <w:t>Chou R, Turner JA, Devine EB, et al. The effective- ness and risks of long-term opioid therapy for chronic pain: A systematic review for a National Institutes of Health Pathways to Prevention work- shop. Ann Intern Med</w:t>
      </w:r>
      <w:r>
        <w:rPr>
          <w:color w:val="231F20"/>
          <w:spacing w:val="-24"/>
          <w:sz w:val="18"/>
        </w:rPr>
        <w:t xml:space="preserve"> </w:t>
      </w:r>
      <w:r>
        <w:rPr>
          <w:color w:val="231F20"/>
          <w:sz w:val="18"/>
        </w:rPr>
        <w:t>2015;162:276–86.</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475" w:hanging="298"/>
        <w:jc w:val="both"/>
        <w:rPr>
          <w:sz w:val="18"/>
        </w:rPr>
      </w:pPr>
      <w:r>
        <w:rPr>
          <w:color w:val="231F20"/>
          <w:sz w:val="18"/>
        </w:rPr>
        <w:t>Wittink HM, Carr DB</w:t>
      </w:r>
      <w:r>
        <w:rPr>
          <w:color w:val="231F20"/>
          <w:sz w:val="18"/>
        </w:rPr>
        <w:t>, eds. Pain Management: Evidence, Outcomes, and Quality of Life. New</w:t>
      </w:r>
      <w:r>
        <w:rPr>
          <w:color w:val="231F20"/>
          <w:spacing w:val="-23"/>
          <w:sz w:val="18"/>
        </w:rPr>
        <w:t xml:space="preserve"> </w:t>
      </w:r>
      <w:r>
        <w:rPr>
          <w:color w:val="231F20"/>
          <w:sz w:val="18"/>
        </w:rPr>
        <w:t xml:space="preserve">York: </w:t>
      </w:r>
      <w:r>
        <w:rPr>
          <w:color w:val="231F20"/>
          <w:w w:val="95"/>
          <w:sz w:val="18"/>
        </w:rPr>
        <w:t>Elsevier;</w:t>
      </w:r>
      <w:r>
        <w:rPr>
          <w:color w:val="231F20"/>
          <w:spacing w:val="13"/>
          <w:w w:val="95"/>
          <w:sz w:val="18"/>
        </w:rPr>
        <w:t xml:space="preserve"> </w:t>
      </w:r>
      <w:r>
        <w:rPr>
          <w:color w:val="231F20"/>
          <w:w w:val="95"/>
          <w:sz w:val="18"/>
        </w:rPr>
        <w:t>2008.</w:t>
      </w:r>
    </w:p>
    <w:p w:rsidR="002E4A25" w:rsidRDefault="002E4A25">
      <w:pPr>
        <w:pStyle w:val="BodyText"/>
        <w:spacing w:before="3"/>
        <w:rPr>
          <w:sz w:val="17"/>
        </w:rPr>
      </w:pPr>
    </w:p>
    <w:p w:rsidR="002E4A25" w:rsidRDefault="00D74ED8">
      <w:pPr>
        <w:pStyle w:val="ListParagraph"/>
        <w:numPr>
          <w:ilvl w:val="1"/>
          <w:numId w:val="1"/>
        </w:numPr>
        <w:tabs>
          <w:tab w:val="left" w:pos="418"/>
        </w:tabs>
        <w:spacing w:line="256" w:lineRule="auto"/>
        <w:ind w:right="475" w:hanging="298"/>
        <w:jc w:val="both"/>
        <w:rPr>
          <w:sz w:val="18"/>
        </w:rPr>
      </w:pPr>
      <w:r>
        <w:rPr>
          <w:color w:val="231F20"/>
          <w:sz w:val="18"/>
        </w:rPr>
        <w:t>West S, King V, Carey TS, et al. Systems to Rate the Strength of Scientific Evidence. Evidence</w:t>
      </w:r>
      <w:r>
        <w:rPr>
          <w:color w:val="231F20"/>
          <w:spacing w:val="-31"/>
          <w:sz w:val="18"/>
        </w:rPr>
        <w:t xml:space="preserve"> </w:t>
      </w:r>
      <w:r>
        <w:rPr>
          <w:color w:val="231F20"/>
          <w:sz w:val="18"/>
        </w:rPr>
        <w:t>report/ technology assessment No.47. AHRQ publication No. 02-E016. Ro</w:t>
      </w:r>
      <w:r>
        <w:rPr>
          <w:color w:val="231F20"/>
          <w:sz w:val="18"/>
        </w:rPr>
        <w:t>ckville, MD: Agency for Healthcare Research</w:t>
      </w:r>
      <w:r>
        <w:rPr>
          <w:color w:val="231F20"/>
          <w:spacing w:val="-17"/>
          <w:sz w:val="18"/>
        </w:rPr>
        <w:t xml:space="preserve"> </w:t>
      </w:r>
      <w:r>
        <w:rPr>
          <w:color w:val="231F20"/>
          <w:sz w:val="18"/>
        </w:rPr>
        <w:t>and</w:t>
      </w:r>
      <w:r>
        <w:rPr>
          <w:color w:val="231F20"/>
          <w:spacing w:val="-17"/>
          <w:sz w:val="18"/>
        </w:rPr>
        <w:t xml:space="preserve"> </w:t>
      </w:r>
      <w:r>
        <w:rPr>
          <w:color w:val="231F20"/>
          <w:sz w:val="18"/>
        </w:rPr>
        <w:t>Quality;</w:t>
      </w:r>
      <w:r>
        <w:rPr>
          <w:color w:val="231F20"/>
          <w:spacing w:val="-17"/>
          <w:sz w:val="18"/>
        </w:rPr>
        <w:t xml:space="preserve"> </w:t>
      </w:r>
      <w:r>
        <w:rPr>
          <w:color w:val="231F20"/>
          <w:sz w:val="18"/>
        </w:rPr>
        <w:t>2002.</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474" w:hanging="298"/>
        <w:jc w:val="both"/>
        <w:rPr>
          <w:sz w:val="18"/>
        </w:rPr>
      </w:pPr>
      <w:r>
        <w:rPr>
          <w:color w:val="231F20"/>
          <w:sz w:val="18"/>
        </w:rPr>
        <w:t>Antman EM, Bennett JS, Daugherty A, et al. Use of nonsteroidal antiinflammatory drugs: An update for clinicians: A scientific statement from the American Heart</w:t>
      </w:r>
      <w:r>
        <w:rPr>
          <w:color w:val="231F20"/>
          <w:spacing w:val="-24"/>
          <w:sz w:val="18"/>
        </w:rPr>
        <w:t xml:space="preserve"> </w:t>
      </w:r>
      <w:r>
        <w:rPr>
          <w:color w:val="231F20"/>
          <w:sz w:val="18"/>
        </w:rPr>
        <w:t>Association.</w:t>
      </w:r>
      <w:r>
        <w:rPr>
          <w:color w:val="231F20"/>
          <w:spacing w:val="-24"/>
          <w:sz w:val="18"/>
        </w:rPr>
        <w:t xml:space="preserve"> </w:t>
      </w:r>
      <w:r>
        <w:rPr>
          <w:color w:val="231F20"/>
          <w:sz w:val="18"/>
        </w:rPr>
        <w:t>Circulation</w:t>
      </w:r>
      <w:r>
        <w:rPr>
          <w:color w:val="231F20"/>
          <w:spacing w:val="-24"/>
          <w:sz w:val="18"/>
        </w:rPr>
        <w:t xml:space="preserve"> </w:t>
      </w:r>
      <w:r>
        <w:rPr>
          <w:color w:val="231F20"/>
          <w:sz w:val="18"/>
        </w:rPr>
        <w:t>2007;11</w:t>
      </w:r>
      <w:r>
        <w:rPr>
          <w:color w:val="231F20"/>
          <w:sz w:val="18"/>
        </w:rPr>
        <w:t>5:1634–42.</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474" w:hanging="298"/>
        <w:jc w:val="both"/>
        <w:rPr>
          <w:sz w:val="18"/>
        </w:rPr>
      </w:pPr>
      <w:r>
        <w:rPr>
          <w:color w:val="231F20"/>
          <w:sz w:val="18"/>
        </w:rPr>
        <w:t>Solomon DH, Raassen JA, Glynn RJ, Levin R, Schneeweiss S. The comparative safety of anal- gesics in older adults with arthritis. Arch Intern Med 2010;170:1968–76.</w:t>
      </w:r>
    </w:p>
    <w:p w:rsidR="002E4A25" w:rsidRDefault="002E4A25">
      <w:pPr>
        <w:pStyle w:val="BodyText"/>
        <w:spacing w:before="3"/>
        <w:rPr>
          <w:sz w:val="17"/>
        </w:rPr>
      </w:pPr>
    </w:p>
    <w:p w:rsidR="002E4A25" w:rsidRDefault="00D74ED8">
      <w:pPr>
        <w:pStyle w:val="ListParagraph"/>
        <w:numPr>
          <w:ilvl w:val="1"/>
          <w:numId w:val="1"/>
        </w:numPr>
        <w:tabs>
          <w:tab w:val="left" w:pos="418"/>
        </w:tabs>
        <w:spacing w:line="256" w:lineRule="auto"/>
        <w:ind w:right="474" w:hanging="298"/>
        <w:jc w:val="both"/>
        <w:rPr>
          <w:sz w:val="18"/>
        </w:rPr>
      </w:pPr>
      <w:r>
        <w:rPr>
          <w:color w:val="231F20"/>
          <w:sz w:val="18"/>
        </w:rPr>
        <w:t>Scarpignato</w:t>
      </w:r>
      <w:r>
        <w:rPr>
          <w:color w:val="231F20"/>
          <w:spacing w:val="-7"/>
          <w:sz w:val="18"/>
        </w:rPr>
        <w:t xml:space="preserve"> </w:t>
      </w:r>
      <w:r>
        <w:rPr>
          <w:color w:val="231F20"/>
          <w:sz w:val="18"/>
        </w:rPr>
        <w:t>C,</w:t>
      </w:r>
      <w:r>
        <w:rPr>
          <w:color w:val="231F20"/>
          <w:spacing w:val="-8"/>
          <w:sz w:val="18"/>
        </w:rPr>
        <w:t xml:space="preserve"> </w:t>
      </w:r>
      <w:r>
        <w:rPr>
          <w:color w:val="231F20"/>
          <w:sz w:val="18"/>
        </w:rPr>
        <w:t>Lanas</w:t>
      </w:r>
      <w:r>
        <w:rPr>
          <w:color w:val="231F20"/>
          <w:spacing w:val="-7"/>
          <w:sz w:val="18"/>
        </w:rPr>
        <w:t xml:space="preserve"> </w:t>
      </w:r>
      <w:r>
        <w:rPr>
          <w:color w:val="231F20"/>
          <w:sz w:val="18"/>
        </w:rPr>
        <w:t>A,</w:t>
      </w:r>
      <w:r>
        <w:rPr>
          <w:color w:val="231F20"/>
          <w:spacing w:val="-7"/>
          <w:sz w:val="18"/>
        </w:rPr>
        <w:t xml:space="preserve"> </w:t>
      </w:r>
      <w:r>
        <w:rPr>
          <w:color w:val="231F20"/>
          <w:sz w:val="18"/>
        </w:rPr>
        <w:t>Blandizzi</w:t>
      </w:r>
      <w:r>
        <w:rPr>
          <w:color w:val="231F20"/>
          <w:spacing w:val="-8"/>
          <w:sz w:val="18"/>
        </w:rPr>
        <w:t xml:space="preserve"> </w:t>
      </w:r>
      <w:r>
        <w:rPr>
          <w:color w:val="231F20"/>
          <w:sz w:val="18"/>
        </w:rPr>
        <w:t>C,</w:t>
      </w:r>
      <w:r>
        <w:rPr>
          <w:color w:val="231F20"/>
          <w:spacing w:val="-8"/>
          <w:sz w:val="18"/>
        </w:rPr>
        <w:t xml:space="preserve"> </w:t>
      </w:r>
      <w:r>
        <w:rPr>
          <w:color w:val="231F20"/>
          <w:sz w:val="18"/>
        </w:rPr>
        <w:t>et</w:t>
      </w:r>
      <w:r>
        <w:rPr>
          <w:color w:val="231F20"/>
          <w:spacing w:val="-7"/>
          <w:sz w:val="18"/>
        </w:rPr>
        <w:t xml:space="preserve"> </w:t>
      </w:r>
      <w:r>
        <w:rPr>
          <w:color w:val="231F20"/>
          <w:sz w:val="18"/>
        </w:rPr>
        <w:t>al.</w:t>
      </w:r>
      <w:r>
        <w:rPr>
          <w:color w:val="231F20"/>
          <w:spacing w:val="-8"/>
          <w:sz w:val="18"/>
        </w:rPr>
        <w:t xml:space="preserve"> </w:t>
      </w:r>
      <w:r>
        <w:rPr>
          <w:color w:val="231F20"/>
          <w:sz w:val="18"/>
        </w:rPr>
        <w:t>Safe</w:t>
      </w:r>
      <w:r>
        <w:rPr>
          <w:color w:val="231F20"/>
          <w:spacing w:val="-7"/>
          <w:sz w:val="18"/>
        </w:rPr>
        <w:t xml:space="preserve"> </w:t>
      </w:r>
      <w:r>
        <w:rPr>
          <w:color w:val="231F20"/>
          <w:sz w:val="18"/>
        </w:rPr>
        <w:t xml:space="preserve">pre- scribing of non-steroidal </w:t>
      </w:r>
      <w:r>
        <w:rPr>
          <w:color w:val="231F20"/>
          <w:sz w:val="18"/>
        </w:rPr>
        <w:t>anti-inflammatory drugs in patients with osteoarthritis—An expert consensus addressing benefits as well as gastrointestinal and cardiovascular risks. BMC Med</w:t>
      </w:r>
      <w:r>
        <w:rPr>
          <w:color w:val="231F20"/>
          <w:spacing w:val="-35"/>
          <w:sz w:val="18"/>
        </w:rPr>
        <w:t xml:space="preserve"> </w:t>
      </w:r>
      <w:r>
        <w:rPr>
          <w:color w:val="231F20"/>
          <w:sz w:val="18"/>
        </w:rPr>
        <w:t>2015;13:55.</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475" w:hanging="298"/>
        <w:jc w:val="both"/>
        <w:rPr>
          <w:sz w:val="18"/>
        </w:rPr>
      </w:pPr>
      <w:r>
        <w:rPr>
          <w:color w:val="231F20"/>
          <w:sz w:val="18"/>
        </w:rPr>
        <w:t>Simon LS. Non-steroidal anti-inflammatory drugs and</w:t>
      </w:r>
      <w:r>
        <w:rPr>
          <w:color w:val="231F20"/>
          <w:spacing w:val="-7"/>
          <w:sz w:val="18"/>
        </w:rPr>
        <w:t xml:space="preserve"> </w:t>
      </w:r>
      <w:r>
        <w:rPr>
          <w:color w:val="231F20"/>
          <w:sz w:val="18"/>
        </w:rPr>
        <w:t>their</w:t>
      </w:r>
      <w:r>
        <w:rPr>
          <w:color w:val="231F20"/>
          <w:spacing w:val="-7"/>
          <w:sz w:val="18"/>
        </w:rPr>
        <w:t xml:space="preserve"> </w:t>
      </w:r>
      <w:r>
        <w:rPr>
          <w:color w:val="231F20"/>
          <w:sz w:val="18"/>
        </w:rPr>
        <w:t>benefits</w:t>
      </w:r>
      <w:r>
        <w:rPr>
          <w:color w:val="231F20"/>
          <w:spacing w:val="-7"/>
          <w:sz w:val="18"/>
        </w:rPr>
        <w:t xml:space="preserve"> </w:t>
      </w:r>
      <w:r>
        <w:rPr>
          <w:color w:val="231F20"/>
          <w:sz w:val="18"/>
        </w:rPr>
        <w:t>and</w:t>
      </w:r>
      <w:r>
        <w:rPr>
          <w:color w:val="231F20"/>
          <w:spacing w:val="-8"/>
          <w:sz w:val="18"/>
        </w:rPr>
        <w:t xml:space="preserve"> </w:t>
      </w:r>
      <w:r>
        <w:rPr>
          <w:color w:val="231F20"/>
          <w:sz w:val="18"/>
        </w:rPr>
        <w:t>harms:</w:t>
      </w:r>
      <w:r>
        <w:rPr>
          <w:color w:val="231F20"/>
          <w:spacing w:val="-7"/>
          <w:sz w:val="18"/>
        </w:rPr>
        <w:t xml:space="preserve"> </w:t>
      </w:r>
      <w:r>
        <w:rPr>
          <w:color w:val="231F20"/>
          <w:sz w:val="18"/>
        </w:rPr>
        <w:t>The</w:t>
      </w:r>
      <w:r>
        <w:rPr>
          <w:color w:val="231F20"/>
          <w:spacing w:val="-7"/>
          <w:sz w:val="18"/>
        </w:rPr>
        <w:t xml:space="preserve"> </w:t>
      </w:r>
      <w:r>
        <w:rPr>
          <w:color w:val="231F20"/>
          <w:sz w:val="18"/>
        </w:rPr>
        <w:t>challenge</w:t>
      </w:r>
      <w:r>
        <w:rPr>
          <w:color w:val="231F20"/>
          <w:spacing w:val="-7"/>
          <w:sz w:val="18"/>
        </w:rPr>
        <w:t xml:space="preserve"> </w:t>
      </w:r>
      <w:r>
        <w:rPr>
          <w:color w:val="231F20"/>
          <w:sz w:val="18"/>
        </w:rPr>
        <w:t>of</w:t>
      </w:r>
      <w:r>
        <w:rPr>
          <w:color w:val="231F20"/>
          <w:spacing w:val="-7"/>
          <w:sz w:val="18"/>
        </w:rPr>
        <w:t xml:space="preserve"> </w:t>
      </w:r>
      <w:r>
        <w:rPr>
          <w:color w:val="231F20"/>
          <w:sz w:val="18"/>
        </w:rPr>
        <w:t>inter- preting meta-analyses and observational data sets when balanced data are not analyzed and reported. Arthritis</w:t>
      </w:r>
      <w:r>
        <w:rPr>
          <w:color w:val="231F20"/>
          <w:spacing w:val="-19"/>
          <w:sz w:val="18"/>
        </w:rPr>
        <w:t xml:space="preserve"> </w:t>
      </w:r>
      <w:r>
        <w:rPr>
          <w:color w:val="231F20"/>
          <w:sz w:val="18"/>
        </w:rPr>
        <w:t>Res</w:t>
      </w:r>
      <w:r>
        <w:rPr>
          <w:color w:val="231F20"/>
          <w:spacing w:val="-19"/>
          <w:sz w:val="18"/>
        </w:rPr>
        <w:t xml:space="preserve"> </w:t>
      </w:r>
      <w:r>
        <w:rPr>
          <w:color w:val="231F20"/>
          <w:sz w:val="18"/>
        </w:rPr>
        <w:t>Ther</w:t>
      </w:r>
      <w:r>
        <w:rPr>
          <w:color w:val="231F20"/>
          <w:spacing w:val="-20"/>
          <w:sz w:val="18"/>
        </w:rPr>
        <w:t xml:space="preserve"> </w:t>
      </w:r>
      <w:r>
        <w:rPr>
          <w:color w:val="231F20"/>
          <w:sz w:val="18"/>
        </w:rPr>
        <w:t>2015;</w:t>
      </w:r>
      <w:r>
        <w:rPr>
          <w:color w:val="231F20"/>
          <w:spacing w:val="-20"/>
          <w:sz w:val="18"/>
        </w:rPr>
        <w:t xml:space="preserve"> </w:t>
      </w:r>
      <w:r>
        <w:rPr>
          <w:color w:val="231F20"/>
          <w:sz w:val="18"/>
        </w:rPr>
        <w:t>17(1):130.</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474" w:hanging="298"/>
        <w:jc w:val="both"/>
        <w:rPr>
          <w:sz w:val="18"/>
        </w:rPr>
      </w:pPr>
      <w:r>
        <w:rPr>
          <w:color w:val="231F20"/>
          <w:sz w:val="18"/>
        </w:rPr>
        <w:t>US Food and Drug Administration. FDA Drug</w:t>
      </w:r>
      <w:r>
        <w:rPr>
          <w:color w:val="231F20"/>
          <w:spacing w:val="-31"/>
          <w:sz w:val="18"/>
        </w:rPr>
        <w:t xml:space="preserve"> </w:t>
      </w:r>
      <w:r>
        <w:rPr>
          <w:color w:val="231F20"/>
          <w:sz w:val="18"/>
        </w:rPr>
        <w:t>Safety Communication: FDA strengthens warning that</w:t>
      </w:r>
      <w:r>
        <w:rPr>
          <w:color w:val="231F20"/>
          <w:spacing w:val="-21"/>
          <w:sz w:val="18"/>
        </w:rPr>
        <w:t xml:space="preserve"> </w:t>
      </w:r>
      <w:r>
        <w:rPr>
          <w:color w:val="231F20"/>
          <w:sz w:val="18"/>
        </w:rPr>
        <w:t>non- a</w:t>
      </w:r>
      <w:r>
        <w:rPr>
          <w:color w:val="231F20"/>
          <w:sz w:val="18"/>
        </w:rPr>
        <w:t xml:space="preserve">spirin nonsteroidal anti-inflammatory drugs (NSAIDs) can cause heart attacks or strokes. 2015. Available at: </w:t>
      </w:r>
      <w:hyperlink r:id="rId48">
        <w:r>
          <w:rPr>
            <w:color w:val="231F20"/>
            <w:sz w:val="18"/>
          </w:rPr>
          <w:t>http://www.fda.gov/Drugs/DrugSafety/</w:t>
        </w:r>
      </w:hyperlink>
      <w:r>
        <w:rPr>
          <w:color w:val="231F20"/>
          <w:sz w:val="18"/>
        </w:rPr>
        <w:t xml:space="preserve"> </w:t>
      </w:r>
      <w:hyperlink r:id="rId49">
        <w:r>
          <w:rPr>
            <w:color w:val="231F20"/>
            <w:sz w:val="18"/>
          </w:rPr>
          <w:t>ucm451800.htm76</w:t>
        </w:r>
      </w:hyperlink>
      <w:r>
        <w:rPr>
          <w:color w:val="231F20"/>
          <w:spacing w:val="-15"/>
          <w:sz w:val="18"/>
        </w:rPr>
        <w:t xml:space="preserve"> </w:t>
      </w:r>
      <w:r>
        <w:rPr>
          <w:color w:val="231F20"/>
          <w:sz w:val="18"/>
        </w:rPr>
        <w:t>(accessed</w:t>
      </w:r>
      <w:r>
        <w:rPr>
          <w:color w:val="231F20"/>
          <w:spacing w:val="-14"/>
          <w:sz w:val="18"/>
        </w:rPr>
        <w:t xml:space="preserve"> </w:t>
      </w:r>
      <w:r>
        <w:rPr>
          <w:color w:val="231F20"/>
          <w:sz w:val="18"/>
        </w:rPr>
        <w:t>June</w:t>
      </w:r>
      <w:r>
        <w:rPr>
          <w:color w:val="231F20"/>
          <w:spacing w:val="-14"/>
          <w:sz w:val="18"/>
        </w:rPr>
        <w:t xml:space="preserve"> </w:t>
      </w:r>
      <w:r>
        <w:rPr>
          <w:color w:val="231F20"/>
          <w:sz w:val="18"/>
        </w:rPr>
        <w:t>2016).</w:t>
      </w:r>
    </w:p>
    <w:p w:rsidR="002E4A25" w:rsidRDefault="002E4A25">
      <w:pPr>
        <w:pStyle w:val="BodyText"/>
        <w:spacing w:before="2"/>
        <w:rPr>
          <w:sz w:val="17"/>
        </w:rPr>
      </w:pPr>
    </w:p>
    <w:p w:rsidR="002E4A25" w:rsidRDefault="00D74ED8">
      <w:pPr>
        <w:pStyle w:val="ListParagraph"/>
        <w:numPr>
          <w:ilvl w:val="1"/>
          <w:numId w:val="1"/>
        </w:numPr>
        <w:tabs>
          <w:tab w:val="left" w:pos="418"/>
        </w:tabs>
        <w:spacing w:line="256" w:lineRule="auto"/>
        <w:ind w:right="475" w:hanging="298"/>
        <w:jc w:val="both"/>
        <w:rPr>
          <w:sz w:val="18"/>
        </w:rPr>
      </w:pPr>
      <w:r>
        <w:rPr>
          <w:color w:val="231F20"/>
          <w:sz w:val="18"/>
        </w:rPr>
        <w:t>The National Institutes of Health. The Interagency Pain Research Coordinating Committee.</w:t>
      </w:r>
      <w:r>
        <w:rPr>
          <w:color w:val="231F20"/>
          <w:spacing w:val="-31"/>
          <w:sz w:val="18"/>
        </w:rPr>
        <w:t xml:space="preserve"> </w:t>
      </w:r>
      <w:hyperlink r:id="rId50">
        <w:r>
          <w:rPr>
            <w:color w:val="231F20"/>
            <w:sz w:val="18"/>
          </w:rPr>
          <w:t>http://iprcc.</w:t>
        </w:r>
      </w:hyperlink>
      <w:r>
        <w:rPr>
          <w:color w:val="231F20"/>
          <w:sz w:val="18"/>
        </w:rPr>
        <w:t xml:space="preserve"> </w:t>
      </w:r>
      <w:hyperlink r:id="rId51">
        <w:r>
          <w:rPr>
            <w:color w:val="231F20"/>
            <w:w w:val="95"/>
            <w:sz w:val="18"/>
          </w:rPr>
          <w:t>nih.gov/National_Pain_Strategy/NPS_Main.htm</w:t>
        </w:r>
      </w:hyperlink>
      <w:r>
        <w:rPr>
          <w:color w:val="231F20"/>
          <w:w w:val="95"/>
          <w:sz w:val="18"/>
        </w:rPr>
        <w:t xml:space="preserve"> (ac- </w:t>
      </w:r>
      <w:r>
        <w:rPr>
          <w:color w:val="231F20"/>
          <w:sz w:val="18"/>
        </w:rPr>
        <w:t>cessed March</w:t>
      </w:r>
      <w:r>
        <w:rPr>
          <w:color w:val="231F20"/>
          <w:spacing w:val="-23"/>
          <w:sz w:val="18"/>
        </w:rPr>
        <w:t xml:space="preserve"> </w:t>
      </w:r>
      <w:r>
        <w:rPr>
          <w:color w:val="231F20"/>
          <w:sz w:val="18"/>
        </w:rPr>
        <w:t>2016).</w:t>
      </w:r>
      <w:bookmarkEnd w:id="67"/>
    </w:p>
    <w:sectPr w:rsidR="002E4A25">
      <w:type w:val="continuous"/>
      <w:pgSz w:w="11880" w:h="15660"/>
      <w:pgMar w:top="320" w:right="1000" w:bottom="280" w:left="1080" w:header="720" w:footer="720" w:gutter="0"/>
      <w:cols w:num="2" w:space="720" w:equalWidth="0">
        <w:col w:w="4545" w:space="235"/>
        <w:col w:w="50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74ED8">
      <w:r>
        <w:separator/>
      </w:r>
    </w:p>
  </w:endnote>
  <w:endnote w:type="continuationSeparator" w:id="0">
    <w:p w:rsidR="00000000" w:rsidRDefault="00D74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25" w:rsidRDefault="00D74ED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8pt;margin-top:737.45pt;width:23.9pt;height:11.05pt;z-index:-25864;mso-position-horizontal-relative:page;mso-position-vertical-relative:page" filled="f" stroked="f">
          <v:textbox inset="0,0,0,0">
            <w:txbxContent>
              <w:p w:rsidR="002E4A25" w:rsidRDefault="00D74ED8">
                <w:pPr>
                  <w:pStyle w:val="BodyText"/>
                  <w:spacing w:line="198" w:lineRule="exact"/>
                  <w:ind w:left="40"/>
                </w:pPr>
                <w:r>
                  <w:fldChar w:fldCharType="begin"/>
                </w:r>
                <w:r>
                  <w:rPr>
                    <w:color w:val="231F20"/>
                  </w:rPr>
                  <w:instrText xml:space="preserve"> PAGE </w:instrText>
                </w:r>
                <w:r>
                  <w:fldChar w:fldCharType="separate"/>
                </w:r>
                <w:r>
                  <w:rPr>
                    <w:noProof/>
                    <w:color w:val="231F20"/>
                  </w:rPr>
                  <w:t>2046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25" w:rsidRDefault="00D74ED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2.15pt;margin-top:737.45pt;width:23.9pt;height:11.1pt;z-index:-25888;mso-position-horizontal-relative:page;mso-position-vertical-relative:page" filled="f" stroked="f">
          <v:textbox inset="0,0,0,0">
            <w:txbxContent>
              <w:p w:rsidR="002E4A25" w:rsidRDefault="00D74ED8">
                <w:pPr>
                  <w:pStyle w:val="BodyText"/>
                  <w:spacing w:line="198" w:lineRule="exact"/>
                  <w:ind w:left="40"/>
                </w:pPr>
                <w:r>
                  <w:fldChar w:fldCharType="begin"/>
                </w:r>
                <w:r>
                  <w:rPr>
                    <w:color w:val="231F20"/>
                  </w:rPr>
                  <w:instrText xml:space="preserve"> PAGE </w:instrText>
                </w:r>
                <w:r>
                  <w:fldChar w:fldCharType="separate"/>
                </w:r>
                <w:r>
                  <w:rPr>
                    <w:noProof/>
                    <w:color w:val="231F20"/>
                  </w:rPr>
                  <w:t>2045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74ED8">
      <w:r>
        <w:separator/>
      </w:r>
    </w:p>
  </w:footnote>
  <w:footnote w:type="continuationSeparator" w:id="0">
    <w:p w:rsidR="00000000" w:rsidRDefault="00D74E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25" w:rsidRDefault="00D74ED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9pt;margin-top:53.25pt;width:51.95pt;height:11.1pt;z-index:-25912;mso-position-horizontal-relative:page;mso-position-vertical-relative:page" filled="f" stroked="f">
          <v:textbox inset="0,0,0,0">
            <w:txbxContent>
              <w:p w:rsidR="002E4A25" w:rsidRDefault="00D74ED8">
                <w:pPr>
                  <w:spacing w:line="202" w:lineRule="exact"/>
                  <w:ind w:left="20"/>
                  <w:rPr>
                    <w:rFonts w:ascii="Lucida Sans"/>
                    <w:i/>
                    <w:sz w:val="18"/>
                  </w:rPr>
                </w:pPr>
                <w:r>
                  <w:rPr>
                    <w:rFonts w:ascii="Lucida Sans"/>
                    <w:i/>
                    <w:color w:val="231F20"/>
                    <w:spacing w:val="-3"/>
                    <w:sz w:val="18"/>
                  </w:rPr>
                  <w:t xml:space="preserve">Tayeb </w:t>
                </w:r>
                <w:r>
                  <w:rPr>
                    <w:rFonts w:ascii="Lucida Sans"/>
                    <w:i/>
                    <w:color w:val="231F20"/>
                    <w:sz w:val="18"/>
                  </w:rPr>
                  <w:t>et al.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25" w:rsidRDefault="00D74ED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51.1pt;margin-top:53.25pt;width:183.9pt;height:11.1pt;z-index:-25936;mso-position-horizontal-relative:page;mso-position-vertical-relative:page" filled="f" stroked="f">
          <v:textbox inset="0,0,0,0">
            <w:txbxContent>
              <w:p w:rsidR="002E4A25" w:rsidRDefault="00D74ED8">
                <w:pPr>
                  <w:spacing w:line="202" w:lineRule="exact"/>
                  <w:ind w:left="20"/>
                  <w:rPr>
                    <w:rFonts w:ascii="Lucida Sans"/>
                    <w:i/>
                    <w:sz w:val="18"/>
                  </w:rPr>
                </w:pPr>
                <w:r>
                  <w:rPr>
                    <w:rFonts w:ascii="Lucida Sans"/>
                    <w:i/>
                    <w:color w:val="231F20"/>
                    <w:sz w:val="18"/>
                  </w:rPr>
                  <w:t>Analgesic</w:t>
                </w:r>
                <w:r>
                  <w:rPr>
                    <w:rFonts w:ascii="Lucida Sans"/>
                    <w:i/>
                    <w:color w:val="231F20"/>
                    <w:spacing w:val="-11"/>
                    <w:sz w:val="18"/>
                  </w:rPr>
                  <w:t xml:space="preserve"> </w:t>
                </w:r>
                <w:r>
                  <w:rPr>
                    <w:rFonts w:ascii="Lucida Sans"/>
                    <w:i/>
                    <w:color w:val="231F20"/>
                    <w:spacing w:val="-3"/>
                    <w:sz w:val="18"/>
                  </w:rPr>
                  <w:t>Trial</w:t>
                </w:r>
                <w:r>
                  <w:rPr>
                    <w:rFonts w:ascii="Lucida Sans"/>
                    <w:i/>
                    <w:color w:val="231F20"/>
                    <w:spacing w:val="-11"/>
                    <w:sz w:val="18"/>
                  </w:rPr>
                  <w:t xml:space="preserve"> </w:t>
                </w:r>
                <w:r>
                  <w:rPr>
                    <w:rFonts w:ascii="Lucida Sans"/>
                    <w:i/>
                    <w:color w:val="231F20"/>
                    <w:sz w:val="18"/>
                  </w:rPr>
                  <w:t>Durations</w:t>
                </w:r>
                <w:r>
                  <w:rPr>
                    <w:rFonts w:ascii="Lucida Sans"/>
                    <w:i/>
                    <w:color w:val="231F20"/>
                    <w:spacing w:val="-11"/>
                    <w:sz w:val="18"/>
                  </w:rPr>
                  <w:t xml:space="preserve"> </w:t>
                </w:r>
                <w:r>
                  <w:rPr>
                    <w:rFonts w:ascii="Lucida Sans"/>
                    <w:i/>
                    <w:color w:val="231F20"/>
                    <w:sz w:val="18"/>
                  </w:rPr>
                  <w:t>for</w:t>
                </w:r>
                <w:r>
                  <w:rPr>
                    <w:rFonts w:ascii="Lucida Sans"/>
                    <w:i/>
                    <w:color w:val="231F20"/>
                    <w:spacing w:val="-11"/>
                    <w:sz w:val="18"/>
                  </w:rPr>
                  <w:t xml:space="preserve"> </w:t>
                </w:r>
                <w:r>
                  <w:rPr>
                    <w:rFonts w:ascii="Lucida Sans"/>
                    <w:i/>
                    <w:color w:val="231F20"/>
                    <w:sz w:val="18"/>
                  </w:rPr>
                  <w:t>Chronic</w:t>
                </w:r>
                <w:r>
                  <w:rPr>
                    <w:rFonts w:ascii="Lucida Sans"/>
                    <w:i/>
                    <w:color w:val="231F20"/>
                    <w:spacing w:val="-11"/>
                    <w:sz w:val="18"/>
                  </w:rPr>
                  <w:t xml:space="preserve"> </w:t>
                </w:r>
                <w:r>
                  <w:rPr>
                    <w:rFonts w:ascii="Lucida Sans"/>
                    <w:i/>
                    <w:color w:val="231F20"/>
                    <w:sz w:val="18"/>
                  </w:rPr>
                  <w:t>Pain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3718B"/>
    <w:multiLevelType w:val="hybridMultilevel"/>
    <w:tmpl w:val="8048BA66"/>
    <w:lvl w:ilvl="0" w:tplc="4F1C370C">
      <w:start w:val="7"/>
      <w:numFmt w:val="decimal"/>
      <w:lvlText w:val="[%1]"/>
      <w:lvlJc w:val="left"/>
      <w:pPr>
        <w:ind w:left="119" w:hanging="278"/>
        <w:jc w:val="left"/>
      </w:pPr>
      <w:rPr>
        <w:rFonts w:ascii="Arial" w:eastAsia="Arial" w:hAnsi="Arial" w:cs="Arial" w:hint="default"/>
        <w:color w:val="231F20"/>
        <w:w w:val="86"/>
        <w:sz w:val="18"/>
        <w:szCs w:val="18"/>
      </w:rPr>
    </w:lvl>
    <w:lvl w:ilvl="1" w:tplc="2188C574">
      <w:start w:val="1"/>
      <w:numFmt w:val="decimal"/>
      <w:lvlText w:val="%2"/>
      <w:lvlJc w:val="left"/>
      <w:pPr>
        <w:ind w:left="417" w:hanging="199"/>
        <w:jc w:val="right"/>
      </w:pPr>
      <w:rPr>
        <w:rFonts w:ascii="Arial" w:eastAsia="Arial" w:hAnsi="Arial" w:cs="Arial" w:hint="default"/>
        <w:color w:val="231F20"/>
        <w:w w:val="99"/>
        <w:sz w:val="18"/>
        <w:szCs w:val="18"/>
      </w:rPr>
    </w:lvl>
    <w:lvl w:ilvl="2" w:tplc="7360B32C">
      <w:numFmt w:val="bullet"/>
      <w:lvlText w:val="•"/>
      <w:lvlJc w:val="left"/>
      <w:pPr>
        <w:ind w:left="346" w:hanging="199"/>
      </w:pPr>
      <w:rPr>
        <w:rFonts w:hint="default"/>
      </w:rPr>
    </w:lvl>
    <w:lvl w:ilvl="3" w:tplc="19E237DC">
      <w:numFmt w:val="bullet"/>
      <w:lvlText w:val="•"/>
      <w:lvlJc w:val="left"/>
      <w:pPr>
        <w:ind w:left="273" w:hanging="199"/>
      </w:pPr>
      <w:rPr>
        <w:rFonts w:hint="default"/>
      </w:rPr>
    </w:lvl>
    <w:lvl w:ilvl="4" w:tplc="7910D1BE">
      <w:numFmt w:val="bullet"/>
      <w:lvlText w:val="•"/>
      <w:lvlJc w:val="left"/>
      <w:pPr>
        <w:ind w:left="200" w:hanging="199"/>
      </w:pPr>
      <w:rPr>
        <w:rFonts w:hint="default"/>
      </w:rPr>
    </w:lvl>
    <w:lvl w:ilvl="5" w:tplc="E592B3A6">
      <w:numFmt w:val="bullet"/>
      <w:lvlText w:val="•"/>
      <w:lvlJc w:val="left"/>
      <w:pPr>
        <w:ind w:left="126" w:hanging="199"/>
      </w:pPr>
      <w:rPr>
        <w:rFonts w:hint="default"/>
      </w:rPr>
    </w:lvl>
    <w:lvl w:ilvl="6" w:tplc="8F82FA9C">
      <w:numFmt w:val="bullet"/>
      <w:lvlText w:val="•"/>
      <w:lvlJc w:val="left"/>
      <w:pPr>
        <w:ind w:left="53" w:hanging="199"/>
      </w:pPr>
      <w:rPr>
        <w:rFonts w:hint="default"/>
      </w:rPr>
    </w:lvl>
    <w:lvl w:ilvl="7" w:tplc="DCA0A1A8">
      <w:numFmt w:val="bullet"/>
      <w:lvlText w:val="•"/>
      <w:lvlJc w:val="left"/>
      <w:pPr>
        <w:ind w:left="-20" w:hanging="199"/>
      </w:pPr>
      <w:rPr>
        <w:rFonts w:hint="default"/>
      </w:rPr>
    </w:lvl>
    <w:lvl w:ilvl="8" w:tplc="591CFFD4">
      <w:numFmt w:val="bullet"/>
      <w:lvlText w:val="•"/>
      <w:lvlJc w:val="left"/>
      <w:pPr>
        <w:ind w:left="-94" w:hanging="19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E4A25"/>
    <w:rsid w:val="002E4A25"/>
    <w:rsid w:val="00D7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0FD5DA7A-F5EC-40B4-817E-129D09F7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3"/>
      <w:ind w:left="119"/>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417" w:hanging="298"/>
      <w:jc w:val="both"/>
    </w:pPr>
  </w:style>
  <w:style w:type="paragraph" w:customStyle="1" w:styleId="TableParagraph">
    <w:name w:val="Table Paragraph"/>
    <w:basedOn w:val="Normal"/>
    <w:uiPriority w:val="1"/>
    <w:qFormat/>
    <w:pPr>
      <w:spacing w:line="193" w:lineRule="exact"/>
      <w:ind w:left="10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yperlink" Target="http://painmedicine.oxfordjournals.org/" TargetMode="External"/><Relationship Id="rId39" Type="http://schemas.openxmlformats.org/officeDocument/2006/relationships/hyperlink" Target="http://www.stata.com/support/faqs/statistics/overdispersion-and-excess-zeros/"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painmedicine.oxfordjournals.org/" TargetMode="External"/><Relationship Id="rId42" Type="http://schemas.openxmlformats.org/officeDocument/2006/relationships/hyperlink" Target="http://www.fda.gov/downloads/Drugs/GuidanceComplianceRegulatoryInformation/Guidances/UCM384691.pdf" TargetMode="External"/><Relationship Id="rId47" Type="http://schemas.openxmlformats.org/officeDocument/2006/relationships/hyperlink" Target="http://www.ich.org/fileadmin/Public_Web_Site/ICH_Products/Guidelines/Efficacy/E1/Step4/E1_Guideline.pdf" TargetMode="External"/><Relationship Id="rId50" Type="http://schemas.openxmlformats.org/officeDocument/2006/relationships/hyperlink" Target="http://iprcc.nih.gov/National_Pain_Strategy/NPS_Main.htm" TargetMode="External"/><Relationship Id="rId7" Type="http://schemas.openxmlformats.org/officeDocument/2006/relationships/hyperlink" Target="mailto:daniel.carr@tufts.edu" TargetMode="External"/><Relationship Id="rId12" Type="http://schemas.openxmlformats.org/officeDocument/2006/relationships/footer" Target="footer1.xml"/><Relationship Id="rId17" Type="http://schemas.openxmlformats.org/officeDocument/2006/relationships/hyperlink" Target="http://painmedicine.oxfordjournals.org/" TargetMode="External"/><Relationship Id="rId25" Type="http://schemas.openxmlformats.org/officeDocument/2006/relationships/hyperlink" Target="http://painmedicine.oxfordjournals.org/" TargetMode="External"/><Relationship Id="rId33" Type="http://schemas.openxmlformats.org/officeDocument/2006/relationships/hyperlink" Target="http://www.cochranelibrary.com/cochrane-database-of-systematic-reviews/index.html" TargetMode="External"/><Relationship Id="rId38" Type="http://schemas.openxmlformats.org/officeDocument/2006/relationships/hyperlink" Target="http://www.stata.com/support/faqs/statistics/overdispersion-and-excess-zeros/" TargetMode="External"/><Relationship Id="rId46" Type="http://schemas.openxmlformats.org/officeDocument/2006/relationships/hyperlink" Target="http://www.ich.org/fileadmin/Public_Web_Site/ICH_Products/Guidelines/Efficacy/E1/Step4/E1_Guideline.pdf" TargetMode="External"/><Relationship Id="rId2" Type="http://schemas.openxmlformats.org/officeDocument/2006/relationships/styles" Target="styles.xml"/><Relationship Id="rId16" Type="http://schemas.openxmlformats.org/officeDocument/2006/relationships/hyperlink" Target="http://painmedicine.oxfordjournals.org/" TargetMode="External"/><Relationship Id="rId20" Type="http://schemas.openxmlformats.org/officeDocument/2006/relationships/image" Target="media/image3.png"/><Relationship Id="rId29" Type="http://schemas.openxmlformats.org/officeDocument/2006/relationships/hyperlink" Target="http://www.effectivehealthcare.ahrq.gov/reports/final.cfm" TargetMode="External"/><Relationship Id="rId41" Type="http://schemas.openxmlformats.org/officeDocument/2006/relationships/hyperlink" Target="http://www.fda.gov/downloads/Drugs/GuidanceComplianceRegulatoryInformation/Guidances/UCM38469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www.cochranelibrary.com/cochrane-database-of-systematic-reviews/index.html" TargetMode="External"/><Relationship Id="rId37" Type="http://schemas.openxmlformats.org/officeDocument/2006/relationships/hyperlink" Target="http://www.stata.com/support/faqs/statistics/overdispersion-and-excess-zeros/" TargetMode="External"/><Relationship Id="rId40" Type="http://schemas.openxmlformats.org/officeDocument/2006/relationships/hyperlink" Target="http://www.fda.gov/downloads/Drugs/GuidanceComplianceRegulatoryInformation/Guidances/UCM384691.pdf" TargetMode="External"/><Relationship Id="rId45" Type="http://schemas.openxmlformats.org/officeDocument/2006/relationships/hyperlink" Target="http://www.ich.org/fileadmin/Public_Web_Site/ICH_Products/Guidelines/Efficacy/E1/Step4/E1_Guideline.pdf"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ainmedicine.oxfordjournals.org/" TargetMode="External"/><Relationship Id="rId23" Type="http://schemas.openxmlformats.org/officeDocument/2006/relationships/hyperlink" Target="http://painmedicine.oxfordjournals.org/" TargetMode="External"/><Relationship Id="rId28" Type="http://schemas.openxmlformats.org/officeDocument/2006/relationships/hyperlink" Target="http://painmedicine.oxfordjournals.org/" TargetMode="External"/><Relationship Id="rId36" Type="http://schemas.openxmlformats.org/officeDocument/2006/relationships/hyperlink" Target="http://www/" TargetMode="External"/><Relationship Id="rId49" Type="http://schemas.openxmlformats.org/officeDocument/2006/relationships/hyperlink" Target="http://www.fda.gov/Drugs/DrugSafety/ucm451800.htm76"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yperlink" Target="http://painmedicine.oxfordjournals.org/" TargetMode="External"/><Relationship Id="rId44" Type="http://schemas.openxmlformats.org/officeDocument/2006/relationships/hyperlink" Target="http://www.ema.europa.eu/docs/en_GB/document_library/Scientific_guideline/2015/12/WC500199242.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urnals.permissions@oup.com" TargetMode="External"/><Relationship Id="rId14" Type="http://schemas.openxmlformats.org/officeDocument/2006/relationships/hyperlink" Target="http://painmedicine.oxfordjournals.org/" TargetMode="External"/><Relationship Id="rId22" Type="http://schemas.openxmlformats.org/officeDocument/2006/relationships/image" Target="media/image5.png"/><Relationship Id="rId27" Type="http://schemas.openxmlformats.org/officeDocument/2006/relationships/hyperlink" Target="http://painmedicine.oxfordjournals.org/" TargetMode="External"/><Relationship Id="rId30" Type="http://schemas.openxmlformats.org/officeDocument/2006/relationships/hyperlink" Target="http://www.effectivehealthcare.ahrq.gov/reports/final.cfm" TargetMode="External"/><Relationship Id="rId35" Type="http://schemas.openxmlformats.org/officeDocument/2006/relationships/hyperlink" Target="http://painmedicine.oxfordjournals.org/" TargetMode="External"/><Relationship Id="rId43" Type="http://schemas.openxmlformats.org/officeDocument/2006/relationships/hyperlink" Target="http://www.ema.europa.eu/docs/en_GB/document_library/Scientific_guideline/2015/12/WC500199242.pdf" TargetMode="External"/><Relationship Id="rId48" Type="http://schemas.openxmlformats.org/officeDocument/2006/relationships/hyperlink" Target="http://www.fda.gov/Drugs/DrugSafety/ucm451800.htm76" TargetMode="External"/><Relationship Id="rId8" Type="http://schemas.openxmlformats.org/officeDocument/2006/relationships/hyperlink" Target="http://painmedicine.oxfordjournals.org/" TargetMode="External"/><Relationship Id="rId51" Type="http://schemas.openxmlformats.org/officeDocument/2006/relationships/hyperlink" Target="http://iprcc.nih.gov/National_Pain_Strategy/NPS_M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7722</Words>
  <Characters>43865</Characters>
  <Application>Microsoft Office Word</Application>
  <DocSecurity>0</DocSecurity>
  <Lines>1462</Lines>
  <Paragraphs>332</Paragraphs>
  <ScaleCrop>false</ScaleCrop>
  <Company>CMS</Company>
  <LinksUpToDate>false</LinksUpToDate>
  <CharactersWithSpaces>51255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OP-PAIN160262 2036..2046</dc:title>
  <cp:lastModifiedBy>Arthur Pignotti</cp:lastModifiedBy>
  <cp:revision>2</cp:revision>
  <dcterms:created xsi:type="dcterms:W3CDTF">2018-07-23T15:59:00Z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2016-11-04T00:00:00Z</vt:filetime>
  </property>
  <property fmtid="{D5CDD505-2E9C-101B-9397-08002B2CF9AE}" pid="3" name="Creator">
    <vt:lpwstr>Arbortext Advanced Print Publisher 9.0.114/W</vt:lpwstr>
  </property>
  <property fmtid="{D5CDD505-2E9C-101B-9397-08002B2CF9AE}" pid="4" name="LastSaved">
    <vt:filetime>2018-07-23T00:00:00Z</vt:filetime>
  </property>
</Properties>
</file>