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2648" w:right="0" w:firstLine="0"/>
        <w:jc w:val="left"/>
        <w:rPr>
          <w:rFonts w:ascii="Arial Black"/>
          <w:sz w:val="28"/>
        </w:rPr>
      </w:pPr>
      <w:r>
        <w:rPr>
          <w:rFonts w:ascii="Arial Black"/>
          <w:sz w:val="28"/>
        </w:rPr>
        <w:t>DECLARATION OF MONTREAL</w:t>
      </w:r>
    </w:p>
    <w:p>
      <w:pPr>
        <w:pStyle w:val="Heading1"/>
        <w:spacing w:before="117"/>
        <w:ind w:left="966"/>
      </w:pPr>
      <w:r>
        <w:rPr/>
        <w:t>Declaration that Access to Pain Management Is a Fundamental Human Right</w:t>
      </w:r>
    </w:p>
    <w:p>
      <w:pPr>
        <w:pStyle w:val="BodyText"/>
        <w:spacing w:before="2"/>
        <w:ind w:left="0"/>
        <w:rPr>
          <w:b/>
          <w:sz w:val="21"/>
        </w:rPr>
      </w:pPr>
    </w:p>
    <w:p>
      <w:pPr>
        <w:spacing w:before="0"/>
        <w:ind w:left="136" w:right="164" w:firstLine="0"/>
        <w:jc w:val="left"/>
        <w:rPr>
          <w:i/>
          <w:sz w:val="22"/>
        </w:rPr>
      </w:pPr>
      <w:r>
        <w:rPr>
          <w:i/>
          <w:sz w:val="22"/>
        </w:rPr>
        <w:t>We, as delegates to the International Pain Summit (IPS) of the International Association for the </w:t>
      </w:r>
      <w:r>
        <w:rPr>
          <w:i/>
          <w:sz w:val="22"/>
        </w:rPr>
        <w:t>Study of Pain (IASP) (comprising IASP representatives from Chapters in 64 countries plus members in 129 countries, as well as members of the community), have given in-depth attention to the unrelieved pain in the world,</w:t>
      </w:r>
    </w:p>
    <w:p>
      <w:pPr>
        <w:pStyle w:val="BodyText"/>
        <w:spacing w:before="6"/>
        <w:ind w:left="0"/>
        <w:rPr>
          <w:i/>
          <w:sz w:val="20"/>
        </w:rPr>
      </w:pPr>
    </w:p>
    <w:p>
      <w:pPr>
        <w:pStyle w:val="Heading1"/>
        <w:ind w:left="136"/>
      </w:pPr>
      <w:r>
        <w:rPr/>
        <w:t>Finding that pain management is inadequate in most of the world because:</w:t>
      </w:r>
    </w:p>
    <w:p>
      <w:pPr>
        <w:pStyle w:val="ListParagraph"/>
        <w:numPr>
          <w:ilvl w:val="0"/>
          <w:numId w:val="1"/>
        </w:numPr>
        <w:tabs>
          <w:tab w:pos="855" w:val="left" w:leader="none"/>
          <w:tab w:pos="856" w:val="left" w:leader="none"/>
        </w:tabs>
        <w:spacing w:line="237" w:lineRule="auto" w:before="126" w:after="0"/>
        <w:ind w:left="856" w:right="194" w:hanging="360"/>
        <w:jc w:val="left"/>
        <w:rPr>
          <w:sz w:val="20"/>
        </w:rPr>
      </w:pPr>
      <w:r>
        <w:rPr>
          <w:sz w:val="20"/>
        </w:rPr>
        <w:t>There is inadequate access to treatment for acute pain caused by trauma, disease, and terminal illness and failure to recognize that chronic pain is a serious chronic health problem requiring</w:t>
      </w:r>
      <w:r>
        <w:rPr>
          <w:spacing w:val="-38"/>
          <w:sz w:val="20"/>
        </w:rPr>
        <w:t> </w:t>
      </w:r>
      <w:r>
        <w:rPr>
          <w:sz w:val="20"/>
        </w:rPr>
        <w:t>access to</w:t>
      </w:r>
      <w:r>
        <w:rPr>
          <w:spacing w:val="-5"/>
          <w:sz w:val="20"/>
        </w:rPr>
        <w:t> </w:t>
      </w:r>
      <w:r>
        <w:rPr>
          <w:sz w:val="20"/>
        </w:rPr>
        <w:t>management</w:t>
      </w:r>
      <w:r>
        <w:rPr>
          <w:spacing w:val="-5"/>
          <w:sz w:val="20"/>
        </w:rPr>
        <w:t> </w:t>
      </w:r>
      <w:r>
        <w:rPr>
          <w:sz w:val="20"/>
        </w:rPr>
        <w:t>akin</w:t>
      </w:r>
      <w:r>
        <w:rPr>
          <w:spacing w:val="-5"/>
          <w:sz w:val="20"/>
        </w:rPr>
        <w:t> </w:t>
      </w:r>
      <w:r>
        <w:rPr>
          <w:sz w:val="20"/>
        </w:rPr>
        <w:t>to</w:t>
      </w:r>
      <w:r>
        <w:rPr>
          <w:spacing w:val="-5"/>
          <w:sz w:val="20"/>
        </w:rPr>
        <w:t> </w:t>
      </w:r>
      <w:r>
        <w:rPr>
          <w:sz w:val="20"/>
        </w:rPr>
        <w:t>other</w:t>
      </w:r>
      <w:r>
        <w:rPr>
          <w:spacing w:val="-4"/>
          <w:sz w:val="20"/>
        </w:rPr>
        <w:t> </w:t>
      </w:r>
      <w:r>
        <w:rPr>
          <w:sz w:val="20"/>
        </w:rPr>
        <w:t>chronic</w:t>
      </w:r>
      <w:r>
        <w:rPr>
          <w:spacing w:val="-3"/>
          <w:sz w:val="20"/>
        </w:rPr>
        <w:t> </w:t>
      </w:r>
      <w:r>
        <w:rPr>
          <w:sz w:val="20"/>
        </w:rPr>
        <w:t>diseases</w:t>
      </w:r>
      <w:r>
        <w:rPr>
          <w:spacing w:val="-3"/>
          <w:sz w:val="20"/>
        </w:rPr>
        <w:t> </w:t>
      </w:r>
      <w:r>
        <w:rPr>
          <w:sz w:val="20"/>
        </w:rPr>
        <w:t>such</w:t>
      </w:r>
      <w:r>
        <w:rPr>
          <w:spacing w:val="-3"/>
          <w:sz w:val="20"/>
        </w:rPr>
        <w:t> </w:t>
      </w:r>
      <w:r>
        <w:rPr>
          <w:sz w:val="20"/>
        </w:rPr>
        <w:t>as</w:t>
      </w:r>
      <w:r>
        <w:rPr>
          <w:spacing w:val="-3"/>
          <w:sz w:val="20"/>
        </w:rPr>
        <w:t> </w:t>
      </w:r>
      <w:r>
        <w:rPr>
          <w:sz w:val="20"/>
        </w:rPr>
        <w:t>diabetes</w:t>
      </w:r>
      <w:r>
        <w:rPr>
          <w:spacing w:val="-3"/>
          <w:sz w:val="20"/>
        </w:rPr>
        <w:t> </w:t>
      </w:r>
      <w:r>
        <w:rPr>
          <w:sz w:val="20"/>
        </w:rPr>
        <w:t>or</w:t>
      </w:r>
      <w:r>
        <w:rPr>
          <w:spacing w:val="-4"/>
          <w:sz w:val="20"/>
        </w:rPr>
        <w:t> </w:t>
      </w:r>
      <w:r>
        <w:rPr>
          <w:sz w:val="20"/>
        </w:rPr>
        <w:t>chronic</w:t>
      </w:r>
      <w:r>
        <w:rPr>
          <w:spacing w:val="-3"/>
          <w:sz w:val="20"/>
        </w:rPr>
        <w:t> </w:t>
      </w:r>
      <w:r>
        <w:rPr>
          <w:sz w:val="20"/>
        </w:rPr>
        <w:t>heart</w:t>
      </w:r>
      <w:r>
        <w:rPr>
          <w:spacing w:val="-3"/>
          <w:sz w:val="20"/>
        </w:rPr>
        <w:t> </w:t>
      </w:r>
      <w:r>
        <w:rPr>
          <w:sz w:val="20"/>
        </w:rPr>
        <w:t>disease.</w:t>
      </w:r>
    </w:p>
    <w:p>
      <w:pPr>
        <w:pStyle w:val="ListParagraph"/>
        <w:numPr>
          <w:ilvl w:val="0"/>
          <w:numId w:val="1"/>
        </w:numPr>
        <w:tabs>
          <w:tab w:pos="855" w:val="left" w:leader="none"/>
          <w:tab w:pos="856" w:val="left" w:leader="none"/>
        </w:tabs>
        <w:spacing w:line="228" w:lineRule="exact" w:before="140" w:after="0"/>
        <w:ind w:left="856" w:right="433" w:hanging="360"/>
        <w:jc w:val="left"/>
        <w:rPr>
          <w:sz w:val="20"/>
        </w:rPr>
      </w:pPr>
      <w:r>
        <w:rPr>
          <w:sz w:val="20"/>
        </w:rPr>
        <w:t>There are major deficits in knowledge of health care professionals regarding the mechanisms and management of</w:t>
      </w:r>
      <w:r>
        <w:rPr>
          <w:spacing w:val="-15"/>
          <w:sz w:val="20"/>
        </w:rPr>
        <w:t> </w:t>
      </w:r>
      <w:r>
        <w:rPr>
          <w:sz w:val="20"/>
        </w:rPr>
        <w:t>pain.</w:t>
      </w:r>
    </w:p>
    <w:p>
      <w:pPr>
        <w:pStyle w:val="ListParagraph"/>
        <w:numPr>
          <w:ilvl w:val="0"/>
          <w:numId w:val="1"/>
        </w:numPr>
        <w:tabs>
          <w:tab w:pos="855" w:val="left" w:leader="none"/>
          <w:tab w:pos="856" w:val="left" w:leader="none"/>
        </w:tabs>
        <w:spacing w:line="240" w:lineRule="auto" w:before="117" w:after="0"/>
        <w:ind w:left="856" w:right="0" w:hanging="360"/>
        <w:jc w:val="left"/>
        <w:rPr>
          <w:sz w:val="20"/>
        </w:rPr>
      </w:pPr>
      <w:r>
        <w:rPr>
          <w:sz w:val="20"/>
        </w:rPr>
        <w:t>Chronic pain with or without diagnosis is highly</w:t>
      </w:r>
      <w:r>
        <w:rPr>
          <w:spacing w:val="-28"/>
          <w:sz w:val="20"/>
        </w:rPr>
        <w:t> </w:t>
      </w:r>
      <w:r>
        <w:rPr>
          <w:sz w:val="20"/>
        </w:rPr>
        <w:t>stigmatized.</w:t>
      </w:r>
    </w:p>
    <w:p>
      <w:pPr>
        <w:pStyle w:val="ListParagraph"/>
        <w:numPr>
          <w:ilvl w:val="0"/>
          <w:numId w:val="1"/>
        </w:numPr>
        <w:tabs>
          <w:tab w:pos="855" w:val="left" w:leader="none"/>
          <w:tab w:pos="856" w:val="left" w:leader="none"/>
        </w:tabs>
        <w:spacing w:line="240" w:lineRule="auto" w:before="116" w:after="0"/>
        <w:ind w:left="856" w:right="301" w:hanging="360"/>
        <w:jc w:val="left"/>
        <w:rPr>
          <w:sz w:val="20"/>
        </w:rPr>
      </w:pPr>
      <w:r>
        <w:rPr>
          <w:sz w:val="20"/>
        </w:rPr>
        <w:t>Most countries have no national policy at all or very inadequate policies regarding the management of</w:t>
      </w:r>
      <w:r>
        <w:rPr>
          <w:spacing w:val="-3"/>
          <w:sz w:val="20"/>
        </w:rPr>
        <w:t> </w:t>
      </w:r>
      <w:r>
        <w:rPr>
          <w:sz w:val="20"/>
        </w:rPr>
        <w:t>pain</w:t>
      </w:r>
      <w:r>
        <w:rPr>
          <w:spacing w:val="-3"/>
          <w:sz w:val="20"/>
        </w:rPr>
        <w:t> </w:t>
      </w:r>
      <w:r>
        <w:rPr>
          <w:sz w:val="20"/>
        </w:rPr>
        <w:t>as</w:t>
      </w:r>
      <w:r>
        <w:rPr>
          <w:spacing w:val="-3"/>
          <w:sz w:val="20"/>
        </w:rPr>
        <w:t> </w:t>
      </w:r>
      <w:r>
        <w:rPr>
          <w:sz w:val="20"/>
        </w:rPr>
        <w:t>a</w:t>
      </w:r>
      <w:r>
        <w:rPr>
          <w:spacing w:val="-5"/>
          <w:sz w:val="20"/>
        </w:rPr>
        <w:t> </w:t>
      </w:r>
      <w:r>
        <w:rPr>
          <w:sz w:val="20"/>
        </w:rPr>
        <w:t>health</w:t>
      </w:r>
      <w:r>
        <w:rPr>
          <w:spacing w:val="-3"/>
          <w:sz w:val="20"/>
        </w:rPr>
        <w:t> </w:t>
      </w:r>
      <w:r>
        <w:rPr>
          <w:sz w:val="20"/>
        </w:rPr>
        <w:t>problem,</w:t>
      </w:r>
      <w:r>
        <w:rPr>
          <w:spacing w:val="-5"/>
          <w:sz w:val="20"/>
        </w:rPr>
        <w:t> </w:t>
      </w:r>
      <w:r>
        <w:rPr>
          <w:sz w:val="20"/>
        </w:rPr>
        <w:t>including</w:t>
      </w:r>
      <w:r>
        <w:rPr>
          <w:spacing w:val="-3"/>
          <w:sz w:val="20"/>
        </w:rPr>
        <w:t> </w:t>
      </w:r>
      <w:r>
        <w:rPr>
          <w:sz w:val="20"/>
        </w:rPr>
        <w:t>an</w:t>
      </w:r>
      <w:r>
        <w:rPr>
          <w:spacing w:val="-3"/>
          <w:sz w:val="20"/>
        </w:rPr>
        <w:t> </w:t>
      </w:r>
      <w:r>
        <w:rPr>
          <w:sz w:val="20"/>
        </w:rPr>
        <w:t>inadequate</w:t>
      </w:r>
      <w:r>
        <w:rPr>
          <w:spacing w:val="-5"/>
          <w:sz w:val="20"/>
        </w:rPr>
        <w:t> </w:t>
      </w:r>
      <w:r>
        <w:rPr>
          <w:sz w:val="20"/>
        </w:rPr>
        <w:t>level</w:t>
      </w:r>
      <w:r>
        <w:rPr>
          <w:spacing w:val="-5"/>
          <w:sz w:val="20"/>
        </w:rPr>
        <w:t> </w:t>
      </w:r>
      <w:r>
        <w:rPr>
          <w:sz w:val="20"/>
        </w:rPr>
        <w:t>of</w:t>
      </w:r>
      <w:r>
        <w:rPr>
          <w:spacing w:val="-3"/>
          <w:sz w:val="20"/>
        </w:rPr>
        <w:t> </w:t>
      </w:r>
      <w:r>
        <w:rPr>
          <w:sz w:val="20"/>
        </w:rPr>
        <w:t>research</w:t>
      </w:r>
      <w:r>
        <w:rPr>
          <w:spacing w:val="-5"/>
          <w:sz w:val="20"/>
        </w:rPr>
        <w:t> </w:t>
      </w:r>
      <w:r>
        <w:rPr>
          <w:sz w:val="20"/>
        </w:rPr>
        <w:t>and</w:t>
      </w:r>
      <w:r>
        <w:rPr>
          <w:spacing w:val="-5"/>
          <w:sz w:val="20"/>
        </w:rPr>
        <w:t> </w:t>
      </w:r>
      <w:r>
        <w:rPr>
          <w:sz w:val="20"/>
        </w:rPr>
        <w:t>education.</w:t>
      </w:r>
    </w:p>
    <w:p>
      <w:pPr>
        <w:pStyle w:val="ListParagraph"/>
        <w:numPr>
          <w:ilvl w:val="0"/>
          <w:numId w:val="1"/>
        </w:numPr>
        <w:tabs>
          <w:tab w:pos="855" w:val="left" w:leader="none"/>
          <w:tab w:pos="856" w:val="left" w:leader="none"/>
        </w:tabs>
        <w:spacing w:line="228" w:lineRule="exact" w:before="139" w:after="0"/>
        <w:ind w:left="856" w:right="236" w:hanging="360"/>
        <w:jc w:val="left"/>
        <w:rPr>
          <w:sz w:val="20"/>
        </w:rPr>
      </w:pPr>
      <w:r>
        <w:rPr>
          <w:sz w:val="20"/>
        </w:rPr>
        <w:t>Pain</w:t>
      </w:r>
      <w:r>
        <w:rPr>
          <w:spacing w:val="-4"/>
          <w:sz w:val="20"/>
        </w:rPr>
        <w:t> </w:t>
      </w:r>
      <w:r>
        <w:rPr>
          <w:sz w:val="20"/>
        </w:rPr>
        <w:t>Medicine</w:t>
      </w:r>
      <w:r>
        <w:rPr>
          <w:spacing w:val="-2"/>
          <w:sz w:val="20"/>
        </w:rPr>
        <w:t> </w:t>
      </w:r>
      <w:r>
        <w:rPr>
          <w:sz w:val="20"/>
        </w:rPr>
        <w:t>is</w:t>
      </w:r>
      <w:r>
        <w:rPr>
          <w:spacing w:val="-2"/>
          <w:sz w:val="20"/>
        </w:rPr>
        <w:t> </w:t>
      </w:r>
      <w:r>
        <w:rPr>
          <w:sz w:val="20"/>
        </w:rPr>
        <w:t>not</w:t>
      </w:r>
      <w:r>
        <w:rPr>
          <w:spacing w:val="-4"/>
          <w:sz w:val="20"/>
        </w:rPr>
        <w:t> </w:t>
      </w:r>
      <w:r>
        <w:rPr>
          <w:sz w:val="20"/>
        </w:rPr>
        <w:t>recognized</w:t>
      </w:r>
      <w:r>
        <w:rPr>
          <w:spacing w:val="-2"/>
          <w:sz w:val="20"/>
        </w:rPr>
        <w:t> </w:t>
      </w:r>
      <w:r>
        <w:rPr>
          <w:sz w:val="20"/>
        </w:rPr>
        <w:t>as</w:t>
      </w:r>
      <w:r>
        <w:rPr>
          <w:spacing w:val="-2"/>
          <w:sz w:val="20"/>
        </w:rPr>
        <w:t> </w:t>
      </w:r>
      <w:r>
        <w:rPr>
          <w:sz w:val="20"/>
        </w:rPr>
        <w:t>a</w:t>
      </w:r>
      <w:r>
        <w:rPr>
          <w:spacing w:val="-4"/>
          <w:sz w:val="20"/>
        </w:rPr>
        <w:t> </w:t>
      </w:r>
      <w:r>
        <w:rPr>
          <w:sz w:val="20"/>
        </w:rPr>
        <w:t>distinct</w:t>
      </w:r>
      <w:r>
        <w:rPr>
          <w:spacing w:val="-4"/>
          <w:sz w:val="20"/>
        </w:rPr>
        <w:t> </w:t>
      </w:r>
      <w:r>
        <w:rPr>
          <w:sz w:val="20"/>
        </w:rPr>
        <w:t>specialty</w:t>
      </w:r>
      <w:r>
        <w:rPr>
          <w:spacing w:val="-5"/>
          <w:sz w:val="20"/>
        </w:rPr>
        <w:t> </w:t>
      </w:r>
      <w:r>
        <w:rPr>
          <w:sz w:val="20"/>
        </w:rPr>
        <w:t>with</w:t>
      </w:r>
      <w:r>
        <w:rPr>
          <w:spacing w:val="-2"/>
          <w:sz w:val="20"/>
        </w:rPr>
        <w:t> </w:t>
      </w:r>
      <w:r>
        <w:rPr>
          <w:sz w:val="20"/>
        </w:rPr>
        <w:t>a</w:t>
      </w:r>
      <w:r>
        <w:rPr>
          <w:spacing w:val="-4"/>
          <w:sz w:val="20"/>
        </w:rPr>
        <w:t> </w:t>
      </w:r>
      <w:r>
        <w:rPr>
          <w:sz w:val="20"/>
        </w:rPr>
        <w:t>unique</w:t>
      </w:r>
      <w:r>
        <w:rPr>
          <w:spacing w:val="-2"/>
          <w:sz w:val="20"/>
        </w:rPr>
        <w:t> </w:t>
      </w:r>
      <w:r>
        <w:rPr>
          <w:sz w:val="20"/>
        </w:rPr>
        <w:t>body</w:t>
      </w:r>
      <w:r>
        <w:rPr>
          <w:spacing w:val="-5"/>
          <w:sz w:val="20"/>
        </w:rPr>
        <w:t> </w:t>
      </w:r>
      <w:r>
        <w:rPr>
          <w:sz w:val="20"/>
        </w:rPr>
        <w:t>of</w:t>
      </w:r>
      <w:r>
        <w:rPr>
          <w:spacing w:val="-2"/>
          <w:sz w:val="20"/>
        </w:rPr>
        <w:t> </w:t>
      </w:r>
      <w:r>
        <w:rPr>
          <w:sz w:val="20"/>
        </w:rPr>
        <w:t>knowledge</w:t>
      </w:r>
      <w:r>
        <w:rPr>
          <w:spacing w:val="-2"/>
          <w:sz w:val="20"/>
        </w:rPr>
        <w:t> </w:t>
      </w:r>
      <w:r>
        <w:rPr>
          <w:sz w:val="20"/>
        </w:rPr>
        <w:t>and</w:t>
      </w:r>
      <w:r>
        <w:rPr>
          <w:spacing w:val="-2"/>
          <w:sz w:val="20"/>
        </w:rPr>
        <w:t> </w:t>
      </w:r>
      <w:r>
        <w:rPr>
          <w:sz w:val="20"/>
        </w:rPr>
        <w:t>defined scope of practice founded on research and comprehensive training</w:t>
      </w:r>
      <w:r>
        <w:rPr>
          <w:spacing w:val="-34"/>
          <w:sz w:val="20"/>
        </w:rPr>
        <w:t> </w:t>
      </w:r>
      <w:r>
        <w:rPr>
          <w:sz w:val="20"/>
        </w:rPr>
        <w:t>programs.</w:t>
      </w:r>
    </w:p>
    <w:p>
      <w:pPr>
        <w:pStyle w:val="ListParagraph"/>
        <w:numPr>
          <w:ilvl w:val="0"/>
          <w:numId w:val="1"/>
        </w:numPr>
        <w:tabs>
          <w:tab w:pos="855" w:val="left" w:leader="none"/>
          <w:tab w:pos="856" w:val="left" w:leader="none"/>
        </w:tabs>
        <w:spacing w:line="237" w:lineRule="auto" w:before="119" w:after="0"/>
        <w:ind w:left="856" w:right="236" w:hanging="360"/>
        <w:jc w:val="left"/>
        <w:rPr>
          <w:sz w:val="20"/>
        </w:rPr>
      </w:pPr>
      <w:r>
        <w:rPr>
          <w:sz w:val="20"/>
        </w:rPr>
        <w:t>The</w:t>
      </w:r>
      <w:r>
        <w:rPr>
          <w:spacing w:val="-40"/>
          <w:sz w:val="20"/>
        </w:rPr>
        <w:t> </w:t>
      </w:r>
      <w:r>
        <w:rPr>
          <w:sz w:val="20"/>
        </w:rPr>
        <w:t>World Health Organization (WHO) estimates that 5 billion people live in countries with low or no access to controlled medicines and have no or insufficient access to treatment for moderate to severe</w:t>
      </w:r>
      <w:r>
        <w:rPr>
          <w:spacing w:val="-8"/>
          <w:sz w:val="20"/>
        </w:rPr>
        <w:t> </w:t>
      </w:r>
      <w:r>
        <w:rPr>
          <w:sz w:val="20"/>
        </w:rPr>
        <w:t>pain.</w:t>
      </w:r>
    </w:p>
    <w:p>
      <w:pPr>
        <w:pStyle w:val="ListParagraph"/>
        <w:numPr>
          <w:ilvl w:val="0"/>
          <w:numId w:val="1"/>
        </w:numPr>
        <w:tabs>
          <w:tab w:pos="855" w:val="left" w:leader="none"/>
          <w:tab w:pos="856" w:val="left" w:leader="none"/>
        </w:tabs>
        <w:spacing w:line="228" w:lineRule="exact" w:before="139" w:after="0"/>
        <w:ind w:left="856" w:right="249" w:hanging="360"/>
        <w:jc w:val="left"/>
        <w:rPr>
          <w:sz w:val="20"/>
        </w:rPr>
      </w:pPr>
      <w:r>
        <w:rPr>
          <w:sz w:val="20"/>
        </w:rPr>
        <w:t>There</w:t>
      </w:r>
      <w:r>
        <w:rPr>
          <w:spacing w:val="-4"/>
          <w:sz w:val="20"/>
        </w:rPr>
        <w:t> </w:t>
      </w:r>
      <w:r>
        <w:rPr>
          <w:sz w:val="20"/>
        </w:rPr>
        <w:t>are</w:t>
      </w:r>
      <w:r>
        <w:rPr>
          <w:spacing w:val="-4"/>
          <w:sz w:val="20"/>
        </w:rPr>
        <w:t> </w:t>
      </w:r>
      <w:r>
        <w:rPr>
          <w:sz w:val="20"/>
        </w:rPr>
        <w:t>severe</w:t>
      </w:r>
      <w:r>
        <w:rPr>
          <w:spacing w:val="-4"/>
          <w:sz w:val="20"/>
        </w:rPr>
        <w:t> </w:t>
      </w:r>
      <w:r>
        <w:rPr>
          <w:sz w:val="20"/>
        </w:rPr>
        <w:t>restrictions</w:t>
      </w:r>
      <w:r>
        <w:rPr>
          <w:spacing w:val="-2"/>
          <w:sz w:val="20"/>
        </w:rPr>
        <w:t> </w:t>
      </w:r>
      <w:r>
        <w:rPr>
          <w:sz w:val="20"/>
        </w:rPr>
        <w:t>on</w:t>
      </w:r>
      <w:r>
        <w:rPr>
          <w:spacing w:val="-4"/>
          <w:sz w:val="20"/>
        </w:rPr>
        <w:t> </w:t>
      </w:r>
      <w:r>
        <w:rPr>
          <w:sz w:val="20"/>
        </w:rPr>
        <w:t>the</w:t>
      </w:r>
      <w:r>
        <w:rPr>
          <w:spacing w:val="-4"/>
          <w:sz w:val="20"/>
        </w:rPr>
        <w:t> </w:t>
      </w:r>
      <w:r>
        <w:rPr>
          <w:sz w:val="20"/>
        </w:rPr>
        <w:t>availability</w:t>
      </w:r>
      <w:r>
        <w:rPr>
          <w:spacing w:val="-5"/>
          <w:sz w:val="20"/>
        </w:rPr>
        <w:t> </w:t>
      </w:r>
      <w:r>
        <w:rPr>
          <w:sz w:val="20"/>
        </w:rPr>
        <w:t>of</w:t>
      </w:r>
      <w:r>
        <w:rPr>
          <w:spacing w:val="-2"/>
          <w:sz w:val="20"/>
        </w:rPr>
        <w:t> </w:t>
      </w:r>
      <w:r>
        <w:rPr>
          <w:sz w:val="20"/>
        </w:rPr>
        <w:t>opioids</w:t>
      </w:r>
      <w:r>
        <w:rPr>
          <w:spacing w:val="-2"/>
          <w:sz w:val="20"/>
        </w:rPr>
        <w:t> </w:t>
      </w:r>
      <w:r>
        <w:rPr>
          <w:sz w:val="20"/>
        </w:rPr>
        <w:t>and</w:t>
      </w:r>
      <w:r>
        <w:rPr>
          <w:spacing w:val="-2"/>
          <w:sz w:val="20"/>
        </w:rPr>
        <w:t> </w:t>
      </w:r>
      <w:r>
        <w:rPr>
          <w:sz w:val="20"/>
        </w:rPr>
        <w:t>other</w:t>
      </w:r>
      <w:r>
        <w:rPr>
          <w:spacing w:val="-3"/>
          <w:sz w:val="20"/>
        </w:rPr>
        <w:t> </w:t>
      </w:r>
      <w:r>
        <w:rPr>
          <w:sz w:val="20"/>
        </w:rPr>
        <w:t>essential</w:t>
      </w:r>
      <w:r>
        <w:rPr>
          <w:spacing w:val="-2"/>
          <w:sz w:val="20"/>
        </w:rPr>
        <w:t> </w:t>
      </w:r>
      <w:r>
        <w:rPr>
          <w:sz w:val="20"/>
        </w:rPr>
        <w:t>medications,</w:t>
      </w:r>
      <w:r>
        <w:rPr>
          <w:spacing w:val="-4"/>
          <w:sz w:val="20"/>
        </w:rPr>
        <w:t> </w:t>
      </w:r>
      <w:r>
        <w:rPr>
          <w:sz w:val="20"/>
        </w:rPr>
        <w:t>critical</w:t>
      </w:r>
      <w:r>
        <w:rPr>
          <w:spacing w:val="-5"/>
          <w:sz w:val="20"/>
        </w:rPr>
        <w:t> </w:t>
      </w:r>
      <w:r>
        <w:rPr>
          <w:sz w:val="20"/>
        </w:rPr>
        <w:t>to the management of</w:t>
      </w:r>
      <w:r>
        <w:rPr>
          <w:spacing w:val="-18"/>
          <w:sz w:val="20"/>
        </w:rPr>
        <w:t> </w:t>
      </w:r>
      <w:r>
        <w:rPr>
          <w:sz w:val="20"/>
        </w:rPr>
        <w:t>pain.</w:t>
      </w:r>
    </w:p>
    <w:p>
      <w:pPr>
        <w:pStyle w:val="BodyText"/>
        <w:spacing w:before="4"/>
        <w:ind w:left="0"/>
        <w:rPr>
          <w:sz w:val="20"/>
        </w:rPr>
      </w:pPr>
    </w:p>
    <w:p>
      <w:pPr>
        <w:spacing w:before="0"/>
        <w:ind w:left="135" w:right="178" w:firstLine="0"/>
        <w:jc w:val="left"/>
        <w:rPr>
          <w:b/>
          <w:sz w:val="22"/>
        </w:rPr>
      </w:pPr>
      <w:r>
        <w:rPr>
          <w:b/>
          <w:sz w:val="22"/>
        </w:rPr>
        <w:t>And, recognizing the intrinsic dignity of all persons and that withholding of pain treatment is profoundly wrong, leading to unnecessary suffering which is harmful; we declare that the following human rights must be recognized throughout the world:</w:t>
      </w:r>
    </w:p>
    <w:p>
      <w:pPr>
        <w:spacing w:before="120"/>
        <w:ind w:left="135" w:right="0" w:firstLine="0"/>
        <w:jc w:val="left"/>
        <w:rPr>
          <w:sz w:val="20"/>
        </w:rPr>
      </w:pPr>
      <w:r>
        <w:rPr>
          <w:i/>
          <w:sz w:val="20"/>
          <w:u w:val="single"/>
        </w:rPr>
        <w:t>Article 1. </w:t>
      </w:r>
      <w:r>
        <w:rPr>
          <w:sz w:val="20"/>
        </w:rPr>
        <w:t>The right of all people to have access to pain management without discrimination (Footnotes 1-4).</w:t>
      </w:r>
    </w:p>
    <w:p>
      <w:pPr>
        <w:spacing w:line="242" w:lineRule="auto" w:before="117"/>
        <w:ind w:left="135" w:right="225" w:firstLine="0"/>
        <w:jc w:val="left"/>
        <w:rPr>
          <w:sz w:val="20"/>
        </w:rPr>
      </w:pPr>
      <w:r>
        <w:rPr>
          <w:i/>
          <w:sz w:val="20"/>
          <w:u w:val="single"/>
        </w:rPr>
        <w:t>Article 2</w:t>
      </w:r>
      <w:r>
        <w:rPr>
          <w:sz w:val="20"/>
          <w:u w:val="single"/>
        </w:rPr>
        <w:t>. </w:t>
      </w:r>
      <w:r>
        <w:rPr>
          <w:sz w:val="20"/>
        </w:rPr>
        <w:t>The right of people in pain to acknowledgment of their pain and to be informed about how it can be assessed and managed (Footnote 5).</w:t>
      </w:r>
    </w:p>
    <w:p>
      <w:pPr>
        <w:spacing w:line="242" w:lineRule="auto" w:before="115"/>
        <w:ind w:left="136" w:right="514" w:firstLine="0"/>
        <w:jc w:val="left"/>
        <w:rPr>
          <w:sz w:val="20"/>
        </w:rPr>
      </w:pPr>
      <w:r>
        <w:rPr>
          <w:i/>
          <w:sz w:val="20"/>
          <w:u w:val="single"/>
        </w:rPr>
        <w:t>Article 3. </w:t>
      </w:r>
      <w:r>
        <w:rPr>
          <w:sz w:val="20"/>
        </w:rPr>
        <w:t>The right of all people with pain to have access to appropriate assessment and treatment of the pain by adequately trained health care professionals (Footnotes 6-8).</w:t>
      </w:r>
    </w:p>
    <w:p>
      <w:pPr>
        <w:spacing w:before="116"/>
        <w:ind w:left="135" w:right="0" w:firstLine="0"/>
        <w:jc w:val="left"/>
        <w:rPr>
          <w:b/>
          <w:sz w:val="22"/>
        </w:rPr>
      </w:pPr>
      <w:r>
        <w:rPr>
          <w:b/>
          <w:sz w:val="22"/>
        </w:rPr>
        <w:t>In order to assure these rights, we recognize the following obligations:</w:t>
      </w:r>
    </w:p>
    <w:p>
      <w:pPr>
        <w:pStyle w:val="ListParagraph"/>
        <w:numPr>
          <w:ilvl w:val="0"/>
          <w:numId w:val="2"/>
        </w:numPr>
        <w:tabs>
          <w:tab w:pos="357" w:val="left" w:leader="none"/>
        </w:tabs>
        <w:spacing w:line="240" w:lineRule="auto" w:before="121" w:after="0"/>
        <w:ind w:left="136" w:right="275" w:firstLine="0"/>
        <w:jc w:val="left"/>
        <w:rPr>
          <w:sz w:val="20"/>
        </w:rPr>
      </w:pPr>
      <w:r>
        <w:rPr>
          <w:sz w:val="20"/>
        </w:rPr>
        <w:t>The obligation of governments and all health care institutions, within the scope of the legal limits of their authority and taking into account the health care resources reasonably available, to establish laws, policies, and systems that will help to promote, and will certainly not inhibit, the access of people in pain to fully adequate pain management. Failure to establish such laws, policies, and systems is unethical and a breach of the human rights of people harmed as a</w:t>
      </w:r>
      <w:r>
        <w:rPr>
          <w:spacing w:val="-24"/>
          <w:sz w:val="20"/>
        </w:rPr>
        <w:t> </w:t>
      </w:r>
      <w:r>
        <w:rPr>
          <w:sz w:val="20"/>
        </w:rPr>
        <w:t>result.</w:t>
      </w:r>
    </w:p>
    <w:p>
      <w:pPr>
        <w:pStyle w:val="ListParagraph"/>
        <w:numPr>
          <w:ilvl w:val="0"/>
          <w:numId w:val="2"/>
        </w:numPr>
        <w:tabs>
          <w:tab w:pos="357" w:val="left" w:leader="none"/>
        </w:tabs>
        <w:spacing w:line="240" w:lineRule="auto" w:before="120" w:after="0"/>
        <w:ind w:left="136" w:right="189" w:firstLine="0"/>
        <w:jc w:val="left"/>
        <w:rPr>
          <w:sz w:val="20"/>
        </w:rPr>
      </w:pPr>
      <w:r>
        <w:rPr>
          <w:sz w:val="20"/>
        </w:rPr>
        <w:t>The obligation of all health care professionals in a treatment relationship with a patient, within the scope of the legal limits of their professional practice and taking into account the treatment resources reasonably available, to offer to a patient in pain the management that would be offered by a reasonably careful and competent health care professional in that field of practice. Failure to offer such management is a breach of the patient's human</w:t>
      </w:r>
      <w:r>
        <w:rPr>
          <w:spacing w:val="-16"/>
          <w:sz w:val="20"/>
        </w:rPr>
        <w:t> </w:t>
      </w:r>
      <w:r>
        <w:rPr>
          <w:sz w:val="20"/>
        </w:rPr>
        <w:t>rights.</w:t>
      </w:r>
    </w:p>
    <w:p>
      <w:pPr>
        <w:pStyle w:val="BodyText"/>
        <w:spacing w:before="2"/>
        <w:ind w:left="0"/>
        <w:rPr>
          <w:sz w:val="29"/>
        </w:rPr>
      </w:pPr>
      <w:r>
        <w:rPr/>
        <w:pict>
          <v:line style="position:absolute;mso-position-horizontal-relative:page;mso-position-vertical-relative:paragraph;z-index:0;mso-wrap-distance-left:0;mso-wrap-distance-right:0" from="63.359997pt,18.977905pt" to="548.639986pt,18.977905pt" stroked="true" strokeweight=".48pt" strokecolor="#000000">
            <v:stroke dashstyle="solid"/>
            <w10:wrap type="topAndBottom"/>
          </v:line>
        </w:pict>
      </w:r>
    </w:p>
    <w:p>
      <w:pPr>
        <w:spacing w:before="85"/>
        <w:ind w:left="135" w:right="159" w:firstLine="0"/>
        <w:jc w:val="left"/>
        <w:rPr>
          <w:sz w:val="20"/>
        </w:rPr>
      </w:pPr>
      <w:r>
        <w:rPr>
          <w:i/>
          <w:sz w:val="20"/>
        </w:rPr>
        <w:t>Note: </w:t>
      </w:r>
      <w:r>
        <w:rPr>
          <w:sz w:val="20"/>
        </w:rPr>
        <w:t>This Declaration has been prepared having due regard to current general circumstances and modes of health care delivery in the developed and developing world. Nevertheless, it is the responsibility of: governments, of those involved at every level of health care administration, and of health professionals to update the modes of implementation of the Articles of this Declaration as new frameworks for pain management are developed.</w:t>
      </w:r>
    </w:p>
    <w:p>
      <w:pPr>
        <w:spacing w:after="0"/>
        <w:jc w:val="left"/>
        <w:rPr>
          <w:sz w:val="20"/>
        </w:rPr>
        <w:sectPr>
          <w:type w:val="continuous"/>
          <w:pgSz w:w="12240" w:h="15840"/>
          <w:pgMar w:top="740" w:bottom="280" w:left="1160" w:right="1160"/>
        </w:sectPr>
      </w:pPr>
    </w:p>
    <w:p>
      <w:pPr>
        <w:spacing w:before="71"/>
        <w:ind w:left="115" w:right="0" w:firstLine="0"/>
        <w:jc w:val="left"/>
        <w:rPr>
          <w:b/>
          <w:sz w:val="20"/>
        </w:rPr>
      </w:pPr>
      <w:r>
        <w:rPr>
          <w:b/>
          <w:sz w:val="20"/>
        </w:rPr>
        <w:t>Footnotes</w:t>
      </w:r>
    </w:p>
    <w:p>
      <w:pPr>
        <w:pStyle w:val="ListParagraph"/>
        <w:numPr>
          <w:ilvl w:val="0"/>
          <w:numId w:val="3"/>
        </w:numPr>
        <w:tabs>
          <w:tab w:pos="368" w:val="left" w:leader="none"/>
        </w:tabs>
        <w:spacing w:line="240" w:lineRule="auto" w:before="103" w:after="0"/>
        <w:ind w:left="116" w:right="886" w:firstLine="0"/>
        <w:jc w:val="left"/>
        <w:rPr>
          <w:sz w:val="18"/>
        </w:rPr>
      </w:pPr>
      <w:r>
        <w:rPr>
          <w:sz w:val="18"/>
        </w:rPr>
        <w:t>This includes, but is not limited to, discrimination on the basis of age, sex, gender, medical diagnosis, race or ethnicity,</w:t>
      </w:r>
      <w:r>
        <w:rPr>
          <w:spacing w:val="-5"/>
          <w:sz w:val="18"/>
        </w:rPr>
        <w:t> </w:t>
      </w:r>
      <w:r>
        <w:rPr>
          <w:sz w:val="18"/>
        </w:rPr>
        <w:t>religion,</w:t>
      </w:r>
      <w:r>
        <w:rPr>
          <w:spacing w:val="-6"/>
          <w:sz w:val="18"/>
        </w:rPr>
        <w:t> </w:t>
      </w:r>
      <w:r>
        <w:rPr>
          <w:sz w:val="18"/>
        </w:rPr>
        <w:t>culture,</w:t>
      </w:r>
      <w:r>
        <w:rPr>
          <w:spacing w:val="-5"/>
          <w:sz w:val="18"/>
        </w:rPr>
        <w:t> </w:t>
      </w:r>
      <w:r>
        <w:rPr>
          <w:sz w:val="18"/>
        </w:rPr>
        <w:t>marital,</w:t>
      </w:r>
      <w:r>
        <w:rPr>
          <w:spacing w:val="-6"/>
          <w:sz w:val="18"/>
        </w:rPr>
        <w:t> </w:t>
      </w:r>
      <w:r>
        <w:rPr>
          <w:sz w:val="18"/>
        </w:rPr>
        <w:t>civil</w:t>
      </w:r>
      <w:r>
        <w:rPr>
          <w:spacing w:val="-6"/>
          <w:sz w:val="18"/>
        </w:rPr>
        <w:t> </w:t>
      </w:r>
      <w:r>
        <w:rPr>
          <w:sz w:val="18"/>
        </w:rPr>
        <w:t>or</w:t>
      </w:r>
      <w:r>
        <w:rPr>
          <w:spacing w:val="-5"/>
          <w:sz w:val="18"/>
        </w:rPr>
        <w:t> </w:t>
      </w:r>
      <w:r>
        <w:rPr>
          <w:sz w:val="18"/>
        </w:rPr>
        <w:t>socioeconomic</w:t>
      </w:r>
      <w:r>
        <w:rPr>
          <w:spacing w:val="-4"/>
          <w:sz w:val="18"/>
        </w:rPr>
        <w:t> </w:t>
      </w:r>
      <w:r>
        <w:rPr>
          <w:sz w:val="18"/>
        </w:rPr>
        <w:t>status,</w:t>
      </w:r>
      <w:r>
        <w:rPr>
          <w:spacing w:val="-6"/>
          <w:sz w:val="18"/>
        </w:rPr>
        <w:t> </w:t>
      </w:r>
      <w:r>
        <w:rPr>
          <w:sz w:val="18"/>
        </w:rPr>
        <w:t>sexual</w:t>
      </w:r>
      <w:r>
        <w:rPr>
          <w:spacing w:val="-4"/>
          <w:sz w:val="18"/>
        </w:rPr>
        <w:t> </w:t>
      </w:r>
      <w:r>
        <w:rPr>
          <w:sz w:val="18"/>
        </w:rPr>
        <w:t>orientation,</w:t>
      </w:r>
      <w:r>
        <w:rPr>
          <w:spacing w:val="-6"/>
          <w:sz w:val="18"/>
        </w:rPr>
        <w:t> </w:t>
      </w:r>
      <w:r>
        <w:rPr>
          <w:sz w:val="18"/>
        </w:rPr>
        <w:t>and</w:t>
      </w:r>
      <w:r>
        <w:rPr>
          <w:spacing w:val="-6"/>
          <w:sz w:val="18"/>
        </w:rPr>
        <w:t> </w:t>
      </w:r>
      <w:r>
        <w:rPr>
          <w:sz w:val="18"/>
        </w:rPr>
        <w:t>political</w:t>
      </w:r>
      <w:r>
        <w:rPr>
          <w:spacing w:val="-4"/>
          <w:sz w:val="18"/>
        </w:rPr>
        <w:t> </w:t>
      </w:r>
      <w:r>
        <w:rPr>
          <w:sz w:val="18"/>
        </w:rPr>
        <w:t>or</w:t>
      </w:r>
      <w:r>
        <w:rPr>
          <w:spacing w:val="-6"/>
          <w:sz w:val="18"/>
        </w:rPr>
        <w:t> </w:t>
      </w:r>
      <w:r>
        <w:rPr>
          <w:sz w:val="18"/>
        </w:rPr>
        <w:t>other</w:t>
      </w:r>
      <w:r>
        <w:rPr>
          <w:spacing w:val="-6"/>
          <w:sz w:val="18"/>
        </w:rPr>
        <w:t> </w:t>
      </w:r>
      <w:r>
        <w:rPr>
          <w:sz w:val="18"/>
        </w:rPr>
        <w:t>opinion.</w:t>
      </w:r>
    </w:p>
    <w:p>
      <w:pPr>
        <w:pStyle w:val="ListParagraph"/>
        <w:numPr>
          <w:ilvl w:val="0"/>
          <w:numId w:val="3"/>
        </w:numPr>
        <w:tabs>
          <w:tab w:pos="318" w:val="left" w:leader="none"/>
        </w:tabs>
        <w:spacing w:line="237" w:lineRule="auto" w:before="104" w:after="0"/>
        <w:ind w:left="116" w:right="373" w:firstLine="0"/>
        <w:jc w:val="both"/>
        <w:rPr>
          <w:sz w:val="18"/>
        </w:rPr>
      </w:pPr>
      <w:r>
        <w:rPr>
          <w:sz w:val="18"/>
        </w:rPr>
        <w:t>International Covenant on Economic, Social and Cultural Rights (ICESCR) (1966). The State parties of the ICESCR recognize “the right of everyone to the highest attainable standard of physical and mental health” (Art. 12), creating the “conditions</w:t>
      </w:r>
      <w:r>
        <w:rPr>
          <w:spacing w:val="-3"/>
          <w:sz w:val="18"/>
        </w:rPr>
        <w:t> </w:t>
      </w:r>
      <w:r>
        <w:rPr>
          <w:sz w:val="18"/>
        </w:rPr>
        <w:t>which</w:t>
      </w:r>
      <w:r>
        <w:rPr>
          <w:spacing w:val="-3"/>
          <w:sz w:val="18"/>
        </w:rPr>
        <w:t> </w:t>
      </w:r>
      <w:r>
        <w:rPr>
          <w:sz w:val="18"/>
        </w:rPr>
        <w:t>would</w:t>
      </w:r>
      <w:r>
        <w:rPr>
          <w:spacing w:val="-3"/>
          <w:sz w:val="18"/>
        </w:rPr>
        <w:t> </w:t>
      </w:r>
      <w:r>
        <w:rPr>
          <w:sz w:val="18"/>
        </w:rPr>
        <w:t>assure</w:t>
      </w:r>
      <w:r>
        <w:rPr>
          <w:spacing w:val="-3"/>
          <w:sz w:val="18"/>
        </w:rPr>
        <w:t> </w:t>
      </w:r>
      <w:r>
        <w:rPr>
          <w:sz w:val="18"/>
        </w:rPr>
        <w:t>to</w:t>
      </w:r>
      <w:r>
        <w:rPr>
          <w:spacing w:val="-3"/>
          <w:sz w:val="18"/>
        </w:rPr>
        <w:t> </w:t>
      </w:r>
      <w:r>
        <w:rPr>
          <w:sz w:val="18"/>
        </w:rPr>
        <w:t>all</w:t>
      </w:r>
      <w:r>
        <w:rPr>
          <w:spacing w:val="-6"/>
          <w:sz w:val="18"/>
        </w:rPr>
        <w:t> </w:t>
      </w:r>
      <w:r>
        <w:rPr>
          <w:sz w:val="18"/>
        </w:rPr>
        <w:t>medical</w:t>
      </w:r>
      <w:r>
        <w:rPr>
          <w:spacing w:val="-3"/>
          <w:sz w:val="18"/>
        </w:rPr>
        <w:t> </w:t>
      </w:r>
      <w:r>
        <w:rPr>
          <w:sz w:val="18"/>
        </w:rPr>
        <w:t>service</w:t>
      </w:r>
      <w:r>
        <w:rPr>
          <w:spacing w:val="-6"/>
          <w:sz w:val="18"/>
        </w:rPr>
        <w:t> </w:t>
      </w:r>
      <w:r>
        <w:rPr>
          <w:sz w:val="18"/>
        </w:rPr>
        <w:t>and</w:t>
      </w:r>
      <w:r>
        <w:rPr>
          <w:spacing w:val="-6"/>
          <w:sz w:val="18"/>
        </w:rPr>
        <w:t> </w:t>
      </w:r>
      <w:r>
        <w:rPr>
          <w:sz w:val="18"/>
        </w:rPr>
        <w:t>medical</w:t>
      </w:r>
      <w:r>
        <w:rPr>
          <w:spacing w:val="-3"/>
          <w:sz w:val="18"/>
        </w:rPr>
        <w:t> </w:t>
      </w:r>
      <w:r>
        <w:rPr>
          <w:sz w:val="18"/>
        </w:rPr>
        <w:t>attention</w:t>
      </w:r>
      <w:r>
        <w:rPr>
          <w:spacing w:val="-6"/>
          <w:sz w:val="18"/>
        </w:rPr>
        <w:t> </w:t>
      </w:r>
      <w:r>
        <w:rPr>
          <w:sz w:val="18"/>
        </w:rPr>
        <w:t>in</w:t>
      </w:r>
      <w:r>
        <w:rPr>
          <w:spacing w:val="-6"/>
          <w:sz w:val="18"/>
        </w:rPr>
        <w:t> </w:t>
      </w:r>
      <w:r>
        <w:rPr>
          <w:sz w:val="18"/>
        </w:rPr>
        <w:t>the</w:t>
      </w:r>
      <w:r>
        <w:rPr>
          <w:spacing w:val="-6"/>
          <w:sz w:val="18"/>
        </w:rPr>
        <w:t> </w:t>
      </w:r>
      <w:r>
        <w:rPr>
          <w:sz w:val="18"/>
        </w:rPr>
        <w:t>event</w:t>
      </w:r>
      <w:r>
        <w:rPr>
          <w:spacing w:val="-4"/>
          <w:sz w:val="18"/>
        </w:rPr>
        <w:t> </w:t>
      </w:r>
      <w:r>
        <w:rPr>
          <w:sz w:val="18"/>
        </w:rPr>
        <w:t>of</w:t>
      </w:r>
      <w:r>
        <w:rPr>
          <w:spacing w:val="-8"/>
          <w:sz w:val="18"/>
        </w:rPr>
        <w:t> </w:t>
      </w:r>
      <w:r>
        <w:rPr>
          <w:sz w:val="18"/>
        </w:rPr>
        <w:t>sickness.”</w:t>
      </w:r>
    </w:p>
    <w:p>
      <w:pPr>
        <w:pStyle w:val="ListParagraph"/>
        <w:numPr>
          <w:ilvl w:val="0"/>
          <w:numId w:val="3"/>
        </w:numPr>
        <w:tabs>
          <w:tab w:pos="318" w:val="left" w:leader="none"/>
        </w:tabs>
        <w:spacing w:line="240" w:lineRule="auto" w:before="103" w:after="0"/>
        <w:ind w:left="116" w:right="245" w:firstLine="0"/>
        <w:jc w:val="left"/>
        <w:rPr>
          <w:sz w:val="18"/>
        </w:rPr>
      </w:pPr>
      <w:r>
        <w:rPr>
          <w:sz w:val="18"/>
        </w:rPr>
        <w:t>Universal Declaration of Human Rights (1948): Rights to Health (Article 25); Convention on the Rights of a Child (Article 24); Convention on the Elimination of All Forms of Discrimination Against Women (Article 12); Convention on the Elimination</w:t>
      </w:r>
      <w:r>
        <w:rPr>
          <w:spacing w:val="-6"/>
          <w:sz w:val="18"/>
        </w:rPr>
        <w:t> </w:t>
      </w:r>
      <w:r>
        <w:rPr>
          <w:sz w:val="18"/>
        </w:rPr>
        <w:t>of</w:t>
      </w:r>
      <w:r>
        <w:rPr>
          <w:spacing w:val="-4"/>
          <w:sz w:val="18"/>
        </w:rPr>
        <w:t> </w:t>
      </w:r>
      <w:r>
        <w:rPr>
          <w:sz w:val="18"/>
        </w:rPr>
        <w:t>All</w:t>
      </w:r>
      <w:r>
        <w:rPr>
          <w:spacing w:val="-3"/>
          <w:sz w:val="18"/>
        </w:rPr>
        <w:t> </w:t>
      </w:r>
      <w:r>
        <w:rPr>
          <w:sz w:val="18"/>
        </w:rPr>
        <w:t>Forms</w:t>
      </w:r>
      <w:r>
        <w:rPr>
          <w:spacing w:val="-5"/>
          <w:sz w:val="18"/>
        </w:rPr>
        <w:t> </w:t>
      </w:r>
      <w:r>
        <w:rPr>
          <w:sz w:val="18"/>
        </w:rPr>
        <w:t>of</w:t>
      </w:r>
      <w:r>
        <w:rPr>
          <w:spacing w:val="-4"/>
          <w:sz w:val="18"/>
        </w:rPr>
        <w:t> </w:t>
      </w:r>
      <w:r>
        <w:rPr>
          <w:sz w:val="18"/>
        </w:rPr>
        <w:t>Racial</w:t>
      </w:r>
      <w:r>
        <w:rPr>
          <w:spacing w:val="-6"/>
          <w:sz w:val="18"/>
        </w:rPr>
        <w:t> </w:t>
      </w:r>
      <w:r>
        <w:rPr>
          <w:sz w:val="18"/>
        </w:rPr>
        <w:t>Discrimination</w:t>
      </w:r>
      <w:r>
        <w:rPr>
          <w:spacing w:val="-3"/>
          <w:sz w:val="18"/>
        </w:rPr>
        <w:t> </w:t>
      </w:r>
      <w:r>
        <w:rPr>
          <w:sz w:val="18"/>
        </w:rPr>
        <w:t>(Article</w:t>
      </w:r>
      <w:r>
        <w:rPr>
          <w:spacing w:val="-6"/>
          <w:sz w:val="18"/>
        </w:rPr>
        <w:t> </w:t>
      </w:r>
      <w:r>
        <w:rPr>
          <w:sz w:val="18"/>
        </w:rPr>
        <w:t>5(e)</w:t>
      </w:r>
      <w:r>
        <w:rPr>
          <w:spacing w:val="-6"/>
          <w:sz w:val="18"/>
        </w:rPr>
        <w:t> </w:t>
      </w:r>
      <w:r>
        <w:rPr>
          <w:sz w:val="18"/>
        </w:rPr>
        <w:t>(iv)).</w:t>
      </w:r>
    </w:p>
    <w:p>
      <w:pPr>
        <w:pStyle w:val="ListParagraph"/>
        <w:numPr>
          <w:ilvl w:val="0"/>
          <w:numId w:val="3"/>
        </w:numPr>
        <w:tabs>
          <w:tab w:pos="318" w:val="left" w:leader="none"/>
        </w:tabs>
        <w:spacing w:line="240" w:lineRule="auto" w:before="66" w:after="0"/>
        <w:ind w:left="116" w:right="220" w:firstLine="0"/>
        <w:jc w:val="left"/>
        <w:rPr>
          <w:sz w:val="18"/>
        </w:rPr>
      </w:pPr>
      <w:r>
        <w:rPr>
          <w:sz w:val="18"/>
        </w:rPr>
        <w:t>The Committee on Economic, Social and Cultural Rights. General Comment No.14, 22</w:t>
      </w:r>
      <w:r>
        <w:rPr>
          <w:position w:val="9"/>
          <w:sz w:val="12"/>
        </w:rPr>
        <w:t>nd </w:t>
      </w:r>
      <w:r>
        <w:rPr>
          <w:sz w:val="18"/>
        </w:rPr>
        <w:t>Session, April-May 2000 E/C 12/2000/4. “Core obligations” of all signatory nations included an obligation to ensure access to health facilities, goods, and services without discrimination, to provide essential drugs as defined by WHO, and to adopt and implement a national health</w:t>
      </w:r>
      <w:r>
        <w:rPr>
          <w:spacing w:val="-15"/>
          <w:sz w:val="18"/>
        </w:rPr>
        <w:t> </w:t>
      </w:r>
      <w:r>
        <w:rPr>
          <w:sz w:val="18"/>
        </w:rPr>
        <w:t>strategy.</w:t>
      </w:r>
    </w:p>
    <w:p>
      <w:pPr>
        <w:pStyle w:val="ListParagraph"/>
        <w:numPr>
          <w:ilvl w:val="0"/>
          <w:numId w:val="3"/>
        </w:numPr>
        <w:tabs>
          <w:tab w:pos="318" w:val="left" w:leader="none"/>
        </w:tabs>
        <w:spacing w:line="240" w:lineRule="auto" w:before="68" w:after="0"/>
        <w:ind w:left="116" w:right="512" w:firstLine="0"/>
        <w:jc w:val="both"/>
        <w:rPr>
          <w:sz w:val="18"/>
        </w:rPr>
      </w:pPr>
      <w:r>
        <w:rPr>
          <w:sz w:val="18"/>
        </w:rPr>
        <w:t>Committee on Economic, Social and Cultural Rights. General Comment No.14, 22</w:t>
      </w:r>
      <w:r>
        <w:rPr>
          <w:position w:val="9"/>
          <w:sz w:val="12"/>
        </w:rPr>
        <w:t>nd </w:t>
      </w:r>
      <w:r>
        <w:rPr>
          <w:sz w:val="18"/>
        </w:rPr>
        <w:t>Session, April-May 2000, E/C 12/2000/4, para. 12. General Comment No. 14 stated that health accessibility “includes the right to seek, receive and impart information and ideas concerning health</w:t>
      </w:r>
      <w:r>
        <w:rPr>
          <w:spacing w:val="-29"/>
          <w:sz w:val="18"/>
        </w:rPr>
        <w:t> </w:t>
      </w:r>
      <w:r>
        <w:rPr>
          <w:sz w:val="18"/>
        </w:rPr>
        <w:t>issues.”</w:t>
      </w:r>
    </w:p>
    <w:p>
      <w:pPr>
        <w:pStyle w:val="ListParagraph"/>
        <w:numPr>
          <w:ilvl w:val="0"/>
          <w:numId w:val="3"/>
        </w:numPr>
        <w:tabs>
          <w:tab w:pos="318" w:val="left" w:leader="none"/>
        </w:tabs>
        <w:spacing w:line="240" w:lineRule="auto" w:before="66" w:after="0"/>
        <w:ind w:left="116" w:right="346" w:firstLine="0"/>
        <w:jc w:val="left"/>
        <w:rPr>
          <w:sz w:val="18"/>
        </w:rPr>
      </w:pPr>
      <w:r>
        <w:rPr>
          <w:sz w:val="18"/>
        </w:rPr>
        <w:t>Appropriate assessment includes recording the results of assessment (e.g., pain as the “5</w:t>
      </w:r>
      <w:r>
        <w:rPr>
          <w:position w:val="9"/>
          <w:sz w:val="12"/>
        </w:rPr>
        <w:t>th </w:t>
      </w:r>
      <w:r>
        <w:rPr>
          <w:sz w:val="18"/>
        </w:rPr>
        <w:t>vital sign,” can focus attention on unrelieved pain, triggering appropriate treatment interventions and adjustments). Appropriate treatment includes access to pain medications, including opioids and other essential medications for pain, and best-practice interdisciplinary and integrative nonpharmacological therapies, with access to professionals skilled in the safe and effective use of these medicines and treatments and supported by health policies, legal frameworks, and procedures to assure such access and prevent inappropriate use. Given the lack of adequately trained health professionals, this will require providing educational programs regarding pain assessment and treatment in all of the health care professions and programs within the community for community care workers delivering pain care. It also includes establishment of programs in pain medicine for the education of specialist physicians in pain medicine and palliative medicine. Accreditation</w:t>
      </w:r>
      <w:r>
        <w:rPr>
          <w:spacing w:val="-6"/>
          <w:sz w:val="18"/>
        </w:rPr>
        <w:t> </w:t>
      </w:r>
      <w:r>
        <w:rPr>
          <w:sz w:val="18"/>
        </w:rPr>
        <w:t>policies</w:t>
      </w:r>
      <w:r>
        <w:rPr>
          <w:spacing w:val="-5"/>
          <w:sz w:val="18"/>
        </w:rPr>
        <w:t> </w:t>
      </w:r>
      <w:r>
        <w:rPr>
          <w:sz w:val="18"/>
        </w:rPr>
        <w:t>to</w:t>
      </w:r>
      <w:r>
        <w:rPr>
          <w:spacing w:val="-3"/>
          <w:sz w:val="18"/>
        </w:rPr>
        <w:t> </w:t>
      </w:r>
      <w:r>
        <w:rPr>
          <w:sz w:val="18"/>
        </w:rPr>
        <w:t>assure</w:t>
      </w:r>
      <w:r>
        <w:rPr>
          <w:spacing w:val="-3"/>
          <w:sz w:val="18"/>
        </w:rPr>
        <w:t> </w:t>
      </w:r>
      <w:r>
        <w:rPr>
          <w:sz w:val="18"/>
        </w:rPr>
        <w:t>appropriate</w:t>
      </w:r>
      <w:r>
        <w:rPr>
          <w:spacing w:val="-6"/>
          <w:sz w:val="18"/>
        </w:rPr>
        <w:t> </w:t>
      </w:r>
      <w:r>
        <w:rPr>
          <w:sz w:val="18"/>
        </w:rPr>
        <w:t>standards</w:t>
      </w:r>
      <w:r>
        <w:rPr>
          <w:spacing w:val="-3"/>
          <w:sz w:val="18"/>
        </w:rPr>
        <w:t> </w:t>
      </w:r>
      <w:r>
        <w:rPr>
          <w:sz w:val="18"/>
        </w:rPr>
        <w:t>of</w:t>
      </w:r>
      <w:r>
        <w:rPr>
          <w:spacing w:val="-6"/>
          <w:sz w:val="18"/>
        </w:rPr>
        <w:t> </w:t>
      </w:r>
      <w:r>
        <w:rPr>
          <w:sz w:val="18"/>
        </w:rPr>
        <w:t>training</w:t>
      </w:r>
      <w:r>
        <w:rPr>
          <w:spacing w:val="-6"/>
          <w:sz w:val="18"/>
        </w:rPr>
        <w:t> </w:t>
      </w:r>
      <w:r>
        <w:rPr>
          <w:sz w:val="18"/>
        </w:rPr>
        <w:t>and</w:t>
      </w:r>
      <w:r>
        <w:rPr>
          <w:spacing w:val="-6"/>
          <w:sz w:val="18"/>
        </w:rPr>
        <w:t> </w:t>
      </w:r>
      <w:r>
        <w:rPr>
          <w:sz w:val="18"/>
        </w:rPr>
        <w:t>care</w:t>
      </w:r>
      <w:r>
        <w:rPr>
          <w:spacing w:val="-6"/>
          <w:sz w:val="18"/>
        </w:rPr>
        <w:t> </w:t>
      </w:r>
      <w:r>
        <w:rPr>
          <w:sz w:val="18"/>
        </w:rPr>
        <w:t>should</w:t>
      </w:r>
      <w:r>
        <w:rPr>
          <w:spacing w:val="-3"/>
          <w:sz w:val="18"/>
        </w:rPr>
        <w:t> </w:t>
      </w:r>
      <w:r>
        <w:rPr>
          <w:sz w:val="18"/>
        </w:rPr>
        <w:t>also</w:t>
      </w:r>
      <w:r>
        <w:rPr>
          <w:spacing w:val="-6"/>
          <w:sz w:val="18"/>
        </w:rPr>
        <w:t> </w:t>
      </w:r>
      <w:r>
        <w:rPr>
          <w:sz w:val="18"/>
        </w:rPr>
        <w:t>be</w:t>
      </w:r>
      <w:r>
        <w:rPr>
          <w:spacing w:val="-3"/>
          <w:sz w:val="18"/>
        </w:rPr>
        <w:t> </w:t>
      </w:r>
      <w:r>
        <w:rPr>
          <w:sz w:val="18"/>
        </w:rPr>
        <w:t>established.</w:t>
      </w:r>
    </w:p>
    <w:p>
      <w:pPr>
        <w:pStyle w:val="ListParagraph"/>
        <w:numPr>
          <w:ilvl w:val="0"/>
          <w:numId w:val="3"/>
        </w:numPr>
        <w:tabs>
          <w:tab w:pos="318" w:val="left" w:leader="none"/>
        </w:tabs>
        <w:spacing w:line="237" w:lineRule="auto" w:before="104" w:after="0"/>
        <w:ind w:left="116" w:right="265" w:firstLine="0"/>
        <w:jc w:val="left"/>
        <w:rPr>
          <w:sz w:val="18"/>
        </w:rPr>
      </w:pPr>
      <w:r>
        <w:rPr>
          <w:sz w:val="18"/>
        </w:rPr>
        <w:t>Failure to provide access to pain management violates the United Nations 1961 Single Convention on Narcotic Drugs declaring the medical use of narcotic drugs indispensable for the relief of pain and mandating adequate provision of narcotic drugs for medical</w:t>
      </w:r>
      <w:r>
        <w:rPr>
          <w:spacing w:val="-15"/>
          <w:sz w:val="18"/>
        </w:rPr>
        <w:t> </w:t>
      </w:r>
      <w:r>
        <w:rPr>
          <w:sz w:val="18"/>
        </w:rPr>
        <w:t>use.</w:t>
      </w:r>
    </w:p>
    <w:p>
      <w:pPr>
        <w:pStyle w:val="ListParagraph"/>
        <w:numPr>
          <w:ilvl w:val="0"/>
          <w:numId w:val="3"/>
        </w:numPr>
        <w:tabs>
          <w:tab w:pos="318" w:val="left" w:leader="none"/>
        </w:tabs>
        <w:spacing w:line="237" w:lineRule="auto" w:before="104" w:after="0"/>
        <w:ind w:left="116" w:right="495" w:firstLine="0"/>
        <w:jc w:val="left"/>
        <w:rPr>
          <w:sz w:val="18"/>
        </w:rPr>
      </w:pPr>
      <w:r>
        <w:rPr>
          <w:sz w:val="18"/>
        </w:rPr>
        <w:t>The UN Universal Declaration of Human Rights (1948) (Article 5) states: “No one shall be subjected to torture or to cruel, inhuman or degrading treatment…” Comment: Deliberately ignoring a patient’s need for pain management or failing</w:t>
      </w:r>
      <w:r>
        <w:rPr>
          <w:spacing w:val="-2"/>
          <w:sz w:val="18"/>
        </w:rPr>
        <w:t> </w:t>
      </w:r>
      <w:r>
        <w:rPr>
          <w:sz w:val="18"/>
        </w:rPr>
        <w:t>to</w:t>
      </w:r>
      <w:r>
        <w:rPr>
          <w:spacing w:val="-2"/>
          <w:sz w:val="18"/>
        </w:rPr>
        <w:t> </w:t>
      </w:r>
      <w:r>
        <w:rPr>
          <w:sz w:val="18"/>
        </w:rPr>
        <w:t>call</w:t>
      </w:r>
      <w:r>
        <w:rPr>
          <w:spacing w:val="-5"/>
          <w:sz w:val="18"/>
        </w:rPr>
        <w:t> </w:t>
      </w:r>
      <w:r>
        <w:rPr>
          <w:sz w:val="18"/>
        </w:rPr>
        <w:t>for</w:t>
      </w:r>
      <w:r>
        <w:rPr>
          <w:spacing w:val="-5"/>
          <w:sz w:val="18"/>
        </w:rPr>
        <w:t> </w:t>
      </w:r>
      <w:r>
        <w:rPr>
          <w:sz w:val="18"/>
        </w:rPr>
        <w:t>specialized</w:t>
      </w:r>
      <w:r>
        <w:rPr>
          <w:spacing w:val="-2"/>
          <w:sz w:val="18"/>
        </w:rPr>
        <w:t> </w:t>
      </w:r>
      <w:r>
        <w:rPr>
          <w:sz w:val="18"/>
        </w:rPr>
        <w:t>help</w:t>
      </w:r>
      <w:r>
        <w:rPr>
          <w:spacing w:val="-2"/>
          <w:sz w:val="18"/>
        </w:rPr>
        <w:t> </w:t>
      </w:r>
      <w:r>
        <w:rPr>
          <w:sz w:val="18"/>
        </w:rPr>
        <w:t>if</w:t>
      </w:r>
      <w:r>
        <w:rPr>
          <w:spacing w:val="-5"/>
          <w:sz w:val="18"/>
        </w:rPr>
        <w:t> </w:t>
      </w:r>
      <w:r>
        <w:rPr>
          <w:sz w:val="18"/>
        </w:rPr>
        <w:t>unable</w:t>
      </w:r>
      <w:r>
        <w:rPr>
          <w:spacing w:val="-5"/>
          <w:sz w:val="18"/>
        </w:rPr>
        <w:t> </w:t>
      </w:r>
      <w:r>
        <w:rPr>
          <w:sz w:val="18"/>
        </w:rPr>
        <w:t>to</w:t>
      </w:r>
      <w:r>
        <w:rPr>
          <w:spacing w:val="-2"/>
          <w:sz w:val="18"/>
        </w:rPr>
        <w:t> </w:t>
      </w:r>
      <w:r>
        <w:rPr>
          <w:sz w:val="18"/>
        </w:rPr>
        <w:t>achieve</w:t>
      </w:r>
      <w:r>
        <w:rPr>
          <w:spacing w:val="-2"/>
          <w:sz w:val="18"/>
        </w:rPr>
        <w:t> </w:t>
      </w:r>
      <w:r>
        <w:rPr>
          <w:sz w:val="18"/>
        </w:rPr>
        <w:t>pain</w:t>
      </w:r>
      <w:r>
        <w:rPr>
          <w:spacing w:val="-2"/>
          <w:sz w:val="18"/>
        </w:rPr>
        <w:t> </w:t>
      </w:r>
      <w:r>
        <w:rPr>
          <w:sz w:val="18"/>
        </w:rPr>
        <w:t>relief</w:t>
      </w:r>
      <w:r>
        <w:rPr>
          <w:spacing w:val="-3"/>
          <w:sz w:val="18"/>
        </w:rPr>
        <w:t> </w:t>
      </w:r>
      <w:r>
        <w:rPr>
          <w:sz w:val="18"/>
        </w:rPr>
        <w:t>may</w:t>
      </w:r>
      <w:r>
        <w:rPr>
          <w:spacing w:val="-4"/>
          <w:sz w:val="18"/>
        </w:rPr>
        <w:t> </w:t>
      </w:r>
      <w:r>
        <w:rPr>
          <w:sz w:val="18"/>
        </w:rPr>
        <w:t>represent</w:t>
      </w:r>
      <w:r>
        <w:rPr>
          <w:spacing w:val="-5"/>
          <w:sz w:val="18"/>
        </w:rPr>
        <w:t> </w:t>
      </w:r>
      <w:r>
        <w:rPr>
          <w:sz w:val="18"/>
        </w:rPr>
        <w:t>a</w:t>
      </w:r>
      <w:r>
        <w:rPr>
          <w:spacing w:val="-2"/>
          <w:sz w:val="18"/>
        </w:rPr>
        <w:t> </w:t>
      </w:r>
      <w:r>
        <w:rPr>
          <w:sz w:val="18"/>
        </w:rPr>
        <w:t>violation</w:t>
      </w:r>
      <w:r>
        <w:rPr>
          <w:spacing w:val="-2"/>
          <w:sz w:val="18"/>
        </w:rPr>
        <w:t> </w:t>
      </w:r>
      <w:r>
        <w:rPr>
          <w:sz w:val="18"/>
        </w:rPr>
        <w:t>of</w:t>
      </w:r>
      <w:r>
        <w:rPr>
          <w:spacing w:val="-5"/>
          <w:sz w:val="18"/>
        </w:rPr>
        <w:t> </w:t>
      </w:r>
      <w:r>
        <w:rPr>
          <w:sz w:val="18"/>
        </w:rPr>
        <w:t>Article</w:t>
      </w:r>
      <w:r>
        <w:rPr>
          <w:spacing w:val="-2"/>
          <w:sz w:val="18"/>
        </w:rPr>
        <w:t> </w:t>
      </w:r>
      <w:r>
        <w:rPr>
          <w:sz w:val="18"/>
        </w:rPr>
        <w:t>5.</w:t>
      </w:r>
    </w:p>
    <w:p>
      <w:pPr>
        <w:pStyle w:val="ListParagraph"/>
        <w:numPr>
          <w:ilvl w:val="0"/>
          <w:numId w:val="3"/>
        </w:numPr>
        <w:tabs>
          <w:tab w:pos="318" w:val="left" w:leader="none"/>
        </w:tabs>
        <w:spacing w:line="240" w:lineRule="auto" w:before="102" w:after="0"/>
        <w:ind w:left="116" w:right="185" w:firstLine="0"/>
        <w:jc w:val="left"/>
        <w:rPr>
          <w:sz w:val="18"/>
        </w:rPr>
      </w:pPr>
      <w:r>
        <w:rPr>
          <w:sz w:val="18"/>
        </w:rPr>
        <w:t>The UN Special Rapporteur on the Right to Health and the UN Special Rapporteur on the question of torture and other cruel, inhuman, and degrading treatment stated: “The failure to ensure access to controlled medicines for the relief of pain and suffering threatens fundamental rights to health and to protection against cruel, inhuman and degrading treatment.”</w:t>
      </w:r>
    </w:p>
    <w:p>
      <w:pPr>
        <w:spacing w:before="97"/>
        <w:ind w:left="115" w:right="0" w:firstLine="0"/>
        <w:jc w:val="left"/>
        <w:rPr>
          <w:b/>
          <w:sz w:val="20"/>
        </w:rPr>
      </w:pPr>
      <w:r>
        <w:rPr>
          <w:b/>
          <w:sz w:val="20"/>
        </w:rPr>
        <w:t>References</w:t>
      </w:r>
    </w:p>
    <w:p>
      <w:pPr>
        <w:spacing w:line="372" w:lineRule="auto" w:before="99"/>
        <w:ind w:left="115" w:right="1678" w:firstLine="0"/>
        <w:jc w:val="both"/>
        <w:rPr>
          <w:sz w:val="16"/>
        </w:rPr>
      </w:pPr>
      <w:r>
        <w:rPr>
          <w:sz w:val="16"/>
        </w:rPr>
        <w:t>ANZCA. Statement on patients’ rights to pain management. ANZCA PS 45; 2001. Available at: </w:t>
      </w:r>
      <w:hyperlink r:id="rId5">
        <w:r>
          <w:rPr>
            <w:sz w:val="16"/>
          </w:rPr>
          <w:t>www.anzca.edu.au.</w:t>
        </w:r>
      </w:hyperlink>
      <w:r>
        <w:rPr>
          <w:sz w:val="16"/>
        </w:rPr>
        <w:t> Brennan F, Carr DB, Cousins MJ. Pain management: a fundamental human right. Anesth Analg 2007;105:205–21. Cousins MJ, Brennan F, Carr DB. Pain relief: a universal human right. Pain 2004:112:1–4.</w:t>
      </w:r>
    </w:p>
    <w:p>
      <w:pPr>
        <w:spacing w:before="0"/>
        <w:ind w:left="115" w:right="0" w:firstLine="0"/>
        <w:jc w:val="left"/>
        <w:rPr>
          <w:sz w:val="16"/>
        </w:rPr>
      </w:pPr>
      <w:r>
        <w:rPr>
          <w:sz w:val="16"/>
        </w:rPr>
        <w:t>FEDELAT. Proclamation of pain treatment and the application of palliative care as human rights, May 22, 2008.</w:t>
      </w:r>
    </w:p>
    <w:p>
      <w:pPr>
        <w:spacing w:before="101"/>
        <w:ind w:left="115" w:right="731" w:firstLine="0"/>
        <w:jc w:val="left"/>
        <w:rPr>
          <w:sz w:val="16"/>
        </w:rPr>
      </w:pPr>
      <w:r>
        <w:rPr>
          <w:sz w:val="16"/>
        </w:rPr>
        <w:t>IAHPC. Joint declaration and statement of commitment on palliative care and pain treatment as human rights. Available at </w:t>
      </w:r>
      <w:hyperlink r:id="rId6">
        <w:r>
          <w:rPr>
            <w:sz w:val="16"/>
          </w:rPr>
          <w:t>www.</w:t>
        </w:r>
      </w:hyperlink>
      <w:r>
        <w:rPr>
          <w:sz w:val="16"/>
        </w:rPr>
        <w:t> Hospicecare.com</w:t>
      </w:r>
    </w:p>
    <w:p>
      <w:pPr>
        <w:spacing w:before="101"/>
        <w:ind w:left="115" w:right="411" w:firstLine="0"/>
        <w:jc w:val="left"/>
        <w:rPr>
          <w:sz w:val="16"/>
        </w:rPr>
      </w:pPr>
      <w:r>
        <w:rPr>
          <w:sz w:val="16"/>
        </w:rPr>
        <w:t>Scholten W, Nygren-Krug H, Zucker HA. The World Health Organization paves the way for action to free people from the shackles of pain. Anesth Analg 2007;105:1–4.</w:t>
      </w:r>
    </w:p>
    <w:p>
      <w:pPr>
        <w:spacing w:before="101"/>
        <w:ind w:left="115" w:right="144" w:firstLine="0"/>
        <w:jc w:val="left"/>
        <w:rPr>
          <w:sz w:val="16"/>
        </w:rPr>
      </w:pPr>
      <w:r>
        <w:rPr>
          <w:sz w:val="16"/>
        </w:rPr>
        <w:t>Somerville M. Death of pain: pain, suffering, and ethics. In Gebhart GF, Hammond DL, Jensen TS, editors. Proceedings of the 7th World Congress on Pain. Progress in Pain Research and Management, Vol. 2. Seattle: IASP Press; 1994. p. 41–58.</w:t>
      </w:r>
    </w:p>
    <w:p>
      <w:pPr>
        <w:pStyle w:val="BodyText"/>
        <w:spacing w:before="0"/>
        <w:ind w:left="0"/>
      </w:pPr>
    </w:p>
    <w:p>
      <w:pPr>
        <w:pStyle w:val="BodyText"/>
        <w:spacing w:before="131"/>
        <w:ind w:left="5585"/>
      </w:pPr>
      <w:r>
        <w:rPr/>
        <w:t>(Approved by the IASP Council on October 28, 2010)</w:t>
      </w:r>
    </w:p>
    <w:sectPr>
      <w:pgSz w:w="12240" w:h="15840"/>
      <w:pgMar w:top="920" w:bottom="280" w:left="11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6" w:hanging="252"/>
        <w:jc w:val="left"/>
      </w:pPr>
      <w:rPr>
        <w:rFonts w:hint="default" w:ascii="Arial" w:hAnsi="Arial" w:eastAsia="Arial" w:cs="Arial"/>
        <w:w w:val="99"/>
        <w:sz w:val="18"/>
        <w:szCs w:val="18"/>
      </w:rPr>
    </w:lvl>
    <w:lvl w:ilvl="1">
      <w:start w:val="0"/>
      <w:numFmt w:val="bullet"/>
      <w:lvlText w:val="•"/>
      <w:lvlJc w:val="left"/>
      <w:pPr>
        <w:ind w:left="1100" w:hanging="252"/>
      </w:pPr>
      <w:rPr>
        <w:rFonts w:hint="default"/>
      </w:rPr>
    </w:lvl>
    <w:lvl w:ilvl="2">
      <w:start w:val="0"/>
      <w:numFmt w:val="bullet"/>
      <w:lvlText w:val="•"/>
      <w:lvlJc w:val="left"/>
      <w:pPr>
        <w:ind w:left="2080" w:hanging="252"/>
      </w:pPr>
      <w:rPr>
        <w:rFonts w:hint="default"/>
      </w:rPr>
    </w:lvl>
    <w:lvl w:ilvl="3">
      <w:start w:val="0"/>
      <w:numFmt w:val="bullet"/>
      <w:lvlText w:val="•"/>
      <w:lvlJc w:val="left"/>
      <w:pPr>
        <w:ind w:left="3060" w:hanging="252"/>
      </w:pPr>
      <w:rPr>
        <w:rFonts w:hint="default"/>
      </w:rPr>
    </w:lvl>
    <w:lvl w:ilvl="4">
      <w:start w:val="0"/>
      <w:numFmt w:val="bullet"/>
      <w:lvlText w:val="•"/>
      <w:lvlJc w:val="left"/>
      <w:pPr>
        <w:ind w:left="4040" w:hanging="252"/>
      </w:pPr>
      <w:rPr>
        <w:rFonts w:hint="default"/>
      </w:rPr>
    </w:lvl>
    <w:lvl w:ilvl="5">
      <w:start w:val="0"/>
      <w:numFmt w:val="bullet"/>
      <w:lvlText w:val="•"/>
      <w:lvlJc w:val="left"/>
      <w:pPr>
        <w:ind w:left="5020" w:hanging="252"/>
      </w:pPr>
      <w:rPr>
        <w:rFonts w:hint="default"/>
      </w:rPr>
    </w:lvl>
    <w:lvl w:ilvl="6">
      <w:start w:val="0"/>
      <w:numFmt w:val="bullet"/>
      <w:lvlText w:val="•"/>
      <w:lvlJc w:val="left"/>
      <w:pPr>
        <w:ind w:left="6000" w:hanging="252"/>
      </w:pPr>
      <w:rPr>
        <w:rFonts w:hint="default"/>
      </w:rPr>
    </w:lvl>
    <w:lvl w:ilvl="7">
      <w:start w:val="0"/>
      <w:numFmt w:val="bullet"/>
      <w:lvlText w:val="•"/>
      <w:lvlJc w:val="left"/>
      <w:pPr>
        <w:ind w:left="6980" w:hanging="252"/>
      </w:pPr>
      <w:rPr>
        <w:rFonts w:hint="default"/>
      </w:rPr>
    </w:lvl>
    <w:lvl w:ilvl="8">
      <w:start w:val="0"/>
      <w:numFmt w:val="bullet"/>
      <w:lvlText w:val="•"/>
      <w:lvlJc w:val="left"/>
      <w:pPr>
        <w:ind w:left="7960" w:hanging="252"/>
      </w:pPr>
      <w:rPr>
        <w:rFonts w:hint="default"/>
      </w:rPr>
    </w:lvl>
  </w:abstractNum>
  <w:abstractNum w:abstractNumId="1">
    <w:multiLevelType w:val="hybridMultilevel"/>
    <w:lvl w:ilvl="0">
      <w:start w:val="1"/>
      <w:numFmt w:val="decimal"/>
      <w:lvlText w:val="%1."/>
      <w:lvlJc w:val="left"/>
      <w:pPr>
        <w:ind w:left="136" w:hanging="221"/>
        <w:jc w:val="left"/>
      </w:pPr>
      <w:rPr>
        <w:rFonts w:hint="default" w:ascii="Arial" w:hAnsi="Arial" w:eastAsia="Arial" w:cs="Arial"/>
        <w:spacing w:val="-1"/>
        <w:w w:val="99"/>
        <w:sz w:val="20"/>
        <w:szCs w:val="20"/>
      </w:rPr>
    </w:lvl>
    <w:lvl w:ilvl="1">
      <w:start w:val="0"/>
      <w:numFmt w:val="bullet"/>
      <w:lvlText w:val="•"/>
      <w:lvlJc w:val="left"/>
      <w:pPr>
        <w:ind w:left="1118" w:hanging="221"/>
      </w:pPr>
      <w:rPr>
        <w:rFonts w:hint="default"/>
      </w:rPr>
    </w:lvl>
    <w:lvl w:ilvl="2">
      <w:start w:val="0"/>
      <w:numFmt w:val="bullet"/>
      <w:lvlText w:val="•"/>
      <w:lvlJc w:val="left"/>
      <w:pPr>
        <w:ind w:left="2096" w:hanging="221"/>
      </w:pPr>
      <w:rPr>
        <w:rFonts w:hint="default"/>
      </w:rPr>
    </w:lvl>
    <w:lvl w:ilvl="3">
      <w:start w:val="0"/>
      <w:numFmt w:val="bullet"/>
      <w:lvlText w:val="•"/>
      <w:lvlJc w:val="left"/>
      <w:pPr>
        <w:ind w:left="3074" w:hanging="221"/>
      </w:pPr>
      <w:rPr>
        <w:rFonts w:hint="default"/>
      </w:rPr>
    </w:lvl>
    <w:lvl w:ilvl="4">
      <w:start w:val="0"/>
      <w:numFmt w:val="bullet"/>
      <w:lvlText w:val="•"/>
      <w:lvlJc w:val="left"/>
      <w:pPr>
        <w:ind w:left="4052" w:hanging="221"/>
      </w:pPr>
      <w:rPr>
        <w:rFonts w:hint="default"/>
      </w:rPr>
    </w:lvl>
    <w:lvl w:ilvl="5">
      <w:start w:val="0"/>
      <w:numFmt w:val="bullet"/>
      <w:lvlText w:val="•"/>
      <w:lvlJc w:val="left"/>
      <w:pPr>
        <w:ind w:left="5030" w:hanging="221"/>
      </w:pPr>
      <w:rPr>
        <w:rFonts w:hint="default"/>
      </w:rPr>
    </w:lvl>
    <w:lvl w:ilvl="6">
      <w:start w:val="0"/>
      <w:numFmt w:val="bullet"/>
      <w:lvlText w:val="•"/>
      <w:lvlJc w:val="left"/>
      <w:pPr>
        <w:ind w:left="6008" w:hanging="221"/>
      </w:pPr>
      <w:rPr>
        <w:rFonts w:hint="default"/>
      </w:rPr>
    </w:lvl>
    <w:lvl w:ilvl="7">
      <w:start w:val="0"/>
      <w:numFmt w:val="bullet"/>
      <w:lvlText w:val="•"/>
      <w:lvlJc w:val="left"/>
      <w:pPr>
        <w:ind w:left="6986" w:hanging="221"/>
      </w:pPr>
      <w:rPr>
        <w:rFonts w:hint="default"/>
      </w:rPr>
    </w:lvl>
    <w:lvl w:ilvl="8">
      <w:start w:val="0"/>
      <w:numFmt w:val="bullet"/>
      <w:lvlText w:val="•"/>
      <w:lvlJc w:val="left"/>
      <w:pPr>
        <w:ind w:left="7964" w:hanging="221"/>
      </w:pPr>
      <w:rPr>
        <w:rFonts w:hint="default"/>
      </w:rPr>
    </w:lvl>
  </w:abstractNum>
  <w:abstractNum w:abstractNumId="0">
    <w:multiLevelType w:val="hybridMultilevel"/>
    <w:lvl w:ilvl="0">
      <w:start w:val="0"/>
      <w:numFmt w:val="bullet"/>
      <w:lvlText w:val=""/>
      <w:lvlJc w:val="left"/>
      <w:pPr>
        <w:ind w:left="856" w:hanging="360"/>
      </w:pPr>
      <w:rPr>
        <w:rFonts w:hint="default" w:ascii="Symbol" w:hAnsi="Symbol" w:eastAsia="Symbol" w:cs="Symbol"/>
        <w:w w:val="99"/>
        <w:sz w:val="20"/>
        <w:szCs w:val="20"/>
      </w:rPr>
    </w:lvl>
    <w:lvl w:ilvl="1">
      <w:start w:val="0"/>
      <w:numFmt w:val="bullet"/>
      <w:lvlText w:val="•"/>
      <w:lvlJc w:val="left"/>
      <w:pPr>
        <w:ind w:left="1766" w:hanging="360"/>
      </w:pPr>
      <w:rPr>
        <w:rFonts w:hint="default"/>
      </w:rPr>
    </w:lvl>
    <w:lvl w:ilvl="2">
      <w:start w:val="0"/>
      <w:numFmt w:val="bullet"/>
      <w:lvlText w:val="•"/>
      <w:lvlJc w:val="left"/>
      <w:pPr>
        <w:ind w:left="2672" w:hanging="360"/>
      </w:pPr>
      <w:rPr>
        <w:rFonts w:hint="default"/>
      </w:rPr>
    </w:lvl>
    <w:lvl w:ilvl="3">
      <w:start w:val="0"/>
      <w:numFmt w:val="bullet"/>
      <w:lvlText w:val="•"/>
      <w:lvlJc w:val="left"/>
      <w:pPr>
        <w:ind w:left="3578" w:hanging="360"/>
      </w:pPr>
      <w:rPr>
        <w:rFonts w:hint="default"/>
      </w:rPr>
    </w:lvl>
    <w:lvl w:ilvl="4">
      <w:start w:val="0"/>
      <w:numFmt w:val="bullet"/>
      <w:lvlText w:val="•"/>
      <w:lvlJc w:val="left"/>
      <w:pPr>
        <w:ind w:left="4484" w:hanging="360"/>
      </w:pPr>
      <w:rPr>
        <w:rFonts w:hint="default"/>
      </w:rPr>
    </w:lvl>
    <w:lvl w:ilvl="5">
      <w:start w:val="0"/>
      <w:numFmt w:val="bullet"/>
      <w:lvlText w:val="•"/>
      <w:lvlJc w:val="left"/>
      <w:pPr>
        <w:ind w:left="5390" w:hanging="360"/>
      </w:pPr>
      <w:rPr>
        <w:rFonts w:hint="default"/>
      </w:rPr>
    </w:lvl>
    <w:lvl w:ilvl="6">
      <w:start w:val="0"/>
      <w:numFmt w:val="bullet"/>
      <w:lvlText w:val="•"/>
      <w:lvlJc w:val="left"/>
      <w:pPr>
        <w:ind w:left="6296" w:hanging="360"/>
      </w:pPr>
      <w:rPr>
        <w:rFonts w:hint="default"/>
      </w:rPr>
    </w:lvl>
    <w:lvl w:ilvl="7">
      <w:start w:val="0"/>
      <w:numFmt w:val="bullet"/>
      <w:lvlText w:val="•"/>
      <w:lvlJc w:val="left"/>
      <w:pPr>
        <w:ind w:left="7202" w:hanging="360"/>
      </w:pPr>
      <w:rPr>
        <w:rFonts w:hint="default"/>
      </w:rPr>
    </w:lvl>
    <w:lvl w:ilvl="8">
      <w:start w:val="0"/>
      <w:numFmt w:val="bullet"/>
      <w:lvlText w:val="•"/>
      <w:lvlJc w:val="left"/>
      <w:pPr>
        <w:ind w:left="8108"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04"/>
      <w:ind w:left="116"/>
    </w:pPr>
    <w:rPr>
      <w:rFonts w:ascii="Arial" w:hAnsi="Arial" w:eastAsia="Arial" w:cs="Arial"/>
      <w:sz w:val="18"/>
      <w:szCs w:val="18"/>
    </w:rPr>
  </w:style>
  <w:style w:styleId="Heading1" w:type="paragraph">
    <w:name w:val="Heading 1"/>
    <w:basedOn w:val="Normal"/>
    <w:uiPriority w:val="1"/>
    <w:qFormat/>
    <w:pPr>
      <w:ind w:left="135"/>
      <w:outlineLvl w:val="1"/>
    </w:pPr>
    <w:rPr>
      <w:rFonts w:ascii="Arial" w:hAnsi="Arial" w:eastAsia="Arial" w:cs="Arial"/>
      <w:b/>
      <w:bCs/>
      <w:sz w:val="22"/>
      <w:szCs w:val="22"/>
    </w:rPr>
  </w:style>
  <w:style w:styleId="Heading2" w:type="paragraph">
    <w:name w:val="Heading 2"/>
    <w:basedOn w:val="Normal"/>
    <w:uiPriority w:val="1"/>
    <w:qFormat/>
    <w:pPr>
      <w:spacing w:before="71"/>
      <w:ind w:left="115"/>
      <w:outlineLvl w:val="2"/>
    </w:pPr>
    <w:rPr>
      <w:rFonts w:ascii="Arial" w:hAnsi="Arial" w:eastAsia="Arial" w:cs="Arial"/>
      <w:b/>
      <w:bCs/>
      <w:sz w:val="20"/>
      <w:szCs w:val="20"/>
    </w:rPr>
  </w:style>
  <w:style w:styleId="ListParagraph" w:type="paragraph">
    <w:name w:val="List Paragraph"/>
    <w:basedOn w:val="Normal"/>
    <w:uiPriority w:val="1"/>
    <w:qFormat/>
    <w:pPr>
      <w:spacing w:before="104"/>
      <w:ind w:left="116" w:right="23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nzca.edu.au/" TargetMode="External"/><Relationship Id="rId6" Type="http://schemas.openxmlformats.org/officeDocument/2006/relationships/hyperlink" Target="http://www/"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sarah.reebs</dc:creator>
  <dc:title>DECLARATION OF MONTREALfinal-Arial</dc:title>
  <dcterms:created xsi:type="dcterms:W3CDTF">2018-06-12T23:16:47Z</dcterms:created>
  <dcterms:modified xsi:type="dcterms:W3CDTF">2018-06-12T23:16:47Z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PDFCreator Version 0.9.3</vt:lpwstr>
  </property>
  <property fmtid="{D5CDD505-2E9C-101B-9397-08002B2CF9AE}" pid="4" name="LastSaved">
    <vt:filetime>2018-06-13T00:00:00Z</vt:filetime>
  </property>
</Properties>
</file>