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1CB" w:rsidRDefault="002731CB">
      <w:pPr>
        <w:pStyle w:val="BodyText"/>
        <w:rPr>
          <w:rFonts w:ascii="Times New Roman"/>
          <w:sz w:val="23"/>
        </w:rPr>
      </w:pPr>
    </w:p>
    <w:p w:rsidR="002731CB" w:rsidRDefault="00F315C8">
      <w:pPr>
        <w:spacing w:before="92"/>
        <w:ind w:left="1078"/>
        <w:rPr>
          <w:b/>
          <w:i/>
          <w:sz w:val="28"/>
        </w:rPr>
      </w:pPr>
      <w:r>
        <w:rPr>
          <w:b/>
          <w:i/>
          <w:color w:val="231F20"/>
          <w:sz w:val="28"/>
        </w:rPr>
        <w:t>Statin Therapy for Patients With Cardiovascular Disease (SPC)</w:t>
      </w:r>
    </w:p>
    <w:p w:rsidR="002731CB" w:rsidRDefault="00F315C8">
      <w:pPr>
        <w:pStyle w:val="BodyText"/>
        <w:spacing w:before="4"/>
        <w:rPr>
          <w:b/>
          <w:i/>
          <w:sz w:val="28"/>
        </w:rPr>
      </w:pPr>
      <w:r>
        <w:pict>
          <v:line id="_x0000_s1079" style="position:absolute;z-index:251653120;mso-wrap-distance-left:0;mso-wrap-distance-right:0;mso-position-horizontal-relative:page" from="70.55pt,18.65pt" to="559.45pt,18.65pt" strokecolor="#231f20" strokeweight=".72pt">
            <w10:wrap type="topAndBottom" anchorx="page"/>
          </v:line>
        </w:pict>
      </w:r>
    </w:p>
    <w:p w:rsidR="002731CB" w:rsidRDefault="00F315C8">
      <w:pPr>
        <w:spacing w:before="6" w:after="22"/>
        <w:ind w:left="200"/>
        <w:rPr>
          <w:b/>
        </w:rPr>
      </w:pPr>
      <w:r>
        <w:rPr>
          <w:b/>
          <w:color w:val="231F20"/>
        </w:rPr>
        <w:t>S</w:t>
      </w:r>
      <w:r>
        <w:rPr>
          <w:b/>
          <w:color w:val="231F20"/>
          <w:sz w:val="18"/>
        </w:rPr>
        <w:t xml:space="preserve">UMMARY OF </w:t>
      </w:r>
      <w:r>
        <w:rPr>
          <w:b/>
          <w:color w:val="231F20"/>
        </w:rPr>
        <w:t>C</w:t>
      </w:r>
      <w:r>
        <w:rPr>
          <w:b/>
          <w:color w:val="231F20"/>
          <w:sz w:val="18"/>
        </w:rPr>
        <w:t xml:space="preserve">HANGES TO </w:t>
      </w:r>
      <w:r>
        <w:rPr>
          <w:b/>
          <w:color w:val="231F20"/>
        </w:rPr>
        <w:t>HEDIS 2018</w:t>
      </w:r>
    </w:p>
    <w:p w:rsidR="002731CB" w:rsidRDefault="00F315C8">
      <w:pPr>
        <w:pStyle w:val="BodyText"/>
        <w:spacing w:line="20" w:lineRule="exact"/>
        <w:ind w:left="163"/>
        <w:rPr>
          <w:sz w:val="2"/>
        </w:rPr>
      </w:pPr>
      <w:r>
        <w:rPr>
          <w:sz w:val="2"/>
        </w:rPr>
      </w:r>
      <w:r>
        <w:rPr>
          <w:sz w:val="2"/>
        </w:rPr>
        <w:pict>
          <v:group id="_x0000_s1077" style="width:489.65pt;height:.75pt;mso-position-horizontal-relative:char;mso-position-vertical-relative:line" coordsize="9793,15">
            <v:line id="_x0000_s1078" style="position:absolute" from="8,8" to="9785,8" strokecolor="#231f20" strokeweight=".72pt"/>
            <w10:wrap type="none"/>
            <w10:anchorlock/>
          </v:group>
        </w:pict>
      </w:r>
    </w:p>
    <w:p w:rsidR="002731CB" w:rsidRDefault="00F315C8">
      <w:pPr>
        <w:pStyle w:val="ListParagraph"/>
        <w:numPr>
          <w:ilvl w:val="0"/>
          <w:numId w:val="13"/>
        </w:numPr>
        <w:tabs>
          <w:tab w:val="left" w:pos="417"/>
        </w:tabs>
        <w:spacing w:before="113"/>
        <w:ind w:hanging="216"/>
        <w:rPr>
          <w:sz w:val="20"/>
        </w:rPr>
      </w:pPr>
      <w:r>
        <w:rPr>
          <w:color w:val="231F20"/>
          <w:sz w:val="20"/>
        </w:rPr>
        <w:t>Clarified that the pregnancy required exclusion should be applied to only female</w:t>
      </w:r>
      <w:r>
        <w:rPr>
          <w:color w:val="231F20"/>
          <w:spacing w:val="-29"/>
          <w:sz w:val="20"/>
        </w:rPr>
        <w:t xml:space="preserve"> </w:t>
      </w:r>
      <w:r>
        <w:rPr>
          <w:color w:val="231F20"/>
          <w:sz w:val="20"/>
        </w:rPr>
        <w:t>members.</w:t>
      </w:r>
    </w:p>
    <w:p w:rsidR="002731CB" w:rsidRDefault="00F315C8">
      <w:pPr>
        <w:pStyle w:val="ListParagraph"/>
        <w:numPr>
          <w:ilvl w:val="0"/>
          <w:numId w:val="13"/>
        </w:numPr>
        <w:tabs>
          <w:tab w:val="left" w:pos="417"/>
        </w:tabs>
        <w:spacing w:before="60"/>
        <w:ind w:hanging="216"/>
        <w:rPr>
          <w:sz w:val="20"/>
        </w:rPr>
      </w:pPr>
      <w:r>
        <w:rPr>
          <w:color w:val="231F20"/>
          <w:sz w:val="20"/>
        </w:rPr>
        <w:t>Replaced medication table references with references to medication</w:t>
      </w:r>
      <w:r>
        <w:rPr>
          <w:color w:val="231F20"/>
          <w:spacing w:val="-37"/>
          <w:sz w:val="20"/>
        </w:rPr>
        <w:t xml:space="preserve"> </w:t>
      </w:r>
      <w:r>
        <w:rPr>
          <w:color w:val="231F20"/>
          <w:sz w:val="20"/>
        </w:rPr>
        <w:t>lists.</w:t>
      </w:r>
    </w:p>
    <w:p w:rsidR="002731CB" w:rsidRDefault="00F315C8">
      <w:pPr>
        <w:pStyle w:val="BodyText"/>
        <w:spacing w:before="9"/>
        <w:rPr>
          <w:sz w:val="27"/>
        </w:rPr>
      </w:pPr>
      <w:r>
        <w:pict>
          <v:group id="_x0000_s1068" style="position:absolute;margin-left:67.55pt;margin-top:17.95pt;width:494.95pt;height:18.65pt;z-index:251654144;mso-wrap-distance-left:0;mso-wrap-distance-right:0;mso-position-horizontal-relative:page" coordorigin="1351,359" coordsize="9899,373">
            <v:rect id="_x0000_s1076" style="position:absolute;left:1373;top:374;width:9854;height:336" fillcolor="#231f20" stroked="f"/>
            <v:line id="_x0000_s1075" style="position:absolute" from="1358,367" to="1373,367" strokecolor="#231f20" strokeweight=".72pt"/>
            <v:line id="_x0000_s1074" style="position:absolute" from="1358,367" to="11242,367" strokecolor="#231f20" strokeweight=".72pt"/>
            <v:line id="_x0000_s1073" style="position:absolute" from="11227,367" to="11242,367" strokecolor="#231f20" strokeweight=".72pt"/>
            <v:line id="_x0000_s1072" style="position:absolute" from="1358,717" to="11242,717" strokecolor="#231f20" strokeweight=".72pt"/>
            <v:line id="_x0000_s1071" style="position:absolute" from="1366,374" to="1366,724" strokecolor="#231f20" strokeweight=".72pt"/>
            <v:line id="_x0000_s1070" style="position:absolute" from="11234,374" to="11234,724" strokecolor="#231f20" strokeweight=".72pt"/>
            <v:shapetype id="_x0000_t202" coordsize="21600,21600" o:spt="202" path="m,l,21600r21600,l21600,xe">
              <v:stroke joinstyle="miter"/>
              <v:path gradientshapeok="t" o:connecttype="rect"/>
            </v:shapetype>
            <v:shape id="_x0000_s1069" type="#_x0000_t202" style="position:absolute;left:1358;top:367;width:9884;height:351" filled="f" stroked="f">
              <v:textbox inset="0,0,0,0">
                <w:txbxContent>
                  <w:p w:rsidR="002731CB" w:rsidRDefault="00F315C8">
                    <w:pPr>
                      <w:spacing w:before="45"/>
                      <w:ind w:left="81"/>
                      <w:rPr>
                        <w:b/>
                      </w:rPr>
                    </w:pPr>
                    <w:r>
                      <w:rPr>
                        <w:b/>
                        <w:color w:val="FFFFFF"/>
                      </w:rPr>
                      <w:t>Description</w:t>
                    </w:r>
                  </w:p>
                </w:txbxContent>
              </v:textbox>
            </v:shape>
            <w10:wrap type="topAndBottom" anchorx="page"/>
          </v:group>
        </w:pict>
      </w:r>
    </w:p>
    <w:p w:rsidR="002731CB" w:rsidRDefault="00F315C8">
      <w:pPr>
        <w:pStyle w:val="BodyText"/>
        <w:spacing w:before="140"/>
        <w:ind w:left="200"/>
      </w:pPr>
      <w:r>
        <w:rPr>
          <w:color w:val="231F20"/>
        </w:rPr>
        <w:t>The percentage of males 21–75 years of age and females 40–75 years of age during the measurement year, who were identified as having clinical atherosclerotic cardiovascular disease (ASCVD) and met the following criteria. The following rates are reported:</w:t>
      </w:r>
    </w:p>
    <w:p w:rsidR="002731CB" w:rsidRDefault="00F315C8">
      <w:pPr>
        <w:pStyle w:val="ListParagraph"/>
        <w:numPr>
          <w:ilvl w:val="1"/>
          <w:numId w:val="13"/>
        </w:numPr>
        <w:tabs>
          <w:tab w:val="left" w:pos="848"/>
        </w:tabs>
        <w:spacing w:before="117" w:line="242" w:lineRule="auto"/>
        <w:ind w:right="735"/>
        <w:rPr>
          <w:sz w:val="20"/>
        </w:rPr>
      </w:pPr>
      <w:r>
        <w:rPr>
          <w:i/>
          <w:color w:val="231F20"/>
          <w:sz w:val="20"/>
        </w:rPr>
        <w:t>R</w:t>
      </w:r>
      <w:r>
        <w:rPr>
          <w:i/>
          <w:color w:val="231F20"/>
          <w:sz w:val="20"/>
        </w:rPr>
        <w:t>eceived</w:t>
      </w:r>
      <w:r>
        <w:rPr>
          <w:i/>
          <w:color w:val="231F20"/>
          <w:spacing w:val="-3"/>
          <w:sz w:val="20"/>
        </w:rPr>
        <w:t xml:space="preserve"> </w:t>
      </w:r>
      <w:r>
        <w:rPr>
          <w:i/>
          <w:color w:val="231F20"/>
          <w:sz w:val="20"/>
        </w:rPr>
        <w:t>Statin</w:t>
      </w:r>
      <w:r>
        <w:rPr>
          <w:i/>
          <w:color w:val="231F20"/>
          <w:spacing w:val="-5"/>
          <w:sz w:val="20"/>
        </w:rPr>
        <w:t xml:space="preserve"> </w:t>
      </w:r>
      <w:r>
        <w:rPr>
          <w:i/>
          <w:color w:val="231F20"/>
          <w:sz w:val="20"/>
        </w:rPr>
        <w:t>Therapy.</w:t>
      </w:r>
      <w:r>
        <w:rPr>
          <w:i/>
          <w:color w:val="231F20"/>
          <w:spacing w:val="-3"/>
          <w:sz w:val="20"/>
        </w:rPr>
        <w:t xml:space="preserve"> </w:t>
      </w:r>
      <w:r>
        <w:rPr>
          <w:color w:val="231F20"/>
          <w:sz w:val="20"/>
        </w:rPr>
        <w:t>Members</w:t>
      </w:r>
      <w:r>
        <w:rPr>
          <w:color w:val="231F20"/>
          <w:spacing w:val="-4"/>
          <w:sz w:val="20"/>
        </w:rPr>
        <w:t xml:space="preserve"> </w:t>
      </w:r>
      <w:r>
        <w:rPr>
          <w:color w:val="231F20"/>
          <w:sz w:val="20"/>
        </w:rPr>
        <w:t>who</w:t>
      </w:r>
      <w:r>
        <w:rPr>
          <w:color w:val="231F20"/>
          <w:spacing w:val="-1"/>
          <w:sz w:val="20"/>
        </w:rPr>
        <w:t xml:space="preserve"> </w:t>
      </w:r>
      <w:r>
        <w:rPr>
          <w:color w:val="231F20"/>
          <w:sz w:val="20"/>
        </w:rPr>
        <w:t>were</w:t>
      </w:r>
      <w:r>
        <w:rPr>
          <w:color w:val="231F20"/>
          <w:spacing w:val="-3"/>
          <w:sz w:val="20"/>
        </w:rPr>
        <w:t xml:space="preserve"> </w:t>
      </w:r>
      <w:r>
        <w:rPr>
          <w:color w:val="231F20"/>
          <w:sz w:val="20"/>
        </w:rPr>
        <w:t>dispensed</w:t>
      </w:r>
      <w:r>
        <w:rPr>
          <w:color w:val="231F20"/>
          <w:spacing w:val="-5"/>
          <w:sz w:val="20"/>
        </w:rPr>
        <w:t xml:space="preserve"> </w:t>
      </w:r>
      <w:r>
        <w:rPr>
          <w:color w:val="231F20"/>
          <w:sz w:val="20"/>
        </w:rPr>
        <w:t>at</w:t>
      </w:r>
      <w:r>
        <w:rPr>
          <w:color w:val="231F20"/>
          <w:spacing w:val="-3"/>
          <w:sz w:val="20"/>
        </w:rPr>
        <w:t xml:space="preserve"> </w:t>
      </w:r>
      <w:r>
        <w:rPr>
          <w:color w:val="231F20"/>
          <w:sz w:val="20"/>
        </w:rPr>
        <w:t>least</w:t>
      </w:r>
      <w:r>
        <w:rPr>
          <w:color w:val="231F20"/>
          <w:spacing w:val="-3"/>
          <w:sz w:val="20"/>
        </w:rPr>
        <w:t xml:space="preserve"> </w:t>
      </w:r>
      <w:r>
        <w:rPr>
          <w:color w:val="231F20"/>
          <w:sz w:val="20"/>
        </w:rPr>
        <w:t>one</w:t>
      </w:r>
      <w:r>
        <w:rPr>
          <w:color w:val="231F20"/>
          <w:spacing w:val="-3"/>
          <w:sz w:val="20"/>
        </w:rPr>
        <w:t xml:space="preserve"> </w:t>
      </w:r>
      <w:r>
        <w:rPr>
          <w:color w:val="231F20"/>
          <w:sz w:val="20"/>
        </w:rPr>
        <w:t>high-intensity</w:t>
      </w:r>
      <w:r>
        <w:rPr>
          <w:color w:val="231F20"/>
          <w:spacing w:val="-6"/>
          <w:sz w:val="20"/>
        </w:rPr>
        <w:t xml:space="preserve"> </w:t>
      </w:r>
      <w:r>
        <w:rPr>
          <w:color w:val="231F20"/>
          <w:sz w:val="20"/>
        </w:rPr>
        <w:t>or</w:t>
      </w:r>
      <w:r>
        <w:rPr>
          <w:color w:val="231F20"/>
          <w:spacing w:val="-4"/>
          <w:sz w:val="20"/>
        </w:rPr>
        <w:t xml:space="preserve"> </w:t>
      </w:r>
      <w:r>
        <w:rPr>
          <w:color w:val="231F20"/>
          <w:sz w:val="20"/>
        </w:rPr>
        <w:t>moderate- intensity statin medication during the measurement</w:t>
      </w:r>
      <w:r>
        <w:rPr>
          <w:color w:val="231F20"/>
          <w:spacing w:val="-23"/>
          <w:sz w:val="20"/>
        </w:rPr>
        <w:t xml:space="preserve"> </w:t>
      </w:r>
      <w:r>
        <w:rPr>
          <w:color w:val="231F20"/>
          <w:sz w:val="20"/>
        </w:rPr>
        <w:t>year.</w:t>
      </w:r>
    </w:p>
    <w:p w:rsidR="002731CB" w:rsidRDefault="00F315C8">
      <w:pPr>
        <w:pStyle w:val="ListParagraph"/>
        <w:numPr>
          <w:ilvl w:val="1"/>
          <w:numId w:val="13"/>
        </w:numPr>
        <w:tabs>
          <w:tab w:val="left" w:pos="848"/>
        </w:tabs>
        <w:spacing w:before="115" w:line="242" w:lineRule="auto"/>
        <w:ind w:right="878"/>
        <w:rPr>
          <w:sz w:val="20"/>
        </w:rPr>
      </w:pPr>
      <w:r>
        <w:rPr>
          <w:i/>
          <w:color w:val="231F20"/>
          <w:sz w:val="20"/>
        </w:rPr>
        <w:t xml:space="preserve">Statin Adherence 80%. </w:t>
      </w:r>
      <w:r>
        <w:rPr>
          <w:color w:val="231F20"/>
          <w:sz w:val="20"/>
        </w:rPr>
        <w:t>Members who remained on a high-intensity or moderate-intensity</w:t>
      </w:r>
      <w:r>
        <w:rPr>
          <w:color w:val="231F20"/>
          <w:spacing w:val="-37"/>
          <w:sz w:val="20"/>
        </w:rPr>
        <w:t xml:space="preserve"> </w:t>
      </w:r>
      <w:r>
        <w:rPr>
          <w:color w:val="231F20"/>
          <w:sz w:val="20"/>
        </w:rPr>
        <w:t xml:space="preserve">statin medication for </w:t>
      </w:r>
      <w:r>
        <w:rPr>
          <w:color w:val="231F20"/>
          <w:sz w:val="20"/>
        </w:rPr>
        <w:t>at least 80% of the treatment</w:t>
      </w:r>
      <w:r>
        <w:rPr>
          <w:color w:val="231F20"/>
          <w:spacing w:val="-26"/>
          <w:sz w:val="20"/>
        </w:rPr>
        <w:t xml:space="preserve"> </w:t>
      </w:r>
      <w:r>
        <w:rPr>
          <w:color w:val="231F20"/>
          <w:sz w:val="20"/>
        </w:rPr>
        <w:t>period.</w:t>
      </w:r>
    </w:p>
    <w:p w:rsidR="002731CB" w:rsidRDefault="00F315C8">
      <w:pPr>
        <w:pStyle w:val="BodyText"/>
        <w:rPr>
          <w:sz w:val="27"/>
        </w:rPr>
      </w:pPr>
      <w:r>
        <w:pict>
          <v:group id="_x0000_s1061" style="position:absolute;margin-left:67.55pt;margin-top:17.5pt;width:494.95pt;height:17.8pt;z-index:251655168;mso-wrap-distance-left:0;mso-wrap-distance-right:0;mso-position-horizontal-relative:page" coordorigin="1351,350" coordsize="9899,356">
            <v:rect id="_x0000_s1067" style="position:absolute;left:1373;top:372;width:9854;height:312" fillcolor="#231f20" stroked="f"/>
            <v:line id="_x0000_s1066" style="position:absolute" from="1358,365" to="11242,365" strokecolor="#231f20" strokeweight=".72pt"/>
            <v:line id="_x0000_s1065" style="position:absolute" from="1358,691" to="11242,691" strokecolor="#231f20" strokeweight=".72pt"/>
            <v:line id="_x0000_s1064" style="position:absolute" from="1366,358" to="1366,699" strokecolor="#231f20" strokeweight=".72pt"/>
            <v:line id="_x0000_s1063" style="position:absolute" from="11234,358" to="11234,699" strokecolor="#231f20" strokeweight=".72pt"/>
            <v:shape id="_x0000_s1062" type="#_x0000_t202" style="position:absolute;left:1358;top:365;width:9884;height:334" filled="f" stroked="f">
              <v:textbox inset="0,0,0,0">
                <w:txbxContent>
                  <w:p w:rsidR="002731CB" w:rsidRDefault="00F315C8">
                    <w:pPr>
                      <w:spacing w:before="45"/>
                      <w:ind w:left="81"/>
                      <w:rPr>
                        <w:b/>
                        <w:sz w:val="20"/>
                      </w:rPr>
                    </w:pPr>
                    <w:r>
                      <w:rPr>
                        <w:b/>
                        <w:color w:val="FFFFFF"/>
                        <w:sz w:val="20"/>
                      </w:rPr>
                      <w:t>Definitions</w:t>
                    </w:r>
                  </w:p>
                </w:txbxContent>
              </v:textbox>
            </v:shape>
            <w10:wrap type="topAndBottom" anchorx="page"/>
          </v:group>
        </w:pict>
      </w:r>
    </w:p>
    <w:p w:rsidR="002731CB" w:rsidRDefault="00F315C8">
      <w:pPr>
        <w:pStyle w:val="BodyText"/>
        <w:tabs>
          <w:tab w:val="left" w:pos="2556"/>
        </w:tabs>
        <w:spacing w:before="140"/>
        <w:ind w:left="2556" w:right="723" w:hanging="2124"/>
      </w:pPr>
      <w:r>
        <w:rPr>
          <w:b/>
          <w:color w:val="231F20"/>
        </w:rPr>
        <w:t>IPSD</w:t>
      </w:r>
      <w:r>
        <w:rPr>
          <w:b/>
          <w:color w:val="231F20"/>
        </w:rPr>
        <w:tab/>
      </w:r>
      <w:r>
        <w:rPr>
          <w:color w:val="231F20"/>
        </w:rPr>
        <w:t>Index prescription start date. The earliest prescription dispensing date</w:t>
      </w:r>
      <w:r>
        <w:rPr>
          <w:color w:val="231F20"/>
          <w:spacing w:val="-30"/>
        </w:rPr>
        <w:t xml:space="preserve"> </w:t>
      </w:r>
      <w:r>
        <w:rPr>
          <w:color w:val="231F20"/>
        </w:rPr>
        <w:t>for</w:t>
      </w:r>
      <w:r>
        <w:rPr>
          <w:color w:val="231F20"/>
          <w:spacing w:val="-4"/>
        </w:rPr>
        <w:t xml:space="preserve"> </w:t>
      </w:r>
      <w:r>
        <w:rPr>
          <w:color w:val="231F20"/>
        </w:rPr>
        <w:t>any</w:t>
      </w:r>
      <w:r>
        <w:rPr>
          <w:color w:val="231F20"/>
          <w:w w:val="99"/>
        </w:rPr>
        <w:t xml:space="preserve"> </w:t>
      </w:r>
      <w:r>
        <w:rPr>
          <w:color w:val="231F20"/>
        </w:rPr>
        <w:t>statin medication of at least moderate intensity during the measurement</w:t>
      </w:r>
      <w:r>
        <w:rPr>
          <w:color w:val="231F20"/>
          <w:spacing w:val="-36"/>
        </w:rPr>
        <w:t xml:space="preserve"> </w:t>
      </w:r>
      <w:r>
        <w:rPr>
          <w:color w:val="231F20"/>
        </w:rPr>
        <w:t>year.</w:t>
      </w:r>
    </w:p>
    <w:p w:rsidR="002731CB" w:rsidRDefault="00F315C8">
      <w:pPr>
        <w:pStyle w:val="BodyText"/>
        <w:spacing w:before="179"/>
        <w:ind w:left="2556" w:right="246" w:hanging="2124"/>
        <w:jc w:val="both"/>
      </w:pPr>
      <w:r>
        <w:rPr>
          <w:b/>
          <w:color w:val="231F20"/>
        </w:rPr>
        <w:t xml:space="preserve">Treatment period </w:t>
      </w:r>
      <w:r>
        <w:rPr>
          <w:color w:val="231F20"/>
        </w:rPr>
        <w:t>The period of time beginning on the IPSD through the last day of the measurement year.</w:t>
      </w:r>
    </w:p>
    <w:p w:rsidR="002731CB" w:rsidRDefault="00F315C8">
      <w:pPr>
        <w:pStyle w:val="BodyText"/>
        <w:tabs>
          <w:tab w:val="left" w:pos="2556"/>
        </w:tabs>
        <w:spacing w:before="177"/>
        <w:ind w:left="2556" w:right="201" w:hanging="2124"/>
        <w:jc w:val="both"/>
      </w:pPr>
      <w:r>
        <w:rPr>
          <w:b/>
          <w:color w:val="231F20"/>
        </w:rPr>
        <w:t>PDC</w:t>
      </w:r>
      <w:r>
        <w:rPr>
          <w:b/>
          <w:color w:val="231F20"/>
        </w:rPr>
        <w:tab/>
      </w:r>
      <w:r>
        <w:rPr>
          <w:color w:val="231F20"/>
        </w:rPr>
        <w:t>Proportion of days covered. The number of days the member is covered by</w:t>
      </w:r>
      <w:r>
        <w:rPr>
          <w:color w:val="231F20"/>
          <w:spacing w:val="-32"/>
        </w:rPr>
        <w:t xml:space="preserve"> </w:t>
      </w:r>
      <w:r>
        <w:rPr>
          <w:color w:val="231F20"/>
        </w:rPr>
        <w:t>at</w:t>
      </w:r>
      <w:r>
        <w:rPr>
          <w:color w:val="231F20"/>
          <w:spacing w:val="-2"/>
        </w:rPr>
        <w:t xml:space="preserve"> </w:t>
      </w:r>
      <w:r>
        <w:rPr>
          <w:color w:val="231F20"/>
        </w:rPr>
        <w:t>least</w:t>
      </w:r>
      <w:r>
        <w:rPr>
          <w:color w:val="231F20"/>
          <w:w w:val="99"/>
        </w:rPr>
        <w:t xml:space="preserve"> </w:t>
      </w:r>
      <w:r>
        <w:rPr>
          <w:color w:val="231F20"/>
        </w:rPr>
        <w:t>one statin medication prescription of appropriate intensity, divided by the number o</w:t>
      </w:r>
      <w:r>
        <w:rPr>
          <w:color w:val="231F20"/>
        </w:rPr>
        <w:t>f days in the treatment</w:t>
      </w:r>
      <w:r>
        <w:rPr>
          <w:color w:val="231F20"/>
          <w:spacing w:val="-13"/>
        </w:rPr>
        <w:t xml:space="preserve"> </w:t>
      </w:r>
      <w:r>
        <w:rPr>
          <w:color w:val="231F20"/>
        </w:rPr>
        <w:t>period.</w:t>
      </w:r>
    </w:p>
    <w:p w:rsidR="002731CB" w:rsidRDefault="002731CB">
      <w:pPr>
        <w:jc w:val="both"/>
        <w:sectPr w:rsidR="002731CB">
          <w:headerReference w:type="even" r:id="rId7"/>
          <w:headerReference w:type="default" r:id="rId8"/>
          <w:footerReference w:type="even" r:id="rId9"/>
          <w:footerReference w:type="default" r:id="rId10"/>
          <w:type w:val="continuous"/>
          <w:pgSz w:w="12240" w:h="15840"/>
          <w:pgMar w:top="1100" w:right="880" w:bottom="1060" w:left="1240" w:header="847" w:footer="880" w:gutter="0"/>
          <w:pgNumType w:start="133"/>
          <w:cols w:space="720"/>
        </w:sectPr>
      </w:pPr>
    </w:p>
    <w:p w:rsidR="002731CB" w:rsidRDefault="00F315C8">
      <w:pPr>
        <w:pStyle w:val="Heading1"/>
        <w:spacing w:before="177"/>
        <w:ind w:right="-15"/>
      </w:pPr>
      <w:r>
        <w:rPr>
          <w:color w:val="231F20"/>
        </w:rPr>
        <w:t>Calculating</w:t>
      </w:r>
      <w:r>
        <w:rPr>
          <w:color w:val="231F20"/>
          <w:spacing w:val="-6"/>
        </w:rPr>
        <w:t xml:space="preserve"> </w:t>
      </w:r>
      <w:r>
        <w:rPr>
          <w:color w:val="231F20"/>
        </w:rPr>
        <w:t>number of days</w:t>
      </w:r>
      <w:r>
        <w:rPr>
          <w:color w:val="231F20"/>
          <w:spacing w:val="-9"/>
        </w:rPr>
        <w:t xml:space="preserve"> </w:t>
      </w:r>
      <w:r>
        <w:rPr>
          <w:color w:val="231F20"/>
        </w:rPr>
        <w:t>covered</w:t>
      </w:r>
    </w:p>
    <w:p w:rsidR="002731CB" w:rsidRDefault="00F315C8">
      <w:pPr>
        <w:ind w:left="432" w:right="-15"/>
        <w:rPr>
          <w:b/>
          <w:sz w:val="20"/>
        </w:rPr>
      </w:pPr>
      <w:r>
        <w:rPr>
          <w:b/>
          <w:color w:val="231F20"/>
          <w:sz w:val="20"/>
        </w:rPr>
        <w:t xml:space="preserve">for multiple </w:t>
      </w:r>
      <w:r>
        <w:rPr>
          <w:b/>
          <w:color w:val="231F20"/>
          <w:w w:val="95"/>
          <w:sz w:val="20"/>
        </w:rPr>
        <w:t>prescriptions</w:t>
      </w:r>
    </w:p>
    <w:p w:rsidR="002731CB" w:rsidRDefault="00F315C8">
      <w:pPr>
        <w:pStyle w:val="BodyText"/>
        <w:spacing w:before="180"/>
        <w:ind w:left="219" w:right="361"/>
      </w:pPr>
      <w:r>
        <w:br w:type="column"/>
      </w:r>
      <w:r>
        <w:rPr>
          <w:color w:val="231F20"/>
        </w:rPr>
        <w:t>If multiple prescriptions for different medications are dispensed on the same day, calculate the number of days cov</w:t>
      </w:r>
      <w:r>
        <w:rPr>
          <w:color w:val="231F20"/>
        </w:rPr>
        <w:t>ered by a statin medication (for the numerator) using the prescriptions with the longest days supply. For multiple different prescriptions dispensed on different days with overlapping days supply, count each day in the treatment period only once toward the</w:t>
      </w:r>
      <w:r>
        <w:rPr>
          <w:color w:val="231F20"/>
        </w:rPr>
        <w:t xml:space="preserve"> numerator.</w:t>
      </w:r>
    </w:p>
    <w:p w:rsidR="002731CB" w:rsidRDefault="00F315C8">
      <w:pPr>
        <w:pStyle w:val="BodyText"/>
        <w:spacing w:before="180"/>
        <w:ind w:left="219"/>
      </w:pPr>
      <w:r>
        <w:rPr>
          <w:color w:val="231F20"/>
        </w:rPr>
        <w:t>If multiple prescriptions for the same medication are dispensed on the same day</w:t>
      </w:r>
    </w:p>
    <w:p w:rsidR="002731CB" w:rsidRDefault="00F315C8">
      <w:pPr>
        <w:pStyle w:val="BodyText"/>
        <w:ind w:left="220" w:right="245"/>
      </w:pPr>
      <w:r>
        <w:rPr>
          <w:color w:val="231F20"/>
        </w:rPr>
        <w:t>or on different days, sum the days supply and use the total to calculate the number of days covered by a statin medication (for the numerator). For example, three prescriptions for the same medication are dispensed on the same day, each with a 30-day suppl</w:t>
      </w:r>
      <w:r>
        <w:rPr>
          <w:color w:val="231F20"/>
        </w:rPr>
        <w:t>y. Sum the days supply for a total of 90 days covered by a statin.</w:t>
      </w:r>
    </w:p>
    <w:p w:rsidR="002731CB" w:rsidRDefault="00F315C8">
      <w:pPr>
        <w:pStyle w:val="BodyText"/>
        <w:ind w:left="219" w:right="361"/>
        <w:rPr>
          <w:rFonts w:ascii="Calibri Light"/>
          <w:i/>
        </w:rPr>
      </w:pPr>
      <w:r>
        <w:rPr>
          <w:color w:val="231F20"/>
        </w:rPr>
        <w:t>Subtract any days supply that extends beyond December 31 of the measurement year.</w:t>
      </w:r>
      <w:r>
        <w:rPr>
          <w:rFonts w:ascii="Calibri Light"/>
          <w:i/>
          <w:color w:val="231F20"/>
          <w:w w:val="99"/>
        </w:rPr>
        <w:t xml:space="preserve"> </w:t>
      </w:r>
    </w:p>
    <w:p w:rsidR="002731CB" w:rsidRDefault="00F315C8">
      <w:pPr>
        <w:pStyle w:val="BodyText"/>
        <w:spacing w:before="179"/>
        <w:ind w:left="219" w:right="273"/>
      </w:pPr>
      <w:r>
        <w:rPr>
          <w:color w:val="231F20"/>
        </w:rPr>
        <w:t xml:space="preserve">Use the Drug ID field in the Medication List Directory of NDC codes to determine if the prescriptions are </w:t>
      </w:r>
      <w:r>
        <w:rPr>
          <w:color w:val="231F20"/>
        </w:rPr>
        <w:t>the same or different.</w:t>
      </w:r>
    </w:p>
    <w:p w:rsidR="002731CB" w:rsidRDefault="002731CB">
      <w:pPr>
        <w:sectPr w:rsidR="002731CB">
          <w:type w:val="continuous"/>
          <w:pgSz w:w="12240" w:h="15840"/>
          <w:pgMar w:top="1100" w:right="880" w:bottom="1060" w:left="1240" w:header="720" w:footer="720" w:gutter="0"/>
          <w:cols w:num="2" w:space="720" w:equalWidth="0">
            <w:col w:w="2298" w:space="40"/>
            <w:col w:w="7782"/>
          </w:cols>
        </w:sectPr>
      </w:pPr>
    </w:p>
    <w:p w:rsidR="002731CB" w:rsidRDefault="002731CB">
      <w:pPr>
        <w:pStyle w:val="BodyText"/>
      </w:pPr>
    </w:p>
    <w:p w:rsidR="002731CB" w:rsidRDefault="002731CB">
      <w:pPr>
        <w:pStyle w:val="BodyText"/>
        <w:spacing w:before="3"/>
        <w:rPr>
          <w:sz w:val="11"/>
        </w:rPr>
      </w:pPr>
    </w:p>
    <w:p w:rsidR="002731CB" w:rsidRDefault="00F315C8">
      <w:pPr>
        <w:pStyle w:val="BodyText"/>
        <w:ind w:left="110"/>
      </w:pPr>
      <w:r>
        <w:pict>
          <v:group id="_x0000_s1052" style="width:494.95pt;height:18.65pt;mso-position-horizontal-relative:char;mso-position-vertical-relative:line" coordsize="9899,373">
            <v:rect id="_x0000_s1060" style="position:absolute;left:22;top:15;width:9854;height:336" fillcolor="#231f20" stroked="f"/>
            <v:line id="_x0000_s1059" style="position:absolute" from="8,8" to="22,8" strokecolor="#231f20" strokeweight=".72pt"/>
            <v:line id="_x0000_s1058" style="position:absolute" from="8,8" to="9891,8" strokecolor="#231f20" strokeweight=".72pt"/>
            <v:line id="_x0000_s1057" style="position:absolute" from="9876,8" to="9891,8" strokecolor="#231f20" strokeweight=".72pt"/>
            <v:line id="_x0000_s1056" style="position:absolute" from="8,358" to="9891,358" strokecolor="#231f20" strokeweight=".72pt"/>
            <v:line id="_x0000_s1055" style="position:absolute" from="15,15" to="15,365" strokecolor="#231f20" strokeweight=".72pt"/>
            <v:line id="_x0000_s1054" style="position:absolute" from="9884,15" to="9884,365" strokecolor="#231f20" strokeweight=".72pt"/>
            <v:shape id="_x0000_s1053" type="#_x0000_t202" style="position:absolute;left:8;top:8;width:9884;height:358" filled="f" stroked="f">
              <v:textbox inset="0,0,0,0">
                <w:txbxContent>
                  <w:p w:rsidR="002731CB" w:rsidRDefault="00F315C8">
                    <w:pPr>
                      <w:spacing w:before="45"/>
                      <w:ind w:left="81"/>
                      <w:rPr>
                        <w:b/>
                      </w:rPr>
                    </w:pPr>
                    <w:r>
                      <w:rPr>
                        <w:b/>
                        <w:color w:val="FFFFFF"/>
                      </w:rPr>
                      <w:t>Eligible Population: Rate 1—Received Statin Therapy</w:t>
                    </w:r>
                  </w:p>
                </w:txbxContent>
              </v:textbox>
            </v:shape>
            <w10:wrap type="none"/>
            <w10:anchorlock/>
          </v:group>
        </w:pict>
      </w:r>
    </w:p>
    <w:p w:rsidR="002731CB" w:rsidRDefault="00F315C8">
      <w:pPr>
        <w:spacing w:before="144"/>
        <w:ind w:left="200" w:right="184"/>
        <w:rPr>
          <w:i/>
          <w:sz w:val="20"/>
        </w:rPr>
      </w:pPr>
      <w:r>
        <w:rPr>
          <w:b/>
          <w:i/>
          <w:color w:val="231F20"/>
          <w:sz w:val="20"/>
        </w:rPr>
        <w:t xml:space="preserve">Note: </w:t>
      </w:r>
      <w:r>
        <w:rPr>
          <w:i/>
          <w:color w:val="231F20"/>
          <w:sz w:val="20"/>
        </w:rPr>
        <w:t>Members in hospice are excluded from the eligible population. Refer to General Guideline 20: Members in Hospice.</w:t>
      </w:r>
    </w:p>
    <w:p w:rsidR="002731CB" w:rsidRDefault="00F315C8">
      <w:pPr>
        <w:pStyle w:val="BodyText"/>
        <w:tabs>
          <w:tab w:val="left" w:pos="2395"/>
        </w:tabs>
        <w:spacing w:before="182"/>
        <w:ind w:left="452"/>
      </w:pPr>
      <w:r>
        <w:rPr>
          <w:b/>
          <w:color w:val="231F20"/>
        </w:rPr>
        <w:t>Product</w:t>
      </w:r>
      <w:r>
        <w:rPr>
          <w:b/>
          <w:color w:val="231F20"/>
          <w:spacing w:val="-2"/>
        </w:rPr>
        <w:t xml:space="preserve"> </w:t>
      </w:r>
      <w:r>
        <w:rPr>
          <w:b/>
          <w:color w:val="231F20"/>
        </w:rPr>
        <w:t>line</w:t>
      </w:r>
      <w:r>
        <w:rPr>
          <w:b/>
          <w:color w:val="231F20"/>
        </w:rPr>
        <w:tab/>
      </w:r>
      <w:r>
        <w:rPr>
          <w:color w:val="231F20"/>
        </w:rPr>
        <w:t>Commercial, Medicaid, Medicare (report each product line</w:t>
      </w:r>
      <w:r>
        <w:rPr>
          <w:color w:val="231F20"/>
          <w:spacing w:val="-31"/>
        </w:rPr>
        <w:t xml:space="preserve"> </w:t>
      </w:r>
      <w:r>
        <w:rPr>
          <w:color w:val="231F20"/>
        </w:rPr>
        <w:t>separately).</w:t>
      </w:r>
    </w:p>
    <w:p w:rsidR="002731CB" w:rsidRDefault="00F315C8">
      <w:pPr>
        <w:pStyle w:val="BodyText"/>
        <w:tabs>
          <w:tab w:val="left" w:pos="2395"/>
        </w:tabs>
        <w:spacing w:before="120"/>
        <w:ind w:left="452"/>
      </w:pPr>
      <w:r>
        <w:rPr>
          <w:b/>
          <w:color w:val="231F20"/>
          <w:position w:val="-5"/>
        </w:rPr>
        <w:t>Age</w:t>
      </w:r>
      <w:r>
        <w:rPr>
          <w:b/>
          <w:color w:val="231F20"/>
          <w:position w:val="-5"/>
        </w:rPr>
        <w:tab/>
      </w:r>
      <w:r>
        <w:rPr>
          <w:color w:val="231F20"/>
        </w:rPr>
        <w:t>Report two age/gender stratifications and a total</w:t>
      </w:r>
      <w:r>
        <w:rPr>
          <w:color w:val="231F20"/>
          <w:spacing w:val="-23"/>
        </w:rPr>
        <w:t xml:space="preserve"> </w:t>
      </w:r>
      <w:r>
        <w:rPr>
          <w:color w:val="231F20"/>
        </w:rPr>
        <w:t>rate.</w:t>
      </w:r>
    </w:p>
    <w:p w:rsidR="002731CB" w:rsidRDefault="00F315C8">
      <w:pPr>
        <w:pStyle w:val="ListParagraph"/>
        <w:numPr>
          <w:ilvl w:val="2"/>
          <w:numId w:val="13"/>
        </w:numPr>
        <w:tabs>
          <w:tab w:val="left" w:pos="2973"/>
        </w:tabs>
        <w:spacing w:before="1"/>
        <w:ind w:hanging="196"/>
        <w:rPr>
          <w:sz w:val="20"/>
        </w:rPr>
      </w:pPr>
      <w:r>
        <w:rPr>
          <w:color w:val="231F20"/>
          <w:sz w:val="20"/>
        </w:rPr>
        <w:t>Males 21–75 years as of December 31 of the measurement</w:t>
      </w:r>
      <w:r>
        <w:rPr>
          <w:color w:val="231F20"/>
          <w:spacing w:val="-30"/>
          <w:sz w:val="20"/>
        </w:rPr>
        <w:t xml:space="preserve"> </w:t>
      </w:r>
      <w:r>
        <w:rPr>
          <w:color w:val="231F20"/>
          <w:sz w:val="20"/>
        </w:rPr>
        <w:t>year.</w:t>
      </w:r>
    </w:p>
    <w:p w:rsidR="002731CB" w:rsidRDefault="00F315C8">
      <w:pPr>
        <w:pStyle w:val="ListParagraph"/>
        <w:numPr>
          <w:ilvl w:val="2"/>
          <w:numId w:val="13"/>
        </w:numPr>
        <w:tabs>
          <w:tab w:val="left" w:pos="2972"/>
        </w:tabs>
        <w:spacing w:before="57"/>
        <w:ind w:left="2971"/>
        <w:rPr>
          <w:sz w:val="20"/>
        </w:rPr>
      </w:pPr>
      <w:r>
        <w:rPr>
          <w:color w:val="231F20"/>
          <w:sz w:val="20"/>
        </w:rPr>
        <w:t>Females 40–75 years as of December 31 of the measurement</w:t>
      </w:r>
      <w:r>
        <w:rPr>
          <w:color w:val="231F20"/>
          <w:spacing w:val="-33"/>
          <w:sz w:val="20"/>
        </w:rPr>
        <w:t xml:space="preserve"> </w:t>
      </w:r>
      <w:r>
        <w:rPr>
          <w:color w:val="231F20"/>
          <w:sz w:val="20"/>
        </w:rPr>
        <w:t>year.</w:t>
      </w:r>
    </w:p>
    <w:p w:rsidR="002731CB" w:rsidRDefault="00F315C8">
      <w:pPr>
        <w:pStyle w:val="ListParagraph"/>
        <w:numPr>
          <w:ilvl w:val="2"/>
          <w:numId w:val="13"/>
        </w:numPr>
        <w:tabs>
          <w:tab w:val="left" w:pos="2972"/>
        </w:tabs>
        <w:ind w:left="2972"/>
        <w:rPr>
          <w:sz w:val="20"/>
        </w:rPr>
      </w:pPr>
      <w:r>
        <w:rPr>
          <w:color w:val="231F20"/>
          <w:sz w:val="20"/>
        </w:rPr>
        <w:t>Total.</w:t>
      </w:r>
    </w:p>
    <w:p w:rsidR="002731CB" w:rsidRDefault="002731CB">
      <w:pPr>
        <w:rPr>
          <w:sz w:val="20"/>
        </w:rPr>
        <w:sectPr w:rsidR="002731CB">
          <w:pgSz w:w="12240" w:h="15840"/>
          <w:pgMar w:top="1100" w:right="1240" w:bottom="1060" w:left="880" w:header="847" w:footer="880" w:gutter="0"/>
          <w:cols w:space="720"/>
        </w:sectPr>
      </w:pPr>
    </w:p>
    <w:p w:rsidR="002731CB" w:rsidRDefault="00F315C8">
      <w:pPr>
        <w:pStyle w:val="Heading1"/>
        <w:spacing w:before="173"/>
        <w:ind w:left="451" w:right="-17"/>
      </w:pPr>
      <w:r>
        <w:rPr>
          <w:color w:val="231F20"/>
        </w:rPr>
        <w:t>Continuous enrollment</w:t>
      </w:r>
    </w:p>
    <w:p w:rsidR="002731CB" w:rsidRDefault="00F315C8">
      <w:pPr>
        <w:pStyle w:val="BodyText"/>
        <w:spacing w:before="175"/>
        <w:ind w:left="451"/>
      </w:pPr>
      <w:r>
        <w:br w:type="column"/>
      </w:r>
      <w:r>
        <w:rPr>
          <w:color w:val="231F20"/>
        </w:rPr>
        <w:t>The measurement year and the year prior to the measurement year.</w:t>
      </w:r>
    </w:p>
    <w:p w:rsidR="002731CB" w:rsidRDefault="002731CB">
      <w:pPr>
        <w:sectPr w:rsidR="002731CB">
          <w:type w:val="continuous"/>
          <w:pgSz w:w="12240" w:h="15840"/>
          <w:pgMar w:top="1100" w:right="1240" w:bottom="1060" w:left="880" w:header="720" w:footer="720" w:gutter="0"/>
          <w:cols w:num="2" w:space="720" w:equalWidth="0">
            <w:col w:w="1565" w:space="379"/>
            <w:col w:w="8176"/>
          </w:cols>
        </w:sectPr>
      </w:pPr>
    </w:p>
    <w:p w:rsidR="002731CB" w:rsidRDefault="00F315C8">
      <w:pPr>
        <w:pStyle w:val="BodyText"/>
        <w:tabs>
          <w:tab w:val="left" w:pos="2395"/>
        </w:tabs>
        <w:spacing w:before="182"/>
        <w:ind w:left="2395" w:right="265" w:hanging="1945"/>
      </w:pPr>
      <w:r>
        <w:rPr>
          <w:b/>
          <w:color w:val="231F20"/>
        </w:rPr>
        <w:t>Allowable</w:t>
      </w:r>
      <w:r>
        <w:rPr>
          <w:b/>
          <w:color w:val="231F20"/>
          <w:spacing w:val="-4"/>
        </w:rPr>
        <w:t xml:space="preserve"> </w:t>
      </w:r>
      <w:r>
        <w:rPr>
          <w:b/>
          <w:color w:val="231F20"/>
        </w:rPr>
        <w:t>gap</w:t>
      </w:r>
      <w:r>
        <w:rPr>
          <w:b/>
          <w:color w:val="231F20"/>
        </w:rPr>
        <w:tab/>
      </w:r>
      <w:r>
        <w:rPr>
          <w:color w:val="231F20"/>
        </w:rPr>
        <w:t>No more than one gap in enrollment of up to 45 days during each year</w:t>
      </w:r>
      <w:r>
        <w:rPr>
          <w:color w:val="231F20"/>
          <w:spacing w:val="-33"/>
        </w:rPr>
        <w:t xml:space="preserve"> </w:t>
      </w:r>
      <w:r>
        <w:rPr>
          <w:color w:val="231F20"/>
        </w:rPr>
        <w:t>of</w:t>
      </w:r>
      <w:r>
        <w:rPr>
          <w:color w:val="231F20"/>
          <w:spacing w:val="-2"/>
        </w:rPr>
        <w:t xml:space="preserve"> </w:t>
      </w:r>
      <w:r>
        <w:rPr>
          <w:color w:val="231F20"/>
        </w:rPr>
        <w:t>continuous</w:t>
      </w:r>
      <w:r>
        <w:rPr>
          <w:color w:val="231F20"/>
          <w:spacing w:val="-1"/>
          <w:w w:val="99"/>
        </w:rPr>
        <w:t xml:space="preserve"> </w:t>
      </w:r>
      <w:r>
        <w:rPr>
          <w:color w:val="231F20"/>
        </w:rPr>
        <w:t xml:space="preserve">enrollment. To determine continuous enrollment for a Medicaid beneficiary for whom enrollment is verified monthly, the member </w:t>
      </w:r>
      <w:r>
        <w:rPr>
          <w:color w:val="231F20"/>
          <w:spacing w:val="2"/>
        </w:rPr>
        <w:t xml:space="preserve">may </w:t>
      </w:r>
      <w:r>
        <w:rPr>
          <w:color w:val="231F20"/>
        </w:rPr>
        <w:t>not have more than a 1-month gap in coverage (i.e., a member whose coverage lapses for 2 months [60 days] is not considered continuously</w:t>
      </w:r>
      <w:r>
        <w:rPr>
          <w:color w:val="231F20"/>
          <w:spacing w:val="-15"/>
        </w:rPr>
        <w:t xml:space="preserve"> </w:t>
      </w:r>
      <w:r>
        <w:rPr>
          <w:color w:val="231F20"/>
        </w:rPr>
        <w:t>enrolled).</w:t>
      </w:r>
    </w:p>
    <w:p w:rsidR="002731CB" w:rsidRDefault="00F315C8">
      <w:pPr>
        <w:tabs>
          <w:tab w:val="left" w:pos="2395"/>
        </w:tabs>
        <w:spacing w:before="180"/>
        <w:ind w:left="451"/>
        <w:rPr>
          <w:sz w:val="20"/>
        </w:rPr>
      </w:pPr>
      <w:r>
        <w:rPr>
          <w:b/>
          <w:color w:val="231F20"/>
          <w:sz w:val="20"/>
        </w:rPr>
        <w:t>Anchor</w:t>
      </w:r>
      <w:r>
        <w:rPr>
          <w:b/>
          <w:color w:val="231F20"/>
          <w:spacing w:val="-4"/>
          <w:sz w:val="20"/>
        </w:rPr>
        <w:t xml:space="preserve"> </w:t>
      </w:r>
      <w:r>
        <w:rPr>
          <w:b/>
          <w:color w:val="231F20"/>
          <w:sz w:val="20"/>
        </w:rPr>
        <w:t>date</w:t>
      </w:r>
      <w:r>
        <w:rPr>
          <w:b/>
          <w:color w:val="231F20"/>
          <w:sz w:val="20"/>
        </w:rPr>
        <w:tab/>
      </w:r>
      <w:r>
        <w:rPr>
          <w:color w:val="231F20"/>
          <w:sz w:val="20"/>
        </w:rPr>
        <w:t>December 31 of the measurement</w:t>
      </w:r>
      <w:r>
        <w:rPr>
          <w:color w:val="231F20"/>
          <w:spacing w:val="-21"/>
          <w:sz w:val="20"/>
        </w:rPr>
        <w:t xml:space="preserve"> </w:t>
      </w:r>
      <w:r>
        <w:rPr>
          <w:color w:val="231F20"/>
          <w:sz w:val="20"/>
        </w:rPr>
        <w:t>year.</w:t>
      </w:r>
    </w:p>
    <w:p w:rsidR="002731CB" w:rsidRDefault="00F315C8">
      <w:pPr>
        <w:pStyle w:val="BodyText"/>
        <w:tabs>
          <w:tab w:val="left" w:pos="2395"/>
        </w:tabs>
        <w:spacing w:before="180"/>
        <w:ind w:left="451"/>
      </w:pPr>
      <w:r>
        <w:rPr>
          <w:b/>
          <w:color w:val="231F20"/>
        </w:rPr>
        <w:t>Benefit</w:t>
      </w:r>
      <w:r>
        <w:rPr>
          <w:b/>
          <w:color w:val="231F20"/>
        </w:rPr>
        <w:tab/>
      </w:r>
      <w:r>
        <w:rPr>
          <w:color w:val="231F20"/>
        </w:rPr>
        <w:t>Medical. Pharmacy during the measurement</w:t>
      </w:r>
      <w:r>
        <w:rPr>
          <w:color w:val="231F20"/>
          <w:spacing w:val="-24"/>
        </w:rPr>
        <w:t xml:space="preserve"> </w:t>
      </w:r>
      <w:r>
        <w:rPr>
          <w:color w:val="231F20"/>
        </w:rPr>
        <w:t>year.</w:t>
      </w:r>
    </w:p>
    <w:p w:rsidR="002731CB" w:rsidRDefault="00F315C8">
      <w:pPr>
        <w:tabs>
          <w:tab w:val="left" w:pos="2376"/>
        </w:tabs>
        <w:spacing w:before="180"/>
        <w:ind w:left="451"/>
        <w:rPr>
          <w:sz w:val="20"/>
        </w:rPr>
      </w:pPr>
      <w:r>
        <w:rPr>
          <w:b/>
          <w:color w:val="231F20"/>
          <w:sz w:val="20"/>
        </w:rPr>
        <w:t>Even</w:t>
      </w:r>
      <w:r>
        <w:rPr>
          <w:b/>
          <w:color w:val="231F20"/>
          <w:sz w:val="20"/>
        </w:rPr>
        <w:t>t/Diagnosis</w:t>
      </w:r>
      <w:r>
        <w:rPr>
          <w:b/>
          <w:color w:val="231F20"/>
          <w:sz w:val="20"/>
        </w:rPr>
        <w:tab/>
      </w:r>
      <w:r>
        <w:rPr>
          <w:color w:val="231F20"/>
          <w:sz w:val="20"/>
        </w:rPr>
        <w:t>Follow the steps below to identify the eligible</w:t>
      </w:r>
      <w:r>
        <w:rPr>
          <w:color w:val="231F20"/>
          <w:spacing w:val="-25"/>
          <w:sz w:val="20"/>
        </w:rPr>
        <w:t xml:space="preserve"> </w:t>
      </w:r>
      <w:r>
        <w:rPr>
          <w:color w:val="231F20"/>
          <w:sz w:val="20"/>
        </w:rPr>
        <w:t>population.</w:t>
      </w:r>
    </w:p>
    <w:p w:rsidR="002731CB" w:rsidRDefault="00F315C8">
      <w:pPr>
        <w:pStyle w:val="BodyText"/>
        <w:tabs>
          <w:tab w:val="left" w:pos="2376"/>
        </w:tabs>
        <w:spacing w:before="180"/>
        <w:ind w:left="2376" w:right="205" w:hanging="814"/>
      </w:pPr>
      <w:r>
        <w:rPr>
          <w:b/>
          <w:i/>
          <w:color w:val="231F20"/>
        </w:rPr>
        <w:t>Step</w:t>
      </w:r>
      <w:r>
        <w:rPr>
          <w:b/>
          <w:i/>
          <w:color w:val="231F20"/>
          <w:spacing w:val="-2"/>
        </w:rPr>
        <w:t xml:space="preserve"> </w:t>
      </w:r>
      <w:r>
        <w:rPr>
          <w:b/>
          <w:i/>
          <w:color w:val="231F20"/>
        </w:rPr>
        <w:t>1</w:t>
      </w:r>
      <w:r>
        <w:rPr>
          <w:b/>
          <w:i/>
          <w:color w:val="231F20"/>
        </w:rPr>
        <w:tab/>
      </w:r>
      <w:r>
        <w:rPr>
          <w:color w:val="231F20"/>
        </w:rPr>
        <w:t>Members are identified for the eligible population in two ways: by event</w:t>
      </w:r>
      <w:r>
        <w:rPr>
          <w:color w:val="231F20"/>
          <w:spacing w:val="-27"/>
        </w:rPr>
        <w:t xml:space="preserve"> </w:t>
      </w:r>
      <w:r>
        <w:rPr>
          <w:color w:val="231F20"/>
        </w:rPr>
        <w:t>or</w:t>
      </w:r>
      <w:r>
        <w:rPr>
          <w:color w:val="231F20"/>
          <w:spacing w:val="-2"/>
        </w:rPr>
        <w:t xml:space="preserve"> </w:t>
      </w:r>
      <w:r>
        <w:rPr>
          <w:color w:val="231F20"/>
        </w:rPr>
        <w:t>by</w:t>
      </w:r>
      <w:r>
        <w:rPr>
          <w:color w:val="231F20"/>
          <w:w w:val="99"/>
        </w:rPr>
        <w:t xml:space="preserve"> </w:t>
      </w:r>
      <w:r>
        <w:rPr>
          <w:color w:val="231F20"/>
        </w:rPr>
        <w:t xml:space="preserve">diagnosis. The organization must use </w:t>
      </w:r>
      <w:r>
        <w:rPr>
          <w:i/>
          <w:color w:val="231F20"/>
        </w:rPr>
        <w:t xml:space="preserve">both </w:t>
      </w:r>
      <w:r>
        <w:rPr>
          <w:color w:val="231F20"/>
        </w:rPr>
        <w:t>methods to identify the eligible</w:t>
      </w:r>
      <w:r>
        <w:rPr>
          <w:color w:val="231F20"/>
          <w:spacing w:val="-36"/>
        </w:rPr>
        <w:t xml:space="preserve"> </w:t>
      </w:r>
      <w:r>
        <w:rPr>
          <w:color w:val="231F20"/>
        </w:rPr>
        <w:t>population, but a membe</w:t>
      </w:r>
      <w:r>
        <w:rPr>
          <w:color w:val="231F20"/>
        </w:rPr>
        <w:t>r only needs to be identified by one method to be included in the measure.</w:t>
      </w:r>
    </w:p>
    <w:p w:rsidR="002731CB" w:rsidRDefault="00F315C8">
      <w:pPr>
        <w:pStyle w:val="BodyText"/>
        <w:spacing w:before="177" w:line="242" w:lineRule="auto"/>
        <w:ind w:left="2376" w:right="742"/>
      </w:pPr>
      <w:r>
        <w:rPr>
          <w:i/>
          <w:color w:val="231F20"/>
        </w:rPr>
        <w:t xml:space="preserve">Event. </w:t>
      </w:r>
      <w:r>
        <w:rPr>
          <w:color w:val="231F20"/>
        </w:rPr>
        <w:t>Any of the following during the year prior to the measurement year meet criteria:</w:t>
      </w:r>
    </w:p>
    <w:p w:rsidR="002731CB" w:rsidRDefault="00F315C8">
      <w:pPr>
        <w:pStyle w:val="ListParagraph"/>
        <w:numPr>
          <w:ilvl w:val="2"/>
          <w:numId w:val="13"/>
        </w:numPr>
        <w:tabs>
          <w:tab w:val="left" w:pos="2953"/>
        </w:tabs>
        <w:spacing w:before="53"/>
        <w:ind w:right="295"/>
        <w:rPr>
          <w:sz w:val="20"/>
        </w:rPr>
      </w:pPr>
      <w:r>
        <w:rPr>
          <w:i/>
          <w:color w:val="231F20"/>
          <w:sz w:val="20"/>
        </w:rPr>
        <w:t xml:space="preserve">MI. </w:t>
      </w:r>
      <w:r>
        <w:rPr>
          <w:color w:val="231F20"/>
          <w:sz w:val="20"/>
        </w:rPr>
        <w:t>Discharged from an inpatient setting with an MI (</w:t>
      </w:r>
      <w:r>
        <w:rPr>
          <w:color w:val="231F20"/>
          <w:sz w:val="20"/>
          <w:u w:val="single" w:color="231F20"/>
        </w:rPr>
        <w:t>MI Value Set</w:t>
      </w:r>
      <w:r>
        <w:rPr>
          <w:color w:val="231F20"/>
          <w:sz w:val="20"/>
        </w:rPr>
        <w:t>). To identify discharges:</w:t>
      </w:r>
    </w:p>
    <w:p w:rsidR="002731CB" w:rsidRDefault="00F315C8">
      <w:pPr>
        <w:pStyle w:val="ListParagraph"/>
        <w:numPr>
          <w:ilvl w:val="0"/>
          <w:numId w:val="12"/>
        </w:numPr>
        <w:tabs>
          <w:tab w:val="left" w:pos="3241"/>
        </w:tabs>
        <w:rPr>
          <w:sz w:val="20"/>
        </w:rPr>
      </w:pPr>
      <w:r>
        <w:rPr>
          <w:color w:val="231F20"/>
          <w:sz w:val="20"/>
        </w:rPr>
        <w:t>Identify all acute and nonacute inpatient stays (</w:t>
      </w:r>
      <w:r>
        <w:rPr>
          <w:color w:val="231F20"/>
          <w:sz w:val="20"/>
          <w:u w:val="single" w:color="231F20"/>
        </w:rPr>
        <w:t>Inpatient Stay Value</w:t>
      </w:r>
      <w:r>
        <w:rPr>
          <w:color w:val="231F20"/>
          <w:spacing w:val="-36"/>
          <w:sz w:val="20"/>
          <w:u w:val="single" w:color="231F20"/>
        </w:rPr>
        <w:t xml:space="preserve"> </w:t>
      </w:r>
      <w:r>
        <w:rPr>
          <w:color w:val="231F20"/>
          <w:sz w:val="20"/>
          <w:u w:val="single" w:color="231F20"/>
        </w:rPr>
        <w:t>Set</w:t>
      </w:r>
      <w:r>
        <w:rPr>
          <w:color w:val="231F20"/>
          <w:sz w:val="20"/>
        </w:rPr>
        <w:t>).</w:t>
      </w:r>
    </w:p>
    <w:p w:rsidR="002731CB" w:rsidRDefault="00F315C8">
      <w:pPr>
        <w:pStyle w:val="ListParagraph"/>
        <w:numPr>
          <w:ilvl w:val="0"/>
          <w:numId w:val="12"/>
        </w:numPr>
        <w:tabs>
          <w:tab w:val="left" w:pos="3241"/>
        </w:tabs>
        <w:rPr>
          <w:sz w:val="20"/>
        </w:rPr>
      </w:pPr>
      <w:r>
        <w:rPr>
          <w:color w:val="231F20"/>
          <w:sz w:val="20"/>
        </w:rPr>
        <w:t>Identify the discharge date for the</w:t>
      </w:r>
      <w:r>
        <w:rPr>
          <w:color w:val="231F20"/>
          <w:spacing w:val="-20"/>
          <w:sz w:val="20"/>
        </w:rPr>
        <w:t xml:space="preserve"> </w:t>
      </w:r>
      <w:r>
        <w:rPr>
          <w:color w:val="231F20"/>
          <w:sz w:val="20"/>
        </w:rPr>
        <w:t>stay.</w:t>
      </w:r>
    </w:p>
    <w:p w:rsidR="002731CB" w:rsidRDefault="00F315C8">
      <w:pPr>
        <w:pStyle w:val="ListParagraph"/>
        <w:numPr>
          <w:ilvl w:val="2"/>
          <w:numId w:val="13"/>
        </w:numPr>
        <w:tabs>
          <w:tab w:val="left" w:pos="2953"/>
        </w:tabs>
        <w:spacing w:before="115"/>
        <w:rPr>
          <w:sz w:val="20"/>
        </w:rPr>
      </w:pPr>
      <w:r>
        <w:rPr>
          <w:i/>
          <w:color w:val="231F20"/>
          <w:sz w:val="20"/>
        </w:rPr>
        <w:t>CABG</w:t>
      </w:r>
      <w:r>
        <w:rPr>
          <w:color w:val="231F20"/>
          <w:sz w:val="20"/>
        </w:rPr>
        <w:t>. Members who had CABG (</w:t>
      </w:r>
      <w:r>
        <w:rPr>
          <w:color w:val="231F20"/>
          <w:sz w:val="20"/>
          <w:u w:val="single" w:color="231F20"/>
        </w:rPr>
        <w:t>CABG Value Set</w:t>
      </w:r>
      <w:r>
        <w:rPr>
          <w:color w:val="231F20"/>
          <w:sz w:val="20"/>
        </w:rPr>
        <w:t>) in any</w:t>
      </w:r>
      <w:r>
        <w:rPr>
          <w:color w:val="231F20"/>
          <w:spacing w:val="-23"/>
          <w:sz w:val="20"/>
        </w:rPr>
        <w:t xml:space="preserve"> </w:t>
      </w:r>
      <w:r>
        <w:rPr>
          <w:color w:val="231F20"/>
          <w:sz w:val="20"/>
        </w:rPr>
        <w:t>setting.</w:t>
      </w:r>
    </w:p>
    <w:p w:rsidR="002731CB" w:rsidRDefault="00F315C8">
      <w:pPr>
        <w:pStyle w:val="ListParagraph"/>
        <w:numPr>
          <w:ilvl w:val="2"/>
          <w:numId w:val="13"/>
        </w:numPr>
        <w:tabs>
          <w:tab w:val="left" w:pos="2953"/>
        </w:tabs>
        <w:spacing w:before="119"/>
        <w:rPr>
          <w:sz w:val="20"/>
        </w:rPr>
      </w:pPr>
      <w:r>
        <w:rPr>
          <w:i/>
          <w:color w:val="231F20"/>
          <w:sz w:val="20"/>
        </w:rPr>
        <w:t>PCI</w:t>
      </w:r>
      <w:r>
        <w:rPr>
          <w:color w:val="231F20"/>
          <w:sz w:val="20"/>
        </w:rPr>
        <w:t>. Members who had PCI (</w:t>
      </w:r>
      <w:r>
        <w:rPr>
          <w:color w:val="231F20"/>
          <w:sz w:val="20"/>
          <w:u w:val="single" w:color="231F20"/>
        </w:rPr>
        <w:t>PCI Value Set</w:t>
      </w:r>
      <w:r>
        <w:rPr>
          <w:color w:val="231F20"/>
          <w:sz w:val="20"/>
        </w:rPr>
        <w:t>) in any</w:t>
      </w:r>
      <w:r>
        <w:rPr>
          <w:color w:val="231F20"/>
          <w:spacing w:val="-22"/>
          <w:sz w:val="20"/>
        </w:rPr>
        <w:t xml:space="preserve"> </w:t>
      </w:r>
      <w:r>
        <w:rPr>
          <w:color w:val="231F20"/>
          <w:sz w:val="20"/>
        </w:rPr>
        <w:t>setting.</w:t>
      </w:r>
    </w:p>
    <w:p w:rsidR="002731CB" w:rsidRDefault="00F315C8">
      <w:pPr>
        <w:pStyle w:val="ListParagraph"/>
        <w:numPr>
          <w:ilvl w:val="2"/>
          <w:numId w:val="13"/>
        </w:numPr>
        <w:tabs>
          <w:tab w:val="left" w:pos="2953"/>
        </w:tabs>
        <w:spacing w:before="117"/>
        <w:ind w:right="908"/>
        <w:rPr>
          <w:sz w:val="20"/>
        </w:rPr>
      </w:pPr>
      <w:r>
        <w:rPr>
          <w:i/>
          <w:color w:val="231F20"/>
          <w:sz w:val="20"/>
        </w:rPr>
        <w:t>Other revascularizati</w:t>
      </w:r>
      <w:r>
        <w:rPr>
          <w:i/>
          <w:color w:val="231F20"/>
          <w:sz w:val="20"/>
        </w:rPr>
        <w:t>on</w:t>
      </w:r>
      <w:r>
        <w:rPr>
          <w:color w:val="231F20"/>
          <w:sz w:val="20"/>
        </w:rPr>
        <w:t>. Members who had any other</w:t>
      </w:r>
      <w:r>
        <w:rPr>
          <w:color w:val="231F20"/>
          <w:spacing w:val="-27"/>
          <w:sz w:val="20"/>
        </w:rPr>
        <w:t xml:space="preserve"> </w:t>
      </w:r>
      <w:r>
        <w:rPr>
          <w:color w:val="231F20"/>
          <w:sz w:val="20"/>
        </w:rPr>
        <w:t>revascularization procedures (</w:t>
      </w:r>
      <w:r>
        <w:rPr>
          <w:color w:val="231F20"/>
          <w:sz w:val="20"/>
          <w:u w:val="single" w:color="231F20"/>
        </w:rPr>
        <w:t>Other Revascularization Value Set</w:t>
      </w:r>
      <w:r>
        <w:rPr>
          <w:color w:val="231F20"/>
          <w:sz w:val="20"/>
        </w:rPr>
        <w:t>) in any</w:t>
      </w:r>
      <w:r>
        <w:rPr>
          <w:color w:val="231F20"/>
          <w:spacing w:val="-29"/>
          <w:sz w:val="20"/>
        </w:rPr>
        <w:t xml:space="preserve"> </w:t>
      </w:r>
      <w:r>
        <w:rPr>
          <w:color w:val="231F20"/>
          <w:sz w:val="20"/>
        </w:rPr>
        <w:t>setting.</w:t>
      </w:r>
    </w:p>
    <w:p w:rsidR="002731CB" w:rsidRDefault="00F315C8">
      <w:pPr>
        <w:pStyle w:val="BodyText"/>
        <w:spacing w:before="177"/>
        <w:ind w:left="2376" w:right="354"/>
      </w:pPr>
      <w:r>
        <w:rPr>
          <w:i/>
          <w:color w:val="231F20"/>
        </w:rPr>
        <w:t xml:space="preserve">Diagnosis. </w:t>
      </w:r>
      <w:r>
        <w:rPr>
          <w:color w:val="231F20"/>
        </w:rPr>
        <w:t xml:space="preserve">Identify members as having ischemic vascular disease (IVD) who met at least one of the following criteria during both the measurement </w:t>
      </w:r>
      <w:r>
        <w:rPr>
          <w:color w:val="231F20"/>
        </w:rPr>
        <w:t>year and the year prior to the measurement year. Criteria need not be the same across both years.</w:t>
      </w:r>
    </w:p>
    <w:p w:rsidR="002731CB" w:rsidRDefault="00F315C8">
      <w:pPr>
        <w:pStyle w:val="ListParagraph"/>
        <w:numPr>
          <w:ilvl w:val="2"/>
          <w:numId w:val="13"/>
        </w:numPr>
        <w:tabs>
          <w:tab w:val="left" w:pos="2953"/>
        </w:tabs>
        <w:spacing w:before="79" w:line="228" w:lineRule="exact"/>
        <w:ind w:right="308"/>
        <w:rPr>
          <w:b/>
          <w:i/>
          <w:sz w:val="20"/>
        </w:rPr>
      </w:pPr>
      <w:r>
        <w:rPr>
          <w:color w:val="231F20"/>
          <w:sz w:val="20"/>
        </w:rPr>
        <w:t>At least one outpatient visit (</w:t>
      </w:r>
      <w:r>
        <w:rPr>
          <w:color w:val="231F20"/>
          <w:sz w:val="20"/>
          <w:u w:val="single" w:color="231F20"/>
        </w:rPr>
        <w:t>Outpatient Value Set</w:t>
      </w:r>
      <w:r>
        <w:rPr>
          <w:color w:val="231F20"/>
          <w:sz w:val="20"/>
        </w:rPr>
        <w:t>) with an IVD diagnosis</w:t>
      </w:r>
      <w:r>
        <w:rPr>
          <w:color w:val="231F20"/>
          <w:spacing w:val="-32"/>
          <w:sz w:val="20"/>
        </w:rPr>
        <w:t xml:space="preserve"> </w:t>
      </w:r>
      <w:r>
        <w:rPr>
          <w:color w:val="231F20"/>
          <w:sz w:val="20"/>
        </w:rPr>
        <w:t>(</w:t>
      </w:r>
      <w:r>
        <w:rPr>
          <w:color w:val="231F20"/>
          <w:sz w:val="20"/>
          <w:u w:val="single" w:color="231F20"/>
        </w:rPr>
        <w:t>IVD Value Set</w:t>
      </w:r>
      <w:r>
        <w:rPr>
          <w:color w:val="231F20"/>
          <w:sz w:val="20"/>
        </w:rPr>
        <w:t>),</w:t>
      </w:r>
      <w:r>
        <w:rPr>
          <w:color w:val="231F20"/>
          <w:spacing w:val="-10"/>
          <w:sz w:val="20"/>
        </w:rPr>
        <w:t xml:space="preserve"> </w:t>
      </w:r>
      <w:r>
        <w:rPr>
          <w:b/>
          <w:i/>
          <w:color w:val="231F20"/>
          <w:spacing w:val="3"/>
          <w:sz w:val="20"/>
        </w:rPr>
        <w:t>or</w:t>
      </w:r>
    </w:p>
    <w:p w:rsidR="002731CB" w:rsidRDefault="00F315C8">
      <w:pPr>
        <w:pStyle w:val="ListParagraph"/>
        <w:numPr>
          <w:ilvl w:val="2"/>
          <w:numId w:val="13"/>
        </w:numPr>
        <w:tabs>
          <w:tab w:val="left" w:pos="2953"/>
        </w:tabs>
        <w:spacing w:before="117"/>
        <w:ind w:right="283"/>
        <w:rPr>
          <w:sz w:val="20"/>
        </w:rPr>
      </w:pPr>
      <w:r>
        <w:rPr>
          <w:color w:val="231F20"/>
          <w:sz w:val="20"/>
        </w:rPr>
        <w:t>At least one acute inpatient encounter (</w:t>
      </w:r>
      <w:r>
        <w:rPr>
          <w:color w:val="231F20"/>
          <w:sz w:val="20"/>
          <w:u w:val="single" w:color="231F20"/>
        </w:rPr>
        <w:t>Acute Inpatient Value Set</w:t>
      </w:r>
      <w:r>
        <w:rPr>
          <w:color w:val="231F20"/>
          <w:sz w:val="20"/>
        </w:rPr>
        <w:t>) with an IVD diagnosis (</w:t>
      </w:r>
      <w:r>
        <w:rPr>
          <w:color w:val="231F20"/>
          <w:sz w:val="20"/>
          <w:u w:val="single" w:color="231F20"/>
        </w:rPr>
        <w:t>IVD Value</w:t>
      </w:r>
      <w:r>
        <w:rPr>
          <w:color w:val="231F20"/>
          <w:spacing w:val="-10"/>
          <w:sz w:val="20"/>
          <w:u w:val="single" w:color="231F20"/>
        </w:rPr>
        <w:t xml:space="preserve"> </w:t>
      </w:r>
      <w:r>
        <w:rPr>
          <w:color w:val="231F20"/>
          <w:sz w:val="20"/>
          <w:u w:val="single" w:color="231F20"/>
        </w:rPr>
        <w:t>Set</w:t>
      </w:r>
      <w:r>
        <w:rPr>
          <w:color w:val="231F20"/>
          <w:sz w:val="20"/>
        </w:rPr>
        <w:t>).</w:t>
      </w:r>
    </w:p>
    <w:p w:rsidR="002731CB" w:rsidRDefault="002731CB">
      <w:pPr>
        <w:rPr>
          <w:sz w:val="20"/>
        </w:rPr>
        <w:sectPr w:rsidR="002731CB">
          <w:type w:val="continuous"/>
          <w:pgSz w:w="12240" w:h="15840"/>
          <w:pgMar w:top="1100" w:right="1240" w:bottom="1060" w:left="880" w:header="720" w:footer="720" w:gutter="0"/>
          <w:cols w:space="720"/>
        </w:sectPr>
      </w:pPr>
    </w:p>
    <w:p w:rsidR="002731CB" w:rsidRDefault="002731CB">
      <w:pPr>
        <w:pStyle w:val="BodyText"/>
        <w:spacing w:before="11"/>
        <w:rPr>
          <w:sz w:val="22"/>
        </w:rPr>
      </w:pPr>
    </w:p>
    <w:p w:rsidR="002731CB" w:rsidRDefault="002731CB">
      <w:pPr>
        <w:sectPr w:rsidR="002731CB">
          <w:pgSz w:w="12240" w:h="15840"/>
          <w:pgMar w:top="1100" w:right="880" w:bottom="1060" w:left="1240" w:header="847" w:footer="880" w:gutter="0"/>
          <w:cols w:space="720"/>
        </w:sectPr>
      </w:pPr>
    </w:p>
    <w:p w:rsidR="002731CB" w:rsidRDefault="00F315C8">
      <w:pPr>
        <w:spacing w:before="93"/>
        <w:ind w:left="1037" w:firstLine="367"/>
        <w:jc w:val="right"/>
        <w:rPr>
          <w:b/>
          <w:i/>
          <w:sz w:val="20"/>
        </w:rPr>
      </w:pPr>
      <w:r>
        <w:rPr>
          <w:b/>
          <w:i/>
          <w:color w:val="231F20"/>
          <w:sz w:val="20"/>
        </w:rPr>
        <w:t>Step 2:</w:t>
      </w:r>
      <w:r>
        <w:rPr>
          <w:b/>
          <w:i/>
          <w:color w:val="231F20"/>
          <w:w w:val="99"/>
          <w:sz w:val="20"/>
        </w:rPr>
        <w:t xml:space="preserve"> </w:t>
      </w:r>
      <w:r>
        <w:rPr>
          <w:b/>
          <w:i/>
          <w:color w:val="231F20"/>
          <w:w w:val="95"/>
          <w:sz w:val="20"/>
        </w:rPr>
        <w:t xml:space="preserve">Required </w:t>
      </w:r>
      <w:r>
        <w:rPr>
          <w:b/>
          <w:i/>
          <w:color w:val="231F20"/>
          <w:sz w:val="20"/>
        </w:rPr>
        <w:t>exclusions</w:t>
      </w:r>
    </w:p>
    <w:p w:rsidR="002731CB" w:rsidRDefault="00F315C8">
      <w:pPr>
        <w:pStyle w:val="BodyText"/>
        <w:spacing w:before="93"/>
        <w:ind w:left="177"/>
      </w:pPr>
      <w:r>
        <w:br w:type="column"/>
      </w:r>
      <w:r>
        <w:rPr>
          <w:color w:val="231F20"/>
        </w:rPr>
        <w:t>Exclude members who meet any of the following criteria:</w:t>
      </w:r>
    </w:p>
    <w:p w:rsidR="002731CB" w:rsidRDefault="00F315C8">
      <w:pPr>
        <w:pStyle w:val="ListParagraph"/>
        <w:numPr>
          <w:ilvl w:val="0"/>
          <w:numId w:val="11"/>
        </w:numPr>
        <w:tabs>
          <w:tab w:val="left" w:pos="754"/>
        </w:tabs>
        <w:spacing w:before="61"/>
        <w:ind w:right="330" w:hanging="216"/>
        <w:rPr>
          <w:sz w:val="20"/>
        </w:rPr>
      </w:pPr>
      <w:r>
        <w:rPr>
          <w:color w:val="231F20"/>
          <w:sz w:val="20"/>
        </w:rPr>
        <w:t>Female members with a diagnosis of pregnancy (</w:t>
      </w:r>
      <w:r>
        <w:rPr>
          <w:color w:val="231F20"/>
          <w:sz w:val="20"/>
          <w:u w:val="single" w:color="231F20"/>
        </w:rPr>
        <w:t>Pregnancy Value Set</w:t>
      </w:r>
      <w:r>
        <w:rPr>
          <w:color w:val="231F20"/>
          <w:sz w:val="20"/>
        </w:rPr>
        <w:t>)</w:t>
      </w:r>
      <w:r>
        <w:rPr>
          <w:color w:val="231F20"/>
          <w:spacing w:val="-32"/>
          <w:sz w:val="20"/>
        </w:rPr>
        <w:t xml:space="preserve"> </w:t>
      </w:r>
      <w:r>
        <w:rPr>
          <w:color w:val="231F20"/>
          <w:sz w:val="20"/>
        </w:rPr>
        <w:t>during the measurement year or the year prior to the measurement</w:t>
      </w:r>
      <w:r>
        <w:rPr>
          <w:color w:val="231F20"/>
          <w:spacing w:val="-30"/>
          <w:sz w:val="20"/>
        </w:rPr>
        <w:t xml:space="preserve"> </w:t>
      </w:r>
      <w:r>
        <w:rPr>
          <w:color w:val="231F20"/>
          <w:sz w:val="20"/>
        </w:rPr>
        <w:t>year.</w:t>
      </w:r>
    </w:p>
    <w:p w:rsidR="002731CB" w:rsidRDefault="00F315C8">
      <w:pPr>
        <w:pStyle w:val="ListParagraph"/>
        <w:numPr>
          <w:ilvl w:val="0"/>
          <w:numId w:val="11"/>
        </w:numPr>
        <w:tabs>
          <w:tab w:val="left" w:pos="754"/>
        </w:tabs>
        <w:ind w:right="262" w:hanging="216"/>
        <w:rPr>
          <w:sz w:val="20"/>
        </w:rPr>
      </w:pPr>
      <w:r>
        <w:rPr>
          <w:color w:val="231F20"/>
          <w:sz w:val="20"/>
        </w:rPr>
        <w:t>In vitro fertilization (</w:t>
      </w:r>
      <w:r>
        <w:rPr>
          <w:color w:val="231F20"/>
          <w:sz w:val="20"/>
          <w:u w:val="single" w:color="231F20"/>
        </w:rPr>
        <w:t>IVF Value Set</w:t>
      </w:r>
      <w:r>
        <w:rPr>
          <w:color w:val="231F20"/>
          <w:sz w:val="20"/>
        </w:rPr>
        <w:t>) in the measurement year or year prior to the measurement</w:t>
      </w:r>
      <w:r>
        <w:rPr>
          <w:color w:val="231F20"/>
          <w:spacing w:val="-11"/>
          <w:sz w:val="20"/>
        </w:rPr>
        <w:t xml:space="preserve"> </w:t>
      </w:r>
      <w:r>
        <w:rPr>
          <w:color w:val="231F20"/>
          <w:sz w:val="20"/>
        </w:rPr>
        <w:t>year.</w:t>
      </w:r>
    </w:p>
    <w:p w:rsidR="002731CB" w:rsidRDefault="00F315C8">
      <w:pPr>
        <w:pStyle w:val="ListParagraph"/>
        <w:numPr>
          <w:ilvl w:val="0"/>
          <w:numId w:val="11"/>
        </w:numPr>
        <w:tabs>
          <w:tab w:val="left" w:pos="754"/>
        </w:tabs>
        <w:spacing w:before="63" w:line="237" w:lineRule="auto"/>
        <w:ind w:right="1065" w:hanging="216"/>
        <w:jc w:val="both"/>
        <w:rPr>
          <w:sz w:val="20"/>
        </w:rPr>
      </w:pPr>
      <w:r>
        <w:rPr>
          <w:color w:val="231F20"/>
          <w:sz w:val="20"/>
        </w:rPr>
        <w:t>Dispensed at least one prescription for clomiphene (</w:t>
      </w:r>
      <w:r>
        <w:rPr>
          <w:color w:val="231F20"/>
          <w:sz w:val="20"/>
          <w:u w:val="single" w:color="231F20"/>
        </w:rPr>
        <w:t>Estrogen Agonist Medications Li</w:t>
      </w:r>
      <w:r>
        <w:rPr>
          <w:color w:val="231F20"/>
          <w:sz w:val="20"/>
          <w:u w:val="single" w:color="231F20"/>
        </w:rPr>
        <w:t>st</w:t>
      </w:r>
      <w:r>
        <w:rPr>
          <w:color w:val="231F20"/>
          <w:sz w:val="20"/>
        </w:rPr>
        <w:t>) during the measurement year or the year prior to</w:t>
      </w:r>
      <w:r>
        <w:rPr>
          <w:color w:val="231F20"/>
          <w:spacing w:val="-33"/>
          <w:sz w:val="20"/>
        </w:rPr>
        <w:t xml:space="preserve"> </w:t>
      </w:r>
      <w:r>
        <w:rPr>
          <w:color w:val="231F20"/>
          <w:sz w:val="20"/>
        </w:rPr>
        <w:t>the measurement</w:t>
      </w:r>
      <w:r>
        <w:rPr>
          <w:color w:val="231F20"/>
          <w:spacing w:val="-10"/>
          <w:sz w:val="20"/>
        </w:rPr>
        <w:t xml:space="preserve"> </w:t>
      </w:r>
      <w:r>
        <w:rPr>
          <w:color w:val="231F20"/>
          <w:sz w:val="20"/>
        </w:rPr>
        <w:t>year.</w:t>
      </w:r>
    </w:p>
    <w:p w:rsidR="002731CB" w:rsidRDefault="00F315C8">
      <w:pPr>
        <w:pStyle w:val="ListParagraph"/>
        <w:numPr>
          <w:ilvl w:val="0"/>
          <w:numId w:val="11"/>
        </w:numPr>
        <w:tabs>
          <w:tab w:val="left" w:pos="754"/>
        </w:tabs>
        <w:spacing w:before="80" w:line="228" w:lineRule="exact"/>
        <w:ind w:right="341" w:hanging="216"/>
        <w:rPr>
          <w:sz w:val="20"/>
        </w:rPr>
      </w:pPr>
      <w:r>
        <w:rPr>
          <w:color w:val="231F20"/>
          <w:sz w:val="20"/>
        </w:rPr>
        <w:t>ESRD (</w:t>
      </w:r>
      <w:r>
        <w:rPr>
          <w:color w:val="231F20"/>
          <w:sz w:val="20"/>
          <w:u w:val="single" w:color="231F20"/>
        </w:rPr>
        <w:t>ESRD Value Set</w:t>
      </w:r>
      <w:r>
        <w:rPr>
          <w:color w:val="231F20"/>
          <w:sz w:val="20"/>
        </w:rPr>
        <w:t>) during the measurement year or the year prior to</w:t>
      </w:r>
      <w:r>
        <w:rPr>
          <w:color w:val="231F20"/>
          <w:spacing w:val="-29"/>
          <w:sz w:val="20"/>
        </w:rPr>
        <w:t xml:space="preserve"> </w:t>
      </w:r>
      <w:r>
        <w:rPr>
          <w:color w:val="231F20"/>
          <w:sz w:val="20"/>
        </w:rPr>
        <w:t>the measurement</w:t>
      </w:r>
      <w:r>
        <w:rPr>
          <w:color w:val="231F20"/>
          <w:spacing w:val="-11"/>
          <w:sz w:val="20"/>
        </w:rPr>
        <w:t xml:space="preserve"> </w:t>
      </w:r>
      <w:r>
        <w:rPr>
          <w:color w:val="231F20"/>
          <w:sz w:val="20"/>
        </w:rPr>
        <w:t>year.</w:t>
      </w:r>
    </w:p>
    <w:p w:rsidR="002731CB" w:rsidRDefault="00F315C8">
      <w:pPr>
        <w:pStyle w:val="ListParagraph"/>
        <w:numPr>
          <w:ilvl w:val="0"/>
          <w:numId w:val="11"/>
        </w:numPr>
        <w:tabs>
          <w:tab w:val="left" w:pos="754"/>
        </w:tabs>
        <w:spacing w:before="58"/>
        <w:ind w:right="208" w:hanging="216"/>
        <w:rPr>
          <w:sz w:val="20"/>
        </w:rPr>
      </w:pPr>
      <w:r>
        <w:rPr>
          <w:color w:val="231F20"/>
          <w:sz w:val="20"/>
        </w:rPr>
        <w:t>Cirrhosis (</w:t>
      </w:r>
      <w:r>
        <w:rPr>
          <w:color w:val="231F20"/>
          <w:sz w:val="20"/>
          <w:u w:val="single" w:color="231F20"/>
        </w:rPr>
        <w:t>Cirrhosis Value Set</w:t>
      </w:r>
      <w:r>
        <w:rPr>
          <w:color w:val="231F20"/>
          <w:sz w:val="20"/>
        </w:rPr>
        <w:t>) during the measurement year or the year prior</w:t>
      </w:r>
      <w:r>
        <w:rPr>
          <w:color w:val="231F20"/>
          <w:spacing w:val="-32"/>
          <w:sz w:val="20"/>
        </w:rPr>
        <w:t xml:space="preserve"> </w:t>
      </w:r>
      <w:r>
        <w:rPr>
          <w:color w:val="231F20"/>
          <w:sz w:val="20"/>
        </w:rPr>
        <w:t>to the measurement</w:t>
      </w:r>
      <w:r>
        <w:rPr>
          <w:color w:val="231F20"/>
          <w:spacing w:val="-13"/>
          <w:sz w:val="20"/>
        </w:rPr>
        <w:t xml:space="preserve"> </w:t>
      </w:r>
      <w:r>
        <w:rPr>
          <w:color w:val="231F20"/>
          <w:sz w:val="20"/>
        </w:rPr>
        <w:t>year.</w:t>
      </w:r>
    </w:p>
    <w:p w:rsidR="002731CB" w:rsidRDefault="00F315C8">
      <w:pPr>
        <w:pStyle w:val="ListParagraph"/>
        <w:numPr>
          <w:ilvl w:val="0"/>
          <w:numId w:val="11"/>
        </w:numPr>
        <w:tabs>
          <w:tab w:val="left" w:pos="754"/>
        </w:tabs>
        <w:spacing w:before="58"/>
        <w:ind w:right="522" w:hanging="216"/>
        <w:rPr>
          <w:sz w:val="20"/>
        </w:rPr>
      </w:pPr>
      <w:r>
        <w:rPr>
          <w:color w:val="231F20"/>
          <w:sz w:val="20"/>
        </w:rPr>
        <w:t>Myalgia, myositis, myopathy or rhabdomyolysis (</w:t>
      </w:r>
      <w:r>
        <w:rPr>
          <w:color w:val="231F20"/>
          <w:sz w:val="20"/>
          <w:u w:val="single" w:color="231F20"/>
        </w:rPr>
        <w:t>Muscular Pain and</w:t>
      </w:r>
      <w:r>
        <w:rPr>
          <w:color w:val="231F20"/>
          <w:spacing w:val="-27"/>
          <w:sz w:val="20"/>
          <w:u w:val="single" w:color="231F20"/>
        </w:rPr>
        <w:t xml:space="preserve"> </w:t>
      </w:r>
      <w:r>
        <w:rPr>
          <w:color w:val="231F20"/>
          <w:sz w:val="20"/>
          <w:u w:val="single" w:color="231F20"/>
        </w:rPr>
        <w:t>Disease Value Set</w:t>
      </w:r>
      <w:r>
        <w:rPr>
          <w:color w:val="231F20"/>
          <w:sz w:val="20"/>
        </w:rPr>
        <w:t>) during the measurement</w:t>
      </w:r>
      <w:r>
        <w:rPr>
          <w:color w:val="231F20"/>
          <w:spacing w:val="-21"/>
          <w:sz w:val="20"/>
        </w:rPr>
        <w:t xml:space="preserve"> </w:t>
      </w:r>
      <w:r>
        <w:rPr>
          <w:color w:val="231F20"/>
          <w:sz w:val="20"/>
        </w:rPr>
        <w:t>year.</w:t>
      </w:r>
    </w:p>
    <w:p w:rsidR="002731CB" w:rsidRDefault="002731CB">
      <w:pPr>
        <w:rPr>
          <w:sz w:val="20"/>
        </w:rPr>
        <w:sectPr w:rsidR="002731CB">
          <w:type w:val="continuous"/>
          <w:pgSz w:w="12240" w:h="15840"/>
          <w:pgMar w:top="1100" w:right="880" w:bottom="1060" w:left="1240" w:header="720" w:footer="720" w:gutter="0"/>
          <w:cols w:num="2" w:space="720" w:equalWidth="0">
            <w:col w:w="2071" w:space="40"/>
            <w:col w:w="8009"/>
          </w:cols>
        </w:sectPr>
      </w:pPr>
    </w:p>
    <w:p w:rsidR="002731CB" w:rsidRDefault="002731CB">
      <w:pPr>
        <w:pStyle w:val="BodyText"/>
        <w:spacing w:before="7"/>
        <w:rPr>
          <w:sz w:val="12"/>
        </w:rPr>
      </w:pPr>
    </w:p>
    <w:p w:rsidR="002731CB" w:rsidRDefault="00F315C8">
      <w:pPr>
        <w:spacing w:before="94"/>
        <w:ind w:left="200"/>
        <w:rPr>
          <w:b/>
          <w:i/>
          <w:sz w:val="18"/>
        </w:rPr>
      </w:pPr>
      <w:r>
        <w:rPr>
          <w:b/>
          <w:i/>
          <w:color w:val="231F20"/>
          <w:sz w:val="18"/>
        </w:rPr>
        <w:t>Estrogen Agonist Medications</w:t>
      </w:r>
    </w:p>
    <w:p w:rsidR="002731CB" w:rsidRDefault="002731CB">
      <w:pPr>
        <w:pStyle w:val="BodyText"/>
        <w:spacing w:before="4"/>
        <w:rPr>
          <w:b/>
          <w:i/>
          <w:sz w:val="5"/>
        </w:rPr>
      </w:pPr>
    </w:p>
    <w:tbl>
      <w:tblPr>
        <w:tblW w:w="0" w:type="auto"/>
        <w:tblInd w:w="2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11"/>
        <w:gridCol w:w="2388"/>
      </w:tblGrid>
      <w:tr w:rsidR="002731CB">
        <w:trPr>
          <w:trHeight w:hRule="exact" w:val="302"/>
        </w:trPr>
        <w:tc>
          <w:tcPr>
            <w:tcW w:w="1711" w:type="dxa"/>
            <w:shd w:val="clear" w:color="auto" w:fill="231F20"/>
          </w:tcPr>
          <w:p w:rsidR="002731CB" w:rsidRDefault="00F315C8">
            <w:pPr>
              <w:pStyle w:val="TableParagraph"/>
              <w:spacing w:before="26"/>
              <w:ind w:right="403"/>
              <w:jc w:val="right"/>
              <w:rPr>
                <w:b/>
                <w:sz w:val="20"/>
              </w:rPr>
            </w:pPr>
            <w:r>
              <w:rPr>
                <w:b/>
                <w:color w:val="FFFFFF"/>
                <w:sz w:val="20"/>
              </w:rPr>
              <w:t>Description</w:t>
            </w:r>
          </w:p>
        </w:tc>
        <w:tc>
          <w:tcPr>
            <w:tcW w:w="2388" w:type="dxa"/>
            <w:shd w:val="clear" w:color="auto" w:fill="231F20"/>
          </w:tcPr>
          <w:p w:rsidR="002731CB" w:rsidRDefault="00F315C8">
            <w:pPr>
              <w:pStyle w:val="TableParagraph"/>
              <w:spacing w:before="26"/>
              <w:ind w:left="715"/>
              <w:rPr>
                <w:b/>
                <w:sz w:val="20"/>
              </w:rPr>
            </w:pPr>
            <w:r>
              <w:rPr>
                <w:b/>
                <w:color w:val="FFFFFF"/>
                <w:sz w:val="20"/>
              </w:rPr>
              <w:t>Prescription</w:t>
            </w:r>
          </w:p>
        </w:tc>
      </w:tr>
      <w:tr w:rsidR="002731CB">
        <w:trPr>
          <w:trHeight w:hRule="exact" w:val="290"/>
        </w:trPr>
        <w:tc>
          <w:tcPr>
            <w:tcW w:w="1711" w:type="dxa"/>
            <w:tcBorders>
              <w:top w:val="single" w:sz="4" w:space="0" w:color="231F20"/>
              <w:left w:val="single" w:sz="4" w:space="0" w:color="231F20"/>
              <w:bottom w:val="single" w:sz="4" w:space="0" w:color="231F20"/>
              <w:right w:val="single" w:sz="4" w:space="0" w:color="231F20"/>
            </w:tcBorders>
          </w:tcPr>
          <w:p w:rsidR="002731CB" w:rsidRDefault="00F315C8">
            <w:pPr>
              <w:pStyle w:val="TableParagraph"/>
              <w:spacing w:before="21"/>
              <w:ind w:right="349"/>
              <w:jc w:val="right"/>
              <w:rPr>
                <w:sz w:val="19"/>
              </w:rPr>
            </w:pPr>
            <w:r>
              <w:rPr>
                <w:color w:val="231F20"/>
                <w:sz w:val="19"/>
              </w:rPr>
              <w:t>Estrogen agonists</w:t>
            </w:r>
          </w:p>
        </w:tc>
        <w:tc>
          <w:tcPr>
            <w:tcW w:w="2388" w:type="dxa"/>
            <w:tcBorders>
              <w:top w:val="single" w:sz="4" w:space="0" w:color="231F20"/>
              <w:left w:val="single" w:sz="4" w:space="0" w:color="231F20"/>
              <w:bottom w:val="single" w:sz="4" w:space="0" w:color="231F20"/>
              <w:right w:val="single" w:sz="4" w:space="0" w:color="231F20"/>
            </w:tcBorders>
          </w:tcPr>
          <w:p w:rsidR="002731CB" w:rsidRDefault="00F315C8">
            <w:pPr>
              <w:pStyle w:val="TableParagraph"/>
              <w:numPr>
                <w:ilvl w:val="0"/>
                <w:numId w:val="10"/>
              </w:numPr>
              <w:tabs>
                <w:tab w:val="left" w:pos="262"/>
              </w:tabs>
              <w:spacing w:line="243" w:lineRule="exact"/>
              <w:ind w:hanging="158"/>
              <w:rPr>
                <w:sz w:val="20"/>
              </w:rPr>
            </w:pPr>
            <w:r>
              <w:rPr>
                <w:color w:val="231F20"/>
                <w:sz w:val="20"/>
              </w:rPr>
              <w:t>Clomiphene</w:t>
            </w:r>
          </w:p>
        </w:tc>
      </w:tr>
    </w:tbl>
    <w:p w:rsidR="002731CB" w:rsidRDefault="00F315C8">
      <w:pPr>
        <w:pStyle w:val="BodyText"/>
        <w:spacing w:before="3"/>
        <w:rPr>
          <w:b/>
          <w:i/>
          <w:sz w:val="27"/>
        </w:rPr>
      </w:pPr>
      <w:r>
        <w:pict>
          <v:group id="_x0000_s1044" style="position:absolute;margin-left:67.55pt;margin-top:17.65pt;width:495.3pt;height:19pt;z-index:251656192;mso-wrap-distance-left:0;mso-wrap-distance-right:0;mso-position-horizontal-relative:page;mso-position-vertical-relative:text" coordorigin="1351,353" coordsize="9906,380">
            <v:rect id="_x0000_s1051" style="position:absolute;left:1373;top:375;width:9854;height:334" fillcolor="#231f20" stroked="f"/>
            <v:line id="_x0000_s1050" style="position:absolute" from="1358,368" to="11242,368" strokecolor="#231f20" strokeweight=".72pt"/>
            <v:line id="_x0000_s1049" style="position:absolute" from="1358,716" to="11242,716" strokecolor="#231f20" strokeweight=".72pt"/>
            <v:line id="_x0000_s1048" style="position:absolute" from="1366,361" to="1366,723" strokecolor="#231f20" strokeweight=".72pt"/>
            <v:line id="_x0000_s1047" style="position:absolute" from="11234,361" to="11234,723" strokecolor="#231f20" strokeweight=".72pt"/>
            <v:line id="_x0000_s1046" style="position:absolute" from="1397,728" to="11251,728" strokecolor="#231f20" strokeweight=".16931mm"/>
            <v:shape id="_x0000_s1045" type="#_x0000_t202" style="position:absolute;left:1358;top:368;width:9884;height:360" filled="f" stroked="f">
              <v:textbox inset="0,0,0,0">
                <w:txbxContent>
                  <w:p w:rsidR="002731CB" w:rsidRDefault="00F315C8">
                    <w:pPr>
                      <w:spacing w:before="45"/>
                      <w:ind w:left="81"/>
                      <w:rPr>
                        <w:b/>
                      </w:rPr>
                    </w:pPr>
                    <w:r>
                      <w:rPr>
                        <w:b/>
                        <w:color w:val="FFFFFF"/>
                      </w:rPr>
                      <w:t>Administrative Specification: Rate 1—Received Statin Therapy</w:t>
                    </w:r>
                  </w:p>
                </w:txbxContent>
              </v:textbox>
            </v:shape>
            <w10:wrap type="topAndBottom" anchorx="page"/>
          </v:group>
        </w:pict>
      </w:r>
    </w:p>
    <w:p w:rsidR="002731CB" w:rsidRDefault="00F315C8">
      <w:pPr>
        <w:tabs>
          <w:tab w:val="left" w:pos="2287"/>
        </w:tabs>
        <w:spacing w:before="148"/>
        <w:ind w:left="480"/>
        <w:rPr>
          <w:sz w:val="20"/>
        </w:rPr>
      </w:pPr>
      <w:r>
        <w:rPr>
          <w:b/>
          <w:color w:val="231F20"/>
          <w:sz w:val="20"/>
        </w:rPr>
        <w:t>Denominator</w:t>
      </w:r>
      <w:r>
        <w:rPr>
          <w:b/>
          <w:color w:val="231F20"/>
          <w:sz w:val="20"/>
        </w:rPr>
        <w:tab/>
      </w:r>
      <w:r>
        <w:rPr>
          <w:color w:val="231F20"/>
          <w:sz w:val="20"/>
        </w:rPr>
        <w:t>The Rate 1 eligible</w:t>
      </w:r>
      <w:r>
        <w:rPr>
          <w:color w:val="231F20"/>
          <w:spacing w:val="-13"/>
          <w:sz w:val="20"/>
        </w:rPr>
        <w:t xml:space="preserve"> </w:t>
      </w:r>
      <w:r>
        <w:rPr>
          <w:color w:val="231F20"/>
          <w:sz w:val="20"/>
        </w:rPr>
        <w:t>population.</w:t>
      </w:r>
    </w:p>
    <w:p w:rsidR="002731CB" w:rsidRDefault="00F315C8">
      <w:pPr>
        <w:pStyle w:val="BodyText"/>
        <w:tabs>
          <w:tab w:val="left" w:pos="2287"/>
        </w:tabs>
        <w:spacing w:before="180"/>
        <w:ind w:left="2287" w:right="262" w:hanging="1808"/>
        <w:jc w:val="both"/>
      </w:pPr>
      <w:r>
        <w:rPr>
          <w:b/>
          <w:color w:val="231F20"/>
        </w:rPr>
        <w:t>Numerator</w:t>
      </w:r>
      <w:r>
        <w:rPr>
          <w:b/>
          <w:color w:val="231F20"/>
        </w:rPr>
        <w:tab/>
      </w:r>
      <w:r>
        <w:rPr>
          <w:color w:val="231F20"/>
        </w:rPr>
        <w:t>The number of members who had at least one dispensing event for a</w:t>
      </w:r>
      <w:r>
        <w:rPr>
          <w:color w:val="231F20"/>
          <w:spacing w:val="-32"/>
        </w:rPr>
        <w:t xml:space="preserve"> </w:t>
      </w:r>
      <w:r>
        <w:rPr>
          <w:color w:val="231F20"/>
        </w:rPr>
        <w:t>high-intensity</w:t>
      </w:r>
      <w:r>
        <w:rPr>
          <w:color w:val="231F20"/>
          <w:spacing w:val="-5"/>
        </w:rPr>
        <w:t xml:space="preserve"> </w:t>
      </w:r>
      <w:r>
        <w:rPr>
          <w:color w:val="231F20"/>
        </w:rPr>
        <w:t>or</w:t>
      </w:r>
      <w:r>
        <w:rPr>
          <w:color w:val="231F20"/>
          <w:spacing w:val="-1"/>
          <w:w w:val="99"/>
        </w:rPr>
        <w:t xml:space="preserve"> </w:t>
      </w:r>
      <w:r>
        <w:rPr>
          <w:color w:val="231F20"/>
        </w:rPr>
        <w:t>moderate-intensity statin medication (</w:t>
      </w:r>
      <w:r>
        <w:rPr>
          <w:color w:val="231F20"/>
          <w:u w:val="single" w:color="231F20"/>
        </w:rPr>
        <w:t>High and Moderat</w:t>
      </w:r>
      <w:r>
        <w:rPr>
          <w:color w:val="231F20"/>
          <w:u w:val="single" w:color="231F20"/>
        </w:rPr>
        <w:t>e-Intensity Statin Medications List</w:t>
      </w:r>
      <w:r>
        <w:rPr>
          <w:color w:val="231F20"/>
        </w:rPr>
        <w:t>) during the measurement</w:t>
      </w:r>
      <w:r>
        <w:rPr>
          <w:color w:val="231F20"/>
          <w:spacing w:val="-18"/>
        </w:rPr>
        <w:t xml:space="preserve"> </w:t>
      </w:r>
      <w:r>
        <w:rPr>
          <w:color w:val="231F20"/>
        </w:rPr>
        <w:t>year.</w:t>
      </w:r>
    </w:p>
    <w:p w:rsidR="002731CB" w:rsidRDefault="002731CB">
      <w:pPr>
        <w:pStyle w:val="BodyText"/>
        <w:spacing w:before="5"/>
        <w:rPr>
          <w:sz w:val="12"/>
        </w:rPr>
      </w:pPr>
    </w:p>
    <w:p w:rsidR="002731CB" w:rsidRDefault="00F315C8">
      <w:pPr>
        <w:spacing w:before="94"/>
        <w:ind w:left="200"/>
        <w:rPr>
          <w:b/>
          <w:i/>
          <w:sz w:val="18"/>
        </w:rPr>
      </w:pPr>
      <w:r>
        <w:rPr>
          <w:b/>
          <w:i/>
          <w:color w:val="231F20"/>
          <w:sz w:val="18"/>
        </w:rPr>
        <w:t>High- and Moderate-Intensity Statin Medications</w:t>
      </w:r>
    </w:p>
    <w:p w:rsidR="002731CB" w:rsidRDefault="002731CB">
      <w:pPr>
        <w:pStyle w:val="BodyText"/>
        <w:rPr>
          <w:b/>
          <w:i/>
          <w:sz w:val="6"/>
        </w:rPr>
      </w:pPr>
    </w:p>
    <w:tbl>
      <w:tblPr>
        <w:tblW w:w="0" w:type="auto"/>
        <w:tblInd w:w="2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335"/>
        <w:gridCol w:w="3032"/>
        <w:gridCol w:w="441"/>
        <w:gridCol w:w="2918"/>
      </w:tblGrid>
      <w:tr w:rsidR="002731CB">
        <w:trPr>
          <w:trHeight w:hRule="exact" w:val="288"/>
        </w:trPr>
        <w:tc>
          <w:tcPr>
            <w:tcW w:w="2335" w:type="dxa"/>
            <w:shd w:val="clear" w:color="auto" w:fill="231F20"/>
          </w:tcPr>
          <w:p w:rsidR="002731CB" w:rsidRDefault="00F315C8">
            <w:pPr>
              <w:pStyle w:val="TableParagraph"/>
              <w:spacing w:before="16"/>
              <w:ind w:left="696" w:right="696"/>
              <w:jc w:val="center"/>
              <w:rPr>
                <w:b/>
                <w:sz w:val="20"/>
              </w:rPr>
            </w:pPr>
            <w:r>
              <w:rPr>
                <w:b/>
                <w:color w:val="FFFFFF"/>
                <w:sz w:val="20"/>
              </w:rPr>
              <w:t>Description</w:t>
            </w:r>
          </w:p>
        </w:tc>
        <w:tc>
          <w:tcPr>
            <w:tcW w:w="6391" w:type="dxa"/>
            <w:gridSpan w:val="3"/>
            <w:shd w:val="clear" w:color="auto" w:fill="231F20"/>
          </w:tcPr>
          <w:p w:rsidR="002731CB" w:rsidRDefault="00F315C8">
            <w:pPr>
              <w:pStyle w:val="TableParagraph"/>
              <w:spacing w:before="16"/>
              <w:ind w:left="2695" w:right="2698"/>
              <w:jc w:val="center"/>
              <w:rPr>
                <w:b/>
                <w:sz w:val="20"/>
              </w:rPr>
            </w:pPr>
            <w:r>
              <w:rPr>
                <w:b/>
                <w:color w:val="FFFFFF"/>
                <w:sz w:val="20"/>
              </w:rPr>
              <w:t>Prescription</w:t>
            </w:r>
          </w:p>
        </w:tc>
      </w:tr>
      <w:tr w:rsidR="002731CB">
        <w:trPr>
          <w:trHeight w:hRule="exact" w:val="248"/>
        </w:trPr>
        <w:tc>
          <w:tcPr>
            <w:tcW w:w="2335" w:type="dxa"/>
            <w:tcBorders>
              <w:top w:val="single" w:sz="4" w:space="0" w:color="231F20"/>
              <w:left w:val="single" w:sz="4" w:space="0" w:color="231F20"/>
              <w:right w:val="single" w:sz="4" w:space="0" w:color="231F20"/>
            </w:tcBorders>
          </w:tcPr>
          <w:p w:rsidR="002731CB" w:rsidRDefault="00F315C8">
            <w:pPr>
              <w:pStyle w:val="TableParagraph"/>
              <w:spacing w:before="14"/>
              <w:ind w:left="82" w:right="178"/>
              <w:jc w:val="center"/>
              <w:rPr>
                <w:sz w:val="20"/>
              </w:rPr>
            </w:pPr>
            <w:r>
              <w:rPr>
                <w:color w:val="231F20"/>
                <w:sz w:val="20"/>
              </w:rPr>
              <w:t>High-intensity statin therapy</w:t>
            </w:r>
          </w:p>
        </w:tc>
        <w:tc>
          <w:tcPr>
            <w:tcW w:w="3032" w:type="dxa"/>
            <w:tcBorders>
              <w:top w:val="single" w:sz="4" w:space="0" w:color="231F20"/>
              <w:left w:val="single" w:sz="4" w:space="0" w:color="231F20"/>
            </w:tcBorders>
          </w:tcPr>
          <w:p w:rsidR="002731CB" w:rsidRDefault="00F315C8">
            <w:pPr>
              <w:pStyle w:val="TableParagraph"/>
              <w:numPr>
                <w:ilvl w:val="0"/>
                <w:numId w:val="9"/>
              </w:numPr>
              <w:tabs>
                <w:tab w:val="left" w:pos="262"/>
              </w:tabs>
              <w:ind w:hanging="158"/>
              <w:rPr>
                <w:sz w:val="20"/>
              </w:rPr>
            </w:pPr>
            <w:r>
              <w:rPr>
                <w:color w:val="231F20"/>
                <w:sz w:val="20"/>
              </w:rPr>
              <w:t>Atorvastatin 40-80</w:t>
            </w:r>
            <w:r>
              <w:rPr>
                <w:color w:val="231F20"/>
                <w:spacing w:val="-8"/>
                <w:sz w:val="20"/>
              </w:rPr>
              <w:t xml:space="preserve"> </w:t>
            </w:r>
            <w:r>
              <w:rPr>
                <w:color w:val="231F20"/>
                <w:sz w:val="20"/>
              </w:rPr>
              <w:t>mg</w:t>
            </w:r>
          </w:p>
        </w:tc>
        <w:tc>
          <w:tcPr>
            <w:tcW w:w="441" w:type="dxa"/>
            <w:tcBorders>
              <w:top w:val="single" w:sz="4" w:space="0" w:color="231F20"/>
            </w:tcBorders>
          </w:tcPr>
          <w:p w:rsidR="002731CB" w:rsidRDefault="00F315C8">
            <w:pPr>
              <w:pStyle w:val="TableParagraph"/>
              <w:ind w:right="31"/>
              <w:jc w:val="right"/>
              <w:rPr>
                <w:rFonts w:ascii="Symbol" w:hAnsi="Symbol"/>
                <w:sz w:val="20"/>
              </w:rPr>
            </w:pPr>
            <w:r>
              <w:rPr>
                <w:rFonts w:ascii="Symbol" w:hAnsi="Symbol"/>
                <w:color w:val="231F20"/>
                <w:w w:val="99"/>
                <w:sz w:val="20"/>
              </w:rPr>
              <w:t></w:t>
            </w:r>
          </w:p>
        </w:tc>
        <w:tc>
          <w:tcPr>
            <w:tcW w:w="2918" w:type="dxa"/>
            <w:tcBorders>
              <w:top w:val="single" w:sz="4" w:space="0" w:color="231F20"/>
              <w:right w:val="single" w:sz="4" w:space="0" w:color="231F20"/>
            </w:tcBorders>
          </w:tcPr>
          <w:p w:rsidR="002731CB" w:rsidRDefault="00F315C8">
            <w:pPr>
              <w:pStyle w:val="TableParagraph"/>
              <w:spacing w:before="14"/>
              <w:ind w:left="33"/>
              <w:rPr>
                <w:sz w:val="20"/>
              </w:rPr>
            </w:pPr>
            <w:r>
              <w:rPr>
                <w:color w:val="231F20"/>
                <w:sz w:val="20"/>
              </w:rPr>
              <w:t>Rosuvastatin 20-40 mg</w:t>
            </w:r>
          </w:p>
        </w:tc>
      </w:tr>
      <w:tr w:rsidR="002731CB">
        <w:trPr>
          <w:trHeight w:hRule="exact" w:val="240"/>
        </w:trPr>
        <w:tc>
          <w:tcPr>
            <w:tcW w:w="2335" w:type="dxa"/>
            <w:tcBorders>
              <w:left w:val="single" w:sz="4" w:space="0" w:color="231F20"/>
              <w:right w:val="single" w:sz="4" w:space="0" w:color="231F20"/>
            </w:tcBorders>
          </w:tcPr>
          <w:p w:rsidR="002731CB" w:rsidRDefault="002731CB"/>
        </w:tc>
        <w:tc>
          <w:tcPr>
            <w:tcW w:w="3032" w:type="dxa"/>
            <w:tcBorders>
              <w:left w:val="single" w:sz="4" w:space="0" w:color="231F20"/>
            </w:tcBorders>
          </w:tcPr>
          <w:p w:rsidR="002731CB" w:rsidRDefault="00F315C8">
            <w:pPr>
              <w:pStyle w:val="TableParagraph"/>
              <w:numPr>
                <w:ilvl w:val="0"/>
                <w:numId w:val="8"/>
              </w:numPr>
              <w:tabs>
                <w:tab w:val="left" w:pos="262"/>
              </w:tabs>
              <w:spacing w:line="242" w:lineRule="exact"/>
              <w:ind w:hanging="158"/>
              <w:rPr>
                <w:sz w:val="20"/>
              </w:rPr>
            </w:pPr>
            <w:r>
              <w:rPr>
                <w:color w:val="231F20"/>
                <w:sz w:val="20"/>
              </w:rPr>
              <w:t>Amlodipine-atorvastatin 40-80</w:t>
            </w:r>
            <w:r>
              <w:rPr>
                <w:color w:val="231F20"/>
                <w:spacing w:val="-11"/>
                <w:sz w:val="20"/>
              </w:rPr>
              <w:t xml:space="preserve"> </w:t>
            </w:r>
            <w:r>
              <w:rPr>
                <w:color w:val="231F20"/>
                <w:sz w:val="20"/>
              </w:rPr>
              <w:t>mg</w:t>
            </w:r>
          </w:p>
        </w:tc>
        <w:tc>
          <w:tcPr>
            <w:tcW w:w="441" w:type="dxa"/>
          </w:tcPr>
          <w:p w:rsidR="002731CB" w:rsidRDefault="00F315C8">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2731CB" w:rsidRDefault="00F315C8">
            <w:pPr>
              <w:pStyle w:val="TableParagraph"/>
              <w:spacing w:before="10"/>
              <w:ind w:left="33"/>
              <w:rPr>
                <w:sz w:val="20"/>
              </w:rPr>
            </w:pPr>
            <w:r>
              <w:rPr>
                <w:color w:val="231F20"/>
                <w:sz w:val="20"/>
              </w:rPr>
              <w:t>Simvastatin 80 mg</w:t>
            </w:r>
          </w:p>
        </w:tc>
      </w:tr>
      <w:tr w:rsidR="002731CB">
        <w:trPr>
          <w:trHeight w:hRule="exact" w:val="282"/>
        </w:trPr>
        <w:tc>
          <w:tcPr>
            <w:tcW w:w="2335" w:type="dxa"/>
            <w:tcBorders>
              <w:left w:val="single" w:sz="4" w:space="0" w:color="231F20"/>
              <w:bottom w:val="single" w:sz="4" w:space="0" w:color="231F20"/>
              <w:right w:val="single" w:sz="4" w:space="0" w:color="231F20"/>
            </w:tcBorders>
          </w:tcPr>
          <w:p w:rsidR="002731CB" w:rsidRDefault="002731CB"/>
        </w:tc>
        <w:tc>
          <w:tcPr>
            <w:tcW w:w="3032" w:type="dxa"/>
            <w:tcBorders>
              <w:left w:val="single" w:sz="4" w:space="0" w:color="231F20"/>
              <w:bottom w:val="single" w:sz="4" w:space="0" w:color="231F20"/>
            </w:tcBorders>
          </w:tcPr>
          <w:p w:rsidR="002731CB" w:rsidRDefault="00F315C8">
            <w:pPr>
              <w:pStyle w:val="TableParagraph"/>
              <w:numPr>
                <w:ilvl w:val="0"/>
                <w:numId w:val="7"/>
              </w:numPr>
              <w:tabs>
                <w:tab w:val="left" w:pos="262"/>
              </w:tabs>
              <w:spacing w:line="242" w:lineRule="exact"/>
              <w:ind w:hanging="158"/>
              <w:rPr>
                <w:sz w:val="20"/>
              </w:rPr>
            </w:pPr>
            <w:r>
              <w:rPr>
                <w:color w:val="231F20"/>
                <w:sz w:val="20"/>
              </w:rPr>
              <w:t>Ezetimibe-atorvastatin 40-80</w:t>
            </w:r>
            <w:r>
              <w:rPr>
                <w:color w:val="231F20"/>
                <w:spacing w:val="-12"/>
                <w:sz w:val="20"/>
              </w:rPr>
              <w:t xml:space="preserve"> </w:t>
            </w:r>
            <w:r>
              <w:rPr>
                <w:color w:val="231F20"/>
                <w:sz w:val="20"/>
              </w:rPr>
              <w:t>mg</w:t>
            </w:r>
          </w:p>
        </w:tc>
        <w:tc>
          <w:tcPr>
            <w:tcW w:w="441" w:type="dxa"/>
            <w:tcBorders>
              <w:bottom w:val="single" w:sz="4" w:space="0" w:color="231F20"/>
            </w:tcBorders>
          </w:tcPr>
          <w:p w:rsidR="002731CB" w:rsidRDefault="00F315C8">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bottom w:val="single" w:sz="4" w:space="0" w:color="231F20"/>
              <w:right w:val="single" w:sz="4" w:space="0" w:color="231F20"/>
            </w:tcBorders>
          </w:tcPr>
          <w:p w:rsidR="002731CB" w:rsidRDefault="00F315C8">
            <w:pPr>
              <w:pStyle w:val="TableParagraph"/>
              <w:spacing w:before="10"/>
              <w:ind w:left="33"/>
              <w:rPr>
                <w:sz w:val="20"/>
              </w:rPr>
            </w:pPr>
            <w:r>
              <w:rPr>
                <w:color w:val="231F20"/>
                <w:sz w:val="20"/>
              </w:rPr>
              <w:t>Ezetimibe-simvastatin 80 mg</w:t>
            </w:r>
          </w:p>
        </w:tc>
      </w:tr>
      <w:tr w:rsidR="002731CB">
        <w:trPr>
          <w:trHeight w:hRule="exact" w:val="488"/>
        </w:trPr>
        <w:tc>
          <w:tcPr>
            <w:tcW w:w="2335" w:type="dxa"/>
            <w:tcBorders>
              <w:top w:val="single" w:sz="4" w:space="0" w:color="231F20"/>
              <w:left w:val="single" w:sz="4" w:space="0" w:color="231F20"/>
              <w:right w:val="single" w:sz="4" w:space="0" w:color="231F20"/>
            </w:tcBorders>
          </w:tcPr>
          <w:p w:rsidR="002731CB" w:rsidRDefault="00F315C8">
            <w:pPr>
              <w:pStyle w:val="TableParagraph"/>
              <w:spacing w:before="41" w:line="200" w:lineRule="exact"/>
              <w:ind w:left="103" w:right="415"/>
              <w:rPr>
                <w:sz w:val="20"/>
              </w:rPr>
            </w:pPr>
            <w:r>
              <w:rPr>
                <w:color w:val="231F20"/>
                <w:sz w:val="20"/>
              </w:rPr>
              <w:t>Moderate-intensity statin therapy</w:t>
            </w:r>
          </w:p>
        </w:tc>
        <w:tc>
          <w:tcPr>
            <w:tcW w:w="3032" w:type="dxa"/>
            <w:tcBorders>
              <w:top w:val="single" w:sz="4" w:space="0" w:color="231F20"/>
              <w:left w:val="single" w:sz="4" w:space="0" w:color="231F20"/>
            </w:tcBorders>
          </w:tcPr>
          <w:p w:rsidR="002731CB" w:rsidRDefault="00F315C8">
            <w:pPr>
              <w:pStyle w:val="TableParagraph"/>
              <w:numPr>
                <w:ilvl w:val="0"/>
                <w:numId w:val="6"/>
              </w:numPr>
              <w:tabs>
                <w:tab w:val="left" w:pos="262"/>
              </w:tabs>
              <w:spacing w:line="242" w:lineRule="exact"/>
              <w:ind w:hanging="158"/>
              <w:rPr>
                <w:sz w:val="20"/>
              </w:rPr>
            </w:pPr>
            <w:r>
              <w:rPr>
                <w:color w:val="231F20"/>
                <w:sz w:val="20"/>
              </w:rPr>
              <w:t>Atorvastatin 10-20</w:t>
            </w:r>
            <w:r>
              <w:rPr>
                <w:color w:val="231F20"/>
                <w:spacing w:val="-8"/>
                <w:sz w:val="20"/>
              </w:rPr>
              <w:t xml:space="preserve"> </w:t>
            </w:r>
            <w:r>
              <w:rPr>
                <w:color w:val="231F20"/>
                <w:sz w:val="20"/>
              </w:rPr>
              <w:t>mg</w:t>
            </w:r>
          </w:p>
          <w:p w:rsidR="002731CB" w:rsidRDefault="00F315C8">
            <w:pPr>
              <w:pStyle w:val="TableParagraph"/>
              <w:numPr>
                <w:ilvl w:val="0"/>
                <w:numId w:val="6"/>
              </w:numPr>
              <w:tabs>
                <w:tab w:val="left" w:pos="262"/>
              </w:tabs>
              <w:spacing w:line="244" w:lineRule="exact"/>
              <w:ind w:hanging="158"/>
              <w:rPr>
                <w:sz w:val="20"/>
              </w:rPr>
            </w:pPr>
            <w:r>
              <w:rPr>
                <w:color w:val="231F20"/>
                <w:sz w:val="20"/>
              </w:rPr>
              <w:t>Amlodipine-atorvastatin 10-20</w:t>
            </w:r>
            <w:r>
              <w:rPr>
                <w:color w:val="231F20"/>
                <w:spacing w:val="-11"/>
                <w:sz w:val="20"/>
              </w:rPr>
              <w:t xml:space="preserve"> </w:t>
            </w:r>
            <w:r>
              <w:rPr>
                <w:color w:val="231F20"/>
                <w:sz w:val="20"/>
              </w:rPr>
              <w:t>mg</w:t>
            </w:r>
          </w:p>
        </w:tc>
        <w:tc>
          <w:tcPr>
            <w:tcW w:w="441" w:type="dxa"/>
            <w:tcBorders>
              <w:top w:val="single" w:sz="4" w:space="0" w:color="231F20"/>
            </w:tcBorders>
          </w:tcPr>
          <w:p w:rsidR="002731CB" w:rsidRDefault="00F315C8">
            <w:pPr>
              <w:pStyle w:val="TableParagraph"/>
              <w:spacing w:line="242" w:lineRule="exact"/>
              <w:ind w:right="31"/>
              <w:jc w:val="right"/>
              <w:rPr>
                <w:rFonts w:ascii="Symbol" w:hAnsi="Symbol"/>
                <w:sz w:val="20"/>
              </w:rPr>
            </w:pPr>
            <w:r>
              <w:rPr>
                <w:rFonts w:ascii="Symbol" w:hAnsi="Symbol"/>
                <w:color w:val="231F20"/>
                <w:w w:val="99"/>
                <w:sz w:val="20"/>
              </w:rPr>
              <w:t></w:t>
            </w:r>
          </w:p>
          <w:p w:rsidR="002731CB" w:rsidRDefault="00F315C8">
            <w:pPr>
              <w:pStyle w:val="TableParagraph"/>
              <w:spacing w:line="244" w:lineRule="exact"/>
              <w:ind w:right="31"/>
              <w:jc w:val="right"/>
              <w:rPr>
                <w:rFonts w:ascii="Symbol" w:hAnsi="Symbol"/>
                <w:sz w:val="20"/>
              </w:rPr>
            </w:pPr>
            <w:r>
              <w:rPr>
                <w:rFonts w:ascii="Symbol" w:hAnsi="Symbol"/>
                <w:color w:val="231F20"/>
                <w:w w:val="99"/>
                <w:sz w:val="20"/>
              </w:rPr>
              <w:t></w:t>
            </w:r>
          </w:p>
        </w:tc>
        <w:tc>
          <w:tcPr>
            <w:tcW w:w="2918" w:type="dxa"/>
            <w:tcBorders>
              <w:top w:val="single" w:sz="4" w:space="0" w:color="231F20"/>
              <w:right w:val="single" w:sz="4" w:space="0" w:color="231F20"/>
            </w:tcBorders>
          </w:tcPr>
          <w:p w:rsidR="002731CB" w:rsidRDefault="00F315C8">
            <w:pPr>
              <w:pStyle w:val="TableParagraph"/>
              <w:spacing w:before="11"/>
              <w:ind w:left="33"/>
              <w:rPr>
                <w:sz w:val="20"/>
              </w:rPr>
            </w:pPr>
            <w:r>
              <w:rPr>
                <w:color w:val="231F20"/>
                <w:sz w:val="20"/>
              </w:rPr>
              <w:t>Sitagliptin-simvastatin 20-40 mg</w:t>
            </w:r>
          </w:p>
          <w:p w:rsidR="002731CB" w:rsidRDefault="00F315C8">
            <w:pPr>
              <w:pStyle w:val="TableParagraph"/>
              <w:spacing w:before="12"/>
              <w:ind w:left="33"/>
              <w:rPr>
                <w:sz w:val="20"/>
              </w:rPr>
            </w:pPr>
            <w:r>
              <w:rPr>
                <w:color w:val="231F20"/>
                <w:sz w:val="20"/>
              </w:rPr>
              <w:t>Pravastatin 40-80 mg</w:t>
            </w:r>
          </w:p>
        </w:tc>
      </w:tr>
      <w:tr w:rsidR="002731CB">
        <w:trPr>
          <w:trHeight w:hRule="exact" w:val="240"/>
        </w:trPr>
        <w:tc>
          <w:tcPr>
            <w:tcW w:w="2335" w:type="dxa"/>
            <w:tcBorders>
              <w:left w:val="single" w:sz="4" w:space="0" w:color="231F20"/>
              <w:right w:val="single" w:sz="4" w:space="0" w:color="231F20"/>
            </w:tcBorders>
          </w:tcPr>
          <w:p w:rsidR="002731CB" w:rsidRDefault="002731CB"/>
        </w:tc>
        <w:tc>
          <w:tcPr>
            <w:tcW w:w="3032" w:type="dxa"/>
            <w:tcBorders>
              <w:left w:val="single" w:sz="4" w:space="0" w:color="231F20"/>
            </w:tcBorders>
          </w:tcPr>
          <w:p w:rsidR="002731CB" w:rsidRDefault="00F315C8">
            <w:pPr>
              <w:pStyle w:val="TableParagraph"/>
              <w:numPr>
                <w:ilvl w:val="0"/>
                <w:numId w:val="5"/>
              </w:numPr>
              <w:tabs>
                <w:tab w:val="left" w:pos="262"/>
              </w:tabs>
              <w:spacing w:line="242" w:lineRule="exact"/>
              <w:ind w:hanging="158"/>
              <w:rPr>
                <w:sz w:val="20"/>
              </w:rPr>
            </w:pPr>
            <w:r>
              <w:rPr>
                <w:color w:val="231F20"/>
                <w:sz w:val="20"/>
              </w:rPr>
              <w:t>Ezetimibe-atorvastatin 10-20</w:t>
            </w:r>
            <w:r>
              <w:rPr>
                <w:color w:val="231F20"/>
                <w:spacing w:val="-12"/>
                <w:sz w:val="20"/>
              </w:rPr>
              <w:t xml:space="preserve"> </w:t>
            </w:r>
            <w:r>
              <w:rPr>
                <w:color w:val="231F20"/>
                <w:sz w:val="20"/>
              </w:rPr>
              <w:t>mg</w:t>
            </w:r>
          </w:p>
        </w:tc>
        <w:tc>
          <w:tcPr>
            <w:tcW w:w="441" w:type="dxa"/>
          </w:tcPr>
          <w:p w:rsidR="002731CB" w:rsidRDefault="00F315C8">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2731CB" w:rsidRDefault="00F315C8">
            <w:pPr>
              <w:pStyle w:val="TableParagraph"/>
              <w:spacing w:before="11"/>
              <w:ind w:left="33"/>
              <w:rPr>
                <w:sz w:val="20"/>
              </w:rPr>
            </w:pPr>
            <w:r>
              <w:rPr>
                <w:color w:val="231F20"/>
                <w:sz w:val="20"/>
              </w:rPr>
              <w:t>Lovastatin 40 mg</w:t>
            </w:r>
          </w:p>
        </w:tc>
      </w:tr>
      <w:tr w:rsidR="002731CB">
        <w:trPr>
          <w:trHeight w:hRule="exact" w:val="240"/>
        </w:trPr>
        <w:tc>
          <w:tcPr>
            <w:tcW w:w="2335" w:type="dxa"/>
            <w:tcBorders>
              <w:left w:val="single" w:sz="4" w:space="0" w:color="231F20"/>
              <w:right w:val="single" w:sz="4" w:space="0" w:color="231F20"/>
            </w:tcBorders>
          </w:tcPr>
          <w:p w:rsidR="002731CB" w:rsidRDefault="002731CB"/>
        </w:tc>
        <w:tc>
          <w:tcPr>
            <w:tcW w:w="3032" w:type="dxa"/>
            <w:tcBorders>
              <w:left w:val="single" w:sz="4" w:space="0" w:color="231F20"/>
            </w:tcBorders>
          </w:tcPr>
          <w:p w:rsidR="002731CB" w:rsidRDefault="00F315C8">
            <w:pPr>
              <w:pStyle w:val="TableParagraph"/>
              <w:numPr>
                <w:ilvl w:val="0"/>
                <w:numId w:val="4"/>
              </w:numPr>
              <w:tabs>
                <w:tab w:val="left" w:pos="262"/>
              </w:tabs>
              <w:spacing w:line="242" w:lineRule="exact"/>
              <w:ind w:hanging="158"/>
              <w:rPr>
                <w:sz w:val="20"/>
              </w:rPr>
            </w:pPr>
            <w:r>
              <w:rPr>
                <w:color w:val="231F20"/>
                <w:sz w:val="20"/>
              </w:rPr>
              <w:t>Rosuvastatin 5-10</w:t>
            </w:r>
            <w:r>
              <w:rPr>
                <w:color w:val="231F20"/>
                <w:spacing w:val="-8"/>
                <w:sz w:val="20"/>
              </w:rPr>
              <w:t xml:space="preserve"> </w:t>
            </w:r>
            <w:r>
              <w:rPr>
                <w:color w:val="231F20"/>
                <w:sz w:val="20"/>
              </w:rPr>
              <w:t>mg</w:t>
            </w:r>
          </w:p>
        </w:tc>
        <w:tc>
          <w:tcPr>
            <w:tcW w:w="441" w:type="dxa"/>
          </w:tcPr>
          <w:p w:rsidR="002731CB" w:rsidRDefault="00F315C8">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2731CB" w:rsidRDefault="00F315C8">
            <w:pPr>
              <w:pStyle w:val="TableParagraph"/>
              <w:spacing w:before="11"/>
              <w:ind w:left="33"/>
              <w:rPr>
                <w:sz w:val="20"/>
              </w:rPr>
            </w:pPr>
            <w:r>
              <w:rPr>
                <w:color w:val="231F20"/>
                <w:sz w:val="20"/>
              </w:rPr>
              <w:t>Niacin-lovastatin 40 mg</w:t>
            </w:r>
          </w:p>
        </w:tc>
      </w:tr>
      <w:tr w:rsidR="002731CB">
        <w:trPr>
          <w:trHeight w:hRule="exact" w:val="240"/>
        </w:trPr>
        <w:tc>
          <w:tcPr>
            <w:tcW w:w="2335" w:type="dxa"/>
            <w:tcBorders>
              <w:left w:val="single" w:sz="4" w:space="0" w:color="231F20"/>
              <w:right w:val="single" w:sz="4" w:space="0" w:color="231F20"/>
            </w:tcBorders>
          </w:tcPr>
          <w:p w:rsidR="002731CB" w:rsidRDefault="002731CB"/>
        </w:tc>
        <w:tc>
          <w:tcPr>
            <w:tcW w:w="3032" w:type="dxa"/>
            <w:tcBorders>
              <w:left w:val="single" w:sz="4" w:space="0" w:color="231F20"/>
            </w:tcBorders>
          </w:tcPr>
          <w:p w:rsidR="002731CB" w:rsidRDefault="00F315C8">
            <w:pPr>
              <w:pStyle w:val="TableParagraph"/>
              <w:numPr>
                <w:ilvl w:val="0"/>
                <w:numId w:val="3"/>
              </w:numPr>
              <w:tabs>
                <w:tab w:val="left" w:pos="262"/>
              </w:tabs>
              <w:spacing w:line="242" w:lineRule="exact"/>
              <w:ind w:hanging="158"/>
              <w:rPr>
                <w:sz w:val="20"/>
              </w:rPr>
            </w:pPr>
            <w:r>
              <w:rPr>
                <w:color w:val="231F20"/>
                <w:sz w:val="20"/>
              </w:rPr>
              <w:t>Simvastatin 20-40</w:t>
            </w:r>
            <w:r>
              <w:rPr>
                <w:color w:val="231F20"/>
                <w:spacing w:val="-9"/>
                <w:sz w:val="20"/>
              </w:rPr>
              <w:t xml:space="preserve"> </w:t>
            </w:r>
            <w:r>
              <w:rPr>
                <w:color w:val="231F20"/>
                <w:sz w:val="20"/>
              </w:rPr>
              <w:t>mg</w:t>
            </w:r>
          </w:p>
        </w:tc>
        <w:tc>
          <w:tcPr>
            <w:tcW w:w="441" w:type="dxa"/>
          </w:tcPr>
          <w:p w:rsidR="002731CB" w:rsidRDefault="00F315C8">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2731CB" w:rsidRDefault="00F315C8">
            <w:pPr>
              <w:pStyle w:val="TableParagraph"/>
              <w:spacing w:before="11"/>
              <w:ind w:left="33"/>
              <w:rPr>
                <w:sz w:val="20"/>
              </w:rPr>
            </w:pPr>
            <w:r>
              <w:rPr>
                <w:color w:val="231F20"/>
                <w:sz w:val="20"/>
              </w:rPr>
              <w:t>Fluvastatin XL 80 mg</w:t>
            </w:r>
          </w:p>
        </w:tc>
      </w:tr>
      <w:tr w:rsidR="002731CB">
        <w:trPr>
          <w:trHeight w:hRule="exact" w:val="240"/>
        </w:trPr>
        <w:tc>
          <w:tcPr>
            <w:tcW w:w="2335" w:type="dxa"/>
            <w:tcBorders>
              <w:left w:val="single" w:sz="4" w:space="0" w:color="231F20"/>
              <w:right w:val="single" w:sz="4" w:space="0" w:color="231F20"/>
            </w:tcBorders>
          </w:tcPr>
          <w:p w:rsidR="002731CB" w:rsidRDefault="002731CB"/>
        </w:tc>
        <w:tc>
          <w:tcPr>
            <w:tcW w:w="3032" w:type="dxa"/>
            <w:tcBorders>
              <w:left w:val="single" w:sz="4" w:space="0" w:color="231F20"/>
            </w:tcBorders>
          </w:tcPr>
          <w:p w:rsidR="002731CB" w:rsidRDefault="00F315C8">
            <w:pPr>
              <w:pStyle w:val="TableParagraph"/>
              <w:numPr>
                <w:ilvl w:val="0"/>
                <w:numId w:val="2"/>
              </w:numPr>
              <w:tabs>
                <w:tab w:val="left" w:pos="262"/>
              </w:tabs>
              <w:spacing w:line="242" w:lineRule="exact"/>
              <w:ind w:hanging="158"/>
              <w:rPr>
                <w:sz w:val="20"/>
              </w:rPr>
            </w:pPr>
            <w:r>
              <w:rPr>
                <w:color w:val="231F20"/>
                <w:sz w:val="20"/>
              </w:rPr>
              <w:t>Ezetimibe-simvastatin 20-40</w:t>
            </w:r>
            <w:r>
              <w:rPr>
                <w:color w:val="231F20"/>
                <w:spacing w:val="-11"/>
                <w:sz w:val="20"/>
              </w:rPr>
              <w:t xml:space="preserve"> </w:t>
            </w:r>
            <w:r>
              <w:rPr>
                <w:color w:val="231F20"/>
                <w:sz w:val="20"/>
              </w:rPr>
              <w:t>mg</w:t>
            </w:r>
          </w:p>
        </w:tc>
        <w:tc>
          <w:tcPr>
            <w:tcW w:w="441" w:type="dxa"/>
          </w:tcPr>
          <w:p w:rsidR="002731CB" w:rsidRDefault="00F315C8">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rsidR="002731CB" w:rsidRDefault="00F315C8">
            <w:pPr>
              <w:pStyle w:val="TableParagraph"/>
              <w:spacing w:before="11"/>
              <w:ind w:left="33"/>
              <w:rPr>
                <w:sz w:val="20"/>
              </w:rPr>
            </w:pPr>
            <w:r>
              <w:rPr>
                <w:color w:val="231F20"/>
                <w:sz w:val="20"/>
              </w:rPr>
              <w:t>Fluvastatin 40 mg bid</w:t>
            </w:r>
          </w:p>
        </w:tc>
      </w:tr>
      <w:tr w:rsidR="002731CB">
        <w:trPr>
          <w:trHeight w:hRule="exact" w:val="282"/>
        </w:trPr>
        <w:tc>
          <w:tcPr>
            <w:tcW w:w="2335" w:type="dxa"/>
            <w:tcBorders>
              <w:left w:val="single" w:sz="4" w:space="0" w:color="231F20"/>
              <w:bottom w:val="single" w:sz="4" w:space="0" w:color="231F20"/>
              <w:right w:val="single" w:sz="4" w:space="0" w:color="231F20"/>
            </w:tcBorders>
          </w:tcPr>
          <w:p w:rsidR="002731CB" w:rsidRDefault="002731CB"/>
        </w:tc>
        <w:tc>
          <w:tcPr>
            <w:tcW w:w="3032" w:type="dxa"/>
            <w:tcBorders>
              <w:left w:val="single" w:sz="4" w:space="0" w:color="231F20"/>
              <w:bottom w:val="single" w:sz="4" w:space="0" w:color="231F20"/>
            </w:tcBorders>
          </w:tcPr>
          <w:p w:rsidR="002731CB" w:rsidRDefault="00F315C8">
            <w:pPr>
              <w:pStyle w:val="TableParagraph"/>
              <w:numPr>
                <w:ilvl w:val="0"/>
                <w:numId w:val="1"/>
              </w:numPr>
              <w:tabs>
                <w:tab w:val="left" w:pos="262"/>
              </w:tabs>
              <w:spacing w:line="242" w:lineRule="exact"/>
              <w:ind w:hanging="158"/>
              <w:rPr>
                <w:sz w:val="20"/>
              </w:rPr>
            </w:pPr>
            <w:r>
              <w:rPr>
                <w:color w:val="231F20"/>
                <w:sz w:val="20"/>
              </w:rPr>
              <w:t>Niacin-simvastatin 20-40</w:t>
            </w:r>
            <w:r>
              <w:rPr>
                <w:color w:val="231F20"/>
                <w:spacing w:val="-8"/>
                <w:sz w:val="20"/>
              </w:rPr>
              <w:t xml:space="preserve"> </w:t>
            </w:r>
            <w:r>
              <w:rPr>
                <w:color w:val="231F20"/>
                <w:sz w:val="20"/>
              </w:rPr>
              <w:t>mg</w:t>
            </w:r>
          </w:p>
        </w:tc>
        <w:tc>
          <w:tcPr>
            <w:tcW w:w="441" w:type="dxa"/>
            <w:tcBorders>
              <w:bottom w:val="single" w:sz="4" w:space="0" w:color="231F20"/>
            </w:tcBorders>
          </w:tcPr>
          <w:p w:rsidR="002731CB" w:rsidRDefault="00F315C8">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bottom w:val="single" w:sz="4" w:space="0" w:color="231F20"/>
              <w:right w:val="single" w:sz="4" w:space="0" w:color="231F20"/>
            </w:tcBorders>
          </w:tcPr>
          <w:p w:rsidR="002731CB" w:rsidRDefault="00F315C8">
            <w:pPr>
              <w:pStyle w:val="TableParagraph"/>
              <w:spacing w:before="11"/>
              <w:ind w:left="33"/>
              <w:rPr>
                <w:sz w:val="20"/>
              </w:rPr>
            </w:pPr>
            <w:r>
              <w:rPr>
                <w:color w:val="231F20"/>
                <w:sz w:val="20"/>
              </w:rPr>
              <w:t>Pitavastatin 2–4 mg</w:t>
            </w:r>
          </w:p>
        </w:tc>
      </w:tr>
    </w:tbl>
    <w:p w:rsidR="002731CB" w:rsidRDefault="002731CB">
      <w:pPr>
        <w:rPr>
          <w:sz w:val="20"/>
        </w:rPr>
        <w:sectPr w:rsidR="002731CB">
          <w:type w:val="continuous"/>
          <w:pgSz w:w="12240" w:h="15840"/>
          <w:pgMar w:top="1100" w:right="880" w:bottom="1060" w:left="1240" w:header="720" w:footer="720" w:gutter="0"/>
          <w:cols w:space="720"/>
        </w:sectPr>
      </w:pPr>
    </w:p>
    <w:p w:rsidR="002731CB" w:rsidRDefault="002731CB">
      <w:pPr>
        <w:pStyle w:val="BodyText"/>
        <w:rPr>
          <w:b/>
          <w:i/>
        </w:rPr>
      </w:pPr>
    </w:p>
    <w:p w:rsidR="002731CB" w:rsidRDefault="002731CB">
      <w:pPr>
        <w:pStyle w:val="BodyText"/>
        <w:spacing w:before="3"/>
        <w:rPr>
          <w:b/>
          <w:i/>
          <w:sz w:val="11"/>
        </w:rPr>
      </w:pPr>
    </w:p>
    <w:p w:rsidR="002731CB" w:rsidRDefault="00F315C8">
      <w:pPr>
        <w:pStyle w:val="BodyText"/>
        <w:ind w:left="110"/>
      </w:pPr>
      <w:r>
        <w:pict>
          <v:group id="_x0000_s1035" style="width:494.95pt;height:18.65pt;mso-position-horizontal-relative:char;mso-position-vertical-relative:line" coordsize="9899,373">
            <v:rect id="_x0000_s1043" style="position:absolute;left:22;top:15;width:9854;height:336" fillcolor="#231f20" stroked="f"/>
            <v:line id="_x0000_s1042" style="position:absolute" from="8,8" to="22,8" strokecolor="#231f20" strokeweight=".72pt"/>
            <v:line id="_x0000_s1041" style="position:absolute" from="8,8" to="9891,8" strokecolor="#231f20" strokeweight=".72pt"/>
            <v:line id="_x0000_s1040" style="position:absolute" from="9876,8" to="9891,8" strokecolor="#231f20" strokeweight=".72pt"/>
            <v:line id="_x0000_s1039" style="position:absolute" from="8,358" to="9891,358" strokecolor="#231f20" strokeweight=".72pt"/>
            <v:line id="_x0000_s1038" style="position:absolute" from="15,15" to="15,365" strokecolor="#231f20" strokeweight=".72pt"/>
            <v:line id="_x0000_s1037" style="position:absolute" from="9884,15" to="9884,365" strokecolor="#231f20" strokeweight=".72pt"/>
            <v:shape id="_x0000_s1036" type="#_x0000_t202" style="position:absolute;left:8;top:8;width:9884;height:358" filled="f" stroked="f">
              <v:textbox inset="0,0,0,0">
                <w:txbxContent>
                  <w:p w:rsidR="002731CB" w:rsidRDefault="00F315C8">
                    <w:pPr>
                      <w:spacing w:before="45"/>
                      <w:ind w:left="81"/>
                      <w:rPr>
                        <w:b/>
                      </w:rPr>
                    </w:pPr>
                    <w:r>
                      <w:rPr>
                        <w:b/>
                        <w:color w:val="FFFFFF"/>
                      </w:rPr>
                      <w:t>Eligible Population: Rate 2—Statin Adherence 80%</w:t>
                    </w:r>
                  </w:p>
                </w:txbxContent>
              </v:textbox>
            </v:shape>
            <w10:wrap type="none"/>
            <w10:anchorlock/>
          </v:group>
        </w:pict>
      </w:r>
    </w:p>
    <w:p w:rsidR="002731CB" w:rsidRDefault="00F315C8">
      <w:pPr>
        <w:spacing w:before="144"/>
        <w:ind w:left="200" w:right="184"/>
        <w:rPr>
          <w:i/>
          <w:sz w:val="20"/>
        </w:rPr>
      </w:pPr>
      <w:r>
        <w:rPr>
          <w:b/>
          <w:i/>
          <w:color w:val="231F20"/>
          <w:sz w:val="20"/>
        </w:rPr>
        <w:t xml:space="preserve">Note: </w:t>
      </w:r>
      <w:r>
        <w:rPr>
          <w:i/>
          <w:color w:val="231F20"/>
          <w:sz w:val="20"/>
        </w:rPr>
        <w:t>Members in hospice are excluded from the eligible population. Refer to General Guideline 20: Members in Hospice.</w:t>
      </w:r>
    </w:p>
    <w:p w:rsidR="002731CB" w:rsidRDefault="00F315C8">
      <w:pPr>
        <w:pStyle w:val="BodyText"/>
        <w:tabs>
          <w:tab w:val="left" w:pos="2062"/>
        </w:tabs>
        <w:spacing w:before="182"/>
        <w:ind w:left="432"/>
      </w:pPr>
      <w:r>
        <w:rPr>
          <w:b/>
          <w:color w:val="231F20"/>
        </w:rPr>
        <w:t>Product</w:t>
      </w:r>
      <w:r>
        <w:rPr>
          <w:b/>
          <w:color w:val="231F20"/>
          <w:spacing w:val="-2"/>
        </w:rPr>
        <w:t xml:space="preserve"> </w:t>
      </w:r>
      <w:r>
        <w:rPr>
          <w:b/>
          <w:color w:val="231F20"/>
        </w:rPr>
        <w:t>line</w:t>
      </w:r>
      <w:r>
        <w:rPr>
          <w:b/>
          <w:color w:val="231F20"/>
        </w:rPr>
        <w:tab/>
      </w:r>
      <w:r>
        <w:rPr>
          <w:color w:val="231F20"/>
        </w:rPr>
        <w:t>Commercial, Medicaid, Medicare (report each product line</w:t>
      </w:r>
      <w:r>
        <w:rPr>
          <w:color w:val="231F20"/>
          <w:spacing w:val="-31"/>
        </w:rPr>
        <w:t xml:space="preserve"> </w:t>
      </w:r>
      <w:r>
        <w:rPr>
          <w:color w:val="231F20"/>
        </w:rPr>
        <w:t>separately).</w:t>
      </w:r>
    </w:p>
    <w:p w:rsidR="002731CB" w:rsidRDefault="00F315C8">
      <w:pPr>
        <w:pStyle w:val="BodyText"/>
        <w:tabs>
          <w:tab w:val="left" w:pos="2062"/>
        </w:tabs>
        <w:spacing w:before="180"/>
        <w:ind w:left="432"/>
      </w:pPr>
      <w:r>
        <w:rPr>
          <w:b/>
          <w:color w:val="231F20"/>
        </w:rPr>
        <w:t>Age</w:t>
      </w:r>
      <w:r>
        <w:rPr>
          <w:b/>
          <w:color w:val="231F20"/>
        </w:rPr>
        <w:tab/>
      </w:r>
      <w:r>
        <w:rPr>
          <w:color w:val="231F20"/>
        </w:rPr>
        <w:t>Report two age/gender stratifications and a total</w:t>
      </w:r>
      <w:r>
        <w:rPr>
          <w:color w:val="231F20"/>
          <w:spacing w:val="-23"/>
        </w:rPr>
        <w:t xml:space="preserve"> </w:t>
      </w:r>
      <w:r>
        <w:rPr>
          <w:color w:val="231F20"/>
        </w:rPr>
        <w:t>rate.</w:t>
      </w:r>
    </w:p>
    <w:p w:rsidR="002731CB" w:rsidRDefault="00F315C8">
      <w:pPr>
        <w:pStyle w:val="ListParagraph"/>
        <w:numPr>
          <w:ilvl w:val="1"/>
          <w:numId w:val="11"/>
        </w:numPr>
        <w:tabs>
          <w:tab w:val="left" w:pos="2639"/>
        </w:tabs>
        <w:spacing w:before="61"/>
        <w:ind w:hanging="216"/>
        <w:rPr>
          <w:sz w:val="20"/>
        </w:rPr>
      </w:pPr>
      <w:r>
        <w:rPr>
          <w:color w:val="231F20"/>
          <w:sz w:val="20"/>
        </w:rPr>
        <w:t>Males 21–75 years as of December 31 of the measurement</w:t>
      </w:r>
      <w:r>
        <w:rPr>
          <w:color w:val="231F20"/>
          <w:spacing w:val="-30"/>
          <w:sz w:val="20"/>
        </w:rPr>
        <w:t xml:space="preserve"> </w:t>
      </w:r>
      <w:r>
        <w:rPr>
          <w:color w:val="231F20"/>
          <w:sz w:val="20"/>
        </w:rPr>
        <w:t>year.</w:t>
      </w:r>
    </w:p>
    <w:p w:rsidR="002731CB" w:rsidRDefault="00F315C8">
      <w:pPr>
        <w:pStyle w:val="ListParagraph"/>
        <w:numPr>
          <w:ilvl w:val="1"/>
          <w:numId w:val="11"/>
        </w:numPr>
        <w:tabs>
          <w:tab w:val="left" w:pos="2639"/>
        </w:tabs>
        <w:spacing w:before="57"/>
        <w:ind w:hanging="216"/>
        <w:rPr>
          <w:sz w:val="20"/>
        </w:rPr>
      </w:pPr>
      <w:r>
        <w:rPr>
          <w:color w:val="231F20"/>
          <w:sz w:val="20"/>
        </w:rPr>
        <w:t>Females 40–75 years as of December 31 of the measurement</w:t>
      </w:r>
      <w:r>
        <w:rPr>
          <w:color w:val="231F20"/>
          <w:spacing w:val="-33"/>
          <w:sz w:val="20"/>
        </w:rPr>
        <w:t xml:space="preserve"> </w:t>
      </w:r>
      <w:r>
        <w:rPr>
          <w:color w:val="231F20"/>
          <w:sz w:val="20"/>
        </w:rPr>
        <w:t>year.</w:t>
      </w:r>
    </w:p>
    <w:p w:rsidR="002731CB" w:rsidRDefault="00F315C8">
      <w:pPr>
        <w:pStyle w:val="ListParagraph"/>
        <w:numPr>
          <w:ilvl w:val="1"/>
          <w:numId w:val="11"/>
        </w:numPr>
        <w:tabs>
          <w:tab w:val="left" w:pos="2639"/>
        </w:tabs>
        <w:ind w:hanging="216"/>
        <w:rPr>
          <w:sz w:val="20"/>
        </w:rPr>
      </w:pPr>
      <w:r>
        <w:rPr>
          <w:color w:val="231F20"/>
          <w:sz w:val="20"/>
        </w:rPr>
        <w:t>Total.</w:t>
      </w:r>
    </w:p>
    <w:p w:rsidR="002731CB" w:rsidRDefault="002731CB">
      <w:pPr>
        <w:rPr>
          <w:sz w:val="20"/>
        </w:rPr>
        <w:sectPr w:rsidR="002731CB">
          <w:pgSz w:w="12240" w:h="15840"/>
          <w:pgMar w:top="1100" w:right="1240" w:bottom="1060" w:left="880" w:header="847" w:footer="880" w:gutter="0"/>
          <w:cols w:space="720"/>
        </w:sectPr>
      </w:pPr>
    </w:p>
    <w:p w:rsidR="002731CB" w:rsidRDefault="00F315C8">
      <w:pPr>
        <w:pStyle w:val="Heading1"/>
        <w:spacing w:before="173"/>
        <w:ind w:right="-17"/>
      </w:pPr>
      <w:r>
        <w:rPr>
          <w:color w:val="231F20"/>
        </w:rPr>
        <w:t>Continuous enrollment</w:t>
      </w:r>
    </w:p>
    <w:p w:rsidR="002731CB" w:rsidRDefault="00F315C8">
      <w:pPr>
        <w:pStyle w:val="BodyText"/>
        <w:spacing w:before="175"/>
        <w:ind w:left="432"/>
      </w:pPr>
      <w:r>
        <w:br w:type="column"/>
      </w:r>
      <w:r>
        <w:rPr>
          <w:color w:val="231F20"/>
        </w:rPr>
        <w:t>The measurement year and the yea</w:t>
      </w:r>
      <w:r>
        <w:rPr>
          <w:color w:val="231F20"/>
        </w:rPr>
        <w:t>r prior to the measurement year.</w:t>
      </w:r>
    </w:p>
    <w:p w:rsidR="002731CB" w:rsidRDefault="002731CB">
      <w:pPr>
        <w:sectPr w:rsidR="002731CB">
          <w:type w:val="continuous"/>
          <w:pgSz w:w="12240" w:h="15840"/>
          <w:pgMar w:top="1100" w:right="1240" w:bottom="1060" w:left="880" w:header="720" w:footer="720" w:gutter="0"/>
          <w:cols w:num="2" w:space="720" w:equalWidth="0">
            <w:col w:w="1546" w:space="84"/>
            <w:col w:w="8490"/>
          </w:cols>
        </w:sectPr>
      </w:pPr>
    </w:p>
    <w:p w:rsidR="002731CB" w:rsidRDefault="00F315C8">
      <w:pPr>
        <w:pStyle w:val="BodyText"/>
        <w:tabs>
          <w:tab w:val="left" w:pos="2062"/>
        </w:tabs>
        <w:spacing w:before="182"/>
        <w:ind w:left="2062" w:right="520" w:hanging="1630"/>
      </w:pPr>
      <w:r>
        <w:rPr>
          <w:b/>
          <w:color w:val="231F20"/>
        </w:rPr>
        <w:t>Allowable</w:t>
      </w:r>
      <w:r>
        <w:rPr>
          <w:b/>
          <w:color w:val="231F20"/>
          <w:spacing w:val="-4"/>
        </w:rPr>
        <w:t xml:space="preserve"> </w:t>
      </w:r>
      <w:r>
        <w:rPr>
          <w:b/>
          <w:color w:val="231F20"/>
        </w:rPr>
        <w:t>gap</w:t>
      </w:r>
      <w:r>
        <w:rPr>
          <w:b/>
          <w:color w:val="231F20"/>
        </w:rPr>
        <w:tab/>
      </w:r>
      <w:r>
        <w:rPr>
          <w:color w:val="231F20"/>
        </w:rPr>
        <w:t>No more than one gap in enrollment of up to 45 days during each year</w:t>
      </w:r>
      <w:r>
        <w:rPr>
          <w:color w:val="231F20"/>
          <w:spacing w:val="-33"/>
        </w:rPr>
        <w:t xml:space="preserve"> </w:t>
      </w:r>
      <w:r>
        <w:rPr>
          <w:color w:val="231F20"/>
        </w:rPr>
        <w:t>of</w:t>
      </w:r>
      <w:r>
        <w:rPr>
          <w:color w:val="231F20"/>
          <w:spacing w:val="-2"/>
        </w:rPr>
        <w:t xml:space="preserve"> </w:t>
      </w:r>
      <w:r>
        <w:rPr>
          <w:color w:val="231F20"/>
        </w:rPr>
        <w:t>continuous</w:t>
      </w:r>
      <w:r>
        <w:rPr>
          <w:color w:val="231F20"/>
          <w:spacing w:val="-1"/>
          <w:w w:val="99"/>
        </w:rPr>
        <w:t xml:space="preserve"> </w:t>
      </w:r>
      <w:r>
        <w:rPr>
          <w:color w:val="231F20"/>
        </w:rPr>
        <w:t xml:space="preserve">enrollment. To determine continuous enrollment for a Medicaid beneficiary for whom enrollment is verified monthly, the member </w:t>
      </w:r>
      <w:r>
        <w:rPr>
          <w:color w:val="231F20"/>
          <w:spacing w:val="2"/>
        </w:rPr>
        <w:t>may</w:t>
      </w:r>
      <w:r>
        <w:rPr>
          <w:color w:val="231F20"/>
          <w:spacing w:val="-39"/>
        </w:rPr>
        <w:t xml:space="preserve"> </w:t>
      </w:r>
      <w:r>
        <w:rPr>
          <w:color w:val="231F20"/>
        </w:rPr>
        <w:t>not have more than a 1-month gap in coverage (i.e., a member whose coverage lapses for 2 months [60 days] is not considered co</w:t>
      </w:r>
      <w:r>
        <w:rPr>
          <w:color w:val="231F20"/>
        </w:rPr>
        <w:t>ntinuously</w:t>
      </w:r>
      <w:r>
        <w:rPr>
          <w:color w:val="231F20"/>
          <w:spacing w:val="-15"/>
        </w:rPr>
        <w:t xml:space="preserve"> </w:t>
      </w:r>
      <w:r>
        <w:rPr>
          <w:color w:val="231F20"/>
        </w:rPr>
        <w:t>enrolled).</w:t>
      </w:r>
    </w:p>
    <w:p w:rsidR="002731CB" w:rsidRDefault="00F315C8">
      <w:pPr>
        <w:tabs>
          <w:tab w:val="left" w:pos="2062"/>
        </w:tabs>
        <w:spacing w:before="180"/>
        <w:ind w:left="432"/>
        <w:rPr>
          <w:sz w:val="20"/>
        </w:rPr>
      </w:pPr>
      <w:r>
        <w:rPr>
          <w:b/>
          <w:color w:val="231F20"/>
          <w:sz w:val="20"/>
        </w:rPr>
        <w:t>Anchor</w:t>
      </w:r>
      <w:r>
        <w:rPr>
          <w:b/>
          <w:color w:val="231F20"/>
          <w:spacing w:val="-4"/>
          <w:sz w:val="20"/>
        </w:rPr>
        <w:t xml:space="preserve"> </w:t>
      </w:r>
      <w:r>
        <w:rPr>
          <w:b/>
          <w:color w:val="231F20"/>
          <w:sz w:val="20"/>
        </w:rPr>
        <w:t>date</w:t>
      </w:r>
      <w:r>
        <w:rPr>
          <w:b/>
          <w:color w:val="231F20"/>
          <w:sz w:val="20"/>
        </w:rPr>
        <w:tab/>
      </w:r>
      <w:r>
        <w:rPr>
          <w:color w:val="231F20"/>
          <w:sz w:val="20"/>
        </w:rPr>
        <w:t>December 31 of the measurement</w:t>
      </w:r>
      <w:r>
        <w:rPr>
          <w:color w:val="231F20"/>
          <w:spacing w:val="-21"/>
          <w:sz w:val="20"/>
        </w:rPr>
        <w:t xml:space="preserve"> </w:t>
      </w:r>
      <w:r>
        <w:rPr>
          <w:color w:val="231F20"/>
          <w:sz w:val="20"/>
        </w:rPr>
        <w:t>year.</w:t>
      </w:r>
    </w:p>
    <w:p w:rsidR="002731CB" w:rsidRDefault="00F315C8">
      <w:pPr>
        <w:pStyle w:val="BodyText"/>
        <w:tabs>
          <w:tab w:val="left" w:pos="2062"/>
        </w:tabs>
        <w:spacing w:before="180"/>
        <w:ind w:left="432"/>
      </w:pPr>
      <w:r>
        <w:rPr>
          <w:b/>
          <w:color w:val="231F20"/>
        </w:rPr>
        <w:t>Benefit</w:t>
      </w:r>
      <w:r>
        <w:rPr>
          <w:b/>
          <w:color w:val="231F20"/>
        </w:rPr>
        <w:tab/>
      </w:r>
      <w:r>
        <w:rPr>
          <w:color w:val="231F20"/>
        </w:rPr>
        <w:t>Medical. Pharmacy during the measurement</w:t>
      </w:r>
      <w:r>
        <w:rPr>
          <w:color w:val="231F20"/>
          <w:spacing w:val="-23"/>
        </w:rPr>
        <w:t xml:space="preserve"> </w:t>
      </w:r>
      <w:r>
        <w:rPr>
          <w:color w:val="231F20"/>
        </w:rPr>
        <w:t>year.</w:t>
      </w:r>
    </w:p>
    <w:p w:rsidR="002731CB" w:rsidRDefault="002731CB">
      <w:pPr>
        <w:sectPr w:rsidR="002731CB">
          <w:type w:val="continuous"/>
          <w:pgSz w:w="12240" w:h="15840"/>
          <w:pgMar w:top="1100" w:right="1240" w:bottom="1060" w:left="880" w:header="720" w:footer="720" w:gutter="0"/>
          <w:cols w:space="720"/>
        </w:sectPr>
      </w:pPr>
    </w:p>
    <w:p w:rsidR="002731CB" w:rsidRDefault="00F315C8">
      <w:pPr>
        <w:pStyle w:val="Heading1"/>
        <w:spacing w:before="177"/>
      </w:pPr>
      <w:r>
        <w:rPr>
          <w:color w:val="231F20"/>
        </w:rPr>
        <w:t xml:space="preserve">Event/ </w:t>
      </w:r>
      <w:r>
        <w:rPr>
          <w:color w:val="231F20"/>
          <w:w w:val="95"/>
        </w:rPr>
        <w:t>diagnosis</w:t>
      </w:r>
    </w:p>
    <w:p w:rsidR="002731CB" w:rsidRDefault="00F315C8">
      <w:pPr>
        <w:pStyle w:val="BodyText"/>
        <w:spacing w:before="180"/>
        <w:ind w:left="432"/>
      </w:pPr>
      <w:r>
        <w:br w:type="column"/>
      </w:r>
      <w:r>
        <w:rPr>
          <w:color w:val="231F20"/>
        </w:rPr>
        <w:t>All members who meet the numerator criteria for Rate 1.</w:t>
      </w:r>
    </w:p>
    <w:p w:rsidR="002731CB" w:rsidRDefault="002731CB">
      <w:pPr>
        <w:sectPr w:rsidR="002731CB">
          <w:type w:val="continuous"/>
          <w:pgSz w:w="12240" w:h="15840"/>
          <w:pgMar w:top="1100" w:right="1240" w:bottom="1060" w:left="880" w:header="720" w:footer="720" w:gutter="0"/>
          <w:cols w:num="2" w:space="720" w:equalWidth="0">
            <w:col w:w="1365" w:space="265"/>
            <w:col w:w="8490"/>
          </w:cols>
        </w:sectPr>
      </w:pPr>
    </w:p>
    <w:p w:rsidR="002731CB" w:rsidRDefault="002731CB">
      <w:pPr>
        <w:pStyle w:val="BodyText"/>
        <w:rPr>
          <w:sz w:val="28"/>
        </w:rPr>
      </w:pPr>
    </w:p>
    <w:p w:rsidR="002731CB" w:rsidRDefault="00F315C8">
      <w:pPr>
        <w:tabs>
          <w:tab w:val="left" w:pos="10001"/>
        </w:tabs>
        <w:spacing w:before="93"/>
        <w:ind w:left="118"/>
        <w:rPr>
          <w:b/>
        </w:rPr>
      </w:pPr>
      <w:r>
        <w:rPr>
          <w:b/>
          <w:color w:val="FFFFFF"/>
          <w:spacing w:val="20"/>
          <w:shd w:val="clear" w:color="auto" w:fill="231F20"/>
        </w:rPr>
        <w:t xml:space="preserve"> </w:t>
      </w:r>
      <w:r>
        <w:rPr>
          <w:b/>
          <w:color w:val="FFFFFF"/>
          <w:shd w:val="clear" w:color="auto" w:fill="231F20"/>
        </w:rPr>
        <w:t>Administrative Specification: Rate 2—Statin Adherence</w:t>
      </w:r>
      <w:r>
        <w:rPr>
          <w:b/>
          <w:color w:val="FFFFFF"/>
          <w:spacing w:val="-25"/>
          <w:shd w:val="clear" w:color="auto" w:fill="231F20"/>
        </w:rPr>
        <w:t xml:space="preserve"> </w:t>
      </w:r>
      <w:r>
        <w:rPr>
          <w:b/>
          <w:color w:val="FFFFFF"/>
          <w:shd w:val="clear" w:color="auto" w:fill="231F20"/>
        </w:rPr>
        <w:t>80%</w:t>
      </w:r>
      <w:r>
        <w:rPr>
          <w:b/>
          <w:color w:val="FFFFFF"/>
          <w:shd w:val="clear" w:color="auto" w:fill="231F20"/>
        </w:rPr>
        <w:tab/>
      </w:r>
    </w:p>
    <w:p w:rsidR="002731CB" w:rsidRDefault="002731CB">
      <w:pPr>
        <w:pStyle w:val="BodyText"/>
        <w:spacing w:before="2"/>
        <w:rPr>
          <w:b/>
          <w:sz w:val="12"/>
        </w:rPr>
      </w:pPr>
    </w:p>
    <w:p w:rsidR="002731CB" w:rsidRDefault="00F315C8">
      <w:pPr>
        <w:tabs>
          <w:tab w:val="left" w:pos="2035"/>
        </w:tabs>
        <w:spacing w:before="95"/>
        <w:ind w:left="432"/>
        <w:rPr>
          <w:sz w:val="20"/>
        </w:rPr>
      </w:pPr>
      <w:r>
        <w:rPr>
          <w:b/>
          <w:color w:val="231F20"/>
          <w:sz w:val="20"/>
        </w:rPr>
        <w:t>Denominator</w:t>
      </w:r>
      <w:r>
        <w:rPr>
          <w:b/>
          <w:color w:val="231F20"/>
          <w:sz w:val="20"/>
        </w:rPr>
        <w:tab/>
      </w:r>
      <w:r>
        <w:rPr>
          <w:color w:val="231F20"/>
          <w:sz w:val="20"/>
        </w:rPr>
        <w:t>The Rate 2 eligible</w:t>
      </w:r>
      <w:r>
        <w:rPr>
          <w:color w:val="231F20"/>
          <w:spacing w:val="-13"/>
          <w:sz w:val="20"/>
        </w:rPr>
        <w:t xml:space="preserve"> </w:t>
      </w:r>
      <w:r>
        <w:rPr>
          <w:color w:val="231F20"/>
          <w:sz w:val="20"/>
        </w:rPr>
        <w:t>population.</w:t>
      </w:r>
    </w:p>
    <w:p w:rsidR="002731CB" w:rsidRDefault="00F315C8">
      <w:pPr>
        <w:pStyle w:val="BodyText"/>
        <w:tabs>
          <w:tab w:val="left" w:pos="2035"/>
        </w:tabs>
        <w:spacing w:before="177"/>
        <w:ind w:left="2036" w:right="745" w:hanging="1604"/>
      </w:pPr>
      <w:r>
        <w:rPr>
          <w:b/>
          <w:color w:val="231F20"/>
        </w:rPr>
        <w:t>Numerator</w:t>
      </w:r>
      <w:r>
        <w:rPr>
          <w:b/>
          <w:color w:val="231F20"/>
        </w:rPr>
        <w:tab/>
      </w:r>
      <w:r>
        <w:rPr>
          <w:color w:val="231F20"/>
        </w:rPr>
        <w:t>The number of members who achieved a PDC of at least 80% during</w:t>
      </w:r>
      <w:r>
        <w:rPr>
          <w:color w:val="231F20"/>
          <w:spacing w:val="-33"/>
        </w:rPr>
        <w:t xml:space="preserve"> </w:t>
      </w:r>
      <w:r>
        <w:rPr>
          <w:color w:val="231F20"/>
        </w:rPr>
        <w:t>the</w:t>
      </w:r>
      <w:r>
        <w:rPr>
          <w:color w:val="231F20"/>
          <w:spacing w:val="-4"/>
        </w:rPr>
        <w:t xml:space="preserve"> </w:t>
      </w:r>
      <w:r>
        <w:rPr>
          <w:color w:val="231F20"/>
        </w:rPr>
        <w:t>treatment</w:t>
      </w:r>
      <w:r>
        <w:rPr>
          <w:color w:val="231F20"/>
          <w:spacing w:val="-1"/>
          <w:w w:val="99"/>
        </w:rPr>
        <w:t xml:space="preserve"> </w:t>
      </w:r>
      <w:r>
        <w:rPr>
          <w:color w:val="231F20"/>
        </w:rPr>
        <w:t>period.</w:t>
      </w:r>
    </w:p>
    <w:p w:rsidR="002731CB" w:rsidRDefault="00F315C8">
      <w:pPr>
        <w:pStyle w:val="BodyText"/>
        <w:spacing w:before="180"/>
        <w:ind w:left="2036"/>
      </w:pPr>
      <w:r>
        <w:rPr>
          <w:color w:val="231F20"/>
        </w:rPr>
        <w:t>Follow the steps below to identify numerator compliance.</w:t>
      </w:r>
    </w:p>
    <w:p w:rsidR="002731CB" w:rsidRDefault="00F315C8">
      <w:pPr>
        <w:pStyle w:val="BodyText"/>
        <w:tabs>
          <w:tab w:val="left" w:pos="2035"/>
        </w:tabs>
        <w:spacing w:before="180"/>
        <w:ind w:left="2035" w:right="563" w:hanging="816"/>
      </w:pPr>
      <w:r>
        <w:rPr>
          <w:b/>
          <w:i/>
          <w:color w:val="231F20"/>
        </w:rPr>
        <w:t>Step</w:t>
      </w:r>
      <w:r>
        <w:rPr>
          <w:b/>
          <w:i/>
          <w:color w:val="231F20"/>
          <w:spacing w:val="-2"/>
        </w:rPr>
        <w:t xml:space="preserve"> </w:t>
      </w:r>
      <w:r>
        <w:rPr>
          <w:b/>
          <w:i/>
          <w:color w:val="231F20"/>
        </w:rPr>
        <w:t>1</w:t>
      </w:r>
      <w:r>
        <w:rPr>
          <w:b/>
          <w:i/>
          <w:color w:val="231F20"/>
        </w:rPr>
        <w:tab/>
      </w:r>
      <w:r>
        <w:rPr>
          <w:color w:val="231F20"/>
        </w:rPr>
        <w:t>Identify the IPSD. The IPSD is the earliest dispensing event for any</w:t>
      </w:r>
      <w:r>
        <w:rPr>
          <w:color w:val="231F20"/>
          <w:spacing w:val="-28"/>
        </w:rPr>
        <w:t xml:space="preserve"> </w:t>
      </w:r>
      <w:r>
        <w:rPr>
          <w:color w:val="231F20"/>
        </w:rPr>
        <w:t>high-intensity</w:t>
      </w:r>
      <w:r>
        <w:rPr>
          <w:color w:val="231F20"/>
          <w:spacing w:val="-4"/>
        </w:rPr>
        <w:t xml:space="preserve"> </w:t>
      </w:r>
      <w:r>
        <w:rPr>
          <w:color w:val="231F20"/>
        </w:rPr>
        <w:t>or</w:t>
      </w:r>
      <w:r>
        <w:rPr>
          <w:color w:val="231F20"/>
          <w:w w:val="99"/>
        </w:rPr>
        <w:t xml:space="preserve"> </w:t>
      </w:r>
      <w:r>
        <w:rPr>
          <w:color w:val="231F20"/>
        </w:rPr>
        <w:t>moderate-intensity</w:t>
      </w:r>
      <w:r>
        <w:rPr>
          <w:color w:val="231F20"/>
          <w:spacing w:val="-40"/>
        </w:rPr>
        <w:t xml:space="preserve"> </w:t>
      </w:r>
      <w:r>
        <w:rPr>
          <w:color w:val="231F20"/>
        </w:rPr>
        <w:t>statin medication (</w:t>
      </w:r>
      <w:r>
        <w:rPr>
          <w:color w:val="231F20"/>
          <w:u w:val="single" w:color="231F20"/>
        </w:rPr>
        <w:t>High and Moderate-Intensity Statin Medications List</w:t>
      </w:r>
      <w:r>
        <w:rPr>
          <w:color w:val="231F20"/>
        </w:rPr>
        <w:t>) during the measurement</w:t>
      </w:r>
      <w:r>
        <w:rPr>
          <w:color w:val="231F20"/>
          <w:spacing w:val="-18"/>
        </w:rPr>
        <w:t xml:space="preserve"> </w:t>
      </w:r>
      <w:r>
        <w:rPr>
          <w:color w:val="231F20"/>
        </w:rPr>
        <w:t>year.</w:t>
      </w:r>
    </w:p>
    <w:p w:rsidR="002731CB" w:rsidRDefault="00F315C8">
      <w:pPr>
        <w:pStyle w:val="BodyText"/>
        <w:tabs>
          <w:tab w:val="left" w:pos="2035"/>
        </w:tabs>
        <w:spacing w:before="177"/>
        <w:ind w:left="2036" w:right="335" w:hanging="816"/>
      </w:pPr>
      <w:r>
        <w:rPr>
          <w:b/>
          <w:i/>
          <w:color w:val="231F20"/>
        </w:rPr>
        <w:t>Step</w:t>
      </w:r>
      <w:r>
        <w:rPr>
          <w:b/>
          <w:i/>
          <w:color w:val="231F20"/>
          <w:spacing w:val="-2"/>
        </w:rPr>
        <w:t xml:space="preserve"> </w:t>
      </w:r>
      <w:r>
        <w:rPr>
          <w:b/>
          <w:i/>
          <w:color w:val="231F20"/>
        </w:rPr>
        <w:t>2</w:t>
      </w:r>
      <w:r>
        <w:rPr>
          <w:b/>
          <w:i/>
          <w:color w:val="231F20"/>
        </w:rPr>
        <w:tab/>
      </w:r>
      <w:r>
        <w:rPr>
          <w:color w:val="231F20"/>
        </w:rPr>
        <w:t>To</w:t>
      </w:r>
      <w:r>
        <w:rPr>
          <w:color w:val="231F20"/>
          <w:spacing w:val="-5"/>
        </w:rPr>
        <w:t xml:space="preserve"> </w:t>
      </w:r>
      <w:r>
        <w:rPr>
          <w:color w:val="231F20"/>
        </w:rPr>
        <w:t>determine</w:t>
      </w:r>
      <w:r>
        <w:rPr>
          <w:color w:val="231F20"/>
          <w:spacing w:val="-5"/>
        </w:rPr>
        <w:t xml:space="preserve"> </w:t>
      </w:r>
      <w:r>
        <w:rPr>
          <w:color w:val="231F20"/>
        </w:rPr>
        <w:t>the</w:t>
      </w:r>
      <w:r>
        <w:rPr>
          <w:color w:val="231F20"/>
          <w:spacing w:val="-5"/>
        </w:rPr>
        <w:t xml:space="preserve"> </w:t>
      </w:r>
      <w:r>
        <w:rPr>
          <w:color w:val="231F20"/>
        </w:rPr>
        <w:t>treatment</w:t>
      </w:r>
      <w:r>
        <w:rPr>
          <w:color w:val="231F20"/>
          <w:spacing w:val="-5"/>
        </w:rPr>
        <w:t xml:space="preserve"> </w:t>
      </w:r>
      <w:r>
        <w:rPr>
          <w:color w:val="231F20"/>
        </w:rPr>
        <w:t>period,</w:t>
      </w:r>
      <w:r>
        <w:rPr>
          <w:color w:val="231F20"/>
          <w:spacing w:val="-5"/>
        </w:rPr>
        <w:t xml:space="preserve"> </w:t>
      </w:r>
      <w:r>
        <w:rPr>
          <w:color w:val="231F20"/>
        </w:rPr>
        <w:t>calculate</w:t>
      </w:r>
      <w:r>
        <w:rPr>
          <w:color w:val="231F20"/>
          <w:spacing w:val="-5"/>
        </w:rPr>
        <w:t xml:space="preserve"> </w:t>
      </w:r>
      <w:r>
        <w:rPr>
          <w:color w:val="231F20"/>
        </w:rPr>
        <w:t>the</w:t>
      </w:r>
      <w:r>
        <w:rPr>
          <w:color w:val="231F20"/>
          <w:spacing w:val="-3"/>
        </w:rPr>
        <w:t xml:space="preserve"> </w:t>
      </w:r>
      <w:r>
        <w:rPr>
          <w:color w:val="231F20"/>
        </w:rPr>
        <w:t>number</w:t>
      </w:r>
      <w:r>
        <w:rPr>
          <w:color w:val="231F20"/>
          <w:spacing w:val="-4"/>
        </w:rPr>
        <w:t xml:space="preserve"> </w:t>
      </w:r>
      <w:r>
        <w:rPr>
          <w:color w:val="231F20"/>
        </w:rPr>
        <w:t>of</w:t>
      </w:r>
      <w:r>
        <w:rPr>
          <w:color w:val="231F20"/>
          <w:spacing w:val="-3"/>
        </w:rPr>
        <w:t xml:space="preserve"> </w:t>
      </w:r>
      <w:r>
        <w:rPr>
          <w:color w:val="231F20"/>
        </w:rPr>
        <w:t>days</w:t>
      </w:r>
      <w:r>
        <w:rPr>
          <w:color w:val="231F20"/>
          <w:spacing w:val="-4"/>
        </w:rPr>
        <w:t xml:space="preserve"> </w:t>
      </w:r>
      <w:r>
        <w:rPr>
          <w:color w:val="231F20"/>
        </w:rPr>
        <w:t>beginning</w:t>
      </w:r>
      <w:r>
        <w:rPr>
          <w:color w:val="231F20"/>
          <w:spacing w:val="-5"/>
        </w:rPr>
        <w:t xml:space="preserve"> </w:t>
      </w:r>
      <w:r>
        <w:rPr>
          <w:color w:val="231F20"/>
        </w:rPr>
        <w:t>on</w:t>
      </w:r>
      <w:r>
        <w:rPr>
          <w:color w:val="231F20"/>
          <w:spacing w:val="-3"/>
        </w:rPr>
        <w:t xml:space="preserve"> </w:t>
      </w:r>
      <w:r>
        <w:rPr>
          <w:color w:val="231F20"/>
        </w:rPr>
        <w:t>the</w:t>
      </w:r>
      <w:r>
        <w:rPr>
          <w:color w:val="231F20"/>
          <w:spacing w:val="-2"/>
        </w:rPr>
        <w:t xml:space="preserve"> </w:t>
      </w:r>
      <w:r>
        <w:rPr>
          <w:color w:val="231F20"/>
        </w:rPr>
        <w:t>IPSD</w:t>
      </w:r>
      <w:r>
        <w:rPr>
          <w:color w:val="231F20"/>
          <w:w w:val="99"/>
        </w:rPr>
        <w:t xml:space="preserve"> </w:t>
      </w:r>
      <w:r>
        <w:rPr>
          <w:color w:val="231F20"/>
        </w:rPr>
        <w:t>through the end of the measurement</w:t>
      </w:r>
      <w:r>
        <w:rPr>
          <w:color w:val="231F20"/>
          <w:spacing w:val="-19"/>
        </w:rPr>
        <w:t xml:space="preserve"> </w:t>
      </w:r>
      <w:r>
        <w:rPr>
          <w:color w:val="231F20"/>
        </w:rPr>
        <w:t>year.</w:t>
      </w:r>
    </w:p>
    <w:p w:rsidR="002731CB" w:rsidRDefault="00F315C8">
      <w:pPr>
        <w:pStyle w:val="BodyText"/>
        <w:tabs>
          <w:tab w:val="left" w:pos="2035"/>
        </w:tabs>
        <w:spacing w:before="180"/>
        <w:ind w:left="2035" w:right="312" w:hanging="816"/>
      </w:pPr>
      <w:r>
        <w:rPr>
          <w:b/>
          <w:i/>
          <w:color w:val="231F20"/>
        </w:rPr>
        <w:t>Step</w:t>
      </w:r>
      <w:r>
        <w:rPr>
          <w:b/>
          <w:i/>
          <w:color w:val="231F20"/>
          <w:spacing w:val="-2"/>
        </w:rPr>
        <w:t xml:space="preserve"> </w:t>
      </w:r>
      <w:r>
        <w:rPr>
          <w:b/>
          <w:i/>
          <w:color w:val="231F20"/>
        </w:rPr>
        <w:t>3</w:t>
      </w:r>
      <w:r>
        <w:rPr>
          <w:b/>
          <w:i/>
          <w:color w:val="231F20"/>
        </w:rPr>
        <w:tab/>
      </w:r>
      <w:r>
        <w:rPr>
          <w:color w:val="231F20"/>
        </w:rPr>
        <w:t>Count the days covered by at least one prescription for any high-intensity</w:t>
      </w:r>
      <w:r>
        <w:rPr>
          <w:color w:val="231F20"/>
          <w:spacing w:val="-35"/>
        </w:rPr>
        <w:t xml:space="preserve"> </w:t>
      </w:r>
      <w:r>
        <w:rPr>
          <w:color w:val="231F20"/>
        </w:rPr>
        <w:t>or</w:t>
      </w:r>
      <w:r>
        <w:rPr>
          <w:color w:val="231F20"/>
          <w:spacing w:val="-3"/>
        </w:rPr>
        <w:t xml:space="preserve"> </w:t>
      </w:r>
      <w:r>
        <w:rPr>
          <w:color w:val="231F20"/>
        </w:rPr>
        <w:t>moderate-</w:t>
      </w:r>
      <w:r>
        <w:rPr>
          <w:color w:val="231F20"/>
          <w:spacing w:val="-1"/>
          <w:w w:val="99"/>
        </w:rPr>
        <w:t xml:space="preserve"> </w:t>
      </w:r>
      <w:r>
        <w:rPr>
          <w:color w:val="231F20"/>
        </w:rPr>
        <w:t>intensity statin medication (</w:t>
      </w:r>
      <w:r>
        <w:rPr>
          <w:color w:val="231F20"/>
          <w:u w:val="single" w:color="231F20"/>
        </w:rPr>
        <w:t>High and Moderate-Intensity Statin Medications List</w:t>
      </w:r>
      <w:r>
        <w:rPr>
          <w:color w:val="231F20"/>
        </w:rPr>
        <w:t>) during the treatment period. To ensure that days supply that extends beyond the</w:t>
      </w:r>
      <w:r>
        <w:rPr>
          <w:color w:val="231F20"/>
          <w:spacing w:val="-36"/>
        </w:rPr>
        <w:t xml:space="preserve"> </w:t>
      </w:r>
      <w:r>
        <w:rPr>
          <w:color w:val="231F20"/>
        </w:rPr>
        <w:t>measurement year is not counted, subtract any days supply that extends beyond December 31 of the measurement</w:t>
      </w:r>
      <w:r>
        <w:rPr>
          <w:color w:val="231F20"/>
          <w:spacing w:val="-11"/>
        </w:rPr>
        <w:t xml:space="preserve"> </w:t>
      </w:r>
      <w:r>
        <w:rPr>
          <w:color w:val="231F20"/>
        </w:rPr>
        <w:t>year.</w:t>
      </w:r>
    </w:p>
    <w:p w:rsidR="002731CB" w:rsidRDefault="00F315C8">
      <w:pPr>
        <w:pStyle w:val="BodyText"/>
        <w:tabs>
          <w:tab w:val="left" w:pos="2035"/>
        </w:tabs>
        <w:spacing w:before="183" w:line="242" w:lineRule="auto"/>
        <w:ind w:left="2036" w:right="460" w:hanging="817"/>
      </w:pPr>
      <w:r>
        <w:rPr>
          <w:b/>
          <w:i/>
          <w:color w:val="231F20"/>
        </w:rPr>
        <w:t>Step</w:t>
      </w:r>
      <w:r>
        <w:rPr>
          <w:b/>
          <w:i/>
          <w:color w:val="231F20"/>
          <w:spacing w:val="-2"/>
        </w:rPr>
        <w:t xml:space="preserve"> </w:t>
      </w:r>
      <w:r>
        <w:rPr>
          <w:b/>
          <w:i/>
          <w:color w:val="231F20"/>
        </w:rPr>
        <w:t>4</w:t>
      </w:r>
      <w:r>
        <w:rPr>
          <w:b/>
          <w:i/>
          <w:color w:val="231F20"/>
        </w:rPr>
        <w:tab/>
      </w:r>
      <w:r>
        <w:rPr>
          <w:color w:val="231F20"/>
        </w:rPr>
        <w:t>C</w:t>
      </w:r>
      <w:r>
        <w:rPr>
          <w:color w:val="231F20"/>
        </w:rPr>
        <w:t>alculate</w:t>
      </w:r>
      <w:r>
        <w:rPr>
          <w:color w:val="231F20"/>
          <w:spacing w:val="-3"/>
        </w:rPr>
        <w:t xml:space="preserve"> </w:t>
      </w:r>
      <w:r>
        <w:rPr>
          <w:color w:val="231F20"/>
        </w:rPr>
        <w:t>the</w:t>
      </w:r>
      <w:r>
        <w:rPr>
          <w:color w:val="231F20"/>
          <w:spacing w:val="-3"/>
        </w:rPr>
        <w:t xml:space="preserve"> </w:t>
      </w:r>
      <w:r>
        <w:rPr>
          <w:color w:val="231F20"/>
        </w:rPr>
        <w:t>member’s</w:t>
      </w:r>
      <w:r>
        <w:rPr>
          <w:color w:val="231F20"/>
          <w:spacing w:val="-4"/>
        </w:rPr>
        <w:t xml:space="preserve"> </w:t>
      </w:r>
      <w:r>
        <w:rPr>
          <w:color w:val="231F20"/>
        </w:rPr>
        <w:t>PDC</w:t>
      </w:r>
      <w:r>
        <w:rPr>
          <w:color w:val="231F20"/>
          <w:spacing w:val="-4"/>
        </w:rPr>
        <w:t xml:space="preserve"> </w:t>
      </w:r>
      <w:r>
        <w:rPr>
          <w:color w:val="231F20"/>
        </w:rPr>
        <w:t>using</w:t>
      </w:r>
      <w:r>
        <w:rPr>
          <w:color w:val="231F20"/>
          <w:spacing w:val="-4"/>
        </w:rPr>
        <w:t xml:space="preserve"> </w:t>
      </w:r>
      <w:r>
        <w:rPr>
          <w:color w:val="231F20"/>
        </w:rPr>
        <w:t>the</w:t>
      </w:r>
      <w:r>
        <w:rPr>
          <w:color w:val="231F20"/>
          <w:spacing w:val="-4"/>
        </w:rPr>
        <w:t xml:space="preserve"> </w:t>
      </w:r>
      <w:r>
        <w:rPr>
          <w:color w:val="231F20"/>
        </w:rPr>
        <w:t>following</w:t>
      </w:r>
      <w:r>
        <w:rPr>
          <w:color w:val="231F20"/>
          <w:spacing w:val="-3"/>
        </w:rPr>
        <w:t xml:space="preserve"> </w:t>
      </w:r>
      <w:r>
        <w:rPr>
          <w:color w:val="231F20"/>
        </w:rPr>
        <w:t>equation.</w:t>
      </w:r>
      <w:r>
        <w:rPr>
          <w:color w:val="231F20"/>
          <w:spacing w:val="-11"/>
        </w:rPr>
        <w:t xml:space="preserve"> </w:t>
      </w:r>
      <w:r>
        <w:rPr>
          <w:color w:val="231F20"/>
        </w:rPr>
        <w:t>Round</w:t>
      </w:r>
      <w:r>
        <w:rPr>
          <w:color w:val="231F20"/>
          <w:spacing w:val="-3"/>
        </w:rPr>
        <w:t xml:space="preserve"> </w:t>
      </w:r>
      <w:r>
        <w:rPr>
          <w:color w:val="231F20"/>
        </w:rPr>
        <w:t>(using</w:t>
      </w:r>
      <w:r>
        <w:rPr>
          <w:color w:val="231F20"/>
          <w:spacing w:val="-4"/>
        </w:rPr>
        <w:t xml:space="preserve"> </w:t>
      </w:r>
      <w:r>
        <w:rPr>
          <w:color w:val="231F20"/>
        </w:rPr>
        <w:t>the</w:t>
      </w:r>
      <w:r>
        <w:rPr>
          <w:color w:val="231F20"/>
          <w:spacing w:val="-4"/>
        </w:rPr>
        <w:t xml:space="preserve"> </w:t>
      </w:r>
      <w:r>
        <w:rPr>
          <w:color w:val="231F20"/>
        </w:rPr>
        <w:t>.5</w:t>
      </w:r>
      <w:r>
        <w:rPr>
          <w:color w:val="231F20"/>
          <w:spacing w:val="-4"/>
        </w:rPr>
        <w:t xml:space="preserve"> </w:t>
      </w:r>
      <w:r>
        <w:rPr>
          <w:color w:val="231F20"/>
        </w:rPr>
        <w:t>rule)</w:t>
      </w:r>
      <w:r>
        <w:rPr>
          <w:color w:val="231F20"/>
          <w:spacing w:val="-4"/>
        </w:rPr>
        <w:t xml:space="preserve"> </w:t>
      </w:r>
      <w:r>
        <w:rPr>
          <w:color w:val="231F20"/>
        </w:rPr>
        <w:t>to</w:t>
      </w:r>
      <w:r>
        <w:rPr>
          <w:color w:val="231F20"/>
          <w:spacing w:val="-1"/>
          <w:w w:val="99"/>
        </w:rPr>
        <w:t xml:space="preserve"> </w:t>
      </w:r>
      <w:r>
        <w:rPr>
          <w:color w:val="231F20"/>
        </w:rPr>
        <w:t>two decimal</w:t>
      </w:r>
      <w:r>
        <w:rPr>
          <w:color w:val="231F20"/>
          <w:spacing w:val="-10"/>
        </w:rPr>
        <w:t xml:space="preserve"> </w:t>
      </w:r>
      <w:r>
        <w:rPr>
          <w:color w:val="231F20"/>
        </w:rPr>
        <w:t>places.</w:t>
      </w:r>
    </w:p>
    <w:p w:rsidR="002731CB" w:rsidRDefault="00F315C8">
      <w:pPr>
        <w:pStyle w:val="BodyText"/>
        <w:spacing w:before="135" w:line="352" w:lineRule="auto"/>
        <w:ind w:left="4217" w:right="812" w:hanging="1599"/>
      </w:pPr>
      <w:r>
        <w:pict>
          <v:line id="_x0000_s1034" style="position:absolute;left:0;text-align:left;z-index:-251657216;mso-position-horizontal-relative:page" from="144.35pt,20.45pt" to="540.6pt,20.45pt" strokecolor="#231f20" strokeweight=".25397mm">
            <w10:wrap anchorx="page"/>
          </v:line>
        </w:pict>
      </w:r>
      <w:r>
        <w:rPr>
          <w:color w:val="231F20"/>
        </w:rPr>
        <w:t>Total Days Covered by a Statin Medication in the Treatment Period (step 3) Total Days in Treatment Period (step 2)</w:t>
      </w:r>
    </w:p>
    <w:p w:rsidR="002731CB" w:rsidRDefault="00F315C8">
      <w:pPr>
        <w:pStyle w:val="BodyText"/>
        <w:tabs>
          <w:tab w:val="left" w:pos="2035"/>
        </w:tabs>
        <w:spacing w:before="73"/>
        <w:ind w:left="1220"/>
      </w:pPr>
      <w:r>
        <w:rPr>
          <w:b/>
          <w:bCs/>
          <w:i/>
          <w:color w:val="231F20"/>
        </w:rPr>
        <w:t>Step</w:t>
      </w:r>
      <w:r>
        <w:rPr>
          <w:b/>
          <w:bCs/>
          <w:i/>
          <w:color w:val="231F20"/>
          <w:spacing w:val="-2"/>
        </w:rPr>
        <w:t xml:space="preserve"> </w:t>
      </w:r>
      <w:r>
        <w:rPr>
          <w:b/>
          <w:bCs/>
          <w:i/>
          <w:color w:val="231F20"/>
        </w:rPr>
        <w:t>5</w:t>
      </w:r>
      <w:r>
        <w:rPr>
          <w:b/>
          <w:bCs/>
          <w:i/>
          <w:color w:val="231F20"/>
        </w:rPr>
        <w:tab/>
      </w:r>
      <w:r>
        <w:rPr>
          <w:color w:val="231F20"/>
        </w:rPr>
        <w:t>Sum</w:t>
      </w:r>
      <w:r>
        <w:rPr>
          <w:color w:val="231F20"/>
          <w:spacing w:val="-5"/>
        </w:rPr>
        <w:t xml:space="preserve"> </w:t>
      </w:r>
      <w:r>
        <w:rPr>
          <w:color w:val="231F20"/>
        </w:rPr>
        <w:t>the</w:t>
      </w:r>
      <w:r>
        <w:rPr>
          <w:color w:val="231F20"/>
          <w:spacing w:val="-9"/>
        </w:rPr>
        <w:t xml:space="preserve"> </w:t>
      </w:r>
      <w:r>
        <w:rPr>
          <w:color w:val="231F20"/>
        </w:rPr>
        <w:t>number</w:t>
      </w:r>
      <w:r>
        <w:rPr>
          <w:color w:val="231F20"/>
          <w:spacing w:val="-8"/>
        </w:rPr>
        <w:t xml:space="preserve"> </w:t>
      </w:r>
      <w:r>
        <w:rPr>
          <w:color w:val="231F20"/>
        </w:rPr>
        <w:t>of</w:t>
      </w:r>
      <w:r>
        <w:rPr>
          <w:color w:val="231F20"/>
          <w:spacing w:val="-8"/>
        </w:rPr>
        <w:t xml:space="preserve"> </w:t>
      </w:r>
      <w:r>
        <w:rPr>
          <w:color w:val="231F20"/>
        </w:rPr>
        <w:t>members</w:t>
      </w:r>
      <w:r>
        <w:rPr>
          <w:color w:val="231F20"/>
          <w:spacing w:val="-8"/>
        </w:rPr>
        <w:t xml:space="preserve"> </w:t>
      </w:r>
      <w:r>
        <w:rPr>
          <w:color w:val="231F20"/>
        </w:rPr>
        <w:t>whose</w:t>
      </w:r>
      <w:r>
        <w:rPr>
          <w:color w:val="231F20"/>
          <w:spacing w:val="-7"/>
        </w:rPr>
        <w:t xml:space="preserve"> </w:t>
      </w:r>
      <w:r>
        <w:rPr>
          <w:color w:val="231F20"/>
        </w:rPr>
        <w:t>PDC</w:t>
      </w:r>
      <w:r>
        <w:rPr>
          <w:color w:val="231F20"/>
          <w:spacing w:val="-9"/>
        </w:rPr>
        <w:t xml:space="preserve"> </w:t>
      </w:r>
      <w:r>
        <w:rPr>
          <w:color w:val="231F20"/>
        </w:rPr>
        <w:t>is</w:t>
      </w:r>
      <w:r>
        <w:rPr>
          <w:color w:val="231F20"/>
          <w:spacing w:val="-8"/>
        </w:rPr>
        <w:t xml:space="preserve"> </w:t>
      </w:r>
      <w:r>
        <w:rPr>
          <w:color w:val="231F20"/>
        </w:rPr>
        <w:t>�</w:t>
      </w:r>
      <w:r>
        <w:rPr>
          <w:color w:val="231F20"/>
        </w:rPr>
        <w:t>80%</w:t>
      </w:r>
      <w:r>
        <w:rPr>
          <w:color w:val="231F20"/>
          <w:spacing w:val="-8"/>
        </w:rPr>
        <w:t xml:space="preserve"> </w:t>
      </w:r>
      <w:r>
        <w:rPr>
          <w:color w:val="231F20"/>
        </w:rPr>
        <w:t>for</w:t>
      </w:r>
      <w:r>
        <w:rPr>
          <w:color w:val="231F20"/>
          <w:spacing w:val="-8"/>
        </w:rPr>
        <w:t xml:space="preserve"> </w:t>
      </w:r>
      <w:r>
        <w:rPr>
          <w:color w:val="231F20"/>
        </w:rPr>
        <w:t>the</w:t>
      </w:r>
      <w:r>
        <w:rPr>
          <w:color w:val="231F20"/>
          <w:spacing w:val="-8"/>
        </w:rPr>
        <w:t xml:space="preserve"> </w:t>
      </w:r>
      <w:r>
        <w:rPr>
          <w:color w:val="231F20"/>
        </w:rPr>
        <w:t>treatment</w:t>
      </w:r>
      <w:r>
        <w:rPr>
          <w:color w:val="231F20"/>
          <w:spacing w:val="-8"/>
        </w:rPr>
        <w:t xml:space="preserve"> </w:t>
      </w:r>
      <w:r>
        <w:rPr>
          <w:color w:val="231F20"/>
        </w:rPr>
        <w:t>period.</w:t>
      </w:r>
    </w:p>
    <w:p w:rsidR="002731CB" w:rsidRDefault="002731CB">
      <w:pPr>
        <w:sectPr w:rsidR="002731CB">
          <w:type w:val="continuous"/>
          <w:pgSz w:w="12240" w:h="15840"/>
          <w:pgMar w:top="1100" w:right="1240" w:bottom="1060" w:left="880" w:header="720" w:footer="720" w:gutter="0"/>
          <w:cols w:space="720"/>
        </w:sectPr>
      </w:pPr>
    </w:p>
    <w:p w:rsidR="002731CB" w:rsidRDefault="002731CB">
      <w:pPr>
        <w:pStyle w:val="BodyText"/>
        <w:spacing w:before="2"/>
        <w:rPr>
          <w:sz w:val="23"/>
        </w:rPr>
      </w:pPr>
      <w:bookmarkStart w:id="0" w:name="_GoBack"/>
    </w:p>
    <w:p w:rsidR="002731CB" w:rsidRDefault="00F315C8">
      <w:pPr>
        <w:spacing w:before="93"/>
        <w:ind w:left="200"/>
        <w:rPr>
          <w:b/>
          <w:i/>
        </w:rPr>
      </w:pPr>
      <w:r>
        <w:pict>
          <v:line id="_x0000_s1033" style="position:absolute;left:0;text-align:left;z-index:251657216;mso-wrap-distance-left:0;mso-wrap-distance-right:0;mso-position-horizontal-relative:page" from="70.55pt,19.75pt" to="559.45pt,19.75pt" strokecolor="#231f20" strokeweight=".72pt">
            <w10:wrap type="topAndBottom" anchorx="page"/>
          </v:line>
        </w:pict>
      </w:r>
      <w:r>
        <w:rPr>
          <w:b/>
          <w:i/>
          <w:color w:val="231F20"/>
        </w:rPr>
        <w:t>Note</w:t>
      </w:r>
    </w:p>
    <w:p w:rsidR="002731CB" w:rsidRDefault="00F315C8">
      <w:pPr>
        <w:pStyle w:val="ListParagraph"/>
        <w:numPr>
          <w:ilvl w:val="0"/>
          <w:numId w:val="13"/>
        </w:numPr>
        <w:tabs>
          <w:tab w:val="left" w:pos="417"/>
        </w:tabs>
        <w:spacing w:before="86"/>
        <w:ind w:right="474" w:hanging="216"/>
        <w:rPr>
          <w:i/>
          <w:sz w:val="20"/>
        </w:rPr>
      </w:pPr>
      <w:r>
        <w:rPr>
          <w:i/>
          <w:color w:val="231F20"/>
          <w:sz w:val="20"/>
        </w:rPr>
        <w:t>All members who are numerator compliant for Rate 1 must be used as the eligible population for Rate 2 (regardless of the data source used to capture the Rate 1 numerator). For example, if suppl</w:t>
      </w:r>
      <w:r>
        <w:rPr>
          <w:i/>
          <w:color w:val="231F20"/>
          <w:sz w:val="20"/>
        </w:rPr>
        <w:t>emental data were used to identify compliance for the Rate 1 numerator, then supplemental data will be included in identifying the Rate 2 eligible</w:t>
      </w:r>
      <w:r>
        <w:rPr>
          <w:i/>
          <w:color w:val="231F20"/>
          <w:spacing w:val="-23"/>
          <w:sz w:val="20"/>
        </w:rPr>
        <w:t xml:space="preserve"> </w:t>
      </w:r>
      <w:r>
        <w:rPr>
          <w:i/>
          <w:color w:val="231F20"/>
          <w:sz w:val="20"/>
        </w:rPr>
        <w:t>population.</w:t>
      </w:r>
    </w:p>
    <w:p w:rsidR="002731CB" w:rsidRDefault="00F315C8">
      <w:pPr>
        <w:pStyle w:val="BodyText"/>
        <w:spacing w:before="7"/>
        <w:rPr>
          <w:i/>
          <w:sz w:val="27"/>
        </w:rPr>
      </w:pPr>
      <w:r>
        <w:pict>
          <v:group id="_x0000_s1026" style="position:absolute;margin-left:67.55pt;margin-top:17.85pt;width:494.95pt;height:18.9pt;z-index:251658240;mso-wrap-distance-left:0;mso-wrap-distance-right:0;mso-position-horizontal-relative:page" coordorigin="1351,357" coordsize="9899,378">
            <v:rect id="_x0000_s1032" style="position:absolute;left:1373;top:379;width:9854;height:334" fillcolor="#231f20" stroked="f"/>
            <v:line id="_x0000_s1031" style="position:absolute" from="1358,372" to="11242,372" strokecolor="#231f20" strokeweight=".72pt"/>
            <v:line id="_x0000_s1030" style="position:absolute" from="1358,720" to="11242,720" strokecolor="#231f20" strokeweight=".72pt"/>
            <v:line id="_x0000_s1029" style="position:absolute" from="1366,365" to="1366,727" strokecolor="#231f20" strokeweight=".72pt"/>
            <v:line id="_x0000_s1028" style="position:absolute" from="11234,365" to="11234,727" strokecolor="#231f20" strokeweight=".72pt"/>
            <v:shape id="_x0000_s1027" type="#_x0000_t202" style="position:absolute;left:1358;top:372;width:9884;height:356" filled="f" stroked="f">
              <v:textbox inset="0,0,0,0">
                <w:txbxContent>
                  <w:p w:rsidR="002731CB" w:rsidRDefault="00F315C8">
                    <w:pPr>
                      <w:spacing w:before="45"/>
                      <w:ind w:left="81"/>
                      <w:rPr>
                        <w:b/>
                      </w:rPr>
                    </w:pPr>
                    <w:r>
                      <w:rPr>
                        <w:b/>
                        <w:color w:val="FFFFFF"/>
                      </w:rPr>
                      <w:t>Data Elements for Reporting</w:t>
                    </w:r>
                  </w:p>
                </w:txbxContent>
              </v:textbox>
            </v:shape>
            <w10:wrap type="topAndBottom" anchorx="page"/>
          </v:group>
        </w:pict>
      </w:r>
    </w:p>
    <w:p w:rsidR="002731CB" w:rsidRDefault="00F315C8">
      <w:pPr>
        <w:pStyle w:val="BodyText"/>
        <w:spacing w:before="140"/>
        <w:ind w:left="200"/>
      </w:pPr>
      <w:r>
        <w:rPr>
          <w:color w:val="231F20"/>
        </w:rPr>
        <w:t>Organizations that submit HEDIS data to NCQA must provide the following data elements.</w:t>
      </w:r>
    </w:p>
    <w:p w:rsidR="002731CB" w:rsidRDefault="002731CB">
      <w:pPr>
        <w:pStyle w:val="BodyText"/>
        <w:spacing w:before="9"/>
      </w:pPr>
    </w:p>
    <w:p w:rsidR="002731CB" w:rsidRDefault="00F315C8">
      <w:pPr>
        <w:ind w:left="200"/>
        <w:rPr>
          <w:b/>
          <w:i/>
          <w:sz w:val="18"/>
        </w:rPr>
      </w:pPr>
      <w:r>
        <w:rPr>
          <w:b/>
          <w:i/>
          <w:color w:val="231F20"/>
          <w:sz w:val="18"/>
        </w:rPr>
        <w:t>Table SPC-1/2/3: Data Elements for Statin Therapy for Patients With Cardiovascular Disease</w:t>
      </w:r>
    </w:p>
    <w:p w:rsidR="002731CB" w:rsidRDefault="002731CB">
      <w:pPr>
        <w:pStyle w:val="BodyText"/>
        <w:spacing w:before="7"/>
        <w:rPr>
          <w:b/>
          <w:i/>
          <w:sz w:val="6"/>
        </w:rPr>
      </w:pPr>
    </w:p>
    <w:tbl>
      <w:tblPr>
        <w:tblW w:w="0" w:type="auto"/>
        <w:tblInd w:w="192"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1E0" w:firstRow="1" w:lastRow="1" w:firstColumn="1" w:lastColumn="1" w:noHBand="0" w:noVBand="0"/>
      </w:tblPr>
      <w:tblGrid>
        <w:gridCol w:w="3715"/>
        <w:gridCol w:w="4205"/>
      </w:tblGrid>
      <w:tr w:rsidR="002731CB">
        <w:trPr>
          <w:trHeight w:hRule="exact" w:val="281"/>
        </w:trPr>
        <w:tc>
          <w:tcPr>
            <w:tcW w:w="3715" w:type="dxa"/>
            <w:tcBorders>
              <w:top w:val="nil"/>
              <w:left w:val="nil"/>
              <w:bottom w:val="nil"/>
            </w:tcBorders>
            <w:shd w:val="clear" w:color="auto" w:fill="231F20"/>
          </w:tcPr>
          <w:p w:rsidR="002731CB" w:rsidRDefault="00F315C8">
            <w:pPr>
              <w:pStyle w:val="TableParagraph"/>
              <w:spacing w:before="12"/>
              <w:ind w:left="1271" w:right="1266"/>
              <w:jc w:val="center"/>
              <w:rPr>
                <w:b/>
                <w:sz w:val="20"/>
              </w:rPr>
            </w:pPr>
            <w:r>
              <w:rPr>
                <w:b/>
                <w:color w:val="FFFFFF"/>
                <w:sz w:val="20"/>
              </w:rPr>
              <w:t>Data Elements</w:t>
            </w:r>
          </w:p>
        </w:tc>
        <w:tc>
          <w:tcPr>
            <w:tcW w:w="4205" w:type="dxa"/>
            <w:tcBorders>
              <w:top w:val="nil"/>
              <w:bottom w:val="nil"/>
              <w:right w:val="nil"/>
            </w:tcBorders>
            <w:shd w:val="clear" w:color="auto" w:fill="231F20"/>
          </w:tcPr>
          <w:p w:rsidR="002731CB" w:rsidRDefault="00F315C8">
            <w:pPr>
              <w:pStyle w:val="TableParagraph"/>
              <w:spacing w:before="12"/>
              <w:ind w:left="1505" w:right="1512"/>
              <w:jc w:val="center"/>
              <w:rPr>
                <w:b/>
                <w:sz w:val="20"/>
              </w:rPr>
            </w:pPr>
            <w:r>
              <w:rPr>
                <w:b/>
                <w:color w:val="FFFFFF"/>
                <w:sz w:val="20"/>
              </w:rPr>
              <w:t>Administrative</w:t>
            </w:r>
          </w:p>
        </w:tc>
      </w:tr>
      <w:tr w:rsidR="002731CB">
        <w:trPr>
          <w:trHeight w:hRule="exact" w:val="302"/>
        </w:trPr>
        <w:tc>
          <w:tcPr>
            <w:tcW w:w="371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before="19"/>
              <w:ind w:left="100"/>
              <w:rPr>
                <w:sz w:val="20"/>
              </w:rPr>
            </w:pPr>
            <w:r>
              <w:rPr>
                <w:color w:val="231F20"/>
                <w:sz w:val="20"/>
              </w:rPr>
              <w:t>Measurement year</w:t>
            </w:r>
          </w:p>
        </w:tc>
        <w:tc>
          <w:tcPr>
            <w:tcW w:w="420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line="257" w:lineRule="exact"/>
              <w:ind w:right="1"/>
              <w:jc w:val="center"/>
              <w:rPr>
                <w:rFonts w:ascii="Arial"/>
                <w:sz w:val="24"/>
              </w:rPr>
            </w:pPr>
            <w:r>
              <w:rPr>
                <w:rFonts w:ascii="Arial"/>
                <w:color w:val="231F20"/>
                <w:w w:val="282"/>
                <w:sz w:val="24"/>
              </w:rPr>
              <w:t xml:space="preserve"> </w:t>
            </w:r>
          </w:p>
        </w:tc>
      </w:tr>
      <w:tr w:rsidR="002731CB">
        <w:trPr>
          <w:trHeight w:hRule="exact" w:val="334"/>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rsidR="002731CB" w:rsidRDefault="00F315C8">
            <w:pPr>
              <w:pStyle w:val="TableParagraph"/>
              <w:spacing w:before="31"/>
              <w:ind w:left="100"/>
              <w:rPr>
                <w:sz w:val="20"/>
              </w:rPr>
            </w:pPr>
            <w:r>
              <w:rPr>
                <w:color w:val="231F20"/>
                <w:sz w:val="20"/>
              </w:rPr>
              <w:t>Data collection methodology (Administrative)</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rsidR="002731CB" w:rsidRDefault="00F315C8">
            <w:pPr>
              <w:pStyle w:val="TableParagraph"/>
              <w:spacing w:line="269" w:lineRule="exact"/>
              <w:ind w:right="1"/>
              <w:jc w:val="center"/>
              <w:rPr>
                <w:rFonts w:ascii="Arial"/>
                <w:sz w:val="24"/>
              </w:rPr>
            </w:pPr>
            <w:r>
              <w:rPr>
                <w:rFonts w:ascii="Arial"/>
                <w:color w:val="231F20"/>
                <w:w w:val="282"/>
                <w:sz w:val="24"/>
              </w:rPr>
              <w:t xml:space="preserve"> </w:t>
            </w:r>
          </w:p>
        </w:tc>
      </w:tr>
      <w:tr w:rsidR="002731CB">
        <w:trPr>
          <w:trHeight w:hRule="exact" w:val="294"/>
        </w:trPr>
        <w:tc>
          <w:tcPr>
            <w:tcW w:w="371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before="12"/>
              <w:ind w:left="100"/>
              <w:rPr>
                <w:sz w:val="20"/>
              </w:rPr>
            </w:pPr>
            <w:r>
              <w:rPr>
                <w:color w:val="231F20"/>
                <w:sz w:val="20"/>
              </w:rPr>
              <w:t>Eligible population</w:t>
            </w:r>
          </w:p>
        </w:tc>
        <w:tc>
          <w:tcPr>
            <w:tcW w:w="420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before="12"/>
              <w:ind w:left="146" w:right="147"/>
              <w:jc w:val="center"/>
              <w:rPr>
                <w:i/>
                <w:sz w:val="20"/>
              </w:rPr>
            </w:pPr>
            <w:r>
              <w:rPr>
                <w:i/>
                <w:color w:val="231F20"/>
                <w:sz w:val="20"/>
              </w:rPr>
              <w:t>Each rate, for each age/gender stratification and total</w:t>
            </w:r>
          </w:p>
        </w:tc>
      </w:tr>
      <w:tr w:rsidR="002731CB">
        <w:trPr>
          <w:trHeight w:hRule="exact" w:val="294"/>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rsidR="002731CB" w:rsidRDefault="00F315C8">
            <w:pPr>
              <w:pStyle w:val="TableParagraph"/>
              <w:spacing w:before="13"/>
              <w:ind w:left="100"/>
              <w:rPr>
                <w:sz w:val="20"/>
              </w:rPr>
            </w:pPr>
            <w:r>
              <w:rPr>
                <w:color w:val="231F20"/>
                <w:sz w:val="20"/>
              </w:rPr>
              <w:t>Number of required exclusions</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rsidR="002731CB" w:rsidRDefault="00F315C8">
            <w:pPr>
              <w:pStyle w:val="TableParagraph"/>
              <w:spacing w:before="13"/>
              <w:ind w:left="146" w:right="146"/>
              <w:jc w:val="center"/>
              <w:rPr>
                <w:i/>
                <w:sz w:val="20"/>
              </w:rPr>
            </w:pPr>
            <w:r>
              <w:rPr>
                <w:i/>
                <w:color w:val="231F20"/>
                <w:sz w:val="20"/>
              </w:rPr>
              <w:t>Rate 1, for each age/gender stratification and total</w:t>
            </w:r>
          </w:p>
        </w:tc>
      </w:tr>
      <w:tr w:rsidR="002731CB">
        <w:trPr>
          <w:trHeight w:hRule="exact" w:val="296"/>
        </w:trPr>
        <w:tc>
          <w:tcPr>
            <w:tcW w:w="371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before="14"/>
              <w:ind w:left="100"/>
              <w:rPr>
                <w:sz w:val="20"/>
              </w:rPr>
            </w:pPr>
            <w:r>
              <w:rPr>
                <w:color w:val="231F20"/>
                <w:sz w:val="20"/>
              </w:rPr>
              <w:t>Numerator events by administrative data</w:t>
            </w:r>
          </w:p>
        </w:tc>
        <w:tc>
          <w:tcPr>
            <w:tcW w:w="420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before="14"/>
              <w:ind w:left="146" w:right="147"/>
              <w:jc w:val="center"/>
              <w:rPr>
                <w:i/>
                <w:sz w:val="20"/>
              </w:rPr>
            </w:pPr>
            <w:r>
              <w:rPr>
                <w:i/>
                <w:color w:val="231F20"/>
                <w:sz w:val="20"/>
              </w:rPr>
              <w:t>Each rate, for each age/gender stratification and total</w:t>
            </w:r>
          </w:p>
        </w:tc>
      </w:tr>
      <w:tr w:rsidR="002731CB">
        <w:trPr>
          <w:trHeight w:hRule="exact" w:val="294"/>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rsidR="002731CB" w:rsidRDefault="00F315C8">
            <w:pPr>
              <w:pStyle w:val="TableParagraph"/>
              <w:spacing w:before="13"/>
              <w:ind w:left="100"/>
              <w:rPr>
                <w:sz w:val="20"/>
              </w:rPr>
            </w:pPr>
            <w:r>
              <w:rPr>
                <w:color w:val="231F20"/>
                <w:sz w:val="20"/>
              </w:rPr>
              <w:t>Numerator events by supplemental data</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rsidR="002731CB" w:rsidRDefault="00F315C8">
            <w:pPr>
              <w:pStyle w:val="TableParagraph"/>
              <w:spacing w:before="13"/>
              <w:ind w:left="146" w:right="147"/>
              <w:jc w:val="center"/>
              <w:rPr>
                <w:i/>
                <w:sz w:val="20"/>
              </w:rPr>
            </w:pPr>
            <w:r>
              <w:rPr>
                <w:i/>
                <w:color w:val="231F20"/>
                <w:sz w:val="20"/>
              </w:rPr>
              <w:t>Each rate, for each age/gender stratification and total</w:t>
            </w:r>
          </w:p>
        </w:tc>
      </w:tr>
      <w:tr w:rsidR="002731CB">
        <w:trPr>
          <w:trHeight w:hRule="exact" w:val="295"/>
        </w:trPr>
        <w:tc>
          <w:tcPr>
            <w:tcW w:w="371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before="11"/>
              <w:ind w:left="100"/>
              <w:rPr>
                <w:sz w:val="20"/>
              </w:rPr>
            </w:pPr>
            <w:r>
              <w:rPr>
                <w:color w:val="231F20"/>
                <w:sz w:val="20"/>
              </w:rPr>
              <w:t>Reported rate</w:t>
            </w:r>
          </w:p>
        </w:tc>
        <w:tc>
          <w:tcPr>
            <w:tcW w:w="420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before="11"/>
              <w:ind w:left="146" w:right="147"/>
              <w:jc w:val="center"/>
              <w:rPr>
                <w:i/>
                <w:sz w:val="20"/>
              </w:rPr>
            </w:pPr>
            <w:r>
              <w:rPr>
                <w:i/>
                <w:color w:val="231F20"/>
                <w:sz w:val="20"/>
              </w:rPr>
              <w:t>Each rate, for each age/gender stratification and total</w:t>
            </w:r>
          </w:p>
        </w:tc>
      </w:tr>
      <w:tr w:rsidR="002731CB">
        <w:trPr>
          <w:trHeight w:hRule="exact" w:val="295"/>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rsidR="002731CB" w:rsidRDefault="00F315C8">
            <w:pPr>
              <w:pStyle w:val="TableParagraph"/>
              <w:spacing w:before="11"/>
              <w:ind w:left="100"/>
              <w:rPr>
                <w:sz w:val="20"/>
              </w:rPr>
            </w:pPr>
            <w:r>
              <w:rPr>
                <w:color w:val="231F20"/>
                <w:sz w:val="20"/>
              </w:rPr>
              <w:t>Lower 95% confidence interval</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rsidR="002731CB" w:rsidRDefault="00F315C8">
            <w:pPr>
              <w:pStyle w:val="TableParagraph"/>
              <w:spacing w:before="11"/>
              <w:ind w:left="146" w:right="147"/>
              <w:jc w:val="center"/>
              <w:rPr>
                <w:i/>
                <w:sz w:val="20"/>
              </w:rPr>
            </w:pPr>
            <w:r>
              <w:rPr>
                <w:i/>
                <w:color w:val="231F20"/>
                <w:sz w:val="20"/>
              </w:rPr>
              <w:t>Each rate, for each age/gender stratification and total</w:t>
            </w:r>
          </w:p>
        </w:tc>
      </w:tr>
      <w:tr w:rsidR="002731CB">
        <w:trPr>
          <w:trHeight w:hRule="exact" w:val="295"/>
        </w:trPr>
        <w:tc>
          <w:tcPr>
            <w:tcW w:w="371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before="11"/>
              <w:ind w:left="100"/>
              <w:rPr>
                <w:sz w:val="20"/>
              </w:rPr>
            </w:pPr>
            <w:r>
              <w:rPr>
                <w:color w:val="231F20"/>
                <w:sz w:val="20"/>
              </w:rPr>
              <w:t>Upper 95% confidence interval</w:t>
            </w:r>
          </w:p>
        </w:tc>
        <w:tc>
          <w:tcPr>
            <w:tcW w:w="4205" w:type="dxa"/>
            <w:tcBorders>
              <w:top w:val="single" w:sz="6" w:space="0" w:color="231F20"/>
              <w:left w:val="single" w:sz="6" w:space="0" w:color="231F20"/>
              <w:bottom w:val="single" w:sz="6" w:space="0" w:color="231F20"/>
              <w:right w:val="single" w:sz="6" w:space="0" w:color="231F20"/>
            </w:tcBorders>
          </w:tcPr>
          <w:p w:rsidR="002731CB" w:rsidRDefault="00F315C8">
            <w:pPr>
              <w:pStyle w:val="TableParagraph"/>
              <w:spacing w:before="11"/>
              <w:ind w:left="146" w:right="147"/>
              <w:jc w:val="center"/>
              <w:rPr>
                <w:i/>
                <w:sz w:val="20"/>
              </w:rPr>
            </w:pPr>
            <w:r>
              <w:rPr>
                <w:i/>
                <w:color w:val="231F20"/>
                <w:sz w:val="20"/>
              </w:rPr>
              <w:t>Each rate, for each age/gender stratification and total</w:t>
            </w:r>
          </w:p>
        </w:tc>
      </w:tr>
      <w:bookmarkEnd w:id="0"/>
    </w:tbl>
    <w:p w:rsidR="00000000" w:rsidRDefault="00F315C8"/>
    <w:sectPr w:rsidR="00000000">
      <w:pgSz w:w="12240" w:h="15840"/>
      <w:pgMar w:top="1100" w:right="880" w:bottom="1060" w:left="1240" w:header="847" w:footer="8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315C8">
      <w:r>
        <w:separator/>
      </w:r>
    </w:p>
  </w:endnote>
  <w:endnote w:type="continuationSeparator" w:id="0">
    <w:p w:rsidR="00000000" w:rsidRDefault="00F31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1CB" w:rsidRDefault="00F315C8">
    <w:pPr>
      <w:pStyle w:val="BodyText"/>
      <w:spacing w:line="14" w:lineRule="auto"/>
    </w:pPr>
    <w:r>
      <w:pict>
        <v:line id="_x0000_s2050" style="position:absolute;z-index:-12424;mso-position-horizontal-relative:page;mso-position-vertical-relative:page" from="52.55pt,735.5pt" to="541.45pt,735.5pt" strokecolor="#231f20" strokeweight=".33831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pt;margin-top:737.45pt;width:107.5pt;height:13.15pt;z-index:-12400;mso-position-horizontal-relative:page;mso-position-vertical-relative:page" filled="f" stroked="f">
          <v:textbox inset="0,0,0,0">
            <w:txbxContent>
              <w:p w:rsidR="002731CB" w:rsidRDefault="00F315C8">
                <w:pPr>
                  <w:spacing w:before="12"/>
                  <w:ind w:left="20"/>
                  <w:rPr>
                    <w:b/>
                    <w:sz w:val="20"/>
                  </w:rPr>
                </w:pPr>
                <w:r>
                  <w:rPr>
                    <w:b/>
                    <w:color w:val="231F20"/>
                    <w:sz w:val="20"/>
                  </w:rPr>
                  <w:t>HEDIS 2018, Volume 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1CB" w:rsidRDefault="00F315C8">
    <w:pPr>
      <w:pStyle w:val="BodyText"/>
      <w:spacing w:line="14" w:lineRule="auto"/>
    </w:pPr>
    <w:r>
      <w:pict>
        <v:line id="_x0000_s2052" style="position:absolute;z-index:-12472;mso-position-horizontal-relative:page;mso-position-vertical-relative:page" from="70.55pt,735.5pt" to="559.45pt,735.5pt" strokecolor="#231f20" strokeweight=".33831mm">
          <w10:wrap anchorx="page" anchory="page"/>
        </v:line>
      </w:pict>
    </w:r>
    <w:r>
      <w:pict>
        <v:shapetype id="_x0000_t202" coordsize="21600,21600" o:spt="202" path="m,l,21600r21600,l21600,xe">
          <v:stroke joinstyle="miter"/>
          <v:path gradientshapeok="t" o:connecttype="rect"/>
        </v:shapetype>
        <v:shape id="_x0000_s2051" type="#_x0000_t202" style="position:absolute;margin-left:451.4pt;margin-top:737.45pt;width:107.5pt;height:13.15pt;z-index:-12448;mso-position-horizontal-relative:page;mso-position-vertical-relative:page" filled="f" stroked="f">
          <v:textbox inset="0,0,0,0">
            <w:txbxContent>
              <w:p w:rsidR="002731CB" w:rsidRDefault="00F315C8">
                <w:pPr>
                  <w:spacing w:before="12"/>
                  <w:ind w:left="20"/>
                  <w:rPr>
                    <w:b/>
                    <w:sz w:val="20"/>
                  </w:rPr>
                </w:pPr>
                <w:r>
                  <w:rPr>
                    <w:b/>
                    <w:color w:val="231F20"/>
                    <w:sz w:val="20"/>
                  </w:rPr>
                  <w:t>HEDIS 2018, Volume 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315C8">
      <w:r>
        <w:separator/>
      </w:r>
    </w:p>
  </w:footnote>
  <w:footnote w:type="continuationSeparator" w:id="0">
    <w:p w:rsidR="00000000" w:rsidRDefault="00F315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1CB" w:rsidRDefault="00F315C8">
    <w:pPr>
      <w:pStyle w:val="BodyText"/>
      <w:spacing w:line="14" w:lineRule="auto"/>
    </w:pPr>
    <w:r>
      <w:pict>
        <v:line id="_x0000_s2055" style="position:absolute;z-index:-12544;mso-position-horizontal-relative:page;mso-position-vertical-relative:page" from="52.55pt,54.85pt" to="541.45pt,54.85pt" strokecolor="#231f20" strokeweight=".72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52pt;margin-top:41.35pt;width:20.55pt;height:13.15pt;z-index:-12520;mso-position-horizontal-relative:page;mso-position-vertical-relative:page" filled="f" stroked="f">
          <v:textbox inset="0,0,0,0">
            <w:txbxContent>
              <w:p w:rsidR="002731CB" w:rsidRDefault="00F315C8">
                <w:pPr>
                  <w:spacing w:before="12"/>
                  <w:ind w:left="40"/>
                  <w:rPr>
                    <w:b/>
                    <w:i/>
                    <w:sz w:val="20"/>
                  </w:rPr>
                </w:pPr>
                <w:r>
                  <w:fldChar w:fldCharType="begin"/>
                </w:r>
                <w:r>
                  <w:rPr>
                    <w:b/>
                    <w:i/>
                    <w:color w:val="231F20"/>
                    <w:sz w:val="20"/>
                  </w:rPr>
                  <w:instrText xml:space="preserve"> PAGE </w:instrText>
                </w:r>
                <w:r>
                  <w:fldChar w:fldCharType="separate"/>
                </w:r>
                <w:r>
                  <w:rPr>
                    <w:b/>
                    <w:i/>
                    <w:noProof/>
                    <w:color w:val="231F20"/>
                    <w:sz w:val="20"/>
                  </w:rPr>
                  <w:t>136</w:t>
                </w:r>
                <w:r>
                  <w:fldChar w:fldCharType="end"/>
                </w:r>
              </w:p>
            </w:txbxContent>
          </v:textbox>
          <w10:wrap anchorx="page" anchory="page"/>
        </v:shape>
      </w:pict>
    </w:r>
    <w:r>
      <w:pict>
        <v:shape id="_x0000_s2053" type="#_x0000_t202" style="position:absolute;margin-left:89pt;margin-top:41.35pt;width:269.25pt;height:13.15pt;z-index:-12496;mso-position-horizontal-relative:page;mso-position-vertical-relative:page" filled="f" stroked="f">
          <v:textbox inset="0,0,0,0">
            <w:txbxContent>
              <w:p w:rsidR="002731CB" w:rsidRDefault="00F315C8">
                <w:pPr>
                  <w:spacing w:before="12"/>
                  <w:ind w:left="20"/>
                  <w:rPr>
                    <w:b/>
                    <w:i/>
                    <w:sz w:val="20"/>
                  </w:rPr>
                </w:pPr>
                <w:r>
                  <w:rPr>
                    <w:b/>
                    <w:i/>
                    <w:color w:val="231F20"/>
                    <w:sz w:val="20"/>
                  </w:rPr>
                  <w:t>Statin Therapy for Patients With Cardiovascular Disease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1CB" w:rsidRDefault="00F315C8">
    <w:pPr>
      <w:pStyle w:val="BodyText"/>
      <w:spacing w:line="14" w:lineRule="auto"/>
    </w:pPr>
    <w:r>
      <w:pict>
        <v:line id="_x0000_s2058" style="position:absolute;z-index:-12616;mso-position-horizontal-relative:page;mso-position-vertical-relative:page" from="70.55pt,54.85pt" to="559.45pt,54.85pt" strokecolor="#231f20" strokeweight=".72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253.75pt;margin-top:41.35pt;width:269.3pt;height:13.15pt;z-index:-12592;mso-position-horizontal-relative:page;mso-position-vertical-relative:page" filled="f" stroked="f">
          <v:textbox inset="0,0,0,0">
            <w:txbxContent>
              <w:p w:rsidR="002731CB" w:rsidRDefault="00F315C8">
                <w:pPr>
                  <w:spacing w:before="12"/>
                  <w:ind w:left="20"/>
                  <w:rPr>
                    <w:b/>
                    <w:i/>
                    <w:sz w:val="20"/>
                  </w:rPr>
                </w:pPr>
                <w:r>
                  <w:rPr>
                    <w:b/>
                    <w:i/>
                    <w:color w:val="231F20"/>
                    <w:sz w:val="20"/>
                  </w:rPr>
                  <w:t>Statin Therapy for Patients With Cardiovascular Disease</w:t>
                </w:r>
              </w:p>
            </w:txbxContent>
          </v:textbox>
          <w10:wrap anchorx="page" anchory="page"/>
        </v:shape>
      </w:pict>
    </w:r>
    <w:r>
      <w:pict>
        <v:shape id="_x0000_s2056" type="#_x0000_t202" style="position:absolute;margin-left:539.35pt;margin-top:41.35pt;width:20.6pt;height:13.15pt;z-index:-12568;mso-position-horizontal-relative:page;mso-position-vertical-relative:page" filled="f" stroked="f">
          <v:textbox inset="0,0,0,0">
            <w:txbxContent>
              <w:p w:rsidR="002731CB" w:rsidRDefault="00F315C8">
                <w:pPr>
                  <w:spacing w:before="12"/>
                  <w:ind w:left="40"/>
                  <w:rPr>
                    <w:b/>
                    <w:i/>
                    <w:sz w:val="20"/>
                  </w:rPr>
                </w:pPr>
                <w:r>
                  <w:fldChar w:fldCharType="begin"/>
                </w:r>
                <w:r>
                  <w:rPr>
                    <w:b/>
                    <w:i/>
                    <w:color w:val="231F20"/>
                    <w:sz w:val="20"/>
                  </w:rPr>
                  <w:instrText xml:space="preserve"> PAGE </w:instrText>
                </w:r>
                <w:r>
                  <w:fldChar w:fldCharType="separate"/>
                </w:r>
                <w:r>
                  <w:rPr>
                    <w:b/>
                    <w:i/>
                    <w:noProof/>
                    <w:color w:val="231F20"/>
                    <w:sz w:val="20"/>
                  </w:rPr>
                  <w:t>137</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70365"/>
    <w:multiLevelType w:val="hybridMultilevel"/>
    <w:tmpl w:val="B33CAF3A"/>
    <w:lvl w:ilvl="0" w:tplc="CCEE43FA">
      <w:numFmt w:val="bullet"/>
      <w:lvlText w:val=""/>
      <w:lvlJc w:val="left"/>
      <w:pPr>
        <w:ind w:left="261" w:hanging="159"/>
      </w:pPr>
      <w:rPr>
        <w:rFonts w:ascii="Symbol" w:eastAsia="Symbol" w:hAnsi="Symbol" w:cs="Symbol" w:hint="default"/>
        <w:color w:val="231F20"/>
        <w:w w:val="99"/>
        <w:sz w:val="20"/>
        <w:szCs w:val="20"/>
      </w:rPr>
    </w:lvl>
    <w:lvl w:ilvl="1" w:tplc="239A2D50">
      <w:numFmt w:val="bullet"/>
      <w:lvlText w:val="•"/>
      <w:lvlJc w:val="left"/>
      <w:pPr>
        <w:ind w:left="536" w:hanging="159"/>
      </w:pPr>
      <w:rPr>
        <w:rFonts w:hint="default"/>
      </w:rPr>
    </w:lvl>
    <w:lvl w:ilvl="2" w:tplc="A58ED294">
      <w:numFmt w:val="bullet"/>
      <w:lvlText w:val="•"/>
      <w:lvlJc w:val="left"/>
      <w:pPr>
        <w:ind w:left="813" w:hanging="159"/>
      </w:pPr>
      <w:rPr>
        <w:rFonts w:hint="default"/>
      </w:rPr>
    </w:lvl>
    <w:lvl w:ilvl="3" w:tplc="0E38CCC4">
      <w:numFmt w:val="bullet"/>
      <w:lvlText w:val="•"/>
      <w:lvlJc w:val="left"/>
      <w:pPr>
        <w:ind w:left="1090" w:hanging="159"/>
      </w:pPr>
      <w:rPr>
        <w:rFonts w:hint="default"/>
      </w:rPr>
    </w:lvl>
    <w:lvl w:ilvl="4" w:tplc="1CBE11D2">
      <w:numFmt w:val="bullet"/>
      <w:lvlText w:val="•"/>
      <w:lvlJc w:val="left"/>
      <w:pPr>
        <w:ind w:left="1367" w:hanging="159"/>
      </w:pPr>
      <w:rPr>
        <w:rFonts w:hint="default"/>
      </w:rPr>
    </w:lvl>
    <w:lvl w:ilvl="5" w:tplc="F7C265E2">
      <w:numFmt w:val="bullet"/>
      <w:lvlText w:val="•"/>
      <w:lvlJc w:val="left"/>
      <w:pPr>
        <w:ind w:left="1643" w:hanging="159"/>
      </w:pPr>
      <w:rPr>
        <w:rFonts w:hint="default"/>
      </w:rPr>
    </w:lvl>
    <w:lvl w:ilvl="6" w:tplc="0D1E97E8">
      <w:numFmt w:val="bullet"/>
      <w:lvlText w:val="•"/>
      <w:lvlJc w:val="left"/>
      <w:pPr>
        <w:ind w:left="1920" w:hanging="159"/>
      </w:pPr>
      <w:rPr>
        <w:rFonts w:hint="default"/>
      </w:rPr>
    </w:lvl>
    <w:lvl w:ilvl="7" w:tplc="2C529262">
      <w:numFmt w:val="bullet"/>
      <w:lvlText w:val="•"/>
      <w:lvlJc w:val="left"/>
      <w:pPr>
        <w:ind w:left="2197" w:hanging="159"/>
      </w:pPr>
      <w:rPr>
        <w:rFonts w:hint="default"/>
      </w:rPr>
    </w:lvl>
    <w:lvl w:ilvl="8" w:tplc="4E22EF18">
      <w:numFmt w:val="bullet"/>
      <w:lvlText w:val="•"/>
      <w:lvlJc w:val="left"/>
      <w:pPr>
        <w:ind w:left="2474" w:hanging="159"/>
      </w:pPr>
      <w:rPr>
        <w:rFonts w:hint="default"/>
      </w:rPr>
    </w:lvl>
  </w:abstractNum>
  <w:abstractNum w:abstractNumId="1" w15:restartNumberingAfterBreak="0">
    <w:nsid w:val="0D733A35"/>
    <w:multiLevelType w:val="hybridMultilevel"/>
    <w:tmpl w:val="74B008EA"/>
    <w:lvl w:ilvl="0" w:tplc="43C0B2BA">
      <w:numFmt w:val="bullet"/>
      <w:lvlText w:val=""/>
      <w:lvlJc w:val="left"/>
      <w:pPr>
        <w:ind w:left="261" w:hanging="159"/>
      </w:pPr>
      <w:rPr>
        <w:rFonts w:ascii="Symbol" w:eastAsia="Symbol" w:hAnsi="Symbol" w:cs="Symbol" w:hint="default"/>
        <w:color w:val="231F20"/>
        <w:w w:val="99"/>
        <w:sz w:val="20"/>
        <w:szCs w:val="20"/>
      </w:rPr>
    </w:lvl>
    <w:lvl w:ilvl="1" w:tplc="F95013B0">
      <w:numFmt w:val="bullet"/>
      <w:lvlText w:val="•"/>
      <w:lvlJc w:val="left"/>
      <w:pPr>
        <w:ind w:left="471" w:hanging="159"/>
      </w:pPr>
      <w:rPr>
        <w:rFonts w:hint="default"/>
      </w:rPr>
    </w:lvl>
    <w:lvl w:ilvl="2" w:tplc="C40A548C">
      <w:numFmt w:val="bullet"/>
      <w:lvlText w:val="•"/>
      <w:lvlJc w:val="left"/>
      <w:pPr>
        <w:ind w:left="683" w:hanging="159"/>
      </w:pPr>
      <w:rPr>
        <w:rFonts w:hint="default"/>
      </w:rPr>
    </w:lvl>
    <w:lvl w:ilvl="3" w:tplc="0A78E75A">
      <w:numFmt w:val="bullet"/>
      <w:lvlText w:val="•"/>
      <w:lvlJc w:val="left"/>
      <w:pPr>
        <w:ind w:left="895" w:hanging="159"/>
      </w:pPr>
      <w:rPr>
        <w:rFonts w:hint="default"/>
      </w:rPr>
    </w:lvl>
    <w:lvl w:ilvl="4" w:tplc="1C868C7A">
      <w:numFmt w:val="bullet"/>
      <w:lvlText w:val="•"/>
      <w:lvlJc w:val="left"/>
      <w:pPr>
        <w:ind w:left="1107" w:hanging="159"/>
      </w:pPr>
      <w:rPr>
        <w:rFonts w:hint="default"/>
      </w:rPr>
    </w:lvl>
    <w:lvl w:ilvl="5" w:tplc="A7841F2A">
      <w:numFmt w:val="bullet"/>
      <w:lvlText w:val="•"/>
      <w:lvlJc w:val="left"/>
      <w:pPr>
        <w:ind w:left="1319" w:hanging="159"/>
      </w:pPr>
      <w:rPr>
        <w:rFonts w:hint="default"/>
      </w:rPr>
    </w:lvl>
    <w:lvl w:ilvl="6" w:tplc="D466DBBE">
      <w:numFmt w:val="bullet"/>
      <w:lvlText w:val="•"/>
      <w:lvlJc w:val="left"/>
      <w:pPr>
        <w:ind w:left="1531" w:hanging="159"/>
      </w:pPr>
      <w:rPr>
        <w:rFonts w:hint="default"/>
      </w:rPr>
    </w:lvl>
    <w:lvl w:ilvl="7" w:tplc="A00EE9D8">
      <w:numFmt w:val="bullet"/>
      <w:lvlText w:val="•"/>
      <w:lvlJc w:val="left"/>
      <w:pPr>
        <w:ind w:left="1742" w:hanging="159"/>
      </w:pPr>
      <w:rPr>
        <w:rFonts w:hint="default"/>
      </w:rPr>
    </w:lvl>
    <w:lvl w:ilvl="8" w:tplc="A33A734A">
      <w:numFmt w:val="bullet"/>
      <w:lvlText w:val="•"/>
      <w:lvlJc w:val="left"/>
      <w:pPr>
        <w:ind w:left="1954" w:hanging="159"/>
      </w:pPr>
      <w:rPr>
        <w:rFonts w:hint="default"/>
      </w:rPr>
    </w:lvl>
  </w:abstractNum>
  <w:abstractNum w:abstractNumId="2" w15:restartNumberingAfterBreak="0">
    <w:nsid w:val="0E8E1CAD"/>
    <w:multiLevelType w:val="hybridMultilevel"/>
    <w:tmpl w:val="B57615D0"/>
    <w:lvl w:ilvl="0" w:tplc="3A78611E">
      <w:numFmt w:val="bullet"/>
      <w:lvlText w:val=""/>
      <w:lvlJc w:val="left"/>
      <w:pPr>
        <w:ind w:left="261" w:hanging="159"/>
      </w:pPr>
      <w:rPr>
        <w:rFonts w:ascii="Symbol" w:eastAsia="Symbol" w:hAnsi="Symbol" w:cs="Symbol" w:hint="default"/>
        <w:color w:val="231F20"/>
        <w:w w:val="99"/>
        <w:sz w:val="20"/>
        <w:szCs w:val="20"/>
      </w:rPr>
    </w:lvl>
    <w:lvl w:ilvl="1" w:tplc="25209844">
      <w:numFmt w:val="bullet"/>
      <w:lvlText w:val="•"/>
      <w:lvlJc w:val="left"/>
      <w:pPr>
        <w:ind w:left="536" w:hanging="159"/>
      </w:pPr>
      <w:rPr>
        <w:rFonts w:hint="default"/>
      </w:rPr>
    </w:lvl>
    <w:lvl w:ilvl="2" w:tplc="F392B828">
      <w:numFmt w:val="bullet"/>
      <w:lvlText w:val="•"/>
      <w:lvlJc w:val="left"/>
      <w:pPr>
        <w:ind w:left="813" w:hanging="159"/>
      </w:pPr>
      <w:rPr>
        <w:rFonts w:hint="default"/>
      </w:rPr>
    </w:lvl>
    <w:lvl w:ilvl="3" w:tplc="82AC699A">
      <w:numFmt w:val="bullet"/>
      <w:lvlText w:val="•"/>
      <w:lvlJc w:val="left"/>
      <w:pPr>
        <w:ind w:left="1090" w:hanging="159"/>
      </w:pPr>
      <w:rPr>
        <w:rFonts w:hint="default"/>
      </w:rPr>
    </w:lvl>
    <w:lvl w:ilvl="4" w:tplc="B43C05C0">
      <w:numFmt w:val="bullet"/>
      <w:lvlText w:val="•"/>
      <w:lvlJc w:val="left"/>
      <w:pPr>
        <w:ind w:left="1367" w:hanging="159"/>
      </w:pPr>
      <w:rPr>
        <w:rFonts w:hint="default"/>
      </w:rPr>
    </w:lvl>
    <w:lvl w:ilvl="5" w:tplc="17D0E942">
      <w:numFmt w:val="bullet"/>
      <w:lvlText w:val="•"/>
      <w:lvlJc w:val="left"/>
      <w:pPr>
        <w:ind w:left="1643" w:hanging="159"/>
      </w:pPr>
      <w:rPr>
        <w:rFonts w:hint="default"/>
      </w:rPr>
    </w:lvl>
    <w:lvl w:ilvl="6" w:tplc="405094DA">
      <w:numFmt w:val="bullet"/>
      <w:lvlText w:val="•"/>
      <w:lvlJc w:val="left"/>
      <w:pPr>
        <w:ind w:left="1920" w:hanging="159"/>
      </w:pPr>
      <w:rPr>
        <w:rFonts w:hint="default"/>
      </w:rPr>
    </w:lvl>
    <w:lvl w:ilvl="7" w:tplc="150A7226">
      <w:numFmt w:val="bullet"/>
      <w:lvlText w:val="•"/>
      <w:lvlJc w:val="left"/>
      <w:pPr>
        <w:ind w:left="2197" w:hanging="159"/>
      </w:pPr>
      <w:rPr>
        <w:rFonts w:hint="default"/>
      </w:rPr>
    </w:lvl>
    <w:lvl w:ilvl="8" w:tplc="7534BF74">
      <w:numFmt w:val="bullet"/>
      <w:lvlText w:val="•"/>
      <w:lvlJc w:val="left"/>
      <w:pPr>
        <w:ind w:left="2474" w:hanging="159"/>
      </w:pPr>
      <w:rPr>
        <w:rFonts w:hint="default"/>
      </w:rPr>
    </w:lvl>
  </w:abstractNum>
  <w:abstractNum w:abstractNumId="3" w15:restartNumberingAfterBreak="0">
    <w:nsid w:val="2CC4082B"/>
    <w:multiLevelType w:val="hybridMultilevel"/>
    <w:tmpl w:val="02A8608E"/>
    <w:lvl w:ilvl="0" w:tplc="96F0F6E0">
      <w:start w:val="1"/>
      <w:numFmt w:val="decimal"/>
      <w:lvlText w:val="%1."/>
      <w:lvlJc w:val="left"/>
      <w:pPr>
        <w:ind w:left="3240" w:hanging="288"/>
        <w:jc w:val="left"/>
      </w:pPr>
      <w:rPr>
        <w:rFonts w:ascii="Arial" w:eastAsia="Arial" w:hAnsi="Arial" w:cs="Arial" w:hint="default"/>
        <w:color w:val="231F20"/>
        <w:spacing w:val="-1"/>
        <w:w w:val="99"/>
        <w:sz w:val="20"/>
        <w:szCs w:val="20"/>
      </w:rPr>
    </w:lvl>
    <w:lvl w:ilvl="1" w:tplc="97AE78D4">
      <w:numFmt w:val="bullet"/>
      <w:lvlText w:val="•"/>
      <w:lvlJc w:val="left"/>
      <w:pPr>
        <w:ind w:left="3928" w:hanging="288"/>
      </w:pPr>
      <w:rPr>
        <w:rFonts w:hint="default"/>
      </w:rPr>
    </w:lvl>
    <w:lvl w:ilvl="2" w:tplc="DED641A0">
      <w:numFmt w:val="bullet"/>
      <w:lvlText w:val="•"/>
      <w:lvlJc w:val="left"/>
      <w:pPr>
        <w:ind w:left="4616" w:hanging="288"/>
      </w:pPr>
      <w:rPr>
        <w:rFonts w:hint="default"/>
      </w:rPr>
    </w:lvl>
    <w:lvl w:ilvl="3" w:tplc="1A70C186">
      <w:numFmt w:val="bullet"/>
      <w:lvlText w:val="•"/>
      <w:lvlJc w:val="left"/>
      <w:pPr>
        <w:ind w:left="5304" w:hanging="288"/>
      </w:pPr>
      <w:rPr>
        <w:rFonts w:hint="default"/>
      </w:rPr>
    </w:lvl>
    <w:lvl w:ilvl="4" w:tplc="B72CAA3A">
      <w:numFmt w:val="bullet"/>
      <w:lvlText w:val="•"/>
      <w:lvlJc w:val="left"/>
      <w:pPr>
        <w:ind w:left="5992" w:hanging="288"/>
      </w:pPr>
      <w:rPr>
        <w:rFonts w:hint="default"/>
      </w:rPr>
    </w:lvl>
    <w:lvl w:ilvl="5" w:tplc="EB62C8D8">
      <w:numFmt w:val="bullet"/>
      <w:lvlText w:val="•"/>
      <w:lvlJc w:val="left"/>
      <w:pPr>
        <w:ind w:left="6680" w:hanging="288"/>
      </w:pPr>
      <w:rPr>
        <w:rFonts w:hint="default"/>
      </w:rPr>
    </w:lvl>
    <w:lvl w:ilvl="6" w:tplc="B5C6DE98">
      <w:numFmt w:val="bullet"/>
      <w:lvlText w:val="•"/>
      <w:lvlJc w:val="left"/>
      <w:pPr>
        <w:ind w:left="7368" w:hanging="288"/>
      </w:pPr>
      <w:rPr>
        <w:rFonts w:hint="default"/>
      </w:rPr>
    </w:lvl>
    <w:lvl w:ilvl="7" w:tplc="2452D4E8">
      <w:numFmt w:val="bullet"/>
      <w:lvlText w:val="•"/>
      <w:lvlJc w:val="left"/>
      <w:pPr>
        <w:ind w:left="8056" w:hanging="288"/>
      </w:pPr>
      <w:rPr>
        <w:rFonts w:hint="default"/>
      </w:rPr>
    </w:lvl>
    <w:lvl w:ilvl="8" w:tplc="85DA5EF8">
      <w:numFmt w:val="bullet"/>
      <w:lvlText w:val="•"/>
      <w:lvlJc w:val="left"/>
      <w:pPr>
        <w:ind w:left="8744" w:hanging="288"/>
      </w:pPr>
      <w:rPr>
        <w:rFonts w:hint="default"/>
      </w:rPr>
    </w:lvl>
  </w:abstractNum>
  <w:abstractNum w:abstractNumId="4" w15:restartNumberingAfterBreak="0">
    <w:nsid w:val="2EEE1797"/>
    <w:multiLevelType w:val="hybridMultilevel"/>
    <w:tmpl w:val="51521BAA"/>
    <w:lvl w:ilvl="0" w:tplc="BB380D7A">
      <w:numFmt w:val="bullet"/>
      <w:lvlText w:val=""/>
      <w:lvlJc w:val="left"/>
      <w:pPr>
        <w:ind w:left="753" w:hanging="217"/>
      </w:pPr>
      <w:rPr>
        <w:rFonts w:ascii="Symbol" w:eastAsia="Symbol" w:hAnsi="Symbol" w:cs="Symbol" w:hint="default"/>
        <w:color w:val="231F20"/>
        <w:w w:val="99"/>
        <w:sz w:val="20"/>
        <w:szCs w:val="20"/>
      </w:rPr>
    </w:lvl>
    <w:lvl w:ilvl="1" w:tplc="48E85424">
      <w:numFmt w:val="bullet"/>
      <w:lvlText w:val=""/>
      <w:lvlJc w:val="left"/>
      <w:pPr>
        <w:ind w:left="2638" w:hanging="217"/>
      </w:pPr>
      <w:rPr>
        <w:rFonts w:ascii="Symbol" w:eastAsia="Symbol" w:hAnsi="Symbol" w:cs="Symbol" w:hint="default"/>
        <w:color w:val="231F20"/>
        <w:w w:val="99"/>
        <w:sz w:val="20"/>
        <w:szCs w:val="20"/>
      </w:rPr>
    </w:lvl>
    <w:lvl w:ilvl="2" w:tplc="72DE4D8C">
      <w:numFmt w:val="bullet"/>
      <w:lvlText w:val="•"/>
      <w:lvlJc w:val="left"/>
      <w:pPr>
        <w:ind w:left="3196" w:hanging="217"/>
      </w:pPr>
      <w:rPr>
        <w:rFonts w:hint="default"/>
      </w:rPr>
    </w:lvl>
    <w:lvl w:ilvl="3" w:tplc="51BE3FEE">
      <w:numFmt w:val="bullet"/>
      <w:lvlText w:val="•"/>
      <w:lvlJc w:val="left"/>
      <w:pPr>
        <w:ind w:left="3753" w:hanging="217"/>
      </w:pPr>
      <w:rPr>
        <w:rFonts w:hint="default"/>
      </w:rPr>
    </w:lvl>
    <w:lvl w:ilvl="4" w:tplc="09B26508">
      <w:numFmt w:val="bullet"/>
      <w:lvlText w:val="•"/>
      <w:lvlJc w:val="left"/>
      <w:pPr>
        <w:ind w:left="4309" w:hanging="217"/>
      </w:pPr>
      <w:rPr>
        <w:rFonts w:hint="default"/>
      </w:rPr>
    </w:lvl>
    <w:lvl w:ilvl="5" w:tplc="4802FD1E">
      <w:numFmt w:val="bullet"/>
      <w:lvlText w:val="•"/>
      <w:lvlJc w:val="left"/>
      <w:pPr>
        <w:ind w:left="4866" w:hanging="217"/>
      </w:pPr>
      <w:rPr>
        <w:rFonts w:hint="default"/>
      </w:rPr>
    </w:lvl>
    <w:lvl w:ilvl="6" w:tplc="0F4072B8">
      <w:numFmt w:val="bullet"/>
      <w:lvlText w:val="•"/>
      <w:lvlJc w:val="left"/>
      <w:pPr>
        <w:ind w:left="5422" w:hanging="217"/>
      </w:pPr>
      <w:rPr>
        <w:rFonts w:hint="default"/>
      </w:rPr>
    </w:lvl>
    <w:lvl w:ilvl="7" w:tplc="5F3AC076">
      <w:numFmt w:val="bullet"/>
      <w:lvlText w:val="•"/>
      <w:lvlJc w:val="left"/>
      <w:pPr>
        <w:ind w:left="5979" w:hanging="217"/>
      </w:pPr>
      <w:rPr>
        <w:rFonts w:hint="default"/>
      </w:rPr>
    </w:lvl>
    <w:lvl w:ilvl="8" w:tplc="0CF0A86A">
      <w:numFmt w:val="bullet"/>
      <w:lvlText w:val="•"/>
      <w:lvlJc w:val="left"/>
      <w:pPr>
        <w:ind w:left="6536" w:hanging="217"/>
      </w:pPr>
      <w:rPr>
        <w:rFonts w:hint="default"/>
      </w:rPr>
    </w:lvl>
  </w:abstractNum>
  <w:abstractNum w:abstractNumId="5" w15:restartNumberingAfterBreak="0">
    <w:nsid w:val="2FCE3AE9"/>
    <w:multiLevelType w:val="hybridMultilevel"/>
    <w:tmpl w:val="59FEE65E"/>
    <w:lvl w:ilvl="0" w:tplc="5C8A7E7C">
      <w:numFmt w:val="bullet"/>
      <w:lvlText w:val=""/>
      <w:lvlJc w:val="left"/>
      <w:pPr>
        <w:ind w:left="261" w:hanging="159"/>
      </w:pPr>
      <w:rPr>
        <w:rFonts w:ascii="Symbol" w:eastAsia="Symbol" w:hAnsi="Symbol" w:cs="Symbol" w:hint="default"/>
        <w:color w:val="231F20"/>
        <w:w w:val="99"/>
        <w:sz w:val="20"/>
        <w:szCs w:val="20"/>
      </w:rPr>
    </w:lvl>
    <w:lvl w:ilvl="1" w:tplc="B94E807C">
      <w:numFmt w:val="bullet"/>
      <w:lvlText w:val="•"/>
      <w:lvlJc w:val="left"/>
      <w:pPr>
        <w:ind w:left="536" w:hanging="159"/>
      </w:pPr>
      <w:rPr>
        <w:rFonts w:hint="default"/>
      </w:rPr>
    </w:lvl>
    <w:lvl w:ilvl="2" w:tplc="8C425F8A">
      <w:numFmt w:val="bullet"/>
      <w:lvlText w:val="•"/>
      <w:lvlJc w:val="left"/>
      <w:pPr>
        <w:ind w:left="813" w:hanging="159"/>
      </w:pPr>
      <w:rPr>
        <w:rFonts w:hint="default"/>
      </w:rPr>
    </w:lvl>
    <w:lvl w:ilvl="3" w:tplc="9AAA0160">
      <w:numFmt w:val="bullet"/>
      <w:lvlText w:val="•"/>
      <w:lvlJc w:val="left"/>
      <w:pPr>
        <w:ind w:left="1090" w:hanging="159"/>
      </w:pPr>
      <w:rPr>
        <w:rFonts w:hint="default"/>
      </w:rPr>
    </w:lvl>
    <w:lvl w:ilvl="4" w:tplc="381AB540">
      <w:numFmt w:val="bullet"/>
      <w:lvlText w:val="•"/>
      <w:lvlJc w:val="left"/>
      <w:pPr>
        <w:ind w:left="1367" w:hanging="159"/>
      </w:pPr>
      <w:rPr>
        <w:rFonts w:hint="default"/>
      </w:rPr>
    </w:lvl>
    <w:lvl w:ilvl="5" w:tplc="0FA6B9A0">
      <w:numFmt w:val="bullet"/>
      <w:lvlText w:val="•"/>
      <w:lvlJc w:val="left"/>
      <w:pPr>
        <w:ind w:left="1643" w:hanging="159"/>
      </w:pPr>
      <w:rPr>
        <w:rFonts w:hint="default"/>
      </w:rPr>
    </w:lvl>
    <w:lvl w:ilvl="6" w:tplc="9E3868FA">
      <w:numFmt w:val="bullet"/>
      <w:lvlText w:val="•"/>
      <w:lvlJc w:val="left"/>
      <w:pPr>
        <w:ind w:left="1920" w:hanging="159"/>
      </w:pPr>
      <w:rPr>
        <w:rFonts w:hint="default"/>
      </w:rPr>
    </w:lvl>
    <w:lvl w:ilvl="7" w:tplc="CB424A7C">
      <w:numFmt w:val="bullet"/>
      <w:lvlText w:val="•"/>
      <w:lvlJc w:val="left"/>
      <w:pPr>
        <w:ind w:left="2197" w:hanging="159"/>
      </w:pPr>
      <w:rPr>
        <w:rFonts w:hint="default"/>
      </w:rPr>
    </w:lvl>
    <w:lvl w:ilvl="8" w:tplc="ED6497BA">
      <w:numFmt w:val="bullet"/>
      <w:lvlText w:val="•"/>
      <w:lvlJc w:val="left"/>
      <w:pPr>
        <w:ind w:left="2474" w:hanging="159"/>
      </w:pPr>
      <w:rPr>
        <w:rFonts w:hint="default"/>
      </w:rPr>
    </w:lvl>
  </w:abstractNum>
  <w:abstractNum w:abstractNumId="6" w15:restartNumberingAfterBreak="0">
    <w:nsid w:val="334A5FE5"/>
    <w:multiLevelType w:val="hybridMultilevel"/>
    <w:tmpl w:val="35D497D8"/>
    <w:lvl w:ilvl="0" w:tplc="A31A98F0">
      <w:numFmt w:val="bullet"/>
      <w:lvlText w:val=""/>
      <w:lvlJc w:val="left"/>
      <w:pPr>
        <w:ind w:left="261" w:hanging="159"/>
      </w:pPr>
      <w:rPr>
        <w:rFonts w:ascii="Symbol" w:eastAsia="Symbol" w:hAnsi="Symbol" w:cs="Symbol" w:hint="default"/>
        <w:color w:val="231F20"/>
        <w:w w:val="99"/>
        <w:sz w:val="20"/>
        <w:szCs w:val="20"/>
      </w:rPr>
    </w:lvl>
    <w:lvl w:ilvl="1" w:tplc="A796AA80">
      <w:numFmt w:val="bullet"/>
      <w:lvlText w:val="•"/>
      <w:lvlJc w:val="left"/>
      <w:pPr>
        <w:ind w:left="536" w:hanging="159"/>
      </w:pPr>
      <w:rPr>
        <w:rFonts w:hint="default"/>
      </w:rPr>
    </w:lvl>
    <w:lvl w:ilvl="2" w:tplc="89AE4480">
      <w:numFmt w:val="bullet"/>
      <w:lvlText w:val="•"/>
      <w:lvlJc w:val="left"/>
      <w:pPr>
        <w:ind w:left="813" w:hanging="159"/>
      </w:pPr>
      <w:rPr>
        <w:rFonts w:hint="default"/>
      </w:rPr>
    </w:lvl>
    <w:lvl w:ilvl="3" w:tplc="313EA824">
      <w:numFmt w:val="bullet"/>
      <w:lvlText w:val="•"/>
      <w:lvlJc w:val="left"/>
      <w:pPr>
        <w:ind w:left="1090" w:hanging="159"/>
      </w:pPr>
      <w:rPr>
        <w:rFonts w:hint="default"/>
      </w:rPr>
    </w:lvl>
    <w:lvl w:ilvl="4" w:tplc="191E131C">
      <w:numFmt w:val="bullet"/>
      <w:lvlText w:val="•"/>
      <w:lvlJc w:val="left"/>
      <w:pPr>
        <w:ind w:left="1367" w:hanging="159"/>
      </w:pPr>
      <w:rPr>
        <w:rFonts w:hint="default"/>
      </w:rPr>
    </w:lvl>
    <w:lvl w:ilvl="5" w:tplc="8FEE406E">
      <w:numFmt w:val="bullet"/>
      <w:lvlText w:val="•"/>
      <w:lvlJc w:val="left"/>
      <w:pPr>
        <w:ind w:left="1643" w:hanging="159"/>
      </w:pPr>
      <w:rPr>
        <w:rFonts w:hint="default"/>
      </w:rPr>
    </w:lvl>
    <w:lvl w:ilvl="6" w:tplc="44A60E52">
      <w:numFmt w:val="bullet"/>
      <w:lvlText w:val="•"/>
      <w:lvlJc w:val="left"/>
      <w:pPr>
        <w:ind w:left="1920" w:hanging="159"/>
      </w:pPr>
      <w:rPr>
        <w:rFonts w:hint="default"/>
      </w:rPr>
    </w:lvl>
    <w:lvl w:ilvl="7" w:tplc="C30AE48E">
      <w:numFmt w:val="bullet"/>
      <w:lvlText w:val="•"/>
      <w:lvlJc w:val="left"/>
      <w:pPr>
        <w:ind w:left="2197" w:hanging="159"/>
      </w:pPr>
      <w:rPr>
        <w:rFonts w:hint="default"/>
      </w:rPr>
    </w:lvl>
    <w:lvl w:ilvl="8" w:tplc="E0642172">
      <w:numFmt w:val="bullet"/>
      <w:lvlText w:val="•"/>
      <w:lvlJc w:val="left"/>
      <w:pPr>
        <w:ind w:left="2474" w:hanging="159"/>
      </w:pPr>
      <w:rPr>
        <w:rFonts w:hint="default"/>
      </w:rPr>
    </w:lvl>
  </w:abstractNum>
  <w:abstractNum w:abstractNumId="7" w15:restartNumberingAfterBreak="0">
    <w:nsid w:val="412B51CA"/>
    <w:multiLevelType w:val="hybridMultilevel"/>
    <w:tmpl w:val="FEEE746C"/>
    <w:lvl w:ilvl="0" w:tplc="DAE8702A">
      <w:numFmt w:val="bullet"/>
      <w:lvlText w:val=""/>
      <w:lvlJc w:val="left"/>
      <w:pPr>
        <w:ind w:left="261" w:hanging="159"/>
      </w:pPr>
      <w:rPr>
        <w:rFonts w:ascii="Symbol" w:eastAsia="Symbol" w:hAnsi="Symbol" w:cs="Symbol" w:hint="default"/>
        <w:color w:val="231F20"/>
        <w:w w:val="99"/>
        <w:sz w:val="20"/>
        <w:szCs w:val="20"/>
      </w:rPr>
    </w:lvl>
    <w:lvl w:ilvl="1" w:tplc="557C0778">
      <w:numFmt w:val="bullet"/>
      <w:lvlText w:val="•"/>
      <w:lvlJc w:val="left"/>
      <w:pPr>
        <w:ind w:left="536" w:hanging="159"/>
      </w:pPr>
      <w:rPr>
        <w:rFonts w:hint="default"/>
      </w:rPr>
    </w:lvl>
    <w:lvl w:ilvl="2" w:tplc="E75C405A">
      <w:numFmt w:val="bullet"/>
      <w:lvlText w:val="•"/>
      <w:lvlJc w:val="left"/>
      <w:pPr>
        <w:ind w:left="813" w:hanging="159"/>
      </w:pPr>
      <w:rPr>
        <w:rFonts w:hint="default"/>
      </w:rPr>
    </w:lvl>
    <w:lvl w:ilvl="3" w:tplc="2DFEE23C">
      <w:numFmt w:val="bullet"/>
      <w:lvlText w:val="•"/>
      <w:lvlJc w:val="left"/>
      <w:pPr>
        <w:ind w:left="1090" w:hanging="159"/>
      </w:pPr>
      <w:rPr>
        <w:rFonts w:hint="default"/>
      </w:rPr>
    </w:lvl>
    <w:lvl w:ilvl="4" w:tplc="D38C5792">
      <w:numFmt w:val="bullet"/>
      <w:lvlText w:val="•"/>
      <w:lvlJc w:val="left"/>
      <w:pPr>
        <w:ind w:left="1367" w:hanging="159"/>
      </w:pPr>
      <w:rPr>
        <w:rFonts w:hint="default"/>
      </w:rPr>
    </w:lvl>
    <w:lvl w:ilvl="5" w:tplc="D01A0DD8">
      <w:numFmt w:val="bullet"/>
      <w:lvlText w:val="•"/>
      <w:lvlJc w:val="left"/>
      <w:pPr>
        <w:ind w:left="1643" w:hanging="159"/>
      </w:pPr>
      <w:rPr>
        <w:rFonts w:hint="default"/>
      </w:rPr>
    </w:lvl>
    <w:lvl w:ilvl="6" w:tplc="7A6A9B02">
      <w:numFmt w:val="bullet"/>
      <w:lvlText w:val="•"/>
      <w:lvlJc w:val="left"/>
      <w:pPr>
        <w:ind w:left="1920" w:hanging="159"/>
      </w:pPr>
      <w:rPr>
        <w:rFonts w:hint="default"/>
      </w:rPr>
    </w:lvl>
    <w:lvl w:ilvl="7" w:tplc="3FFC1D62">
      <w:numFmt w:val="bullet"/>
      <w:lvlText w:val="•"/>
      <w:lvlJc w:val="left"/>
      <w:pPr>
        <w:ind w:left="2197" w:hanging="159"/>
      </w:pPr>
      <w:rPr>
        <w:rFonts w:hint="default"/>
      </w:rPr>
    </w:lvl>
    <w:lvl w:ilvl="8" w:tplc="94E0E43A">
      <w:numFmt w:val="bullet"/>
      <w:lvlText w:val="•"/>
      <w:lvlJc w:val="left"/>
      <w:pPr>
        <w:ind w:left="2474" w:hanging="159"/>
      </w:pPr>
      <w:rPr>
        <w:rFonts w:hint="default"/>
      </w:rPr>
    </w:lvl>
  </w:abstractNum>
  <w:abstractNum w:abstractNumId="8" w15:restartNumberingAfterBreak="0">
    <w:nsid w:val="41D00987"/>
    <w:multiLevelType w:val="hybridMultilevel"/>
    <w:tmpl w:val="5D62FC96"/>
    <w:lvl w:ilvl="0" w:tplc="C616B8C8">
      <w:numFmt w:val="bullet"/>
      <w:lvlText w:val=""/>
      <w:lvlJc w:val="left"/>
      <w:pPr>
        <w:ind w:left="261" w:hanging="159"/>
      </w:pPr>
      <w:rPr>
        <w:rFonts w:ascii="Symbol" w:eastAsia="Symbol" w:hAnsi="Symbol" w:cs="Symbol" w:hint="default"/>
        <w:color w:val="231F20"/>
        <w:w w:val="99"/>
        <w:sz w:val="20"/>
        <w:szCs w:val="20"/>
      </w:rPr>
    </w:lvl>
    <w:lvl w:ilvl="1" w:tplc="61C63E18">
      <w:numFmt w:val="bullet"/>
      <w:lvlText w:val="•"/>
      <w:lvlJc w:val="left"/>
      <w:pPr>
        <w:ind w:left="536" w:hanging="159"/>
      </w:pPr>
      <w:rPr>
        <w:rFonts w:hint="default"/>
      </w:rPr>
    </w:lvl>
    <w:lvl w:ilvl="2" w:tplc="B0623544">
      <w:numFmt w:val="bullet"/>
      <w:lvlText w:val="•"/>
      <w:lvlJc w:val="left"/>
      <w:pPr>
        <w:ind w:left="813" w:hanging="159"/>
      </w:pPr>
      <w:rPr>
        <w:rFonts w:hint="default"/>
      </w:rPr>
    </w:lvl>
    <w:lvl w:ilvl="3" w:tplc="DB6E93AA">
      <w:numFmt w:val="bullet"/>
      <w:lvlText w:val="•"/>
      <w:lvlJc w:val="left"/>
      <w:pPr>
        <w:ind w:left="1090" w:hanging="159"/>
      </w:pPr>
      <w:rPr>
        <w:rFonts w:hint="default"/>
      </w:rPr>
    </w:lvl>
    <w:lvl w:ilvl="4" w:tplc="63C60D8A">
      <w:numFmt w:val="bullet"/>
      <w:lvlText w:val="•"/>
      <w:lvlJc w:val="left"/>
      <w:pPr>
        <w:ind w:left="1367" w:hanging="159"/>
      </w:pPr>
      <w:rPr>
        <w:rFonts w:hint="default"/>
      </w:rPr>
    </w:lvl>
    <w:lvl w:ilvl="5" w:tplc="B100000C">
      <w:numFmt w:val="bullet"/>
      <w:lvlText w:val="•"/>
      <w:lvlJc w:val="left"/>
      <w:pPr>
        <w:ind w:left="1643" w:hanging="159"/>
      </w:pPr>
      <w:rPr>
        <w:rFonts w:hint="default"/>
      </w:rPr>
    </w:lvl>
    <w:lvl w:ilvl="6" w:tplc="0512D36A">
      <w:numFmt w:val="bullet"/>
      <w:lvlText w:val="•"/>
      <w:lvlJc w:val="left"/>
      <w:pPr>
        <w:ind w:left="1920" w:hanging="159"/>
      </w:pPr>
      <w:rPr>
        <w:rFonts w:hint="default"/>
      </w:rPr>
    </w:lvl>
    <w:lvl w:ilvl="7" w:tplc="2362D554">
      <w:numFmt w:val="bullet"/>
      <w:lvlText w:val="•"/>
      <w:lvlJc w:val="left"/>
      <w:pPr>
        <w:ind w:left="2197" w:hanging="159"/>
      </w:pPr>
      <w:rPr>
        <w:rFonts w:hint="default"/>
      </w:rPr>
    </w:lvl>
    <w:lvl w:ilvl="8" w:tplc="83A606AA">
      <w:numFmt w:val="bullet"/>
      <w:lvlText w:val="•"/>
      <w:lvlJc w:val="left"/>
      <w:pPr>
        <w:ind w:left="2474" w:hanging="159"/>
      </w:pPr>
      <w:rPr>
        <w:rFonts w:hint="default"/>
      </w:rPr>
    </w:lvl>
  </w:abstractNum>
  <w:abstractNum w:abstractNumId="9" w15:restartNumberingAfterBreak="0">
    <w:nsid w:val="45743671"/>
    <w:multiLevelType w:val="hybridMultilevel"/>
    <w:tmpl w:val="8D183E76"/>
    <w:lvl w:ilvl="0" w:tplc="C906A85A">
      <w:numFmt w:val="bullet"/>
      <w:lvlText w:val=""/>
      <w:lvlJc w:val="left"/>
      <w:pPr>
        <w:ind w:left="261" w:hanging="159"/>
      </w:pPr>
      <w:rPr>
        <w:rFonts w:ascii="Symbol" w:eastAsia="Symbol" w:hAnsi="Symbol" w:cs="Symbol" w:hint="default"/>
        <w:color w:val="231F20"/>
        <w:w w:val="99"/>
        <w:sz w:val="20"/>
        <w:szCs w:val="20"/>
      </w:rPr>
    </w:lvl>
    <w:lvl w:ilvl="1" w:tplc="1FD0B67E">
      <w:numFmt w:val="bullet"/>
      <w:lvlText w:val="•"/>
      <w:lvlJc w:val="left"/>
      <w:pPr>
        <w:ind w:left="536" w:hanging="159"/>
      </w:pPr>
      <w:rPr>
        <w:rFonts w:hint="default"/>
      </w:rPr>
    </w:lvl>
    <w:lvl w:ilvl="2" w:tplc="767E343C">
      <w:numFmt w:val="bullet"/>
      <w:lvlText w:val="•"/>
      <w:lvlJc w:val="left"/>
      <w:pPr>
        <w:ind w:left="813" w:hanging="159"/>
      </w:pPr>
      <w:rPr>
        <w:rFonts w:hint="default"/>
      </w:rPr>
    </w:lvl>
    <w:lvl w:ilvl="3" w:tplc="64D257C2">
      <w:numFmt w:val="bullet"/>
      <w:lvlText w:val="•"/>
      <w:lvlJc w:val="left"/>
      <w:pPr>
        <w:ind w:left="1090" w:hanging="159"/>
      </w:pPr>
      <w:rPr>
        <w:rFonts w:hint="default"/>
      </w:rPr>
    </w:lvl>
    <w:lvl w:ilvl="4" w:tplc="206292AE">
      <w:numFmt w:val="bullet"/>
      <w:lvlText w:val="•"/>
      <w:lvlJc w:val="left"/>
      <w:pPr>
        <w:ind w:left="1367" w:hanging="159"/>
      </w:pPr>
      <w:rPr>
        <w:rFonts w:hint="default"/>
      </w:rPr>
    </w:lvl>
    <w:lvl w:ilvl="5" w:tplc="984E5C64">
      <w:numFmt w:val="bullet"/>
      <w:lvlText w:val="•"/>
      <w:lvlJc w:val="left"/>
      <w:pPr>
        <w:ind w:left="1643" w:hanging="159"/>
      </w:pPr>
      <w:rPr>
        <w:rFonts w:hint="default"/>
      </w:rPr>
    </w:lvl>
    <w:lvl w:ilvl="6" w:tplc="D478B2AE">
      <w:numFmt w:val="bullet"/>
      <w:lvlText w:val="•"/>
      <w:lvlJc w:val="left"/>
      <w:pPr>
        <w:ind w:left="1920" w:hanging="159"/>
      </w:pPr>
      <w:rPr>
        <w:rFonts w:hint="default"/>
      </w:rPr>
    </w:lvl>
    <w:lvl w:ilvl="7" w:tplc="6D6AD958">
      <w:numFmt w:val="bullet"/>
      <w:lvlText w:val="•"/>
      <w:lvlJc w:val="left"/>
      <w:pPr>
        <w:ind w:left="2197" w:hanging="159"/>
      </w:pPr>
      <w:rPr>
        <w:rFonts w:hint="default"/>
      </w:rPr>
    </w:lvl>
    <w:lvl w:ilvl="8" w:tplc="A590EF94">
      <w:numFmt w:val="bullet"/>
      <w:lvlText w:val="•"/>
      <w:lvlJc w:val="left"/>
      <w:pPr>
        <w:ind w:left="2474" w:hanging="159"/>
      </w:pPr>
      <w:rPr>
        <w:rFonts w:hint="default"/>
      </w:rPr>
    </w:lvl>
  </w:abstractNum>
  <w:abstractNum w:abstractNumId="10" w15:restartNumberingAfterBreak="0">
    <w:nsid w:val="51091085"/>
    <w:multiLevelType w:val="hybridMultilevel"/>
    <w:tmpl w:val="D9A2C7D0"/>
    <w:lvl w:ilvl="0" w:tplc="EE501DD8">
      <w:numFmt w:val="bullet"/>
      <w:lvlText w:val=""/>
      <w:lvlJc w:val="left"/>
      <w:pPr>
        <w:ind w:left="261" w:hanging="159"/>
      </w:pPr>
      <w:rPr>
        <w:rFonts w:ascii="Symbol" w:eastAsia="Symbol" w:hAnsi="Symbol" w:cs="Symbol" w:hint="default"/>
        <w:color w:val="231F20"/>
        <w:w w:val="99"/>
        <w:sz w:val="20"/>
        <w:szCs w:val="20"/>
      </w:rPr>
    </w:lvl>
    <w:lvl w:ilvl="1" w:tplc="533A37A8">
      <w:numFmt w:val="bullet"/>
      <w:lvlText w:val="•"/>
      <w:lvlJc w:val="left"/>
      <w:pPr>
        <w:ind w:left="536" w:hanging="159"/>
      </w:pPr>
      <w:rPr>
        <w:rFonts w:hint="default"/>
      </w:rPr>
    </w:lvl>
    <w:lvl w:ilvl="2" w:tplc="87D80092">
      <w:numFmt w:val="bullet"/>
      <w:lvlText w:val="•"/>
      <w:lvlJc w:val="left"/>
      <w:pPr>
        <w:ind w:left="813" w:hanging="159"/>
      </w:pPr>
      <w:rPr>
        <w:rFonts w:hint="default"/>
      </w:rPr>
    </w:lvl>
    <w:lvl w:ilvl="3" w:tplc="1E2E43AE">
      <w:numFmt w:val="bullet"/>
      <w:lvlText w:val="•"/>
      <w:lvlJc w:val="left"/>
      <w:pPr>
        <w:ind w:left="1090" w:hanging="159"/>
      </w:pPr>
      <w:rPr>
        <w:rFonts w:hint="default"/>
      </w:rPr>
    </w:lvl>
    <w:lvl w:ilvl="4" w:tplc="C5A84D1E">
      <w:numFmt w:val="bullet"/>
      <w:lvlText w:val="•"/>
      <w:lvlJc w:val="left"/>
      <w:pPr>
        <w:ind w:left="1367" w:hanging="159"/>
      </w:pPr>
      <w:rPr>
        <w:rFonts w:hint="default"/>
      </w:rPr>
    </w:lvl>
    <w:lvl w:ilvl="5" w:tplc="F1DE8DF4">
      <w:numFmt w:val="bullet"/>
      <w:lvlText w:val="•"/>
      <w:lvlJc w:val="left"/>
      <w:pPr>
        <w:ind w:left="1643" w:hanging="159"/>
      </w:pPr>
      <w:rPr>
        <w:rFonts w:hint="default"/>
      </w:rPr>
    </w:lvl>
    <w:lvl w:ilvl="6" w:tplc="5F720CDC">
      <w:numFmt w:val="bullet"/>
      <w:lvlText w:val="•"/>
      <w:lvlJc w:val="left"/>
      <w:pPr>
        <w:ind w:left="1920" w:hanging="159"/>
      </w:pPr>
      <w:rPr>
        <w:rFonts w:hint="default"/>
      </w:rPr>
    </w:lvl>
    <w:lvl w:ilvl="7" w:tplc="C4EAEBE8">
      <w:numFmt w:val="bullet"/>
      <w:lvlText w:val="•"/>
      <w:lvlJc w:val="left"/>
      <w:pPr>
        <w:ind w:left="2197" w:hanging="159"/>
      </w:pPr>
      <w:rPr>
        <w:rFonts w:hint="default"/>
      </w:rPr>
    </w:lvl>
    <w:lvl w:ilvl="8" w:tplc="BB040162">
      <w:numFmt w:val="bullet"/>
      <w:lvlText w:val="•"/>
      <w:lvlJc w:val="left"/>
      <w:pPr>
        <w:ind w:left="2474" w:hanging="159"/>
      </w:pPr>
      <w:rPr>
        <w:rFonts w:hint="default"/>
      </w:rPr>
    </w:lvl>
  </w:abstractNum>
  <w:abstractNum w:abstractNumId="11" w15:restartNumberingAfterBreak="0">
    <w:nsid w:val="71981F14"/>
    <w:multiLevelType w:val="hybridMultilevel"/>
    <w:tmpl w:val="17509A86"/>
    <w:lvl w:ilvl="0" w:tplc="91586476">
      <w:numFmt w:val="bullet"/>
      <w:lvlText w:val=""/>
      <w:lvlJc w:val="left"/>
      <w:pPr>
        <w:ind w:left="261" w:hanging="159"/>
      </w:pPr>
      <w:rPr>
        <w:rFonts w:ascii="Symbol" w:eastAsia="Symbol" w:hAnsi="Symbol" w:cs="Symbol" w:hint="default"/>
        <w:color w:val="231F20"/>
        <w:w w:val="99"/>
        <w:sz w:val="20"/>
        <w:szCs w:val="20"/>
      </w:rPr>
    </w:lvl>
    <w:lvl w:ilvl="1" w:tplc="67A80914">
      <w:numFmt w:val="bullet"/>
      <w:lvlText w:val="•"/>
      <w:lvlJc w:val="left"/>
      <w:pPr>
        <w:ind w:left="536" w:hanging="159"/>
      </w:pPr>
      <w:rPr>
        <w:rFonts w:hint="default"/>
      </w:rPr>
    </w:lvl>
    <w:lvl w:ilvl="2" w:tplc="9FDC64D8">
      <w:numFmt w:val="bullet"/>
      <w:lvlText w:val="•"/>
      <w:lvlJc w:val="left"/>
      <w:pPr>
        <w:ind w:left="813" w:hanging="159"/>
      </w:pPr>
      <w:rPr>
        <w:rFonts w:hint="default"/>
      </w:rPr>
    </w:lvl>
    <w:lvl w:ilvl="3" w:tplc="0B8C355E">
      <w:numFmt w:val="bullet"/>
      <w:lvlText w:val="•"/>
      <w:lvlJc w:val="left"/>
      <w:pPr>
        <w:ind w:left="1090" w:hanging="159"/>
      </w:pPr>
      <w:rPr>
        <w:rFonts w:hint="default"/>
      </w:rPr>
    </w:lvl>
    <w:lvl w:ilvl="4" w:tplc="B08C8512">
      <w:numFmt w:val="bullet"/>
      <w:lvlText w:val="•"/>
      <w:lvlJc w:val="left"/>
      <w:pPr>
        <w:ind w:left="1367" w:hanging="159"/>
      </w:pPr>
      <w:rPr>
        <w:rFonts w:hint="default"/>
      </w:rPr>
    </w:lvl>
    <w:lvl w:ilvl="5" w:tplc="9E70B698">
      <w:numFmt w:val="bullet"/>
      <w:lvlText w:val="•"/>
      <w:lvlJc w:val="left"/>
      <w:pPr>
        <w:ind w:left="1643" w:hanging="159"/>
      </w:pPr>
      <w:rPr>
        <w:rFonts w:hint="default"/>
      </w:rPr>
    </w:lvl>
    <w:lvl w:ilvl="6" w:tplc="5366E5C6">
      <w:numFmt w:val="bullet"/>
      <w:lvlText w:val="•"/>
      <w:lvlJc w:val="left"/>
      <w:pPr>
        <w:ind w:left="1920" w:hanging="159"/>
      </w:pPr>
      <w:rPr>
        <w:rFonts w:hint="default"/>
      </w:rPr>
    </w:lvl>
    <w:lvl w:ilvl="7" w:tplc="8520BD76">
      <w:numFmt w:val="bullet"/>
      <w:lvlText w:val="•"/>
      <w:lvlJc w:val="left"/>
      <w:pPr>
        <w:ind w:left="2197" w:hanging="159"/>
      </w:pPr>
      <w:rPr>
        <w:rFonts w:hint="default"/>
      </w:rPr>
    </w:lvl>
    <w:lvl w:ilvl="8" w:tplc="DCB6B844">
      <w:numFmt w:val="bullet"/>
      <w:lvlText w:val="•"/>
      <w:lvlJc w:val="left"/>
      <w:pPr>
        <w:ind w:left="2474" w:hanging="159"/>
      </w:pPr>
      <w:rPr>
        <w:rFonts w:hint="default"/>
      </w:rPr>
    </w:lvl>
  </w:abstractNum>
  <w:abstractNum w:abstractNumId="12" w15:restartNumberingAfterBreak="0">
    <w:nsid w:val="720C14E4"/>
    <w:multiLevelType w:val="hybridMultilevel"/>
    <w:tmpl w:val="5DB8C24A"/>
    <w:lvl w:ilvl="0" w:tplc="290033F4">
      <w:numFmt w:val="bullet"/>
      <w:lvlText w:val=""/>
      <w:lvlJc w:val="left"/>
      <w:pPr>
        <w:ind w:left="416" w:hanging="217"/>
      </w:pPr>
      <w:rPr>
        <w:rFonts w:ascii="Symbol" w:eastAsia="Symbol" w:hAnsi="Symbol" w:cs="Symbol" w:hint="default"/>
        <w:color w:val="231F20"/>
        <w:w w:val="99"/>
        <w:sz w:val="20"/>
        <w:szCs w:val="20"/>
      </w:rPr>
    </w:lvl>
    <w:lvl w:ilvl="1" w:tplc="5E5A2372">
      <w:start w:val="1"/>
      <w:numFmt w:val="decimal"/>
      <w:lvlText w:val="%2."/>
      <w:lvlJc w:val="left"/>
      <w:pPr>
        <w:ind w:left="847" w:hanging="288"/>
        <w:jc w:val="left"/>
      </w:pPr>
      <w:rPr>
        <w:rFonts w:ascii="Arial" w:eastAsia="Arial" w:hAnsi="Arial" w:cs="Arial" w:hint="default"/>
        <w:color w:val="231F20"/>
        <w:spacing w:val="-1"/>
        <w:w w:val="99"/>
        <w:sz w:val="20"/>
        <w:szCs w:val="20"/>
      </w:rPr>
    </w:lvl>
    <w:lvl w:ilvl="2" w:tplc="39909B5C">
      <w:numFmt w:val="bullet"/>
      <w:lvlText w:val=""/>
      <w:lvlJc w:val="left"/>
      <w:pPr>
        <w:ind w:left="2952" w:hanging="216"/>
      </w:pPr>
      <w:rPr>
        <w:rFonts w:ascii="Symbol" w:eastAsia="Symbol" w:hAnsi="Symbol" w:cs="Symbol" w:hint="default"/>
        <w:color w:val="231F20"/>
        <w:w w:val="99"/>
        <w:sz w:val="20"/>
        <w:szCs w:val="20"/>
      </w:rPr>
    </w:lvl>
    <w:lvl w:ilvl="3" w:tplc="7E2CF654">
      <w:numFmt w:val="bullet"/>
      <w:lvlText w:val="•"/>
      <w:lvlJc w:val="left"/>
      <w:pPr>
        <w:ind w:left="3810" w:hanging="216"/>
      </w:pPr>
      <w:rPr>
        <w:rFonts w:hint="default"/>
      </w:rPr>
    </w:lvl>
    <w:lvl w:ilvl="4" w:tplc="8EE8F73A">
      <w:numFmt w:val="bullet"/>
      <w:lvlText w:val="•"/>
      <w:lvlJc w:val="left"/>
      <w:pPr>
        <w:ind w:left="4660" w:hanging="216"/>
      </w:pPr>
      <w:rPr>
        <w:rFonts w:hint="default"/>
      </w:rPr>
    </w:lvl>
    <w:lvl w:ilvl="5" w:tplc="FE0CBEE2">
      <w:numFmt w:val="bullet"/>
      <w:lvlText w:val="•"/>
      <w:lvlJc w:val="left"/>
      <w:pPr>
        <w:ind w:left="5510" w:hanging="216"/>
      </w:pPr>
      <w:rPr>
        <w:rFonts w:hint="default"/>
      </w:rPr>
    </w:lvl>
    <w:lvl w:ilvl="6" w:tplc="5CE8B138">
      <w:numFmt w:val="bullet"/>
      <w:lvlText w:val="•"/>
      <w:lvlJc w:val="left"/>
      <w:pPr>
        <w:ind w:left="6360" w:hanging="216"/>
      </w:pPr>
      <w:rPr>
        <w:rFonts w:hint="default"/>
      </w:rPr>
    </w:lvl>
    <w:lvl w:ilvl="7" w:tplc="516AAF68">
      <w:numFmt w:val="bullet"/>
      <w:lvlText w:val="•"/>
      <w:lvlJc w:val="left"/>
      <w:pPr>
        <w:ind w:left="7210" w:hanging="216"/>
      </w:pPr>
      <w:rPr>
        <w:rFonts w:hint="default"/>
      </w:rPr>
    </w:lvl>
    <w:lvl w:ilvl="8" w:tplc="AD4A7E22">
      <w:numFmt w:val="bullet"/>
      <w:lvlText w:val="•"/>
      <w:lvlJc w:val="left"/>
      <w:pPr>
        <w:ind w:left="8060" w:hanging="216"/>
      </w:pPr>
      <w:rPr>
        <w:rFonts w:hint="default"/>
      </w:rPr>
    </w:lvl>
  </w:abstractNum>
  <w:num w:numId="1">
    <w:abstractNumId w:val="2"/>
  </w:num>
  <w:num w:numId="2">
    <w:abstractNumId w:val="5"/>
  </w:num>
  <w:num w:numId="3">
    <w:abstractNumId w:val="6"/>
  </w:num>
  <w:num w:numId="4">
    <w:abstractNumId w:val="9"/>
  </w:num>
  <w:num w:numId="5">
    <w:abstractNumId w:val="10"/>
  </w:num>
  <w:num w:numId="6">
    <w:abstractNumId w:val="8"/>
  </w:num>
  <w:num w:numId="7">
    <w:abstractNumId w:val="11"/>
  </w:num>
  <w:num w:numId="8">
    <w:abstractNumId w:val="7"/>
  </w:num>
  <w:num w:numId="9">
    <w:abstractNumId w:val="0"/>
  </w:num>
  <w:num w:numId="10">
    <w:abstractNumId w:val="1"/>
  </w:num>
  <w:num w:numId="11">
    <w:abstractNumId w:val="4"/>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731CB"/>
    <w:rsid w:val="002731CB"/>
    <w:rsid w:val="00F3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9762C384-B882-480F-8E02-41757941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
      <w:ind w:left="43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9"/>
      <w:ind w:left="2952" w:hanging="216"/>
    </w:pPr>
  </w:style>
  <w:style w:type="paragraph" w:customStyle="1" w:styleId="TableParagraph">
    <w:name w:val="Table Paragraph"/>
    <w:basedOn w:val="Normal"/>
    <w:uiPriority w:val="1"/>
    <w:qFormat/>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1534</Words>
  <Characters>8577</Characters>
  <Application>Microsoft Office Word</Application>
  <DocSecurity>0</DocSecurity>
  <Lines>451</Lines>
  <Paragraphs>148</Paragraphs>
  <ScaleCrop>false</ScaleCrop>
  <Company>CMS</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 2018 FINAL SPECS.pdf</dc:title>
  <dc:creator>Judy Lacourciere</dc:creator>
  <cp:lastModifiedBy>Arthur Pignotti</cp:lastModifiedBy>
  <cp:revision>2</cp:revision>
  <dcterms:created xsi:type="dcterms:W3CDTF">2018-07-23T16:01:00Z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2018-02-09T00:00:00Z</vt:filetime>
  </property>
  <property fmtid="{D5CDD505-2E9C-101B-9397-08002B2CF9AE}" pid="3" name="Creator">
    <vt:lpwstr>Acrobat PDFMaker 11 for Word</vt:lpwstr>
  </property>
  <property fmtid="{D5CDD505-2E9C-101B-9397-08002B2CF9AE}" pid="4" name="LastSaved">
    <vt:filetime>2018-07-23T00:00:00Z</vt:filetime>
  </property>
</Properties>
</file>