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940" w:rsidRDefault="006D37CB">
      <w:pPr>
        <w:pStyle w:val="Heading1"/>
        <w:spacing w:before="37"/>
        <w:ind w:right="177"/>
      </w:pPr>
      <w:r>
        <w:t>We are writing in full support of CMS’ new strategies to tackle the overuse of opioids, which will help to reduce the health risks that these medications pose to Medicare beneficiaries.</w:t>
      </w:r>
    </w:p>
    <w:p w:rsidR="00EA2940" w:rsidRDefault="00EA2940">
      <w:pPr>
        <w:pStyle w:val="BodyText"/>
        <w:rPr>
          <w:sz w:val="22"/>
        </w:rPr>
      </w:pPr>
    </w:p>
    <w:p w:rsidR="00EA2940" w:rsidRDefault="006D37CB">
      <w:pPr>
        <w:ind w:left="100" w:right="92"/>
      </w:pPr>
      <w:r>
        <w:t>Specifically, both (1) implementation of formulary-level cumulative opioid restrictions to 90 morphine milligram equivalents (MME) per day with a 7 day supply and (2) a supply limit for initial opioid fills of 7 days with a daily dose maximum (e.g. 50 MME/</w:t>
      </w:r>
      <w:r>
        <w:t xml:space="preserve">day) would be important steps forward. As the 2016 Centers for Disease Control and Prevention Guideline for Prescribing Opioids for Chronic Pain (Dowell D, Haegerich TM, Chou R. </w:t>
      </w:r>
      <w:r>
        <w:rPr>
          <w:i/>
        </w:rPr>
        <w:t>JAMA</w:t>
      </w:r>
      <w:r>
        <w:t>. 2016;315(15):1624-1645) recommends carefully reassessing individual risk</w:t>
      </w:r>
      <w:r>
        <w:t>s and benefits for opioid prescriptions of 50 MME/day or more and to avoid increasing dosage to 90 MME/day or more (or to carefully justify such a decision), both of CMS’ proposed changes are consistent with these guidelines.</w:t>
      </w:r>
    </w:p>
    <w:p w:rsidR="00EA2940" w:rsidRDefault="00EA2940">
      <w:pPr>
        <w:pStyle w:val="BodyText"/>
        <w:spacing w:before="12"/>
        <w:rPr>
          <w:sz w:val="21"/>
        </w:rPr>
      </w:pPr>
    </w:p>
    <w:p w:rsidR="00EA2940" w:rsidRDefault="006D37CB">
      <w:pPr>
        <w:ind w:left="100" w:right="119"/>
      </w:pPr>
      <w:r>
        <w:t>We recently conducted a study</w:t>
      </w:r>
      <w:r>
        <w:t xml:space="preserve"> examining Medicare prescription drug formulary coverage of opioids in 2006, 2011, and 2015 (including both Medicare Advantage and stand-alone prescription drug plans). We found that while Part D formularies have increased restrictions through increased us</w:t>
      </w:r>
      <w:r>
        <w:t xml:space="preserve">e of quantity limits and prior authorization by 2015, a substantial number of Medicare prescription drug formularies continue to provide unrestrictive coverage to many opioids. Specifically, in examining 45 opioid drug- dose combinations in 2015, we found </w:t>
      </w:r>
      <w:r>
        <w:t>that a median 33.3% of formularies provided coverage without any restrictions (which means no prior authorization, no step therapy, and no quantity limits). While quantity limits were applied by a median 71.1% of Medicare prescription drug formularies in 2</w:t>
      </w:r>
      <w:r>
        <w:t>015, only 13.3% of quantity limits restricted opioid prescriptions to &lt;50 MME/day and only 24.4% restricted to between 50 and 90 MME/day.</w:t>
      </w:r>
    </w:p>
    <w:p w:rsidR="00EA2940" w:rsidRDefault="00EA2940">
      <w:pPr>
        <w:pStyle w:val="BodyText"/>
        <w:rPr>
          <w:sz w:val="22"/>
        </w:rPr>
      </w:pPr>
    </w:p>
    <w:p w:rsidR="00EA2940" w:rsidRDefault="006D37CB">
      <w:pPr>
        <w:ind w:left="100"/>
      </w:pPr>
      <w:r>
        <w:t>Our publication is attached below.</w:t>
      </w:r>
    </w:p>
    <w:p w:rsidR="00EA2940" w:rsidRDefault="00EA2940">
      <w:pPr>
        <w:pStyle w:val="BodyText"/>
        <w:spacing w:before="9"/>
        <w:rPr>
          <w:sz w:val="21"/>
        </w:rPr>
      </w:pPr>
    </w:p>
    <w:p w:rsidR="00EA2940" w:rsidRDefault="006D37CB">
      <w:pPr>
        <w:spacing w:before="1"/>
        <w:ind w:left="100" w:right="106"/>
      </w:pPr>
      <w:r>
        <w:t>These data show that formularies remain an important, although underutilized, lev</w:t>
      </w:r>
      <w:r>
        <w:t>er to improving safer prescribing of opioids for Medicare prescription drug beneficiaries. CMS’ proposed strategies represent an important step to using formulary utilization management tools to reduce opioid overuse and related harm. In addition, to compl</w:t>
      </w:r>
      <w:r>
        <w:t>ement these strategies, we also urge CMS to ensure that there is broad coverage of a spectrum of non-opioid analgesics as well as non-pharmacologic methods to achieve pain control for beneficiaries.</w:t>
      </w:r>
    </w:p>
    <w:p w:rsidR="00EA2940" w:rsidRDefault="00EA2940">
      <w:pPr>
        <w:pStyle w:val="BodyText"/>
        <w:rPr>
          <w:sz w:val="22"/>
        </w:rPr>
      </w:pPr>
    </w:p>
    <w:p w:rsidR="00EA2940" w:rsidRDefault="006D37CB">
      <w:pPr>
        <w:ind w:left="100"/>
      </w:pPr>
      <w:r>
        <w:t>Sanket S. Dhruva, MD, MHS</w:t>
      </w:r>
    </w:p>
    <w:p w:rsidR="00EA2940" w:rsidRDefault="006D37CB">
      <w:pPr>
        <w:ind w:left="100" w:right="3403"/>
      </w:pPr>
      <w:r>
        <w:t>Yale University and Veterans A</w:t>
      </w:r>
      <w:r>
        <w:t>ffairs Connecticut Healthcare System New Haven, Connecticut</w:t>
      </w:r>
    </w:p>
    <w:p w:rsidR="00EA2940" w:rsidRDefault="00EA2940">
      <w:pPr>
        <w:pStyle w:val="BodyText"/>
        <w:spacing w:before="10"/>
        <w:rPr>
          <w:sz w:val="21"/>
        </w:rPr>
      </w:pPr>
    </w:p>
    <w:p w:rsidR="00EA2940" w:rsidRDefault="006D37CB">
      <w:pPr>
        <w:ind w:left="100"/>
      </w:pPr>
      <w:r>
        <w:t>Elizabeth A. Samuels, MD, MPH</w:t>
      </w:r>
    </w:p>
    <w:p w:rsidR="00EA2940" w:rsidRDefault="006D37CB">
      <w:pPr>
        <w:ind w:left="100" w:right="1011"/>
      </w:pPr>
      <w:r>
        <w:t>Yale University, Yale New Haven Hospital, and Veterans Affairs Connecticut Healthcare System New Haven, Connecticut</w:t>
      </w:r>
    </w:p>
    <w:p w:rsidR="00EA2940" w:rsidRDefault="00EA2940">
      <w:pPr>
        <w:pStyle w:val="BodyText"/>
        <w:rPr>
          <w:sz w:val="22"/>
        </w:rPr>
      </w:pPr>
    </w:p>
    <w:p w:rsidR="00EA2940" w:rsidRDefault="006D37CB">
      <w:pPr>
        <w:spacing w:before="1"/>
        <w:ind w:left="100"/>
      </w:pPr>
      <w:r>
        <w:t>Joseph S. Ross, MD, MHS</w:t>
      </w:r>
    </w:p>
    <w:p w:rsidR="00EA2940" w:rsidRDefault="006D37CB">
      <w:pPr>
        <w:ind w:left="100"/>
      </w:pPr>
      <w:r>
        <w:t>Associate Professor of M</w:t>
      </w:r>
      <w:r>
        <w:t>edicine (General Internal Medicine), Yale School of Medicine</w:t>
      </w:r>
    </w:p>
    <w:p w:rsidR="00EA2940" w:rsidRDefault="006D37CB">
      <w:pPr>
        <w:ind w:left="100" w:right="664"/>
      </w:pPr>
      <w:r>
        <w:t>Associate Professor of Public Health (Health Policy and Management), Yale School of Public Health New Haven, Connecticut</w:t>
      </w:r>
    </w:p>
    <w:p w:rsidR="00EA2940" w:rsidRDefault="00EA2940">
      <w:pPr>
        <w:pStyle w:val="BodyText"/>
        <w:rPr>
          <w:sz w:val="20"/>
        </w:rPr>
      </w:pPr>
    </w:p>
    <w:p w:rsidR="00EA2940" w:rsidRDefault="00EA2940">
      <w:pPr>
        <w:pStyle w:val="BodyText"/>
        <w:rPr>
          <w:sz w:val="20"/>
        </w:rPr>
      </w:pPr>
    </w:p>
    <w:p w:rsidR="00EA2940" w:rsidRDefault="00EA2940">
      <w:pPr>
        <w:pStyle w:val="BodyText"/>
        <w:rPr>
          <w:sz w:val="20"/>
        </w:rPr>
      </w:pPr>
    </w:p>
    <w:p w:rsidR="00EA2940" w:rsidRDefault="00EA2940">
      <w:pPr>
        <w:pStyle w:val="BodyText"/>
        <w:rPr>
          <w:sz w:val="20"/>
        </w:rPr>
      </w:pPr>
    </w:p>
    <w:p w:rsidR="00EA2940" w:rsidRDefault="00EA2940">
      <w:pPr>
        <w:pStyle w:val="BodyText"/>
        <w:spacing w:before="11"/>
        <w:rPr>
          <w:sz w:val="23"/>
        </w:rPr>
      </w:pPr>
    </w:p>
    <w:p w:rsidR="00EA2940" w:rsidRDefault="006D37CB">
      <w:pPr>
        <w:spacing w:before="56"/>
        <w:ind w:left="3"/>
        <w:jc w:val="center"/>
      </w:pPr>
      <w:r>
        <w:t>1</w:t>
      </w:r>
    </w:p>
    <w:p w:rsidR="00EA2940" w:rsidRDefault="00EA2940">
      <w:pPr>
        <w:jc w:val="center"/>
        <w:sectPr w:rsidR="00EA2940">
          <w:type w:val="continuous"/>
          <w:pgSz w:w="12240" w:h="15840"/>
          <w:pgMar w:top="1400" w:right="1340" w:bottom="280" w:left="1340" w:header="720" w:footer="720" w:gutter="0"/>
          <w:cols w:space="720"/>
        </w:sectPr>
      </w:pPr>
    </w:p>
    <w:p w:rsidR="00EA2940" w:rsidRDefault="006D37CB">
      <w:pPr>
        <w:tabs>
          <w:tab w:val="left" w:pos="9484"/>
        </w:tabs>
        <w:spacing w:before="73"/>
        <w:ind w:left="790"/>
        <w:rPr>
          <w:rFonts w:ascii="Book Antiqua"/>
          <w:sz w:val="33"/>
        </w:rPr>
      </w:pPr>
      <w:r>
        <w:rPr>
          <w:rFonts w:ascii="Arial"/>
          <w:b/>
          <w:color w:val="008285"/>
          <w:spacing w:val="-11"/>
          <w:w w:val="95"/>
          <w:sz w:val="32"/>
        </w:rPr>
        <w:lastRenderedPageBreak/>
        <w:t>Annals</w:t>
      </w:r>
      <w:r>
        <w:rPr>
          <w:rFonts w:ascii="Arial"/>
          <w:b/>
          <w:color w:val="008285"/>
          <w:spacing w:val="-46"/>
          <w:w w:val="95"/>
          <w:sz w:val="32"/>
        </w:rPr>
        <w:t xml:space="preserve"> </w:t>
      </w:r>
      <w:r>
        <w:rPr>
          <w:rFonts w:ascii="Arial"/>
          <w:b/>
          <w:color w:val="008285"/>
          <w:spacing w:val="-7"/>
          <w:w w:val="95"/>
          <w:sz w:val="32"/>
        </w:rPr>
        <w:t>of</w:t>
      </w:r>
      <w:r>
        <w:rPr>
          <w:rFonts w:ascii="Arial"/>
          <w:b/>
          <w:color w:val="008285"/>
          <w:spacing w:val="-46"/>
          <w:w w:val="95"/>
          <w:sz w:val="32"/>
        </w:rPr>
        <w:t xml:space="preserve"> </w:t>
      </w:r>
      <w:r>
        <w:rPr>
          <w:rFonts w:ascii="Arial"/>
          <w:b/>
          <w:color w:val="008285"/>
          <w:spacing w:val="-12"/>
          <w:w w:val="95"/>
          <w:sz w:val="32"/>
        </w:rPr>
        <w:t>Internal</w:t>
      </w:r>
      <w:r>
        <w:rPr>
          <w:rFonts w:ascii="Arial"/>
          <w:b/>
          <w:color w:val="008285"/>
          <w:spacing w:val="-46"/>
          <w:w w:val="95"/>
          <w:sz w:val="32"/>
        </w:rPr>
        <w:t xml:space="preserve"> </w:t>
      </w:r>
      <w:r>
        <w:rPr>
          <w:rFonts w:ascii="Arial"/>
          <w:b/>
          <w:color w:val="008285"/>
          <w:spacing w:val="-12"/>
          <w:w w:val="95"/>
          <w:sz w:val="32"/>
        </w:rPr>
        <w:t>Medicine</w:t>
      </w:r>
      <w:r>
        <w:rPr>
          <w:rFonts w:ascii="Arial"/>
          <w:b/>
          <w:color w:val="008285"/>
          <w:spacing w:val="-12"/>
          <w:w w:val="95"/>
          <w:sz w:val="32"/>
        </w:rPr>
        <w:tab/>
      </w:r>
      <w:r>
        <w:rPr>
          <w:rFonts w:ascii="Book Antiqua"/>
          <w:color w:val="008285"/>
          <w:spacing w:val="-10"/>
          <w:sz w:val="46"/>
        </w:rPr>
        <w:t>L</w:t>
      </w:r>
      <w:r>
        <w:rPr>
          <w:rFonts w:ascii="Book Antiqua"/>
          <w:color w:val="008285"/>
          <w:spacing w:val="-10"/>
          <w:sz w:val="33"/>
        </w:rPr>
        <w:t>ETTERS</w:t>
      </w:r>
    </w:p>
    <w:p w:rsidR="00EA2940" w:rsidRDefault="00EA2940">
      <w:pPr>
        <w:rPr>
          <w:rFonts w:ascii="Book Antiqua"/>
          <w:sz w:val="33"/>
        </w:rPr>
        <w:sectPr w:rsidR="00EA2940">
          <w:pgSz w:w="11880" w:h="15570"/>
          <w:pgMar w:top="440" w:right="800" w:bottom="0" w:left="100" w:header="720" w:footer="720" w:gutter="0"/>
          <w:cols w:space="720"/>
        </w:sectPr>
      </w:pPr>
    </w:p>
    <w:p w:rsidR="00EA2940" w:rsidRDefault="006D37CB">
      <w:pPr>
        <w:spacing w:before="192"/>
        <w:ind w:left="790"/>
        <w:rPr>
          <w:b/>
          <w:sz w:val="19"/>
        </w:rPr>
      </w:pPr>
      <w:r>
        <w:rPr>
          <w:b/>
          <w:color w:val="008285"/>
          <w:w w:val="90"/>
          <w:sz w:val="26"/>
        </w:rPr>
        <w:t>O</w:t>
      </w:r>
      <w:r>
        <w:rPr>
          <w:b/>
          <w:color w:val="008285"/>
          <w:w w:val="90"/>
          <w:sz w:val="19"/>
        </w:rPr>
        <w:t>BSERVATION</w:t>
      </w:r>
      <w:r>
        <w:rPr>
          <w:b/>
          <w:color w:val="008285"/>
          <w:w w:val="90"/>
          <w:sz w:val="26"/>
        </w:rPr>
        <w:t>: B</w:t>
      </w:r>
      <w:r>
        <w:rPr>
          <w:b/>
          <w:color w:val="008285"/>
          <w:w w:val="90"/>
          <w:sz w:val="19"/>
        </w:rPr>
        <w:t xml:space="preserve">RIEF </w:t>
      </w:r>
      <w:r>
        <w:rPr>
          <w:b/>
          <w:color w:val="008285"/>
          <w:w w:val="90"/>
          <w:sz w:val="26"/>
        </w:rPr>
        <w:t>R</w:t>
      </w:r>
      <w:r>
        <w:rPr>
          <w:b/>
          <w:color w:val="008285"/>
          <w:w w:val="90"/>
          <w:sz w:val="19"/>
        </w:rPr>
        <w:t xml:space="preserve">ESEARCH </w:t>
      </w:r>
      <w:r>
        <w:rPr>
          <w:b/>
          <w:color w:val="008285"/>
          <w:w w:val="90"/>
          <w:sz w:val="26"/>
        </w:rPr>
        <w:t>R</w:t>
      </w:r>
      <w:r>
        <w:rPr>
          <w:b/>
          <w:color w:val="008285"/>
          <w:w w:val="90"/>
          <w:sz w:val="19"/>
        </w:rPr>
        <w:t>EPORT</w:t>
      </w:r>
    </w:p>
    <w:p w:rsidR="00EA2940" w:rsidRDefault="00EA2940">
      <w:pPr>
        <w:pStyle w:val="BodyText"/>
        <w:rPr>
          <w:b/>
          <w:sz w:val="35"/>
        </w:rPr>
      </w:pPr>
    </w:p>
    <w:p w:rsidR="00EA2940" w:rsidRDefault="006D37CB">
      <w:pPr>
        <w:spacing w:line="240" w:lineRule="exact"/>
        <w:ind w:left="790"/>
        <w:rPr>
          <w:b/>
          <w:sz w:val="21"/>
        </w:rPr>
      </w:pPr>
      <w:r>
        <w:pict>
          <v:line id="_x0000_s1106" style="position:absolute;left:0;text-align:left;z-index:1048;mso-position-horizontal-relative:page" from="44.5pt,-5.15pt" to="284.5pt,-5.15pt" strokecolor="#231f20" strokeweight=".5pt">
            <w10:wrap anchorx="page"/>
          </v:line>
        </w:pict>
      </w:r>
      <w:r>
        <w:rPr>
          <w:b/>
          <w:color w:val="231F20"/>
          <w:w w:val="90"/>
          <w:sz w:val="21"/>
        </w:rPr>
        <w:t xml:space="preserve">Medicare Formulary Coverage Restrictions for Prescription </w:t>
      </w:r>
      <w:r>
        <w:rPr>
          <w:b/>
          <w:color w:val="231F20"/>
          <w:w w:val="95"/>
          <w:sz w:val="21"/>
        </w:rPr>
        <w:t>Opioids, 2006 to 2015</w:t>
      </w:r>
    </w:p>
    <w:p w:rsidR="00EA2940" w:rsidRDefault="006D37CB">
      <w:pPr>
        <w:pStyle w:val="BodyText"/>
        <w:spacing w:before="7" w:line="254" w:lineRule="auto"/>
        <w:ind w:left="790" w:firstLine="340"/>
        <w:jc w:val="both"/>
      </w:pPr>
      <w:r>
        <w:rPr>
          <w:rFonts w:ascii="Lucida Sans" w:hAnsi="Lucida Sans"/>
          <w:i/>
          <w:color w:val="231F20"/>
          <w:w w:val="115"/>
        </w:rPr>
        <w:t>Background:</w:t>
      </w:r>
      <w:r>
        <w:rPr>
          <w:rFonts w:ascii="Lucida Sans" w:hAnsi="Lucida Sans"/>
          <w:i/>
          <w:color w:val="231F20"/>
          <w:spacing w:val="-32"/>
          <w:w w:val="115"/>
        </w:rPr>
        <w:t xml:space="preserve"> </w:t>
      </w:r>
      <w:r>
        <w:rPr>
          <w:color w:val="231F20"/>
          <w:w w:val="115"/>
        </w:rPr>
        <w:t>Over</w:t>
      </w:r>
      <w:r>
        <w:rPr>
          <w:color w:val="231F20"/>
          <w:spacing w:val="-14"/>
          <w:w w:val="115"/>
        </w:rPr>
        <w:t xml:space="preserve"> </w:t>
      </w:r>
      <w:r>
        <w:rPr>
          <w:color w:val="231F20"/>
          <w:w w:val="115"/>
        </w:rPr>
        <w:t>the</w:t>
      </w:r>
      <w:r>
        <w:rPr>
          <w:color w:val="231F20"/>
          <w:spacing w:val="-14"/>
          <w:w w:val="115"/>
        </w:rPr>
        <w:t xml:space="preserve"> </w:t>
      </w:r>
      <w:r>
        <w:rPr>
          <w:color w:val="231F20"/>
          <w:w w:val="115"/>
        </w:rPr>
        <w:t>past</w:t>
      </w:r>
      <w:r>
        <w:rPr>
          <w:color w:val="231F20"/>
          <w:spacing w:val="-14"/>
          <w:w w:val="115"/>
        </w:rPr>
        <w:t xml:space="preserve"> </w:t>
      </w:r>
      <w:r>
        <w:rPr>
          <w:color w:val="231F20"/>
          <w:w w:val="115"/>
        </w:rPr>
        <w:t>2</w:t>
      </w:r>
      <w:r>
        <w:rPr>
          <w:color w:val="231F20"/>
          <w:spacing w:val="-14"/>
          <w:w w:val="115"/>
        </w:rPr>
        <w:t xml:space="preserve"> </w:t>
      </w:r>
      <w:r>
        <w:rPr>
          <w:color w:val="231F20"/>
          <w:w w:val="115"/>
        </w:rPr>
        <w:t>decades,</w:t>
      </w:r>
      <w:r>
        <w:rPr>
          <w:color w:val="231F20"/>
          <w:spacing w:val="-14"/>
          <w:w w:val="115"/>
        </w:rPr>
        <w:t xml:space="preserve"> </w:t>
      </w:r>
      <w:r>
        <w:rPr>
          <w:color w:val="231F20"/>
          <w:w w:val="115"/>
        </w:rPr>
        <w:t>prescription</w:t>
      </w:r>
      <w:r>
        <w:rPr>
          <w:color w:val="231F20"/>
          <w:spacing w:val="-14"/>
          <w:w w:val="115"/>
        </w:rPr>
        <w:t xml:space="preserve"> </w:t>
      </w:r>
      <w:r>
        <w:rPr>
          <w:color w:val="231F20"/>
          <w:w w:val="115"/>
        </w:rPr>
        <w:t>opi-</w:t>
      </w:r>
      <w:r>
        <w:rPr>
          <w:color w:val="231F20"/>
          <w:w w:val="114"/>
        </w:rPr>
        <w:t xml:space="preserve"> </w:t>
      </w:r>
      <w:r>
        <w:rPr>
          <w:color w:val="231F20"/>
          <w:w w:val="115"/>
        </w:rPr>
        <w:t>oid sales and overdose deaths have quadrupled (1). Risk for unintentional overdose is</w:t>
      </w:r>
      <w:r>
        <w:rPr>
          <w:color w:val="231F20"/>
          <w:w w:val="115"/>
        </w:rPr>
        <w:t xml:space="preserve"> increased when longer-acting opi- oids and higher dosages are prescribed (2, 3). Older patients are particularly vulnerable to opioid-related complications and injury (4). Addressing these risks, the 2016 opioid pre- scribing guidelines from the Centers f</w:t>
      </w:r>
      <w:r>
        <w:rPr>
          <w:color w:val="231F20"/>
          <w:w w:val="115"/>
        </w:rPr>
        <w:t>or Disease Control and Prevention (2) suggest a trial of nonopioid</w:t>
      </w:r>
      <w:r>
        <w:rPr>
          <w:color w:val="231F20"/>
          <w:spacing w:val="39"/>
          <w:w w:val="115"/>
        </w:rPr>
        <w:t xml:space="preserve"> </w:t>
      </w:r>
      <w:r>
        <w:rPr>
          <w:color w:val="231F20"/>
          <w:w w:val="115"/>
        </w:rPr>
        <w:t>therapies</w:t>
      </w:r>
      <w:r>
        <w:rPr>
          <w:color w:val="231F20"/>
          <w:spacing w:val="12"/>
          <w:w w:val="115"/>
        </w:rPr>
        <w:t xml:space="preserve"> </w:t>
      </w:r>
      <w:r>
        <w:rPr>
          <w:color w:val="231F20"/>
          <w:w w:val="115"/>
        </w:rPr>
        <w:t>before</w:t>
      </w:r>
      <w:r>
        <w:rPr>
          <w:color w:val="231F20"/>
          <w:w w:val="112"/>
        </w:rPr>
        <w:t xml:space="preserve"> </w:t>
      </w:r>
      <w:r>
        <w:rPr>
          <w:color w:val="231F20"/>
          <w:w w:val="115"/>
        </w:rPr>
        <w:t>opioid initiation, use of opioids only when expected beneﬁts outweigh risks, reassessment of risks and beneﬁts when</w:t>
      </w:r>
      <w:r>
        <w:rPr>
          <w:color w:val="231F20"/>
          <w:spacing w:val="-26"/>
          <w:w w:val="115"/>
        </w:rPr>
        <w:t xml:space="preserve"> </w:t>
      </w:r>
      <w:r>
        <w:rPr>
          <w:color w:val="231F20"/>
          <w:w w:val="115"/>
        </w:rPr>
        <w:t>pre- scribing dosages greater than 50 morphine</w:t>
      </w:r>
      <w:r>
        <w:rPr>
          <w:color w:val="231F20"/>
          <w:spacing w:val="-20"/>
          <w:w w:val="115"/>
        </w:rPr>
        <w:t xml:space="preserve"> </w:t>
      </w:r>
      <w:r>
        <w:rPr>
          <w:color w:val="231F20"/>
          <w:w w:val="115"/>
        </w:rPr>
        <w:t>milligram</w:t>
      </w:r>
      <w:r>
        <w:rPr>
          <w:color w:val="231F20"/>
          <w:spacing w:val="-4"/>
          <w:w w:val="115"/>
        </w:rPr>
        <w:t xml:space="preserve"> </w:t>
      </w:r>
      <w:r>
        <w:rPr>
          <w:color w:val="231F20"/>
          <w:w w:val="115"/>
        </w:rPr>
        <w:t>equiva-</w:t>
      </w:r>
      <w:r>
        <w:rPr>
          <w:color w:val="231F20"/>
          <w:w w:val="112"/>
        </w:rPr>
        <w:t xml:space="preserve"> </w:t>
      </w:r>
      <w:r>
        <w:rPr>
          <w:color w:val="231F20"/>
          <w:w w:val="115"/>
        </w:rPr>
        <w:t>lents (MME) per day, and prescribing no more than 90 MME/d.</w:t>
      </w:r>
    </w:p>
    <w:p w:rsidR="00EA2940" w:rsidRDefault="006D37CB">
      <w:pPr>
        <w:pStyle w:val="BodyText"/>
        <w:spacing w:line="254" w:lineRule="auto"/>
        <w:ind w:left="790" w:firstLine="340"/>
        <w:jc w:val="both"/>
      </w:pPr>
      <w:r>
        <w:rPr>
          <w:color w:val="231F20"/>
          <w:w w:val="110"/>
        </w:rPr>
        <w:t>Restricting formulary coverage for prescription drugs is 1 strategy to decrease opioid prescribing. A private insurer showed that implementing prior authorization, quantity limits, and pr</w:t>
      </w:r>
      <w:r>
        <w:rPr>
          <w:color w:val="231F20"/>
          <w:w w:val="110"/>
        </w:rPr>
        <w:t>ovider–patient agreements was associated with a 15% decrease in opioid prescribing (5). The extent to which opi- oids are covered and/or restricted among formularies serving Medicare  beneﬁciaries  is</w:t>
      </w:r>
      <w:r>
        <w:rPr>
          <w:color w:val="231F20"/>
          <w:spacing w:val="-14"/>
          <w:w w:val="110"/>
        </w:rPr>
        <w:t xml:space="preserve"> </w:t>
      </w:r>
      <w:r>
        <w:rPr>
          <w:color w:val="231F20"/>
          <w:w w:val="110"/>
        </w:rPr>
        <w:t>unknown.</w:t>
      </w:r>
    </w:p>
    <w:p w:rsidR="00EA2940" w:rsidRDefault="006D37CB">
      <w:pPr>
        <w:pStyle w:val="BodyText"/>
        <w:spacing w:line="254" w:lineRule="auto"/>
        <w:ind w:left="790" w:firstLine="340"/>
        <w:jc w:val="both"/>
      </w:pPr>
      <w:r>
        <w:rPr>
          <w:rFonts w:ascii="Lucida Sans"/>
          <w:i/>
          <w:color w:val="231F20"/>
          <w:w w:val="110"/>
        </w:rPr>
        <w:t xml:space="preserve">Objective: </w:t>
      </w:r>
      <w:r>
        <w:rPr>
          <w:color w:val="231F20"/>
          <w:w w:val="110"/>
        </w:rPr>
        <w:t>To characterize the extent to which</w:t>
      </w:r>
      <w:r>
        <w:rPr>
          <w:color w:val="231F20"/>
          <w:w w:val="110"/>
        </w:rPr>
        <w:t xml:space="preserve"> utilization management strategies have been used to restrict access to prescription opioids among Medicare Part D formularies over the  past decade.</w:t>
      </w:r>
    </w:p>
    <w:p w:rsidR="00EA2940" w:rsidRDefault="006D37CB">
      <w:pPr>
        <w:pStyle w:val="BodyText"/>
        <w:spacing w:line="254" w:lineRule="auto"/>
        <w:ind w:left="790" w:firstLine="340"/>
        <w:jc w:val="both"/>
      </w:pPr>
      <w:r>
        <w:rPr>
          <w:rFonts w:ascii="Lucida Sans" w:hAnsi="Lucida Sans"/>
          <w:i/>
          <w:color w:val="231F20"/>
          <w:w w:val="110"/>
        </w:rPr>
        <w:t>Methods</w:t>
      </w:r>
      <w:r>
        <w:rPr>
          <w:rFonts w:ascii="Lucida Sans" w:hAnsi="Lucida Sans"/>
          <w:i/>
          <w:color w:val="231F20"/>
          <w:spacing w:val="-42"/>
          <w:w w:val="110"/>
        </w:rPr>
        <w:t xml:space="preserve"> </w:t>
      </w:r>
      <w:r>
        <w:rPr>
          <w:rFonts w:ascii="Lucida Sans" w:hAnsi="Lucida Sans"/>
          <w:i/>
          <w:color w:val="231F20"/>
          <w:w w:val="110"/>
        </w:rPr>
        <w:t>and</w:t>
      </w:r>
      <w:r>
        <w:rPr>
          <w:rFonts w:ascii="Lucida Sans" w:hAnsi="Lucida Sans"/>
          <w:i/>
          <w:color w:val="231F20"/>
          <w:spacing w:val="-42"/>
          <w:w w:val="110"/>
        </w:rPr>
        <w:t xml:space="preserve"> </w:t>
      </w:r>
      <w:r>
        <w:rPr>
          <w:rFonts w:ascii="Lucida Sans" w:hAnsi="Lucida Sans"/>
          <w:i/>
          <w:color w:val="231F20"/>
          <w:w w:val="110"/>
        </w:rPr>
        <w:t>Findings:</w:t>
      </w:r>
      <w:r>
        <w:rPr>
          <w:rFonts w:ascii="Lucida Sans" w:hAnsi="Lucida Sans"/>
          <w:i/>
          <w:color w:val="231F20"/>
          <w:spacing w:val="-42"/>
          <w:w w:val="110"/>
        </w:rPr>
        <w:t xml:space="preserve"> </w:t>
      </w:r>
      <w:r>
        <w:rPr>
          <w:color w:val="231F20"/>
          <w:w w:val="110"/>
        </w:rPr>
        <w:t>We</w:t>
      </w:r>
      <w:r>
        <w:rPr>
          <w:color w:val="231F20"/>
          <w:spacing w:val="-25"/>
          <w:w w:val="110"/>
        </w:rPr>
        <w:t xml:space="preserve"> </w:t>
      </w:r>
      <w:r>
        <w:rPr>
          <w:color w:val="231F20"/>
          <w:w w:val="110"/>
        </w:rPr>
        <w:t>used</w:t>
      </w:r>
      <w:r>
        <w:rPr>
          <w:color w:val="231F20"/>
          <w:spacing w:val="-25"/>
          <w:w w:val="110"/>
        </w:rPr>
        <w:t xml:space="preserve"> </w:t>
      </w:r>
      <w:r>
        <w:rPr>
          <w:color w:val="231F20"/>
          <w:w w:val="110"/>
        </w:rPr>
        <w:t>the</w:t>
      </w:r>
      <w:r>
        <w:rPr>
          <w:color w:val="231F20"/>
          <w:spacing w:val="-25"/>
          <w:w w:val="110"/>
        </w:rPr>
        <w:t xml:space="preserve"> </w:t>
      </w:r>
      <w:r>
        <w:rPr>
          <w:color w:val="231F20"/>
          <w:w w:val="110"/>
        </w:rPr>
        <w:t>Centers</w:t>
      </w:r>
      <w:r>
        <w:rPr>
          <w:color w:val="231F20"/>
          <w:spacing w:val="-25"/>
          <w:w w:val="110"/>
        </w:rPr>
        <w:t xml:space="preserve"> </w:t>
      </w:r>
      <w:r>
        <w:rPr>
          <w:color w:val="231F20"/>
          <w:w w:val="110"/>
        </w:rPr>
        <w:t>for</w:t>
      </w:r>
      <w:r>
        <w:rPr>
          <w:color w:val="231F20"/>
          <w:spacing w:val="-25"/>
          <w:w w:val="110"/>
        </w:rPr>
        <w:t xml:space="preserve"> </w:t>
      </w:r>
      <w:r>
        <w:rPr>
          <w:color w:val="231F20"/>
          <w:w w:val="110"/>
        </w:rPr>
        <w:t>Medicare</w:t>
      </w:r>
      <w:r>
        <w:rPr>
          <w:color w:val="231F20"/>
          <w:w w:val="111"/>
        </w:rPr>
        <w:t xml:space="preserve"> </w:t>
      </w:r>
      <w:r>
        <w:rPr>
          <w:color w:val="231F20"/>
          <w:w w:val="110"/>
        </w:rPr>
        <w:t>&amp; Medicaid Services prescription drug plan formular</w:t>
      </w:r>
      <w:r>
        <w:rPr>
          <w:color w:val="231F20"/>
          <w:w w:val="110"/>
        </w:rPr>
        <w:t>y ﬁles to compare coverage in 2006, 2011, and 2015 for all available doses of commonly used short- and long-acting opioid med- ications except for methadone, which was excluded. These ﬁles include data on all Medicare Advantage and standalone Part D plan f</w:t>
      </w:r>
      <w:r>
        <w:rPr>
          <w:color w:val="231F20"/>
          <w:w w:val="110"/>
        </w:rPr>
        <w:t>ormularies that have submitted complete and accurate information to the Centers for Medicare &amp; Medicaid Services. Although lack of formulary coverage may not be in- tended to restrict opioid prescribing, it creates a ﬁnancial bar- rier  to  prescription  o</w:t>
      </w:r>
      <w:r>
        <w:rPr>
          <w:color w:val="231F20"/>
          <w:w w:val="110"/>
        </w:rPr>
        <w:t>pioid</w:t>
      </w:r>
      <w:r>
        <w:rPr>
          <w:color w:val="231F20"/>
          <w:spacing w:val="-18"/>
          <w:w w:val="110"/>
        </w:rPr>
        <w:t xml:space="preserve"> </w:t>
      </w:r>
      <w:r>
        <w:rPr>
          <w:color w:val="231F20"/>
          <w:w w:val="110"/>
        </w:rPr>
        <w:t>access.</w:t>
      </w:r>
    </w:p>
    <w:p w:rsidR="00EA2940" w:rsidRDefault="006D37CB">
      <w:pPr>
        <w:pStyle w:val="BodyText"/>
        <w:spacing w:line="254" w:lineRule="auto"/>
        <w:ind w:left="790" w:firstLine="340"/>
        <w:jc w:val="both"/>
      </w:pPr>
      <w:r>
        <w:rPr>
          <w:color w:val="231F20"/>
          <w:w w:val="110"/>
        </w:rPr>
        <w:t xml:space="preserve">We determined the median proportion of drug– dosage combinations that formularies  did  not  cover;  covered </w:t>
      </w:r>
      <w:r>
        <w:rPr>
          <w:color w:val="231F20"/>
          <w:spacing w:val="21"/>
          <w:w w:val="110"/>
        </w:rPr>
        <w:t xml:space="preserve"> </w:t>
      </w:r>
      <w:r>
        <w:rPr>
          <w:color w:val="231F20"/>
          <w:w w:val="110"/>
        </w:rPr>
        <w:t>but did not restrict; and restricted through prior authorization,  step therapy, or quantity limits. We also calculated whether pres</w:t>
      </w:r>
      <w:r>
        <w:rPr>
          <w:color w:val="231F20"/>
          <w:w w:val="110"/>
        </w:rPr>
        <w:t xml:space="preserve">cribed  dosages  were  limited  to  less  than  50      </w:t>
      </w:r>
      <w:r>
        <w:rPr>
          <w:color w:val="231F20"/>
          <w:spacing w:val="6"/>
          <w:w w:val="110"/>
        </w:rPr>
        <w:t xml:space="preserve"> </w:t>
      </w:r>
      <w:r>
        <w:rPr>
          <w:color w:val="231F20"/>
          <w:w w:val="110"/>
        </w:rPr>
        <w:t>MME/d</w:t>
      </w:r>
    </w:p>
    <w:p w:rsidR="00EA2940" w:rsidRDefault="006D37CB">
      <w:pPr>
        <w:pStyle w:val="BodyText"/>
        <w:spacing w:before="10"/>
      </w:pPr>
      <w:r>
        <w:br w:type="column"/>
      </w:r>
    </w:p>
    <w:p w:rsidR="00EA2940" w:rsidRDefault="006D37CB">
      <w:pPr>
        <w:pStyle w:val="BodyText"/>
        <w:spacing w:line="256" w:lineRule="auto"/>
        <w:ind w:left="438" w:right="106"/>
        <w:jc w:val="both"/>
      </w:pPr>
      <w:r>
        <w:rPr>
          <w:color w:val="231F20"/>
          <w:w w:val="110"/>
        </w:rPr>
        <w:t>or 50 to 90 MME/d or whether those greater than 90 MME/d were permitted. We graphed results for hydrocodone– acetaminophen, a commonly prescribed short-acting opioid frequently implicated in overdose-related deaths, to show our ﬁndings at the individual dr</w:t>
      </w:r>
      <w:r>
        <w:rPr>
          <w:color w:val="231F20"/>
          <w:w w:val="110"/>
        </w:rPr>
        <w:t>ug   level.</w:t>
      </w:r>
    </w:p>
    <w:p w:rsidR="00EA2940" w:rsidRDefault="006D37CB">
      <w:pPr>
        <w:pStyle w:val="BodyText"/>
        <w:spacing w:line="256" w:lineRule="auto"/>
        <w:ind w:left="438" w:right="106" w:firstLine="340"/>
        <w:jc w:val="both"/>
      </w:pPr>
      <w:r>
        <w:rPr>
          <w:color w:val="231F20"/>
          <w:w w:val="110"/>
        </w:rPr>
        <w:t>Data were available for 324, 244, and 389 formularies in 2006, 2011, and 2015, respectively. In 2006 and 2011, more than two thirds of drug– dosage combinations had no opioid prescribing restrictions; in 2015, approximately one third had no res</w:t>
      </w:r>
      <w:r>
        <w:rPr>
          <w:color w:val="231F20"/>
          <w:w w:val="110"/>
        </w:rPr>
        <w:t>trictions (</w:t>
      </w:r>
      <w:r>
        <w:rPr>
          <w:rFonts w:ascii="Lucida Sans" w:hAnsi="Lucida Sans"/>
          <w:color w:val="231F20"/>
          <w:w w:val="110"/>
        </w:rPr>
        <w:t>Table</w:t>
      </w:r>
      <w:r>
        <w:rPr>
          <w:color w:val="231F20"/>
          <w:w w:val="110"/>
        </w:rPr>
        <w:t>). Few formularies required step</w:t>
      </w:r>
      <w:r>
        <w:rPr>
          <w:color w:val="231F20"/>
          <w:spacing w:val="-18"/>
          <w:w w:val="110"/>
        </w:rPr>
        <w:t xml:space="preserve"> </w:t>
      </w:r>
      <w:r>
        <w:rPr>
          <w:color w:val="231F20"/>
          <w:w w:val="110"/>
        </w:rPr>
        <w:t>therapy, but requirements for prior authorization increased over time (from a median of 0% in 2006 and 2011 to 4.4% in 2015). The median proportion of drug– dosage combinations with quan- tity limits increas</w:t>
      </w:r>
      <w:r>
        <w:rPr>
          <w:color w:val="231F20"/>
          <w:w w:val="110"/>
        </w:rPr>
        <w:t>ed from 8.9% in 2006 to 22.2% in 2011 and 71.1% in 2015. Dose restrictions to less than 50 MME/d in- creased from a median of 2.2% of drug– dose combinations in 2006</w:t>
      </w:r>
      <w:r>
        <w:rPr>
          <w:color w:val="231F20"/>
          <w:spacing w:val="22"/>
          <w:w w:val="110"/>
        </w:rPr>
        <w:t xml:space="preserve"> </w:t>
      </w:r>
      <w:r>
        <w:rPr>
          <w:color w:val="231F20"/>
          <w:w w:val="110"/>
        </w:rPr>
        <w:t>to</w:t>
      </w:r>
      <w:r>
        <w:rPr>
          <w:color w:val="231F20"/>
          <w:spacing w:val="22"/>
          <w:w w:val="110"/>
        </w:rPr>
        <w:t xml:space="preserve"> </w:t>
      </w:r>
      <w:r>
        <w:rPr>
          <w:color w:val="231F20"/>
          <w:w w:val="110"/>
        </w:rPr>
        <w:t>4.4%</w:t>
      </w:r>
      <w:r>
        <w:rPr>
          <w:color w:val="231F20"/>
          <w:spacing w:val="22"/>
          <w:w w:val="110"/>
        </w:rPr>
        <w:t xml:space="preserve"> </w:t>
      </w:r>
      <w:r>
        <w:rPr>
          <w:color w:val="231F20"/>
          <w:w w:val="110"/>
        </w:rPr>
        <w:t>in</w:t>
      </w:r>
      <w:r>
        <w:rPr>
          <w:color w:val="231F20"/>
          <w:spacing w:val="22"/>
          <w:w w:val="110"/>
        </w:rPr>
        <w:t xml:space="preserve"> </w:t>
      </w:r>
      <w:r>
        <w:rPr>
          <w:color w:val="231F20"/>
          <w:w w:val="110"/>
        </w:rPr>
        <w:t>2011</w:t>
      </w:r>
      <w:r>
        <w:rPr>
          <w:color w:val="231F20"/>
          <w:spacing w:val="22"/>
          <w:w w:val="110"/>
        </w:rPr>
        <w:t xml:space="preserve"> </w:t>
      </w:r>
      <w:r>
        <w:rPr>
          <w:color w:val="231F20"/>
          <w:w w:val="110"/>
        </w:rPr>
        <w:t>and</w:t>
      </w:r>
      <w:r>
        <w:rPr>
          <w:color w:val="231F20"/>
          <w:spacing w:val="22"/>
          <w:w w:val="110"/>
        </w:rPr>
        <w:t xml:space="preserve"> </w:t>
      </w:r>
      <w:r>
        <w:rPr>
          <w:color w:val="231F20"/>
          <w:w w:val="110"/>
        </w:rPr>
        <w:t>13.3%</w:t>
      </w:r>
      <w:r>
        <w:rPr>
          <w:color w:val="231F20"/>
          <w:spacing w:val="22"/>
          <w:w w:val="110"/>
        </w:rPr>
        <w:t xml:space="preserve"> </w:t>
      </w:r>
      <w:r>
        <w:rPr>
          <w:color w:val="231F20"/>
          <w:w w:val="110"/>
        </w:rPr>
        <w:t>in</w:t>
      </w:r>
      <w:r>
        <w:rPr>
          <w:color w:val="231F20"/>
          <w:spacing w:val="22"/>
          <w:w w:val="110"/>
        </w:rPr>
        <w:t xml:space="preserve"> </w:t>
      </w:r>
      <w:r>
        <w:rPr>
          <w:color w:val="231F20"/>
          <w:w w:val="110"/>
        </w:rPr>
        <w:t>2015.</w:t>
      </w:r>
    </w:p>
    <w:p w:rsidR="00EA2940" w:rsidRDefault="006D37CB">
      <w:pPr>
        <w:pStyle w:val="BodyText"/>
        <w:spacing w:line="256" w:lineRule="auto"/>
        <w:ind w:left="438" w:right="106" w:firstLine="340"/>
        <w:jc w:val="both"/>
      </w:pPr>
      <w:r>
        <w:rPr>
          <w:color w:val="231F20"/>
          <w:w w:val="110"/>
        </w:rPr>
        <w:t>Formularies increased coverage for hydrocodone– acetami</w:t>
      </w:r>
      <w:r>
        <w:rPr>
          <w:color w:val="231F20"/>
          <w:w w:val="110"/>
        </w:rPr>
        <w:t>nophen at all dosages between 2006 and 2015 (</w:t>
      </w:r>
      <w:r>
        <w:rPr>
          <w:rFonts w:ascii="Lucida Sans" w:hAnsi="Lucida Sans"/>
          <w:color w:val="231F20"/>
          <w:w w:val="110"/>
        </w:rPr>
        <w:t>Fig- ure</w:t>
      </w:r>
      <w:r>
        <w:rPr>
          <w:color w:val="231F20"/>
          <w:w w:val="110"/>
        </w:rPr>
        <w:t>). Although no formularies required prior authorization or step therapy for this drug, the daily dosage was increasingly restricted for the 5 mg/325 mg and 7.5 mg/325 mg formula- tions, with a greater pr</w:t>
      </w:r>
      <w:r>
        <w:rPr>
          <w:color w:val="231F20"/>
          <w:w w:val="110"/>
        </w:rPr>
        <w:t>oportion limiting prescriptions to less than 90 MME/d between 2006 and 2015. Restrictions on MME per day for the 10 mg/325 mg formulation increased slightly from 2011 to 2015, with approximately 80% permitting pre- scribing greater than 90 MME/d in   2015.</w:t>
      </w:r>
    </w:p>
    <w:p w:rsidR="00EA2940" w:rsidRDefault="006D37CB">
      <w:pPr>
        <w:pStyle w:val="BodyText"/>
        <w:spacing w:line="256" w:lineRule="auto"/>
        <w:ind w:left="438" w:right="106" w:firstLine="340"/>
        <w:jc w:val="both"/>
      </w:pPr>
      <w:r>
        <w:rPr>
          <w:rFonts w:ascii="Lucida Sans"/>
          <w:i/>
          <w:color w:val="231F20"/>
          <w:w w:val="110"/>
        </w:rPr>
        <w:t xml:space="preserve">Discussion: </w:t>
      </w:r>
      <w:r>
        <w:rPr>
          <w:color w:val="231F20"/>
          <w:w w:val="110"/>
        </w:rPr>
        <w:t>Medicare Part D formularies increasingly used quantity limits and, to a lesser extent, prior authorization to restrict daily allowable prescribed dosing of prescription opioids between 2006 and 2015. Despite increased formulary restrictiveness</w:t>
      </w:r>
      <w:r>
        <w:rPr>
          <w:color w:val="231F20"/>
          <w:w w:val="110"/>
        </w:rPr>
        <w:t>, unrestrictive coverage persisted for many opi- oids, especially at high doses, including for drugs commonly associated with overdose. Although the overall number of for- mularies with available data varied across years, changes in how many formularies pr</w:t>
      </w:r>
      <w:r>
        <w:rPr>
          <w:color w:val="231F20"/>
          <w:w w:val="110"/>
        </w:rPr>
        <w:t>ovided information are unlikely to have affected this general  trend.</w:t>
      </w:r>
    </w:p>
    <w:p w:rsidR="00EA2940" w:rsidRDefault="006D37CB">
      <w:pPr>
        <w:pStyle w:val="BodyText"/>
        <w:spacing w:before="3" w:line="256" w:lineRule="auto"/>
        <w:ind w:left="438" w:right="106" w:firstLine="340"/>
        <w:jc w:val="both"/>
      </w:pPr>
      <w:r>
        <w:rPr>
          <w:color w:val="231F20"/>
          <w:w w:val="110"/>
        </w:rPr>
        <w:t>As shown by formulary coverage of hydrocodone– acetaminophen, formularies tended to be less restrictive at higher doses, largely because they maintained identical quan- tity limits regar</w:t>
      </w:r>
      <w:r>
        <w:rPr>
          <w:color w:val="231F20"/>
          <w:w w:val="110"/>
        </w:rPr>
        <w:t>dless of dose. This factor allowed for higher prescribed MME per day. Given that higher doses are associ- ated with higher overdose rates (3), limiting prescribed MME per day or requiring prior authorization or step therapy for high-dose opioids may facili</w:t>
      </w:r>
      <w:r>
        <w:rPr>
          <w:color w:val="231F20"/>
          <w:w w:val="110"/>
        </w:rPr>
        <w:t>tate better adherence to     Centers</w:t>
      </w:r>
    </w:p>
    <w:p w:rsidR="00EA2940" w:rsidRDefault="00EA2940">
      <w:pPr>
        <w:spacing w:line="256" w:lineRule="auto"/>
        <w:jc w:val="both"/>
        <w:sectPr w:rsidR="00EA2940">
          <w:type w:val="continuous"/>
          <w:pgSz w:w="11880" w:h="15570"/>
          <w:pgMar w:top="1400" w:right="800" w:bottom="280" w:left="100" w:header="720" w:footer="720" w:gutter="0"/>
          <w:cols w:num="2" w:space="720" w:equalWidth="0">
            <w:col w:w="5592" w:space="40"/>
            <w:col w:w="5348"/>
          </w:cols>
        </w:sectPr>
      </w:pPr>
    </w:p>
    <w:p w:rsidR="00EA2940" w:rsidRDefault="00EA2940">
      <w:pPr>
        <w:pStyle w:val="BodyText"/>
        <w:spacing w:before="5"/>
        <w:rPr>
          <w:sz w:val="25"/>
        </w:rPr>
      </w:pPr>
    </w:p>
    <w:p w:rsidR="00EA2940" w:rsidRDefault="006D37CB">
      <w:pPr>
        <w:pStyle w:val="BodyText"/>
        <w:spacing w:line="20" w:lineRule="exact"/>
        <w:ind w:left="785"/>
        <w:rPr>
          <w:sz w:val="2"/>
        </w:rPr>
      </w:pPr>
      <w:r>
        <w:rPr>
          <w:sz w:val="2"/>
        </w:rPr>
      </w:r>
      <w:r>
        <w:rPr>
          <w:sz w:val="2"/>
        </w:rPr>
        <w:pict>
          <v:group id="_x0000_s1104" style="width:504.5pt;height:.5pt;mso-position-horizontal-relative:char;mso-position-vertical-relative:line" coordsize="10090,10">
            <v:line id="_x0000_s1105" style="position:absolute" from="5,5" to="10085,5" strokecolor="#008285" strokeweight=".5pt"/>
            <w10:wrap type="none"/>
            <w10:anchorlock/>
          </v:group>
        </w:pict>
      </w:r>
    </w:p>
    <w:p w:rsidR="00EA2940" w:rsidRDefault="006D37CB">
      <w:pPr>
        <w:pStyle w:val="BodyText"/>
        <w:spacing w:before="5" w:line="259" w:lineRule="auto"/>
        <w:ind w:left="910" w:right="291"/>
        <w:rPr>
          <w:rFonts w:ascii="Lucida Sans" w:hAnsi="Lucida Sans"/>
        </w:rPr>
      </w:pPr>
      <w:r>
        <w:rPr>
          <w:rFonts w:ascii="Book Antiqua" w:hAnsi="Book Antiqua"/>
          <w:b/>
          <w:i/>
          <w:color w:val="231F20"/>
        </w:rPr>
        <w:t>Table.</w:t>
      </w:r>
      <w:r>
        <w:rPr>
          <w:rFonts w:ascii="Book Antiqua" w:hAnsi="Book Antiqua"/>
          <w:b/>
          <w:i/>
          <w:color w:val="231F20"/>
          <w:spacing w:val="24"/>
        </w:rPr>
        <w:t xml:space="preserve"> </w:t>
      </w:r>
      <w:r>
        <w:rPr>
          <w:rFonts w:ascii="Lucida Sans" w:hAnsi="Lucida Sans"/>
          <w:color w:val="231F20"/>
        </w:rPr>
        <w:t>Median</w:t>
      </w:r>
      <w:r>
        <w:rPr>
          <w:rFonts w:ascii="Lucida Sans" w:hAnsi="Lucida Sans"/>
          <w:color w:val="231F20"/>
          <w:spacing w:val="-29"/>
        </w:rPr>
        <w:t xml:space="preserve"> </w:t>
      </w:r>
      <w:r>
        <w:rPr>
          <w:rFonts w:ascii="Lucida Sans" w:hAnsi="Lucida Sans"/>
          <w:color w:val="231F20"/>
        </w:rPr>
        <w:t>Medicare</w:t>
      </w:r>
      <w:r>
        <w:rPr>
          <w:rFonts w:ascii="Lucida Sans" w:hAnsi="Lucida Sans"/>
          <w:color w:val="231F20"/>
          <w:spacing w:val="-29"/>
        </w:rPr>
        <w:t xml:space="preserve"> </w:t>
      </w:r>
      <w:r>
        <w:rPr>
          <w:rFonts w:ascii="Lucida Sans" w:hAnsi="Lucida Sans"/>
          <w:color w:val="231F20"/>
        </w:rPr>
        <w:t>Part</w:t>
      </w:r>
      <w:r>
        <w:rPr>
          <w:rFonts w:ascii="Lucida Sans" w:hAnsi="Lucida Sans"/>
          <w:color w:val="231F20"/>
          <w:spacing w:val="-29"/>
        </w:rPr>
        <w:t xml:space="preserve"> </w:t>
      </w:r>
      <w:r>
        <w:rPr>
          <w:rFonts w:ascii="Lucida Sans" w:hAnsi="Lucida Sans"/>
          <w:color w:val="231F20"/>
        </w:rPr>
        <w:t>D</w:t>
      </w:r>
      <w:r>
        <w:rPr>
          <w:rFonts w:ascii="Lucida Sans" w:hAnsi="Lucida Sans"/>
          <w:color w:val="231F20"/>
          <w:spacing w:val="-29"/>
        </w:rPr>
        <w:t xml:space="preserve"> </w:t>
      </w:r>
      <w:r>
        <w:rPr>
          <w:rFonts w:ascii="Lucida Sans" w:hAnsi="Lucida Sans"/>
          <w:color w:val="231F20"/>
        </w:rPr>
        <w:t>Formulary</w:t>
      </w:r>
      <w:r>
        <w:rPr>
          <w:rFonts w:ascii="Lucida Sans" w:hAnsi="Lucida Sans"/>
          <w:color w:val="231F20"/>
          <w:spacing w:val="-29"/>
        </w:rPr>
        <w:t xml:space="preserve"> </w:t>
      </w:r>
      <w:r>
        <w:rPr>
          <w:rFonts w:ascii="Lucida Sans" w:hAnsi="Lucida Sans"/>
          <w:color w:val="231F20"/>
        </w:rPr>
        <w:t>Requirements</w:t>
      </w:r>
      <w:r>
        <w:rPr>
          <w:rFonts w:ascii="Lucida Sans" w:hAnsi="Lucida Sans"/>
          <w:color w:val="231F20"/>
          <w:spacing w:val="-29"/>
        </w:rPr>
        <w:t xml:space="preserve"> </w:t>
      </w:r>
      <w:r>
        <w:rPr>
          <w:rFonts w:ascii="Lucida Sans" w:hAnsi="Lucida Sans"/>
          <w:color w:val="231F20"/>
        </w:rPr>
        <w:t>for</w:t>
      </w:r>
      <w:r>
        <w:rPr>
          <w:rFonts w:ascii="Lucida Sans" w:hAnsi="Lucida Sans"/>
          <w:color w:val="231F20"/>
          <w:spacing w:val="-29"/>
        </w:rPr>
        <w:t xml:space="preserve"> </w:t>
      </w:r>
      <w:r>
        <w:rPr>
          <w:rFonts w:ascii="Lucida Sans" w:hAnsi="Lucida Sans"/>
          <w:color w:val="231F20"/>
        </w:rPr>
        <w:t>Prior</w:t>
      </w:r>
      <w:r>
        <w:rPr>
          <w:rFonts w:ascii="Lucida Sans" w:hAnsi="Lucida Sans"/>
          <w:color w:val="231F20"/>
          <w:spacing w:val="-29"/>
        </w:rPr>
        <w:t xml:space="preserve"> </w:t>
      </w:r>
      <w:r>
        <w:rPr>
          <w:rFonts w:ascii="Lucida Sans" w:hAnsi="Lucida Sans"/>
          <w:color w:val="231F20"/>
        </w:rPr>
        <w:t>Authorization,</w:t>
      </w:r>
      <w:r>
        <w:rPr>
          <w:rFonts w:ascii="Lucida Sans" w:hAnsi="Lucida Sans"/>
          <w:color w:val="231F20"/>
          <w:spacing w:val="-29"/>
        </w:rPr>
        <w:t xml:space="preserve"> </w:t>
      </w:r>
      <w:r>
        <w:rPr>
          <w:rFonts w:ascii="Lucida Sans" w:hAnsi="Lucida Sans"/>
          <w:color w:val="231F20"/>
        </w:rPr>
        <w:t>Step</w:t>
      </w:r>
      <w:r>
        <w:rPr>
          <w:rFonts w:ascii="Lucida Sans" w:hAnsi="Lucida Sans"/>
          <w:color w:val="231F20"/>
          <w:spacing w:val="-29"/>
        </w:rPr>
        <w:t xml:space="preserve"> </w:t>
      </w:r>
      <w:r>
        <w:rPr>
          <w:rFonts w:ascii="Lucida Sans" w:hAnsi="Lucida Sans"/>
          <w:color w:val="231F20"/>
        </w:rPr>
        <w:t>Therapy,</w:t>
      </w:r>
      <w:r>
        <w:rPr>
          <w:rFonts w:ascii="Lucida Sans" w:hAnsi="Lucida Sans"/>
          <w:color w:val="231F20"/>
          <w:spacing w:val="-29"/>
        </w:rPr>
        <w:t xml:space="preserve"> </w:t>
      </w:r>
      <w:r>
        <w:rPr>
          <w:rFonts w:ascii="Lucida Sans" w:hAnsi="Lucida Sans"/>
          <w:color w:val="231F20"/>
        </w:rPr>
        <w:t>Quantity</w:t>
      </w:r>
      <w:r>
        <w:rPr>
          <w:rFonts w:ascii="Lucida Sans" w:hAnsi="Lucida Sans"/>
          <w:color w:val="231F20"/>
          <w:spacing w:val="-29"/>
        </w:rPr>
        <w:t xml:space="preserve"> </w:t>
      </w:r>
      <w:r>
        <w:rPr>
          <w:rFonts w:ascii="Lucida Sans" w:hAnsi="Lucida Sans"/>
          <w:color w:val="231F20"/>
        </w:rPr>
        <w:t>Limits,</w:t>
      </w:r>
      <w:r>
        <w:rPr>
          <w:rFonts w:ascii="Lucida Sans" w:hAnsi="Lucida Sans"/>
          <w:color w:val="231F20"/>
          <w:spacing w:val="-29"/>
        </w:rPr>
        <w:t xml:space="preserve"> </w:t>
      </w:r>
      <w:r>
        <w:rPr>
          <w:rFonts w:ascii="Lucida Sans" w:hAnsi="Lucida Sans"/>
          <w:color w:val="231F20"/>
        </w:rPr>
        <w:t>and</w:t>
      </w:r>
      <w:r>
        <w:rPr>
          <w:rFonts w:ascii="Lucida Sans" w:hAnsi="Lucida Sans"/>
          <w:color w:val="231F20"/>
          <w:spacing w:val="-29"/>
        </w:rPr>
        <w:t xml:space="preserve"> </w:t>
      </w:r>
      <w:r>
        <w:rPr>
          <w:rFonts w:ascii="Lucida Sans" w:hAnsi="Lucida Sans"/>
          <w:color w:val="231F20"/>
        </w:rPr>
        <w:t>MME</w:t>
      </w:r>
      <w:r>
        <w:rPr>
          <w:rFonts w:ascii="Lucida Sans" w:hAnsi="Lucida Sans"/>
          <w:color w:val="231F20"/>
          <w:spacing w:val="-29"/>
        </w:rPr>
        <w:t xml:space="preserve"> </w:t>
      </w:r>
      <w:r>
        <w:rPr>
          <w:rFonts w:ascii="Lucida Sans" w:hAnsi="Lucida Sans"/>
          <w:color w:val="231F20"/>
        </w:rPr>
        <w:t>per Day</w:t>
      </w:r>
      <w:r>
        <w:rPr>
          <w:rFonts w:ascii="Lucida Sans" w:hAnsi="Lucida Sans"/>
          <w:color w:val="231F20"/>
          <w:spacing w:val="-35"/>
        </w:rPr>
        <w:t xml:space="preserve"> </w:t>
      </w:r>
      <w:r>
        <w:rPr>
          <w:rFonts w:ascii="Lucida Sans" w:hAnsi="Lucida Sans"/>
          <w:color w:val="231F20"/>
        </w:rPr>
        <w:t>of</w:t>
      </w:r>
      <w:r>
        <w:rPr>
          <w:rFonts w:ascii="Lucida Sans" w:hAnsi="Lucida Sans"/>
          <w:color w:val="231F20"/>
          <w:spacing w:val="-35"/>
        </w:rPr>
        <w:t xml:space="preserve"> </w:t>
      </w:r>
      <w:r>
        <w:rPr>
          <w:rFonts w:ascii="Lucida Sans" w:hAnsi="Lucida Sans"/>
          <w:color w:val="231F20"/>
        </w:rPr>
        <w:t>45</w:t>
      </w:r>
      <w:r>
        <w:rPr>
          <w:rFonts w:ascii="Lucida Sans" w:hAnsi="Lucida Sans"/>
          <w:color w:val="231F20"/>
          <w:spacing w:val="-35"/>
        </w:rPr>
        <w:t xml:space="preserve"> </w:t>
      </w:r>
      <w:r>
        <w:rPr>
          <w:rFonts w:ascii="Lucida Sans" w:hAnsi="Lucida Sans"/>
          <w:color w:val="231F20"/>
        </w:rPr>
        <w:t>Opioid</w:t>
      </w:r>
      <w:r>
        <w:rPr>
          <w:rFonts w:ascii="Lucida Sans" w:hAnsi="Lucida Sans"/>
          <w:color w:val="231F20"/>
          <w:spacing w:val="-35"/>
        </w:rPr>
        <w:t xml:space="preserve"> </w:t>
      </w:r>
      <w:r>
        <w:rPr>
          <w:rFonts w:ascii="Lucida Sans" w:hAnsi="Lucida Sans"/>
          <w:color w:val="231F20"/>
        </w:rPr>
        <w:t>Drug–Dose</w:t>
      </w:r>
      <w:r>
        <w:rPr>
          <w:rFonts w:ascii="Lucida Sans" w:hAnsi="Lucida Sans"/>
          <w:color w:val="231F20"/>
          <w:spacing w:val="-35"/>
        </w:rPr>
        <w:t xml:space="preserve"> </w:t>
      </w:r>
      <w:r>
        <w:rPr>
          <w:rFonts w:ascii="Lucida Sans" w:hAnsi="Lucida Sans"/>
          <w:color w:val="231F20"/>
        </w:rPr>
        <w:t>Combinations</w:t>
      </w:r>
      <w:r>
        <w:rPr>
          <w:rFonts w:ascii="Lucida Sans" w:hAnsi="Lucida Sans"/>
          <w:color w:val="231F20"/>
          <w:spacing w:val="-35"/>
        </w:rPr>
        <w:t xml:space="preserve"> </w:t>
      </w:r>
      <w:r>
        <w:rPr>
          <w:rFonts w:ascii="Lucida Sans" w:hAnsi="Lucida Sans"/>
          <w:color w:val="231F20"/>
        </w:rPr>
        <w:t>in</w:t>
      </w:r>
      <w:r>
        <w:rPr>
          <w:rFonts w:ascii="Lucida Sans" w:hAnsi="Lucida Sans"/>
          <w:color w:val="231F20"/>
          <w:spacing w:val="-35"/>
        </w:rPr>
        <w:t xml:space="preserve"> </w:t>
      </w:r>
      <w:r>
        <w:rPr>
          <w:rFonts w:ascii="Lucida Sans" w:hAnsi="Lucida Sans"/>
          <w:color w:val="231F20"/>
        </w:rPr>
        <w:t>2006,</w:t>
      </w:r>
      <w:r>
        <w:rPr>
          <w:rFonts w:ascii="Lucida Sans" w:hAnsi="Lucida Sans"/>
          <w:color w:val="231F20"/>
          <w:spacing w:val="-35"/>
        </w:rPr>
        <w:t xml:space="preserve"> </w:t>
      </w:r>
      <w:r>
        <w:rPr>
          <w:rFonts w:ascii="Lucida Sans" w:hAnsi="Lucida Sans"/>
          <w:color w:val="231F20"/>
        </w:rPr>
        <w:t>2011,</w:t>
      </w:r>
      <w:r>
        <w:rPr>
          <w:rFonts w:ascii="Lucida Sans" w:hAnsi="Lucida Sans"/>
          <w:color w:val="231F20"/>
          <w:spacing w:val="-35"/>
        </w:rPr>
        <w:t xml:space="preserve"> </w:t>
      </w:r>
      <w:r>
        <w:rPr>
          <w:rFonts w:ascii="Lucida Sans" w:hAnsi="Lucida Sans"/>
          <w:color w:val="231F20"/>
        </w:rPr>
        <w:t>and</w:t>
      </w:r>
      <w:r>
        <w:rPr>
          <w:rFonts w:ascii="Lucida Sans" w:hAnsi="Lucida Sans"/>
          <w:color w:val="231F20"/>
          <w:spacing w:val="-35"/>
        </w:rPr>
        <w:t xml:space="preserve"> </w:t>
      </w:r>
      <w:r>
        <w:rPr>
          <w:rFonts w:ascii="Lucida Sans" w:hAnsi="Lucida Sans"/>
          <w:color w:val="231F20"/>
        </w:rPr>
        <w:t>2015*</w:t>
      </w:r>
    </w:p>
    <w:p w:rsidR="00EA2940" w:rsidRDefault="00EA2940">
      <w:pPr>
        <w:pStyle w:val="BodyText"/>
        <w:spacing w:before="4"/>
        <w:rPr>
          <w:rFonts w:ascii="Lucida Sans"/>
          <w:sz w:val="5"/>
        </w:rPr>
      </w:pPr>
    </w:p>
    <w:tbl>
      <w:tblPr>
        <w:tblW w:w="0" w:type="auto"/>
        <w:tblInd w:w="79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868"/>
        <w:gridCol w:w="2644"/>
        <w:gridCol w:w="2644"/>
        <w:gridCol w:w="1924"/>
      </w:tblGrid>
      <w:tr w:rsidR="00EA2940">
        <w:trPr>
          <w:trHeight w:hRule="exact" w:val="260"/>
        </w:trPr>
        <w:tc>
          <w:tcPr>
            <w:tcW w:w="2868" w:type="dxa"/>
            <w:tcBorders>
              <w:top w:val="single" w:sz="4" w:space="0" w:color="008285"/>
            </w:tcBorders>
          </w:tcPr>
          <w:p w:rsidR="00EA2940" w:rsidRDefault="006D37CB">
            <w:pPr>
              <w:pStyle w:val="TableParagraph"/>
              <w:spacing w:before="80"/>
              <w:ind w:left="120"/>
              <w:rPr>
                <w:rFonts w:ascii="Tahoma"/>
                <w:b/>
                <w:sz w:val="14"/>
              </w:rPr>
            </w:pPr>
            <w:r>
              <w:rPr>
                <w:rFonts w:ascii="Tahoma"/>
                <w:b/>
                <w:color w:val="231F20"/>
                <w:w w:val="95"/>
                <w:sz w:val="14"/>
              </w:rPr>
              <w:t>Formulary  Coverage</w:t>
            </w:r>
          </w:p>
        </w:tc>
        <w:tc>
          <w:tcPr>
            <w:tcW w:w="2644" w:type="dxa"/>
            <w:tcBorders>
              <w:top w:val="single" w:sz="4" w:space="0" w:color="008285"/>
            </w:tcBorders>
          </w:tcPr>
          <w:p w:rsidR="00EA2940" w:rsidRDefault="006D37CB">
            <w:pPr>
              <w:pStyle w:val="TableParagraph"/>
              <w:spacing w:before="80"/>
              <w:rPr>
                <w:rFonts w:ascii="Tahoma"/>
                <w:b/>
                <w:sz w:val="14"/>
              </w:rPr>
            </w:pPr>
            <w:r>
              <w:rPr>
                <w:rFonts w:ascii="Tahoma"/>
                <w:b/>
                <w:color w:val="231F20"/>
                <w:sz w:val="14"/>
              </w:rPr>
              <w:t>2006 Formularies</w:t>
            </w:r>
          </w:p>
        </w:tc>
        <w:tc>
          <w:tcPr>
            <w:tcW w:w="2644" w:type="dxa"/>
            <w:tcBorders>
              <w:top w:val="single" w:sz="4" w:space="0" w:color="008285"/>
            </w:tcBorders>
          </w:tcPr>
          <w:p w:rsidR="00EA2940" w:rsidRDefault="006D37CB">
            <w:pPr>
              <w:pStyle w:val="TableParagraph"/>
              <w:spacing w:before="80"/>
              <w:rPr>
                <w:rFonts w:ascii="Tahoma"/>
                <w:b/>
                <w:sz w:val="14"/>
              </w:rPr>
            </w:pPr>
            <w:r>
              <w:rPr>
                <w:rFonts w:ascii="Tahoma"/>
                <w:b/>
                <w:color w:val="231F20"/>
                <w:sz w:val="14"/>
              </w:rPr>
              <w:t>2011 Formularies</w:t>
            </w:r>
          </w:p>
        </w:tc>
        <w:tc>
          <w:tcPr>
            <w:tcW w:w="1924" w:type="dxa"/>
            <w:tcBorders>
              <w:top w:val="single" w:sz="4" w:space="0" w:color="008285"/>
            </w:tcBorders>
          </w:tcPr>
          <w:p w:rsidR="00EA2940" w:rsidRDefault="006D37CB">
            <w:pPr>
              <w:pStyle w:val="TableParagraph"/>
              <w:spacing w:before="80"/>
              <w:rPr>
                <w:rFonts w:ascii="Tahoma"/>
                <w:b/>
                <w:sz w:val="14"/>
              </w:rPr>
            </w:pPr>
            <w:r>
              <w:rPr>
                <w:rFonts w:ascii="Tahoma"/>
                <w:b/>
                <w:color w:val="231F20"/>
                <w:sz w:val="14"/>
              </w:rPr>
              <w:t>2015</w:t>
            </w:r>
            <w:r>
              <w:rPr>
                <w:rFonts w:ascii="Tahoma"/>
                <w:b/>
                <w:color w:val="231F20"/>
                <w:spacing w:val="-30"/>
                <w:sz w:val="14"/>
              </w:rPr>
              <w:t xml:space="preserve"> </w:t>
            </w:r>
            <w:r>
              <w:rPr>
                <w:rFonts w:ascii="Tahoma"/>
                <w:b/>
                <w:color w:val="231F20"/>
                <w:sz w:val="14"/>
              </w:rPr>
              <w:t>Formularies</w:t>
            </w:r>
          </w:p>
        </w:tc>
      </w:tr>
      <w:tr w:rsidR="00EA2940">
        <w:trPr>
          <w:trHeight w:hRule="exact" w:val="217"/>
        </w:trPr>
        <w:tc>
          <w:tcPr>
            <w:tcW w:w="2868" w:type="dxa"/>
            <w:tcBorders>
              <w:bottom w:val="single" w:sz="2" w:space="0" w:color="008285"/>
            </w:tcBorders>
          </w:tcPr>
          <w:p w:rsidR="00EA2940" w:rsidRDefault="00EA2940"/>
        </w:tc>
        <w:tc>
          <w:tcPr>
            <w:tcW w:w="2644" w:type="dxa"/>
            <w:tcBorders>
              <w:bottom w:val="single" w:sz="2" w:space="0" w:color="008285"/>
            </w:tcBorders>
          </w:tcPr>
          <w:p w:rsidR="00EA2940" w:rsidRDefault="006D37CB">
            <w:pPr>
              <w:pStyle w:val="TableParagraph"/>
              <w:spacing w:before="0" w:line="168" w:lineRule="exact"/>
              <w:rPr>
                <w:rFonts w:ascii="Tahoma"/>
                <w:b/>
                <w:sz w:val="14"/>
              </w:rPr>
            </w:pPr>
            <w:r>
              <w:rPr>
                <w:rFonts w:ascii="Tahoma"/>
                <w:b/>
                <w:color w:val="231F20"/>
                <w:sz w:val="14"/>
              </w:rPr>
              <w:t>(</w:t>
            </w:r>
            <w:r>
              <w:rPr>
                <w:rFonts w:ascii="Century Gothic"/>
                <w:b/>
                <w:i/>
                <w:color w:val="231F20"/>
                <w:sz w:val="14"/>
              </w:rPr>
              <w:t xml:space="preserve">n </w:t>
            </w:r>
            <w:r>
              <w:rPr>
                <w:rFonts w:ascii="Maiandra GD"/>
                <w:color w:val="231F20"/>
                <w:sz w:val="14"/>
              </w:rPr>
              <w:t xml:space="preserve">= </w:t>
            </w:r>
            <w:r>
              <w:rPr>
                <w:rFonts w:ascii="Tahoma"/>
                <w:b/>
                <w:color w:val="231F20"/>
                <w:sz w:val="14"/>
              </w:rPr>
              <w:t>324)</w:t>
            </w:r>
          </w:p>
        </w:tc>
        <w:tc>
          <w:tcPr>
            <w:tcW w:w="2644" w:type="dxa"/>
            <w:tcBorders>
              <w:bottom w:val="single" w:sz="2" w:space="0" w:color="008285"/>
            </w:tcBorders>
          </w:tcPr>
          <w:p w:rsidR="00EA2940" w:rsidRDefault="006D37CB">
            <w:pPr>
              <w:pStyle w:val="TableParagraph"/>
              <w:spacing w:before="0" w:line="168" w:lineRule="exact"/>
              <w:rPr>
                <w:rFonts w:ascii="Tahoma"/>
                <w:b/>
                <w:sz w:val="14"/>
              </w:rPr>
            </w:pPr>
            <w:r>
              <w:rPr>
                <w:rFonts w:ascii="Tahoma"/>
                <w:b/>
                <w:color w:val="231F20"/>
                <w:sz w:val="14"/>
              </w:rPr>
              <w:t>(</w:t>
            </w:r>
            <w:r>
              <w:rPr>
                <w:rFonts w:ascii="Century Gothic"/>
                <w:b/>
                <w:i/>
                <w:color w:val="231F20"/>
                <w:sz w:val="14"/>
              </w:rPr>
              <w:t xml:space="preserve">n </w:t>
            </w:r>
            <w:r>
              <w:rPr>
                <w:rFonts w:ascii="Maiandra GD"/>
                <w:color w:val="231F20"/>
                <w:sz w:val="14"/>
              </w:rPr>
              <w:t xml:space="preserve">= </w:t>
            </w:r>
            <w:r>
              <w:rPr>
                <w:rFonts w:ascii="Tahoma"/>
                <w:b/>
                <w:color w:val="231F20"/>
                <w:sz w:val="14"/>
              </w:rPr>
              <w:t>244)</w:t>
            </w:r>
          </w:p>
        </w:tc>
        <w:tc>
          <w:tcPr>
            <w:tcW w:w="1924" w:type="dxa"/>
            <w:tcBorders>
              <w:bottom w:val="single" w:sz="2" w:space="0" w:color="008285"/>
            </w:tcBorders>
          </w:tcPr>
          <w:p w:rsidR="00EA2940" w:rsidRDefault="006D37CB">
            <w:pPr>
              <w:pStyle w:val="TableParagraph"/>
              <w:spacing w:before="0" w:line="168" w:lineRule="exact"/>
              <w:rPr>
                <w:rFonts w:ascii="Tahoma"/>
                <w:b/>
                <w:sz w:val="14"/>
              </w:rPr>
            </w:pPr>
            <w:r>
              <w:rPr>
                <w:rFonts w:ascii="Tahoma"/>
                <w:b/>
                <w:color w:val="231F20"/>
                <w:sz w:val="14"/>
              </w:rPr>
              <w:t>(</w:t>
            </w:r>
            <w:r>
              <w:rPr>
                <w:rFonts w:ascii="Century Gothic"/>
                <w:b/>
                <w:i/>
                <w:color w:val="231F20"/>
                <w:sz w:val="14"/>
              </w:rPr>
              <w:t xml:space="preserve">n </w:t>
            </w:r>
            <w:r>
              <w:rPr>
                <w:rFonts w:ascii="Maiandra GD"/>
                <w:color w:val="231F20"/>
                <w:sz w:val="14"/>
              </w:rPr>
              <w:t xml:space="preserve">= </w:t>
            </w:r>
            <w:r>
              <w:rPr>
                <w:rFonts w:ascii="Tahoma"/>
                <w:b/>
                <w:color w:val="231F20"/>
                <w:sz w:val="14"/>
              </w:rPr>
              <w:t>389)</w:t>
            </w:r>
          </w:p>
        </w:tc>
      </w:tr>
      <w:tr w:rsidR="00EA2940">
        <w:trPr>
          <w:trHeight w:hRule="exact" w:val="228"/>
        </w:trPr>
        <w:tc>
          <w:tcPr>
            <w:tcW w:w="2868" w:type="dxa"/>
            <w:tcBorders>
              <w:top w:val="single" w:sz="2" w:space="0" w:color="008285"/>
            </w:tcBorders>
            <w:shd w:val="clear" w:color="auto" w:fill="EAF3F3"/>
          </w:tcPr>
          <w:p w:rsidR="00EA2940" w:rsidRDefault="006D37CB">
            <w:pPr>
              <w:pStyle w:val="TableParagraph"/>
              <w:spacing w:before="51"/>
              <w:ind w:left="120"/>
              <w:rPr>
                <w:sz w:val="14"/>
              </w:rPr>
            </w:pPr>
            <w:r>
              <w:rPr>
                <w:color w:val="231F20"/>
                <w:w w:val="115"/>
                <w:sz w:val="14"/>
              </w:rPr>
              <w:t>No coverage</w:t>
            </w:r>
          </w:p>
        </w:tc>
        <w:tc>
          <w:tcPr>
            <w:tcW w:w="2644" w:type="dxa"/>
            <w:tcBorders>
              <w:top w:val="single" w:sz="2" w:space="0" w:color="008285"/>
            </w:tcBorders>
            <w:shd w:val="clear" w:color="auto" w:fill="EAF3F3"/>
          </w:tcPr>
          <w:p w:rsidR="00EA2940" w:rsidRDefault="006D37CB">
            <w:pPr>
              <w:pStyle w:val="TableParagraph"/>
              <w:spacing w:before="51"/>
              <w:ind w:left="837"/>
              <w:rPr>
                <w:sz w:val="14"/>
              </w:rPr>
            </w:pPr>
            <w:r>
              <w:rPr>
                <w:color w:val="231F20"/>
                <w:w w:val="110"/>
                <w:sz w:val="14"/>
              </w:rPr>
              <w:t>20 (13.3–35.6)</w:t>
            </w:r>
          </w:p>
        </w:tc>
        <w:tc>
          <w:tcPr>
            <w:tcW w:w="2644" w:type="dxa"/>
            <w:tcBorders>
              <w:top w:val="single" w:sz="2" w:space="0" w:color="008285"/>
            </w:tcBorders>
            <w:shd w:val="clear" w:color="auto" w:fill="EAF3F3"/>
          </w:tcPr>
          <w:p w:rsidR="00EA2940" w:rsidRDefault="006D37CB">
            <w:pPr>
              <w:pStyle w:val="TableParagraph"/>
              <w:spacing w:before="51"/>
              <w:rPr>
                <w:sz w:val="14"/>
              </w:rPr>
            </w:pPr>
            <w:r>
              <w:rPr>
                <w:color w:val="231F20"/>
                <w:w w:val="110"/>
                <w:sz w:val="14"/>
              </w:rPr>
              <w:t>15.6 (4.4–24.4)</w:t>
            </w:r>
          </w:p>
        </w:tc>
        <w:tc>
          <w:tcPr>
            <w:tcW w:w="1924" w:type="dxa"/>
            <w:tcBorders>
              <w:top w:val="single" w:sz="2" w:space="0" w:color="008285"/>
            </w:tcBorders>
            <w:shd w:val="clear" w:color="auto" w:fill="EAF3F3"/>
          </w:tcPr>
          <w:p w:rsidR="00EA2940" w:rsidRDefault="006D37CB">
            <w:pPr>
              <w:pStyle w:val="TableParagraph"/>
              <w:spacing w:before="51"/>
              <w:rPr>
                <w:sz w:val="14"/>
              </w:rPr>
            </w:pPr>
            <w:r>
              <w:rPr>
                <w:color w:val="231F20"/>
                <w:w w:val="110"/>
                <w:sz w:val="14"/>
              </w:rPr>
              <w:t>17.8 (11.1–33.3)</w:t>
            </w:r>
          </w:p>
        </w:tc>
      </w:tr>
      <w:tr w:rsidR="00EA2940">
        <w:trPr>
          <w:trHeight w:hRule="exact" w:val="180"/>
        </w:trPr>
        <w:tc>
          <w:tcPr>
            <w:tcW w:w="2868" w:type="dxa"/>
          </w:tcPr>
          <w:p w:rsidR="00EA2940" w:rsidRDefault="006D37CB">
            <w:pPr>
              <w:pStyle w:val="TableParagraph"/>
              <w:ind w:left="120"/>
              <w:rPr>
                <w:sz w:val="14"/>
              </w:rPr>
            </w:pPr>
            <w:r>
              <w:rPr>
                <w:color w:val="231F20"/>
                <w:w w:val="110"/>
                <w:sz w:val="14"/>
              </w:rPr>
              <w:t>Coverage with no restrictions</w:t>
            </w:r>
          </w:p>
        </w:tc>
        <w:tc>
          <w:tcPr>
            <w:tcW w:w="2644" w:type="dxa"/>
          </w:tcPr>
          <w:p w:rsidR="00EA2940" w:rsidRDefault="006D37CB">
            <w:pPr>
              <w:pStyle w:val="TableParagraph"/>
              <w:rPr>
                <w:sz w:val="14"/>
              </w:rPr>
            </w:pPr>
            <w:r>
              <w:rPr>
                <w:color w:val="231F20"/>
                <w:w w:val="110"/>
                <w:sz w:val="14"/>
              </w:rPr>
              <w:t>66.7 (51.1–80.0)</w:t>
            </w:r>
          </w:p>
        </w:tc>
        <w:tc>
          <w:tcPr>
            <w:tcW w:w="2644" w:type="dxa"/>
          </w:tcPr>
          <w:p w:rsidR="00EA2940" w:rsidRDefault="006D37CB">
            <w:pPr>
              <w:pStyle w:val="TableParagraph"/>
              <w:rPr>
                <w:sz w:val="14"/>
              </w:rPr>
            </w:pPr>
            <w:r>
              <w:rPr>
                <w:color w:val="231F20"/>
                <w:w w:val="110"/>
                <w:sz w:val="14"/>
              </w:rPr>
              <w:t>66.7 (53.5–77.8)</w:t>
            </w:r>
          </w:p>
        </w:tc>
        <w:tc>
          <w:tcPr>
            <w:tcW w:w="1924" w:type="dxa"/>
          </w:tcPr>
          <w:p w:rsidR="00EA2940" w:rsidRDefault="006D37CB">
            <w:pPr>
              <w:pStyle w:val="TableParagraph"/>
              <w:rPr>
                <w:sz w:val="14"/>
              </w:rPr>
            </w:pPr>
            <w:r>
              <w:rPr>
                <w:color w:val="231F20"/>
                <w:w w:val="110"/>
                <w:sz w:val="14"/>
              </w:rPr>
              <w:t>33.3 (28.9–44.4)</w:t>
            </w:r>
          </w:p>
        </w:tc>
      </w:tr>
      <w:tr w:rsidR="00EA2940">
        <w:trPr>
          <w:trHeight w:hRule="exact" w:val="180"/>
        </w:trPr>
        <w:tc>
          <w:tcPr>
            <w:tcW w:w="2868" w:type="dxa"/>
            <w:shd w:val="clear" w:color="auto" w:fill="EAF3F3"/>
          </w:tcPr>
          <w:p w:rsidR="00EA2940" w:rsidRDefault="006D37CB">
            <w:pPr>
              <w:pStyle w:val="TableParagraph"/>
              <w:ind w:left="120"/>
              <w:rPr>
                <w:sz w:val="14"/>
              </w:rPr>
            </w:pPr>
            <w:r>
              <w:rPr>
                <w:color w:val="231F20"/>
                <w:w w:val="110"/>
                <w:sz w:val="14"/>
              </w:rPr>
              <w:t>Requires prior authorization</w:t>
            </w:r>
          </w:p>
        </w:tc>
        <w:tc>
          <w:tcPr>
            <w:tcW w:w="2644" w:type="dxa"/>
            <w:shd w:val="clear" w:color="auto" w:fill="EAF3F3"/>
          </w:tcPr>
          <w:p w:rsidR="00EA2940" w:rsidRDefault="006D37CB">
            <w:pPr>
              <w:pStyle w:val="TableParagraph"/>
              <w:ind w:left="890" w:right="1157"/>
              <w:jc w:val="center"/>
              <w:rPr>
                <w:sz w:val="14"/>
              </w:rPr>
            </w:pPr>
            <w:r>
              <w:rPr>
                <w:color w:val="231F20"/>
                <w:w w:val="110"/>
                <w:sz w:val="14"/>
              </w:rPr>
              <w:t>0 (0–4.4)</w:t>
            </w:r>
          </w:p>
        </w:tc>
        <w:tc>
          <w:tcPr>
            <w:tcW w:w="2644" w:type="dxa"/>
            <w:shd w:val="clear" w:color="auto" w:fill="EAF3F3"/>
          </w:tcPr>
          <w:p w:rsidR="00EA2940" w:rsidRDefault="006D37CB">
            <w:pPr>
              <w:pStyle w:val="TableParagraph"/>
              <w:ind w:left="890" w:right="1156"/>
              <w:jc w:val="center"/>
              <w:rPr>
                <w:sz w:val="14"/>
              </w:rPr>
            </w:pPr>
            <w:r>
              <w:rPr>
                <w:color w:val="231F20"/>
                <w:w w:val="110"/>
                <w:sz w:val="14"/>
              </w:rPr>
              <w:t>0 (0–8.9)</w:t>
            </w:r>
          </w:p>
        </w:tc>
        <w:tc>
          <w:tcPr>
            <w:tcW w:w="1924" w:type="dxa"/>
            <w:shd w:val="clear" w:color="auto" w:fill="EAF3F3"/>
          </w:tcPr>
          <w:p w:rsidR="00EA2940" w:rsidRDefault="006D37CB">
            <w:pPr>
              <w:pStyle w:val="TableParagraph"/>
              <w:ind w:left="801"/>
              <w:rPr>
                <w:sz w:val="14"/>
              </w:rPr>
            </w:pPr>
            <w:r>
              <w:rPr>
                <w:color w:val="231F20"/>
                <w:w w:val="110"/>
                <w:sz w:val="14"/>
              </w:rPr>
              <w:t>4.4 (0–11.1)</w:t>
            </w:r>
          </w:p>
        </w:tc>
      </w:tr>
      <w:tr w:rsidR="00EA2940">
        <w:trPr>
          <w:trHeight w:hRule="exact" w:val="180"/>
        </w:trPr>
        <w:tc>
          <w:tcPr>
            <w:tcW w:w="2868" w:type="dxa"/>
          </w:tcPr>
          <w:p w:rsidR="00EA2940" w:rsidRDefault="006D37CB">
            <w:pPr>
              <w:pStyle w:val="TableParagraph"/>
              <w:ind w:left="120"/>
              <w:rPr>
                <w:sz w:val="14"/>
              </w:rPr>
            </w:pPr>
            <w:r>
              <w:rPr>
                <w:color w:val="231F20"/>
                <w:w w:val="110"/>
                <w:sz w:val="14"/>
              </w:rPr>
              <w:t>Requires step therapy</w:t>
            </w:r>
          </w:p>
        </w:tc>
        <w:tc>
          <w:tcPr>
            <w:tcW w:w="2644" w:type="dxa"/>
          </w:tcPr>
          <w:p w:rsidR="00EA2940" w:rsidRDefault="006D37CB">
            <w:pPr>
              <w:pStyle w:val="TableParagraph"/>
              <w:ind w:left="773" w:right="1157"/>
              <w:jc w:val="center"/>
              <w:rPr>
                <w:sz w:val="14"/>
              </w:rPr>
            </w:pPr>
            <w:r>
              <w:rPr>
                <w:color w:val="231F20"/>
                <w:w w:val="110"/>
                <w:sz w:val="14"/>
              </w:rPr>
              <w:t>0 (0–0)</w:t>
            </w:r>
          </w:p>
        </w:tc>
        <w:tc>
          <w:tcPr>
            <w:tcW w:w="2644" w:type="dxa"/>
          </w:tcPr>
          <w:p w:rsidR="00EA2940" w:rsidRDefault="006D37CB">
            <w:pPr>
              <w:pStyle w:val="TableParagraph"/>
              <w:ind w:left="773" w:right="1157"/>
              <w:jc w:val="center"/>
              <w:rPr>
                <w:sz w:val="14"/>
              </w:rPr>
            </w:pPr>
            <w:r>
              <w:rPr>
                <w:color w:val="231F20"/>
                <w:w w:val="110"/>
                <w:sz w:val="14"/>
              </w:rPr>
              <w:t>0 (0–0)</w:t>
            </w:r>
          </w:p>
        </w:tc>
        <w:tc>
          <w:tcPr>
            <w:tcW w:w="1924" w:type="dxa"/>
          </w:tcPr>
          <w:p w:rsidR="00EA2940" w:rsidRDefault="006D37CB">
            <w:pPr>
              <w:pStyle w:val="TableParagraph"/>
              <w:ind w:left="918"/>
              <w:rPr>
                <w:sz w:val="14"/>
              </w:rPr>
            </w:pPr>
            <w:r>
              <w:rPr>
                <w:color w:val="231F20"/>
                <w:w w:val="110"/>
                <w:sz w:val="14"/>
              </w:rPr>
              <w:t>0 (0–0)</w:t>
            </w:r>
          </w:p>
        </w:tc>
      </w:tr>
      <w:tr w:rsidR="00EA2940">
        <w:trPr>
          <w:trHeight w:hRule="exact" w:val="180"/>
        </w:trPr>
        <w:tc>
          <w:tcPr>
            <w:tcW w:w="2868" w:type="dxa"/>
            <w:shd w:val="clear" w:color="auto" w:fill="EAF3F3"/>
          </w:tcPr>
          <w:p w:rsidR="00EA2940" w:rsidRDefault="006D37CB">
            <w:pPr>
              <w:pStyle w:val="TableParagraph"/>
              <w:ind w:left="120"/>
              <w:rPr>
                <w:sz w:val="14"/>
              </w:rPr>
            </w:pPr>
            <w:r>
              <w:rPr>
                <w:color w:val="231F20"/>
                <w:w w:val="110"/>
                <w:sz w:val="14"/>
              </w:rPr>
              <w:t>Imposes any quantity limit</w:t>
            </w:r>
          </w:p>
        </w:tc>
        <w:tc>
          <w:tcPr>
            <w:tcW w:w="2644" w:type="dxa"/>
            <w:shd w:val="clear" w:color="auto" w:fill="EAF3F3"/>
          </w:tcPr>
          <w:p w:rsidR="00EA2940" w:rsidRDefault="006D37CB">
            <w:pPr>
              <w:pStyle w:val="TableParagraph"/>
              <w:ind w:left="801"/>
              <w:rPr>
                <w:sz w:val="14"/>
              </w:rPr>
            </w:pPr>
            <w:r>
              <w:rPr>
                <w:color w:val="231F20"/>
                <w:w w:val="110"/>
                <w:sz w:val="14"/>
              </w:rPr>
              <w:t>8.9 (0–28.9)</w:t>
            </w:r>
          </w:p>
        </w:tc>
        <w:tc>
          <w:tcPr>
            <w:tcW w:w="2644" w:type="dxa"/>
            <w:shd w:val="clear" w:color="auto" w:fill="EAF3F3"/>
          </w:tcPr>
          <w:p w:rsidR="00EA2940" w:rsidRDefault="006D37CB">
            <w:pPr>
              <w:pStyle w:val="TableParagraph"/>
              <w:rPr>
                <w:sz w:val="14"/>
              </w:rPr>
            </w:pPr>
            <w:r>
              <w:rPr>
                <w:color w:val="231F20"/>
                <w:w w:val="110"/>
                <w:sz w:val="14"/>
              </w:rPr>
              <w:t>22.2 (8.9–40.6)</w:t>
            </w:r>
          </w:p>
        </w:tc>
        <w:tc>
          <w:tcPr>
            <w:tcW w:w="1924" w:type="dxa"/>
            <w:shd w:val="clear" w:color="auto" w:fill="EAF3F3"/>
          </w:tcPr>
          <w:p w:rsidR="00EA2940" w:rsidRDefault="006D37CB">
            <w:pPr>
              <w:pStyle w:val="TableParagraph"/>
              <w:rPr>
                <w:sz w:val="14"/>
              </w:rPr>
            </w:pPr>
            <w:r>
              <w:rPr>
                <w:color w:val="231F20"/>
                <w:w w:val="110"/>
                <w:sz w:val="14"/>
              </w:rPr>
              <w:t>71.1 (60.0–84.4)</w:t>
            </w:r>
          </w:p>
        </w:tc>
      </w:tr>
      <w:tr w:rsidR="00EA2940">
        <w:trPr>
          <w:trHeight w:hRule="exact" w:val="360"/>
        </w:trPr>
        <w:tc>
          <w:tcPr>
            <w:tcW w:w="2868" w:type="dxa"/>
          </w:tcPr>
          <w:p w:rsidR="00EA2940" w:rsidRDefault="006D37CB">
            <w:pPr>
              <w:pStyle w:val="TableParagraph"/>
              <w:ind w:left="120"/>
              <w:rPr>
                <w:sz w:val="14"/>
              </w:rPr>
            </w:pPr>
            <w:r>
              <w:rPr>
                <w:color w:val="231F20"/>
                <w:w w:val="110"/>
                <w:sz w:val="14"/>
              </w:rPr>
              <w:t>Imposes a speciﬁc quantity limit</w:t>
            </w:r>
          </w:p>
          <w:p w:rsidR="00EA2940" w:rsidRDefault="006D37CB">
            <w:pPr>
              <w:pStyle w:val="TableParagraph"/>
              <w:spacing w:before="8"/>
              <w:ind w:left="260"/>
              <w:rPr>
                <w:sz w:val="14"/>
              </w:rPr>
            </w:pPr>
            <w:r>
              <w:rPr>
                <w:color w:val="231F20"/>
                <w:w w:val="115"/>
                <w:sz w:val="14"/>
              </w:rPr>
              <w:t>&lt;50 MME/d</w:t>
            </w:r>
          </w:p>
        </w:tc>
        <w:tc>
          <w:tcPr>
            <w:tcW w:w="2644" w:type="dxa"/>
          </w:tcPr>
          <w:p w:rsidR="00EA2940" w:rsidRDefault="00EA2940">
            <w:pPr>
              <w:pStyle w:val="TableParagraph"/>
              <w:spacing w:before="10"/>
              <w:ind w:left="0"/>
              <w:rPr>
                <w:rFonts w:ascii="Lucida Sans"/>
                <w:sz w:val="15"/>
              </w:rPr>
            </w:pPr>
          </w:p>
          <w:p w:rsidR="00EA2940" w:rsidRDefault="006D37CB">
            <w:pPr>
              <w:pStyle w:val="TableParagraph"/>
              <w:spacing w:before="0"/>
              <w:ind w:left="801"/>
              <w:rPr>
                <w:sz w:val="14"/>
              </w:rPr>
            </w:pPr>
            <w:r>
              <w:rPr>
                <w:color w:val="231F20"/>
                <w:w w:val="110"/>
                <w:sz w:val="14"/>
              </w:rPr>
              <w:t>2.2 (0–6.7)</w:t>
            </w:r>
          </w:p>
        </w:tc>
        <w:tc>
          <w:tcPr>
            <w:tcW w:w="2644" w:type="dxa"/>
          </w:tcPr>
          <w:p w:rsidR="00EA2940" w:rsidRDefault="00EA2940">
            <w:pPr>
              <w:pStyle w:val="TableParagraph"/>
              <w:spacing w:before="10"/>
              <w:ind w:left="0"/>
              <w:rPr>
                <w:rFonts w:ascii="Lucida Sans"/>
                <w:sz w:val="15"/>
              </w:rPr>
            </w:pPr>
          </w:p>
          <w:p w:rsidR="00EA2940" w:rsidRDefault="006D37CB">
            <w:pPr>
              <w:pStyle w:val="TableParagraph"/>
              <w:spacing w:before="0"/>
              <w:ind w:left="801"/>
              <w:rPr>
                <w:sz w:val="14"/>
              </w:rPr>
            </w:pPr>
            <w:r>
              <w:rPr>
                <w:color w:val="231F20"/>
                <w:w w:val="110"/>
                <w:sz w:val="14"/>
              </w:rPr>
              <w:t>4.4 (2.2–6.7)</w:t>
            </w:r>
          </w:p>
        </w:tc>
        <w:tc>
          <w:tcPr>
            <w:tcW w:w="1924" w:type="dxa"/>
          </w:tcPr>
          <w:p w:rsidR="00EA2940" w:rsidRDefault="00EA2940">
            <w:pPr>
              <w:pStyle w:val="TableParagraph"/>
              <w:spacing w:before="10"/>
              <w:ind w:left="0"/>
              <w:rPr>
                <w:rFonts w:ascii="Lucida Sans"/>
                <w:sz w:val="15"/>
              </w:rPr>
            </w:pPr>
          </w:p>
          <w:p w:rsidR="00EA2940" w:rsidRDefault="006D37CB">
            <w:pPr>
              <w:pStyle w:val="TableParagraph"/>
              <w:spacing w:before="0"/>
              <w:rPr>
                <w:sz w:val="14"/>
              </w:rPr>
            </w:pPr>
            <w:r>
              <w:rPr>
                <w:color w:val="231F20"/>
                <w:w w:val="110"/>
                <w:sz w:val="14"/>
              </w:rPr>
              <w:t>13.3 (8.9–17.8)</w:t>
            </w:r>
          </w:p>
        </w:tc>
      </w:tr>
      <w:tr w:rsidR="00EA2940">
        <w:trPr>
          <w:trHeight w:hRule="exact" w:val="180"/>
        </w:trPr>
        <w:tc>
          <w:tcPr>
            <w:tcW w:w="2868" w:type="dxa"/>
            <w:shd w:val="clear" w:color="auto" w:fill="EAF3F3"/>
          </w:tcPr>
          <w:p w:rsidR="00EA2940" w:rsidRDefault="006D37CB">
            <w:pPr>
              <w:pStyle w:val="TableParagraph"/>
              <w:ind w:left="260"/>
              <w:rPr>
                <w:sz w:val="14"/>
              </w:rPr>
            </w:pPr>
            <w:r>
              <w:rPr>
                <w:color w:val="231F20"/>
                <w:w w:val="110"/>
                <w:sz w:val="14"/>
              </w:rPr>
              <w:t>50–90 MME/d</w:t>
            </w:r>
          </w:p>
        </w:tc>
        <w:tc>
          <w:tcPr>
            <w:tcW w:w="2644" w:type="dxa"/>
            <w:shd w:val="clear" w:color="auto" w:fill="EAF3F3"/>
          </w:tcPr>
          <w:p w:rsidR="00EA2940" w:rsidRDefault="006D37CB">
            <w:pPr>
              <w:pStyle w:val="TableParagraph"/>
              <w:ind w:left="801"/>
              <w:rPr>
                <w:sz w:val="14"/>
              </w:rPr>
            </w:pPr>
            <w:r>
              <w:rPr>
                <w:color w:val="231F20"/>
                <w:w w:val="110"/>
                <w:sz w:val="14"/>
              </w:rPr>
              <w:t>2.2 (0–8.9)</w:t>
            </w:r>
          </w:p>
        </w:tc>
        <w:tc>
          <w:tcPr>
            <w:tcW w:w="2644" w:type="dxa"/>
            <w:shd w:val="clear" w:color="auto" w:fill="EAF3F3"/>
          </w:tcPr>
          <w:p w:rsidR="00EA2940" w:rsidRDefault="006D37CB">
            <w:pPr>
              <w:pStyle w:val="TableParagraph"/>
              <w:ind w:left="801"/>
              <w:rPr>
                <w:sz w:val="14"/>
              </w:rPr>
            </w:pPr>
            <w:r>
              <w:rPr>
                <w:color w:val="231F20"/>
                <w:w w:val="110"/>
                <w:sz w:val="14"/>
              </w:rPr>
              <w:t>6.7 (4.4–13.3)</w:t>
            </w:r>
          </w:p>
        </w:tc>
        <w:tc>
          <w:tcPr>
            <w:tcW w:w="1924" w:type="dxa"/>
            <w:shd w:val="clear" w:color="auto" w:fill="EAF3F3"/>
          </w:tcPr>
          <w:p w:rsidR="00EA2940" w:rsidRDefault="006D37CB">
            <w:pPr>
              <w:pStyle w:val="TableParagraph"/>
              <w:rPr>
                <w:sz w:val="14"/>
              </w:rPr>
            </w:pPr>
            <w:r>
              <w:rPr>
                <w:color w:val="231F20"/>
                <w:w w:val="110"/>
                <w:sz w:val="14"/>
              </w:rPr>
              <w:t>24.4 (20.0–33.3)</w:t>
            </w:r>
          </w:p>
        </w:tc>
      </w:tr>
      <w:tr w:rsidR="00EA2940">
        <w:trPr>
          <w:trHeight w:hRule="exact" w:val="225"/>
        </w:trPr>
        <w:tc>
          <w:tcPr>
            <w:tcW w:w="2868" w:type="dxa"/>
            <w:tcBorders>
              <w:bottom w:val="single" w:sz="4" w:space="0" w:color="008285"/>
            </w:tcBorders>
          </w:tcPr>
          <w:p w:rsidR="00EA2940" w:rsidRDefault="006D37CB">
            <w:pPr>
              <w:pStyle w:val="TableParagraph"/>
              <w:ind w:left="260"/>
              <w:rPr>
                <w:sz w:val="14"/>
              </w:rPr>
            </w:pPr>
            <w:r>
              <w:rPr>
                <w:color w:val="231F20"/>
                <w:w w:val="115"/>
                <w:sz w:val="14"/>
              </w:rPr>
              <w:t>&gt;90 MME/d</w:t>
            </w:r>
          </w:p>
        </w:tc>
        <w:tc>
          <w:tcPr>
            <w:tcW w:w="2644" w:type="dxa"/>
            <w:tcBorders>
              <w:bottom w:val="single" w:sz="4" w:space="0" w:color="008285"/>
            </w:tcBorders>
          </w:tcPr>
          <w:p w:rsidR="00EA2940" w:rsidRDefault="006D37CB">
            <w:pPr>
              <w:pStyle w:val="TableParagraph"/>
              <w:ind w:left="801"/>
              <w:rPr>
                <w:sz w:val="14"/>
              </w:rPr>
            </w:pPr>
            <w:r>
              <w:rPr>
                <w:color w:val="231F20"/>
                <w:w w:val="110"/>
                <w:sz w:val="14"/>
              </w:rPr>
              <w:t>4.4 (0–13.3)</w:t>
            </w:r>
          </w:p>
        </w:tc>
        <w:tc>
          <w:tcPr>
            <w:tcW w:w="2644" w:type="dxa"/>
            <w:tcBorders>
              <w:bottom w:val="single" w:sz="4" w:space="0" w:color="008285"/>
            </w:tcBorders>
          </w:tcPr>
          <w:p w:rsidR="00EA2940" w:rsidRDefault="006D37CB">
            <w:pPr>
              <w:pStyle w:val="TableParagraph"/>
              <w:rPr>
                <w:sz w:val="14"/>
              </w:rPr>
            </w:pPr>
            <w:r>
              <w:rPr>
                <w:color w:val="231F20"/>
                <w:w w:val="110"/>
                <w:sz w:val="14"/>
              </w:rPr>
              <w:t>11.1 (2.2–24.4)</w:t>
            </w:r>
          </w:p>
        </w:tc>
        <w:tc>
          <w:tcPr>
            <w:tcW w:w="1924" w:type="dxa"/>
            <w:tcBorders>
              <w:bottom w:val="single" w:sz="4" w:space="0" w:color="008285"/>
            </w:tcBorders>
          </w:tcPr>
          <w:p w:rsidR="00EA2940" w:rsidRDefault="006D37CB">
            <w:pPr>
              <w:pStyle w:val="TableParagraph"/>
              <w:rPr>
                <w:sz w:val="14"/>
              </w:rPr>
            </w:pPr>
            <w:r>
              <w:rPr>
                <w:color w:val="231F20"/>
                <w:w w:val="110"/>
                <w:sz w:val="14"/>
              </w:rPr>
              <w:t>31.1 (26.7–37.8)</w:t>
            </w:r>
          </w:p>
        </w:tc>
      </w:tr>
    </w:tbl>
    <w:p w:rsidR="00EA2940" w:rsidRDefault="006D37CB">
      <w:pPr>
        <w:spacing w:before="32" w:line="172" w:lineRule="exact"/>
        <w:ind w:left="790"/>
        <w:rPr>
          <w:sz w:val="15"/>
        </w:rPr>
      </w:pPr>
      <w:r>
        <w:rPr>
          <w:color w:val="231F20"/>
          <w:w w:val="115"/>
          <w:sz w:val="15"/>
        </w:rPr>
        <w:t>MME = morphine milligram equivalents.</w:t>
      </w:r>
    </w:p>
    <w:p w:rsidR="00EA2940" w:rsidRDefault="006D37CB">
      <w:pPr>
        <w:spacing w:line="172" w:lineRule="exact"/>
        <w:ind w:left="790"/>
        <w:rPr>
          <w:sz w:val="15"/>
        </w:rPr>
      </w:pPr>
      <w:r>
        <w:rPr>
          <w:color w:val="231F20"/>
          <w:w w:val="110"/>
          <w:sz w:val="15"/>
        </w:rPr>
        <w:t>* Values are percentages, and values in parentheses are interquartile ranges.</w:t>
      </w:r>
    </w:p>
    <w:p w:rsidR="00EA2940" w:rsidRDefault="006D37CB">
      <w:pPr>
        <w:spacing w:before="155"/>
        <w:ind w:right="106"/>
        <w:jc w:val="right"/>
        <w:rPr>
          <w:rFonts w:ascii="Book Antiqua" w:hAnsi="Book Antiqua"/>
          <w:b/>
          <w:sz w:val="14"/>
        </w:rPr>
      </w:pPr>
      <w:r>
        <w:rPr>
          <w:rFonts w:ascii="Book Antiqua" w:hAnsi="Book Antiqua"/>
          <w:color w:val="231F20"/>
          <w:sz w:val="14"/>
        </w:rPr>
        <w:t xml:space="preserve">© 2017 American College of Physicians   </w:t>
      </w:r>
      <w:r>
        <w:rPr>
          <w:rFonts w:ascii="Book Antiqua" w:hAnsi="Book Antiqua"/>
          <w:b/>
          <w:color w:val="231F20"/>
          <w:sz w:val="14"/>
        </w:rPr>
        <w:t>895</w:t>
      </w:r>
    </w:p>
    <w:p w:rsidR="00EA2940" w:rsidRDefault="00EA2940">
      <w:pPr>
        <w:pStyle w:val="BodyText"/>
        <w:spacing w:before="8"/>
        <w:rPr>
          <w:rFonts w:ascii="Book Antiqua"/>
          <w:b/>
          <w:sz w:val="14"/>
        </w:rPr>
      </w:pPr>
    </w:p>
    <w:p w:rsidR="00EA2940" w:rsidRDefault="006D37CB">
      <w:pPr>
        <w:spacing w:before="94"/>
        <w:ind w:left="100"/>
        <w:rPr>
          <w:rFonts w:ascii="Times New Roman"/>
          <w:b/>
          <w:sz w:val="16"/>
        </w:rPr>
      </w:pPr>
      <w:hyperlink r:id="rId5">
        <w:r>
          <w:rPr>
            <w:rFonts w:ascii="Times New Roman"/>
            <w:b/>
            <w:sz w:val="16"/>
          </w:rPr>
          <w:t>Downloaded From: http://annals.org/</w:t>
        </w:r>
      </w:hyperlink>
      <w:r>
        <w:rPr>
          <w:rFonts w:ascii="Times New Roman"/>
          <w:b/>
          <w:sz w:val="16"/>
        </w:rPr>
        <w:t xml:space="preserve"> by Yale Medical Library, Sanket Dhruva on 02/21/2018</w:t>
      </w:r>
    </w:p>
    <w:p w:rsidR="00EA2940" w:rsidRDefault="00EA2940">
      <w:pPr>
        <w:rPr>
          <w:rFonts w:ascii="Times New Roman"/>
          <w:sz w:val="16"/>
        </w:rPr>
        <w:sectPr w:rsidR="00EA2940">
          <w:type w:val="continuous"/>
          <w:pgSz w:w="11880" w:h="15570"/>
          <w:pgMar w:top="1400" w:right="800" w:bottom="280" w:left="100" w:header="720" w:footer="720" w:gutter="0"/>
          <w:cols w:space="720"/>
        </w:sectPr>
      </w:pPr>
    </w:p>
    <w:p w:rsidR="00EA2940" w:rsidRDefault="006D37CB">
      <w:pPr>
        <w:spacing w:before="67"/>
        <w:ind w:left="790"/>
        <w:rPr>
          <w:rFonts w:ascii="Book Antiqua"/>
          <w:sz w:val="23"/>
        </w:rPr>
      </w:pPr>
      <w:bookmarkStart w:id="0" w:name="_GoBack"/>
      <w:r>
        <w:rPr>
          <w:rFonts w:ascii="Book Antiqua"/>
          <w:color w:val="008285"/>
          <w:sz w:val="32"/>
        </w:rPr>
        <w:lastRenderedPageBreak/>
        <w:t>L</w:t>
      </w:r>
      <w:r>
        <w:rPr>
          <w:rFonts w:ascii="Book Antiqua"/>
          <w:color w:val="008285"/>
          <w:sz w:val="23"/>
        </w:rPr>
        <w:t>ETTERS</w:t>
      </w:r>
    </w:p>
    <w:p w:rsidR="00EA2940" w:rsidRDefault="006D37CB">
      <w:pPr>
        <w:pStyle w:val="BodyText"/>
        <w:spacing w:before="12"/>
        <w:rPr>
          <w:rFonts w:ascii="Book Antiqua"/>
          <w:sz w:val="28"/>
        </w:rPr>
      </w:pPr>
      <w:r>
        <w:pict>
          <v:line id="_x0000_s1103" style="position:absolute;z-index:1072;mso-wrap-distance-left:0;mso-wrap-distance-right:0;mso-position-horizontal-relative:page" from="44.5pt,20.2pt" to="548.5pt,20.2pt" strokecolor="#008285" strokeweight=".5pt">
            <w10:wrap type="topAndBottom" anchorx="page"/>
          </v:line>
        </w:pict>
      </w:r>
    </w:p>
    <w:p w:rsidR="00EA2940" w:rsidRDefault="006D37CB">
      <w:pPr>
        <w:pStyle w:val="BodyText"/>
        <w:spacing w:after="62" w:line="209" w:lineRule="exact"/>
        <w:ind w:left="910"/>
        <w:rPr>
          <w:rFonts w:ascii="Lucida Sans" w:hAnsi="Lucida Sans"/>
        </w:rPr>
      </w:pPr>
      <w:r>
        <w:rPr>
          <w:rFonts w:ascii="Book Antiqua" w:hAnsi="Book Antiqua"/>
          <w:b/>
          <w:i/>
          <w:color w:val="231F20"/>
        </w:rPr>
        <w:t xml:space="preserve">Figure. </w:t>
      </w:r>
      <w:r>
        <w:rPr>
          <w:rFonts w:ascii="Lucida Sans" w:hAnsi="Lucida Sans"/>
          <w:color w:val="231F20"/>
        </w:rPr>
        <w:t>Medicare formulary daily dosage restrictions of hydrocodone–acetaminophen: 2006, 2011, and 2015.</w:t>
      </w:r>
    </w:p>
    <w:p w:rsidR="00EA2940" w:rsidRDefault="006D37CB">
      <w:pPr>
        <w:pStyle w:val="BodyText"/>
        <w:spacing w:line="20" w:lineRule="exact"/>
        <w:ind w:left="785"/>
        <w:rPr>
          <w:rFonts w:ascii="Lucida Sans"/>
          <w:sz w:val="2"/>
        </w:rPr>
      </w:pPr>
      <w:r>
        <w:rPr>
          <w:rFonts w:ascii="Lucida Sans"/>
          <w:sz w:val="2"/>
        </w:rPr>
      </w:r>
      <w:r>
        <w:rPr>
          <w:rFonts w:ascii="Lucida Sans"/>
          <w:sz w:val="2"/>
        </w:rPr>
        <w:pict>
          <v:group id="_x0000_s1101" style="width:504.5pt;height:.5pt;mso-position-horizontal-relative:char;mso-position-vertical-relative:line" coordsize="10090,10">
            <v:line id="_x0000_s1102" style="position:absolute" from="5,5" to="10085,5" strokecolor="#008285" strokeweight=".5pt"/>
            <w10:wrap type="none"/>
            <w10:anchorlock/>
          </v:group>
        </w:pict>
      </w:r>
    </w:p>
    <w:p w:rsidR="00EA2940" w:rsidRDefault="00EA2940">
      <w:pPr>
        <w:pStyle w:val="BodyText"/>
        <w:spacing w:before="8"/>
        <w:rPr>
          <w:rFonts w:ascii="Lucida Sans"/>
          <w:sz w:val="13"/>
        </w:rPr>
      </w:pPr>
    </w:p>
    <w:p w:rsidR="00EA2940" w:rsidRDefault="006D37CB">
      <w:pPr>
        <w:spacing w:before="100"/>
        <w:ind w:left="2554"/>
        <w:rPr>
          <w:rFonts w:ascii="Arial"/>
          <w:sz w:val="12"/>
        </w:rPr>
      </w:pPr>
      <w:r>
        <w:pict>
          <v:group id="_x0000_s1041" style="position:absolute;left:0;text-align:left;margin-left:146.4pt;margin-top:8.2pt;width:322.55pt;height:162.2pt;z-index:1120;mso-position-horizontal-relative:page" coordorigin="2928,164" coordsize="6451,3244">
            <v:line id="_x0000_s1100" style="position:absolute" from="2933,3403" to="9373,3403" strokecolor="#010202" strokeweight=".5pt"/>
            <v:rect id="_x0000_s1099" style="position:absolute;left:3110;top:3040;width:230;height:363" filled="f" strokecolor="#010202" strokeweight=".5pt"/>
            <v:rect id="_x0000_s1098" style="position:absolute;left:3110;top:2858;width:230;height:182" fillcolor="#d1dcdf" stroked="f"/>
            <v:rect id="_x0000_s1097" style="position:absolute;left:3110;top:2858;width:230;height:182" filled="f" strokecolor="#231f20" strokeweight=".5pt"/>
            <v:rect id="_x0000_s1096" style="position:absolute;left:3110;top:1413;width:230;height:1445" fillcolor="#87adb3" stroked="f"/>
            <v:rect id="_x0000_s1095" style="position:absolute;left:3110;top:1413;width:230;height:1445" filled="f" strokecolor="#231f20" strokeweight=".5pt"/>
            <v:rect id="_x0000_s1094" style="position:absolute;left:3110;top:169;width:230;height:1243" fillcolor="#007278" stroked="f"/>
            <v:rect id="_x0000_s1093" style="position:absolute;left:3110;top:169;width:230;height:1243" filled="f" strokecolor="#231f2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5427;top:2987;width:276;height:421">
              <v:imagedata r:id="rId6" o:title=""/>
            </v:shape>
            <v:rect id="_x0000_s1091" style="position:absolute;left:5450;top:704;width:230;height:2288" fillcolor="#87adb3" stroked="f"/>
            <v:rect id="_x0000_s1090" style="position:absolute;left:5450;top:704;width:230;height:2288" filled="f" strokecolor="#231f20" strokeweight=".5pt"/>
            <v:rect id="_x0000_s1089" style="position:absolute;left:5450;top:169;width:230;height:535" fillcolor="#007278" stroked="f"/>
            <v:rect id="_x0000_s1088" style="position:absolute;left:5450;top:169;width:230;height:535" filled="f" strokecolor="#231f20" strokeweight=".5pt"/>
            <v:rect id="_x0000_s1087" style="position:absolute;left:6610;top:2980;width:230;height:423" filled="f" strokecolor="#010202" strokeweight=".5pt"/>
            <v:rect id="_x0000_s1086" style="position:absolute;left:6610;top:638;width:230;height:2342" fillcolor="#d1dcdf" stroked="f"/>
            <v:rect id="_x0000_s1085" style="position:absolute;left:6610;top:638;width:230;height:2342" filled="f" strokecolor="#231f20" strokeweight=".5pt"/>
            <v:shape id="_x0000_s1084" type="#_x0000_t75" style="position:absolute;left:6587;top:164;width:276;height:479">
              <v:imagedata r:id="rId7" o:title=""/>
            </v:shape>
            <v:shape id="_x0000_s1083" type="#_x0000_t75" style="position:absolute;left:7778;top:2843;width:240;height:565">
              <v:imagedata r:id="rId8" o:title=""/>
            </v:shape>
            <v:rect id="_x0000_s1082" style="position:absolute;left:7783;top:795;width:230;height:2053" fillcolor="#87adb3" stroked="f"/>
            <v:rect id="_x0000_s1081" style="position:absolute;left:7783;top:795;width:230;height:2053" filled="f" strokecolor="#231f20" strokeweight=".5pt"/>
            <v:rect id="_x0000_s1080" style="position:absolute;left:7783;top:169;width:230;height:626" fillcolor="#007278" stroked="f"/>
            <v:rect id="_x0000_s1079" style="position:absolute;left:7783;top:169;width:230;height:626" filled="f" strokecolor="#231f20" strokeweight=".5pt"/>
            <v:rect id="_x0000_s1078" style="position:absolute;left:8369;top:3378;width:230;height:24" stroked="f"/>
            <v:rect id="_x0000_s1077" style="position:absolute;left:8364;top:3373;width:240;height:34" fillcolor="#010202" stroked="f"/>
            <v:rect id="_x0000_s1076" style="position:absolute;left:8369;top:3135;width:230;height:244" fillcolor="#d1dcdf" stroked="f"/>
            <v:rect id="_x0000_s1075" style="position:absolute;left:8369;top:3135;width:230;height:244" filled="f" strokecolor="#231f20" strokeweight=".5pt"/>
            <v:rect id="_x0000_s1074" style="position:absolute;left:8369;top:2628;width:230;height:507" fillcolor="#abc3c8" stroked="f"/>
            <v:rect id="_x0000_s1073" style="position:absolute;left:8369;top:2628;width:230;height:507" filled="f" strokecolor="#231f20" strokeweight=".5pt"/>
            <v:rect id="_x0000_s1072" style="position:absolute;left:8369;top:255;width:230;height:2373" fillcolor="#87adb3" stroked="f"/>
            <v:rect id="_x0000_s1071" style="position:absolute;left:8369;top:255;width:230;height:2373" filled="f" strokecolor="#231f20" strokeweight=".5pt"/>
            <v:rect id="_x0000_s1070" style="position:absolute;left:8369;top:169;width:230;height:86" fillcolor="#007278" stroked="f"/>
            <v:rect id="_x0000_s1069" style="position:absolute;left:8369;top:169;width:230;height:86" filled="f" strokecolor="#231f20" strokeweight=".5pt"/>
            <v:rect id="_x0000_s1068" style="position:absolute;left:3695;top:3220;width:230;height:183" filled="f" strokecolor="#010202" strokeweight=".5pt"/>
            <v:rect id="_x0000_s1067" style="position:absolute;left:3695;top:2598;width:230;height:622" fillcolor="#d1dcdf" stroked="f"/>
            <v:rect id="_x0000_s1066" style="position:absolute;left:3695;top:2598;width:230;height:622" filled="f" strokecolor="#231f20" strokeweight=".5pt"/>
            <v:rect id="_x0000_s1065" style="position:absolute;left:3695;top:240;width:230;height:2358" fillcolor="#87adb3" stroked="f"/>
            <v:rect id="_x0000_s1064" style="position:absolute;left:3695;top:240;width:230;height:2358" filled="f" strokecolor="#231f20" strokeweight=".5pt"/>
            <v:rect id="_x0000_s1063" style="position:absolute;left:3695;top:169;width:230;height:71" fillcolor="#007278" stroked="f"/>
            <v:rect id="_x0000_s1062" style="position:absolute;left:3695;top:169;width:230;height:71" filled="f" strokecolor="#231f20" strokeweight=".5pt"/>
            <v:rect id="_x0000_s1061" style="position:absolute;left:8951;top:3324;width:230;height:79" stroked="f"/>
            <v:rect id="_x0000_s1060" style="position:absolute;left:8951;top:3324;width:230;height:79" filled="f" strokecolor="#010202" strokeweight=".5pt"/>
            <v:rect id="_x0000_s1059" style="position:absolute;left:8951;top:2778;width:230;height:546" fillcolor="#d1dcdf" stroked="f"/>
            <v:rect id="_x0000_s1058" style="position:absolute;left:8951;top:2778;width:230;height:546" filled="f" strokecolor="#231f20" strokeweight=".5pt"/>
            <v:rect id="_x0000_s1057" style="position:absolute;left:8951;top:526;width:230;height:2252" fillcolor="#abc3c8" stroked="f"/>
            <v:rect id="_x0000_s1056" style="position:absolute;left:8951;top:526;width:230;height:2252" filled="f" strokecolor="#231f20" strokeweight=".5pt"/>
            <v:rect id="_x0000_s1055" style="position:absolute;left:8951;top:169;width:230;height:356" fillcolor="#87adb3" stroked="f"/>
            <v:rect id="_x0000_s1054" style="position:absolute;left:8951;top:169;width:230;height:356" filled="f" strokecolor="#231f20" strokeweight=".5pt"/>
            <v:rect id="_x0000_s1053" style="position:absolute;left:6031;top:3240;width:230;height:163" filled="f" strokecolor="#010202" strokeweight=".5pt"/>
            <v:rect id="_x0000_s1052" style="position:absolute;left:6031;top:2598;width:230;height:642" fillcolor="#d1dcdf" stroked="f"/>
            <v:rect id="_x0000_s1051" style="position:absolute;left:6031;top:2598;width:230;height:642" filled="f" strokecolor="#231f20" strokeweight=".5pt"/>
            <v:rect id="_x0000_s1050" style="position:absolute;left:6031;top:255;width:230;height:2343" fillcolor="#87adb3" stroked="f"/>
            <v:rect id="_x0000_s1049" style="position:absolute;left:6031;top:255;width:230;height:2343" filled="f" strokecolor="#231f20" strokeweight=".5pt"/>
            <v:rect id="_x0000_s1048" style="position:absolute;left:6031;top:169;width:230;height:85" fillcolor="#007278" stroked="f"/>
            <v:rect id="_x0000_s1047" style="position:absolute;left:6031;top:169;width:230;height:85" filled="f" strokecolor="#231f20" strokeweight=".5pt"/>
            <v:rect id="_x0000_s1046" style="position:absolute;left:4280;top:3088;width:230;height:315" filled="f" strokecolor="#010202" strokeweight=".5pt"/>
            <v:rect id="_x0000_s1045" style="position:absolute;left:4280;top:538;width:230;height:2550" fillcolor="#d1dcdf" stroked="f"/>
            <v:rect id="_x0000_s1044" style="position:absolute;left:4280;top:538;width:230;height:2550" filled="f" strokecolor="#231f20" strokeweight=".5pt"/>
            <v:rect id="_x0000_s1043" style="position:absolute;left:4280;top:169;width:230;height:369" fillcolor="#87adb3" stroked="f"/>
            <v:rect id="_x0000_s1042" style="position:absolute;left:4280;top:169;width:230;height:369" filled="f" strokecolor="#231f20" strokeweight=".5pt"/>
            <w10:wrap anchorx="page"/>
          </v:group>
        </w:pict>
      </w:r>
      <w:r>
        <w:rPr>
          <w:rFonts w:ascii="Arial"/>
          <w:color w:val="231F20"/>
          <w:sz w:val="12"/>
        </w:rPr>
        <w:t>100</w:t>
      </w:r>
    </w:p>
    <w:p w:rsidR="00EA2940" w:rsidRDefault="00EA2940">
      <w:pPr>
        <w:pStyle w:val="BodyText"/>
        <w:spacing w:before="7"/>
        <w:rPr>
          <w:rFonts w:ascii="Arial"/>
          <w:sz w:val="15"/>
        </w:rPr>
      </w:pPr>
    </w:p>
    <w:p w:rsidR="00EA2940" w:rsidRDefault="006D37CB">
      <w:pPr>
        <w:ind w:left="2614"/>
        <w:rPr>
          <w:rFonts w:ascii="Arial"/>
          <w:sz w:val="12"/>
        </w:rPr>
      </w:pPr>
      <w:r>
        <w:rPr>
          <w:rFonts w:ascii="Arial"/>
          <w:color w:val="231F20"/>
          <w:sz w:val="12"/>
        </w:rPr>
        <w:t>90</w:t>
      </w:r>
    </w:p>
    <w:p w:rsidR="00EA2940" w:rsidRDefault="00EA2940">
      <w:pPr>
        <w:pStyle w:val="BodyText"/>
        <w:spacing w:before="9"/>
        <w:rPr>
          <w:rFonts w:ascii="Arial"/>
          <w:sz w:val="16"/>
        </w:rPr>
      </w:pPr>
    </w:p>
    <w:p w:rsidR="00EA2940" w:rsidRDefault="006D37CB">
      <w:pPr>
        <w:ind w:left="2614"/>
        <w:rPr>
          <w:rFonts w:ascii="Arial"/>
          <w:sz w:val="12"/>
        </w:rPr>
      </w:pPr>
      <w:r>
        <w:rPr>
          <w:rFonts w:ascii="Arial"/>
          <w:color w:val="231F20"/>
          <w:sz w:val="12"/>
        </w:rPr>
        <w:t>80</w:t>
      </w:r>
    </w:p>
    <w:p w:rsidR="00EA2940" w:rsidRDefault="00EA2940">
      <w:pPr>
        <w:pStyle w:val="BodyText"/>
        <w:spacing w:before="2"/>
        <w:rPr>
          <w:rFonts w:ascii="Arial"/>
          <w:sz w:val="16"/>
        </w:rPr>
      </w:pPr>
    </w:p>
    <w:p w:rsidR="00EA2940" w:rsidRDefault="006D37CB">
      <w:pPr>
        <w:ind w:left="2614"/>
        <w:rPr>
          <w:rFonts w:ascii="Arial"/>
          <w:sz w:val="12"/>
        </w:rPr>
      </w:pPr>
      <w:r>
        <w:rPr>
          <w:rFonts w:ascii="Arial"/>
          <w:color w:val="231F20"/>
          <w:sz w:val="12"/>
        </w:rPr>
        <w:t>70</w:t>
      </w:r>
    </w:p>
    <w:p w:rsidR="00EA2940" w:rsidRDefault="00EA2940">
      <w:pPr>
        <w:pStyle w:val="BodyText"/>
        <w:spacing w:before="9"/>
        <w:rPr>
          <w:rFonts w:ascii="Arial"/>
          <w:sz w:val="15"/>
        </w:rPr>
      </w:pPr>
    </w:p>
    <w:p w:rsidR="00EA2940" w:rsidRDefault="006D37CB">
      <w:pPr>
        <w:ind w:left="2614"/>
        <w:rPr>
          <w:rFonts w:ascii="Arial"/>
          <w:sz w:val="12"/>
        </w:rPr>
      </w:pPr>
      <w:r>
        <w:pict>
          <v:shapetype id="_x0000_t202" coordsize="21600,21600" o:spt="202" path="m,l,21600r21600,l21600,xe">
            <v:stroke joinstyle="miter"/>
            <v:path gradientshapeok="t" o:connecttype="rect"/>
          </v:shapetype>
          <v:shape id="_x0000_s1040" type="#_x0000_t202" style="position:absolute;left:0;text-align:left;margin-left:122pt;margin-top:-3.55pt;width:10.75pt;height:47.85pt;z-index:1288;mso-position-horizontal-relative:page" filled="f" stroked="f">
            <v:textbox style="layout-flow:vertical;mso-layout-flow-alt:bottom-to-top" inset="0,0,0,0">
              <w:txbxContent>
                <w:p w:rsidR="00EA2940" w:rsidRDefault="006D37CB">
                  <w:pPr>
                    <w:spacing w:before="17"/>
                    <w:ind w:left="20" w:right="-580"/>
                    <w:rPr>
                      <w:rFonts w:ascii="Century Gothic"/>
                      <w:b/>
                      <w:sz w:val="14"/>
                    </w:rPr>
                  </w:pPr>
                  <w:r>
                    <w:rPr>
                      <w:b/>
                      <w:color w:val="231F20"/>
                      <w:w w:val="103"/>
                      <w:sz w:val="14"/>
                    </w:rPr>
                    <w:t>Formularies,</w:t>
                  </w:r>
                  <w:r>
                    <w:rPr>
                      <w:b/>
                      <w:color w:val="231F20"/>
                      <w:spacing w:val="7"/>
                      <w:sz w:val="14"/>
                    </w:rPr>
                    <w:t xml:space="preserve"> </w:t>
                  </w:r>
                  <w:r>
                    <w:rPr>
                      <w:rFonts w:ascii="Century Gothic"/>
                      <w:b/>
                      <w:color w:val="231F20"/>
                      <w:w w:val="101"/>
                      <w:sz w:val="14"/>
                    </w:rPr>
                    <w:t>%</w:t>
                  </w:r>
                </w:p>
              </w:txbxContent>
            </v:textbox>
            <w10:wrap anchorx="page"/>
          </v:shape>
        </w:pict>
      </w:r>
      <w:r>
        <w:rPr>
          <w:rFonts w:ascii="Arial"/>
          <w:color w:val="231F20"/>
          <w:sz w:val="12"/>
        </w:rPr>
        <w:t>60</w:t>
      </w:r>
    </w:p>
    <w:p w:rsidR="00EA2940" w:rsidRDefault="00EA2940">
      <w:pPr>
        <w:pStyle w:val="BodyText"/>
        <w:spacing w:before="9"/>
        <w:rPr>
          <w:rFonts w:ascii="Arial"/>
          <w:sz w:val="15"/>
        </w:rPr>
      </w:pPr>
    </w:p>
    <w:p w:rsidR="00EA2940" w:rsidRDefault="006D37CB">
      <w:pPr>
        <w:ind w:left="2614"/>
        <w:rPr>
          <w:rFonts w:ascii="Arial"/>
          <w:sz w:val="12"/>
        </w:rPr>
      </w:pPr>
      <w:r>
        <w:rPr>
          <w:rFonts w:ascii="Arial"/>
          <w:color w:val="231F20"/>
          <w:sz w:val="12"/>
        </w:rPr>
        <w:t>50</w:t>
      </w:r>
    </w:p>
    <w:p w:rsidR="00EA2940" w:rsidRDefault="00EA2940">
      <w:pPr>
        <w:pStyle w:val="BodyText"/>
        <w:spacing w:before="2"/>
        <w:rPr>
          <w:rFonts w:ascii="Arial"/>
          <w:sz w:val="16"/>
        </w:rPr>
      </w:pPr>
    </w:p>
    <w:p w:rsidR="00EA2940" w:rsidRDefault="006D37CB">
      <w:pPr>
        <w:ind w:left="2614"/>
        <w:rPr>
          <w:rFonts w:ascii="Arial"/>
          <w:sz w:val="12"/>
        </w:rPr>
      </w:pPr>
      <w:r>
        <w:rPr>
          <w:rFonts w:ascii="Arial"/>
          <w:color w:val="231F20"/>
          <w:sz w:val="12"/>
        </w:rPr>
        <w:t>40</w:t>
      </w:r>
    </w:p>
    <w:p w:rsidR="00EA2940" w:rsidRDefault="00EA2940">
      <w:pPr>
        <w:pStyle w:val="BodyText"/>
        <w:spacing w:before="5"/>
        <w:rPr>
          <w:rFonts w:ascii="Arial"/>
          <w:sz w:val="16"/>
        </w:rPr>
      </w:pPr>
    </w:p>
    <w:p w:rsidR="00EA2940" w:rsidRDefault="006D37CB">
      <w:pPr>
        <w:spacing w:before="1"/>
        <w:ind w:left="2614"/>
        <w:rPr>
          <w:rFonts w:ascii="Arial"/>
          <w:sz w:val="12"/>
        </w:rPr>
      </w:pPr>
      <w:r>
        <w:rPr>
          <w:rFonts w:ascii="Arial"/>
          <w:color w:val="231F20"/>
          <w:sz w:val="12"/>
        </w:rPr>
        <w:t>30</w:t>
      </w:r>
    </w:p>
    <w:p w:rsidR="00EA2940" w:rsidRDefault="00EA2940">
      <w:pPr>
        <w:pStyle w:val="BodyText"/>
        <w:spacing w:before="1"/>
        <w:rPr>
          <w:rFonts w:ascii="Arial"/>
          <w:sz w:val="16"/>
        </w:rPr>
      </w:pPr>
    </w:p>
    <w:p w:rsidR="00EA2940" w:rsidRDefault="006D37CB">
      <w:pPr>
        <w:ind w:left="2614"/>
        <w:rPr>
          <w:rFonts w:ascii="Arial"/>
          <w:sz w:val="12"/>
        </w:rPr>
      </w:pPr>
      <w:r>
        <w:rPr>
          <w:rFonts w:ascii="Arial"/>
          <w:color w:val="231F20"/>
          <w:sz w:val="12"/>
        </w:rPr>
        <w:t>20</w:t>
      </w:r>
    </w:p>
    <w:p w:rsidR="00EA2940" w:rsidRDefault="00EA2940">
      <w:pPr>
        <w:pStyle w:val="BodyText"/>
        <w:spacing w:before="4"/>
        <w:rPr>
          <w:rFonts w:ascii="Arial"/>
          <w:sz w:val="16"/>
        </w:rPr>
      </w:pPr>
    </w:p>
    <w:p w:rsidR="00EA2940" w:rsidRDefault="006D37CB">
      <w:pPr>
        <w:ind w:left="2614"/>
        <w:rPr>
          <w:rFonts w:ascii="Arial"/>
          <w:sz w:val="12"/>
        </w:rPr>
      </w:pPr>
      <w:r>
        <w:rPr>
          <w:rFonts w:ascii="Arial"/>
          <w:color w:val="231F20"/>
          <w:sz w:val="12"/>
        </w:rPr>
        <w:t>10</w:t>
      </w:r>
    </w:p>
    <w:p w:rsidR="00EA2940" w:rsidRDefault="00EA2940">
      <w:pPr>
        <w:rPr>
          <w:rFonts w:ascii="Arial"/>
          <w:sz w:val="12"/>
        </w:rPr>
        <w:sectPr w:rsidR="00EA2940">
          <w:pgSz w:w="11880" w:h="15570"/>
          <w:pgMar w:top="480" w:right="0" w:bottom="0" w:left="100" w:header="720" w:footer="720" w:gutter="0"/>
          <w:cols w:space="720"/>
        </w:sectPr>
      </w:pPr>
    </w:p>
    <w:p w:rsidR="00EA2940" w:rsidRDefault="00EA2940">
      <w:pPr>
        <w:pStyle w:val="BodyText"/>
        <w:spacing w:before="6"/>
        <w:rPr>
          <w:rFonts w:ascii="Arial"/>
          <w:sz w:val="16"/>
        </w:rPr>
      </w:pPr>
    </w:p>
    <w:p w:rsidR="00EA2940" w:rsidRDefault="006D37CB">
      <w:pPr>
        <w:spacing w:line="122" w:lineRule="exact"/>
        <w:ind w:right="506"/>
        <w:jc w:val="right"/>
        <w:rPr>
          <w:rFonts w:ascii="Arial"/>
          <w:sz w:val="12"/>
        </w:rPr>
      </w:pPr>
      <w:r>
        <w:rPr>
          <w:rFonts w:ascii="Arial"/>
          <w:color w:val="231F20"/>
          <w:w w:val="99"/>
          <w:sz w:val="12"/>
        </w:rPr>
        <w:t>0</w:t>
      </w:r>
    </w:p>
    <w:p w:rsidR="00EA2940" w:rsidRDefault="006D37CB">
      <w:pPr>
        <w:spacing w:line="122" w:lineRule="exact"/>
        <w:jc w:val="right"/>
        <w:rPr>
          <w:rFonts w:ascii="Arial"/>
          <w:sz w:val="12"/>
        </w:rPr>
      </w:pPr>
      <w:r>
        <w:rPr>
          <w:rFonts w:ascii="Arial"/>
          <w:color w:val="231F20"/>
          <w:sz w:val="12"/>
        </w:rPr>
        <w:t>2006</w:t>
      </w:r>
    </w:p>
    <w:p w:rsidR="00EA2940" w:rsidRDefault="006D37CB">
      <w:pPr>
        <w:pStyle w:val="BodyText"/>
        <w:rPr>
          <w:rFonts w:ascii="Arial"/>
          <w:sz w:val="14"/>
        </w:rPr>
      </w:pPr>
      <w:r>
        <w:br w:type="column"/>
      </w:r>
    </w:p>
    <w:p w:rsidR="00EA2940" w:rsidRDefault="00EA2940">
      <w:pPr>
        <w:pStyle w:val="BodyText"/>
        <w:spacing w:before="9"/>
        <w:rPr>
          <w:rFonts w:ascii="Arial"/>
          <w:sz w:val="11"/>
        </w:rPr>
      </w:pPr>
    </w:p>
    <w:p w:rsidR="00EA2940" w:rsidRDefault="006D37CB">
      <w:pPr>
        <w:tabs>
          <w:tab w:val="left" w:pos="870"/>
          <w:tab w:val="left" w:pos="2036"/>
          <w:tab w:val="left" w:pos="2627"/>
          <w:tab w:val="left" w:pos="3206"/>
          <w:tab w:val="left" w:pos="4379"/>
          <w:tab w:val="left" w:pos="4970"/>
          <w:tab w:val="left" w:pos="5549"/>
        </w:tabs>
        <w:ind w:left="299"/>
        <w:rPr>
          <w:rFonts w:ascii="Arial"/>
          <w:sz w:val="12"/>
        </w:rPr>
      </w:pPr>
      <w:r>
        <w:rPr>
          <w:rFonts w:ascii="Arial"/>
          <w:color w:val="231F20"/>
          <w:sz w:val="12"/>
        </w:rPr>
        <w:t>2011</w:t>
      </w:r>
      <w:r>
        <w:rPr>
          <w:rFonts w:ascii="Arial"/>
          <w:color w:val="231F20"/>
          <w:sz w:val="12"/>
        </w:rPr>
        <w:tab/>
        <w:t>2015</w:t>
      </w:r>
      <w:r>
        <w:rPr>
          <w:rFonts w:ascii="Arial"/>
          <w:color w:val="231F20"/>
          <w:sz w:val="12"/>
        </w:rPr>
        <w:tab/>
        <w:t>2006</w:t>
      </w:r>
      <w:r>
        <w:rPr>
          <w:rFonts w:ascii="Arial"/>
          <w:color w:val="231F20"/>
          <w:sz w:val="12"/>
        </w:rPr>
        <w:tab/>
        <w:t>2011</w:t>
      </w:r>
      <w:r>
        <w:rPr>
          <w:rFonts w:ascii="Arial"/>
          <w:color w:val="231F20"/>
          <w:sz w:val="12"/>
        </w:rPr>
        <w:tab/>
        <w:t>2015</w:t>
      </w:r>
      <w:r>
        <w:rPr>
          <w:rFonts w:ascii="Arial"/>
          <w:color w:val="231F20"/>
          <w:sz w:val="12"/>
        </w:rPr>
        <w:tab/>
        <w:t>2006</w:t>
      </w:r>
      <w:r>
        <w:rPr>
          <w:rFonts w:ascii="Arial"/>
          <w:color w:val="231F20"/>
          <w:sz w:val="12"/>
        </w:rPr>
        <w:tab/>
        <w:t>2011</w:t>
      </w:r>
      <w:r>
        <w:rPr>
          <w:rFonts w:ascii="Arial"/>
          <w:color w:val="231F20"/>
          <w:sz w:val="12"/>
        </w:rPr>
        <w:tab/>
        <w:t>2015</w:t>
      </w:r>
    </w:p>
    <w:p w:rsidR="00EA2940" w:rsidRDefault="00EA2940">
      <w:pPr>
        <w:rPr>
          <w:rFonts w:ascii="Arial"/>
          <w:sz w:val="12"/>
        </w:rPr>
        <w:sectPr w:rsidR="00EA2940">
          <w:type w:val="continuous"/>
          <w:pgSz w:w="11880" w:h="15570"/>
          <w:pgMar w:top="1400" w:right="0" w:bottom="280" w:left="100" w:header="720" w:footer="720" w:gutter="0"/>
          <w:cols w:num="2" w:space="720" w:equalWidth="0">
            <w:col w:w="3250" w:space="40"/>
            <w:col w:w="8490"/>
          </w:cols>
        </w:sectPr>
      </w:pPr>
    </w:p>
    <w:p w:rsidR="00EA2940" w:rsidRDefault="006D37CB">
      <w:pPr>
        <w:tabs>
          <w:tab w:val="left" w:pos="5562"/>
        </w:tabs>
        <w:spacing w:before="55" w:line="379" w:lineRule="auto"/>
        <w:ind w:left="4256" w:hanging="981"/>
        <w:rPr>
          <w:b/>
          <w:sz w:val="14"/>
        </w:rPr>
      </w:pPr>
      <w:r>
        <w:pict>
          <v:group id="_x0000_s1037" style="position:absolute;left:0;text-align:left;margin-left:216.7pt;margin-top:32.7pt;width:6.5pt;height:6.5pt;z-index:1168;mso-position-horizontal-relative:page" coordorigin="4334,654" coordsize="130,130">
            <v:rect id="_x0000_s1039" style="position:absolute;left:4339;top:659;width:120;height:120" fillcolor="#d1dcdf" stroked="f"/>
            <v:rect id="_x0000_s1038" style="position:absolute;left:4339;top:659;width:120;height:120" filled="f" strokecolor="#231f20" strokeweight=".5pt"/>
            <w10:wrap anchorx="page"/>
          </v:group>
        </w:pict>
      </w:r>
      <w:r>
        <w:pict>
          <v:group id="_x0000_s1034" style="position:absolute;left:0;text-align:left;margin-left:281.5pt;margin-top:32.7pt;width:6.5pt;height:6.5pt;z-index:-10528;mso-position-horizontal-relative:page" coordorigin="5630,654" coordsize="130,130">
            <v:rect id="_x0000_s1036" style="position:absolute;left:5635;top:659;width:120;height:120" fillcolor="#abc3c8" stroked="f"/>
            <v:rect id="_x0000_s1035" style="position:absolute;left:5635;top:659;width:120;height:120" filled="f" strokecolor="#231f20" strokeweight=".5pt"/>
            <w10:wrap anchorx="page"/>
          </v:group>
        </w:pict>
      </w:r>
      <w:r>
        <w:pict>
          <v:group id="_x0000_s1031" style="position:absolute;left:0;text-align:left;margin-left:337.75pt;margin-top:32.7pt;width:6.5pt;height:6.5pt;z-index:-10504;mso-position-horizontal-relative:page" coordorigin="6755,654" coordsize="130,130">
            <v:rect id="_x0000_s1033" style="position:absolute;left:6760;top:659;width:120;height:120" fillcolor="#87adb3" stroked="f"/>
            <v:rect id="_x0000_s1032" style="position:absolute;left:6760;top:659;width:120;height:120" filled="f" strokecolor="#231f20" strokeweight=".5pt"/>
            <w10:wrap anchorx="page"/>
          </v:group>
        </w:pict>
      </w:r>
      <w:r>
        <w:pict>
          <v:group id="_x0000_s1028" style="position:absolute;left:0;text-align:left;margin-left:407.25pt;margin-top:32.7pt;width:6.5pt;height:6.5pt;z-index:-10480;mso-position-horizontal-relative:page" coordorigin="8145,654" coordsize="130,130">
            <v:rect id="_x0000_s1030" style="position:absolute;left:8150;top:659;width:120;height:120" fillcolor="#007278" stroked="f"/>
            <v:rect id="_x0000_s1029" style="position:absolute;left:8150;top:659;width:120;height:120" filled="f" strokecolor="#231f20" strokeweight=".5pt"/>
            <w10:wrap anchorx="page"/>
          </v:group>
        </w:pict>
      </w:r>
      <w:r>
        <w:rPr>
          <w:b/>
          <w:color w:val="231F20"/>
          <w:w w:val="105"/>
          <w:sz w:val="14"/>
        </w:rPr>
        <w:t>5</w:t>
      </w:r>
      <w:r>
        <w:rPr>
          <w:b/>
          <w:color w:val="231F20"/>
          <w:spacing w:val="10"/>
          <w:w w:val="105"/>
          <w:sz w:val="14"/>
        </w:rPr>
        <w:t xml:space="preserve"> </w:t>
      </w:r>
      <w:r>
        <w:rPr>
          <w:b/>
          <w:color w:val="231F20"/>
          <w:w w:val="105"/>
          <w:sz w:val="14"/>
        </w:rPr>
        <w:t>mg/325</w:t>
      </w:r>
      <w:r>
        <w:rPr>
          <w:b/>
          <w:color w:val="231F20"/>
          <w:spacing w:val="10"/>
          <w:w w:val="105"/>
          <w:sz w:val="14"/>
        </w:rPr>
        <w:t xml:space="preserve"> </w:t>
      </w:r>
      <w:r>
        <w:rPr>
          <w:b/>
          <w:color w:val="231F20"/>
          <w:w w:val="105"/>
          <w:sz w:val="14"/>
        </w:rPr>
        <w:t>mg</w:t>
      </w:r>
      <w:r>
        <w:rPr>
          <w:b/>
          <w:color w:val="231F20"/>
          <w:w w:val="105"/>
          <w:sz w:val="14"/>
        </w:rPr>
        <w:tab/>
      </w:r>
      <w:r>
        <w:rPr>
          <w:b/>
          <w:color w:val="231F20"/>
          <w:w w:val="105"/>
          <w:sz w:val="14"/>
        </w:rPr>
        <w:tab/>
        <w:t>7.5</w:t>
      </w:r>
      <w:r>
        <w:rPr>
          <w:b/>
          <w:color w:val="231F20"/>
          <w:spacing w:val="18"/>
          <w:w w:val="105"/>
          <w:sz w:val="14"/>
        </w:rPr>
        <w:t xml:space="preserve"> </w:t>
      </w:r>
      <w:r>
        <w:rPr>
          <w:b/>
          <w:color w:val="231F20"/>
          <w:w w:val="105"/>
          <w:sz w:val="14"/>
        </w:rPr>
        <w:t>mg/325</w:t>
      </w:r>
      <w:r>
        <w:rPr>
          <w:b/>
          <w:color w:val="231F20"/>
          <w:spacing w:val="18"/>
          <w:w w:val="105"/>
          <w:sz w:val="14"/>
        </w:rPr>
        <w:t xml:space="preserve"> </w:t>
      </w:r>
      <w:r>
        <w:rPr>
          <w:b/>
          <w:color w:val="231F20"/>
          <w:w w:val="105"/>
          <w:sz w:val="14"/>
        </w:rPr>
        <w:t>mg</w:t>
      </w:r>
      <w:r>
        <w:rPr>
          <w:b/>
          <w:color w:val="231F20"/>
          <w:w w:val="107"/>
          <w:sz w:val="14"/>
        </w:rPr>
        <w:t xml:space="preserve"> </w:t>
      </w:r>
      <w:r>
        <w:rPr>
          <w:b/>
          <w:color w:val="231F20"/>
          <w:w w:val="105"/>
          <w:sz w:val="14"/>
        </w:rPr>
        <w:t>Hydrocodone–Acetaminophen Dosage and Formulary</w:t>
      </w:r>
      <w:r>
        <w:rPr>
          <w:b/>
          <w:color w:val="231F20"/>
          <w:spacing w:val="-12"/>
          <w:w w:val="105"/>
          <w:sz w:val="14"/>
        </w:rPr>
        <w:t xml:space="preserve"> </w:t>
      </w:r>
      <w:r>
        <w:rPr>
          <w:b/>
          <w:color w:val="231F20"/>
          <w:spacing w:val="-3"/>
          <w:w w:val="105"/>
          <w:sz w:val="14"/>
        </w:rPr>
        <w:t>Year</w:t>
      </w:r>
    </w:p>
    <w:p w:rsidR="00EA2940" w:rsidRDefault="006D37CB">
      <w:pPr>
        <w:spacing w:before="56"/>
        <w:ind w:left="51"/>
        <w:rPr>
          <w:b/>
          <w:sz w:val="14"/>
        </w:rPr>
      </w:pPr>
      <w:r>
        <w:br w:type="column"/>
      </w:r>
      <w:r>
        <w:rPr>
          <w:b/>
          <w:color w:val="231F20"/>
          <w:w w:val="110"/>
          <w:sz w:val="14"/>
        </w:rPr>
        <w:t>10 mg/325 mg</w:t>
      </w:r>
    </w:p>
    <w:p w:rsidR="00EA2940" w:rsidRDefault="00EA2940">
      <w:pPr>
        <w:rPr>
          <w:sz w:val="14"/>
        </w:rPr>
        <w:sectPr w:rsidR="00EA2940">
          <w:type w:val="continuous"/>
          <w:pgSz w:w="11880" w:h="15570"/>
          <w:pgMar w:top="1400" w:right="0" w:bottom="280" w:left="100" w:header="720" w:footer="720" w:gutter="0"/>
          <w:cols w:num="2" w:space="720" w:equalWidth="0">
            <w:col w:w="7817" w:space="40"/>
            <w:col w:w="3923"/>
          </w:cols>
        </w:sectPr>
      </w:pPr>
    </w:p>
    <w:p w:rsidR="00EA2940" w:rsidRDefault="006D37CB">
      <w:pPr>
        <w:spacing w:before="34"/>
        <w:jc w:val="right"/>
        <w:rPr>
          <w:b/>
          <w:sz w:val="14"/>
        </w:rPr>
      </w:pPr>
      <w:r>
        <w:pict>
          <v:rect id="_x0000_s1027" style="position:absolute;left:0;text-align:left;margin-left:160.7pt;margin-top:3.15pt;width:6pt;height:6pt;z-index:1144;mso-position-horizontal-relative:page" filled="f" strokecolor="#010202" strokeweight=".25647mm">
            <w10:wrap anchorx="page"/>
          </v:rect>
        </w:pict>
      </w:r>
      <w:r>
        <w:rPr>
          <w:b/>
          <w:color w:val="231F20"/>
          <w:w w:val="110"/>
          <w:sz w:val="14"/>
        </w:rPr>
        <w:t>&lt;50 MME/d</w:t>
      </w:r>
    </w:p>
    <w:p w:rsidR="00EA2940" w:rsidRDefault="00EA2940">
      <w:pPr>
        <w:pStyle w:val="BodyText"/>
        <w:spacing w:before="6"/>
        <w:rPr>
          <w:b/>
          <w:sz w:val="12"/>
        </w:rPr>
      </w:pPr>
    </w:p>
    <w:p w:rsidR="00EA2940" w:rsidRDefault="006D37CB">
      <w:pPr>
        <w:ind w:left="790"/>
        <w:rPr>
          <w:sz w:val="15"/>
        </w:rPr>
      </w:pPr>
      <w:r>
        <w:pict>
          <v:line id="_x0000_s1026" style="position:absolute;left:0;text-align:left;z-index:1264;mso-position-horizontal-relative:page" from="44.5pt,-1.6pt" to="548.5pt,-1.6pt" strokecolor="#008285" strokeweight=".5pt">
            <w10:wrap anchorx="page"/>
          </v:line>
        </w:pict>
      </w:r>
      <w:r>
        <w:rPr>
          <w:color w:val="231F20"/>
          <w:w w:val="115"/>
          <w:sz w:val="15"/>
        </w:rPr>
        <w:t>MME = morphine milligram equivalents.</w:t>
      </w:r>
    </w:p>
    <w:p w:rsidR="00EA2940" w:rsidRDefault="006D37CB">
      <w:pPr>
        <w:pStyle w:val="ListParagraph"/>
        <w:numPr>
          <w:ilvl w:val="1"/>
          <w:numId w:val="1"/>
        </w:numPr>
        <w:tabs>
          <w:tab w:val="left" w:pos="754"/>
          <w:tab w:val="left" w:pos="1628"/>
          <w:tab w:val="left" w:pos="2753"/>
          <w:tab w:val="left" w:pos="4143"/>
        </w:tabs>
        <w:spacing w:before="34"/>
        <w:ind w:right="0"/>
        <w:rPr>
          <w:b/>
          <w:sz w:val="14"/>
        </w:rPr>
      </w:pPr>
      <w:r>
        <w:rPr>
          <w:b/>
          <w:color w:val="231F20"/>
          <w:w w:val="105"/>
          <w:sz w:val="14"/>
        </w:rPr>
        <w:br w:type="column"/>
      </w:r>
      <w:r>
        <w:rPr>
          <w:b/>
          <w:color w:val="231F20"/>
          <w:w w:val="105"/>
          <w:sz w:val="14"/>
        </w:rPr>
        <w:t>MME/d</w:t>
      </w:r>
      <w:r>
        <w:rPr>
          <w:b/>
          <w:color w:val="231F20"/>
          <w:w w:val="105"/>
          <w:sz w:val="14"/>
        </w:rPr>
        <w:tab/>
        <w:t>&gt;90</w:t>
      </w:r>
      <w:r>
        <w:rPr>
          <w:b/>
          <w:color w:val="231F20"/>
          <w:spacing w:val="11"/>
          <w:w w:val="105"/>
          <w:sz w:val="14"/>
        </w:rPr>
        <w:t xml:space="preserve"> </w:t>
      </w:r>
      <w:r>
        <w:rPr>
          <w:b/>
          <w:color w:val="231F20"/>
          <w:w w:val="105"/>
          <w:sz w:val="14"/>
        </w:rPr>
        <w:t>MME/d</w:t>
      </w:r>
      <w:r>
        <w:rPr>
          <w:b/>
          <w:color w:val="231F20"/>
          <w:w w:val="105"/>
          <w:sz w:val="14"/>
        </w:rPr>
        <w:tab/>
        <w:t>No</w:t>
      </w:r>
      <w:r>
        <w:rPr>
          <w:b/>
          <w:color w:val="231F20"/>
          <w:spacing w:val="3"/>
          <w:w w:val="105"/>
          <w:sz w:val="14"/>
        </w:rPr>
        <w:t xml:space="preserve"> </w:t>
      </w:r>
      <w:r>
        <w:rPr>
          <w:b/>
          <w:color w:val="231F20"/>
          <w:w w:val="105"/>
          <w:sz w:val="14"/>
        </w:rPr>
        <w:t>quantity</w:t>
      </w:r>
      <w:r>
        <w:rPr>
          <w:b/>
          <w:color w:val="231F20"/>
          <w:spacing w:val="3"/>
          <w:w w:val="105"/>
          <w:sz w:val="14"/>
        </w:rPr>
        <w:t xml:space="preserve"> </w:t>
      </w:r>
      <w:r>
        <w:rPr>
          <w:b/>
          <w:color w:val="231F20"/>
          <w:w w:val="105"/>
          <w:sz w:val="14"/>
        </w:rPr>
        <w:t>limit</w:t>
      </w:r>
      <w:r>
        <w:rPr>
          <w:b/>
          <w:color w:val="231F20"/>
          <w:w w:val="105"/>
          <w:sz w:val="14"/>
        </w:rPr>
        <w:tab/>
        <w:t>No coverage</w:t>
      </w:r>
    </w:p>
    <w:p w:rsidR="00EA2940" w:rsidRDefault="00EA2940">
      <w:pPr>
        <w:rPr>
          <w:sz w:val="14"/>
        </w:rPr>
        <w:sectPr w:rsidR="00EA2940">
          <w:type w:val="continuous"/>
          <w:pgSz w:w="11880" w:h="15570"/>
          <w:pgMar w:top="1400" w:right="0" w:bottom="280" w:left="100" w:header="720" w:footer="720" w:gutter="0"/>
          <w:cols w:num="2" w:space="720" w:equalWidth="0">
            <w:col w:w="4022" w:space="40"/>
            <w:col w:w="7718"/>
          </w:cols>
        </w:sectPr>
      </w:pPr>
    </w:p>
    <w:p w:rsidR="00EA2940" w:rsidRDefault="00EA2940">
      <w:pPr>
        <w:pStyle w:val="BodyText"/>
        <w:spacing w:before="8"/>
        <w:rPr>
          <w:b/>
          <w:sz w:val="27"/>
        </w:rPr>
      </w:pPr>
    </w:p>
    <w:p w:rsidR="00EA2940" w:rsidRDefault="00EA2940">
      <w:pPr>
        <w:rPr>
          <w:sz w:val="27"/>
        </w:rPr>
        <w:sectPr w:rsidR="00EA2940">
          <w:type w:val="continuous"/>
          <w:pgSz w:w="11880" w:h="15570"/>
          <w:pgMar w:top="1400" w:right="0" w:bottom="280" w:left="100" w:header="720" w:footer="720" w:gutter="0"/>
          <w:cols w:space="720"/>
        </w:sectPr>
      </w:pPr>
    </w:p>
    <w:p w:rsidR="00EA2940" w:rsidRDefault="006D37CB">
      <w:pPr>
        <w:pStyle w:val="BodyText"/>
        <w:spacing w:before="99" w:line="254" w:lineRule="auto"/>
        <w:ind w:left="790"/>
        <w:jc w:val="both"/>
      </w:pPr>
      <w:r>
        <w:rPr>
          <w:color w:val="231F20"/>
          <w:w w:val="110"/>
        </w:rPr>
        <w:t>for Disease Control and Prevention prescribing recommenda- tions. Because formulary coverage directly affects prescribing, our study suggests that formularies present an underutilized opportunity  to  restrict  opioid prescribing.</w:t>
      </w:r>
    </w:p>
    <w:p w:rsidR="00EA2940" w:rsidRDefault="00EA2940">
      <w:pPr>
        <w:pStyle w:val="BodyText"/>
        <w:spacing w:before="7"/>
        <w:rPr>
          <w:sz w:val="18"/>
        </w:rPr>
      </w:pPr>
    </w:p>
    <w:p w:rsidR="00EA2940" w:rsidRDefault="006D37CB">
      <w:pPr>
        <w:ind w:left="790"/>
        <w:jc w:val="both"/>
        <w:rPr>
          <w:rFonts w:ascii="Lucida Sans"/>
          <w:i/>
          <w:sz w:val="17"/>
        </w:rPr>
      </w:pPr>
      <w:r>
        <w:rPr>
          <w:rFonts w:ascii="Lucida Sans"/>
          <w:i/>
          <w:color w:val="231F20"/>
          <w:sz w:val="17"/>
        </w:rPr>
        <w:t>Elizabeth A. Samuels, MD, MPH</w:t>
      </w:r>
    </w:p>
    <w:p w:rsidR="00EA2940" w:rsidRDefault="006D37CB">
      <w:pPr>
        <w:pStyle w:val="BodyText"/>
        <w:spacing w:before="22" w:line="254" w:lineRule="auto"/>
        <w:ind w:left="960" w:hanging="170"/>
      </w:pPr>
      <w:r>
        <w:rPr>
          <w:color w:val="231F20"/>
          <w:w w:val="110"/>
        </w:rPr>
        <w:t>Yale University, Yale New Haven Hospital, and Veterans Affairs Connecticut  Healthcare System</w:t>
      </w:r>
    </w:p>
    <w:p w:rsidR="00EA2940" w:rsidRDefault="006D37CB">
      <w:pPr>
        <w:pStyle w:val="BodyText"/>
        <w:ind w:left="790"/>
        <w:jc w:val="both"/>
      </w:pPr>
      <w:r>
        <w:rPr>
          <w:color w:val="231F20"/>
          <w:w w:val="110"/>
        </w:rPr>
        <w:t>New  Haven, Connecticut</w:t>
      </w:r>
    </w:p>
    <w:p w:rsidR="00EA2940" w:rsidRDefault="006D37CB">
      <w:pPr>
        <w:spacing w:before="120"/>
        <w:ind w:left="790"/>
        <w:jc w:val="both"/>
        <w:rPr>
          <w:rFonts w:ascii="Lucida Sans"/>
          <w:i/>
          <w:sz w:val="17"/>
        </w:rPr>
      </w:pPr>
      <w:r>
        <w:rPr>
          <w:rFonts w:ascii="Lucida Sans"/>
          <w:i/>
          <w:color w:val="231F20"/>
          <w:sz w:val="17"/>
        </w:rPr>
        <w:t>Joseph S. Ross, MD, MHS</w:t>
      </w:r>
    </w:p>
    <w:p w:rsidR="00EA2940" w:rsidRDefault="006D37CB">
      <w:pPr>
        <w:pStyle w:val="BodyText"/>
        <w:spacing w:before="22" w:line="254" w:lineRule="auto"/>
        <w:ind w:left="790" w:right="910"/>
      </w:pPr>
      <w:r>
        <w:rPr>
          <w:color w:val="231F20"/>
          <w:w w:val="115"/>
        </w:rPr>
        <w:t>Yale University and Yale New Haven Hospital New Haven, Connecticut</w:t>
      </w:r>
    </w:p>
    <w:p w:rsidR="00EA2940" w:rsidRDefault="006D37CB">
      <w:pPr>
        <w:spacing w:before="107"/>
        <w:ind w:left="790"/>
        <w:jc w:val="both"/>
        <w:rPr>
          <w:rFonts w:ascii="Lucida Sans"/>
          <w:i/>
          <w:sz w:val="17"/>
        </w:rPr>
      </w:pPr>
      <w:r>
        <w:rPr>
          <w:rFonts w:ascii="Lucida Sans"/>
          <w:i/>
          <w:color w:val="231F20"/>
          <w:sz w:val="17"/>
        </w:rPr>
        <w:t>Sanket S. Dhruva,</w:t>
      </w:r>
      <w:r>
        <w:rPr>
          <w:rFonts w:ascii="Lucida Sans"/>
          <w:i/>
          <w:color w:val="231F20"/>
          <w:sz w:val="17"/>
        </w:rPr>
        <w:t xml:space="preserve"> MD, MHS</w:t>
      </w:r>
    </w:p>
    <w:p w:rsidR="00EA2940" w:rsidRDefault="006D37CB">
      <w:pPr>
        <w:pStyle w:val="BodyText"/>
        <w:spacing w:before="22" w:line="254" w:lineRule="auto"/>
        <w:ind w:left="960" w:hanging="170"/>
      </w:pPr>
      <w:r>
        <w:rPr>
          <w:color w:val="231F20"/>
          <w:w w:val="110"/>
        </w:rPr>
        <w:t>Yale University and Veterans Affairs Connecticut Healthcare System</w:t>
      </w:r>
    </w:p>
    <w:p w:rsidR="00EA2940" w:rsidRDefault="006D37CB">
      <w:pPr>
        <w:pStyle w:val="BodyText"/>
        <w:ind w:left="790"/>
        <w:jc w:val="both"/>
      </w:pPr>
      <w:r>
        <w:rPr>
          <w:color w:val="231F20"/>
          <w:w w:val="110"/>
        </w:rPr>
        <w:t>New  Haven, Connecticut</w:t>
      </w:r>
    </w:p>
    <w:p w:rsidR="00EA2940" w:rsidRDefault="006D37CB">
      <w:pPr>
        <w:spacing w:before="94" w:line="249" w:lineRule="auto"/>
        <w:ind w:left="790"/>
        <w:jc w:val="both"/>
        <w:rPr>
          <w:sz w:val="15"/>
        </w:rPr>
      </w:pPr>
      <w:r>
        <w:rPr>
          <w:rFonts w:ascii="Tahoma"/>
          <w:b/>
          <w:color w:val="008285"/>
          <w:w w:val="110"/>
          <w:sz w:val="16"/>
        </w:rPr>
        <w:t xml:space="preserve">Disclaimer: </w:t>
      </w:r>
      <w:r>
        <w:rPr>
          <w:color w:val="231F20"/>
          <w:w w:val="110"/>
          <w:sz w:val="15"/>
        </w:rPr>
        <w:t>The authors assume full responsibility for the accuracy and completeness of the ideas presented, which do not represent the views of the U.S. Department of Veterans Affairs or any other support- ing intuitions.</w:t>
      </w:r>
    </w:p>
    <w:p w:rsidR="00EA2940" w:rsidRDefault="00EA2940">
      <w:pPr>
        <w:pStyle w:val="BodyText"/>
        <w:spacing w:before="6"/>
        <w:rPr>
          <w:sz w:val="16"/>
        </w:rPr>
      </w:pPr>
    </w:p>
    <w:p w:rsidR="00EA2940" w:rsidRDefault="006D37CB">
      <w:pPr>
        <w:spacing w:line="249" w:lineRule="auto"/>
        <w:ind w:left="790"/>
        <w:jc w:val="both"/>
        <w:rPr>
          <w:sz w:val="15"/>
        </w:rPr>
      </w:pPr>
      <w:r>
        <w:rPr>
          <w:rFonts w:ascii="Tahoma"/>
          <w:b/>
          <w:color w:val="008285"/>
          <w:w w:val="110"/>
          <w:sz w:val="16"/>
        </w:rPr>
        <w:t xml:space="preserve">Financial Support: </w:t>
      </w:r>
      <w:r>
        <w:rPr>
          <w:color w:val="231F20"/>
          <w:w w:val="110"/>
          <w:sz w:val="15"/>
        </w:rPr>
        <w:t>This project was not supp</w:t>
      </w:r>
      <w:r>
        <w:rPr>
          <w:color w:val="231F20"/>
          <w:w w:val="110"/>
          <w:sz w:val="15"/>
        </w:rPr>
        <w:t>orted by any</w:t>
      </w:r>
      <w:r>
        <w:rPr>
          <w:color w:val="231F20"/>
          <w:spacing w:val="-11"/>
          <w:w w:val="110"/>
          <w:sz w:val="15"/>
        </w:rPr>
        <w:t xml:space="preserve"> </w:t>
      </w:r>
      <w:r>
        <w:rPr>
          <w:color w:val="231F20"/>
          <w:w w:val="110"/>
          <w:sz w:val="15"/>
        </w:rPr>
        <w:t>external grants or funds. Dr. Samuels is supported by the National Clinician Scholars</w:t>
      </w:r>
      <w:r>
        <w:rPr>
          <w:color w:val="231F20"/>
          <w:spacing w:val="15"/>
          <w:w w:val="110"/>
          <w:sz w:val="15"/>
        </w:rPr>
        <w:t xml:space="preserve"> </w:t>
      </w:r>
      <w:r>
        <w:rPr>
          <w:color w:val="231F20"/>
          <w:w w:val="110"/>
          <w:sz w:val="15"/>
        </w:rPr>
        <w:t>Program.</w:t>
      </w:r>
      <w:r>
        <w:rPr>
          <w:color w:val="231F20"/>
          <w:spacing w:val="15"/>
          <w:w w:val="110"/>
          <w:sz w:val="15"/>
        </w:rPr>
        <w:t xml:space="preserve"> </w:t>
      </w:r>
      <w:r>
        <w:rPr>
          <w:color w:val="231F20"/>
          <w:w w:val="110"/>
          <w:sz w:val="15"/>
        </w:rPr>
        <w:t>Dr.</w:t>
      </w:r>
      <w:r>
        <w:rPr>
          <w:color w:val="231F20"/>
          <w:spacing w:val="15"/>
          <w:w w:val="110"/>
          <w:sz w:val="15"/>
        </w:rPr>
        <w:t xml:space="preserve"> </w:t>
      </w:r>
      <w:r>
        <w:rPr>
          <w:color w:val="231F20"/>
          <w:w w:val="110"/>
          <w:sz w:val="15"/>
        </w:rPr>
        <w:t>Dhruva</w:t>
      </w:r>
      <w:r>
        <w:rPr>
          <w:color w:val="231F20"/>
          <w:spacing w:val="15"/>
          <w:w w:val="110"/>
          <w:sz w:val="15"/>
        </w:rPr>
        <w:t xml:space="preserve"> </w:t>
      </w:r>
      <w:r>
        <w:rPr>
          <w:color w:val="231F20"/>
          <w:w w:val="110"/>
          <w:sz w:val="15"/>
        </w:rPr>
        <w:t>is</w:t>
      </w:r>
      <w:r>
        <w:rPr>
          <w:color w:val="231F20"/>
          <w:spacing w:val="15"/>
          <w:w w:val="110"/>
          <w:sz w:val="15"/>
        </w:rPr>
        <w:t xml:space="preserve"> </w:t>
      </w:r>
      <w:r>
        <w:rPr>
          <w:color w:val="231F20"/>
          <w:w w:val="110"/>
          <w:sz w:val="15"/>
        </w:rPr>
        <w:t>supported</w:t>
      </w:r>
      <w:r>
        <w:rPr>
          <w:color w:val="231F20"/>
          <w:spacing w:val="15"/>
          <w:w w:val="110"/>
          <w:sz w:val="15"/>
        </w:rPr>
        <w:t xml:space="preserve"> </w:t>
      </w:r>
      <w:r>
        <w:rPr>
          <w:color w:val="231F20"/>
          <w:w w:val="110"/>
          <w:sz w:val="15"/>
        </w:rPr>
        <w:t>by</w:t>
      </w:r>
      <w:r>
        <w:rPr>
          <w:color w:val="231F20"/>
          <w:spacing w:val="15"/>
          <w:w w:val="110"/>
          <w:sz w:val="15"/>
        </w:rPr>
        <w:t xml:space="preserve"> </w:t>
      </w:r>
      <w:r>
        <w:rPr>
          <w:color w:val="231F20"/>
          <w:w w:val="110"/>
          <w:sz w:val="15"/>
        </w:rPr>
        <w:t>the</w:t>
      </w:r>
      <w:r>
        <w:rPr>
          <w:color w:val="231F20"/>
          <w:spacing w:val="15"/>
          <w:w w:val="110"/>
          <w:sz w:val="15"/>
        </w:rPr>
        <w:t xml:space="preserve"> </w:t>
      </w:r>
      <w:r>
        <w:rPr>
          <w:color w:val="231F20"/>
          <w:w w:val="110"/>
          <w:sz w:val="15"/>
        </w:rPr>
        <w:t>Robert</w:t>
      </w:r>
      <w:r>
        <w:rPr>
          <w:color w:val="231F20"/>
          <w:spacing w:val="15"/>
          <w:w w:val="110"/>
          <w:sz w:val="15"/>
        </w:rPr>
        <w:t xml:space="preserve"> </w:t>
      </w:r>
      <w:r>
        <w:rPr>
          <w:color w:val="231F20"/>
          <w:w w:val="110"/>
          <w:sz w:val="15"/>
        </w:rPr>
        <w:t>Wood</w:t>
      </w:r>
      <w:r>
        <w:rPr>
          <w:color w:val="231F20"/>
          <w:spacing w:val="15"/>
          <w:w w:val="110"/>
          <w:sz w:val="15"/>
        </w:rPr>
        <w:t xml:space="preserve"> </w:t>
      </w:r>
      <w:r>
        <w:rPr>
          <w:color w:val="231F20"/>
          <w:w w:val="110"/>
          <w:sz w:val="15"/>
        </w:rPr>
        <w:t>John-</w:t>
      </w:r>
      <w:r>
        <w:rPr>
          <w:color w:val="231F20"/>
          <w:w w:val="117"/>
          <w:sz w:val="15"/>
        </w:rPr>
        <w:t xml:space="preserve"> </w:t>
      </w:r>
      <w:r>
        <w:rPr>
          <w:color w:val="231F20"/>
          <w:w w:val="110"/>
          <w:sz w:val="15"/>
        </w:rPr>
        <w:t>son Foundation Clinical Scholars Program. Drs. Samuels and Dhruva   are supported by the U.S. Depar</w:t>
      </w:r>
      <w:r>
        <w:rPr>
          <w:color w:val="231F20"/>
          <w:w w:val="110"/>
          <w:sz w:val="15"/>
        </w:rPr>
        <w:t xml:space="preserve">tment of Veterans   </w:t>
      </w:r>
      <w:r>
        <w:rPr>
          <w:color w:val="231F20"/>
          <w:spacing w:val="11"/>
          <w:w w:val="110"/>
          <w:sz w:val="15"/>
        </w:rPr>
        <w:t xml:space="preserve"> </w:t>
      </w:r>
      <w:r>
        <w:rPr>
          <w:color w:val="231F20"/>
          <w:w w:val="110"/>
          <w:sz w:val="15"/>
        </w:rPr>
        <w:t>Affairs.</w:t>
      </w:r>
    </w:p>
    <w:p w:rsidR="00EA2940" w:rsidRDefault="00EA2940">
      <w:pPr>
        <w:pStyle w:val="BodyText"/>
        <w:spacing w:before="6"/>
        <w:rPr>
          <w:sz w:val="16"/>
        </w:rPr>
      </w:pPr>
    </w:p>
    <w:p w:rsidR="00EA2940" w:rsidRDefault="006D37CB">
      <w:pPr>
        <w:ind w:left="790"/>
        <w:jc w:val="both"/>
        <w:rPr>
          <w:sz w:val="15"/>
        </w:rPr>
      </w:pPr>
      <w:r>
        <w:rPr>
          <w:rFonts w:ascii="Tahoma"/>
          <w:b/>
          <w:color w:val="008285"/>
          <w:w w:val="110"/>
          <w:sz w:val="16"/>
        </w:rPr>
        <w:t xml:space="preserve">Disclosures:  </w:t>
      </w:r>
      <w:r>
        <w:rPr>
          <w:color w:val="231F20"/>
          <w:w w:val="110"/>
          <w:sz w:val="15"/>
        </w:rPr>
        <w:t xml:space="preserve">Disclosures   can   be   viewed   at  </w:t>
      </w:r>
      <w:hyperlink r:id="rId9">
        <w:r>
          <w:rPr>
            <w:color w:val="231F20"/>
            <w:w w:val="110"/>
            <w:sz w:val="15"/>
          </w:rPr>
          <w:t>www.acponline.org</w:t>
        </w:r>
      </w:hyperlink>
    </w:p>
    <w:p w:rsidR="00EA2940" w:rsidRDefault="006D37CB">
      <w:pPr>
        <w:spacing w:before="6"/>
        <w:ind w:left="790"/>
        <w:jc w:val="both"/>
        <w:rPr>
          <w:sz w:val="15"/>
        </w:rPr>
      </w:pPr>
      <w:hyperlink r:id="rId10">
        <w:r>
          <w:rPr>
            <w:color w:val="231F20"/>
            <w:w w:val="110"/>
            <w:sz w:val="15"/>
          </w:rPr>
          <w:t>/authors/icmje/ConﬂictOfInterestForms.do?msNum=M17-1823.</w:t>
        </w:r>
      </w:hyperlink>
    </w:p>
    <w:p w:rsidR="00EA2940" w:rsidRDefault="006D37CB">
      <w:pPr>
        <w:spacing w:before="99"/>
        <w:ind w:left="438"/>
        <w:jc w:val="both"/>
        <w:rPr>
          <w:sz w:val="15"/>
        </w:rPr>
      </w:pPr>
      <w:r>
        <w:br w:type="column"/>
      </w:r>
      <w:r>
        <w:rPr>
          <w:color w:val="231F20"/>
          <w:w w:val="115"/>
          <w:sz w:val="15"/>
        </w:rPr>
        <w:t xml:space="preserve">This article was published at </w:t>
      </w:r>
      <w:hyperlink r:id="rId11">
        <w:r>
          <w:rPr>
            <w:color w:val="231F20"/>
            <w:w w:val="115"/>
            <w:sz w:val="15"/>
          </w:rPr>
          <w:t>Annals.org</w:t>
        </w:r>
      </w:hyperlink>
      <w:r>
        <w:rPr>
          <w:color w:val="231F20"/>
          <w:w w:val="115"/>
          <w:sz w:val="15"/>
        </w:rPr>
        <w:t xml:space="preserve"> on 10 October 201</w:t>
      </w:r>
      <w:r>
        <w:rPr>
          <w:color w:val="231F20"/>
          <w:w w:val="115"/>
          <w:sz w:val="15"/>
        </w:rPr>
        <w:t>7.</w:t>
      </w:r>
    </w:p>
    <w:p w:rsidR="00EA2940" w:rsidRDefault="00EA2940">
      <w:pPr>
        <w:pStyle w:val="BodyText"/>
        <w:rPr>
          <w:sz w:val="16"/>
        </w:rPr>
      </w:pPr>
    </w:p>
    <w:p w:rsidR="00EA2940" w:rsidRDefault="006D37CB">
      <w:pPr>
        <w:ind w:left="438"/>
        <w:jc w:val="both"/>
        <w:rPr>
          <w:sz w:val="14"/>
        </w:rPr>
      </w:pPr>
      <w:r>
        <w:rPr>
          <w:color w:val="231F20"/>
          <w:w w:val="110"/>
          <w:sz w:val="14"/>
        </w:rPr>
        <w:t>doi:10.7326/M17-1823</w:t>
      </w:r>
    </w:p>
    <w:p w:rsidR="00EA2940" w:rsidRDefault="00EA2940">
      <w:pPr>
        <w:pStyle w:val="BodyText"/>
        <w:rPr>
          <w:sz w:val="16"/>
        </w:rPr>
      </w:pPr>
    </w:p>
    <w:p w:rsidR="00EA2940" w:rsidRDefault="006D37CB">
      <w:pPr>
        <w:spacing w:before="125"/>
        <w:ind w:left="438"/>
        <w:jc w:val="both"/>
        <w:rPr>
          <w:rFonts w:ascii="Tahoma"/>
          <w:b/>
          <w:sz w:val="15"/>
        </w:rPr>
      </w:pPr>
      <w:r>
        <w:rPr>
          <w:rFonts w:ascii="Tahoma"/>
          <w:b/>
          <w:color w:val="231F20"/>
          <w:sz w:val="15"/>
        </w:rPr>
        <w:t>References</w:t>
      </w:r>
    </w:p>
    <w:p w:rsidR="00EA2940" w:rsidRDefault="006D37CB">
      <w:pPr>
        <w:pStyle w:val="ListParagraph"/>
        <w:numPr>
          <w:ilvl w:val="2"/>
          <w:numId w:val="1"/>
        </w:numPr>
        <w:tabs>
          <w:tab w:val="left" w:pos="597"/>
        </w:tabs>
        <w:spacing w:before="25" w:line="295" w:lineRule="auto"/>
        <w:ind w:firstLine="0"/>
        <w:jc w:val="both"/>
        <w:rPr>
          <w:sz w:val="14"/>
        </w:rPr>
      </w:pPr>
      <w:r>
        <w:rPr>
          <w:color w:val="231F20"/>
          <w:spacing w:val="-3"/>
          <w:w w:val="115"/>
          <w:sz w:val="14"/>
        </w:rPr>
        <w:t xml:space="preserve">Centers </w:t>
      </w:r>
      <w:r>
        <w:rPr>
          <w:color w:val="231F20"/>
          <w:w w:val="115"/>
          <w:sz w:val="14"/>
        </w:rPr>
        <w:t xml:space="preserve">for </w:t>
      </w:r>
      <w:r>
        <w:rPr>
          <w:color w:val="231F20"/>
          <w:spacing w:val="-3"/>
          <w:w w:val="115"/>
          <w:sz w:val="14"/>
        </w:rPr>
        <w:t xml:space="preserve">Disease Control </w:t>
      </w:r>
      <w:r>
        <w:rPr>
          <w:color w:val="231F20"/>
          <w:w w:val="115"/>
          <w:sz w:val="14"/>
        </w:rPr>
        <w:t xml:space="preserve">and </w:t>
      </w:r>
      <w:r>
        <w:rPr>
          <w:color w:val="231F20"/>
          <w:spacing w:val="-3"/>
          <w:w w:val="115"/>
          <w:sz w:val="14"/>
        </w:rPr>
        <w:t>Prevention. Prescribing data. Updated 30 August</w:t>
      </w:r>
      <w:r>
        <w:rPr>
          <w:color w:val="231F20"/>
          <w:spacing w:val="-14"/>
          <w:w w:val="115"/>
          <w:sz w:val="14"/>
        </w:rPr>
        <w:t xml:space="preserve"> </w:t>
      </w:r>
      <w:r>
        <w:rPr>
          <w:color w:val="231F20"/>
          <w:spacing w:val="-3"/>
          <w:w w:val="115"/>
          <w:sz w:val="14"/>
        </w:rPr>
        <w:t>2017.</w:t>
      </w:r>
      <w:r>
        <w:rPr>
          <w:color w:val="231F20"/>
          <w:spacing w:val="-14"/>
          <w:w w:val="115"/>
          <w:sz w:val="14"/>
        </w:rPr>
        <w:t xml:space="preserve"> </w:t>
      </w:r>
      <w:r>
        <w:rPr>
          <w:color w:val="231F20"/>
          <w:spacing w:val="-3"/>
          <w:w w:val="115"/>
          <w:sz w:val="14"/>
        </w:rPr>
        <w:t>Accessed</w:t>
      </w:r>
      <w:r>
        <w:rPr>
          <w:color w:val="231F20"/>
          <w:spacing w:val="-14"/>
          <w:w w:val="115"/>
          <w:sz w:val="14"/>
        </w:rPr>
        <w:t xml:space="preserve"> </w:t>
      </w:r>
      <w:r>
        <w:rPr>
          <w:color w:val="231F20"/>
          <w:w w:val="115"/>
          <w:sz w:val="14"/>
        </w:rPr>
        <w:t>at</w:t>
      </w:r>
      <w:r>
        <w:rPr>
          <w:color w:val="231F20"/>
          <w:spacing w:val="-14"/>
          <w:w w:val="115"/>
          <w:sz w:val="14"/>
        </w:rPr>
        <w:t xml:space="preserve"> </w:t>
      </w:r>
      <w:hyperlink r:id="rId12">
        <w:r>
          <w:rPr>
            <w:color w:val="231F20"/>
            <w:spacing w:val="-3"/>
            <w:w w:val="115"/>
            <w:sz w:val="14"/>
          </w:rPr>
          <w:t>www.cdc.gov/drugoverdose/data/prescribing.html</w:t>
        </w:r>
      </w:hyperlink>
      <w:r>
        <w:rPr>
          <w:color w:val="231F20"/>
          <w:spacing w:val="-3"/>
          <w:w w:val="115"/>
          <w:sz w:val="14"/>
        </w:rPr>
        <w:t xml:space="preserve"> </w:t>
      </w:r>
      <w:r>
        <w:rPr>
          <w:color w:val="231F20"/>
          <w:w w:val="115"/>
          <w:sz w:val="14"/>
        </w:rPr>
        <w:t>o</w:t>
      </w:r>
      <w:r>
        <w:rPr>
          <w:color w:val="231F20"/>
          <w:w w:val="115"/>
          <w:sz w:val="14"/>
        </w:rPr>
        <w:t xml:space="preserve">n 1 </w:t>
      </w:r>
      <w:r>
        <w:rPr>
          <w:color w:val="231F20"/>
          <w:spacing w:val="-3"/>
          <w:w w:val="115"/>
          <w:sz w:val="14"/>
        </w:rPr>
        <w:t>July</w:t>
      </w:r>
      <w:r>
        <w:rPr>
          <w:color w:val="231F20"/>
          <w:spacing w:val="6"/>
          <w:w w:val="115"/>
          <w:sz w:val="14"/>
        </w:rPr>
        <w:t xml:space="preserve"> </w:t>
      </w:r>
      <w:r>
        <w:rPr>
          <w:color w:val="231F20"/>
          <w:spacing w:val="-3"/>
          <w:w w:val="115"/>
          <w:sz w:val="14"/>
        </w:rPr>
        <w:t>2017.</w:t>
      </w:r>
    </w:p>
    <w:p w:rsidR="00EA2940" w:rsidRDefault="006D37CB">
      <w:pPr>
        <w:pStyle w:val="ListParagraph"/>
        <w:numPr>
          <w:ilvl w:val="2"/>
          <w:numId w:val="1"/>
        </w:numPr>
        <w:tabs>
          <w:tab w:val="left" w:pos="586"/>
        </w:tabs>
        <w:spacing w:line="295" w:lineRule="auto"/>
        <w:ind w:right="911" w:firstLine="0"/>
        <w:jc w:val="both"/>
        <w:rPr>
          <w:sz w:val="14"/>
        </w:rPr>
      </w:pPr>
      <w:r>
        <w:rPr>
          <w:color w:val="231F20"/>
          <w:spacing w:val="-3"/>
          <w:w w:val="110"/>
          <w:sz w:val="14"/>
        </w:rPr>
        <w:t xml:space="preserve">Dowell </w:t>
      </w:r>
      <w:r>
        <w:rPr>
          <w:color w:val="231F20"/>
          <w:w w:val="110"/>
          <w:sz w:val="14"/>
        </w:rPr>
        <w:t xml:space="preserve">D, </w:t>
      </w:r>
      <w:r>
        <w:rPr>
          <w:color w:val="231F20"/>
          <w:spacing w:val="-3"/>
          <w:w w:val="110"/>
          <w:sz w:val="14"/>
        </w:rPr>
        <w:t xml:space="preserve">Haegerich </w:t>
      </w:r>
      <w:r>
        <w:rPr>
          <w:color w:val="231F20"/>
          <w:w w:val="110"/>
          <w:sz w:val="14"/>
        </w:rPr>
        <w:t xml:space="preserve">TM, </w:t>
      </w:r>
      <w:r>
        <w:rPr>
          <w:color w:val="231F20"/>
          <w:spacing w:val="-3"/>
          <w:w w:val="110"/>
          <w:sz w:val="14"/>
        </w:rPr>
        <w:t xml:space="preserve">Chou </w:t>
      </w:r>
      <w:r>
        <w:rPr>
          <w:color w:val="231F20"/>
          <w:w w:val="110"/>
          <w:sz w:val="14"/>
        </w:rPr>
        <w:t xml:space="preserve">R. CDC </w:t>
      </w:r>
      <w:r>
        <w:rPr>
          <w:color w:val="231F20"/>
          <w:spacing w:val="-3"/>
          <w:w w:val="110"/>
          <w:sz w:val="14"/>
        </w:rPr>
        <w:t xml:space="preserve">guideline </w:t>
      </w:r>
      <w:r>
        <w:rPr>
          <w:color w:val="231F20"/>
          <w:w w:val="110"/>
          <w:sz w:val="14"/>
        </w:rPr>
        <w:t xml:space="preserve">for </w:t>
      </w:r>
      <w:r>
        <w:rPr>
          <w:color w:val="231F20"/>
          <w:spacing w:val="-3"/>
          <w:w w:val="110"/>
          <w:sz w:val="14"/>
        </w:rPr>
        <w:t xml:space="preserve">prescribing opioids for chronic pain—United States, 2016. MMWR Recomm Rep. 2016;65:1-49. [PMID: 26987082] </w:t>
      </w:r>
      <w:r>
        <w:rPr>
          <w:color w:val="231F20"/>
          <w:spacing w:val="22"/>
          <w:w w:val="110"/>
          <w:sz w:val="14"/>
        </w:rPr>
        <w:t xml:space="preserve"> </w:t>
      </w:r>
      <w:r>
        <w:rPr>
          <w:color w:val="231F20"/>
          <w:spacing w:val="-3"/>
          <w:w w:val="110"/>
          <w:sz w:val="14"/>
        </w:rPr>
        <w:t>doi:10.15585/mmwr.rr6501e1</w:t>
      </w:r>
    </w:p>
    <w:p w:rsidR="00EA2940" w:rsidRDefault="006D37CB">
      <w:pPr>
        <w:pStyle w:val="ListParagraph"/>
        <w:numPr>
          <w:ilvl w:val="2"/>
          <w:numId w:val="1"/>
        </w:numPr>
        <w:tabs>
          <w:tab w:val="left" w:pos="586"/>
        </w:tabs>
        <w:spacing w:line="295" w:lineRule="auto"/>
        <w:ind w:right="910" w:firstLine="0"/>
        <w:jc w:val="both"/>
        <w:rPr>
          <w:sz w:val="14"/>
        </w:rPr>
      </w:pPr>
      <w:r>
        <w:rPr>
          <w:color w:val="231F20"/>
          <w:spacing w:val="-3"/>
          <w:w w:val="115"/>
          <w:sz w:val="14"/>
        </w:rPr>
        <w:t>Bohnert</w:t>
      </w:r>
      <w:r>
        <w:rPr>
          <w:color w:val="231F20"/>
          <w:spacing w:val="-13"/>
          <w:w w:val="115"/>
          <w:sz w:val="14"/>
        </w:rPr>
        <w:t xml:space="preserve"> </w:t>
      </w:r>
      <w:r>
        <w:rPr>
          <w:color w:val="231F20"/>
          <w:w w:val="115"/>
          <w:sz w:val="14"/>
        </w:rPr>
        <w:t>AS,</w:t>
      </w:r>
      <w:r>
        <w:rPr>
          <w:color w:val="231F20"/>
          <w:spacing w:val="-13"/>
          <w:w w:val="115"/>
          <w:sz w:val="14"/>
        </w:rPr>
        <w:t xml:space="preserve"> </w:t>
      </w:r>
      <w:r>
        <w:rPr>
          <w:color w:val="231F20"/>
          <w:spacing w:val="-3"/>
          <w:w w:val="115"/>
          <w:sz w:val="14"/>
        </w:rPr>
        <w:t>Valenstein</w:t>
      </w:r>
      <w:r>
        <w:rPr>
          <w:color w:val="231F20"/>
          <w:spacing w:val="-13"/>
          <w:w w:val="115"/>
          <w:sz w:val="14"/>
        </w:rPr>
        <w:t xml:space="preserve"> </w:t>
      </w:r>
      <w:r>
        <w:rPr>
          <w:color w:val="231F20"/>
          <w:w w:val="115"/>
          <w:sz w:val="14"/>
        </w:rPr>
        <w:t>M,</w:t>
      </w:r>
      <w:r>
        <w:rPr>
          <w:color w:val="231F20"/>
          <w:spacing w:val="-13"/>
          <w:w w:val="115"/>
          <w:sz w:val="14"/>
        </w:rPr>
        <w:t xml:space="preserve"> </w:t>
      </w:r>
      <w:r>
        <w:rPr>
          <w:color w:val="231F20"/>
          <w:spacing w:val="-3"/>
          <w:w w:val="115"/>
          <w:sz w:val="14"/>
        </w:rPr>
        <w:t>Bair</w:t>
      </w:r>
      <w:r>
        <w:rPr>
          <w:color w:val="231F20"/>
          <w:spacing w:val="-13"/>
          <w:w w:val="115"/>
          <w:sz w:val="14"/>
        </w:rPr>
        <w:t xml:space="preserve"> </w:t>
      </w:r>
      <w:r>
        <w:rPr>
          <w:color w:val="231F20"/>
          <w:w w:val="115"/>
          <w:sz w:val="14"/>
        </w:rPr>
        <w:t>MJ,</w:t>
      </w:r>
      <w:r>
        <w:rPr>
          <w:color w:val="231F20"/>
          <w:spacing w:val="-13"/>
          <w:w w:val="115"/>
          <w:sz w:val="14"/>
        </w:rPr>
        <w:t xml:space="preserve"> </w:t>
      </w:r>
      <w:r>
        <w:rPr>
          <w:color w:val="231F20"/>
          <w:spacing w:val="-3"/>
          <w:w w:val="115"/>
          <w:sz w:val="14"/>
        </w:rPr>
        <w:t>Ganoczy</w:t>
      </w:r>
      <w:r>
        <w:rPr>
          <w:color w:val="231F20"/>
          <w:spacing w:val="-13"/>
          <w:w w:val="115"/>
          <w:sz w:val="14"/>
        </w:rPr>
        <w:t xml:space="preserve"> </w:t>
      </w:r>
      <w:r>
        <w:rPr>
          <w:color w:val="231F20"/>
          <w:w w:val="115"/>
          <w:sz w:val="14"/>
        </w:rPr>
        <w:t>D,</w:t>
      </w:r>
      <w:r>
        <w:rPr>
          <w:color w:val="231F20"/>
          <w:spacing w:val="-13"/>
          <w:w w:val="115"/>
          <w:sz w:val="14"/>
        </w:rPr>
        <w:t xml:space="preserve"> </w:t>
      </w:r>
      <w:r>
        <w:rPr>
          <w:color w:val="231F20"/>
          <w:spacing w:val="-3"/>
          <w:w w:val="115"/>
          <w:sz w:val="14"/>
        </w:rPr>
        <w:t>McCarthy</w:t>
      </w:r>
      <w:r>
        <w:rPr>
          <w:color w:val="231F20"/>
          <w:spacing w:val="-13"/>
          <w:w w:val="115"/>
          <w:sz w:val="14"/>
        </w:rPr>
        <w:t xml:space="preserve"> </w:t>
      </w:r>
      <w:r>
        <w:rPr>
          <w:color w:val="231F20"/>
          <w:w w:val="115"/>
          <w:sz w:val="14"/>
        </w:rPr>
        <w:t>JF,</w:t>
      </w:r>
      <w:r>
        <w:rPr>
          <w:color w:val="231F20"/>
          <w:spacing w:val="-13"/>
          <w:w w:val="115"/>
          <w:sz w:val="14"/>
        </w:rPr>
        <w:t xml:space="preserve"> </w:t>
      </w:r>
      <w:r>
        <w:rPr>
          <w:color w:val="231F20"/>
          <w:spacing w:val="-3"/>
          <w:w w:val="115"/>
          <w:sz w:val="14"/>
        </w:rPr>
        <w:t>Ilgen</w:t>
      </w:r>
      <w:r>
        <w:rPr>
          <w:color w:val="231F20"/>
          <w:spacing w:val="-13"/>
          <w:w w:val="115"/>
          <w:sz w:val="14"/>
        </w:rPr>
        <w:t xml:space="preserve"> </w:t>
      </w:r>
      <w:r>
        <w:rPr>
          <w:color w:val="231F20"/>
          <w:w w:val="115"/>
          <w:sz w:val="14"/>
        </w:rPr>
        <w:t>MA,</w:t>
      </w:r>
      <w:r>
        <w:rPr>
          <w:color w:val="231F20"/>
          <w:spacing w:val="-13"/>
          <w:w w:val="115"/>
          <w:sz w:val="14"/>
        </w:rPr>
        <w:t xml:space="preserve"> </w:t>
      </w:r>
      <w:r>
        <w:rPr>
          <w:color w:val="231F20"/>
          <w:w w:val="115"/>
          <w:sz w:val="14"/>
        </w:rPr>
        <w:t>et</w:t>
      </w:r>
      <w:r>
        <w:rPr>
          <w:color w:val="231F20"/>
          <w:spacing w:val="-13"/>
          <w:w w:val="115"/>
          <w:sz w:val="14"/>
        </w:rPr>
        <w:t xml:space="preserve"> </w:t>
      </w:r>
      <w:r>
        <w:rPr>
          <w:color w:val="231F20"/>
          <w:spacing w:val="-3"/>
          <w:w w:val="115"/>
          <w:sz w:val="14"/>
        </w:rPr>
        <w:t>al. Association</w:t>
      </w:r>
      <w:r>
        <w:rPr>
          <w:color w:val="231F20"/>
          <w:spacing w:val="-11"/>
          <w:w w:val="115"/>
          <w:sz w:val="14"/>
        </w:rPr>
        <w:t xml:space="preserve"> </w:t>
      </w:r>
      <w:r>
        <w:rPr>
          <w:color w:val="231F20"/>
          <w:spacing w:val="-3"/>
          <w:w w:val="115"/>
          <w:sz w:val="14"/>
        </w:rPr>
        <w:t>between</w:t>
      </w:r>
      <w:r>
        <w:rPr>
          <w:color w:val="231F20"/>
          <w:spacing w:val="-11"/>
          <w:w w:val="115"/>
          <w:sz w:val="14"/>
        </w:rPr>
        <w:t xml:space="preserve"> </w:t>
      </w:r>
      <w:r>
        <w:rPr>
          <w:color w:val="231F20"/>
          <w:spacing w:val="-3"/>
          <w:w w:val="115"/>
          <w:sz w:val="14"/>
        </w:rPr>
        <w:t>opioid</w:t>
      </w:r>
      <w:r>
        <w:rPr>
          <w:color w:val="231F20"/>
          <w:spacing w:val="-11"/>
          <w:w w:val="115"/>
          <w:sz w:val="14"/>
        </w:rPr>
        <w:t xml:space="preserve"> </w:t>
      </w:r>
      <w:r>
        <w:rPr>
          <w:color w:val="231F20"/>
          <w:spacing w:val="-3"/>
          <w:w w:val="115"/>
          <w:sz w:val="14"/>
        </w:rPr>
        <w:t>prescribing</w:t>
      </w:r>
      <w:r>
        <w:rPr>
          <w:color w:val="231F20"/>
          <w:spacing w:val="-11"/>
          <w:w w:val="115"/>
          <w:sz w:val="14"/>
        </w:rPr>
        <w:t xml:space="preserve"> </w:t>
      </w:r>
      <w:r>
        <w:rPr>
          <w:color w:val="231F20"/>
          <w:spacing w:val="-3"/>
          <w:w w:val="115"/>
          <w:sz w:val="14"/>
        </w:rPr>
        <w:t>patterns</w:t>
      </w:r>
      <w:r>
        <w:rPr>
          <w:color w:val="231F20"/>
          <w:spacing w:val="-11"/>
          <w:w w:val="115"/>
          <w:sz w:val="14"/>
        </w:rPr>
        <w:t xml:space="preserve"> </w:t>
      </w:r>
      <w:r>
        <w:rPr>
          <w:color w:val="231F20"/>
          <w:w w:val="115"/>
          <w:sz w:val="14"/>
        </w:rPr>
        <w:t>and</w:t>
      </w:r>
      <w:r>
        <w:rPr>
          <w:color w:val="231F20"/>
          <w:spacing w:val="-11"/>
          <w:w w:val="115"/>
          <w:sz w:val="14"/>
        </w:rPr>
        <w:t xml:space="preserve"> </w:t>
      </w:r>
      <w:r>
        <w:rPr>
          <w:color w:val="231F20"/>
          <w:spacing w:val="-3"/>
          <w:w w:val="115"/>
          <w:sz w:val="14"/>
        </w:rPr>
        <w:t>opioid</w:t>
      </w:r>
      <w:r>
        <w:rPr>
          <w:color w:val="231F20"/>
          <w:spacing w:val="-11"/>
          <w:w w:val="115"/>
          <w:sz w:val="14"/>
        </w:rPr>
        <w:t xml:space="preserve"> </w:t>
      </w:r>
      <w:r>
        <w:rPr>
          <w:color w:val="231F20"/>
          <w:spacing w:val="-3"/>
          <w:w w:val="115"/>
          <w:sz w:val="14"/>
        </w:rPr>
        <w:t>overdose-related deaths. JAMA. 2011;305:1315-21. [PMID: 21467284]</w:t>
      </w:r>
      <w:r>
        <w:rPr>
          <w:color w:val="231F20"/>
          <w:spacing w:val="-19"/>
          <w:w w:val="115"/>
          <w:sz w:val="14"/>
        </w:rPr>
        <w:t xml:space="preserve"> </w:t>
      </w:r>
      <w:r>
        <w:rPr>
          <w:color w:val="231F20"/>
          <w:spacing w:val="-3"/>
          <w:w w:val="115"/>
          <w:sz w:val="14"/>
        </w:rPr>
        <w:t>doi:10.1001/jama.2011</w:t>
      </w:r>
    </w:p>
    <w:p w:rsidR="00EA2940" w:rsidRDefault="006D37CB">
      <w:pPr>
        <w:spacing w:line="171" w:lineRule="exact"/>
        <w:ind w:left="438"/>
        <w:jc w:val="both"/>
        <w:rPr>
          <w:sz w:val="14"/>
        </w:rPr>
      </w:pPr>
      <w:r>
        <w:rPr>
          <w:color w:val="231F20"/>
          <w:w w:val="115"/>
          <w:sz w:val="14"/>
        </w:rPr>
        <w:t>.370</w:t>
      </w:r>
    </w:p>
    <w:p w:rsidR="00EA2940" w:rsidRDefault="006D37CB">
      <w:pPr>
        <w:pStyle w:val="ListParagraph"/>
        <w:numPr>
          <w:ilvl w:val="2"/>
          <w:numId w:val="1"/>
        </w:numPr>
        <w:tabs>
          <w:tab w:val="left" w:pos="588"/>
        </w:tabs>
        <w:spacing w:before="39" w:line="295" w:lineRule="auto"/>
        <w:ind w:firstLine="0"/>
        <w:jc w:val="both"/>
        <w:rPr>
          <w:sz w:val="14"/>
        </w:rPr>
      </w:pPr>
      <w:r>
        <w:rPr>
          <w:color w:val="231F20"/>
          <w:spacing w:val="-3"/>
          <w:w w:val="115"/>
          <w:sz w:val="14"/>
        </w:rPr>
        <w:t>Saunders</w:t>
      </w:r>
      <w:r>
        <w:rPr>
          <w:color w:val="231F20"/>
          <w:spacing w:val="-10"/>
          <w:w w:val="115"/>
          <w:sz w:val="14"/>
        </w:rPr>
        <w:t xml:space="preserve"> </w:t>
      </w:r>
      <w:r>
        <w:rPr>
          <w:color w:val="231F20"/>
          <w:w w:val="115"/>
          <w:sz w:val="14"/>
        </w:rPr>
        <w:t>KW,</w:t>
      </w:r>
      <w:r>
        <w:rPr>
          <w:color w:val="231F20"/>
          <w:spacing w:val="-10"/>
          <w:w w:val="115"/>
          <w:sz w:val="14"/>
        </w:rPr>
        <w:t xml:space="preserve"> </w:t>
      </w:r>
      <w:r>
        <w:rPr>
          <w:color w:val="231F20"/>
          <w:spacing w:val="-3"/>
          <w:w w:val="115"/>
          <w:sz w:val="14"/>
        </w:rPr>
        <w:t>Dunn</w:t>
      </w:r>
      <w:r>
        <w:rPr>
          <w:color w:val="231F20"/>
          <w:spacing w:val="-10"/>
          <w:w w:val="115"/>
          <w:sz w:val="14"/>
        </w:rPr>
        <w:t xml:space="preserve"> </w:t>
      </w:r>
      <w:r>
        <w:rPr>
          <w:color w:val="231F20"/>
          <w:w w:val="115"/>
          <w:sz w:val="14"/>
        </w:rPr>
        <w:t>KM,</w:t>
      </w:r>
      <w:r>
        <w:rPr>
          <w:color w:val="231F20"/>
          <w:spacing w:val="-10"/>
          <w:w w:val="115"/>
          <w:sz w:val="14"/>
        </w:rPr>
        <w:t xml:space="preserve"> </w:t>
      </w:r>
      <w:r>
        <w:rPr>
          <w:color w:val="231F20"/>
          <w:spacing w:val="-3"/>
          <w:w w:val="115"/>
          <w:sz w:val="14"/>
        </w:rPr>
        <w:t>Merrill</w:t>
      </w:r>
      <w:r>
        <w:rPr>
          <w:color w:val="231F20"/>
          <w:spacing w:val="-10"/>
          <w:w w:val="115"/>
          <w:sz w:val="14"/>
        </w:rPr>
        <w:t xml:space="preserve"> </w:t>
      </w:r>
      <w:r>
        <w:rPr>
          <w:color w:val="231F20"/>
          <w:w w:val="115"/>
          <w:sz w:val="14"/>
        </w:rPr>
        <w:t>JO,</w:t>
      </w:r>
      <w:r>
        <w:rPr>
          <w:color w:val="231F20"/>
          <w:spacing w:val="-10"/>
          <w:w w:val="115"/>
          <w:sz w:val="14"/>
        </w:rPr>
        <w:t xml:space="preserve"> </w:t>
      </w:r>
      <w:r>
        <w:rPr>
          <w:color w:val="231F20"/>
          <w:spacing w:val="-3"/>
          <w:w w:val="115"/>
          <w:sz w:val="14"/>
        </w:rPr>
        <w:t>Sullivan</w:t>
      </w:r>
      <w:r>
        <w:rPr>
          <w:color w:val="231F20"/>
          <w:spacing w:val="-10"/>
          <w:w w:val="115"/>
          <w:sz w:val="14"/>
        </w:rPr>
        <w:t xml:space="preserve"> </w:t>
      </w:r>
      <w:r>
        <w:rPr>
          <w:color w:val="231F20"/>
          <w:w w:val="115"/>
          <w:sz w:val="14"/>
        </w:rPr>
        <w:t>M,</w:t>
      </w:r>
      <w:r>
        <w:rPr>
          <w:color w:val="231F20"/>
          <w:spacing w:val="-10"/>
          <w:w w:val="115"/>
          <w:sz w:val="14"/>
        </w:rPr>
        <w:t xml:space="preserve"> </w:t>
      </w:r>
      <w:r>
        <w:rPr>
          <w:color w:val="231F20"/>
          <w:spacing w:val="-3"/>
          <w:w w:val="115"/>
          <w:sz w:val="14"/>
        </w:rPr>
        <w:t>Weisner</w:t>
      </w:r>
      <w:r>
        <w:rPr>
          <w:color w:val="231F20"/>
          <w:spacing w:val="-10"/>
          <w:w w:val="115"/>
          <w:sz w:val="14"/>
        </w:rPr>
        <w:t xml:space="preserve"> </w:t>
      </w:r>
      <w:r>
        <w:rPr>
          <w:color w:val="231F20"/>
          <w:w w:val="115"/>
          <w:sz w:val="14"/>
        </w:rPr>
        <w:t>C,</w:t>
      </w:r>
      <w:r>
        <w:rPr>
          <w:color w:val="231F20"/>
          <w:spacing w:val="-10"/>
          <w:w w:val="115"/>
          <w:sz w:val="14"/>
        </w:rPr>
        <w:t xml:space="preserve"> </w:t>
      </w:r>
      <w:r>
        <w:rPr>
          <w:color w:val="231F20"/>
          <w:spacing w:val="-3"/>
          <w:w w:val="115"/>
          <w:sz w:val="14"/>
        </w:rPr>
        <w:t>Braden</w:t>
      </w:r>
      <w:r>
        <w:rPr>
          <w:color w:val="231F20"/>
          <w:spacing w:val="-10"/>
          <w:w w:val="115"/>
          <w:sz w:val="14"/>
        </w:rPr>
        <w:t xml:space="preserve"> </w:t>
      </w:r>
      <w:r>
        <w:rPr>
          <w:color w:val="231F20"/>
          <w:w w:val="115"/>
          <w:sz w:val="14"/>
        </w:rPr>
        <w:t>JB,</w:t>
      </w:r>
      <w:r>
        <w:rPr>
          <w:color w:val="231F20"/>
          <w:spacing w:val="-10"/>
          <w:w w:val="115"/>
          <w:sz w:val="14"/>
        </w:rPr>
        <w:t xml:space="preserve"> </w:t>
      </w:r>
      <w:r>
        <w:rPr>
          <w:color w:val="231F20"/>
          <w:w w:val="115"/>
          <w:sz w:val="14"/>
        </w:rPr>
        <w:t>et</w:t>
      </w:r>
      <w:r>
        <w:rPr>
          <w:color w:val="231F20"/>
          <w:spacing w:val="-10"/>
          <w:w w:val="115"/>
          <w:sz w:val="14"/>
        </w:rPr>
        <w:t xml:space="preserve"> </w:t>
      </w:r>
      <w:r>
        <w:rPr>
          <w:color w:val="231F20"/>
          <w:spacing w:val="-3"/>
          <w:w w:val="115"/>
          <w:sz w:val="14"/>
        </w:rPr>
        <w:t>al. Relationship</w:t>
      </w:r>
      <w:r>
        <w:rPr>
          <w:color w:val="231F20"/>
          <w:spacing w:val="-10"/>
          <w:w w:val="115"/>
          <w:sz w:val="14"/>
        </w:rPr>
        <w:t xml:space="preserve"> </w:t>
      </w:r>
      <w:r>
        <w:rPr>
          <w:color w:val="231F20"/>
          <w:w w:val="115"/>
          <w:sz w:val="14"/>
        </w:rPr>
        <w:t>of</w:t>
      </w:r>
      <w:r>
        <w:rPr>
          <w:color w:val="231F20"/>
          <w:spacing w:val="-10"/>
          <w:w w:val="115"/>
          <w:sz w:val="14"/>
        </w:rPr>
        <w:t xml:space="preserve"> </w:t>
      </w:r>
      <w:r>
        <w:rPr>
          <w:color w:val="231F20"/>
          <w:spacing w:val="-3"/>
          <w:w w:val="115"/>
          <w:sz w:val="14"/>
        </w:rPr>
        <w:t>opioid</w:t>
      </w:r>
      <w:r>
        <w:rPr>
          <w:color w:val="231F20"/>
          <w:spacing w:val="-10"/>
          <w:w w:val="115"/>
          <w:sz w:val="14"/>
        </w:rPr>
        <w:t xml:space="preserve"> </w:t>
      </w:r>
      <w:r>
        <w:rPr>
          <w:color w:val="231F20"/>
          <w:w w:val="115"/>
          <w:sz w:val="14"/>
        </w:rPr>
        <w:t>use</w:t>
      </w:r>
      <w:r>
        <w:rPr>
          <w:color w:val="231F20"/>
          <w:spacing w:val="-10"/>
          <w:w w:val="115"/>
          <w:sz w:val="14"/>
        </w:rPr>
        <w:t xml:space="preserve"> </w:t>
      </w:r>
      <w:r>
        <w:rPr>
          <w:color w:val="231F20"/>
          <w:w w:val="115"/>
          <w:sz w:val="14"/>
        </w:rPr>
        <w:t>and</w:t>
      </w:r>
      <w:r>
        <w:rPr>
          <w:color w:val="231F20"/>
          <w:spacing w:val="-10"/>
          <w:w w:val="115"/>
          <w:sz w:val="14"/>
        </w:rPr>
        <w:t xml:space="preserve"> </w:t>
      </w:r>
      <w:r>
        <w:rPr>
          <w:color w:val="231F20"/>
          <w:spacing w:val="-3"/>
          <w:w w:val="115"/>
          <w:sz w:val="14"/>
        </w:rPr>
        <w:t>dosage</w:t>
      </w:r>
      <w:r>
        <w:rPr>
          <w:color w:val="231F20"/>
          <w:spacing w:val="-10"/>
          <w:w w:val="115"/>
          <w:sz w:val="14"/>
        </w:rPr>
        <w:t xml:space="preserve"> </w:t>
      </w:r>
      <w:r>
        <w:rPr>
          <w:color w:val="231F20"/>
          <w:spacing w:val="-3"/>
          <w:w w:val="115"/>
          <w:sz w:val="14"/>
        </w:rPr>
        <w:t>levels</w:t>
      </w:r>
      <w:r>
        <w:rPr>
          <w:color w:val="231F20"/>
          <w:spacing w:val="-10"/>
          <w:w w:val="115"/>
          <w:sz w:val="14"/>
        </w:rPr>
        <w:t xml:space="preserve"> </w:t>
      </w:r>
      <w:r>
        <w:rPr>
          <w:color w:val="231F20"/>
          <w:w w:val="115"/>
          <w:sz w:val="14"/>
        </w:rPr>
        <w:t>to</w:t>
      </w:r>
      <w:r>
        <w:rPr>
          <w:color w:val="231F20"/>
          <w:spacing w:val="-10"/>
          <w:w w:val="115"/>
          <w:sz w:val="14"/>
        </w:rPr>
        <w:t xml:space="preserve"> </w:t>
      </w:r>
      <w:r>
        <w:rPr>
          <w:color w:val="231F20"/>
          <w:spacing w:val="-3"/>
          <w:w w:val="115"/>
          <w:sz w:val="14"/>
        </w:rPr>
        <w:t>fractures</w:t>
      </w:r>
      <w:r>
        <w:rPr>
          <w:color w:val="231F20"/>
          <w:spacing w:val="-10"/>
          <w:w w:val="115"/>
          <w:sz w:val="14"/>
        </w:rPr>
        <w:t xml:space="preserve"> </w:t>
      </w:r>
      <w:r>
        <w:rPr>
          <w:color w:val="231F20"/>
          <w:w w:val="115"/>
          <w:sz w:val="14"/>
        </w:rPr>
        <w:t>in</w:t>
      </w:r>
      <w:r>
        <w:rPr>
          <w:color w:val="231F20"/>
          <w:spacing w:val="-10"/>
          <w:w w:val="115"/>
          <w:sz w:val="14"/>
        </w:rPr>
        <w:t xml:space="preserve"> </w:t>
      </w:r>
      <w:r>
        <w:rPr>
          <w:color w:val="231F20"/>
          <w:spacing w:val="-3"/>
          <w:w w:val="115"/>
          <w:sz w:val="14"/>
        </w:rPr>
        <w:t>older</w:t>
      </w:r>
      <w:r>
        <w:rPr>
          <w:color w:val="231F20"/>
          <w:spacing w:val="-10"/>
          <w:w w:val="115"/>
          <w:sz w:val="14"/>
        </w:rPr>
        <w:t xml:space="preserve"> </w:t>
      </w:r>
      <w:r>
        <w:rPr>
          <w:color w:val="231F20"/>
          <w:spacing w:val="-3"/>
          <w:w w:val="115"/>
          <w:sz w:val="14"/>
        </w:rPr>
        <w:t>chronic</w:t>
      </w:r>
      <w:r>
        <w:rPr>
          <w:color w:val="231F20"/>
          <w:spacing w:val="-10"/>
          <w:w w:val="115"/>
          <w:sz w:val="14"/>
        </w:rPr>
        <w:t xml:space="preserve"> </w:t>
      </w:r>
      <w:r>
        <w:rPr>
          <w:color w:val="231F20"/>
          <w:spacing w:val="-3"/>
          <w:w w:val="115"/>
          <w:sz w:val="14"/>
        </w:rPr>
        <w:t xml:space="preserve">pain patients. </w:t>
      </w:r>
      <w:r>
        <w:rPr>
          <w:color w:val="231F20"/>
          <w:w w:val="125"/>
          <w:sz w:val="14"/>
        </w:rPr>
        <w:t xml:space="preserve">J </w:t>
      </w:r>
      <w:r>
        <w:rPr>
          <w:color w:val="231F20"/>
          <w:w w:val="115"/>
          <w:sz w:val="14"/>
        </w:rPr>
        <w:t xml:space="preserve">Gen </w:t>
      </w:r>
      <w:r>
        <w:rPr>
          <w:color w:val="231F20"/>
          <w:spacing w:val="-3"/>
          <w:w w:val="115"/>
          <w:sz w:val="14"/>
        </w:rPr>
        <w:t xml:space="preserve">Intern Med. 2010;25:310-5. [PMID: 20049546]   </w:t>
      </w:r>
      <w:r>
        <w:rPr>
          <w:color w:val="231F20"/>
          <w:spacing w:val="7"/>
          <w:w w:val="115"/>
          <w:sz w:val="14"/>
        </w:rPr>
        <w:t xml:space="preserve"> </w:t>
      </w:r>
      <w:r>
        <w:rPr>
          <w:color w:val="231F20"/>
          <w:spacing w:val="-3"/>
          <w:w w:val="115"/>
          <w:sz w:val="14"/>
        </w:rPr>
        <w:t>doi:10.1007</w:t>
      </w:r>
    </w:p>
    <w:p w:rsidR="00EA2940" w:rsidRDefault="006D37CB">
      <w:pPr>
        <w:spacing w:line="171" w:lineRule="exact"/>
        <w:ind w:left="438"/>
        <w:jc w:val="both"/>
        <w:rPr>
          <w:sz w:val="14"/>
        </w:rPr>
      </w:pPr>
      <w:r>
        <w:rPr>
          <w:color w:val="231F20"/>
          <w:w w:val="110"/>
          <w:sz w:val="14"/>
        </w:rPr>
        <w:t>/s11606-009-1218-z</w:t>
      </w:r>
    </w:p>
    <w:p w:rsidR="00EA2940" w:rsidRDefault="006D37CB">
      <w:pPr>
        <w:pStyle w:val="ListParagraph"/>
        <w:numPr>
          <w:ilvl w:val="2"/>
          <w:numId w:val="1"/>
        </w:numPr>
        <w:tabs>
          <w:tab w:val="left" w:pos="601"/>
        </w:tabs>
        <w:spacing w:before="39" w:line="295" w:lineRule="auto"/>
        <w:ind w:firstLine="0"/>
        <w:jc w:val="both"/>
        <w:rPr>
          <w:sz w:val="14"/>
        </w:rPr>
      </w:pPr>
      <w:r>
        <w:rPr>
          <w:color w:val="231F20"/>
          <w:spacing w:val="-8"/>
          <w:w w:val="110"/>
          <w:sz w:val="14"/>
        </w:rPr>
        <w:t xml:space="preserve">Garcı´a </w:t>
      </w:r>
      <w:r>
        <w:rPr>
          <w:color w:val="231F20"/>
          <w:w w:val="110"/>
          <w:sz w:val="14"/>
        </w:rPr>
        <w:t xml:space="preserve">MC, </w:t>
      </w:r>
      <w:r>
        <w:rPr>
          <w:color w:val="231F20"/>
          <w:spacing w:val="-3"/>
          <w:w w:val="110"/>
          <w:sz w:val="14"/>
        </w:rPr>
        <w:t xml:space="preserve">Dodek </w:t>
      </w:r>
      <w:r>
        <w:rPr>
          <w:color w:val="231F20"/>
          <w:w w:val="110"/>
          <w:sz w:val="14"/>
        </w:rPr>
        <w:t xml:space="preserve">AB, </w:t>
      </w:r>
      <w:r>
        <w:rPr>
          <w:color w:val="231F20"/>
          <w:spacing w:val="-3"/>
          <w:w w:val="110"/>
          <w:sz w:val="14"/>
        </w:rPr>
        <w:t xml:space="preserve">Kowalski </w:t>
      </w:r>
      <w:r>
        <w:rPr>
          <w:color w:val="231F20"/>
          <w:w w:val="110"/>
          <w:sz w:val="14"/>
        </w:rPr>
        <w:t xml:space="preserve">T, </w:t>
      </w:r>
      <w:r>
        <w:rPr>
          <w:color w:val="231F20"/>
          <w:spacing w:val="-3"/>
          <w:w w:val="110"/>
          <w:sz w:val="14"/>
        </w:rPr>
        <w:t xml:space="preserve">Fallon </w:t>
      </w:r>
      <w:r>
        <w:rPr>
          <w:color w:val="231F20"/>
          <w:w w:val="110"/>
          <w:sz w:val="14"/>
        </w:rPr>
        <w:t xml:space="preserve">J, Lee SH, </w:t>
      </w:r>
      <w:r>
        <w:rPr>
          <w:color w:val="231F20"/>
          <w:spacing w:val="-3"/>
          <w:w w:val="110"/>
          <w:sz w:val="14"/>
        </w:rPr>
        <w:t xml:space="preserve">Iademarco </w:t>
      </w:r>
      <w:r>
        <w:rPr>
          <w:color w:val="231F20"/>
          <w:w w:val="110"/>
          <w:sz w:val="14"/>
        </w:rPr>
        <w:t xml:space="preserve">MF, et </w:t>
      </w:r>
      <w:r>
        <w:rPr>
          <w:color w:val="231F20"/>
          <w:spacing w:val="-3"/>
          <w:w w:val="110"/>
          <w:sz w:val="14"/>
        </w:rPr>
        <w:t xml:space="preserve">al. Declines </w:t>
      </w:r>
      <w:r>
        <w:rPr>
          <w:color w:val="231F20"/>
          <w:w w:val="110"/>
          <w:sz w:val="14"/>
        </w:rPr>
        <w:t xml:space="preserve">in </w:t>
      </w:r>
      <w:r>
        <w:rPr>
          <w:color w:val="231F20"/>
          <w:spacing w:val="-3"/>
          <w:w w:val="110"/>
          <w:sz w:val="14"/>
        </w:rPr>
        <w:t xml:space="preserve">opioid prescribing after </w:t>
      </w:r>
      <w:r>
        <w:rPr>
          <w:color w:val="231F20"/>
          <w:w w:val="110"/>
          <w:sz w:val="14"/>
        </w:rPr>
        <w:t xml:space="preserve">a </w:t>
      </w:r>
      <w:r>
        <w:rPr>
          <w:color w:val="231F20"/>
          <w:spacing w:val="-3"/>
          <w:w w:val="110"/>
          <w:sz w:val="14"/>
        </w:rPr>
        <w:t xml:space="preserve">private insurer policy change—Massachu- setts, 2011-2015. MMWR Morb Mortal Wkly Rep. 2016;65:1125-31. [PMID: 27764082] </w:t>
      </w:r>
      <w:r>
        <w:rPr>
          <w:color w:val="231F20"/>
          <w:spacing w:val="28"/>
          <w:w w:val="110"/>
          <w:sz w:val="14"/>
        </w:rPr>
        <w:t xml:space="preserve"> </w:t>
      </w:r>
      <w:r>
        <w:rPr>
          <w:color w:val="231F20"/>
          <w:spacing w:val="-3"/>
          <w:w w:val="110"/>
          <w:sz w:val="14"/>
        </w:rPr>
        <w:t>doi:10.15585/mmwr.mm6541a1</w:t>
      </w:r>
    </w:p>
    <w:p w:rsidR="00EA2940" w:rsidRDefault="00EA2940">
      <w:pPr>
        <w:spacing w:line="295" w:lineRule="auto"/>
        <w:jc w:val="both"/>
        <w:rPr>
          <w:sz w:val="14"/>
        </w:rPr>
        <w:sectPr w:rsidR="00EA2940">
          <w:type w:val="continuous"/>
          <w:pgSz w:w="11880" w:h="15570"/>
          <w:pgMar w:top="1400" w:right="0" w:bottom="280" w:left="100" w:header="720" w:footer="720" w:gutter="0"/>
          <w:cols w:num="2" w:space="720" w:equalWidth="0">
            <w:col w:w="5592" w:space="40"/>
            <w:col w:w="6148"/>
          </w:cols>
        </w:sectPr>
      </w:pPr>
    </w:p>
    <w:p w:rsidR="00EA2940" w:rsidRDefault="00EA2940">
      <w:pPr>
        <w:pStyle w:val="BodyText"/>
        <w:spacing w:before="5"/>
        <w:rPr>
          <w:sz w:val="9"/>
        </w:rPr>
      </w:pPr>
    </w:p>
    <w:p w:rsidR="00EA2940" w:rsidRDefault="006D37CB">
      <w:pPr>
        <w:spacing w:before="94" w:line="254" w:lineRule="auto"/>
        <w:ind w:left="790" w:right="6186" w:hanging="1"/>
        <w:jc w:val="both"/>
        <w:rPr>
          <w:sz w:val="15"/>
        </w:rPr>
      </w:pPr>
      <w:r>
        <w:rPr>
          <w:rFonts w:ascii="Tahoma"/>
          <w:b/>
          <w:color w:val="008285"/>
          <w:sz w:val="16"/>
        </w:rPr>
        <w:t>Reproducible</w:t>
      </w:r>
      <w:r>
        <w:rPr>
          <w:rFonts w:ascii="Tahoma"/>
          <w:b/>
          <w:color w:val="008285"/>
          <w:spacing w:val="-28"/>
          <w:sz w:val="16"/>
        </w:rPr>
        <w:t xml:space="preserve"> </w:t>
      </w:r>
      <w:r>
        <w:rPr>
          <w:rFonts w:ascii="Tahoma"/>
          <w:b/>
          <w:color w:val="008285"/>
          <w:sz w:val="16"/>
        </w:rPr>
        <w:t>Research</w:t>
      </w:r>
      <w:r>
        <w:rPr>
          <w:rFonts w:ascii="Tahoma"/>
          <w:b/>
          <w:color w:val="008285"/>
          <w:spacing w:val="-28"/>
          <w:sz w:val="16"/>
        </w:rPr>
        <w:t xml:space="preserve"> </w:t>
      </w:r>
      <w:r>
        <w:rPr>
          <w:rFonts w:ascii="Tahoma"/>
          <w:b/>
          <w:color w:val="008285"/>
          <w:sz w:val="16"/>
        </w:rPr>
        <w:t>Statement:</w:t>
      </w:r>
      <w:r>
        <w:rPr>
          <w:rFonts w:ascii="Tahoma"/>
          <w:b/>
          <w:color w:val="008285"/>
          <w:spacing w:val="-28"/>
          <w:sz w:val="16"/>
        </w:rPr>
        <w:t xml:space="preserve"> </w:t>
      </w:r>
      <w:r>
        <w:rPr>
          <w:rFonts w:ascii="Lucida Sans"/>
          <w:i/>
          <w:color w:val="231F20"/>
          <w:sz w:val="15"/>
        </w:rPr>
        <w:t>Study</w:t>
      </w:r>
      <w:r>
        <w:rPr>
          <w:rFonts w:ascii="Lucida Sans"/>
          <w:i/>
          <w:color w:val="231F20"/>
          <w:spacing w:val="-28"/>
          <w:sz w:val="15"/>
        </w:rPr>
        <w:t xml:space="preserve"> </w:t>
      </w:r>
      <w:r>
        <w:rPr>
          <w:rFonts w:ascii="Lucida Sans"/>
          <w:i/>
          <w:color w:val="231F20"/>
          <w:sz w:val="15"/>
        </w:rPr>
        <w:t>protocol</w:t>
      </w:r>
      <w:r>
        <w:rPr>
          <w:rFonts w:ascii="Lucida Sans"/>
          <w:i/>
          <w:color w:val="231F20"/>
          <w:spacing w:val="-28"/>
          <w:sz w:val="15"/>
        </w:rPr>
        <w:t xml:space="preserve"> </w:t>
      </w:r>
      <w:r>
        <w:rPr>
          <w:rFonts w:ascii="Lucida Sans"/>
          <w:i/>
          <w:color w:val="231F20"/>
          <w:sz w:val="15"/>
        </w:rPr>
        <w:t>and</w:t>
      </w:r>
      <w:r>
        <w:rPr>
          <w:rFonts w:ascii="Lucida Sans"/>
          <w:i/>
          <w:color w:val="231F20"/>
          <w:spacing w:val="-28"/>
          <w:sz w:val="15"/>
        </w:rPr>
        <w:t xml:space="preserve"> </w:t>
      </w:r>
      <w:r>
        <w:rPr>
          <w:rFonts w:ascii="Lucida Sans"/>
          <w:i/>
          <w:color w:val="231F20"/>
          <w:sz w:val="15"/>
        </w:rPr>
        <w:t xml:space="preserve">statistical </w:t>
      </w:r>
      <w:r>
        <w:rPr>
          <w:rFonts w:ascii="Lucida Sans"/>
          <w:i/>
          <w:color w:val="231F20"/>
          <w:w w:val="105"/>
          <w:sz w:val="15"/>
        </w:rPr>
        <w:t xml:space="preserve">code:  </w:t>
      </w:r>
      <w:r>
        <w:rPr>
          <w:color w:val="231F20"/>
          <w:w w:val="105"/>
          <w:sz w:val="15"/>
        </w:rPr>
        <w:t xml:space="preserve">Available   from   Dr.   Samuels   (e-mail,     </w:t>
      </w:r>
      <w:r>
        <w:rPr>
          <w:color w:val="231F20"/>
          <w:spacing w:val="3"/>
          <w:w w:val="105"/>
          <w:sz w:val="15"/>
        </w:rPr>
        <w:t xml:space="preserve"> </w:t>
      </w:r>
      <w:hyperlink r:id="rId13">
        <w:r>
          <w:rPr>
            <w:color w:val="231F20"/>
            <w:w w:val="105"/>
            <w:sz w:val="15"/>
          </w:rPr>
          <w:t>elizabeth.samuels@yale</w:t>
        </w:r>
      </w:hyperlink>
    </w:p>
    <w:p w:rsidR="00EA2940" w:rsidRDefault="006D37CB">
      <w:pPr>
        <w:spacing w:line="249" w:lineRule="auto"/>
        <w:ind w:left="790" w:right="6184"/>
        <w:jc w:val="both"/>
        <w:rPr>
          <w:sz w:val="15"/>
        </w:rPr>
      </w:pPr>
      <w:hyperlink r:id="rId14">
        <w:r>
          <w:rPr>
            <w:color w:val="231F20"/>
            <w:w w:val="110"/>
            <w:sz w:val="15"/>
          </w:rPr>
          <w:t>.edu).</w:t>
        </w:r>
      </w:hyperlink>
      <w:r>
        <w:rPr>
          <w:color w:val="231F20"/>
          <w:w w:val="110"/>
          <w:sz w:val="15"/>
        </w:rPr>
        <w:t xml:space="preserve"> </w:t>
      </w:r>
      <w:r>
        <w:rPr>
          <w:rFonts w:ascii="Lucida Sans" w:hAnsi="Lucida Sans"/>
          <w:i/>
          <w:color w:val="231F20"/>
          <w:w w:val="110"/>
          <w:sz w:val="15"/>
        </w:rPr>
        <w:t xml:space="preserve">Data set: </w:t>
      </w:r>
      <w:r>
        <w:rPr>
          <w:color w:val="231F20"/>
          <w:w w:val="110"/>
          <w:sz w:val="15"/>
        </w:rPr>
        <w:t xml:space="preserve">Available for purchase from </w:t>
      </w:r>
      <w:r>
        <w:rPr>
          <w:color w:val="231F20"/>
          <w:w w:val="110"/>
          <w:sz w:val="15"/>
        </w:rPr>
        <w:t xml:space="preserve">the Centers for Medicare &amp; Medicaid Services </w:t>
      </w:r>
      <w:hyperlink r:id="rId15">
        <w:r>
          <w:rPr>
            <w:color w:val="231F20"/>
            <w:w w:val="110"/>
            <w:sz w:val="15"/>
          </w:rPr>
          <w:t>(www.cms.gov/Research-Statistics-Data-and-</w:t>
        </w:r>
      </w:hyperlink>
      <w:r>
        <w:rPr>
          <w:color w:val="231F20"/>
          <w:w w:val="110"/>
          <w:sz w:val="15"/>
        </w:rPr>
        <w:t xml:space="preserve"> </w:t>
      </w:r>
      <w:hyperlink r:id="rId16">
        <w:r>
          <w:rPr>
            <w:color w:val="231F20"/>
            <w:w w:val="110"/>
            <w:sz w:val="15"/>
          </w:rPr>
          <w:t>Systems/Files-for-Ord</w:t>
        </w:r>
        <w:r>
          <w:rPr>
            <w:color w:val="231F20"/>
            <w:w w:val="110"/>
            <w:sz w:val="15"/>
          </w:rPr>
          <w:t>er/NonIdentiﬁableDataFiles/PrescriptionDrug</w:t>
        </w:r>
      </w:hyperlink>
      <w:r>
        <w:rPr>
          <w:color w:val="231F20"/>
          <w:w w:val="110"/>
          <w:sz w:val="15"/>
        </w:rPr>
        <w:t xml:space="preserve"> </w:t>
      </w:r>
      <w:hyperlink r:id="rId17">
        <w:r>
          <w:rPr>
            <w:color w:val="231F20"/>
            <w:w w:val="110"/>
            <w:sz w:val="15"/>
          </w:rPr>
          <w:t>PlanFormularyPharmac</w:t>
        </w:r>
        <w:r>
          <w:rPr>
            <w:color w:val="231F20"/>
            <w:w w:val="110"/>
            <w:sz w:val="15"/>
          </w:rPr>
          <w:t>yNetworkandPricingInformationFiles.html).</w:t>
        </w:r>
      </w:hyperlink>
    </w:p>
    <w:p w:rsidR="00EA2940" w:rsidRDefault="006D37CB">
      <w:pPr>
        <w:tabs>
          <w:tab w:val="left" w:pos="10166"/>
        </w:tabs>
        <w:spacing w:before="154"/>
        <w:ind w:left="790"/>
        <w:jc w:val="both"/>
        <w:rPr>
          <w:rFonts w:ascii="Gill Sans MT" w:hAnsi="Gill Sans MT"/>
          <w:b/>
          <w:sz w:val="14"/>
        </w:rPr>
      </w:pPr>
      <w:r>
        <w:rPr>
          <w:rFonts w:ascii="Book Antiqua" w:hAnsi="Book Antiqua"/>
          <w:b/>
          <w:color w:val="231F20"/>
          <w:sz w:val="14"/>
        </w:rPr>
        <w:t xml:space="preserve">896   </w:t>
      </w:r>
      <w:r>
        <w:rPr>
          <w:rFonts w:ascii="Book Antiqua" w:hAnsi="Book Antiqua"/>
          <w:color w:val="008285"/>
          <w:sz w:val="14"/>
        </w:rPr>
        <w:t xml:space="preserve">Annals of Internal Medicine  </w:t>
      </w:r>
      <w:r>
        <w:rPr>
          <w:rFonts w:ascii="Arial" w:hAnsi="Arial"/>
          <w:color w:val="231F20"/>
          <w:sz w:val="14"/>
        </w:rPr>
        <w:t xml:space="preserve">•  </w:t>
      </w:r>
      <w:r>
        <w:rPr>
          <w:rFonts w:ascii="Book Antiqua" w:hAnsi="Book Antiqua"/>
          <w:color w:val="231F20"/>
          <w:sz w:val="14"/>
        </w:rPr>
        <w:t xml:space="preserve">Vol. 167  No. 12  </w:t>
      </w:r>
      <w:r>
        <w:rPr>
          <w:rFonts w:ascii="Arial" w:hAnsi="Arial"/>
          <w:color w:val="231F20"/>
          <w:sz w:val="14"/>
        </w:rPr>
        <w:t xml:space="preserve">•  </w:t>
      </w:r>
      <w:r>
        <w:rPr>
          <w:rFonts w:ascii="Book Antiqua" w:hAnsi="Book Antiqua"/>
          <w:color w:val="231F20"/>
          <w:sz w:val="14"/>
        </w:rPr>
        <w:t xml:space="preserve">19 </w:t>
      </w:r>
      <w:r>
        <w:rPr>
          <w:rFonts w:ascii="Book Antiqua" w:hAnsi="Book Antiqua"/>
          <w:color w:val="231F20"/>
          <w:spacing w:val="17"/>
          <w:sz w:val="14"/>
        </w:rPr>
        <w:t xml:space="preserve"> </w:t>
      </w:r>
      <w:r>
        <w:rPr>
          <w:rFonts w:ascii="Book Antiqua" w:hAnsi="Book Antiqua"/>
          <w:color w:val="231F20"/>
          <w:sz w:val="14"/>
        </w:rPr>
        <w:t>December</w:t>
      </w:r>
      <w:r>
        <w:rPr>
          <w:rFonts w:ascii="Book Antiqua" w:hAnsi="Book Antiqua"/>
          <w:color w:val="231F20"/>
          <w:spacing w:val="7"/>
          <w:sz w:val="14"/>
        </w:rPr>
        <w:t xml:space="preserve"> </w:t>
      </w:r>
      <w:r>
        <w:rPr>
          <w:rFonts w:ascii="Book Antiqua" w:hAnsi="Book Antiqua"/>
          <w:color w:val="231F20"/>
          <w:sz w:val="14"/>
        </w:rPr>
        <w:t>2017</w:t>
      </w:r>
      <w:r>
        <w:rPr>
          <w:rFonts w:ascii="Book Antiqua" w:hAnsi="Book Antiqua"/>
          <w:color w:val="231F20"/>
          <w:sz w:val="14"/>
        </w:rPr>
        <w:tab/>
      </w:r>
      <w:hyperlink r:id="rId18">
        <w:r>
          <w:rPr>
            <w:rFonts w:ascii="Gill Sans MT" w:hAnsi="Gill Sans MT"/>
            <w:b/>
            <w:color w:val="231F20"/>
            <w:sz w:val="14"/>
          </w:rPr>
          <w:t>Annals.org</w:t>
        </w:r>
      </w:hyperlink>
    </w:p>
    <w:p w:rsidR="00EA2940" w:rsidRDefault="00EA2940">
      <w:pPr>
        <w:pStyle w:val="BodyText"/>
        <w:spacing w:before="4"/>
        <w:rPr>
          <w:rFonts w:ascii="Gill Sans MT"/>
          <w:b/>
          <w:sz w:val="23"/>
        </w:rPr>
      </w:pPr>
    </w:p>
    <w:p w:rsidR="00EA2940" w:rsidRDefault="006D37CB">
      <w:pPr>
        <w:ind w:left="100"/>
        <w:rPr>
          <w:rFonts w:ascii="Times New Roman"/>
          <w:b/>
          <w:sz w:val="16"/>
        </w:rPr>
      </w:pPr>
      <w:hyperlink r:id="rId19">
        <w:r>
          <w:rPr>
            <w:rFonts w:ascii="Times New Roman"/>
            <w:b/>
            <w:sz w:val="16"/>
          </w:rPr>
          <w:t>Downloaded From: http://annals.org/</w:t>
        </w:r>
      </w:hyperlink>
      <w:r>
        <w:rPr>
          <w:rFonts w:ascii="Times New Roman"/>
          <w:b/>
          <w:sz w:val="16"/>
        </w:rPr>
        <w:t xml:space="preserve"> by Yale Medical Library, Sanket Dhruva on 02/21/2018</w:t>
      </w:r>
      <w:bookmarkEnd w:id="0"/>
    </w:p>
    <w:sectPr w:rsidR="00EA2940">
      <w:type w:val="continuous"/>
      <w:pgSz w:w="11880" w:h="15570"/>
      <w:pgMar w:top="1400" w:right="0" w:bottom="28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504CE"/>
    <w:multiLevelType w:val="multilevel"/>
    <w:tmpl w:val="231A226C"/>
    <w:lvl w:ilvl="0">
      <w:start w:val="50"/>
      <w:numFmt w:val="decimal"/>
      <w:lvlText w:val="%1"/>
      <w:lvlJc w:val="left"/>
      <w:pPr>
        <w:ind w:left="753" w:hanging="405"/>
        <w:jc w:val="left"/>
      </w:pPr>
      <w:rPr>
        <w:rFonts w:hint="default"/>
      </w:rPr>
    </w:lvl>
    <w:lvl w:ilvl="1">
      <w:start w:val="90"/>
      <w:numFmt w:val="decimal"/>
      <w:lvlText w:val="%1-%2"/>
      <w:lvlJc w:val="left"/>
      <w:pPr>
        <w:ind w:left="753" w:hanging="405"/>
        <w:jc w:val="left"/>
      </w:pPr>
      <w:rPr>
        <w:rFonts w:ascii="Calibri" w:eastAsia="Calibri" w:hAnsi="Calibri" w:cs="Calibri" w:hint="default"/>
        <w:b/>
        <w:bCs/>
        <w:color w:val="231F20"/>
        <w:w w:val="111"/>
        <w:sz w:val="14"/>
        <w:szCs w:val="14"/>
      </w:rPr>
    </w:lvl>
    <w:lvl w:ilvl="2">
      <w:start w:val="1"/>
      <w:numFmt w:val="decimal"/>
      <w:lvlText w:val="%3."/>
      <w:lvlJc w:val="left"/>
      <w:pPr>
        <w:ind w:left="438" w:hanging="158"/>
        <w:jc w:val="left"/>
      </w:pPr>
      <w:rPr>
        <w:rFonts w:ascii="Calibri" w:eastAsia="Calibri" w:hAnsi="Calibri" w:cs="Calibri" w:hint="default"/>
        <w:color w:val="231F20"/>
        <w:spacing w:val="-3"/>
        <w:w w:val="110"/>
        <w:sz w:val="14"/>
        <w:szCs w:val="14"/>
      </w:rPr>
    </w:lvl>
    <w:lvl w:ilvl="3">
      <w:numFmt w:val="bullet"/>
      <w:lvlText w:val="•"/>
      <w:lvlJc w:val="left"/>
      <w:pPr>
        <w:ind w:left="1957" w:hanging="158"/>
      </w:pPr>
      <w:rPr>
        <w:rFonts w:hint="default"/>
      </w:rPr>
    </w:lvl>
    <w:lvl w:ilvl="4">
      <w:numFmt w:val="bullet"/>
      <w:lvlText w:val="•"/>
      <w:lvlJc w:val="left"/>
      <w:pPr>
        <w:ind w:left="2556" w:hanging="158"/>
      </w:pPr>
      <w:rPr>
        <w:rFonts w:hint="default"/>
      </w:rPr>
    </w:lvl>
    <w:lvl w:ilvl="5">
      <w:numFmt w:val="bullet"/>
      <w:lvlText w:val="•"/>
      <w:lvlJc w:val="left"/>
      <w:pPr>
        <w:ind w:left="3154" w:hanging="158"/>
      </w:pPr>
      <w:rPr>
        <w:rFonts w:hint="default"/>
      </w:rPr>
    </w:lvl>
    <w:lvl w:ilvl="6">
      <w:numFmt w:val="bullet"/>
      <w:lvlText w:val="•"/>
      <w:lvlJc w:val="left"/>
      <w:pPr>
        <w:ind w:left="3753" w:hanging="158"/>
      </w:pPr>
      <w:rPr>
        <w:rFonts w:hint="default"/>
      </w:rPr>
    </w:lvl>
    <w:lvl w:ilvl="7">
      <w:numFmt w:val="bullet"/>
      <w:lvlText w:val="•"/>
      <w:lvlJc w:val="left"/>
      <w:pPr>
        <w:ind w:left="4352" w:hanging="158"/>
      </w:pPr>
      <w:rPr>
        <w:rFonts w:hint="default"/>
      </w:rPr>
    </w:lvl>
    <w:lvl w:ilvl="8">
      <w:numFmt w:val="bullet"/>
      <w:lvlText w:val="•"/>
      <w:lvlJc w:val="left"/>
      <w:pPr>
        <w:ind w:left="4950" w:hanging="1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A2940"/>
    <w:rsid w:val="006D37CB"/>
    <w:rsid w:val="00EA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shapelayout>
  </w:shapeDefaults>
  <w:decimalSymbol w:val="."/>
  <w:listSeparator w:val=","/>
  <w15:docId w15:val="{AE47F2B7-7052-43B5-81FB-AA6459E1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pPr>
      <w:ind w:left="438" w:right="909"/>
      <w:jc w:val="both"/>
    </w:pPr>
  </w:style>
  <w:style w:type="paragraph" w:customStyle="1" w:styleId="TableParagraph">
    <w:name w:val="Table Paragraph"/>
    <w:basedOn w:val="Normal"/>
    <w:uiPriority w:val="1"/>
    <w:qFormat/>
    <w:pPr>
      <w:spacing w:before="6"/>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elizabeth.samuels@yale.edu" TargetMode="External"/><Relationship Id="rId18" Type="http://schemas.openxmlformats.org/officeDocument/2006/relationships/hyperlink" Target="http://www.annal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dc.gov/drugoverdose/data/prescribing.html" TargetMode="External"/><Relationship Id="rId17" Type="http://schemas.openxmlformats.org/officeDocument/2006/relationships/hyperlink" Target="http://www.cms.gov/Research-Statistics-Data-and-Systems/Files-for-Order/NonIdentifiableDataFiles/PrescriptionDrugPlanFormularyPharmacyNetworkandPricingInformationFiles.html" TargetMode="External"/><Relationship Id="rId2" Type="http://schemas.openxmlformats.org/officeDocument/2006/relationships/styles" Target="styles.xml"/><Relationship Id="rId16" Type="http://schemas.openxmlformats.org/officeDocument/2006/relationships/hyperlink" Target="http://www.cms.gov/Research-Statistics-Data-and-Systems/Files-for-Order/NonIdentifiableDataFiles/PrescriptionDrugPlanFormularyPharmacyNetworkandPricingInformationFil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annals.org/" TargetMode="External"/><Relationship Id="rId5" Type="http://schemas.openxmlformats.org/officeDocument/2006/relationships/hyperlink" Target="http://annals.org/" TargetMode="External"/><Relationship Id="rId15" Type="http://schemas.openxmlformats.org/officeDocument/2006/relationships/hyperlink" Target="http://www.cms.gov/Research-Statistics-Data-and-Systems/Files-for-Order/NonIdentifiableDataFiles/PrescriptionDrugPlanFormularyPharmacyNetworkandPricingInformationFiles.html" TargetMode="External"/><Relationship Id="rId10" Type="http://schemas.openxmlformats.org/officeDocument/2006/relationships/hyperlink" Target="http://www.acponline.org/authors/icmje/ConflictOfInterestForms.do?msNum=M17-1823" TargetMode="External"/><Relationship Id="rId19" Type="http://schemas.openxmlformats.org/officeDocument/2006/relationships/hyperlink" Target="http://annals.org/" TargetMode="External"/><Relationship Id="rId4" Type="http://schemas.openxmlformats.org/officeDocument/2006/relationships/webSettings" Target="webSettings.xml"/><Relationship Id="rId9" Type="http://schemas.openxmlformats.org/officeDocument/2006/relationships/hyperlink" Target="http://www.acponline.org/authors/icmje/ConflictOfInterestForms.do?msNum=M17-1823" TargetMode="External"/><Relationship Id="rId14" Type="http://schemas.openxmlformats.org/officeDocument/2006/relationships/hyperlink" Target="mailto:elizabeth.samuels@y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1992</Words>
  <Characters>11636</Characters>
  <Application>Microsoft Office Word</Application>
  <DocSecurity>0</DocSecurity>
  <Lines>352</Lines>
  <Paragraphs>151</Paragraphs>
  <ScaleCrop>false</ScaleCrop>
  <Company>CMS</Company>
  <LinksUpToDate>false</LinksUpToDate>
  <CharactersWithSpaces>13477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dc:creator>
  <cp:lastModifiedBy>Arthur Pignotti</cp:lastModifiedBy>
  <cp:revision>2</cp:revision>
  <dcterms:created xsi:type="dcterms:W3CDTF">2018-06-12T23:16:00Z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2010</vt:lpwstr>
  </property>
  <property fmtid="{D5CDD505-2E9C-101B-9397-08002B2CF9AE}" pid="4" name="LastSaved">
    <vt:filetime>2018-06-13T00:00:00Z</vt:filetime>
  </property>
</Properties>
</file>