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AAD" w:rsidRDefault="000E3B3E">
      <w:pPr>
        <w:pStyle w:val="BodyText"/>
        <w:ind w:left="112" w:right="-1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920406" cy="5120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406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AD" w:rsidRDefault="000E3B3E">
      <w:pPr>
        <w:spacing w:before="103" w:line="160" w:lineRule="exact"/>
        <w:ind w:left="139" w:right="6407"/>
        <w:rPr>
          <w:i/>
          <w:sz w:val="16"/>
        </w:rPr>
      </w:pPr>
      <w:r>
        <w:rPr>
          <w:i/>
          <w:color w:val="231F20"/>
          <w:sz w:val="16"/>
        </w:rPr>
        <w:t xml:space="preserve">Pain Medicine 2015; 16: 1851–1856 </w:t>
      </w:r>
      <w:r>
        <w:rPr>
          <w:i/>
          <w:color w:val="231F20"/>
          <w:w w:val="95"/>
          <w:sz w:val="16"/>
        </w:rPr>
        <w:t>Wiley Periodicals, Inc.</w:t>
      </w:r>
    </w:p>
    <w:p w:rsidR="00066AAD" w:rsidRDefault="00066AAD">
      <w:pPr>
        <w:pStyle w:val="BodyText"/>
        <w:spacing w:before="8"/>
        <w:rPr>
          <w:i/>
          <w:sz w:val="26"/>
        </w:rPr>
      </w:pPr>
    </w:p>
    <w:p w:rsidR="00066AAD" w:rsidRDefault="000E3B3E">
      <w:pPr>
        <w:spacing w:before="69" w:line="440" w:lineRule="exact"/>
        <w:ind w:left="139" w:right="261"/>
        <w:rPr>
          <w:sz w:val="40"/>
        </w:rPr>
      </w:pPr>
      <w:r>
        <w:rPr>
          <w:color w:val="231F20"/>
          <w:w w:val="110"/>
          <w:sz w:val="40"/>
        </w:rPr>
        <w:t>The Proliferation of Dosage Thresholds in Opioid Prescribing Policies and Their  Potential to Increase Pain and Opioid-Related Mortality</w:t>
      </w:r>
    </w:p>
    <w:p w:rsidR="00066AAD" w:rsidRDefault="00066AAD">
      <w:pPr>
        <w:pStyle w:val="BodyText"/>
        <w:rPr>
          <w:sz w:val="20"/>
        </w:rPr>
      </w:pPr>
    </w:p>
    <w:p w:rsidR="00066AAD" w:rsidRDefault="00066AAD">
      <w:pPr>
        <w:pStyle w:val="BodyText"/>
        <w:rPr>
          <w:sz w:val="20"/>
        </w:rPr>
      </w:pPr>
    </w:p>
    <w:p w:rsidR="00066AAD" w:rsidRDefault="00066AAD">
      <w:pPr>
        <w:pStyle w:val="BodyText"/>
        <w:rPr>
          <w:sz w:val="20"/>
        </w:rPr>
      </w:pPr>
    </w:p>
    <w:p w:rsidR="00066AAD" w:rsidRDefault="00066AAD">
      <w:pPr>
        <w:pStyle w:val="BodyText"/>
        <w:rPr>
          <w:sz w:val="20"/>
        </w:rPr>
      </w:pPr>
    </w:p>
    <w:p w:rsidR="00066AAD" w:rsidRDefault="00066AAD">
      <w:pPr>
        <w:pStyle w:val="BodyText"/>
        <w:rPr>
          <w:sz w:val="20"/>
        </w:rPr>
      </w:pPr>
    </w:p>
    <w:p w:rsidR="00066AAD" w:rsidRDefault="00066AAD">
      <w:pPr>
        <w:pStyle w:val="BodyText"/>
        <w:rPr>
          <w:sz w:val="20"/>
        </w:rPr>
      </w:pPr>
    </w:p>
    <w:p w:rsidR="00066AAD" w:rsidRDefault="00066AAD">
      <w:pPr>
        <w:pStyle w:val="BodyText"/>
        <w:rPr>
          <w:sz w:val="20"/>
        </w:rPr>
      </w:pPr>
    </w:p>
    <w:p w:rsidR="00066AAD" w:rsidRDefault="00066AAD">
      <w:pPr>
        <w:pStyle w:val="BodyText"/>
        <w:rPr>
          <w:sz w:val="20"/>
        </w:rPr>
      </w:pPr>
    </w:p>
    <w:p w:rsidR="00066AAD" w:rsidRDefault="00066AAD">
      <w:pPr>
        <w:pStyle w:val="BodyText"/>
        <w:rPr>
          <w:sz w:val="20"/>
        </w:rPr>
      </w:pPr>
    </w:p>
    <w:p w:rsidR="00066AAD" w:rsidRDefault="00066AAD">
      <w:pPr>
        <w:pStyle w:val="BodyText"/>
        <w:rPr>
          <w:sz w:val="20"/>
        </w:rPr>
      </w:pPr>
    </w:p>
    <w:p w:rsidR="00066AAD" w:rsidRDefault="00066AAD">
      <w:pPr>
        <w:pStyle w:val="BodyText"/>
        <w:rPr>
          <w:sz w:val="20"/>
        </w:rPr>
      </w:pPr>
    </w:p>
    <w:p w:rsidR="00066AAD" w:rsidRDefault="00066AAD">
      <w:pPr>
        <w:pStyle w:val="BodyText"/>
        <w:spacing w:before="10"/>
        <w:rPr>
          <w:sz w:val="23"/>
        </w:rPr>
      </w:pPr>
    </w:p>
    <w:p w:rsidR="00066AAD" w:rsidRDefault="00066AAD">
      <w:pPr>
        <w:rPr>
          <w:sz w:val="23"/>
        </w:rPr>
        <w:sectPr w:rsidR="00066AAD">
          <w:footerReference w:type="even" r:id="rId8"/>
          <w:footerReference w:type="default" r:id="rId9"/>
          <w:type w:val="continuous"/>
          <w:pgSz w:w="12240" w:h="16020"/>
          <w:pgMar w:top="40" w:right="1260" w:bottom="1060" w:left="1520" w:header="720" w:footer="879" w:gutter="0"/>
          <w:pgNumType w:start="1851"/>
          <w:cols w:space="720"/>
        </w:sectPr>
      </w:pPr>
    </w:p>
    <w:p w:rsidR="00066AAD" w:rsidRDefault="00066AAD">
      <w:pPr>
        <w:pStyle w:val="BodyText"/>
      </w:pPr>
    </w:p>
    <w:p w:rsidR="00066AAD" w:rsidRDefault="000E3B3E">
      <w:pPr>
        <w:pStyle w:val="BodyText"/>
        <w:spacing w:before="106"/>
        <w:ind w:left="139"/>
        <w:jc w:val="both"/>
      </w:pPr>
      <w:r>
        <w:rPr>
          <w:color w:val="231F20"/>
          <w:w w:val="110"/>
        </w:rPr>
        <w:t>Introduction</w:t>
      </w:r>
    </w:p>
    <w:p w:rsidR="00066AAD" w:rsidRDefault="00066AAD">
      <w:pPr>
        <w:pStyle w:val="BodyText"/>
        <w:spacing w:before="9"/>
      </w:pPr>
    </w:p>
    <w:p w:rsidR="00066AAD" w:rsidRDefault="000E3B3E">
      <w:pPr>
        <w:pStyle w:val="BodyText"/>
        <w:spacing w:line="242" w:lineRule="auto"/>
        <w:ind w:left="139"/>
        <w:jc w:val="both"/>
      </w:pPr>
      <w:r>
        <w:rPr>
          <w:color w:val="231F20"/>
        </w:rPr>
        <w:t>The past two decades have witnessed increases in opioid-related morbidity and mortality concomitant with increases in the prescribing of opioids to treat chronic pain. State policy-makers, under pressure to do something about the overdose rate, have interv</w:t>
      </w:r>
      <w:r>
        <w:rPr>
          <w:color w:val="231F20"/>
        </w:rPr>
        <w:t>ened. One such intervention involves the adoption of daily opioid thresholds in state prescribing policies that,  once reached, will trigger specific actions or recom- mendations. Although dosage threshold models con- tinue to spread across the United Stat</w:t>
      </w:r>
      <w:r>
        <w:rPr>
          <w:color w:val="231F20"/>
        </w:rPr>
        <w:t>es, these governmental interventions could have serious unin- tended outcomes in terms of increased pain and opioid-related injury and mortality. The following com- mentary highlights the evolution of dosage thresholds, their potential for unintended outco</w:t>
      </w:r>
      <w:r>
        <w:rPr>
          <w:color w:val="231F20"/>
        </w:rPr>
        <w:t>mes, and advo- cates for the evaluation of these models and the adoption of mandatory education-based alternatives, alternatives that would provide a balanced approach    to the treatment of pain and the prevention of harm without interfering with the phys</w:t>
      </w:r>
      <w:r>
        <w:rPr>
          <w:color w:val="231F20"/>
        </w:rPr>
        <w:t>ician-patient relationship.</w:t>
      </w:r>
    </w:p>
    <w:p w:rsidR="00066AAD" w:rsidRDefault="00066AAD">
      <w:pPr>
        <w:pStyle w:val="BodyText"/>
      </w:pPr>
    </w:p>
    <w:p w:rsidR="00066AAD" w:rsidRDefault="00066AAD">
      <w:pPr>
        <w:pStyle w:val="BodyText"/>
        <w:spacing w:before="6"/>
        <w:rPr>
          <w:sz w:val="17"/>
        </w:rPr>
      </w:pPr>
    </w:p>
    <w:p w:rsidR="00066AAD" w:rsidRDefault="000E3B3E">
      <w:pPr>
        <w:pStyle w:val="BodyText"/>
        <w:ind w:left="139"/>
        <w:jc w:val="both"/>
      </w:pPr>
      <w:r>
        <w:rPr>
          <w:color w:val="231F20"/>
          <w:w w:val="110"/>
        </w:rPr>
        <w:t>Background</w:t>
      </w:r>
    </w:p>
    <w:p w:rsidR="00066AAD" w:rsidRDefault="00066AAD">
      <w:pPr>
        <w:pStyle w:val="BodyText"/>
        <w:spacing w:before="7"/>
      </w:pPr>
    </w:p>
    <w:p w:rsidR="00066AAD" w:rsidRDefault="000E3B3E">
      <w:pPr>
        <w:pStyle w:val="BodyText"/>
        <w:spacing w:line="242" w:lineRule="auto"/>
        <w:ind w:left="139"/>
        <w:jc w:val="both"/>
      </w:pPr>
      <w:r>
        <w:rPr>
          <w:color w:val="231F20"/>
        </w:rPr>
        <w:t>An estimated 100 million Americans suffer from chronic pain [1]. Whether nociceptive or neuropathic, treat- ments and outcomes can vary depending on individual patient characteristics [2]. Notwithstanding these var</w:t>
      </w:r>
      <w:r>
        <w:rPr>
          <w:color w:val="231F20"/>
        </w:rPr>
        <w:t>ia- tions, and the challenges associated with measuring  the efficacy of long-term opioid therapy [3], prescription opioids have been used to help reduce pain and improve function for millions of people [4]. At the same time, however, the use of prescripti</w:t>
      </w:r>
      <w:r>
        <w:rPr>
          <w:color w:val="231F20"/>
        </w:rPr>
        <w:t>on opioids  has  been associated with an alarming increase in sub- stance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abuse,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injury,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death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[5].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Increased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media</w:t>
      </w:r>
    </w:p>
    <w:p w:rsidR="00066AAD" w:rsidRDefault="000E3B3E">
      <w:pPr>
        <w:pStyle w:val="BodyText"/>
        <w:spacing w:before="76" w:line="242" w:lineRule="auto"/>
        <w:ind w:left="139" w:right="117"/>
        <w:jc w:val="both"/>
      </w:pPr>
      <w:r>
        <w:br w:type="column"/>
      </w:r>
      <w:r>
        <w:rPr>
          <w:color w:val="231F20"/>
        </w:rPr>
        <w:t>attention on one side of the equation (overdose), has translated into increased involvement by drug policy entrepreneurs in the form of congressional inquiries, new laws [6], and even a petition to the U.S. Food &amp; Drug Administration that sought a labeling</w:t>
      </w:r>
      <w:r>
        <w:rPr>
          <w:color w:val="231F20"/>
        </w:rPr>
        <w:t xml:space="preserve"> change and limits on opioids [7].</w:t>
      </w:r>
    </w:p>
    <w:p w:rsidR="00066AAD" w:rsidRDefault="00066AAD">
      <w:pPr>
        <w:pStyle w:val="BodyText"/>
        <w:spacing w:before="3"/>
      </w:pPr>
    </w:p>
    <w:p w:rsidR="00066AAD" w:rsidRDefault="000E3B3E">
      <w:pPr>
        <w:pStyle w:val="BodyText"/>
        <w:ind w:left="139" w:right="117"/>
        <w:jc w:val="both"/>
      </w:pPr>
      <w:r>
        <w:rPr>
          <w:color w:val="231F20"/>
        </w:rPr>
        <w:t>The state of Washington, however, took a different approach to reducing overdose. In 2007, Washington was the first to experiment with the use of total daily dosage in their state prescribing guidelines as a trig-  ger to recommend further action or consid</w:t>
      </w:r>
      <w:r>
        <w:rPr>
          <w:color w:val="231F20"/>
        </w:rPr>
        <w:t>eration by  the health care provider.</w:t>
      </w:r>
      <w:r>
        <w:rPr>
          <w:color w:val="231F20"/>
          <w:position w:val="8"/>
          <w:sz w:val="12"/>
        </w:rPr>
        <w:t xml:space="preserve">1 </w:t>
      </w:r>
      <w:r>
        <w:rPr>
          <w:color w:val="231F20"/>
        </w:rPr>
        <w:t xml:space="preserve">At their inception, these advisory guidelines were “part of a  year-long    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educa-</w:t>
      </w:r>
    </w:p>
    <w:p w:rsidR="00066AAD" w:rsidRDefault="000E3B3E">
      <w:pPr>
        <w:pStyle w:val="BodyText"/>
        <w:spacing w:before="2" w:line="242" w:lineRule="auto"/>
        <w:ind w:left="139" w:right="117"/>
        <w:jc w:val="both"/>
      </w:pPr>
      <w:r>
        <w:rPr>
          <w:color w:val="231F20"/>
        </w:rPr>
        <w:t>tional pilot to improve care and safety when treating chronic non-cancer pain with opioids,” and did “not apply to the treatment of a</w:t>
      </w:r>
      <w:r>
        <w:rPr>
          <w:color w:val="231F20"/>
        </w:rPr>
        <w:t xml:space="preserve">cute pain, cancer pain, or end-of-life (hospice) care” [8]. At that time, Washing- ton prescribers were asked to calculate  the  dosage that their chronic non-cancer pain patients were receiving each day, convert that dosage to morphine equivalency,  and  </w:t>
      </w:r>
      <w:r>
        <w:rPr>
          <w:color w:val="231F20"/>
        </w:rPr>
        <w:t xml:space="preserve">if  the  total  daily  dose    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exceeded</w:t>
      </w:r>
    </w:p>
    <w:p w:rsidR="00066AAD" w:rsidRDefault="000E3B3E">
      <w:pPr>
        <w:pStyle w:val="BodyText"/>
        <w:spacing w:line="242" w:lineRule="auto"/>
        <w:ind w:left="139" w:right="117"/>
        <w:jc w:val="both"/>
      </w:pPr>
      <w:r>
        <w:rPr>
          <w:color w:val="231F20"/>
        </w:rPr>
        <w:t>120 mg, the guidelines recommend a pain consulta- tion [9]. Washington characterized this 120 mg thresh- old as a “yellow flag [10],” a precautionary signal to    get the prescriber to press pause before moving for-</w:t>
      </w:r>
      <w:r>
        <w:rPr>
          <w:color w:val="231F20"/>
        </w:rPr>
        <w:t xml:space="preserve"> ward with dose escalation. In a 2009 editorial, Fish- man and Webster raised a variety of concerns with    the Washington model and its potential to spread to other states [11]. Six years later, the Washington dos- age threshold model has not only changed</w:t>
      </w:r>
      <w:r>
        <w:rPr>
          <w:color w:val="231F20"/>
        </w:rPr>
        <w:t xml:space="preserve"> from a recommendation to a requirement, it has indeed  spread to other states and continues to proliferate across the United States and varies in terms of regu- latory approaches, dosages, triggers, patient condi- tions, and insurance coverage. A table su</w:t>
      </w:r>
      <w:r>
        <w:rPr>
          <w:color w:val="231F20"/>
        </w:rPr>
        <w:t xml:space="preserve">mmarizing that proliferation appears immediately below, followed by a discussion focusing on the many serious con- cerns raised by these 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models.</w:t>
      </w:r>
    </w:p>
    <w:p w:rsidR="00066AAD" w:rsidRDefault="00066AAD">
      <w:pPr>
        <w:spacing w:line="242" w:lineRule="auto"/>
        <w:jc w:val="both"/>
        <w:sectPr w:rsidR="00066AAD">
          <w:type w:val="continuous"/>
          <w:pgSz w:w="12240" w:h="16020"/>
          <w:pgMar w:top="40" w:right="1260" w:bottom="1060" w:left="1520" w:header="720" w:footer="720" w:gutter="0"/>
          <w:cols w:num="2" w:space="720" w:equalWidth="0">
            <w:col w:w="4561" w:space="219"/>
            <w:col w:w="4680"/>
          </w:cols>
        </w:sectPr>
      </w:pPr>
    </w:p>
    <w:p w:rsidR="00066AAD" w:rsidRDefault="00066AAD">
      <w:pPr>
        <w:pStyle w:val="BodyText"/>
        <w:spacing w:before="5"/>
        <w:rPr>
          <w:sz w:val="14"/>
        </w:rPr>
      </w:pPr>
    </w:p>
    <w:p w:rsidR="00066AAD" w:rsidRDefault="000E3B3E">
      <w:pPr>
        <w:pStyle w:val="BodyText"/>
        <w:spacing w:before="83"/>
        <w:ind w:left="159"/>
        <w:rPr>
          <w:sz w:val="12"/>
        </w:rPr>
      </w:pPr>
      <w:r>
        <w:rPr>
          <w:color w:val="231F20"/>
        </w:rPr>
        <w:t>State dosage thresholds across six  states</w:t>
      </w:r>
      <w:r>
        <w:rPr>
          <w:color w:val="231F20"/>
          <w:position w:val="8"/>
          <w:sz w:val="12"/>
        </w:rPr>
        <w:t>2</w:t>
      </w:r>
    </w:p>
    <w:p w:rsidR="00066AAD" w:rsidRDefault="00066AAD">
      <w:pPr>
        <w:pStyle w:val="BodyText"/>
        <w:rPr>
          <w:sz w:val="20"/>
        </w:rPr>
      </w:pPr>
    </w:p>
    <w:p w:rsidR="00066AAD" w:rsidRDefault="00066AAD">
      <w:pPr>
        <w:pStyle w:val="BodyText"/>
        <w:spacing w:before="10" w:after="1"/>
      </w:pPr>
    </w:p>
    <w:tbl>
      <w:tblPr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1221"/>
        <w:gridCol w:w="914"/>
        <w:gridCol w:w="1187"/>
        <w:gridCol w:w="1187"/>
        <w:gridCol w:w="905"/>
        <w:gridCol w:w="1139"/>
        <w:gridCol w:w="1158"/>
      </w:tblGrid>
      <w:tr w:rsidR="00066AAD">
        <w:trPr>
          <w:trHeight w:hRule="exact" w:val="256"/>
        </w:trPr>
        <w:tc>
          <w:tcPr>
            <w:tcW w:w="1539" w:type="dxa"/>
            <w:tcBorders>
              <w:bottom w:val="single" w:sz="2" w:space="0" w:color="231F20"/>
            </w:tcBorders>
          </w:tcPr>
          <w:p w:rsidR="00066AAD" w:rsidRDefault="000E3B3E">
            <w:pPr>
              <w:pStyle w:val="TableParagraph"/>
              <w:spacing w:line="209" w:lineRule="exact"/>
              <w:ind w:left="50"/>
              <w:rPr>
                <w:sz w:val="17"/>
              </w:rPr>
            </w:pPr>
            <w:r>
              <w:rPr>
                <w:color w:val="231F20"/>
                <w:sz w:val="17"/>
              </w:rPr>
              <w:t>State</w:t>
            </w:r>
          </w:p>
        </w:tc>
        <w:tc>
          <w:tcPr>
            <w:tcW w:w="1221" w:type="dxa"/>
            <w:tcBorders>
              <w:bottom w:val="single" w:sz="2" w:space="0" w:color="231F20"/>
            </w:tcBorders>
          </w:tcPr>
          <w:p w:rsidR="00066AAD" w:rsidRDefault="000E3B3E">
            <w:pPr>
              <w:pStyle w:val="TableParagraph"/>
              <w:spacing w:line="209" w:lineRule="exact"/>
              <w:ind w:left="294"/>
              <w:rPr>
                <w:sz w:val="17"/>
              </w:rPr>
            </w:pPr>
            <w:r>
              <w:rPr>
                <w:color w:val="231F20"/>
                <w:w w:val="105"/>
                <w:sz w:val="17"/>
              </w:rPr>
              <w:t>WA</w:t>
            </w:r>
            <w:r>
              <w:rPr>
                <w:color w:val="231F20"/>
                <w:w w:val="105"/>
                <w:position w:val="7"/>
                <w:sz w:val="11"/>
              </w:rPr>
              <w:t>a</w:t>
            </w:r>
            <w:r>
              <w:rPr>
                <w:color w:val="231F20"/>
                <w:w w:val="105"/>
                <w:sz w:val="17"/>
              </w:rPr>
              <w:t>-1</w:t>
            </w:r>
          </w:p>
        </w:tc>
        <w:tc>
          <w:tcPr>
            <w:tcW w:w="914" w:type="dxa"/>
            <w:tcBorders>
              <w:bottom w:val="single" w:sz="2" w:space="0" w:color="231F20"/>
            </w:tcBorders>
          </w:tcPr>
          <w:p w:rsidR="00066AAD" w:rsidRDefault="000E3B3E">
            <w:pPr>
              <w:pStyle w:val="TableParagraph"/>
              <w:spacing w:line="209" w:lineRule="exact"/>
              <w:ind w:left="181" w:right="181"/>
              <w:jc w:val="center"/>
              <w:rPr>
                <w:sz w:val="17"/>
              </w:rPr>
            </w:pPr>
            <w:r>
              <w:rPr>
                <w:color w:val="231F20"/>
                <w:w w:val="105"/>
                <w:sz w:val="17"/>
              </w:rPr>
              <w:t>WA</w:t>
            </w:r>
            <w:r>
              <w:rPr>
                <w:color w:val="231F20"/>
                <w:w w:val="105"/>
                <w:position w:val="7"/>
                <w:sz w:val="11"/>
              </w:rPr>
              <w:t>a</w:t>
            </w:r>
            <w:r>
              <w:rPr>
                <w:color w:val="231F20"/>
                <w:w w:val="105"/>
                <w:sz w:val="17"/>
              </w:rPr>
              <w:t>-2</w:t>
            </w:r>
          </w:p>
        </w:tc>
        <w:tc>
          <w:tcPr>
            <w:tcW w:w="1187" w:type="dxa"/>
            <w:tcBorders>
              <w:bottom w:val="single" w:sz="2" w:space="0" w:color="231F20"/>
            </w:tcBorders>
          </w:tcPr>
          <w:p w:rsidR="00066AAD" w:rsidRDefault="000E3B3E">
            <w:pPr>
              <w:pStyle w:val="TableParagraph"/>
              <w:spacing w:line="209" w:lineRule="exact"/>
              <w:rPr>
                <w:sz w:val="11"/>
              </w:rPr>
            </w:pPr>
            <w:r>
              <w:rPr>
                <w:color w:val="231F20"/>
                <w:w w:val="105"/>
                <w:sz w:val="17"/>
              </w:rPr>
              <w:t>MA</w:t>
            </w:r>
            <w:r>
              <w:rPr>
                <w:color w:val="231F20"/>
                <w:w w:val="105"/>
                <w:position w:val="7"/>
                <w:sz w:val="11"/>
              </w:rPr>
              <w:t>b</w:t>
            </w:r>
          </w:p>
        </w:tc>
        <w:tc>
          <w:tcPr>
            <w:tcW w:w="1187" w:type="dxa"/>
            <w:tcBorders>
              <w:bottom w:val="single" w:sz="2" w:space="0" w:color="231F20"/>
            </w:tcBorders>
          </w:tcPr>
          <w:p w:rsidR="00066AAD" w:rsidRDefault="000E3B3E">
            <w:pPr>
              <w:pStyle w:val="TableParagraph"/>
              <w:spacing w:line="209" w:lineRule="exact"/>
              <w:ind w:left="260"/>
              <w:rPr>
                <w:sz w:val="11"/>
              </w:rPr>
            </w:pPr>
            <w:r>
              <w:rPr>
                <w:color w:val="231F20"/>
                <w:w w:val="105"/>
                <w:sz w:val="17"/>
              </w:rPr>
              <w:t>OH</w:t>
            </w:r>
            <w:r>
              <w:rPr>
                <w:color w:val="231F20"/>
                <w:w w:val="105"/>
                <w:position w:val="7"/>
                <w:sz w:val="11"/>
              </w:rPr>
              <w:t>c</w:t>
            </w:r>
          </w:p>
        </w:tc>
        <w:tc>
          <w:tcPr>
            <w:tcW w:w="905" w:type="dxa"/>
            <w:tcBorders>
              <w:bottom w:val="single" w:sz="2" w:space="0" w:color="231F20"/>
            </w:tcBorders>
          </w:tcPr>
          <w:p w:rsidR="00066AAD" w:rsidRDefault="000E3B3E">
            <w:pPr>
              <w:pStyle w:val="TableParagraph"/>
              <w:spacing w:line="209" w:lineRule="exact"/>
              <w:ind w:left="213"/>
              <w:rPr>
                <w:sz w:val="11"/>
              </w:rPr>
            </w:pPr>
            <w:r>
              <w:rPr>
                <w:color w:val="231F20"/>
                <w:w w:val="105"/>
                <w:sz w:val="17"/>
              </w:rPr>
              <w:t>IN</w:t>
            </w:r>
            <w:r>
              <w:rPr>
                <w:color w:val="231F20"/>
                <w:w w:val="105"/>
                <w:position w:val="7"/>
                <w:sz w:val="11"/>
              </w:rPr>
              <w:t>d</w:t>
            </w:r>
          </w:p>
        </w:tc>
        <w:tc>
          <w:tcPr>
            <w:tcW w:w="1139" w:type="dxa"/>
            <w:tcBorders>
              <w:bottom w:val="single" w:sz="2" w:space="0" w:color="231F20"/>
            </w:tcBorders>
          </w:tcPr>
          <w:p w:rsidR="00066AAD" w:rsidRDefault="000E3B3E">
            <w:pPr>
              <w:pStyle w:val="TableParagraph"/>
              <w:spacing w:line="209" w:lineRule="exact"/>
              <w:rPr>
                <w:sz w:val="11"/>
              </w:rPr>
            </w:pPr>
            <w:r>
              <w:rPr>
                <w:color w:val="231F20"/>
                <w:w w:val="105"/>
                <w:sz w:val="17"/>
              </w:rPr>
              <w:t>CO</w:t>
            </w:r>
            <w:r>
              <w:rPr>
                <w:color w:val="231F20"/>
                <w:w w:val="105"/>
                <w:position w:val="7"/>
                <w:sz w:val="11"/>
              </w:rPr>
              <w:t>e</w:t>
            </w:r>
          </w:p>
        </w:tc>
        <w:tc>
          <w:tcPr>
            <w:tcW w:w="1158" w:type="dxa"/>
            <w:tcBorders>
              <w:bottom w:val="single" w:sz="2" w:space="0" w:color="231F20"/>
            </w:tcBorders>
          </w:tcPr>
          <w:p w:rsidR="00066AAD" w:rsidRDefault="000E3B3E">
            <w:pPr>
              <w:pStyle w:val="TableParagraph"/>
              <w:spacing w:line="209" w:lineRule="exact"/>
              <w:ind w:left="213"/>
              <w:rPr>
                <w:sz w:val="11"/>
              </w:rPr>
            </w:pPr>
            <w:r>
              <w:rPr>
                <w:color w:val="231F20"/>
                <w:w w:val="105"/>
                <w:sz w:val="17"/>
              </w:rPr>
              <w:t>MN</w:t>
            </w:r>
            <w:r>
              <w:rPr>
                <w:color w:val="231F20"/>
                <w:w w:val="105"/>
                <w:position w:val="7"/>
                <w:sz w:val="11"/>
              </w:rPr>
              <w:t>f</w:t>
            </w:r>
          </w:p>
        </w:tc>
      </w:tr>
      <w:tr w:rsidR="00066AAD">
        <w:trPr>
          <w:trHeight w:hRule="exact" w:val="365"/>
        </w:trPr>
        <w:tc>
          <w:tcPr>
            <w:tcW w:w="1539" w:type="dxa"/>
            <w:tcBorders>
              <w:top w:val="single" w:sz="2" w:space="0" w:color="231F20"/>
            </w:tcBorders>
          </w:tcPr>
          <w:p w:rsidR="00066AAD" w:rsidRDefault="000E3B3E">
            <w:pPr>
              <w:pStyle w:val="TableParagraph"/>
              <w:spacing w:before="48" w:line="240" w:lineRule="auto"/>
              <w:ind w:left="50"/>
              <w:rPr>
                <w:sz w:val="17"/>
              </w:rPr>
            </w:pPr>
            <w:r>
              <w:rPr>
                <w:color w:val="231F20"/>
                <w:sz w:val="17"/>
              </w:rPr>
              <w:t>Year effective</w:t>
            </w:r>
          </w:p>
        </w:tc>
        <w:tc>
          <w:tcPr>
            <w:tcW w:w="1221" w:type="dxa"/>
            <w:tcBorders>
              <w:top w:val="single" w:sz="2" w:space="0" w:color="231F20"/>
            </w:tcBorders>
          </w:tcPr>
          <w:p w:rsidR="00066AAD" w:rsidRDefault="000E3B3E">
            <w:pPr>
              <w:pStyle w:val="TableParagraph"/>
              <w:spacing w:before="48" w:line="240" w:lineRule="auto"/>
              <w:ind w:left="294"/>
              <w:rPr>
                <w:sz w:val="17"/>
              </w:rPr>
            </w:pPr>
            <w:r>
              <w:rPr>
                <w:color w:val="231F20"/>
                <w:sz w:val="17"/>
              </w:rPr>
              <w:t>2007</w:t>
            </w:r>
          </w:p>
        </w:tc>
        <w:tc>
          <w:tcPr>
            <w:tcW w:w="914" w:type="dxa"/>
            <w:tcBorders>
              <w:top w:val="single" w:sz="2" w:space="0" w:color="231F20"/>
            </w:tcBorders>
          </w:tcPr>
          <w:p w:rsidR="00066AAD" w:rsidRDefault="000E3B3E">
            <w:pPr>
              <w:pStyle w:val="TableParagraph"/>
              <w:spacing w:before="48" w:line="240" w:lineRule="auto"/>
              <w:ind w:left="71" w:right="18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2012</w:t>
            </w:r>
          </w:p>
        </w:tc>
        <w:tc>
          <w:tcPr>
            <w:tcW w:w="1187" w:type="dxa"/>
            <w:tcBorders>
              <w:top w:val="single" w:sz="2" w:space="0" w:color="231F20"/>
            </w:tcBorders>
          </w:tcPr>
          <w:p w:rsidR="00066AAD" w:rsidRDefault="000E3B3E">
            <w:pPr>
              <w:pStyle w:val="TableParagraph"/>
              <w:spacing w:before="48" w:line="240" w:lineRule="auto"/>
              <w:rPr>
                <w:sz w:val="17"/>
              </w:rPr>
            </w:pPr>
            <w:r>
              <w:rPr>
                <w:color w:val="231F20"/>
                <w:sz w:val="17"/>
              </w:rPr>
              <w:t>2012</w:t>
            </w:r>
          </w:p>
        </w:tc>
        <w:tc>
          <w:tcPr>
            <w:tcW w:w="1187" w:type="dxa"/>
            <w:tcBorders>
              <w:top w:val="single" w:sz="2" w:space="0" w:color="231F20"/>
            </w:tcBorders>
          </w:tcPr>
          <w:p w:rsidR="00066AAD" w:rsidRDefault="000E3B3E">
            <w:pPr>
              <w:pStyle w:val="TableParagraph"/>
              <w:spacing w:before="48" w:line="240" w:lineRule="auto"/>
              <w:ind w:left="260"/>
              <w:rPr>
                <w:sz w:val="17"/>
              </w:rPr>
            </w:pPr>
            <w:r>
              <w:rPr>
                <w:color w:val="231F20"/>
                <w:sz w:val="17"/>
              </w:rPr>
              <w:t>2013</w:t>
            </w:r>
          </w:p>
        </w:tc>
        <w:tc>
          <w:tcPr>
            <w:tcW w:w="905" w:type="dxa"/>
            <w:tcBorders>
              <w:top w:val="single" w:sz="2" w:space="0" w:color="231F20"/>
            </w:tcBorders>
          </w:tcPr>
          <w:p w:rsidR="00066AAD" w:rsidRDefault="000E3B3E">
            <w:pPr>
              <w:pStyle w:val="TableParagraph"/>
              <w:spacing w:before="48" w:line="240" w:lineRule="auto"/>
              <w:ind w:left="213"/>
              <w:rPr>
                <w:sz w:val="17"/>
              </w:rPr>
            </w:pPr>
            <w:r>
              <w:rPr>
                <w:color w:val="231F20"/>
                <w:sz w:val="17"/>
              </w:rPr>
              <w:t>2014</w:t>
            </w:r>
          </w:p>
        </w:tc>
        <w:tc>
          <w:tcPr>
            <w:tcW w:w="1139" w:type="dxa"/>
            <w:tcBorders>
              <w:top w:val="single" w:sz="2" w:space="0" w:color="231F20"/>
            </w:tcBorders>
          </w:tcPr>
          <w:p w:rsidR="00066AAD" w:rsidRDefault="000E3B3E">
            <w:pPr>
              <w:pStyle w:val="TableParagraph"/>
              <w:spacing w:before="48" w:line="240" w:lineRule="auto"/>
              <w:rPr>
                <w:sz w:val="17"/>
              </w:rPr>
            </w:pPr>
            <w:r>
              <w:rPr>
                <w:color w:val="231F20"/>
                <w:sz w:val="17"/>
              </w:rPr>
              <w:t>2014</w:t>
            </w:r>
          </w:p>
        </w:tc>
        <w:tc>
          <w:tcPr>
            <w:tcW w:w="1158" w:type="dxa"/>
            <w:tcBorders>
              <w:top w:val="single" w:sz="2" w:space="0" w:color="231F20"/>
            </w:tcBorders>
          </w:tcPr>
          <w:p w:rsidR="00066AAD" w:rsidRDefault="000E3B3E">
            <w:pPr>
              <w:pStyle w:val="TableParagraph"/>
              <w:spacing w:before="48" w:line="240" w:lineRule="auto"/>
              <w:ind w:left="213"/>
              <w:rPr>
                <w:sz w:val="17"/>
              </w:rPr>
            </w:pPr>
            <w:r>
              <w:rPr>
                <w:color w:val="231F20"/>
                <w:sz w:val="17"/>
              </w:rPr>
              <w:t>2015</w:t>
            </w:r>
          </w:p>
        </w:tc>
      </w:tr>
      <w:tr w:rsidR="00066AAD">
        <w:trPr>
          <w:trHeight w:hRule="exact" w:val="220"/>
        </w:trPr>
        <w:tc>
          <w:tcPr>
            <w:tcW w:w="1539" w:type="dxa"/>
          </w:tcPr>
          <w:p w:rsidR="00066AAD" w:rsidRDefault="000E3B3E">
            <w:pPr>
              <w:pStyle w:val="TableParagraph"/>
              <w:ind w:left="50"/>
              <w:rPr>
                <w:sz w:val="17"/>
              </w:rPr>
            </w:pPr>
            <w:r>
              <w:rPr>
                <w:color w:val="231F20"/>
                <w:sz w:val="17"/>
              </w:rPr>
              <w:t>Total daily MED</w:t>
            </w:r>
          </w:p>
        </w:tc>
        <w:tc>
          <w:tcPr>
            <w:tcW w:w="1221" w:type="dxa"/>
          </w:tcPr>
          <w:p w:rsidR="00066AAD" w:rsidRDefault="000E3B3E">
            <w:pPr>
              <w:pStyle w:val="TableParagraph"/>
              <w:ind w:left="294"/>
              <w:rPr>
                <w:sz w:val="17"/>
              </w:rPr>
            </w:pPr>
            <w:r>
              <w:rPr>
                <w:color w:val="231F20"/>
                <w:sz w:val="17"/>
              </w:rPr>
              <w:t>120</w:t>
            </w:r>
          </w:p>
        </w:tc>
        <w:tc>
          <w:tcPr>
            <w:tcW w:w="914" w:type="dxa"/>
          </w:tcPr>
          <w:p w:rsidR="00066AAD" w:rsidRDefault="000E3B3E">
            <w:pPr>
              <w:pStyle w:val="TableParagraph"/>
              <w:ind w:left="181" w:right="38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120</w:t>
            </w:r>
          </w:p>
        </w:tc>
        <w:tc>
          <w:tcPr>
            <w:tcW w:w="1187" w:type="dxa"/>
          </w:tcPr>
          <w:p w:rsidR="00066AAD" w:rsidRDefault="000E3B3E"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120</w:t>
            </w:r>
          </w:p>
        </w:tc>
        <w:tc>
          <w:tcPr>
            <w:tcW w:w="1187" w:type="dxa"/>
          </w:tcPr>
          <w:p w:rsidR="00066AAD" w:rsidRDefault="000E3B3E">
            <w:pPr>
              <w:pStyle w:val="TableParagraph"/>
              <w:ind w:left="260"/>
              <w:rPr>
                <w:sz w:val="17"/>
              </w:rPr>
            </w:pPr>
            <w:r>
              <w:rPr>
                <w:color w:val="231F20"/>
                <w:sz w:val="17"/>
              </w:rPr>
              <w:t>80</w:t>
            </w:r>
          </w:p>
        </w:tc>
        <w:tc>
          <w:tcPr>
            <w:tcW w:w="905" w:type="dxa"/>
          </w:tcPr>
          <w:p w:rsidR="00066AAD" w:rsidRDefault="000E3B3E">
            <w:pPr>
              <w:pStyle w:val="TableParagraph"/>
              <w:ind w:left="213"/>
              <w:rPr>
                <w:sz w:val="17"/>
              </w:rPr>
            </w:pPr>
            <w:r>
              <w:rPr>
                <w:color w:val="231F20"/>
                <w:sz w:val="17"/>
              </w:rPr>
              <w:t>15, 60</w:t>
            </w:r>
          </w:p>
        </w:tc>
        <w:tc>
          <w:tcPr>
            <w:tcW w:w="1139" w:type="dxa"/>
          </w:tcPr>
          <w:p w:rsidR="00066AAD" w:rsidRDefault="000E3B3E"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120</w:t>
            </w:r>
          </w:p>
        </w:tc>
        <w:tc>
          <w:tcPr>
            <w:tcW w:w="1158" w:type="dxa"/>
          </w:tcPr>
          <w:p w:rsidR="00066AAD" w:rsidRDefault="000E3B3E">
            <w:pPr>
              <w:pStyle w:val="TableParagraph"/>
              <w:ind w:left="213"/>
              <w:rPr>
                <w:sz w:val="17"/>
              </w:rPr>
            </w:pPr>
            <w:r>
              <w:rPr>
                <w:color w:val="231F20"/>
                <w:sz w:val="17"/>
              </w:rPr>
              <w:t>120(Limit)</w:t>
            </w:r>
          </w:p>
        </w:tc>
      </w:tr>
      <w:tr w:rsidR="00066AAD">
        <w:trPr>
          <w:trHeight w:hRule="exact" w:val="220"/>
        </w:trPr>
        <w:tc>
          <w:tcPr>
            <w:tcW w:w="1539" w:type="dxa"/>
          </w:tcPr>
          <w:p w:rsidR="00066AAD" w:rsidRDefault="000E3B3E">
            <w:pPr>
              <w:pStyle w:val="TableParagraph"/>
              <w:ind w:left="50"/>
              <w:rPr>
                <w:sz w:val="17"/>
              </w:rPr>
            </w:pPr>
            <w:r>
              <w:rPr>
                <w:color w:val="231F20"/>
                <w:sz w:val="17"/>
              </w:rPr>
              <w:t>Rule/Guideline</w:t>
            </w:r>
          </w:p>
        </w:tc>
        <w:tc>
          <w:tcPr>
            <w:tcW w:w="1221" w:type="dxa"/>
          </w:tcPr>
          <w:p w:rsidR="00066AAD" w:rsidRDefault="000E3B3E">
            <w:pPr>
              <w:pStyle w:val="TableParagraph"/>
              <w:ind w:left="294"/>
              <w:rPr>
                <w:sz w:val="17"/>
              </w:rPr>
            </w:pPr>
            <w:r>
              <w:rPr>
                <w:color w:val="231F20"/>
                <w:sz w:val="17"/>
              </w:rPr>
              <w:t>Guideline</w:t>
            </w:r>
          </w:p>
        </w:tc>
        <w:tc>
          <w:tcPr>
            <w:tcW w:w="914" w:type="dxa"/>
          </w:tcPr>
          <w:p w:rsidR="00066AAD" w:rsidRDefault="000E3B3E">
            <w:pPr>
              <w:pStyle w:val="TableParagraph"/>
              <w:ind w:left="42" w:right="18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Rule</w:t>
            </w:r>
          </w:p>
        </w:tc>
        <w:tc>
          <w:tcPr>
            <w:tcW w:w="1187" w:type="dxa"/>
          </w:tcPr>
          <w:p w:rsidR="00066AAD" w:rsidRDefault="000E3B3E"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Guideline</w:t>
            </w:r>
          </w:p>
        </w:tc>
        <w:tc>
          <w:tcPr>
            <w:tcW w:w="1187" w:type="dxa"/>
          </w:tcPr>
          <w:p w:rsidR="00066AAD" w:rsidRDefault="000E3B3E">
            <w:pPr>
              <w:pStyle w:val="TableParagraph"/>
              <w:ind w:left="260"/>
              <w:rPr>
                <w:sz w:val="17"/>
              </w:rPr>
            </w:pPr>
            <w:r>
              <w:rPr>
                <w:color w:val="231F20"/>
                <w:sz w:val="17"/>
              </w:rPr>
              <w:t>Guideline</w:t>
            </w:r>
          </w:p>
        </w:tc>
        <w:tc>
          <w:tcPr>
            <w:tcW w:w="905" w:type="dxa"/>
          </w:tcPr>
          <w:p w:rsidR="00066AAD" w:rsidRDefault="000E3B3E">
            <w:pPr>
              <w:pStyle w:val="TableParagraph"/>
              <w:ind w:left="213"/>
              <w:rPr>
                <w:sz w:val="17"/>
              </w:rPr>
            </w:pPr>
            <w:r>
              <w:rPr>
                <w:color w:val="231F20"/>
                <w:sz w:val="17"/>
              </w:rPr>
              <w:t>Rule</w:t>
            </w:r>
          </w:p>
        </w:tc>
        <w:tc>
          <w:tcPr>
            <w:tcW w:w="1139" w:type="dxa"/>
          </w:tcPr>
          <w:p w:rsidR="00066AAD" w:rsidRDefault="000E3B3E"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Guideline</w:t>
            </w:r>
          </w:p>
        </w:tc>
        <w:tc>
          <w:tcPr>
            <w:tcW w:w="1158" w:type="dxa"/>
          </w:tcPr>
          <w:p w:rsidR="00066AAD" w:rsidRDefault="000E3B3E">
            <w:pPr>
              <w:pStyle w:val="TableParagraph"/>
              <w:ind w:left="213"/>
              <w:rPr>
                <w:sz w:val="17"/>
              </w:rPr>
            </w:pPr>
            <w:r>
              <w:rPr>
                <w:color w:val="231F20"/>
                <w:sz w:val="17"/>
              </w:rPr>
              <w:t>Rule/Policy</w:t>
            </w:r>
          </w:p>
        </w:tc>
      </w:tr>
      <w:tr w:rsidR="00066AAD">
        <w:trPr>
          <w:trHeight w:hRule="exact" w:val="195"/>
        </w:trPr>
        <w:tc>
          <w:tcPr>
            <w:tcW w:w="1539" w:type="dxa"/>
          </w:tcPr>
          <w:p w:rsidR="00066AAD" w:rsidRDefault="000E3B3E">
            <w:pPr>
              <w:pStyle w:val="TableParagraph"/>
              <w:ind w:left="50"/>
              <w:rPr>
                <w:sz w:val="17"/>
              </w:rPr>
            </w:pPr>
            <w:r>
              <w:rPr>
                <w:color w:val="231F20"/>
                <w:sz w:val="17"/>
              </w:rPr>
              <w:t>Limited to</w:t>
            </w:r>
          </w:p>
        </w:tc>
        <w:tc>
          <w:tcPr>
            <w:tcW w:w="1221" w:type="dxa"/>
          </w:tcPr>
          <w:p w:rsidR="00066AAD" w:rsidRDefault="000E3B3E">
            <w:pPr>
              <w:pStyle w:val="TableParagraph"/>
              <w:ind w:left="294"/>
              <w:rPr>
                <w:sz w:val="17"/>
              </w:rPr>
            </w:pPr>
            <w:r>
              <w:rPr>
                <w:color w:val="231F20"/>
                <w:sz w:val="17"/>
              </w:rPr>
              <w:t>YES</w:t>
            </w:r>
          </w:p>
        </w:tc>
        <w:tc>
          <w:tcPr>
            <w:tcW w:w="914" w:type="dxa"/>
          </w:tcPr>
          <w:p w:rsidR="00066AAD" w:rsidRDefault="000E3B3E">
            <w:pPr>
              <w:pStyle w:val="TableParagraph"/>
              <w:ind w:left="35" w:right="18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YES</w:t>
            </w:r>
          </w:p>
        </w:tc>
        <w:tc>
          <w:tcPr>
            <w:tcW w:w="1187" w:type="dxa"/>
          </w:tcPr>
          <w:p w:rsidR="00066AAD" w:rsidRDefault="000E3B3E"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YES</w:t>
            </w:r>
          </w:p>
        </w:tc>
        <w:tc>
          <w:tcPr>
            <w:tcW w:w="1187" w:type="dxa"/>
          </w:tcPr>
          <w:p w:rsidR="00066AAD" w:rsidRDefault="000E3B3E">
            <w:pPr>
              <w:pStyle w:val="TableParagraph"/>
              <w:ind w:left="260"/>
              <w:rPr>
                <w:sz w:val="17"/>
              </w:rPr>
            </w:pPr>
            <w:r>
              <w:rPr>
                <w:color w:val="231F20"/>
                <w:sz w:val="17"/>
              </w:rPr>
              <w:t>YES</w:t>
            </w:r>
          </w:p>
        </w:tc>
        <w:tc>
          <w:tcPr>
            <w:tcW w:w="905" w:type="dxa"/>
          </w:tcPr>
          <w:p w:rsidR="00066AAD" w:rsidRDefault="000E3B3E">
            <w:pPr>
              <w:pStyle w:val="TableParagraph"/>
              <w:ind w:left="213"/>
              <w:rPr>
                <w:sz w:val="17"/>
              </w:rPr>
            </w:pPr>
            <w:r>
              <w:rPr>
                <w:color w:val="231F20"/>
                <w:sz w:val="17"/>
              </w:rPr>
              <w:t>YES</w:t>
            </w:r>
          </w:p>
        </w:tc>
        <w:tc>
          <w:tcPr>
            <w:tcW w:w="1139" w:type="dxa"/>
          </w:tcPr>
          <w:p w:rsidR="00066AAD" w:rsidRDefault="000E3B3E"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YES</w:t>
            </w:r>
          </w:p>
        </w:tc>
        <w:tc>
          <w:tcPr>
            <w:tcW w:w="1158" w:type="dxa"/>
          </w:tcPr>
          <w:p w:rsidR="00066AAD" w:rsidRDefault="000E3B3E">
            <w:pPr>
              <w:pStyle w:val="TableParagraph"/>
              <w:ind w:left="213"/>
              <w:rPr>
                <w:sz w:val="17"/>
              </w:rPr>
            </w:pPr>
            <w:r>
              <w:rPr>
                <w:color w:val="231F20"/>
                <w:sz w:val="17"/>
              </w:rPr>
              <w:t>NO</w:t>
            </w:r>
          </w:p>
        </w:tc>
      </w:tr>
    </w:tbl>
    <w:p w:rsidR="00066AAD" w:rsidRDefault="00066AAD">
      <w:pPr>
        <w:rPr>
          <w:sz w:val="17"/>
        </w:rPr>
        <w:sectPr w:rsidR="00066AAD">
          <w:headerReference w:type="even" r:id="rId10"/>
          <w:headerReference w:type="default" r:id="rId11"/>
          <w:pgSz w:w="12240" w:h="16020"/>
          <w:pgMar w:top="1420" w:right="1540" w:bottom="1060" w:left="1220" w:header="1238" w:footer="879" w:gutter="0"/>
          <w:cols w:space="720"/>
        </w:sectPr>
      </w:pPr>
    </w:p>
    <w:p w:rsidR="00066AAD" w:rsidRDefault="000E3B3E">
      <w:pPr>
        <w:spacing w:line="177" w:lineRule="auto"/>
        <w:ind w:left="324" w:right="85"/>
        <w:rPr>
          <w:rFonts w:ascii="Arial Unicode MS"/>
          <w:sz w:val="17"/>
        </w:rPr>
      </w:pPr>
      <w:r>
        <w:rPr>
          <w:rFonts w:ascii="Arial Unicode MS"/>
          <w:color w:val="231F20"/>
          <w:w w:val="95"/>
          <w:sz w:val="17"/>
        </w:rPr>
        <w:t xml:space="preserve">non-cancer </w:t>
      </w:r>
      <w:r>
        <w:rPr>
          <w:rFonts w:ascii="Arial Unicode MS"/>
          <w:color w:val="231F20"/>
          <w:sz w:val="17"/>
        </w:rPr>
        <w:t>pain only</w:t>
      </w:r>
    </w:p>
    <w:p w:rsidR="00066AAD" w:rsidRDefault="000E3B3E">
      <w:pPr>
        <w:spacing w:before="3" w:line="177" w:lineRule="auto"/>
        <w:ind w:left="324" w:right="-18" w:hanging="165"/>
        <w:rPr>
          <w:rFonts w:ascii="Arial Unicode MS"/>
          <w:sz w:val="17"/>
        </w:rPr>
      </w:pPr>
      <w:r>
        <w:rPr>
          <w:rFonts w:ascii="Arial Unicode MS"/>
          <w:color w:val="231F20"/>
          <w:sz w:val="17"/>
        </w:rPr>
        <w:t>Patient</w:t>
      </w:r>
      <w:r>
        <w:rPr>
          <w:rFonts w:ascii="Arial Unicode MS"/>
          <w:color w:val="231F20"/>
          <w:spacing w:val="-4"/>
          <w:sz w:val="17"/>
        </w:rPr>
        <w:t xml:space="preserve"> </w:t>
      </w:r>
      <w:r>
        <w:rPr>
          <w:rFonts w:ascii="Arial Unicode MS"/>
          <w:color w:val="231F20"/>
          <w:sz w:val="17"/>
        </w:rPr>
        <w:t>population impacted</w:t>
      </w:r>
    </w:p>
    <w:p w:rsidR="00066AAD" w:rsidRDefault="000E3B3E">
      <w:pPr>
        <w:pStyle w:val="BodyText"/>
        <w:rPr>
          <w:rFonts w:ascii="Arial Unicode MS"/>
          <w:sz w:val="16"/>
        </w:rPr>
      </w:pPr>
      <w:r>
        <w:br w:type="column"/>
      </w:r>
    </w:p>
    <w:p w:rsidR="00066AAD" w:rsidRDefault="00066AAD">
      <w:pPr>
        <w:pStyle w:val="BodyText"/>
        <w:spacing w:before="15"/>
        <w:rPr>
          <w:rFonts w:ascii="Arial Unicode MS"/>
          <w:sz w:val="8"/>
        </w:rPr>
      </w:pPr>
    </w:p>
    <w:p w:rsidR="00066AAD" w:rsidRDefault="000E3B3E">
      <w:pPr>
        <w:tabs>
          <w:tab w:val="left" w:pos="1299"/>
          <w:tab w:val="left" w:pos="2213"/>
        </w:tabs>
        <w:spacing w:line="177" w:lineRule="auto"/>
        <w:ind w:left="2376" w:hanging="2217"/>
        <w:rPr>
          <w:rFonts w:ascii="Arial Unicode MS"/>
          <w:sz w:val="17"/>
        </w:rPr>
      </w:pPr>
      <w:r>
        <w:rPr>
          <w:rFonts w:ascii="Arial Unicode MS"/>
          <w:color w:val="231F20"/>
          <w:sz w:val="17"/>
        </w:rPr>
        <w:t>ALL</w:t>
      </w:r>
      <w:r>
        <w:rPr>
          <w:rFonts w:ascii="Arial Unicode MS"/>
          <w:color w:val="231F20"/>
          <w:sz w:val="17"/>
        </w:rPr>
        <w:tab/>
        <w:t>ALL</w:t>
      </w:r>
      <w:r>
        <w:rPr>
          <w:rFonts w:ascii="Arial Unicode MS"/>
          <w:color w:val="231F20"/>
          <w:sz w:val="17"/>
        </w:rPr>
        <w:tab/>
      </w:r>
      <w:r>
        <w:rPr>
          <w:rFonts w:ascii="Arial Unicode MS"/>
          <w:color w:val="231F20"/>
          <w:spacing w:val="-1"/>
          <w:sz w:val="17"/>
        </w:rPr>
        <w:t xml:space="preserve">Workmens </w:t>
      </w:r>
      <w:r>
        <w:rPr>
          <w:rFonts w:ascii="Arial Unicode MS"/>
          <w:color w:val="231F20"/>
          <w:sz w:val="17"/>
        </w:rPr>
        <w:t>Comp</w:t>
      </w:r>
    </w:p>
    <w:p w:rsidR="00066AAD" w:rsidRDefault="000E3B3E">
      <w:pPr>
        <w:pStyle w:val="BodyText"/>
        <w:spacing w:before="2"/>
        <w:rPr>
          <w:rFonts w:ascii="Arial Unicode MS"/>
          <w:sz w:val="21"/>
        </w:rPr>
      </w:pPr>
      <w:r>
        <w:br w:type="column"/>
      </w:r>
    </w:p>
    <w:p w:rsidR="00066AAD" w:rsidRDefault="000E3B3E">
      <w:pPr>
        <w:tabs>
          <w:tab w:val="left" w:pos="1299"/>
          <w:tab w:val="left" w:pos="2204"/>
          <w:tab w:val="left" w:pos="3343"/>
        </w:tabs>
        <w:spacing w:line="259" w:lineRule="exact"/>
        <w:ind w:left="159"/>
        <w:rPr>
          <w:rFonts w:ascii="Arial Unicode MS"/>
          <w:sz w:val="17"/>
        </w:rPr>
      </w:pPr>
      <w:r>
        <w:rPr>
          <w:rFonts w:ascii="Arial Unicode MS"/>
          <w:color w:val="231F20"/>
          <w:sz w:val="17"/>
        </w:rPr>
        <w:t>ALL</w:t>
      </w:r>
      <w:r>
        <w:rPr>
          <w:rFonts w:ascii="Arial Unicode MS"/>
          <w:color w:val="231F20"/>
          <w:sz w:val="17"/>
        </w:rPr>
        <w:tab/>
        <w:t>ALL</w:t>
      </w:r>
      <w:r>
        <w:rPr>
          <w:rFonts w:ascii="Arial Unicode MS"/>
          <w:color w:val="231F20"/>
          <w:sz w:val="17"/>
        </w:rPr>
        <w:tab/>
        <w:t>ALL</w:t>
      </w:r>
      <w:r>
        <w:rPr>
          <w:rFonts w:ascii="Arial Unicode MS"/>
          <w:color w:val="231F20"/>
          <w:sz w:val="17"/>
        </w:rPr>
        <w:tab/>
        <w:t>MHCP</w:t>
      </w:r>
      <w:r>
        <w:rPr>
          <w:rFonts w:ascii="Arial Unicode MS"/>
          <w:color w:val="231F20"/>
          <w:spacing w:val="-2"/>
          <w:sz w:val="17"/>
        </w:rPr>
        <w:t xml:space="preserve"> </w:t>
      </w:r>
      <w:r>
        <w:rPr>
          <w:rFonts w:ascii="Arial Unicode MS"/>
          <w:color w:val="231F20"/>
          <w:sz w:val="17"/>
        </w:rPr>
        <w:t>only</w:t>
      </w:r>
    </w:p>
    <w:p w:rsidR="00066AAD" w:rsidRDefault="000E3B3E">
      <w:pPr>
        <w:spacing w:before="26" w:line="177" w:lineRule="auto"/>
        <w:ind w:left="3507"/>
        <w:rPr>
          <w:rFonts w:ascii="Arial Unicode MS"/>
          <w:sz w:val="17"/>
        </w:rPr>
      </w:pPr>
      <w:r>
        <w:rPr>
          <w:rFonts w:ascii="Arial Unicode MS"/>
          <w:color w:val="231F20"/>
          <w:w w:val="95"/>
          <w:sz w:val="17"/>
        </w:rPr>
        <w:t xml:space="preserve">(Medicaid, </w:t>
      </w:r>
      <w:r>
        <w:rPr>
          <w:rFonts w:ascii="Arial Unicode MS"/>
          <w:color w:val="231F20"/>
          <w:sz w:val="17"/>
        </w:rPr>
        <w:t>MnCare)</w:t>
      </w:r>
    </w:p>
    <w:p w:rsidR="00066AAD" w:rsidRDefault="00066AAD">
      <w:pPr>
        <w:spacing w:line="177" w:lineRule="auto"/>
        <w:rPr>
          <w:rFonts w:ascii="Arial Unicode MS"/>
          <w:sz w:val="17"/>
        </w:rPr>
        <w:sectPr w:rsidR="00066AAD">
          <w:type w:val="continuous"/>
          <w:pgSz w:w="12240" w:h="16020"/>
          <w:pgMar w:top="40" w:right="1540" w:bottom="1060" w:left="1220" w:header="720" w:footer="720" w:gutter="0"/>
          <w:cols w:num="3" w:space="720" w:equalWidth="0">
            <w:col w:w="1519" w:space="265"/>
            <w:col w:w="3023" w:space="266"/>
            <w:col w:w="4407"/>
          </w:cols>
        </w:sectPr>
      </w:pPr>
    </w:p>
    <w:p w:rsidR="00066AAD" w:rsidRDefault="00066AAD">
      <w:pPr>
        <w:pStyle w:val="BodyText"/>
        <w:spacing w:before="2"/>
        <w:rPr>
          <w:rFonts w:ascii="Arial Unicode MS"/>
          <w:sz w:val="10"/>
        </w:rPr>
      </w:pPr>
    </w:p>
    <w:p w:rsidR="00066AAD" w:rsidRDefault="000E3B3E">
      <w:pPr>
        <w:pStyle w:val="BodyText"/>
        <w:spacing w:line="20" w:lineRule="exact"/>
        <w:ind w:left="157"/>
        <w:rPr>
          <w:rFonts w:ascii="Arial Unicode MS"/>
          <w:sz w:val="2"/>
        </w:rPr>
      </w:pPr>
      <w:r>
        <w:rPr>
          <w:rFonts w:ascii="Arial Unicode MS"/>
          <w:sz w:val="2"/>
        </w:rPr>
      </w:r>
      <w:r>
        <w:rPr>
          <w:rFonts w:ascii="Arial Unicode MS"/>
          <w:sz w:val="2"/>
        </w:rPr>
        <w:pict>
          <v:group id="_x0000_s2050" style="width:460.3pt;height:.25pt;mso-position-horizontal-relative:char;mso-position-vertical-relative:line" coordsize="9206,5">
            <v:line id="_x0000_s2051" style="position:absolute" from="3,3" to="9203,3" strokecolor="#231f20" strokeweight=".08mm"/>
            <w10:wrap type="none"/>
            <w10:anchorlock/>
          </v:group>
        </w:pict>
      </w:r>
    </w:p>
    <w:p w:rsidR="00066AAD" w:rsidRDefault="000E3B3E">
      <w:pPr>
        <w:spacing w:line="209" w:lineRule="exact"/>
        <w:ind w:left="159"/>
        <w:jc w:val="both"/>
        <w:rPr>
          <w:rFonts w:ascii="Arial Unicode MS"/>
          <w:sz w:val="16"/>
        </w:rPr>
      </w:pPr>
      <w:r>
        <w:rPr>
          <w:rFonts w:ascii="Arial Unicode MS"/>
          <w:color w:val="231F20"/>
          <w:w w:val="105"/>
          <w:position w:val="7"/>
          <w:sz w:val="10"/>
        </w:rPr>
        <w:t xml:space="preserve">a </w:t>
      </w:r>
      <w:r>
        <w:rPr>
          <w:rFonts w:ascii="Arial Unicode MS"/>
          <w:color w:val="231F20"/>
          <w:w w:val="105"/>
          <w:sz w:val="16"/>
        </w:rPr>
        <w:t>WA: [8].</w:t>
      </w:r>
    </w:p>
    <w:p w:rsidR="00066AAD" w:rsidRDefault="000E3B3E">
      <w:pPr>
        <w:spacing w:before="24" w:line="240" w:lineRule="exact"/>
        <w:ind w:left="159" w:right="181"/>
        <w:jc w:val="both"/>
        <w:rPr>
          <w:rFonts w:ascii="Arial Unicode MS"/>
          <w:sz w:val="16"/>
        </w:rPr>
      </w:pPr>
      <w:r>
        <w:rPr>
          <w:rFonts w:ascii="Arial Unicode MS"/>
          <w:color w:val="231F20"/>
          <w:position w:val="7"/>
          <w:sz w:val="10"/>
        </w:rPr>
        <w:t xml:space="preserve">b  </w:t>
      </w:r>
      <w:r>
        <w:rPr>
          <w:rFonts w:ascii="Arial Unicode MS"/>
          <w:color w:val="231F20"/>
          <w:sz w:val="16"/>
        </w:rPr>
        <w:t xml:space="preserve">MA: </w:t>
      </w:r>
      <w:hyperlink r:id="rId12">
        <w:r>
          <w:rPr>
            <w:rFonts w:ascii="Arial Unicode MS"/>
            <w:color w:val="231F20"/>
            <w:spacing w:val="-3"/>
            <w:sz w:val="16"/>
          </w:rPr>
          <w:t>http://www.mass.gov/lwd/workers-compensation/hcsb/tg/treatment-guidelines-as-of-10-27-20</w:t>
        </w:r>
        <w:r>
          <w:rPr>
            <w:rFonts w:ascii="Arial Unicode MS"/>
            <w:color w:val="231F20"/>
            <w:spacing w:val="-3"/>
            <w:sz w:val="16"/>
          </w:rPr>
          <w:t>14.pdf</w:t>
        </w:r>
      </w:hyperlink>
      <w:r>
        <w:rPr>
          <w:rFonts w:ascii="Arial Unicode MS"/>
          <w:color w:val="231F20"/>
          <w:spacing w:val="-3"/>
          <w:sz w:val="16"/>
        </w:rPr>
        <w:t xml:space="preserve"> </w:t>
      </w:r>
      <w:r>
        <w:rPr>
          <w:rFonts w:ascii="Arial Unicode MS"/>
          <w:color w:val="231F20"/>
          <w:sz w:val="16"/>
        </w:rPr>
        <w:t xml:space="preserve">(accessed </w:t>
      </w:r>
      <w:r>
        <w:rPr>
          <w:rFonts w:ascii="Arial Unicode MS"/>
          <w:color w:val="231F20"/>
          <w:spacing w:val="-3"/>
          <w:sz w:val="16"/>
        </w:rPr>
        <w:t xml:space="preserve">May </w:t>
      </w:r>
      <w:r>
        <w:rPr>
          <w:rFonts w:ascii="Arial Unicode MS"/>
          <w:color w:val="231F20"/>
          <w:sz w:val="16"/>
        </w:rPr>
        <w:t xml:space="preserve">15, 2015).  </w:t>
      </w:r>
      <w:r>
        <w:rPr>
          <w:rFonts w:ascii="Arial Unicode MS"/>
          <w:color w:val="231F20"/>
          <w:position w:val="7"/>
          <w:sz w:val="10"/>
        </w:rPr>
        <w:t xml:space="preserve">c </w:t>
      </w:r>
      <w:r>
        <w:rPr>
          <w:rFonts w:ascii="Arial Unicode MS"/>
          <w:color w:val="231F20"/>
          <w:sz w:val="16"/>
        </w:rPr>
        <w:t xml:space="preserve">OH: </w:t>
      </w:r>
      <w:hyperlink r:id="rId13" w:anchor="514113-opioid-prescribing">
        <w:r>
          <w:rPr>
            <w:rFonts w:ascii="Arial Unicode MS"/>
            <w:color w:val="231F20"/>
            <w:spacing w:val="-3"/>
            <w:sz w:val="16"/>
          </w:rPr>
          <w:t>http://med.ohio.gov/PrescriberResources.aspx#514113-opioid-prescribing</w:t>
        </w:r>
      </w:hyperlink>
      <w:r>
        <w:rPr>
          <w:rFonts w:ascii="Arial Unicode MS"/>
          <w:color w:val="231F20"/>
          <w:spacing w:val="-3"/>
          <w:sz w:val="16"/>
        </w:rPr>
        <w:t xml:space="preserve"> </w:t>
      </w:r>
      <w:r>
        <w:rPr>
          <w:rFonts w:ascii="Arial Unicode MS"/>
          <w:color w:val="231F20"/>
          <w:sz w:val="16"/>
        </w:rPr>
        <w:t xml:space="preserve">(80 MED Guidelines, last accessed </w:t>
      </w:r>
      <w:r>
        <w:rPr>
          <w:rFonts w:ascii="Arial Unicode MS"/>
          <w:color w:val="231F20"/>
          <w:spacing w:val="-3"/>
          <w:sz w:val="16"/>
        </w:rPr>
        <w:t xml:space="preserve">May </w:t>
      </w:r>
      <w:r>
        <w:rPr>
          <w:rFonts w:ascii="Arial Unicode MS"/>
          <w:color w:val="231F20"/>
          <w:sz w:val="16"/>
        </w:rPr>
        <w:t xml:space="preserve">15, 2015);  </w:t>
      </w:r>
      <w:r>
        <w:rPr>
          <w:rFonts w:ascii="Arial Unicode MS"/>
          <w:color w:val="231F20"/>
          <w:position w:val="7"/>
          <w:sz w:val="10"/>
        </w:rPr>
        <w:t>d</w:t>
      </w:r>
      <w:r>
        <w:rPr>
          <w:rFonts w:ascii="Arial Unicode MS"/>
          <w:color w:val="231F20"/>
          <w:position w:val="7"/>
          <w:sz w:val="10"/>
        </w:rPr>
        <w:t xml:space="preserve"> </w:t>
      </w:r>
      <w:r>
        <w:rPr>
          <w:rFonts w:ascii="Arial Unicode MS"/>
          <w:color w:val="231F20"/>
          <w:sz w:val="16"/>
        </w:rPr>
        <w:t xml:space="preserve">IN: </w:t>
      </w:r>
      <w:hyperlink r:id="rId14">
        <w:r>
          <w:rPr>
            <w:rFonts w:ascii="Arial Unicode MS"/>
            <w:color w:val="231F20"/>
            <w:sz w:val="16"/>
          </w:rPr>
          <w:t>http://www.ismanet.org/pdf/legal/FinalRule93014.pdf</w:t>
        </w:r>
      </w:hyperlink>
      <w:r>
        <w:rPr>
          <w:rFonts w:ascii="Arial Unicode MS"/>
          <w:color w:val="231F20"/>
          <w:sz w:val="16"/>
        </w:rPr>
        <w:t xml:space="preserve"> (last accessed May 15,</w:t>
      </w:r>
      <w:r>
        <w:rPr>
          <w:rFonts w:ascii="Arial Unicode MS"/>
          <w:color w:val="231F20"/>
          <w:spacing w:val="21"/>
          <w:sz w:val="16"/>
        </w:rPr>
        <w:t xml:space="preserve"> </w:t>
      </w:r>
      <w:r>
        <w:rPr>
          <w:rFonts w:ascii="Arial Unicode MS"/>
          <w:color w:val="231F20"/>
          <w:sz w:val="16"/>
        </w:rPr>
        <w:t>2015).</w:t>
      </w:r>
    </w:p>
    <w:p w:rsidR="00066AAD" w:rsidRDefault="000E3B3E">
      <w:pPr>
        <w:spacing w:before="23" w:line="170" w:lineRule="auto"/>
        <w:ind w:left="159" w:right="117"/>
        <w:jc w:val="both"/>
        <w:rPr>
          <w:rFonts w:ascii="Arial Unicode MS"/>
          <w:sz w:val="16"/>
        </w:rPr>
      </w:pPr>
      <w:r>
        <w:rPr>
          <w:rFonts w:ascii="Arial Unicode MS"/>
          <w:color w:val="231F20"/>
          <w:position w:val="7"/>
          <w:sz w:val="10"/>
        </w:rPr>
        <w:t xml:space="preserve">e </w:t>
      </w:r>
      <w:r>
        <w:rPr>
          <w:rFonts w:ascii="Arial Unicode MS"/>
          <w:color w:val="231F20"/>
          <w:sz w:val="16"/>
        </w:rPr>
        <w:t>CO: Board Adopts New Opioid Policy, http://cdn.colorado.gov/cs/Satellite?c=Page&amp;childpagename=DO</w:t>
      </w:r>
      <w:r>
        <w:rPr>
          <w:rFonts w:ascii="Arial Unicode MS"/>
          <w:color w:val="231F20"/>
          <w:sz w:val="16"/>
        </w:rPr>
        <w:t>RA-Reg/DORALayout &amp;cid=1251632324357&amp;pagename=CBONWrapper (last accessed May 15, 2015).</w:t>
      </w:r>
    </w:p>
    <w:p w:rsidR="00066AAD" w:rsidRDefault="000E3B3E">
      <w:pPr>
        <w:spacing w:before="37" w:line="172" w:lineRule="auto"/>
        <w:ind w:left="159" w:right="123"/>
        <w:jc w:val="both"/>
        <w:rPr>
          <w:rFonts w:ascii="Arial Unicode MS"/>
          <w:sz w:val="16"/>
        </w:rPr>
      </w:pPr>
      <w:r>
        <w:rPr>
          <w:rFonts w:ascii="Arial Unicode MS"/>
          <w:color w:val="231F20"/>
          <w:position w:val="7"/>
          <w:sz w:val="10"/>
        </w:rPr>
        <w:t xml:space="preserve">f </w:t>
      </w:r>
      <w:r>
        <w:rPr>
          <w:rFonts w:ascii="Arial Unicode MS"/>
          <w:color w:val="231F20"/>
          <w:sz w:val="16"/>
        </w:rPr>
        <w:t xml:space="preserve">MN: </w:t>
      </w:r>
      <w:hyperlink r:id="rId15">
        <w:r>
          <w:rPr>
            <w:rFonts w:ascii="Arial Unicode MS"/>
            <w:color w:val="231F20"/>
            <w:sz w:val="16"/>
          </w:rPr>
          <w:t>http://www.dhs.state.mn.us/main/idcplg?IdcService=GET_DYNAMIC_CONVERSION</w:t>
        </w:r>
      </w:hyperlink>
      <w:r>
        <w:rPr>
          <w:rFonts w:ascii="Arial Unicode MS"/>
          <w:color w:val="231F20"/>
          <w:sz w:val="16"/>
        </w:rPr>
        <w:t>&amp;</w:t>
      </w:r>
      <w:hyperlink r:id="rId16">
        <w:r>
          <w:rPr>
            <w:rFonts w:ascii="Arial Unicode MS"/>
            <w:color w:val="231F20"/>
            <w:sz w:val="16"/>
          </w:rPr>
          <w:t>RevisionSelectionMethod=Latest</w:t>
        </w:r>
      </w:hyperlink>
      <w:r>
        <w:rPr>
          <w:rFonts w:ascii="Arial Unicode MS"/>
          <w:color w:val="231F20"/>
          <w:sz w:val="16"/>
        </w:rPr>
        <w:t xml:space="preserve"> </w:t>
      </w:r>
      <w:hyperlink r:id="rId17">
        <w:r>
          <w:rPr>
            <w:rFonts w:ascii="Arial Unicode MS"/>
            <w:color w:val="231F20"/>
            <w:sz w:val="16"/>
          </w:rPr>
          <w:t>Released&amp;</w:t>
        </w:r>
      </w:hyperlink>
      <w:hyperlink r:id="rId18">
        <w:r>
          <w:rPr>
            <w:rFonts w:ascii="Arial Unicode MS"/>
            <w:color w:val="231F20"/>
            <w:sz w:val="16"/>
          </w:rPr>
          <w:t>dDocName=dhs16_190131</w:t>
        </w:r>
      </w:hyperlink>
      <w:r>
        <w:rPr>
          <w:rFonts w:ascii="Arial Unicode MS"/>
          <w:color w:val="231F20"/>
          <w:sz w:val="16"/>
        </w:rPr>
        <w:t xml:space="preserve"> (last accessed May 15, 2015).</w:t>
      </w:r>
    </w:p>
    <w:p w:rsidR="00066AAD" w:rsidRDefault="00066AAD">
      <w:pPr>
        <w:pStyle w:val="BodyText"/>
        <w:spacing w:before="10"/>
        <w:rPr>
          <w:rFonts w:ascii="Arial Unicode MS"/>
          <w:sz w:val="19"/>
        </w:rPr>
      </w:pPr>
    </w:p>
    <w:p w:rsidR="00066AAD" w:rsidRDefault="00066AAD">
      <w:pPr>
        <w:rPr>
          <w:rFonts w:ascii="Arial Unicode MS"/>
          <w:sz w:val="19"/>
        </w:rPr>
        <w:sectPr w:rsidR="00066AAD">
          <w:type w:val="continuous"/>
          <w:pgSz w:w="12240" w:h="16020"/>
          <w:pgMar w:top="40" w:right="1540" w:bottom="1060" w:left="1220" w:header="720" w:footer="720" w:gutter="0"/>
          <w:cols w:space="720"/>
        </w:sectPr>
      </w:pPr>
    </w:p>
    <w:p w:rsidR="00066AAD" w:rsidRDefault="000E3B3E">
      <w:pPr>
        <w:pStyle w:val="BodyText"/>
        <w:spacing w:before="85" w:line="200" w:lineRule="exact"/>
        <w:ind w:left="159" w:right="440"/>
      </w:pPr>
      <w:r>
        <w:rPr>
          <w:color w:val="231F20"/>
          <w:w w:val="110"/>
        </w:rPr>
        <w:t>Concerns Related to Dosage Thresholds and Triggers</w:t>
      </w:r>
    </w:p>
    <w:p w:rsidR="00066AAD" w:rsidRDefault="00066AAD">
      <w:pPr>
        <w:pStyle w:val="BodyText"/>
        <w:spacing w:before="7"/>
      </w:pPr>
    </w:p>
    <w:p w:rsidR="00066AAD" w:rsidRDefault="000E3B3E">
      <w:pPr>
        <w:pStyle w:val="BodyText"/>
        <w:spacing w:line="242" w:lineRule="auto"/>
        <w:ind w:left="159" w:right="1"/>
        <w:jc w:val="both"/>
      </w:pPr>
      <w:r>
        <w:rPr>
          <w:color w:val="231F20"/>
        </w:rPr>
        <w:t>Althou</w:t>
      </w:r>
      <w:r>
        <w:rPr>
          <w:color w:val="231F20"/>
        </w:rPr>
        <w:t>gh states continue to adopt dosage thresholds, there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paucity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focusing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actual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effi- cacy of these models and their impacts on overdose reduction and the treatment of pain. Consequently, in 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effort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encourage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evaluating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</w:t>
      </w:r>
      <w:r>
        <w:rPr>
          <w:color w:val="231F20"/>
        </w:rPr>
        <w:t>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effective- ness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public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policy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initiatives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aimed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improving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public health (National Pain Strategy) [12], and to alert policy- makers about the serious unintended outcomes that these models could produce, the following criticisms of dosage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threshold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models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offered.</w:t>
      </w:r>
    </w:p>
    <w:p w:rsidR="00066AAD" w:rsidRDefault="00066AAD">
      <w:pPr>
        <w:pStyle w:val="BodyText"/>
        <w:spacing w:before="1"/>
      </w:pPr>
    </w:p>
    <w:p w:rsidR="00066AAD" w:rsidRDefault="000E3B3E">
      <w:pPr>
        <w:ind w:left="159"/>
        <w:jc w:val="both"/>
        <w:rPr>
          <w:i/>
          <w:sz w:val="18"/>
        </w:rPr>
      </w:pPr>
      <w:r>
        <w:rPr>
          <w:i/>
          <w:color w:val="231F20"/>
          <w:sz w:val="18"/>
        </w:rPr>
        <w:t>Overdose Can Occur at any Dosage Level</w:t>
      </w:r>
    </w:p>
    <w:p w:rsidR="00066AAD" w:rsidRDefault="00066AAD">
      <w:pPr>
        <w:pStyle w:val="BodyText"/>
        <w:spacing w:before="6"/>
        <w:rPr>
          <w:i/>
        </w:rPr>
      </w:pPr>
    </w:p>
    <w:p w:rsidR="00066AAD" w:rsidRDefault="000E3B3E">
      <w:pPr>
        <w:pStyle w:val="BodyText"/>
        <w:spacing w:line="242" w:lineRule="auto"/>
        <w:ind w:left="159"/>
        <w:jc w:val="both"/>
      </w:pPr>
      <w:r>
        <w:rPr>
          <w:color w:val="231F20"/>
        </w:rPr>
        <w:t>One state policy official remarked that one reason dosage thresholds and triggers have become so pop- ular is because they are so easy to create. While it  may be “easy” to establish a 120 mg dosage thresh- old, such decisions ignore the reality that injur</w:t>
      </w:r>
      <w:r>
        <w:rPr>
          <w:color w:val="231F20"/>
        </w:rPr>
        <w:t xml:space="preserve">y and overdose  can  occur  well  below  the  popular  120 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or</w:t>
      </w:r>
    </w:p>
    <w:p w:rsidR="00066AAD" w:rsidRDefault="000E3B3E">
      <w:pPr>
        <w:pStyle w:val="BodyText"/>
        <w:spacing w:line="244" w:lineRule="auto"/>
        <w:ind w:left="159" w:right="1"/>
        <w:jc w:val="both"/>
      </w:pPr>
      <w:r>
        <w:rPr>
          <w:color w:val="231F20"/>
        </w:rPr>
        <w:t>80 mg morphine equivalent dose (MED)  threshold  [11]. In fact, a Washington study found that 72% of poisonings and 70% of adverse effects from opioids were  at  prescribed  dosages  well  belo</w:t>
      </w:r>
      <w:r>
        <w:rPr>
          <w:color w:val="231F20"/>
        </w:rPr>
        <w:t xml:space="preserve">w  the  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state’s</w:t>
      </w:r>
    </w:p>
    <w:p w:rsidR="00066AAD" w:rsidRDefault="000E3B3E">
      <w:pPr>
        <w:pStyle w:val="BodyText"/>
        <w:spacing w:line="242" w:lineRule="auto"/>
        <w:ind w:left="159"/>
        <w:jc w:val="both"/>
      </w:pPr>
      <w:r>
        <w:rPr>
          <w:color w:val="231F20"/>
        </w:rPr>
        <w:t>120 mg MED “yellow flag” threshold. The authors admitted that:</w:t>
      </w:r>
    </w:p>
    <w:p w:rsidR="00066AAD" w:rsidRDefault="00066AAD">
      <w:pPr>
        <w:pStyle w:val="BodyText"/>
        <w:spacing w:before="1"/>
        <w:rPr>
          <w:sz w:val="21"/>
        </w:rPr>
      </w:pPr>
    </w:p>
    <w:p w:rsidR="00066AAD" w:rsidRDefault="000E3B3E">
      <w:pPr>
        <w:pStyle w:val="BodyText"/>
        <w:spacing w:line="242" w:lineRule="auto"/>
        <w:ind w:left="159" w:right="1"/>
        <w:jc w:val="both"/>
      </w:pPr>
      <w:r>
        <w:rPr>
          <w:color w:val="231F20"/>
        </w:rPr>
        <w:t>opioid dosing and duration guidelines that focus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primar- ily on higher dose use may not be sufficient to achieve a substantial reduction in morbidity related to prescrip- tion</w:t>
      </w:r>
      <w:r>
        <w:rPr>
          <w:color w:val="231F20"/>
        </w:rPr>
        <w:t xml:space="preserve"> opioid use. Even at modest dosing levels over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short time intervals, prescription opioid use can have serious health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consequences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[13].</w:t>
      </w:r>
    </w:p>
    <w:p w:rsidR="00066AAD" w:rsidRDefault="000E3B3E">
      <w:pPr>
        <w:pStyle w:val="BodyText"/>
      </w:pPr>
      <w:r>
        <w:br w:type="column"/>
      </w:r>
    </w:p>
    <w:p w:rsidR="00066AAD" w:rsidRDefault="00066AAD">
      <w:pPr>
        <w:pStyle w:val="BodyText"/>
        <w:rPr>
          <w:sz w:val="17"/>
        </w:rPr>
      </w:pPr>
    </w:p>
    <w:p w:rsidR="00066AAD" w:rsidRDefault="000E3B3E">
      <w:pPr>
        <w:pStyle w:val="BodyText"/>
        <w:spacing w:line="244" w:lineRule="auto"/>
        <w:ind w:left="159" w:right="118"/>
        <w:jc w:val="both"/>
      </w:pPr>
      <w:r>
        <w:rPr>
          <w:color w:val="231F20"/>
        </w:rPr>
        <w:t>Moreover, even in the Dunn study, a study often cited  to support dosage thresholds, researchers found that “most ove</w:t>
      </w:r>
      <w:r>
        <w:rPr>
          <w:color w:val="231F20"/>
        </w:rPr>
        <w:t>rdoses occurred in patients receiving low-to- moderate-dose regimens”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[14].</w:t>
      </w:r>
    </w:p>
    <w:p w:rsidR="00066AAD" w:rsidRDefault="00066AAD">
      <w:pPr>
        <w:pStyle w:val="BodyText"/>
        <w:spacing w:before="7"/>
        <w:rPr>
          <w:sz w:val="20"/>
        </w:rPr>
      </w:pPr>
    </w:p>
    <w:p w:rsidR="00066AAD" w:rsidRDefault="000E3B3E">
      <w:pPr>
        <w:spacing w:line="254" w:lineRule="auto"/>
        <w:ind w:left="159" w:right="416"/>
        <w:rPr>
          <w:i/>
          <w:sz w:val="18"/>
        </w:rPr>
      </w:pPr>
      <w:r>
        <w:rPr>
          <w:i/>
          <w:color w:val="231F20"/>
          <w:sz w:val="18"/>
        </w:rPr>
        <w:t>Fixating on Dosage Levels Ignores or Subordinates the Many Other Factors that can Contribute to Opioid-Related  Morbidity  and Mortality</w:t>
      </w:r>
    </w:p>
    <w:p w:rsidR="00066AAD" w:rsidRDefault="00066AAD">
      <w:pPr>
        <w:pStyle w:val="BodyText"/>
        <w:spacing w:before="5"/>
        <w:rPr>
          <w:i/>
          <w:sz w:val="17"/>
        </w:rPr>
      </w:pPr>
    </w:p>
    <w:p w:rsidR="00066AAD" w:rsidRDefault="000E3B3E">
      <w:pPr>
        <w:pStyle w:val="BodyText"/>
        <w:spacing w:line="242" w:lineRule="auto"/>
        <w:ind w:left="159" w:right="117"/>
        <w:jc w:val="both"/>
      </w:pPr>
      <w:r>
        <w:rPr>
          <w:color w:val="231F20"/>
        </w:rPr>
        <w:t>Factors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relating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patient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characteristics,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non- therapeutic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drug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formulation,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mental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health,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nonad- herence, prescriber error, suicide, poly-substance, poly-pharmacy,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pharmacokinetics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play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role 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opioid-related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injury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death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[16–21].</w:t>
      </w:r>
    </w:p>
    <w:p w:rsidR="00066AAD" w:rsidRDefault="00066AAD">
      <w:pPr>
        <w:pStyle w:val="BodyText"/>
        <w:spacing w:before="9"/>
        <w:rPr>
          <w:sz w:val="20"/>
        </w:rPr>
      </w:pPr>
    </w:p>
    <w:p w:rsidR="00066AAD" w:rsidRDefault="000E3B3E">
      <w:pPr>
        <w:ind w:left="159"/>
        <w:jc w:val="both"/>
        <w:rPr>
          <w:i/>
          <w:sz w:val="18"/>
        </w:rPr>
      </w:pPr>
      <w:r>
        <w:rPr>
          <w:i/>
          <w:color w:val="231F20"/>
          <w:sz w:val="18"/>
        </w:rPr>
        <w:t>Association Is Not the S</w:t>
      </w:r>
      <w:r>
        <w:rPr>
          <w:i/>
          <w:color w:val="231F20"/>
          <w:sz w:val="18"/>
        </w:rPr>
        <w:t>ame as Causation</w:t>
      </w:r>
    </w:p>
    <w:p w:rsidR="00066AAD" w:rsidRDefault="00066AAD">
      <w:pPr>
        <w:pStyle w:val="BodyText"/>
        <w:spacing w:before="6"/>
        <w:rPr>
          <w:i/>
        </w:rPr>
      </w:pPr>
    </w:p>
    <w:p w:rsidR="00066AAD" w:rsidRDefault="000E3B3E">
      <w:pPr>
        <w:pStyle w:val="BodyText"/>
        <w:spacing w:line="242" w:lineRule="auto"/>
        <w:ind w:left="159" w:right="117"/>
        <w:jc w:val="both"/>
      </w:pPr>
      <w:r>
        <w:rPr>
          <w:color w:val="231F20"/>
        </w:rPr>
        <w:t>Dosage threshold advocates continue to cite studies that they claim support dosage thresholds and the rela- tionship between dosage and overdose. However, a recent systematic review of the very studies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 xml:space="preserve">proponents rely on undermines these assertions [22]. Indeed, high dosage has been associated with overdose [15,23], but association is not causation [24], and high therapeutic dosage by itself is not the singular cause of uninten- </w:t>
      </w:r>
      <w:r>
        <w:rPr>
          <w:color w:val="231F20"/>
          <w:w w:val="95"/>
        </w:rPr>
        <w:t>tional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overdose.</w:t>
      </w:r>
    </w:p>
    <w:p w:rsidR="00066AAD" w:rsidRDefault="00066AAD">
      <w:pPr>
        <w:pStyle w:val="BodyText"/>
        <w:spacing w:before="6"/>
        <w:rPr>
          <w:sz w:val="19"/>
        </w:rPr>
      </w:pPr>
    </w:p>
    <w:p w:rsidR="00066AAD" w:rsidRDefault="000E3B3E">
      <w:pPr>
        <w:spacing w:line="254" w:lineRule="auto"/>
        <w:ind w:left="159" w:right="108"/>
        <w:rPr>
          <w:i/>
          <w:sz w:val="18"/>
        </w:rPr>
      </w:pPr>
      <w:r>
        <w:rPr>
          <w:i/>
          <w:color w:val="231F20"/>
          <w:sz w:val="18"/>
        </w:rPr>
        <w:t>State V</w:t>
      </w:r>
      <w:r>
        <w:rPr>
          <w:i/>
          <w:color w:val="231F20"/>
          <w:sz w:val="18"/>
        </w:rPr>
        <w:t>ariation in Dosage Threshold Models Seem More like Experimentation with Increased Risk Rather than Informed Policymaking</w:t>
      </w:r>
    </w:p>
    <w:p w:rsidR="00066AAD" w:rsidRDefault="00066AAD">
      <w:pPr>
        <w:pStyle w:val="BodyText"/>
        <w:spacing w:before="5"/>
        <w:rPr>
          <w:i/>
          <w:sz w:val="17"/>
        </w:rPr>
      </w:pPr>
    </w:p>
    <w:p w:rsidR="00066AAD" w:rsidRDefault="000E3B3E">
      <w:pPr>
        <w:pStyle w:val="BodyText"/>
        <w:spacing w:line="242" w:lineRule="auto"/>
        <w:ind w:left="159" w:right="116"/>
        <w:jc w:val="both"/>
      </w:pP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lack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dosage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uniformity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regulatory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approaches across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United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States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raises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concern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dosage</w:t>
      </w:r>
    </w:p>
    <w:p w:rsidR="00066AAD" w:rsidRDefault="00066AAD">
      <w:pPr>
        <w:spacing w:line="242" w:lineRule="auto"/>
        <w:jc w:val="both"/>
        <w:sectPr w:rsidR="00066AAD">
          <w:type w:val="continuous"/>
          <w:pgSz w:w="12240" w:h="16020"/>
          <w:pgMar w:top="40" w:right="1540" w:bottom="1060" w:left="1220" w:header="720" w:footer="720" w:gutter="0"/>
          <w:cols w:num="2" w:space="720" w:equalWidth="0">
            <w:col w:w="4582" w:space="198"/>
            <w:col w:w="4700"/>
          </w:cols>
        </w:sectPr>
      </w:pPr>
    </w:p>
    <w:p w:rsidR="00066AAD" w:rsidRDefault="00066AAD">
      <w:pPr>
        <w:pStyle w:val="BodyText"/>
        <w:spacing w:before="2"/>
        <w:rPr>
          <w:sz w:val="17"/>
        </w:rPr>
      </w:pPr>
    </w:p>
    <w:p w:rsidR="00066AAD" w:rsidRDefault="00066AAD">
      <w:pPr>
        <w:rPr>
          <w:sz w:val="17"/>
        </w:rPr>
        <w:sectPr w:rsidR="00066AAD">
          <w:pgSz w:w="12240" w:h="16020"/>
          <w:pgMar w:top="1420" w:right="1260" w:bottom="1060" w:left="1540" w:header="1238" w:footer="879" w:gutter="0"/>
          <w:cols w:space="720"/>
        </w:sectPr>
      </w:pPr>
    </w:p>
    <w:p w:rsidR="00066AAD" w:rsidRDefault="000E3B3E">
      <w:pPr>
        <w:pStyle w:val="BodyText"/>
        <w:spacing w:before="76" w:line="242" w:lineRule="auto"/>
        <w:ind w:left="119"/>
        <w:jc w:val="both"/>
      </w:pPr>
      <w:r>
        <w:rPr>
          <w:color w:val="231F20"/>
        </w:rPr>
        <w:t>levels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informed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high-quality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evidence,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arbi- trary,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experimentation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 xml:space="preserve">increased </w:t>
      </w:r>
      <w:r>
        <w:rPr>
          <w:color w:val="231F20"/>
          <w:w w:val="95"/>
        </w:rPr>
        <w:t>risk to patients. For example, Washington,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Massachusetts, </w:t>
      </w:r>
      <w:r>
        <w:rPr>
          <w:color w:val="231F20"/>
        </w:rPr>
        <w:t>and Colorado all have a dosage thresholds of 120 mg MED,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states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mandatory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rules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others rely on advisory guidelines. Second, Minnesota’s approach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120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MED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dosage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threshold,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is actually a limit; a limit that applies to a</w:t>
      </w:r>
      <w:r>
        <w:rPr>
          <w:color w:val="231F20"/>
        </w:rPr>
        <w:t>ll chronic pain patients,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existing—even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terminally ill.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exceptions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Minnesota’s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120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mg MED/day limit, those exceptions can only be granted through prior authorization, and only through a private company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retained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stated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mission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was 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“improve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care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costs.”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[25].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pol- icy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experimentation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encouraged,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experi- mentation must not come at the expense of patient welfare. Moreover, policies must be evaluated for their</w:t>
      </w:r>
      <w:r>
        <w:rPr>
          <w:color w:val="231F20"/>
        </w:rPr>
        <w:t xml:space="preserve"> impact, and consistent with the Colorado guidelines, respond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“to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unintended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consequences”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 xml:space="preserve">prescrib- </w:t>
      </w:r>
      <w:r>
        <w:rPr>
          <w:color w:val="231F20"/>
          <w:w w:val="95"/>
        </w:rPr>
        <w:t>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policies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create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[26].</w:t>
      </w:r>
    </w:p>
    <w:p w:rsidR="00066AAD" w:rsidRDefault="00066AAD">
      <w:pPr>
        <w:pStyle w:val="BodyText"/>
      </w:pPr>
    </w:p>
    <w:p w:rsidR="00066AAD" w:rsidRDefault="000E3B3E">
      <w:pPr>
        <w:spacing w:before="123" w:line="254" w:lineRule="auto"/>
        <w:ind w:left="119"/>
        <w:rPr>
          <w:i/>
          <w:sz w:val="18"/>
        </w:rPr>
      </w:pPr>
      <w:r>
        <w:rPr>
          <w:i/>
          <w:color w:val="231F20"/>
          <w:sz w:val="18"/>
        </w:rPr>
        <w:t xml:space="preserve">The Increased Necessity of Calculating Morphine </w:t>
      </w:r>
      <w:r>
        <w:rPr>
          <w:i/>
          <w:color w:val="231F20"/>
          <w:sz w:val="18"/>
        </w:rPr>
        <w:t>Equivalency Could in Turn Increase the Rate of Unintentional Overdose and Incidence of Under- Treated Pain</w:t>
      </w:r>
    </w:p>
    <w:p w:rsidR="00066AAD" w:rsidRDefault="00066AAD">
      <w:pPr>
        <w:pStyle w:val="BodyText"/>
        <w:spacing w:before="5"/>
        <w:rPr>
          <w:i/>
          <w:sz w:val="17"/>
        </w:rPr>
      </w:pPr>
    </w:p>
    <w:p w:rsidR="00066AAD" w:rsidRDefault="000E3B3E">
      <w:pPr>
        <w:pStyle w:val="BodyText"/>
        <w:spacing w:line="242" w:lineRule="auto"/>
        <w:ind w:left="119" w:right="1"/>
        <w:jc w:val="both"/>
      </w:pPr>
      <w:r>
        <w:rPr>
          <w:color w:val="231F20"/>
        </w:rPr>
        <w:t>Dosage threshold models have the potential 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increase 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unintentional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overdose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virtue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necessity to determine morphine equivalen</w:t>
      </w:r>
      <w:r>
        <w:rPr>
          <w:color w:val="231F20"/>
        </w:rPr>
        <w:t>cy, an error prone pro- cess [27]. Following calculation of a patient’s total daily dosage,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dosage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threshold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models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suggest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prescriber first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convert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dose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morphine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equivalent.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But 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itself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fraught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dangers. First,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published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tables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vary significantly between each other and “recent evidence suggests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dose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ratios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published in equianalgesic tables may lead to fatal or near-fatal opioid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overdoses”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[2</w:t>
      </w:r>
      <w:r>
        <w:rPr>
          <w:color w:val="231F20"/>
        </w:rPr>
        <w:t>7].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Second,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opioid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con- version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calculators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facilitate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pro- cess,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states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encourage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prevent overdose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[28],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recent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revealed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substantial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 xml:space="preserve">differen- </w:t>
      </w:r>
      <w:r>
        <w:rPr>
          <w:color w:val="231F20"/>
          <w:w w:val="97"/>
        </w:rPr>
        <w:t>ces</w:t>
      </w:r>
      <w:r>
        <w:rPr>
          <w:color w:val="231F20"/>
          <w:spacing w:val="-14"/>
        </w:rPr>
        <w:t xml:space="preserve"> </w:t>
      </w:r>
      <w:r>
        <w:rPr>
          <w:color w:val="231F20"/>
          <w:w w:val="98"/>
        </w:rPr>
        <w:t>among</w:t>
      </w:r>
      <w:r>
        <w:rPr>
          <w:color w:val="231F20"/>
          <w:spacing w:val="-14"/>
        </w:rPr>
        <w:t xml:space="preserve"> </w:t>
      </w:r>
      <w:r>
        <w:rPr>
          <w:color w:val="231F20"/>
          <w:w w:val="98"/>
        </w:rPr>
        <w:t>them.</w:t>
      </w:r>
      <w:r>
        <w:rPr>
          <w:color w:val="231F20"/>
          <w:spacing w:val="-15"/>
        </w:rPr>
        <w:t xml:space="preserve"> </w:t>
      </w:r>
      <w:r>
        <w:rPr>
          <w:color w:val="231F20"/>
          <w:w w:val="93"/>
        </w:rPr>
        <w:t>For</w:t>
      </w:r>
      <w:r>
        <w:rPr>
          <w:color w:val="231F20"/>
          <w:spacing w:val="-14"/>
        </w:rPr>
        <w:t xml:space="preserve"> </w:t>
      </w:r>
      <w:r>
        <w:rPr>
          <w:color w:val="231F20"/>
          <w:w w:val="96"/>
        </w:rPr>
        <w:t>example,</w:t>
      </w:r>
      <w:r>
        <w:rPr>
          <w:color w:val="231F20"/>
          <w:spacing w:val="-13"/>
        </w:rPr>
        <w:t xml:space="preserve"> </w:t>
      </w:r>
      <w:r>
        <w:rPr>
          <w:color w:val="231F20"/>
          <w:w w:val="96"/>
        </w:rPr>
        <w:t>one</w:t>
      </w:r>
      <w:r>
        <w:rPr>
          <w:color w:val="231F20"/>
          <w:spacing w:val="-14"/>
        </w:rPr>
        <w:t xml:space="preserve"> </w:t>
      </w:r>
      <w:r>
        <w:rPr>
          <w:color w:val="231F20"/>
          <w:w w:val="97"/>
        </w:rPr>
        <w:t>study</w:t>
      </w:r>
      <w:r>
        <w:rPr>
          <w:color w:val="231F20"/>
          <w:spacing w:val="-15"/>
        </w:rPr>
        <w:t xml:space="preserve"> </w:t>
      </w:r>
      <w:r>
        <w:rPr>
          <w:color w:val="231F20"/>
          <w:w w:val="98"/>
        </w:rPr>
        <w:t>found</w:t>
      </w:r>
      <w:r>
        <w:rPr>
          <w:color w:val="231F20"/>
          <w:spacing w:val="-14"/>
        </w:rPr>
        <w:t xml:space="preserve"> </w:t>
      </w:r>
      <w:r>
        <w:rPr>
          <w:color w:val="231F20"/>
          <w:w w:val="93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  <w:w w:val="71"/>
        </w:rPr>
        <w:t>(</w:t>
      </w:r>
      <w:r>
        <w:rPr>
          <w:color w:val="231F20"/>
          <w:spacing w:val="-1"/>
          <w:w w:val="149"/>
        </w:rPr>
        <w:t>2</w:t>
      </w:r>
      <w:r>
        <w:rPr>
          <w:color w:val="231F20"/>
          <w:w w:val="71"/>
        </w:rPr>
        <w:t>)</w:t>
      </w:r>
      <w:r>
        <w:rPr>
          <w:color w:val="231F20"/>
          <w:spacing w:val="-14"/>
        </w:rPr>
        <w:t xml:space="preserve"> </w:t>
      </w:r>
      <w:r>
        <w:rPr>
          <w:color w:val="231F20"/>
          <w:w w:val="99"/>
        </w:rPr>
        <w:t xml:space="preserve">55% </w:t>
      </w:r>
      <w:r>
        <w:rPr>
          <w:color w:val="231F20"/>
          <w:w w:val="101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  <w:w w:val="71"/>
        </w:rPr>
        <w:t>(</w:t>
      </w:r>
      <w:r>
        <w:rPr>
          <w:color w:val="231F20"/>
          <w:spacing w:val="-1"/>
          <w:w w:val="149"/>
        </w:rPr>
        <w:t>1</w:t>
      </w:r>
      <w:r>
        <w:rPr>
          <w:color w:val="231F20"/>
          <w:w w:val="71"/>
        </w:rPr>
        <w:t>)</w:t>
      </w:r>
      <w:r>
        <w:rPr>
          <w:color w:val="231F20"/>
          <w:spacing w:val="5"/>
        </w:rPr>
        <w:t xml:space="preserve"> </w:t>
      </w:r>
      <w:r>
        <w:rPr>
          <w:color w:val="231F20"/>
          <w:w w:val="99"/>
        </w:rPr>
        <w:t>242%</w:t>
      </w:r>
      <w:r>
        <w:rPr>
          <w:color w:val="231F20"/>
          <w:spacing w:val="5"/>
        </w:rPr>
        <w:t xml:space="preserve"> </w:t>
      </w:r>
      <w:r>
        <w:rPr>
          <w:color w:val="231F20"/>
          <w:w w:val="95"/>
        </w:rPr>
        <w:t>difference</w:t>
      </w:r>
      <w:r>
        <w:rPr>
          <w:color w:val="231F20"/>
          <w:spacing w:val="5"/>
        </w:rPr>
        <w:t xml:space="preserve"> </w:t>
      </w:r>
      <w:r>
        <w:rPr>
          <w:color w:val="231F20"/>
          <w:w w:val="97"/>
        </w:rPr>
        <w:t>between</w:t>
      </w:r>
      <w:r>
        <w:rPr>
          <w:color w:val="231F20"/>
          <w:spacing w:val="5"/>
        </w:rPr>
        <w:t xml:space="preserve"> </w:t>
      </w:r>
      <w:r>
        <w:rPr>
          <w:color w:val="231F20"/>
          <w:w w:val="94"/>
        </w:rPr>
        <w:t>online</w:t>
      </w:r>
      <w:r>
        <w:rPr>
          <w:color w:val="231F20"/>
          <w:spacing w:val="6"/>
        </w:rPr>
        <w:t xml:space="preserve"> </w:t>
      </w:r>
      <w:r>
        <w:rPr>
          <w:color w:val="231F20"/>
          <w:w w:val="98"/>
        </w:rPr>
        <w:t>opioid</w:t>
      </w:r>
      <w:r>
        <w:rPr>
          <w:color w:val="231F20"/>
          <w:spacing w:val="5"/>
        </w:rPr>
        <w:t xml:space="preserve"> </w:t>
      </w:r>
      <w:r>
        <w:rPr>
          <w:color w:val="231F20"/>
          <w:w w:val="96"/>
        </w:rPr>
        <w:t xml:space="preserve">calculators </w:t>
      </w:r>
      <w:r>
        <w:rPr>
          <w:color w:val="231F20"/>
        </w:rPr>
        <w:t>when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comparing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other,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significantly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increas- ing the likelihood of unintentional overdose [29]. While Washington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posts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online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calculator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on their prescribing website, they nevertheless recognize some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dangers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online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calculators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 xml:space="preserve">con- </w:t>
      </w:r>
      <w:r>
        <w:rPr>
          <w:color w:val="231F20"/>
          <w:w w:val="95"/>
        </w:rPr>
        <w:t>version process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poses:</w:t>
      </w:r>
    </w:p>
    <w:p w:rsidR="00066AAD" w:rsidRDefault="00066AAD">
      <w:pPr>
        <w:pStyle w:val="BodyText"/>
        <w:spacing w:before="10"/>
        <w:rPr>
          <w:sz w:val="20"/>
        </w:rPr>
      </w:pPr>
    </w:p>
    <w:p w:rsidR="00066AAD" w:rsidRDefault="000E3B3E">
      <w:pPr>
        <w:pStyle w:val="BodyText"/>
        <w:spacing w:line="242" w:lineRule="auto"/>
        <w:ind w:left="119" w:firstLine="10"/>
        <w:jc w:val="both"/>
      </w:pPr>
      <w:r>
        <w:rPr>
          <w:color w:val="231F20"/>
        </w:rPr>
        <w:t>CAUTION: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calculator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deter- mine doses when converting a patient from one opioid to another. This is especially important for fentanyl and methadone conversions. Equianalgesic dose ratios are only approximations and do not account for genetic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fac- tors, incomplete cross-tolera</w:t>
      </w:r>
      <w:r>
        <w:rPr>
          <w:color w:val="231F20"/>
        </w:rPr>
        <w:t>nce, and pharmacokinetics [30].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[Emphasis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original]</w:t>
      </w:r>
    </w:p>
    <w:p w:rsidR="00066AAD" w:rsidRDefault="00066AAD">
      <w:pPr>
        <w:pStyle w:val="BodyText"/>
        <w:spacing w:before="9"/>
        <w:rPr>
          <w:sz w:val="20"/>
        </w:rPr>
      </w:pPr>
    </w:p>
    <w:p w:rsidR="00066AAD" w:rsidRDefault="000E3B3E">
      <w:pPr>
        <w:pStyle w:val="BodyText"/>
        <w:spacing w:line="242" w:lineRule="auto"/>
        <w:ind w:left="119" w:right="1"/>
        <w:jc w:val="both"/>
      </w:pPr>
      <w:r>
        <w:rPr>
          <w:color w:val="231F20"/>
        </w:rPr>
        <w:t>Consequently, increased frequency and reliance on these calculators in turn increases the potential for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error</w:t>
      </w:r>
    </w:p>
    <w:p w:rsidR="00066AAD" w:rsidRDefault="000E3B3E">
      <w:pPr>
        <w:pStyle w:val="BodyText"/>
        <w:spacing w:before="76" w:line="242" w:lineRule="auto"/>
        <w:ind w:left="119" w:right="117"/>
        <w:jc w:val="both"/>
      </w:pPr>
      <w:r>
        <w:br w:type="column"/>
      </w:r>
      <w:r>
        <w:rPr>
          <w:color w:val="231F20"/>
        </w:rPr>
        <w:t>in terms of overdosing unless warnings about the con- version process and the variation i</w:t>
      </w:r>
      <w:r>
        <w:rPr>
          <w:color w:val="231F20"/>
        </w:rPr>
        <w:t>n on line calculators are made clear. Moreover, the problems associated with the calculation and conversion process are not lim- ited to overdose; errors in conversion can also result in the under-treatment of pain through under-dosing and concomitant incr</w:t>
      </w:r>
      <w:r>
        <w:rPr>
          <w:color w:val="231F20"/>
        </w:rPr>
        <w:t>eased risk of withdrawal [29] and per- haps pseudoaddiction [31].</w:t>
      </w:r>
    </w:p>
    <w:p w:rsidR="00066AAD" w:rsidRDefault="00066AAD">
      <w:pPr>
        <w:pStyle w:val="BodyText"/>
        <w:spacing w:before="8"/>
        <w:rPr>
          <w:sz w:val="19"/>
        </w:rPr>
      </w:pPr>
    </w:p>
    <w:p w:rsidR="00066AAD" w:rsidRDefault="000E3B3E">
      <w:pPr>
        <w:pStyle w:val="BodyText"/>
        <w:spacing w:line="200" w:lineRule="exact"/>
        <w:ind w:left="119" w:right="350"/>
      </w:pPr>
      <w:r>
        <w:rPr>
          <w:color w:val="231F20"/>
          <w:w w:val="110"/>
        </w:rPr>
        <w:t>Concerns Related to Dosage Triggers (Post- Threshold Recommendations or Requirements)</w:t>
      </w:r>
    </w:p>
    <w:p w:rsidR="00066AAD" w:rsidRDefault="00066AAD">
      <w:pPr>
        <w:pStyle w:val="BodyText"/>
        <w:spacing w:before="5"/>
      </w:pPr>
    </w:p>
    <w:p w:rsidR="00066AAD" w:rsidRDefault="000E3B3E">
      <w:pPr>
        <w:pStyle w:val="BodyText"/>
        <w:spacing w:before="1" w:line="242" w:lineRule="auto"/>
        <w:ind w:left="119" w:right="117"/>
        <w:jc w:val="both"/>
      </w:pPr>
      <w:r>
        <w:rPr>
          <w:color w:val="231F20"/>
        </w:rPr>
        <w:t>At first blush, many of the post-threshold actions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appear consistent with good medical practice and th</w:t>
      </w:r>
      <w:r>
        <w:rPr>
          <w:color w:val="231F20"/>
        </w:rPr>
        <w:t>e current Federation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Medical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Board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guidelines.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exam- ple, some recommendations or requirements address the need to obtain informed consent, consider risks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 benefits, alternatives and treatment plans, patient his- tory, periodic visits, or to make appropriate use of the state’s prescription monitoring program. And since some patients may have or develop a substance abuse problem, drug monitoring may also b</w:t>
      </w:r>
      <w:r>
        <w:rPr>
          <w:color w:val="231F20"/>
        </w:rPr>
        <w:t>e indicated.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Never- theless, several concerns still exist. For example, dos- age thresholds and their post-threshold requirements may be difficult to interpret or may send the message that what they require or recommend can wait until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after the threshold i</w:t>
      </w:r>
      <w:r>
        <w:rPr>
          <w:color w:val="231F20"/>
        </w:rPr>
        <w:t xml:space="preserve">s reached. Second, some state post-threshold requirements may amount to unfunded mandates by requiring a pain consultation but failing to provide the means by which those consultants would  be compensated. Washington recognized this problem early on [32], </w:t>
      </w:r>
      <w:r>
        <w:rPr>
          <w:color w:val="231F20"/>
        </w:rPr>
        <w:t>and there is evidence that many prescrib- ers who treat pain on the east side of the state are not getting the consults they need (“45% reported very low capacity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pain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specialty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consultation”)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[33].</w:t>
      </w:r>
    </w:p>
    <w:p w:rsidR="00066AAD" w:rsidRDefault="00066AAD">
      <w:pPr>
        <w:pStyle w:val="BodyText"/>
        <w:spacing w:before="9"/>
        <w:rPr>
          <w:sz w:val="19"/>
        </w:rPr>
      </w:pPr>
    </w:p>
    <w:p w:rsidR="00066AAD" w:rsidRDefault="000E3B3E">
      <w:pPr>
        <w:pStyle w:val="BodyText"/>
        <w:spacing w:line="200" w:lineRule="exact"/>
        <w:ind w:left="119" w:right="305"/>
      </w:pPr>
      <w:r>
        <w:rPr>
          <w:color w:val="231F20"/>
          <w:w w:val="110"/>
        </w:rPr>
        <w:t xml:space="preserve">Do Balanced Alternatives to Dosage Thresholds </w:t>
      </w:r>
      <w:r>
        <w:rPr>
          <w:color w:val="231F20"/>
          <w:w w:val="110"/>
        </w:rPr>
        <w:t>Exist?</w:t>
      </w:r>
    </w:p>
    <w:p w:rsidR="00066AAD" w:rsidRDefault="00066AAD">
      <w:pPr>
        <w:pStyle w:val="BodyText"/>
        <w:spacing w:before="7"/>
      </w:pPr>
    </w:p>
    <w:p w:rsidR="00066AAD" w:rsidRDefault="000E3B3E">
      <w:pPr>
        <w:pStyle w:val="BodyText"/>
        <w:spacing w:line="242" w:lineRule="auto"/>
        <w:ind w:left="119" w:right="117"/>
        <w:jc w:val="both"/>
      </w:pPr>
      <w:r>
        <w:rPr>
          <w:color w:val="231F20"/>
        </w:rPr>
        <w:t>Although it is often easier to criticize than create, bal- anced alternatives to dosage thresholds  currently  exist, and none of them rely on dosage thresholds. Project Lazarus, for instance, is an educational and community intervention that has s</w:t>
      </w:r>
      <w:r>
        <w:rPr>
          <w:color w:val="231F20"/>
        </w:rPr>
        <w:t>hown promise in reducing unintentional overdose and treating pain [34]. What started out as a community-based educational intervention in a single North Carolina county has now expanded state-wide and continues to be adopted throughout the United States. U</w:t>
      </w:r>
      <w:r>
        <w:rPr>
          <w:color w:val="231F20"/>
        </w:rPr>
        <w:t>nlike governmental interventions that focus primarily on one side of the issue (preventing harm), Project Lazarus seeks to achieve two goals simultaneously: reducing the over- dose rate in communities and to “help deliver better pain relief”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[35].</w:t>
      </w:r>
    </w:p>
    <w:p w:rsidR="00066AAD" w:rsidRDefault="00066AAD">
      <w:pPr>
        <w:pStyle w:val="BodyText"/>
        <w:spacing w:before="3"/>
      </w:pPr>
    </w:p>
    <w:p w:rsidR="00066AAD" w:rsidRDefault="000E3B3E">
      <w:pPr>
        <w:pStyle w:val="BodyText"/>
        <w:spacing w:line="242" w:lineRule="auto"/>
        <w:ind w:left="119" w:right="117"/>
        <w:jc w:val="both"/>
      </w:pPr>
      <w:r>
        <w:rPr>
          <w:color w:val="231F20"/>
        </w:rPr>
        <w:t>In addi</w:t>
      </w:r>
      <w:r>
        <w:rPr>
          <w:color w:val="231F20"/>
        </w:rPr>
        <w:t>tion to Project Lazarus, another promising approach to achieving balance is being used in New Mexico, a state that has one of the highest overdose rates in the nation. In brief, New Mexico has adopted a continuing medical education requirement that address</w:t>
      </w:r>
      <w:r>
        <w:rPr>
          <w:color w:val="231F20"/>
        </w:rPr>
        <w:t>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overdose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prevention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pain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treatment</w:t>
      </w:r>
    </w:p>
    <w:p w:rsidR="00066AAD" w:rsidRDefault="00066AAD">
      <w:pPr>
        <w:spacing w:line="242" w:lineRule="auto"/>
        <w:jc w:val="both"/>
        <w:sectPr w:rsidR="00066AAD">
          <w:type w:val="continuous"/>
          <w:pgSz w:w="12240" w:h="16020"/>
          <w:pgMar w:top="40" w:right="1260" w:bottom="1060" w:left="1540" w:header="720" w:footer="720" w:gutter="0"/>
          <w:cols w:num="2" w:space="720" w:equalWidth="0">
            <w:col w:w="4543" w:space="237"/>
            <w:col w:w="4660"/>
          </w:cols>
        </w:sectPr>
      </w:pPr>
    </w:p>
    <w:p w:rsidR="00066AAD" w:rsidRDefault="00066AAD">
      <w:pPr>
        <w:pStyle w:val="BodyText"/>
        <w:rPr>
          <w:sz w:val="16"/>
        </w:rPr>
      </w:pPr>
    </w:p>
    <w:p w:rsidR="00066AAD" w:rsidRDefault="00066AAD">
      <w:pPr>
        <w:rPr>
          <w:sz w:val="16"/>
        </w:rPr>
        <w:sectPr w:rsidR="00066AAD">
          <w:pgSz w:w="12240" w:h="16020"/>
          <w:pgMar w:top="1420" w:right="1540" w:bottom="1060" w:left="1260" w:header="1238" w:footer="879" w:gutter="0"/>
          <w:cols w:space="720"/>
        </w:sectPr>
      </w:pPr>
    </w:p>
    <w:p w:rsidR="00066AAD" w:rsidRDefault="000E3B3E">
      <w:pPr>
        <w:pStyle w:val="BodyText"/>
        <w:spacing w:before="89" w:line="242" w:lineRule="auto"/>
        <w:ind w:left="119"/>
        <w:jc w:val="both"/>
      </w:pPr>
      <w:r>
        <w:rPr>
          <w:color w:val="231F20"/>
        </w:rPr>
        <w:t>[36]. They recognized from the start that rule-based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sol- utions could have the “unintended consequence of interfering with the physician-patient relationship.” Like Project Lazarus, New Mexico’s approach is balanced; it seeks to reduce the potential harm associated with opioids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actively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improve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treatment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pain.</w:t>
      </w:r>
    </w:p>
    <w:p w:rsidR="00066AAD" w:rsidRDefault="00066AAD">
      <w:pPr>
        <w:pStyle w:val="BodyText"/>
        <w:spacing w:before="1"/>
      </w:pPr>
    </w:p>
    <w:p w:rsidR="00066AAD" w:rsidRDefault="000E3B3E">
      <w:pPr>
        <w:pStyle w:val="BodyText"/>
        <w:ind w:left="119"/>
        <w:jc w:val="both"/>
      </w:pPr>
      <w:r>
        <w:rPr>
          <w:color w:val="231F20"/>
          <w:w w:val="110"/>
        </w:rPr>
        <w:t>Conclusion</w:t>
      </w:r>
    </w:p>
    <w:p w:rsidR="00066AAD" w:rsidRDefault="00066AAD">
      <w:pPr>
        <w:pStyle w:val="BodyText"/>
        <w:spacing w:before="7"/>
      </w:pPr>
    </w:p>
    <w:p w:rsidR="00066AAD" w:rsidRDefault="000E3B3E">
      <w:pPr>
        <w:pStyle w:val="BodyText"/>
        <w:spacing w:line="242" w:lineRule="auto"/>
        <w:ind w:left="119"/>
        <w:jc w:val="both"/>
      </w:pP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dosage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thresholds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prescribing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policies represents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innovation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reduce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incidence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unin- tentional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overdose.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Indeed,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dosage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levels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 concern. But the reliance on dosage in these models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as the factor, instead of a factor in preventing overdose is not supported by evidence [13,22], raises multiple con- cerns,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potential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increase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incidence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 pain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opioid-related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morbidity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mortality.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light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 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paucity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empirical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evaluating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efficacy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of threshold models and their outcomes, coupled with the realization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politics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known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trump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science [37], perhaps the current political solution is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somewhere in the middle where thresholds are place</w:t>
      </w:r>
      <w:r>
        <w:rPr>
          <w:color w:val="231F20"/>
        </w:rPr>
        <w:t>d in advisory guidelines instead of mandatory rules, the concerns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are addressed, and the actual impacts of these models are determined.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interim,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however,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educational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interven- tions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reduce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pain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unintentional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overdose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currently exist [36] and can be effective [38]. After all, prescriber education remains a key component in federal efforts [39], and even the Washington model recognizes the value of education by exempting physicians from the mandatory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pain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consult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require</w:t>
      </w:r>
      <w:r>
        <w:rPr>
          <w:color w:val="231F20"/>
        </w:rPr>
        <w:t>ment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prescriber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has taken continuing medical education (CME) in pain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man- agement [40]. Pain treatment and preventing overdose are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zero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sum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games,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solutions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focus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pre- dominantly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problem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neglecting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are doomed to fail [41]. While long-term studies about the effectiveness of opioids may be lacking [3], absence of evidence is not evidence of absence [22]. Opioids may not be the panacea, but they have helped reduce pain 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improve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function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millions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people.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Future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efforts 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reforms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continue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focus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balance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 need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ensure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preventing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harm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[12],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rather than advocating for only one solution to a very complex problem or engaging in opioid-McCarthyism [42]. The Washingto</w:t>
      </w:r>
      <w:r>
        <w:rPr>
          <w:color w:val="231F20"/>
        </w:rPr>
        <w:t>n model started out as an educational pilot and asked prescribers to press pause before going fur- ther. Today, in light of the concerns articulated above, perhaps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policymakers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press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pause and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reconsider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adoption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dosage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thresholds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their states.</w:t>
      </w:r>
    </w:p>
    <w:p w:rsidR="00066AAD" w:rsidRDefault="00066AAD">
      <w:pPr>
        <w:pStyle w:val="BodyText"/>
      </w:pPr>
    </w:p>
    <w:p w:rsidR="00066AAD" w:rsidRDefault="00066AAD">
      <w:pPr>
        <w:pStyle w:val="BodyText"/>
        <w:spacing w:before="3"/>
      </w:pPr>
    </w:p>
    <w:p w:rsidR="00066AAD" w:rsidRDefault="000E3B3E">
      <w:pPr>
        <w:pStyle w:val="BodyText"/>
        <w:ind w:left="119"/>
        <w:jc w:val="both"/>
      </w:pPr>
      <w:r>
        <w:rPr>
          <w:color w:val="231F20"/>
          <w:w w:val="110"/>
        </w:rPr>
        <w:t>Acknowledgements</w:t>
      </w:r>
    </w:p>
    <w:p w:rsidR="00066AAD" w:rsidRDefault="00066AAD">
      <w:pPr>
        <w:pStyle w:val="BodyText"/>
        <w:spacing w:before="4"/>
      </w:pPr>
    </w:p>
    <w:p w:rsidR="00066AAD" w:rsidRDefault="000E3B3E">
      <w:pPr>
        <w:pStyle w:val="BodyText"/>
        <w:spacing w:line="242" w:lineRule="auto"/>
        <w:ind w:left="119"/>
        <w:jc w:val="both"/>
      </w:pPr>
      <w:r>
        <w:rPr>
          <w:color w:val="231F20"/>
        </w:rPr>
        <w:t>Special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thanks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Aaron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Gilson,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PhD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anonymous reviewers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insight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comments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preliminary draft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manuscript.</w:t>
      </w:r>
    </w:p>
    <w:p w:rsidR="00066AAD" w:rsidRDefault="00066AAD">
      <w:pPr>
        <w:pStyle w:val="BodyText"/>
        <w:spacing w:before="3"/>
      </w:pPr>
    </w:p>
    <w:p w:rsidR="00066AAD" w:rsidRDefault="000E3B3E">
      <w:pPr>
        <w:ind w:left="2326"/>
        <w:rPr>
          <w:sz w:val="18"/>
        </w:rPr>
      </w:pPr>
      <w:r>
        <w:rPr>
          <w:color w:val="231F20"/>
          <w:sz w:val="18"/>
        </w:rPr>
        <w:t>S</w:t>
      </w:r>
      <w:r>
        <w:rPr>
          <w:color w:val="231F20"/>
          <w:sz w:val="12"/>
        </w:rPr>
        <w:t xml:space="preserve">TEPHEN </w:t>
      </w:r>
      <w:r>
        <w:rPr>
          <w:color w:val="231F20"/>
          <w:sz w:val="18"/>
        </w:rPr>
        <w:t>J. Z</w:t>
      </w:r>
      <w:r>
        <w:rPr>
          <w:color w:val="231F20"/>
          <w:sz w:val="12"/>
        </w:rPr>
        <w:t>IEGLER</w:t>
      </w:r>
      <w:r>
        <w:rPr>
          <w:color w:val="231F20"/>
          <w:sz w:val="18"/>
        </w:rPr>
        <w:t>, P</w:t>
      </w:r>
      <w:r>
        <w:rPr>
          <w:color w:val="231F20"/>
          <w:sz w:val="12"/>
        </w:rPr>
        <w:t>H</w:t>
      </w:r>
      <w:r>
        <w:rPr>
          <w:color w:val="231F20"/>
          <w:sz w:val="18"/>
        </w:rPr>
        <w:t>D, JD</w:t>
      </w:r>
    </w:p>
    <w:p w:rsidR="00066AAD" w:rsidRDefault="000E3B3E">
      <w:pPr>
        <w:spacing w:before="3"/>
        <w:ind w:left="168"/>
        <w:jc w:val="both"/>
        <w:rPr>
          <w:i/>
          <w:sz w:val="18"/>
        </w:rPr>
      </w:pPr>
      <w:r>
        <w:rPr>
          <w:i/>
          <w:color w:val="231F20"/>
          <w:sz w:val="18"/>
        </w:rPr>
        <w:t>Department of Public Policy, Indiana</w:t>
      </w:r>
      <w:r>
        <w:rPr>
          <w:i/>
          <w:color w:val="231F20"/>
          <w:spacing w:val="-14"/>
          <w:sz w:val="18"/>
        </w:rPr>
        <w:t xml:space="preserve"> </w:t>
      </w:r>
      <w:r>
        <w:rPr>
          <w:i/>
          <w:color w:val="231F20"/>
          <w:sz w:val="18"/>
        </w:rPr>
        <w:t>University-Purdue</w:t>
      </w:r>
    </w:p>
    <w:p w:rsidR="00066AAD" w:rsidRDefault="000E3B3E">
      <w:pPr>
        <w:spacing w:before="2"/>
        <w:ind w:left="1578"/>
        <w:rPr>
          <w:i/>
          <w:sz w:val="18"/>
        </w:rPr>
      </w:pPr>
      <w:r>
        <w:rPr>
          <w:i/>
          <w:color w:val="231F20"/>
          <w:sz w:val="18"/>
        </w:rPr>
        <w:t>University, Fort Wayne, Indiana,</w:t>
      </w:r>
      <w:r>
        <w:rPr>
          <w:i/>
          <w:color w:val="231F20"/>
          <w:spacing w:val="-20"/>
          <w:sz w:val="18"/>
        </w:rPr>
        <w:t xml:space="preserve"> </w:t>
      </w:r>
      <w:r>
        <w:rPr>
          <w:i/>
          <w:color w:val="231F20"/>
          <w:sz w:val="18"/>
        </w:rPr>
        <w:t>USA</w:t>
      </w:r>
    </w:p>
    <w:p w:rsidR="00066AAD" w:rsidRDefault="000E3B3E">
      <w:pPr>
        <w:pStyle w:val="BodyText"/>
        <w:spacing w:before="75" w:line="244" w:lineRule="auto"/>
        <w:ind w:left="119" w:right="116"/>
        <w:jc w:val="both"/>
      </w:pPr>
      <w:r>
        <w:br w:type="column"/>
      </w:r>
      <w:r>
        <w:rPr>
          <w:i/>
          <w:color w:val="231F20"/>
        </w:rPr>
        <w:t>Reprint requests to</w:t>
      </w:r>
      <w:r>
        <w:rPr>
          <w:color w:val="231F20"/>
        </w:rPr>
        <w:t>: Stephen J. Ziegler, PhD, JD, Department of Public Policy, Indiana University-Purdue University, 2101 E. Coliseum Blvd, Neff Hall 260E, Fort Wayne, Indiana 46805-1499, USA. Tel:  260-481-6964;</w:t>
      </w:r>
    </w:p>
    <w:p w:rsidR="00066AAD" w:rsidRDefault="000E3B3E">
      <w:pPr>
        <w:pStyle w:val="BodyText"/>
        <w:spacing w:line="206" w:lineRule="exact"/>
        <w:ind w:left="119"/>
        <w:jc w:val="both"/>
      </w:pPr>
      <w:r>
        <w:rPr>
          <w:color w:val="231F20"/>
          <w:w w:val="95"/>
        </w:rPr>
        <w:t xml:space="preserve">Fax:  260-481-6346;  E-mail: </w:t>
      </w:r>
      <w:hyperlink r:id="rId19">
        <w:r>
          <w:rPr>
            <w:color w:val="231F20"/>
            <w:w w:val="95"/>
          </w:rPr>
          <w:t>Zieglers@ipfw.edu.</w:t>
        </w:r>
      </w:hyperlink>
    </w:p>
    <w:p w:rsidR="00066AAD" w:rsidRDefault="00066AAD">
      <w:pPr>
        <w:pStyle w:val="BodyText"/>
        <w:spacing w:before="6"/>
      </w:pPr>
    </w:p>
    <w:p w:rsidR="00066AAD" w:rsidRDefault="000E3B3E">
      <w:pPr>
        <w:pStyle w:val="BodyText"/>
        <w:spacing w:line="242" w:lineRule="auto"/>
        <w:ind w:left="119" w:right="117"/>
        <w:jc w:val="both"/>
      </w:pPr>
      <w:r>
        <w:rPr>
          <w:color w:val="231F20"/>
        </w:rPr>
        <w:t>Disclosure: No conflicts of interest exist. Author has not received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funding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above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study.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Author has served as paid consultant and speaker for private industry,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medical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osteopathic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associations,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 state/local governments on topics relating to opioid-risk management.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Author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currently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Mayday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Pain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Society Fellow and is receiving training in media and policy out- reach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matters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relating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under-treatment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pain. Dosage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thresholds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focus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fellowship.</w:t>
      </w:r>
    </w:p>
    <w:p w:rsidR="00066AAD" w:rsidRDefault="00066AAD">
      <w:pPr>
        <w:pStyle w:val="BodyText"/>
      </w:pPr>
    </w:p>
    <w:p w:rsidR="00066AAD" w:rsidRDefault="000E3B3E">
      <w:pPr>
        <w:pStyle w:val="BodyText"/>
        <w:spacing w:before="120"/>
        <w:ind w:left="119"/>
        <w:jc w:val="both"/>
      </w:pPr>
      <w:r>
        <w:rPr>
          <w:color w:val="231F20"/>
          <w:w w:val="110"/>
        </w:rPr>
        <w:t>Notes</w:t>
      </w:r>
    </w:p>
    <w:p w:rsidR="00066AAD" w:rsidRDefault="00066AAD">
      <w:pPr>
        <w:pStyle w:val="BodyText"/>
        <w:spacing w:before="8"/>
      </w:pPr>
    </w:p>
    <w:p w:rsidR="00066AAD" w:rsidRDefault="000E3B3E">
      <w:pPr>
        <w:pStyle w:val="ListParagraph"/>
        <w:numPr>
          <w:ilvl w:val="0"/>
          <w:numId w:val="1"/>
        </w:numPr>
        <w:tabs>
          <w:tab w:val="left" w:pos="387"/>
        </w:tabs>
        <w:spacing w:before="1" w:line="242" w:lineRule="auto"/>
        <w:ind w:right="119"/>
        <w:jc w:val="both"/>
        <w:rPr>
          <w:sz w:val="18"/>
        </w:rPr>
      </w:pPr>
      <w:r>
        <w:rPr>
          <w:color w:val="231F20"/>
          <w:sz w:val="18"/>
        </w:rPr>
        <w:t>Technically, there are critical distinctions between policies,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rules,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regulations,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guidelines.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Rules</w:t>
      </w:r>
      <w:r>
        <w:rPr>
          <w:color w:val="231F20"/>
          <w:spacing w:val="-16"/>
          <w:sz w:val="18"/>
        </w:rPr>
        <w:t xml:space="preserve"> </w:t>
      </w:r>
      <w:r>
        <w:rPr>
          <w:color w:val="231F20"/>
          <w:sz w:val="18"/>
        </w:rPr>
        <w:t>and regulations are administrative law terms that involve an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administrative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procedure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parallels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legisla- tive process. Rules are proposed, an open period of comment follows, and once adopted carry the force and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effect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law.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contrast,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guidelines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primarily advisory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by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definition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mandatory.</w:t>
      </w:r>
    </w:p>
    <w:p w:rsidR="00066AAD" w:rsidRDefault="00066AAD">
      <w:pPr>
        <w:pStyle w:val="BodyText"/>
        <w:spacing w:before="6"/>
        <w:rPr>
          <w:sz w:val="17"/>
        </w:rPr>
      </w:pPr>
    </w:p>
    <w:p w:rsidR="00066AAD" w:rsidRDefault="000E3B3E">
      <w:pPr>
        <w:pStyle w:val="ListParagraph"/>
        <w:numPr>
          <w:ilvl w:val="0"/>
          <w:numId w:val="1"/>
        </w:numPr>
        <w:tabs>
          <w:tab w:val="left" w:pos="337"/>
        </w:tabs>
        <w:spacing w:line="242" w:lineRule="auto"/>
        <w:ind w:left="336" w:right="116" w:hanging="217"/>
        <w:jc w:val="both"/>
        <w:rPr>
          <w:sz w:val="18"/>
        </w:rPr>
      </w:pPr>
      <w:r>
        <w:rPr>
          <w:color w:val="231F20"/>
          <w:sz w:val="18"/>
        </w:rPr>
        <w:t>The 2007 Washington guideline was replaced by</w:t>
      </w:r>
      <w:r>
        <w:rPr>
          <w:color w:val="231F20"/>
          <w:sz w:val="18"/>
        </w:rPr>
        <w:t xml:space="preserve"> the 2012 rules but appears twice to illustrate the pro- gression</w:t>
      </w:r>
      <w:r>
        <w:rPr>
          <w:color w:val="231F20"/>
          <w:spacing w:val="-16"/>
          <w:sz w:val="18"/>
        </w:rPr>
        <w:t xml:space="preserve"> </w:t>
      </w:r>
      <w:r>
        <w:rPr>
          <w:color w:val="231F20"/>
          <w:sz w:val="18"/>
        </w:rPr>
        <w:t>from</w:t>
      </w:r>
      <w:r>
        <w:rPr>
          <w:color w:val="231F20"/>
          <w:spacing w:val="-16"/>
          <w:sz w:val="18"/>
        </w:rPr>
        <w:t xml:space="preserve"> </w:t>
      </w:r>
      <w:r>
        <w:rPr>
          <w:color w:val="231F20"/>
          <w:sz w:val="18"/>
        </w:rPr>
        <w:t>voluntary</w:t>
      </w:r>
      <w:r>
        <w:rPr>
          <w:color w:val="231F20"/>
          <w:spacing w:val="-16"/>
          <w:sz w:val="18"/>
        </w:rPr>
        <w:t xml:space="preserve"> </w:t>
      </w:r>
      <w:r>
        <w:rPr>
          <w:color w:val="231F20"/>
          <w:sz w:val="18"/>
        </w:rPr>
        <w:t>guideline</w:t>
      </w:r>
      <w:r>
        <w:rPr>
          <w:color w:val="231F20"/>
          <w:spacing w:val="-17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17"/>
          <w:sz w:val="18"/>
        </w:rPr>
        <w:t xml:space="preserve"> </w:t>
      </w:r>
      <w:r>
        <w:rPr>
          <w:color w:val="231F20"/>
          <w:sz w:val="18"/>
        </w:rPr>
        <w:t>mandatory</w:t>
      </w:r>
      <w:r>
        <w:rPr>
          <w:color w:val="231F20"/>
          <w:spacing w:val="-17"/>
          <w:sz w:val="18"/>
        </w:rPr>
        <w:t xml:space="preserve"> </w:t>
      </w:r>
      <w:r>
        <w:rPr>
          <w:color w:val="231F20"/>
          <w:sz w:val="18"/>
        </w:rPr>
        <w:t>rule.</w:t>
      </w:r>
    </w:p>
    <w:p w:rsidR="00066AAD" w:rsidRDefault="00066AAD">
      <w:pPr>
        <w:pStyle w:val="BodyText"/>
      </w:pPr>
    </w:p>
    <w:p w:rsidR="00066AAD" w:rsidRDefault="00066AAD">
      <w:pPr>
        <w:pStyle w:val="BodyText"/>
        <w:spacing w:before="6"/>
        <w:rPr>
          <w:sz w:val="26"/>
        </w:rPr>
      </w:pPr>
    </w:p>
    <w:p w:rsidR="00066AAD" w:rsidRDefault="000E3B3E">
      <w:pPr>
        <w:pStyle w:val="BodyText"/>
        <w:ind w:left="119"/>
        <w:jc w:val="both"/>
      </w:pPr>
      <w:r>
        <w:rPr>
          <w:color w:val="231F20"/>
          <w:w w:val="105"/>
        </w:rPr>
        <w:t>References</w:t>
      </w: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before="13" w:line="254" w:lineRule="auto"/>
        <w:ind w:right="117"/>
        <w:jc w:val="both"/>
        <w:rPr>
          <w:sz w:val="18"/>
        </w:rPr>
      </w:pPr>
      <w:r>
        <w:rPr>
          <w:color w:val="231F20"/>
          <w:sz w:val="18"/>
        </w:rPr>
        <w:t>Institute of Medicine. Relieving Pain in America: A Blueprint for Transforming Prevention, Care,</w:t>
      </w:r>
      <w:r>
        <w:rPr>
          <w:color w:val="231F20"/>
          <w:spacing w:val="-30"/>
          <w:sz w:val="18"/>
        </w:rPr>
        <w:t xml:space="preserve"> </w:t>
      </w:r>
      <w:r>
        <w:rPr>
          <w:color w:val="231F20"/>
          <w:sz w:val="18"/>
        </w:rPr>
        <w:t>Educa- tion, and Research. Washington, DC: National Aca- demies Press;</w:t>
      </w:r>
      <w:r>
        <w:rPr>
          <w:color w:val="231F20"/>
          <w:spacing w:val="-28"/>
          <w:sz w:val="18"/>
        </w:rPr>
        <w:t xml:space="preserve"> </w:t>
      </w:r>
      <w:r>
        <w:rPr>
          <w:color w:val="231F20"/>
          <w:sz w:val="18"/>
        </w:rPr>
        <w:t>2011.</w:t>
      </w:r>
    </w:p>
    <w:p w:rsidR="00066AAD" w:rsidRDefault="00066AAD">
      <w:pPr>
        <w:pStyle w:val="BodyText"/>
        <w:spacing w:before="5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8"/>
        <w:jc w:val="both"/>
        <w:rPr>
          <w:sz w:val="18"/>
        </w:rPr>
      </w:pPr>
      <w:r>
        <w:rPr>
          <w:color w:val="231F20"/>
          <w:sz w:val="18"/>
        </w:rPr>
        <w:t>Turk DC. Customizing pain treatment for chronic pain patients: who, what, and why? Clin J Pain 1990;6:255–70.</w:t>
      </w:r>
    </w:p>
    <w:p w:rsidR="00066AAD" w:rsidRDefault="00066AAD">
      <w:pPr>
        <w:pStyle w:val="BodyText"/>
        <w:spacing w:before="6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7"/>
        <w:jc w:val="both"/>
        <w:rPr>
          <w:sz w:val="18"/>
        </w:rPr>
      </w:pPr>
      <w:r>
        <w:rPr>
          <w:color w:val="231F20"/>
          <w:sz w:val="18"/>
        </w:rPr>
        <w:t>Chou R, Turner JA, Devine EB, et al. The effective- ness and risks of long-term opioid therapy for chronic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pain: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systematic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review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national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insti- tutes of health pathways to prevention workshop. Ann Intern Med</w:t>
      </w:r>
      <w:r>
        <w:rPr>
          <w:color w:val="231F20"/>
          <w:spacing w:val="-30"/>
          <w:sz w:val="18"/>
        </w:rPr>
        <w:t xml:space="preserve"> </w:t>
      </w:r>
      <w:r>
        <w:rPr>
          <w:color w:val="231F20"/>
          <w:sz w:val="18"/>
        </w:rPr>
        <w:t>2015;162:276–86.</w:t>
      </w:r>
    </w:p>
    <w:p w:rsidR="00066AAD" w:rsidRDefault="00066AAD">
      <w:pPr>
        <w:pStyle w:val="BodyText"/>
        <w:spacing w:before="4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before="1" w:line="254" w:lineRule="auto"/>
        <w:ind w:right="117"/>
        <w:jc w:val="both"/>
        <w:rPr>
          <w:sz w:val="18"/>
        </w:rPr>
      </w:pPr>
      <w:r>
        <w:rPr>
          <w:color w:val="231F20"/>
          <w:sz w:val="18"/>
        </w:rPr>
        <w:t xml:space="preserve">Reuben DB, Alvanzo </w:t>
      </w:r>
      <w:r>
        <w:rPr>
          <w:color w:val="231F20"/>
          <w:sz w:val="18"/>
        </w:rPr>
        <w:t>AAH, Ashikaga T, et al. National institutes of health pathways to prevention workshop: The role of opioids in the treatment of chronic pain. Ann Intern Med</w:t>
      </w:r>
      <w:r>
        <w:rPr>
          <w:color w:val="231F20"/>
          <w:spacing w:val="-32"/>
          <w:sz w:val="18"/>
        </w:rPr>
        <w:t xml:space="preserve"> </w:t>
      </w:r>
      <w:r>
        <w:rPr>
          <w:color w:val="231F20"/>
          <w:sz w:val="18"/>
        </w:rPr>
        <w:t>2015;162:295–300.</w:t>
      </w:r>
    </w:p>
    <w:p w:rsidR="00066AAD" w:rsidRDefault="00066AAD">
      <w:pPr>
        <w:pStyle w:val="BodyText"/>
        <w:spacing w:before="6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7"/>
        <w:jc w:val="both"/>
        <w:rPr>
          <w:sz w:val="18"/>
        </w:rPr>
      </w:pPr>
      <w:r>
        <w:rPr>
          <w:color w:val="231F20"/>
          <w:sz w:val="18"/>
        </w:rPr>
        <w:t xml:space="preserve">Paulozzi LJ, Ryan GW. Opioid analgesics and rates of fatal drug poisoning in the </w:t>
      </w:r>
      <w:r>
        <w:rPr>
          <w:color w:val="231F20"/>
          <w:sz w:val="18"/>
        </w:rPr>
        <w:t>United States. Am J Prev Med 2006;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31:506–11.</w:t>
      </w:r>
    </w:p>
    <w:p w:rsidR="00066AAD" w:rsidRDefault="00066AAD">
      <w:pPr>
        <w:pStyle w:val="BodyText"/>
        <w:spacing w:before="4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7"/>
        <w:jc w:val="both"/>
        <w:rPr>
          <w:sz w:val="18"/>
        </w:rPr>
      </w:pPr>
      <w:r>
        <w:rPr>
          <w:color w:val="231F20"/>
          <w:sz w:val="18"/>
        </w:rPr>
        <w:t>Ziegler SJ. Patient abandonment in the name of opioid safety. Pain Med 2013;</w:t>
      </w:r>
      <w:r>
        <w:rPr>
          <w:color w:val="231F20"/>
          <w:spacing w:val="-29"/>
          <w:sz w:val="18"/>
        </w:rPr>
        <w:t xml:space="preserve"> </w:t>
      </w:r>
      <w:r>
        <w:rPr>
          <w:color w:val="231F20"/>
          <w:sz w:val="18"/>
        </w:rPr>
        <w:t>14:323–4.</w:t>
      </w:r>
    </w:p>
    <w:p w:rsidR="00066AAD" w:rsidRDefault="00066AAD">
      <w:pPr>
        <w:spacing w:line="254" w:lineRule="auto"/>
        <w:jc w:val="both"/>
        <w:rPr>
          <w:sz w:val="18"/>
        </w:rPr>
        <w:sectPr w:rsidR="00066AAD">
          <w:type w:val="continuous"/>
          <w:pgSz w:w="12240" w:h="16020"/>
          <w:pgMar w:top="40" w:right="1540" w:bottom="1060" w:left="1260" w:header="720" w:footer="720" w:gutter="0"/>
          <w:cols w:num="2" w:space="720" w:equalWidth="0">
            <w:col w:w="4541" w:space="239"/>
            <w:col w:w="4660"/>
          </w:cols>
        </w:sectPr>
      </w:pPr>
    </w:p>
    <w:p w:rsidR="00066AAD" w:rsidRDefault="00066AAD">
      <w:pPr>
        <w:pStyle w:val="BodyText"/>
        <w:spacing w:before="6"/>
        <w:rPr>
          <w:sz w:val="16"/>
        </w:rPr>
      </w:pPr>
    </w:p>
    <w:p w:rsidR="00066AAD" w:rsidRDefault="00066AAD">
      <w:pPr>
        <w:rPr>
          <w:sz w:val="16"/>
        </w:rPr>
        <w:sectPr w:rsidR="00066AAD">
          <w:pgSz w:w="12240" w:h="16020"/>
          <w:pgMar w:top="1420" w:right="1260" w:bottom="1060" w:left="1540" w:header="1238" w:footer="879" w:gutter="0"/>
          <w:cols w:space="720"/>
        </w:sect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before="76" w:line="254" w:lineRule="auto"/>
        <w:ind w:hanging="199"/>
        <w:jc w:val="both"/>
        <w:rPr>
          <w:sz w:val="18"/>
        </w:rPr>
      </w:pPr>
      <w:r>
        <w:rPr>
          <w:color w:val="231F20"/>
          <w:sz w:val="18"/>
        </w:rPr>
        <w:t xml:space="preserve">Fine P, Webster L, Argoff C. American academy of pain medicine response to PROP </w:t>
      </w:r>
      <w:r>
        <w:rPr>
          <w:color w:val="231F20"/>
          <w:sz w:val="18"/>
        </w:rPr>
        <w:t>petition to the FDA that seeks to limit pain medications for legiti- mate noncancer pain sufferers. Pain Med 2012;13: 1259–64.</w:t>
      </w:r>
    </w:p>
    <w:p w:rsidR="00066AAD" w:rsidRDefault="00066AAD">
      <w:pPr>
        <w:pStyle w:val="BodyText"/>
        <w:spacing w:before="6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hanging="199"/>
        <w:jc w:val="both"/>
        <w:rPr>
          <w:sz w:val="18"/>
        </w:rPr>
      </w:pPr>
      <w:r>
        <w:rPr>
          <w:color w:val="231F20"/>
          <w:sz w:val="18"/>
        </w:rPr>
        <w:t>Agency Medical Directors’ Group. 2007 Opioid</w:t>
      </w:r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 xml:space="preserve">Dos- ing Guideline, available at: </w:t>
      </w:r>
      <w:hyperlink r:id="rId20">
        <w:r>
          <w:rPr>
            <w:color w:val="231F20"/>
            <w:spacing w:val="-3"/>
            <w:sz w:val="18"/>
          </w:rPr>
          <w:t>http://www.agencymed-</w:t>
        </w:r>
      </w:hyperlink>
      <w:r>
        <w:rPr>
          <w:color w:val="231F20"/>
          <w:spacing w:val="-3"/>
          <w:sz w:val="18"/>
        </w:rPr>
        <w:t xml:space="preserve"> </w:t>
      </w:r>
      <w:hyperlink r:id="rId21">
        <w:r>
          <w:rPr>
            <w:color w:val="231F20"/>
            <w:spacing w:val="-3"/>
            <w:sz w:val="18"/>
          </w:rPr>
          <w:t>directors.wa.gov/opioiddosing.asp</w:t>
        </w:r>
      </w:hyperlink>
      <w:r>
        <w:rPr>
          <w:color w:val="231F20"/>
          <w:spacing w:val="-17"/>
          <w:sz w:val="18"/>
        </w:rPr>
        <w:t xml:space="preserve"> </w:t>
      </w:r>
      <w:r>
        <w:rPr>
          <w:color w:val="231F20"/>
          <w:spacing w:val="-3"/>
          <w:sz w:val="18"/>
        </w:rPr>
        <w:t>(last</w:t>
      </w:r>
      <w:r>
        <w:rPr>
          <w:color w:val="231F20"/>
          <w:spacing w:val="-17"/>
          <w:sz w:val="18"/>
        </w:rPr>
        <w:t xml:space="preserve"> </w:t>
      </w:r>
      <w:r>
        <w:rPr>
          <w:color w:val="231F20"/>
          <w:spacing w:val="-3"/>
          <w:sz w:val="18"/>
        </w:rPr>
        <w:t>accessed</w:t>
      </w:r>
      <w:r>
        <w:rPr>
          <w:color w:val="231F20"/>
          <w:spacing w:val="-17"/>
          <w:sz w:val="18"/>
        </w:rPr>
        <w:t xml:space="preserve"> </w:t>
      </w:r>
      <w:r>
        <w:rPr>
          <w:color w:val="231F20"/>
          <w:sz w:val="18"/>
        </w:rPr>
        <w:t>May 15,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pacing w:val="-3"/>
          <w:sz w:val="18"/>
        </w:rPr>
        <w:t>2015).</w:t>
      </w:r>
    </w:p>
    <w:p w:rsidR="00066AAD" w:rsidRDefault="00066AAD">
      <w:pPr>
        <w:pStyle w:val="BodyText"/>
        <w:spacing w:before="4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hanging="199"/>
        <w:jc w:val="both"/>
        <w:rPr>
          <w:sz w:val="18"/>
        </w:rPr>
      </w:pPr>
      <w:r>
        <w:rPr>
          <w:color w:val="231F20"/>
          <w:sz w:val="18"/>
        </w:rPr>
        <w:t>Franklin GM. Opioids for chronic noncancer pain: A position paper of the American academy of neurol- ogy. Neurology 2014;</w:t>
      </w:r>
      <w:r>
        <w:rPr>
          <w:color w:val="231F20"/>
          <w:spacing w:val="-30"/>
          <w:sz w:val="18"/>
        </w:rPr>
        <w:t xml:space="preserve"> </w:t>
      </w:r>
      <w:r>
        <w:rPr>
          <w:color w:val="231F20"/>
          <w:sz w:val="18"/>
        </w:rPr>
        <w:t>83:1277–84.</w:t>
      </w:r>
    </w:p>
    <w:p w:rsidR="00066AAD" w:rsidRDefault="00066AAD">
      <w:pPr>
        <w:pStyle w:val="BodyText"/>
        <w:spacing w:before="5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hanging="299"/>
        <w:jc w:val="both"/>
        <w:rPr>
          <w:sz w:val="18"/>
        </w:rPr>
      </w:pPr>
      <w:r>
        <w:rPr>
          <w:color w:val="231F20"/>
          <w:sz w:val="18"/>
        </w:rPr>
        <w:t>Franklin GM, Mai J, Turner J, et al. Bending the</w:t>
      </w:r>
      <w:r>
        <w:rPr>
          <w:color w:val="231F20"/>
          <w:spacing w:val="-34"/>
          <w:sz w:val="18"/>
        </w:rPr>
        <w:t xml:space="preserve"> </w:t>
      </w:r>
      <w:r>
        <w:rPr>
          <w:color w:val="231F20"/>
          <w:sz w:val="18"/>
        </w:rPr>
        <w:t>pre- scription opioid dosing and mortality curves: Impact of the Washing</w:t>
      </w:r>
      <w:r>
        <w:rPr>
          <w:color w:val="231F20"/>
          <w:sz w:val="18"/>
        </w:rPr>
        <w:t>ton State opioid dosing guideline. Am J Indus Med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2012;55:325–31.</w:t>
      </w:r>
    </w:p>
    <w:p w:rsidR="00066AAD" w:rsidRDefault="00066AAD">
      <w:pPr>
        <w:pStyle w:val="BodyText"/>
        <w:spacing w:before="4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hanging="299"/>
        <w:jc w:val="both"/>
        <w:rPr>
          <w:sz w:val="18"/>
        </w:rPr>
      </w:pPr>
      <w:r>
        <w:rPr>
          <w:color w:val="231F20"/>
          <w:spacing w:val="-4"/>
          <w:sz w:val="18"/>
        </w:rPr>
        <w:t xml:space="preserve">Fishman </w:t>
      </w:r>
      <w:r>
        <w:rPr>
          <w:color w:val="231F20"/>
          <w:spacing w:val="-3"/>
          <w:sz w:val="18"/>
        </w:rPr>
        <w:t xml:space="preserve">SM, </w:t>
      </w:r>
      <w:r>
        <w:rPr>
          <w:color w:val="231F20"/>
          <w:spacing w:val="-4"/>
          <w:sz w:val="18"/>
        </w:rPr>
        <w:t xml:space="preserve">Webster </w:t>
      </w:r>
      <w:r>
        <w:rPr>
          <w:color w:val="231F20"/>
          <w:spacing w:val="-3"/>
          <w:sz w:val="18"/>
        </w:rPr>
        <w:t xml:space="preserve">LR. </w:t>
      </w:r>
      <w:r>
        <w:rPr>
          <w:color w:val="231F20"/>
          <w:spacing w:val="-4"/>
          <w:sz w:val="18"/>
        </w:rPr>
        <w:t xml:space="preserve">Unintended </w:t>
      </w:r>
      <w:r>
        <w:rPr>
          <w:color w:val="231F20"/>
          <w:spacing w:val="-3"/>
          <w:sz w:val="18"/>
        </w:rPr>
        <w:t xml:space="preserve">harm from </w:t>
      </w:r>
      <w:r>
        <w:rPr>
          <w:color w:val="231F20"/>
          <w:spacing w:val="-4"/>
          <w:sz w:val="18"/>
        </w:rPr>
        <w:t>opioid</w:t>
      </w:r>
      <w:r>
        <w:rPr>
          <w:color w:val="231F20"/>
          <w:spacing w:val="-31"/>
          <w:sz w:val="18"/>
        </w:rPr>
        <w:t xml:space="preserve"> </w:t>
      </w:r>
      <w:r>
        <w:rPr>
          <w:color w:val="231F20"/>
          <w:spacing w:val="-4"/>
          <w:sz w:val="18"/>
        </w:rPr>
        <w:t>prescribing</w:t>
      </w:r>
      <w:r>
        <w:rPr>
          <w:color w:val="231F20"/>
          <w:spacing w:val="-30"/>
          <w:sz w:val="18"/>
        </w:rPr>
        <w:t xml:space="preserve"> </w:t>
      </w:r>
      <w:r>
        <w:rPr>
          <w:color w:val="231F20"/>
          <w:spacing w:val="-4"/>
          <w:sz w:val="18"/>
        </w:rPr>
        <w:t>guidelines.</w:t>
      </w:r>
      <w:r>
        <w:rPr>
          <w:color w:val="231F20"/>
          <w:spacing w:val="-30"/>
          <w:sz w:val="18"/>
        </w:rPr>
        <w:t xml:space="preserve"> </w:t>
      </w:r>
      <w:r>
        <w:rPr>
          <w:color w:val="231F20"/>
          <w:spacing w:val="-4"/>
          <w:sz w:val="18"/>
        </w:rPr>
        <w:t>Pain</w:t>
      </w:r>
      <w:r>
        <w:rPr>
          <w:color w:val="231F20"/>
          <w:spacing w:val="-31"/>
          <w:sz w:val="18"/>
        </w:rPr>
        <w:t xml:space="preserve"> </w:t>
      </w:r>
      <w:r>
        <w:rPr>
          <w:color w:val="231F20"/>
          <w:spacing w:val="-3"/>
          <w:sz w:val="18"/>
        </w:rPr>
        <w:t>Med</w:t>
      </w:r>
      <w:r>
        <w:rPr>
          <w:color w:val="231F20"/>
          <w:spacing w:val="-31"/>
          <w:sz w:val="18"/>
        </w:rPr>
        <w:t xml:space="preserve"> </w:t>
      </w:r>
      <w:r>
        <w:rPr>
          <w:color w:val="231F20"/>
          <w:spacing w:val="-4"/>
          <w:sz w:val="18"/>
        </w:rPr>
        <w:t>2009;10:285–6.</w:t>
      </w:r>
    </w:p>
    <w:p w:rsidR="00066AAD" w:rsidRDefault="00066AAD">
      <w:pPr>
        <w:pStyle w:val="BodyText"/>
        <w:spacing w:before="5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hanging="299"/>
        <w:jc w:val="both"/>
        <w:rPr>
          <w:sz w:val="18"/>
        </w:rPr>
      </w:pPr>
      <w:r>
        <w:rPr>
          <w:color w:val="231F20"/>
          <w:sz w:val="18"/>
        </w:rPr>
        <w:t>National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Pain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Strategy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(Draft),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Population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 xml:space="preserve">Research, Objective 3, at 19, available at: </w:t>
      </w:r>
      <w:hyperlink r:id="rId22">
        <w:r>
          <w:rPr>
            <w:color w:val="231F20"/>
            <w:sz w:val="18"/>
          </w:rPr>
          <w:t>http://iprcc.nih.gov/</w:t>
        </w:r>
      </w:hyperlink>
      <w:r>
        <w:rPr>
          <w:color w:val="231F20"/>
          <w:sz w:val="18"/>
        </w:rPr>
        <w:t xml:space="preserve"> </w:t>
      </w:r>
      <w:hyperlink r:id="rId23">
        <w:r>
          <w:rPr>
            <w:color w:val="231F20"/>
            <w:w w:val="95"/>
            <w:sz w:val="18"/>
          </w:rPr>
          <w:t>National_Pain_Strategy/NPS_Main.htm</w:t>
        </w:r>
      </w:hyperlink>
      <w:r>
        <w:rPr>
          <w:color w:val="231F20"/>
          <w:w w:val="95"/>
          <w:sz w:val="18"/>
        </w:rPr>
        <w:t xml:space="preserve"> (last</w:t>
      </w:r>
      <w:r>
        <w:rPr>
          <w:color w:val="231F20"/>
          <w:spacing w:val="-1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 xml:space="preserve">accessed </w:t>
      </w:r>
      <w:r>
        <w:rPr>
          <w:color w:val="231F20"/>
          <w:sz w:val="18"/>
        </w:rPr>
        <w:t>May 15,</w:t>
      </w:r>
      <w:r>
        <w:rPr>
          <w:color w:val="231F20"/>
          <w:spacing w:val="-16"/>
          <w:sz w:val="18"/>
        </w:rPr>
        <w:t xml:space="preserve"> </w:t>
      </w:r>
      <w:r>
        <w:rPr>
          <w:color w:val="231F20"/>
          <w:sz w:val="18"/>
        </w:rPr>
        <w:t>2015).</w:t>
      </w:r>
    </w:p>
    <w:p w:rsidR="00066AAD" w:rsidRDefault="00066AAD">
      <w:pPr>
        <w:pStyle w:val="BodyText"/>
        <w:spacing w:before="4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" w:hanging="299"/>
        <w:jc w:val="both"/>
        <w:rPr>
          <w:sz w:val="18"/>
        </w:rPr>
      </w:pPr>
      <w:r>
        <w:rPr>
          <w:color w:val="231F20"/>
          <w:sz w:val="18"/>
        </w:rPr>
        <w:t xml:space="preserve">Fulton-Kehoe D, </w:t>
      </w:r>
      <w:r>
        <w:rPr>
          <w:color w:val="231F20"/>
          <w:sz w:val="18"/>
        </w:rPr>
        <w:t>Garg RK, Turner JA, et al. Opioid poisonings and opioid adverse effects in workers in Washington State. Am J Ind Med 2013; 56:1452– 62.</w:t>
      </w:r>
    </w:p>
    <w:p w:rsidR="00066AAD" w:rsidRDefault="00066AAD">
      <w:pPr>
        <w:pStyle w:val="BodyText"/>
        <w:spacing w:before="5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hanging="299"/>
        <w:jc w:val="both"/>
        <w:rPr>
          <w:sz w:val="18"/>
        </w:rPr>
      </w:pPr>
      <w:r>
        <w:rPr>
          <w:color w:val="231F20"/>
          <w:sz w:val="18"/>
        </w:rPr>
        <w:t xml:space="preserve">Dunn KM, Saunders KW, Rutter CM, et al. Opioid prescriptions for chronic pain and overdose: A cohort study. Ann Intern </w:t>
      </w:r>
      <w:r>
        <w:rPr>
          <w:color w:val="231F20"/>
          <w:sz w:val="18"/>
        </w:rPr>
        <w:t>Med 2010;152:85–92, at 90.</w:t>
      </w:r>
    </w:p>
    <w:p w:rsidR="00066AAD" w:rsidRDefault="00066AAD">
      <w:pPr>
        <w:pStyle w:val="BodyText"/>
        <w:spacing w:before="4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" w:hanging="299"/>
        <w:jc w:val="both"/>
        <w:rPr>
          <w:sz w:val="18"/>
        </w:rPr>
      </w:pPr>
      <w:r>
        <w:rPr>
          <w:color w:val="231F20"/>
          <w:sz w:val="18"/>
        </w:rPr>
        <w:t>Gomes T, Mamdani MM, Dhalla IA, Paterson JM Juurlink DN. Opioid dose and drug-related mortality in patients with nonmalignant pain. Arch Intern Med 2011;171:686–91.</w:t>
      </w:r>
    </w:p>
    <w:p w:rsidR="00066AAD" w:rsidRDefault="00066AAD">
      <w:pPr>
        <w:pStyle w:val="BodyText"/>
        <w:spacing w:before="5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hanging="299"/>
        <w:jc w:val="both"/>
        <w:rPr>
          <w:sz w:val="18"/>
        </w:rPr>
      </w:pPr>
      <w:r>
        <w:rPr>
          <w:color w:val="231F20"/>
          <w:sz w:val="18"/>
        </w:rPr>
        <w:t>Fishbain DA, Lewis JE, Gao J. The pain suicidality association</w:t>
      </w:r>
      <w:r>
        <w:rPr>
          <w:color w:val="231F20"/>
          <w:sz w:val="18"/>
        </w:rPr>
        <w:t>: A narrative review. Pain Med 2014; 15: 1835–49.</w:t>
      </w:r>
    </w:p>
    <w:p w:rsidR="00066AAD" w:rsidRDefault="00066AAD">
      <w:pPr>
        <w:pStyle w:val="BodyText"/>
        <w:spacing w:before="4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" w:hanging="299"/>
        <w:jc w:val="both"/>
        <w:rPr>
          <w:sz w:val="18"/>
        </w:rPr>
      </w:pPr>
      <w:r>
        <w:rPr>
          <w:color w:val="231F20"/>
          <w:sz w:val="18"/>
        </w:rPr>
        <w:t>Cheatle MD. Pain &amp; suicide: A hidden epidemic. PWJ</w:t>
      </w:r>
      <w:r>
        <w:rPr>
          <w:color w:val="231F20"/>
          <w:spacing w:val="-20"/>
          <w:sz w:val="18"/>
        </w:rPr>
        <w:t xml:space="preserve"> </w:t>
      </w:r>
      <w:r>
        <w:rPr>
          <w:color w:val="231F20"/>
          <w:sz w:val="18"/>
        </w:rPr>
        <w:t>2014;2:30–5.</w:t>
      </w:r>
    </w:p>
    <w:p w:rsidR="00066AAD" w:rsidRDefault="00066AAD">
      <w:pPr>
        <w:pStyle w:val="BodyText"/>
        <w:spacing w:before="5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before="1" w:line="254" w:lineRule="auto"/>
        <w:ind w:hanging="299"/>
        <w:jc w:val="both"/>
        <w:rPr>
          <w:sz w:val="18"/>
        </w:rPr>
      </w:pPr>
      <w:r>
        <w:rPr>
          <w:color w:val="231F20"/>
          <w:sz w:val="18"/>
        </w:rPr>
        <w:t>Webster LR, Cochella S, Dasgupta N, et al. An analysis of the root causes for opioid-related deaths in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United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States.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Pain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Med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2011;12:S26–35.</w:t>
      </w:r>
    </w:p>
    <w:p w:rsidR="00066AAD" w:rsidRDefault="00066AAD">
      <w:pPr>
        <w:pStyle w:val="BodyText"/>
        <w:spacing w:before="5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hanging="299"/>
        <w:jc w:val="both"/>
        <w:rPr>
          <w:sz w:val="18"/>
        </w:rPr>
      </w:pPr>
      <w:r>
        <w:rPr>
          <w:color w:val="231F20"/>
          <w:sz w:val="18"/>
        </w:rPr>
        <w:t>Shah NG, Lathrop SL, Reichard RR, Landen MG. Unintentional drug overdose death trends in New Mexico, USA 1990–2005: Combinations of heroin, cocaine, prescription opioids and alcohol. Addiction 2008;103:126–36.</w:t>
      </w: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before="75" w:line="254" w:lineRule="auto"/>
        <w:ind w:right="117" w:hanging="299"/>
        <w:jc w:val="both"/>
        <w:rPr>
          <w:sz w:val="18"/>
        </w:rPr>
      </w:pPr>
      <w:r>
        <w:rPr>
          <w:color w:val="231F20"/>
          <w:w w:val="98"/>
          <w:sz w:val="18"/>
        </w:rPr>
        <w:br w:type="column"/>
      </w:r>
      <w:r>
        <w:rPr>
          <w:color w:val="231F20"/>
          <w:sz w:val="18"/>
        </w:rPr>
        <w:t>Johnson EM, Lanier WA, Merri</w:t>
      </w:r>
      <w:r>
        <w:rPr>
          <w:color w:val="231F20"/>
          <w:sz w:val="18"/>
        </w:rPr>
        <w:t>ll RM, et al. Uninten- tional prescription opioid-related overdose deaths: Description of decedents by next of kin or best con- tact, Utah, 2008–2009. J Gen Intern Med 2013;28: 522–9.</w:t>
      </w:r>
    </w:p>
    <w:p w:rsidR="00066AAD" w:rsidRDefault="00066AAD">
      <w:pPr>
        <w:pStyle w:val="BodyText"/>
        <w:spacing w:before="5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8" w:hanging="299"/>
        <w:jc w:val="left"/>
        <w:rPr>
          <w:sz w:val="18"/>
        </w:rPr>
      </w:pPr>
      <w:r>
        <w:rPr>
          <w:color w:val="231F20"/>
          <w:sz w:val="18"/>
        </w:rPr>
        <w:t>Centers for Disease Control and Prevention, “Prescription Painkiller Ov</w:t>
      </w:r>
      <w:r>
        <w:rPr>
          <w:color w:val="231F20"/>
          <w:sz w:val="18"/>
        </w:rPr>
        <w:t xml:space="preserve">erdoses: Use and Abuse of Methadone as a Painkiller” (2012), available at: </w:t>
      </w:r>
      <w:hyperlink r:id="rId24">
        <w:r>
          <w:rPr>
            <w:color w:val="231F20"/>
            <w:sz w:val="18"/>
          </w:rPr>
          <w:t>http://www.cdc.gov/VitalSigns/methadoneoverdo-</w:t>
        </w:r>
      </w:hyperlink>
      <w:r>
        <w:rPr>
          <w:color w:val="231F20"/>
          <w:sz w:val="18"/>
        </w:rPr>
        <w:t xml:space="preserve"> </w:t>
      </w:r>
      <w:hyperlink r:id="rId25">
        <w:r>
          <w:rPr>
            <w:color w:val="231F20"/>
            <w:sz w:val="18"/>
          </w:rPr>
          <w:t>ses/index.html</w:t>
        </w:r>
      </w:hyperlink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(accessed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January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z w:val="18"/>
        </w:rPr>
        <w:t>4,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2015).</w:t>
      </w:r>
    </w:p>
    <w:p w:rsidR="00066AAD" w:rsidRDefault="00066AAD">
      <w:pPr>
        <w:pStyle w:val="BodyText"/>
        <w:spacing w:before="4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7" w:hanging="299"/>
        <w:jc w:val="both"/>
        <w:rPr>
          <w:sz w:val="18"/>
        </w:rPr>
      </w:pPr>
      <w:r>
        <w:rPr>
          <w:color w:val="231F20"/>
          <w:sz w:val="18"/>
        </w:rPr>
        <w:t>King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NB,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Fraser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V,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Boikos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z w:val="18"/>
        </w:rPr>
        <w:t>C,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Richardson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R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Harper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S. Determinants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increased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opioid-related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mortality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in the United States and Canada, 1990–2013: A sys- tematic</w:t>
      </w:r>
      <w:r>
        <w:rPr>
          <w:color w:val="231F20"/>
          <w:spacing w:val="-22"/>
          <w:sz w:val="18"/>
        </w:rPr>
        <w:t xml:space="preserve"> </w:t>
      </w:r>
      <w:r>
        <w:rPr>
          <w:color w:val="231F20"/>
          <w:sz w:val="18"/>
        </w:rPr>
        <w:t>review.</w:t>
      </w:r>
      <w:r>
        <w:rPr>
          <w:color w:val="231F20"/>
          <w:spacing w:val="-22"/>
          <w:sz w:val="18"/>
        </w:rPr>
        <w:t xml:space="preserve"> </w:t>
      </w:r>
      <w:r>
        <w:rPr>
          <w:color w:val="231F20"/>
          <w:sz w:val="18"/>
        </w:rPr>
        <w:t>Am</w:t>
      </w:r>
      <w:r>
        <w:rPr>
          <w:color w:val="231F20"/>
          <w:spacing w:val="-23"/>
          <w:sz w:val="18"/>
        </w:rPr>
        <w:t xml:space="preserve"> </w:t>
      </w:r>
      <w:r>
        <w:rPr>
          <w:color w:val="231F20"/>
          <w:sz w:val="18"/>
        </w:rPr>
        <w:t>J</w:t>
      </w:r>
      <w:r>
        <w:rPr>
          <w:color w:val="231F20"/>
          <w:spacing w:val="-23"/>
          <w:sz w:val="18"/>
        </w:rPr>
        <w:t xml:space="preserve"> </w:t>
      </w:r>
      <w:r>
        <w:rPr>
          <w:color w:val="231F20"/>
          <w:sz w:val="18"/>
        </w:rPr>
        <w:t>Pub</w:t>
      </w:r>
      <w:r>
        <w:rPr>
          <w:color w:val="231F20"/>
          <w:spacing w:val="-23"/>
          <w:sz w:val="18"/>
        </w:rPr>
        <w:t xml:space="preserve"> </w:t>
      </w:r>
      <w:r>
        <w:rPr>
          <w:color w:val="231F20"/>
          <w:sz w:val="18"/>
        </w:rPr>
        <w:t>Health</w:t>
      </w:r>
      <w:r>
        <w:rPr>
          <w:color w:val="231F20"/>
          <w:spacing w:val="-21"/>
          <w:sz w:val="18"/>
        </w:rPr>
        <w:t xml:space="preserve"> </w:t>
      </w:r>
      <w:r>
        <w:rPr>
          <w:color w:val="231F20"/>
          <w:sz w:val="18"/>
        </w:rPr>
        <w:t>2014;104:e32–42.</w:t>
      </w:r>
    </w:p>
    <w:p w:rsidR="00066AAD" w:rsidRDefault="00066AAD">
      <w:pPr>
        <w:pStyle w:val="BodyText"/>
        <w:spacing w:before="5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8" w:hanging="299"/>
        <w:jc w:val="both"/>
        <w:rPr>
          <w:sz w:val="18"/>
        </w:rPr>
      </w:pPr>
      <w:r>
        <w:rPr>
          <w:color w:val="231F20"/>
          <w:sz w:val="18"/>
        </w:rPr>
        <w:t>Hirsch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A,</w:t>
      </w:r>
      <w:r>
        <w:rPr>
          <w:color w:val="231F20"/>
          <w:spacing w:val="-32"/>
          <w:sz w:val="18"/>
        </w:rPr>
        <w:t xml:space="preserve"> </w:t>
      </w:r>
      <w:r>
        <w:rPr>
          <w:color w:val="231F20"/>
          <w:sz w:val="18"/>
        </w:rPr>
        <w:t>Proescholdbell</w:t>
      </w:r>
      <w:r>
        <w:rPr>
          <w:color w:val="231F20"/>
          <w:spacing w:val="-32"/>
          <w:sz w:val="18"/>
        </w:rPr>
        <w:t xml:space="preserve"> </w:t>
      </w:r>
      <w:r>
        <w:rPr>
          <w:color w:val="231F20"/>
          <w:sz w:val="18"/>
        </w:rPr>
        <w:t>SK,</w:t>
      </w:r>
      <w:r>
        <w:rPr>
          <w:color w:val="231F20"/>
          <w:spacing w:val="-32"/>
          <w:sz w:val="18"/>
        </w:rPr>
        <w:t xml:space="preserve"> </w:t>
      </w:r>
      <w:r>
        <w:rPr>
          <w:color w:val="231F20"/>
          <w:sz w:val="18"/>
        </w:rPr>
        <w:t>Bronson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W,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Dasgupta</w:t>
      </w:r>
      <w:r>
        <w:rPr>
          <w:color w:val="231F20"/>
          <w:spacing w:val="-32"/>
          <w:sz w:val="18"/>
        </w:rPr>
        <w:t xml:space="preserve"> </w:t>
      </w:r>
      <w:r>
        <w:rPr>
          <w:color w:val="231F20"/>
          <w:sz w:val="18"/>
        </w:rPr>
        <w:t>N. Prescription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histories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dose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strengths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 xml:space="preserve">associated </w:t>
      </w:r>
      <w:r>
        <w:rPr>
          <w:color w:val="231F20"/>
          <w:w w:val="95"/>
          <w:sz w:val="18"/>
        </w:rPr>
        <w:t>with overdose deaths. Pain Med</w:t>
      </w:r>
      <w:r>
        <w:rPr>
          <w:color w:val="231F20"/>
          <w:spacing w:val="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2014;15:1187–95.</w:t>
      </w:r>
    </w:p>
    <w:p w:rsidR="00066AAD" w:rsidRDefault="00066AAD">
      <w:pPr>
        <w:pStyle w:val="BodyText"/>
        <w:spacing w:before="4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7" w:hanging="299"/>
        <w:jc w:val="both"/>
        <w:rPr>
          <w:sz w:val="18"/>
        </w:rPr>
      </w:pPr>
      <w:r>
        <w:rPr>
          <w:color w:val="231F20"/>
          <w:sz w:val="18"/>
        </w:rPr>
        <w:t>Neuman WL. Social Science Research Methods: Qualitative and Quantitative Approaches (6th ed). Boston, MA: Pearson Education;</w:t>
      </w:r>
      <w:r>
        <w:rPr>
          <w:color w:val="231F20"/>
          <w:spacing w:val="-32"/>
          <w:sz w:val="18"/>
        </w:rPr>
        <w:t xml:space="preserve"> </w:t>
      </w:r>
      <w:r>
        <w:rPr>
          <w:color w:val="231F20"/>
          <w:sz w:val="18"/>
        </w:rPr>
        <w:t>2006.</w:t>
      </w:r>
    </w:p>
    <w:p w:rsidR="00066AAD" w:rsidRDefault="00066AAD">
      <w:pPr>
        <w:pStyle w:val="BodyText"/>
        <w:spacing w:before="5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8" w:hanging="299"/>
        <w:jc w:val="both"/>
        <w:rPr>
          <w:sz w:val="18"/>
        </w:rPr>
      </w:pPr>
      <w:r>
        <w:rPr>
          <w:color w:val="231F20"/>
          <w:sz w:val="18"/>
        </w:rPr>
        <w:t xml:space="preserve">North Dakota Medicaid Pharmacy Program Quar- terly News (published by Health Information Designs, LLC). </w:t>
      </w:r>
      <w:hyperlink r:id="rId26">
        <w:r>
          <w:rPr>
            <w:color w:val="231F20"/>
            <w:sz w:val="18"/>
          </w:rPr>
          <w:t>http://www.hidesigns.com/assets/</w:t>
        </w:r>
      </w:hyperlink>
      <w:r>
        <w:rPr>
          <w:color w:val="231F20"/>
          <w:sz w:val="18"/>
        </w:rPr>
        <w:t xml:space="preserve"> </w:t>
      </w:r>
      <w:r>
        <w:rPr>
          <w:color w:val="231F20"/>
          <w:spacing w:val="5"/>
          <w:w w:val="95"/>
          <w:sz w:val="18"/>
        </w:rPr>
        <w:t xml:space="preserve">files/ndmedicaid/newsletters/ND_Summer_2014_ </w:t>
      </w:r>
      <w:r>
        <w:rPr>
          <w:color w:val="231F20"/>
          <w:sz w:val="18"/>
        </w:rPr>
        <w:t>newsletter.pdf</w:t>
      </w:r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>(last</w:t>
      </w:r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>accessed</w:t>
      </w:r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>May</w:t>
      </w:r>
      <w:r>
        <w:rPr>
          <w:color w:val="231F20"/>
          <w:spacing w:val="-13"/>
          <w:sz w:val="18"/>
        </w:rPr>
        <w:t xml:space="preserve"> </w:t>
      </w:r>
      <w:r>
        <w:rPr>
          <w:color w:val="231F20"/>
          <w:sz w:val="18"/>
        </w:rPr>
        <w:t>15,</w:t>
      </w:r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>2015).</w:t>
      </w:r>
    </w:p>
    <w:p w:rsidR="00066AAD" w:rsidRDefault="00066AAD">
      <w:pPr>
        <w:pStyle w:val="BodyText"/>
        <w:spacing w:before="4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6" w:hanging="299"/>
        <w:jc w:val="both"/>
        <w:rPr>
          <w:sz w:val="18"/>
        </w:rPr>
      </w:pPr>
      <w:r>
        <w:rPr>
          <w:color w:val="231F20"/>
          <w:sz w:val="18"/>
        </w:rPr>
        <w:t>Colorado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Department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z w:val="18"/>
        </w:rPr>
        <w:t>Regulatory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z w:val="18"/>
        </w:rPr>
        <w:t>Agencies,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 xml:space="preserve">Board Adopts New Opioid Policy, </w:t>
      </w:r>
      <w:hyperlink r:id="rId27">
        <w:r>
          <w:rPr>
            <w:color w:val="231F20"/>
            <w:sz w:val="18"/>
          </w:rPr>
          <w:t>http://cdn.colorado.gov/</w:t>
        </w:r>
      </w:hyperlink>
      <w:r>
        <w:rPr>
          <w:color w:val="231F20"/>
          <w:sz w:val="18"/>
        </w:rPr>
        <w:t xml:space="preserve"> </w:t>
      </w:r>
      <w:r>
        <w:rPr>
          <w:color w:val="231F20"/>
          <w:spacing w:val="4"/>
          <w:w w:val="95"/>
          <w:sz w:val="18"/>
        </w:rPr>
        <w:t xml:space="preserve">cs/Satellite?c=Page&amp;childpagename=DORA-Reg/ </w:t>
      </w:r>
      <w:r>
        <w:rPr>
          <w:color w:val="231F20"/>
          <w:spacing w:val="7"/>
          <w:w w:val="95"/>
          <w:sz w:val="18"/>
        </w:rPr>
        <w:t xml:space="preserve">DORALayout&amp;cid=1251632324357&amp;pagename= </w:t>
      </w:r>
      <w:r>
        <w:rPr>
          <w:color w:val="231F20"/>
          <w:sz w:val="18"/>
        </w:rPr>
        <w:t>CBONWrapper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(last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z w:val="18"/>
        </w:rPr>
        <w:t>accessed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z w:val="18"/>
        </w:rPr>
        <w:t>May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15,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z w:val="18"/>
        </w:rPr>
        <w:t>2015).</w:t>
      </w:r>
    </w:p>
    <w:p w:rsidR="00066AAD" w:rsidRDefault="00066AAD">
      <w:pPr>
        <w:pStyle w:val="BodyText"/>
        <w:spacing w:before="5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before="1" w:line="254" w:lineRule="auto"/>
        <w:ind w:right="118" w:hanging="299"/>
        <w:jc w:val="both"/>
        <w:rPr>
          <w:sz w:val="18"/>
        </w:rPr>
      </w:pPr>
      <w:r>
        <w:rPr>
          <w:color w:val="231F20"/>
          <w:sz w:val="18"/>
        </w:rPr>
        <w:t>Webster LR, Fine PG. Review and critique of opioid rotation pra</w:t>
      </w:r>
      <w:r>
        <w:rPr>
          <w:color w:val="231F20"/>
          <w:sz w:val="18"/>
        </w:rPr>
        <w:t>ctices and associated risks of toxicity. Pain Med</w:t>
      </w:r>
      <w:r>
        <w:rPr>
          <w:color w:val="231F20"/>
          <w:spacing w:val="-25"/>
          <w:sz w:val="18"/>
        </w:rPr>
        <w:t xml:space="preserve"> </w:t>
      </w:r>
      <w:r>
        <w:rPr>
          <w:color w:val="231F20"/>
          <w:sz w:val="18"/>
        </w:rPr>
        <w:t>2012;13:562–70.</w:t>
      </w:r>
    </w:p>
    <w:p w:rsidR="00066AAD" w:rsidRDefault="00066AAD">
      <w:pPr>
        <w:pStyle w:val="BodyText"/>
        <w:spacing w:before="5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8" w:hanging="299"/>
        <w:jc w:val="both"/>
        <w:rPr>
          <w:sz w:val="18"/>
        </w:rPr>
      </w:pPr>
      <w:r>
        <w:rPr>
          <w:color w:val="231F20"/>
          <w:sz w:val="18"/>
        </w:rPr>
        <w:t xml:space="preserve">Kattan J, Amirfar VA. OpioidCalc: A tool to address the opioid analgesic overdose epidemic (December 1, 2014). American Pharmacists’ Association, avail- able at: </w:t>
      </w:r>
      <w:hyperlink r:id="rId28">
        <w:r>
          <w:rPr>
            <w:color w:val="231F20"/>
            <w:sz w:val="18"/>
          </w:rPr>
          <w:t>http://www.pharmacist.com/opioidcalc-tool-</w:t>
        </w:r>
      </w:hyperlink>
      <w:r>
        <w:rPr>
          <w:color w:val="231F20"/>
          <w:sz w:val="18"/>
        </w:rPr>
        <w:t xml:space="preserve"> </w:t>
      </w:r>
      <w:hyperlink r:id="rId29">
        <w:r>
          <w:rPr>
            <w:color w:val="231F20"/>
            <w:sz w:val="18"/>
          </w:rPr>
          <w:t>address-opioid-analgesic-overdos</w:t>
        </w:r>
        <w:r>
          <w:rPr>
            <w:color w:val="231F20"/>
            <w:sz w:val="18"/>
          </w:rPr>
          <w:t>e-epidemic</w:t>
        </w:r>
      </w:hyperlink>
      <w:r>
        <w:rPr>
          <w:color w:val="231F20"/>
          <w:sz w:val="18"/>
        </w:rPr>
        <w:t xml:space="preserve"> (last accessed May 15,</w:t>
      </w:r>
      <w:r>
        <w:rPr>
          <w:color w:val="231F20"/>
          <w:spacing w:val="-23"/>
          <w:sz w:val="18"/>
        </w:rPr>
        <w:t xml:space="preserve"> </w:t>
      </w:r>
      <w:r>
        <w:rPr>
          <w:color w:val="231F20"/>
          <w:sz w:val="18"/>
        </w:rPr>
        <w:t>2015).</w:t>
      </w:r>
    </w:p>
    <w:p w:rsidR="00066AAD" w:rsidRDefault="00066AAD">
      <w:pPr>
        <w:pStyle w:val="BodyText"/>
        <w:spacing w:before="4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before="1" w:line="254" w:lineRule="auto"/>
        <w:ind w:right="112" w:hanging="299"/>
        <w:jc w:val="both"/>
        <w:rPr>
          <w:sz w:val="18"/>
        </w:rPr>
      </w:pPr>
      <w:r>
        <w:rPr>
          <w:color w:val="231F20"/>
          <w:sz w:val="18"/>
        </w:rPr>
        <w:t>Shaw K, Fudin J. Evaluation and comparison of online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z w:val="18"/>
        </w:rPr>
        <w:t>equianalgesic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opioid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z w:val="18"/>
        </w:rPr>
        <w:t>dose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conversion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 xml:space="preserve">calcula- tors. PPM 2013; 13:61–6. Also available at: </w:t>
      </w:r>
      <w:hyperlink r:id="rId30">
        <w:r>
          <w:rPr>
            <w:color w:val="231F20"/>
            <w:sz w:val="18"/>
          </w:rPr>
          <w:t>http://</w:t>
        </w:r>
      </w:hyperlink>
      <w:r>
        <w:rPr>
          <w:color w:val="231F20"/>
          <w:sz w:val="18"/>
        </w:rPr>
        <w:t xml:space="preserve"> </w:t>
      </w:r>
      <w:hyperlink r:id="rId31">
        <w:r>
          <w:rPr>
            <w:color w:val="231F20"/>
            <w:spacing w:val="7"/>
            <w:w w:val="95"/>
            <w:sz w:val="18"/>
          </w:rPr>
          <w:t>w</w:t>
        </w:r>
        <w:r>
          <w:rPr>
            <w:color w:val="231F20"/>
            <w:spacing w:val="7"/>
            <w:w w:val="95"/>
            <w:sz w:val="18"/>
          </w:rPr>
          <w:t>ww.practicalpainmanagement.com/treatments/</w:t>
        </w:r>
      </w:hyperlink>
      <w:r>
        <w:rPr>
          <w:color w:val="231F20"/>
          <w:spacing w:val="7"/>
          <w:w w:val="95"/>
          <w:sz w:val="18"/>
        </w:rPr>
        <w:t xml:space="preserve"> </w:t>
      </w:r>
      <w:hyperlink r:id="rId32">
        <w:r>
          <w:rPr>
            <w:color w:val="231F20"/>
            <w:spacing w:val="-5"/>
            <w:w w:val="95"/>
            <w:sz w:val="18"/>
          </w:rPr>
          <w:t>pharmacological/opioids/evaluation-comparison-online-</w:t>
        </w:r>
      </w:hyperlink>
      <w:r>
        <w:rPr>
          <w:color w:val="231F20"/>
          <w:spacing w:val="-5"/>
          <w:w w:val="95"/>
          <w:sz w:val="18"/>
        </w:rPr>
        <w:t xml:space="preserve"> </w:t>
      </w:r>
      <w:hyperlink r:id="rId33">
        <w:r>
          <w:rPr>
            <w:color w:val="231F20"/>
            <w:w w:val="95"/>
            <w:sz w:val="18"/>
          </w:rPr>
          <w:t>equianalgesic-opioid-dose-conversion</w:t>
        </w:r>
      </w:hyperlink>
      <w:r>
        <w:rPr>
          <w:color w:val="231F20"/>
          <w:w w:val="95"/>
          <w:sz w:val="18"/>
        </w:rPr>
        <w:t xml:space="preserve"> (last accessed </w:t>
      </w:r>
      <w:r>
        <w:rPr>
          <w:color w:val="231F20"/>
          <w:sz w:val="18"/>
        </w:rPr>
        <w:t>May 15,</w:t>
      </w:r>
      <w:r>
        <w:rPr>
          <w:color w:val="231F20"/>
          <w:spacing w:val="-16"/>
          <w:sz w:val="18"/>
        </w:rPr>
        <w:t xml:space="preserve"> </w:t>
      </w:r>
      <w:r>
        <w:rPr>
          <w:color w:val="231F20"/>
          <w:sz w:val="18"/>
        </w:rPr>
        <w:t>2015).</w:t>
      </w:r>
    </w:p>
    <w:p w:rsidR="00066AAD" w:rsidRDefault="00066AAD">
      <w:pPr>
        <w:pStyle w:val="BodyText"/>
        <w:spacing w:before="6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8" w:hanging="299"/>
        <w:jc w:val="both"/>
        <w:rPr>
          <w:sz w:val="18"/>
        </w:rPr>
      </w:pPr>
      <w:r>
        <w:rPr>
          <w:color w:val="231F20"/>
          <w:sz w:val="18"/>
        </w:rPr>
        <w:t>Opioid Dose Calculator, Agenc</w:t>
      </w:r>
      <w:r>
        <w:rPr>
          <w:color w:val="231F20"/>
          <w:sz w:val="18"/>
        </w:rPr>
        <w:t xml:space="preserve">y Medical Directors’ Group, available at: </w:t>
      </w:r>
      <w:hyperlink r:id="rId34">
        <w:r>
          <w:rPr>
            <w:color w:val="231F20"/>
            <w:sz w:val="18"/>
          </w:rPr>
          <w:t>http://agencymeddirectors.wa.</w:t>
        </w:r>
      </w:hyperlink>
      <w:r>
        <w:rPr>
          <w:color w:val="231F20"/>
          <w:sz w:val="18"/>
        </w:rPr>
        <w:t xml:space="preserve"> </w:t>
      </w:r>
      <w:hyperlink r:id="rId35">
        <w:r>
          <w:rPr>
            <w:color w:val="231F20"/>
            <w:sz w:val="18"/>
          </w:rPr>
          <w:t>gov/mobile.html</w:t>
        </w:r>
      </w:hyperlink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>(last</w:t>
      </w:r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>accessed</w:t>
      </w:r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>May</w:t>
      </w:r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>15,</w:t>
      </w:r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>2015).</w:t>
      </w:r>
    </w:p>
    <w:p w:rsidR="00066AAD" w:rsidRDefault="00066AAD">
      <w:pPr>
        <w:spacing w:line="254" w:lineRule="auto"/>
        <w:jc w:val="both"/>
        <w:rPr>
          <w:sz w:val="18"/>
        </w:rPr>
        <w:sectPr w:rsidR="00066AAD">
          <w:type w:val="continuous"/>
          <w:pgSz w:w="12240" w:h="16020"/>
          <w:pgMar w:top="40" w:right="1260" w:bottom="1060" w:left="1540" w:header="720" w:footer="720" w:gutter="0"/>
          <w:cols w:num="2" w:space="720" w:equalWidth="0">
            <w:col w:w="4543" w:space="237"/>
            <w:col w:w="4660"/>
          </w:cols>
        </w:sectPr>
      </w:pPr>
    </w:p>
    <w:p w:rsidR="00066AAD" w:rsidRDefault="00066AAD">
      <w:pPr>
        <w:pStyle w:val="BodyText"/>
        <w:spacing w:before="5"/>
        <w:rPr>
          <w:sz w:val="16"/>
        </w:rPr>
      </w:pPr>
      <w:bookmarkStart w:id="0" w:name="_GoBack"/>
    </w:p>
    <w:p w:rsidR="00066AAD" w:rsidRDefault="00066AAD">
      <w:pPr>
        <w:rPr>
          <w:sz w:val="16"/>
        </w:rPr>
        <w:sectPr w:rsidR="00066AAD">
          <w:pgSz w:w="12240" w:h="16020"/>
          <w:pgMar w:top="1420" w:right="1540" w:bottom="1060" w:left="1260" w:header="1238" w:footer="879" w:gutter="0"/>
          <w:cols w:space="720"/>
        </w:sect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before="76" w:line="254" w:lineRule="auto"/>
        <w:ind w:hanging="299"/>
        <w:jc w:val="both"/>
        <w:rPr>
          <w:sz w:val="18"/>
        </w:rPr>
      </w:pPr>
      <w:r>
        <w:rPr>
          <w:color w:val="231F20"/>
          <w:sz w:val="18"/>
        </w:rPr>
        <w:t>Martel MO, Dolman AJ, Edwards RR, Jamison RN, Wasan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AD.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association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between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negative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affect and prescription opioid misuse in patients with chronic pain: The mediating role of opioid craving.  J Pain</w:t>
      </w:r>
      <w:r>
        <w:rPr>
          <w:color w:val="231F20"/>
          <w:spacing w:val="-21"/>
          <w:sz w:val="18"/>
        </w:rPr>
        <w:t xml:space="preserve"> </w:t>
      </w:r>
      <w:r>
        <w:rPr>
          <w:color w:val="231F20"/>
          <w:sz w:val="18"/>
        </w:rPr>
        <w:t>2014;15:90–100.</w:t>
      </w:r>
    </w:p>
    <w:p w:rsidR="00066AAD" w:rsidRDefault="00066AAD">
      <w:pPr>
        <w:pStyle w:val="BodyText"/>
        <w:spacing w:before="5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hanging="299"/>
        <w:jc w:val="both"/>
        <w:rPr>
          <w:sz w:val="18"/>
        </w:rPr>
      </w:pPr>
      <w:r>
        <w:rPr>
          <w:color w:val="231F20"/>
          <w:sz w:val="18"/>
        </w:rPr>
        <w:t>Fishman SM, Webster LR. Unintended harm from opioid prescribing guidelines. Pain Med 2009;10: 285–6.</w:t>
      </w:r>
    </w:p>
    <w:p w:rsidR="00066AAD" w:rsidRDefault="00066AAD">
      <w:pPr>
        <w:pStyle w:val="BodyText"/>
        <w:spacing w:before="4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hanging="299"/>
        <w:jc w:val="both"/>
        <w:rPr>
          <w:sz w:val="18"/>
        </w:rPr>
      </w:pPr>
      <w:r>
        <w:rPr>
          <w:color w:val="231F20"/>
          <w:sz w:val="18"/>
        </w:rPr>
        <w:t>Franklin GM, Fulton-Kehoe D, Turner JA, Sullivan MD, Wickizer TM. Changes in opioid prescribing for chronic pain in Washington State. JAB</w:t>
      </w:r>
      <w:r>
        <w:rPr>
          <w:color w:val="231F20"/>
          <w:sz w:val="18"/>
        </w:rPr>
        <w:t>FM 2013;26: 394–400.</w:t>
      </w:r>
    </w:p>
    <w:p w:rsidR="00066AAD" w:rsidRDefault="00066AAD">
      <w:pPr>
        <w:pStyle w:val="BodyText"/>
        <w:spacing w:before="5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hanging="299"/>
        <w:jc w:val="both"/>
        <w:rPr>
          <w:sz w:val="18"/>
        </w:rPr>
      </w:pPr>
      <w:r>
        <w:rPr>
          <w:color w:val="231F20"/>
          <w:spacing w:val="-5"/>
          <w:sz w:val="18"/>
        </w:rPr>
        <w:t xml:space="preserve">Albert </w:t>
      </w:r>
      <w:r>
        <w:rPr>
          <w:color w:val="231F20"/>
          <w:spacing w:val="-3"/>
          <w:sz w:val="18"/>
        </w:rPr>
        <w:t xml:space="preserve">S, </w:t>
      </w:r>
      <w:r>
        <w:rPr>
          <w:color w:val="231F20"/>
          <w:spacing w:val="-5"/>
          <w:sz w:val="18"/>
        </w:rPr>
        <w:t xml:space="preserve">Brason </w:t>
      </w:r>
      <w:r>
        <w:rPr>
          <w:color w:val="231F20"/>
          <w:spacing w:val="-3"/>
          <w:sz w:val="18"/>
        </w:rPr>
        <w:t xml:space="preserve">FW </w:t>
      </w:r>
      <w:r>
        <w:rPr>
          <w:color w:val="231F20"/>
          <w:spacing w:val="-4"/>
          <w:sz w:val="18"/>
        </w:rPr>
        <w:t xml:space="preserve">2nd, </w:t>
      </w:r>
      <w:r>
        <w:rPr>
          <w:color w:val="231F20"/>
          <w:spacing w:val="-5"/>
          <w:sz w:val="18"/>
        </w:rPr>
        <w:t xml:space="preserve">Sanford </w:t>
      </w:r>
      <w:r>
        <w:rPr>
          <w:color w:val="231F20"/>
          <w:spacing w:val="-4"/>
          <w:sz w:val="18"/>
        </w:rPr>
        <w:t xml:space="preserve">CK, </w:t>
      </w:r>
      <w:r>
        <w:rPr>
          <w:color w:val="231F20"/>
          <w:spacing w:val="-3"/>
          <w:sz w:val="18"/>
        </w:rPr>
        <w:t xml:space="preserve">et </w:t>
      </w:r>
      <w:r>
        <w:rPr>
          <w:color w:val="231F20"/>
          <w:spacing w:val="-4"/>
          <w:sz w:val="18"/>
        </w:rPr>
        <w:t xml:space="preserve">al. </w:t>
      </w:r>
      <w:r>
        <w:rPr>
          <w:color w:val="231F20"/>
          <w:spacing w:val="-5"/>
          <w:sz w:val="18"/>
        </w:rPr>
        <w:t>Project lazarus:</w:t>
      </w:r>
      <w:r>
        <w:rPr>
          <w:color w:val="231F20"/>
          <w:spacing w:val="-17"/>
          <w:sz w:val="18"/>
        </w:rPr>
        <w:t xml:space="preserve"> </w:t>
      </w:r>
      <w:r>
        <w:rPr>
          <w:color w:val="231F20"/>
          <w:spacing w:val="-5"/>
          <w:sz w:val="18"/>
        </w:rPr>
        <w:t>Community-based</w:t>
      </w:r>
      <w:r>
        <w:rPr>
          <w:color w:val="231F20"/>
          <w:spacing w:val="-17"/>
          <w:sz w:val="18"/>
        </w:rPr>
        <w:t xml:space="preserve"> </w:t>
      </w:r>
      <w:r>
        <w:rPr>
          <w:color w:val="231F20"/>
          <w:spacing w:val="-5"/>
          <w:sz w:val="18"/>
        </w:rPr>
        <w:t>overdose</w:t>
      </w:r>
      <w:r>
        <w:rPr>
          <w:color w:val="231F20"/>
          <w:spacing w:val="-17"/>
          <w:sz w:val="18"/>
        </w:rPr>
        <w:t xml:space="preserve"> </w:t>
      </w:r>
      <w:r>
        <w:rPr>
          <w:color w:val="231F20"/>
          <w:spacing w:val="-5"/>
          <w:sz w:val="18"/>
        </w:rPr>
        <w:t>prevention</w:t>
      </w:r>
      <w:r>
        <w:rPr>
          <w:color w:val="231F20"/>
          <w:spacing w:val="-17"/>
          <w:sz w:val="18"/>
        </w:rPr>
        <w:t xml:space="preserve"> </w:t>
      </w:r>
      <w:r>
        <w:rPr>
          <w:color w:val="231F20"/>
          <w:spacing w:val="-3"/>
          <w:sz w:val="18"/>
        </w:rPr>
        <w:t>in</w:t>
      </w:r>
      <w:r>
        <w:rPr>
          <w:color w:val="231F20"/>
          <w:spacing w:val="-17"/>
          <w:sz w:val="18"/>
        </w:rPr>
        <w:t xml:space="preserve"> </w:t>
      </w:r>
      <w:r>
        <w:rPr>
          <w:color w:val="231F20"/>
          <w:spacing w:val="-5"/>
          <w:sz w:val="18"/>
        </w:rPr>
        <w:t xml:space="preserve">rural </w:t>
      </w:r>
      <w:r>
        <w:rPr>
          <w:color w:val="231F20"/>
          <w:spacing w:val="-4"/>
          <w:sz w:val="18"/>
        </w:rPr>
        <w:t>North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pacing w:val="-5"/>
          <w:sz w:val="18"/>
        </w:rPr>
        <w:t>Carolina.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pacing w:val="-4"/>
          <w:sz w:val="18"/>
        </w:rPr>
        <w:t>Pain</w:t>
      </w:r>
      <w:r>
        <w:rPr>
          <w:color w:val="231F20"/>
          <w:spacing w:val="-20"/>
          <w:sz w:val="18"/>
        </w:rPr>
        <w:t xml:space="preserve"> </w:t>
      </w:r>
      <w:r>
        <w:rPr>
          <w:color w:val="231F20"/>
          <w:spacing w:val="-4"/>
          <w:sz w:val="18"/>
        </w:rPr>
        <w:t>Med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pacing w:val="-5"/>
          <w:sz w:val="18"/>
        </w:rPr>
        <w:t>2011;12(suppl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pacing w:val="-5"/>
          <w:sz w:val="18"/>
        </w:rPr>
        <w:t>2):S77–85.</w:t>
      </w:r>
    </w:p>
    <w:p w:rsidR="00066AAD" w:rsidRDefault="00066AAD">
      <w:pPr>
        <w:pStyle w:val="BodyText"/>
        <w:spacing w:before="4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hanging="299"/>
        <w:jc w:val="both"/>
        <w:rPr>
          <w:sz w:val="18"/>
        </w:rPr>
      </w:pPr>
      <w:r>
        <w:rPr>
          <w:color w:val="231F20"/>
          <w:sz w:val="18"/>
        </w:rPr>
        <w:t xml:space="preserve">Project Lazarus, available at: </w:t>
      </w:r>
      <w:hyperlink r:id="rId36">
        <w:r>
          <w:rPr>
            <w:color w:val="231F20"/>
            <w:sz w:val="18"/>
          </w:rPr>
          <w:t>http://projectlazarus.</w:t>
        </w:r>
      </w:hyperlink>
      <w:r>
        <w:rPr>
          <w:color w:val="231F20"/>
          <w:sz w:val="18"/>
        </w:rPr>
        <w:t xml:space="preserve"> </w:t>
      </w:r>
      <w:hyperlink r:id="rId37">
        <w:r>
          <w:rPr>
            <w:color w:val="231F20"/>
            <w:sz w:val="18"/>
          </w:rPr>
          <w:t>org/about-project-lazarus</w:t>
        </w:r>
      </w:hyperlink>
      <w:r>
        <w:rPr>
          <w:color w:val="231F20"/>
          <w:sz w:val="18"/>
        </w:rPr>
        <w:t xml:space="preserve"> (last accessed May 15, 2015).</w:t>
      </w:r>
    </w:p>
    <w:p w:rsidR="00066AAD" w:rsidRDefault="00066AAD">
      <w:pPr>
        <w:pStyle w:val="BodyText"/>
        <w:spacing w:before="5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" w:hanging="299"/>
        <w:jc w:val="both"/>
        <w:rPr>
          <w:sz w:val="18"/>
        </w:rPr>
      </w:pPr>
      <w:r>
        <w:rPr>
          <w:color w:val="231F20"/>
          <w:sz w:val="18"/>
        </w:rPr>
        <w:t>Katzman JG, Comerci GD, Landen M, et al. Rul</w:t>
      </w:r>
      <w:r>
        <w:rPr>
          <w:color w:val="231F20"/>
          <w:sz w:val="18"/>
        </w:rPr>
        <w:t>es and</w:t>
      </w:r>
      <w:r>
        <w:rPr>
          <w:color w:val="231F20"/>
          <w:spacing w:val="-23"/>
          <w:sz w:val="18"/>
        </w:rPr>
        <w:t xml:space="preserve"> </w:t>
      </w:r>
      <w:r>
        <w:rPr>
          <w:color w:val="231F20"/>
          <w:sz w:val="18"/>
        </w:rPr>
        <w:t>values:</w:t>
      </w:r>
      <w:r>
        <w:rPr>
          <w:color w:val="231F20"/>
          <w:spacing w:val="-22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-23"/>
          <w:sz w:val="18"/>
        </w:rPr>
        <w:t xml:space="preserve"> </w:t>
      </w:r>
      <w:r>
        <w:rPr>
          <w:color w:val="231F20"/>
          <w:sz w:val="18"/>
        </w:rPr>
        <w:t>coordinated</w:t>
      </w:r>
      <w:r>
        <w:rPr>
          <w:color w:val="231F20"/>
          <w:spacing w:val="-22"/>
          <w:sz w:val="18"/>
        </w:rPr>
        <w:t xml:space="preserve"> </w:t>
      </w:r>
      <w:r>
        <w:rPr>
          <w:color w:val="231F20"/>
          <w:sz w:val="18"/>
        </w:rPr>
        <w:t>regulatory</w:t>
      </w:r>
      <w:r>
        <w:rPr>
          <w:color w:val="231F20"/>
          <w:spacing w:val="-23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23"/>
          <w:sz w:val="18"/>
        </w:rPr>
        <w:t xml:space="preserve"> </w:t>
      </w:r>
      <w:r>
        <w:rPr>
          <w:color w:val="231F20"/>
          <w:sz w:val="18"/>
        </w:rPr>
        <w:t xml:space="preserve">educational approach  to  the  public  health  crises  of   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chronic</w:t>
      </w:r>
    </w:p>
    <w:p w:rsidR="00066AAD" w:rsidRDefault="000E3B3E">
      <w:pPr>
        <w:pStyle w:val="BodyText"/>
        <w:spacing w:before="76" w:line="254" w:lineRule="auto"/>
        <w:ind w:left="418"/>
      </w:pPr>
      <w:r>
        <w:br w:type="column"/>
      </w:r>
      <w:r>
        <w:rPr>
          <w:color w:val="231F20"/>
        </w:rPr>
        <w:t>pain and addiction. Am J Pub Health 2014;104: 1356–62.</w:t>
      </w:r>
    </w:p>
    <w:p w:rsidR="00066AAD" w:rsidRDefault="00066AAD">
      <w:pPr>
        <w:pStyle w:val="BodyText"/>
        <w:spacing w:before="5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8" w:hanging="299"/>
        <w:jc w:val="both"/>
        <w:rPr>
          <w:sz w:val="18"/>
        </w:rPr>
      </w:pPr>
      <w:r>
        <w:rPr>
          <w:color w:val="231F20"/>
          <w:sz w:val="18"/>
        </w:rPr>
        <w:t>Bernier NF, Clavier C. Public health policy</w:t>
      </w:r>
      <w:r>
        <w:rPr>
          <w:color w:val="231F20"/>
          <w:spacing w:val="-32"/>
          <w:sz w:val="18"/>
        </w:rPr>
        <w:t xml:space="preserve"> </w:t>
      </w:r>
      <w:r>
        <w:rPr>
          <w:color w:val="231F20"/>
          <w:sz w:val="18"/>
        </w:rPr>
        <w:t>research: Making the case for a political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science</w:t>
      </w:r>
      <w:r>
        <w:rPr>
          <w:color w:val="231F20"/>
          <w:spacing w:val="35"/>
          <w:sz w:val="18"/>
        </w:rPr>
        <w:t xml:space="preserve"> </w:t>
      </w:r>
      <w:r>
        <w:rPr>
          <w:color w:val="231F20"/>
          <w:sz w:val="18"/>
        </w:rPr>
        <w:t>approach.</w:t>
      </w:r>
      <w:r>
        <w:rPr>
          <w:color w:val="231F20"/>
          <w:w w:val="98"/>
          <w:sz w:val="18"/>
        </w:rPr>
        <w:t xml:space="preserve"> </w:t>
      </w:r>
      <w:r>
        <w:rPr>
          <w:color w:val="231F20"/>
          <w:sz w:val="18"/>
        </w:rPr>
        <w:t>Health Prom Intl 2011;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26:109–114.</w:t>
      </w:r>
    </w:p>
    <w:p w:rsidR="00066AAD" w:rsidRDefault="00066AAD">
      <w:pPr>
        <w:pStyle w:val="BodyText"/>
        <w:spacing w:before="4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8" w:hanging="299"/>
        <w:jc w:val="both"/>
        <w:rPr>
          <w:sz w:val="18"/>
        </w:rPr>
      </w:pPr>
      <w:r>
        <w:rPr>
          <w:color w:val="231F20"/>
          <w:sz w:val="18"/>
        </w:rPr>
        <w:t>Wakeland W, Nielsen A, Schmidt TD, et al. Model- ing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impact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simulated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educational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interventions on the use and abuse of pharmaceutical opioids in the United States: A report on initial efforts. H</w:t>
      </w:r>
      <w:r>
        <w:rPr>
          <w:color w:val="231F20"/>
          <w:sz w:val="18"/>
        </w:rPr>
        <w:t>ealth Ed Behav 2013;</w:t>
      </w:r>
      <w:r>
        <w:rPr>
          <w:color w:val="231F20"/>
          <w:spacing w:val="-37"/>
          <w:sz w:val="18"/>
        </w:rPr>
        <w:t xml:space="preserve"> </w:t>
      </w:r>
      <w:r>
        <w:rPr>
          <w:color w:val="231F20"/>
          <w:sz w:val="18"/>
        </w:rPr>
        <w:t>40:74S–86S.</w:t>
      </w:r>
    </w:p>
    <w:p w:rsidR="00066AAD" w:rsidRDefault="00066AAD">
      <w:pPr>
        <w:pStyle w:val="BodyText"/>
        <w:spacing w:before="5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8" w:hanging="299"/>
        <w:jc w:val="both"/>
        <w:rPr>
          <w:sz w:val="18"/>
        </w:rPr>
      </w:pPr>
      <w:r>
        <w:rPr>
          <w:color w:val="231F20"/>
          <w:sz w:val="18"/>
        </w:rPr>
        <w:t>Ziegler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SJ.</w:t>
      </w:r>
      <w:r>
        <w:rPr>
          <w:color w:val="231F20"/>
          <w:spacing w:val="-16"/>
          <w:sz w:val="18"/>
        </w:rPr>
        <w:t xml:space="preserve"> </w:t>
      </w:r>
      <w:r>
        <w:rPr>
          <w:color w:val="231F20"/>
          <w:sz w:val="18"/>
        </w:rPr>
        <w:t>Governmental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intervention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prescribing: Preventing harm and Medico-legal iatrogenesis. PWJ</w:t>
      </w:r>
      <w:r>
        <w:rPr>
          <w:color w:val="231F20"/>
          <w:spacing w:val="-21"/>
          <w:sz w:val="18"/>
        </w:rPr>
        <w:t xml:space="preserve"> </w:t>
      </w:r>
      <w:r>
        <w:rPr>
          <w:color w:val="231F20"/>
          <w:sz w:val="18"/>
        </w:rPr>
        <w:t>2013;1:35–40.</w:t>
      </w:r>
    </w:p>
    <w:p w:rsidR="00066AAD" w:rsidRDefault="00066AAD">
      <w:pPr>
        <w:pStyle w:val="BodyText"/>
        <w:spacing w:before="4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7" w:hanging="299"/>
        <w:jc w:val="both"/>
        <w:rPr>
          <w:sz w:val="18"/>
        </w:rPr>
      </w:pPr>
      <w:r>
        <w:rPr>
          <w:color w:val="231F20"/>
          <w:sz w:val="18"/>
        </w:rPr>
        <w:t xml:space="preserve">WAC 246-919-862. Available at: </w:t>
      </w:r>
      <w:hyperlink r:id="rId38">
        <w:r>
          <w:rPr>
            <w:color w:val="231F20"/>
            <w:spacing w:val="-5"/>
            <w:sz w:val="18"/>
          </w:rPr>
          <w:t>http://apps.leg.wa.</w:t>
        </w:r>
      </w:hyperlink>
      <w:r>
        <w:rPr>
          <w:color w:val="231F20"/>
          <w:spacing w:val="-5"/>
          <w:sz w:val="18"/>
        </w:rPr>
        <w:t xml:space="preserve"> </w:t>
      </w:r>
      <w:hyperlink r:id="rId39">
        <w:r>
          <w:rPr>
            <w:color w:val="231F20"/>
            <w:spacing w:val="-6"/>
            <w:sz w:val="18"/>
          </w:rPr>
          <w:t>gov/wac/default.aspx?cite=246-919-862</w:t>
        </w:r>
      </w:hyperlink>
      <w:r>
        <w:rPr>
          <w:color w:val="231F20"/>
          <w:spacing w:val="-6"/>
          <w:sz w:val="18"/>
        </w:rPr>
        <w:t xml:space="preserve"> </w:t>
      </w:r>
      <w:r>
        <w:rPr>
          <w:color w:val="231F20"/>
          <w:spacing w:val="-5"/>
          <w:sz w:val="18"/>
        </w:rPr>
        <w:t xml:space="preserve">(last accessed </w:t>
      </w:r>
      <w:r>
        <w:rPr>
          <w:color w:val="231F20"/>
          <w:spacing w:val="-4"/>
          <w:sz w:val="18"/>
        </w:rPr>
        <w:t>May 15,</w:t>
      </w:r>
      <w:r>
        <w:rPr>
          <w:color w:val="231F20"/>
          <w:spacing w:val="-16"/>
          <w:sz w:val="18"/>
        </w:rPr>
        <w:t xml:space="preserve"> </w:t>
      </w:r>
      <w:r>
        <w:rPr>
          <w:color w:val="231F20"/>
          <w:spacing w:val="-6"/>
          <w:sz w:val="18"/>
        </w:rPr>
        <w:t>2015).</w:t>
      </w:r>
    </w:p>
    <w:p w:rsidR="00066AAD" w:rsidRDefault="00066AAD">
      <w:pPr>
        <w:pStyle w:val="BodyText"/>
        <w:spacing w:before="5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before="1" w:line="254" w:lineRule="auto"/>
        <w:ind w:right="117" w:hanging="299"/>
        <w:jc w:val="both"/>
        <w:rPr>
          <w:sz w:val="18"/>
        </w:rPr>
      </w:pPr>
      <w:r>
        <w:rPr>
          <w:color w:val="231F20"/>
          <w:sz w:val="18"/>
        </w:rPr>
        <w:t>Ziegler SJ. Patient abandonment in the name of opioid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safety.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Pain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Med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2013;14:323–324.</w:t>
      </w:r>
    </w:p>
    <w:p w:rsidR="00066AAD" w:rsidRDefault="00066AAD">
      <w:pPr>
        <w:pStyle w:val="BodyText"/>
        <w:spacing w:before="5"/>
        <w:rPr>
          <w:sz w:val="17"/>
        </w:rPr>
      </w:pPr>
    </w:p>
    <w:p w:rsidR="00066AAD" w:rsidRDefault="000E3B3E">
      <w:pPr>
        <w:pStyle w:val="ListParagraph"/>
        <w:numPr>
          <w:ilvl w:val="1"/>
          <w:numId w:val="1"/>
        </w:numPr>
        <w:tabs>
          <w:tab w:val="left" w:pos="419"/>
        </w:tabs>
        <w:spacing w:line="254" w:lineRule="auto"/>
        <w:ind w:right="117" w:hanging="299"/>
        <w:jc w:val="both"/>
        <w:rPr>
          <w:sz w:val="18"/>
        </w:rPr>
      </w:pPr>
      <w:r>
        <w:rPr>
          <w:color w:val="231F20"/>
          <w:sz w:val="18"/>
        </w:rPr>
        <w:t xml:space="preserve">Ziegler SJ. Pain and the politics of hydrocodone. </w:t>
      </w:r>
      <w:r>
        <w:rPr>
          <w:color w:val="231F20"/>
          <w:w w:val="95"/>
          <w:sz w:val="18"/>
        </w:rPr>
        <w:t xml:space="preserve">Painview </w:t>
      </w:r>
      <w:r>
        <w:rPr>
          <w:color w:val="231F20"/>
          <w:spacing w:val="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2014;10:13–16.</w:t>
      </w:r>
      <w:bookmarkEnd w:id="0"/>
    </w:p>
    <w:sectPr w:rsidR="00066AAD">
      <w:type w:val="continuous"/>
      <w:pgSz w:w="12240" w:h="16020"/>
      <w:pgMar w:top="40" w:right="1540" w:bottom="1060" w:left="1260" w:header="720" w:footer="720" w:gutter="0"/>
      <w:cols w:num="2" w:space="720" w:equalWidth="0">
        <w:col w:w="4542" w:space="239"/>
        <w:col w:w="465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E3B3E">
      <w:r>
        <w:separator/>
      </w:r>
    </w:p>
  </w:endnote>
  <w:endnote w:type="continuationSeparator" w:id="0">
    <w:p w:rsidR="00000000" w:rsidRDefault="000E3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AAD" w:rsidRDefault="000E3B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7pt;margin-top:746pt;width:23.9pt;height:11.05pt;z-index:-11800;mso-position-horizontal-relative:page;mso-position-vertical-relative:page" filled="f" stroked="f">
          <v:textbox inset="0,0,0,0">
            <w:txbxContent>
              <w:p w:rsidR="00066AAD" w:rsidRDefault="000E3B3E">
                <w:pPr>
                  <w:pStyle w:val="BodyText"/>
                  <w:spacing w:before="6"/>
                  <w:ind w:left="40"/>
                  <w:rPr>
                    <w:rFonts w:ascii="Tw Cen MT"/>
                  </w:rPr>
                </w:pPr>
                <w:r>
                  <w:fldChar w:fldCharType="begin"/>
                </w:r>
                <w:r>
                  <w:rPr>
                    <w:rFonts w:ascii="Tw Cen MT"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w Cen MT"/>
                    <w:noProof/>
                    <w:color w:val="231F20"/>
                  </w:rPr>
                  <w:t>1856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AAD" w:rsidRDefault="000E3B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21.15pt;margin-top:746pt;width:23.9pt;height:11.1pt;z-index:-11824;mso-position-horizontal-relative:page;mso-position-vertical-relative:page" filled="f" stroked="f">
          <v:textbox inset="0,0,0,0">
            <w:txbxContent>
              <w:p w:rsidR="00066AAD" w:rsidRDefault="000E3B3E">
                <w:pPr>
                  <w:pStyle w:val="BodyText"/>
                  <w:spacing w:before="6"/>
                  <w:ind w:left="40"/>
                  <w:rPr>
                    <w:rFonts w:ascii="Tw Cen MT"/>
                  </w:rPr>
                </w:pPr>
                <w:r>
                  <w:fldChar w:fldCharType="begin"/>
                </w:r>
                <w:r>
                  <w:rPr>
                    <w:rFonts w:ascii="Tw Cen MT"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w Cen MT"/>
                    <w:noProof/>
                    <w:color w:val="231F20"/>
                  </w:rPr>
                  <w:t>1855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E3B3E">
      <w:r>
        <w:separator/>
      </w:r>
    </w:p>
  </w:footnote>
  <w:footnote w:type="continuationSeparator" w:id="0">
    <w:p w:rsidR="00000000" w:rsidRDefault="000E3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AAD" w:rsidRDefault="000E3B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8pt;margin-top:61.8pt;width:31.8pt;height:11.1pt;z-index:-11776;mso-position-horizontal-relative:page;mso-position-vertical-relative:page" filled="f" stroked="f">
          <v:textbox inset="0,0,0,0">
            <w:txbxContent>
              <w:p w:rsidR="00066AAD" w:rsidRDefault="000E3B3E">
                <w:pPr>
                  <w:pStyle w:val="BodyText"/>
                  <w:spacing w:line="203" w:lineRule="exact"/>
                  <w:ind w:left="20"/>
                </w:pPr>
                <w:r>
                  <w:rPr>
                    <w:color w:val="231F20"/>
                    <w:w w:val="110"/>
                  </w:rPr>
                  <w:t>Ziegler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AAD" w:rsidRDefault="000E3B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72pt;margin-top:61.75pt;width:172.05pt;height:11.1pt;z-index:-11752;mso-position-horizontal-relative:page;mso-position-vertical-relative:page" filled="f" stroked="f">
          <v:textbox inset="0,0,0,0">
            <w:txbxContent>
              <w:p w:rsidR="00066AAD" w:rsidRDefault="000E3B3E">
                <w:pPr>
                  <w:pStyle w:val="BodyText"/>
                  <w:spacing w:line="203" w:lineRule="exact"/>
                  <w:ind w:left="20"/>
                </w:pPr>
                <w:r>
                  <w:rPr>
                    <w:color w:val="231F20"/>
                    <w:w w:val="110"/>
                  </w:rPr>
                  <w:t>The</w:t>
                </w:r>
                <w:r>
                  <w:rPr>
                    <w:color w:val="231F20"/>
                    <w:spacing w:val="-12"/>
                    <w:w w:val="110"/>
                  </w:rPr>
                  <w:t xml:space="preserve"> </w:t>
                </w:r>
                <w:r>
                  <w:rPr>
                    <w:color w:val="231F20"/>
                    <w:w w:val="110"/>
                  </w:rPr>
                  <w:t>Proliferation</w:t>
                </w:r>
                <w:r>
                  <w:rPr>
                    <w:color w:val="231F20"/>
                    <w:spacing w:val="-12"/>
                    <w:w w:val="110"/>
                  </w:rPr>
                  <w:t xml:space="preserve"> </w:t>
                </w:r>
                <w:r>
                  <w:rPr>
                    <w:color w:val="231F20"/>
                    <w:w w:val="110"/>
                  </w:rPr>
                  <w:t>of</w:t>
                </w:r>
                <w:r>
                  <w:rPr>
                    <w:color w:val="231F20"/>
                    <w:spacing w:val="-13"/>
                    <w:w w:val="110"/>
                  </w:rPr>
                  <w:t xml:space="preserve"> </w:t>
                </w:r>
                <w:r>
                  <w:rPr>
                    <w:color w:val="231F20"/>
                    <w:w w:val="110"/>
                  </w:rPr>
                  <w:t>Dosage</w:t>
                </w:r>
                <w:r>
                  <w:rPr>
                    <w:color w:val="231F20"/>
                    <w:spacing w:val="-12"/>
                    <w:w w:val="110"/>
                  </w:rPr>
                  <w:t xml:space="preserve"> </w:t>
                </w:r>
                <w:r>
                  <w:rPr>
                    <w:color w:val="231F20"/>
                    <w:w w:val="110"/>
                  </w:rPr>
                  <w:t>Thresholds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C1555"/>
    <w:multiLevelType w:val="hybridMultilevel"/>
    <w:tmpl w:val="3DD45E62"/>
    <w:lvl w:ilvl="0" w:tplc="5664D6CE">
      <w:start w:val="1"/>
      <w:numFmt w:val="decimal"/>
      <w:lvlText w:val="%1."/>
      <w:lvlJc w:val="left"/>
      <w:pPr>
        <w:ind w:left="386" w:hanging="267"/>
        <w:jc w:val="left"/>
      </w:pPr>
      <w:rPr>
        <w:rFonts w:ascii="Arial" w:eastAsia="Arial" w:hAnsi="Arial" w:cs="Arial" w:hint="default"/>
        <w:color w:val="231F20"/>
        <w:w w:val="99"/>
        <w:sz w:val="18"/>
        <w:szCs w:val="18"/>
      </w:rPr>
    </w:lvl>
    <w:lvl w:ilvl="1" w:tplc="5C9C3856">
      <w:start w:val="1"/>
      <w:numFmt w:val="decimal"/>
      <w:lvlText w:val="%2"/>
      <w:lvlJc w:val="left"/>
      <w:pPr>
        <w:ind w:left="418" w:hanging="200"/>
        <w:jc w:val="right"/>
      </w:pPr>
      <w:rPr>
        <w:rFonts w:ascii="Arial" w:eastAsia="Arial" w:hAnsi="Arial" w:cs="Arial" w:hint="default"/>
        <w:color w:val="231F20"/>
        <w:w w:val="99"/>
        <w:sz w:val="18"/>
        <w:szCs w:val="18"/>
      </w:rPr>
    </w:lvl>
    <w:lvl w:ilvl="2" w:tplc="A4A4C040">
      <w:numFmt w:val="bullet"/>
      <w:lvlText w:val="•"/>
      <w:lvlJc w:val="left"/>
      <w:pPr>
        <w:ind w:left="891" w:hanging="200"/>
      </w:pPr>
      <w:rPr>
        <w:rFonts w:hint="default"/>
      </w:rPr>
    </w:lvl>
    <w:lvl w:ilvl="3" w:tplc="F79CB888">
      <w:numFmt w:val="bullet"/>
      <w:lvlText w:val="•"/>
      <w:lvlJc w:val="left"/>
      <w:pPr>
        <w:ind w:left="1362" w:hanging="200"/>
      </w:pPr>
      <w:rPr>
        <w:rFonts w:hint="default"/>
      </w:rPr>
    </w:lvl>
    <w:lvl w:ilvl="4" w:tplc="EF262C16">
      <w:numFmt w:val="bullet"/>
      <w:lvlText w:val="•"/>
      <w:lvlJc w:val="left"/>
      <w:pPr>
        <w:ind w:left="1833" w:hanging="200"/>
      </w:pPr>
      <w:rPr>
        <w:rFonts w:hint="default"/>
      </w:rPr>
    </w:lvl>
    <w:lvl w:ilvl="5" w:tplc="CB366D4A">
      <w:numFmt w:val="bullet"/>
      <w:lvlText w:val="•"/>
      <w:lvlJc w:val="left"/>
      <w:pPr>
        <w:ind w:left="2304" w:hanging="200"/>
      </w:pPr>
      <w:rPr>
        <w:rFonts w:hint="default"/>
      </w:rPr>
    </w:lvl>
    <w:lvl w:ilvl="6" w:tplc="3D7E5360">
      <w:numFmt w:val="bullet"/>
      <w:lvlText w:val="•"/>
      <w:lvlJc w:val="left"/>
      <w:pPr>
        <w:ind w:left="2775" w:hanging="200"/>
      </w:pPr>
      <w:rPr>
        <w:rFonts w:hint="default"/>
      </w:rPr>
    </w:lvl>
    <w:lvl w:ilvl="7" w:tplc="124C6ED2">
      <w:numFmt w:val="bullet"/>
      <w:lvlText w:val="•"/>
      <w:lvlJc w:val="left"/>
      <w:pPr>
        <w:ind w:left="3246" w:hanging="200"/>
      </w:pPr>
      <w:rPr>
        <w:rFonts w:hint="default"/>
      </w:rPr>
    </w:lvl>
    <w:lvl w:ilvl="8" w:tplc="D33AD838">
      <w:numFmt w:val="bullet"/>
      <w:lvlText w:val="•"/>
      <w:lvlJc w:val="left"/>
      <w:pPr>
        <w:ind w:left="3717" w:hanging="2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066AAD"/>
    <w:rsid w:val="00066AAD"/>
    <w:rsid w:val="000E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5:docId w15:val="{F1DA02AE-8404-4334-8208-873FADC3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418" w:hanging="29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04" w:lineRule="exact"/>
      <w:ind w:left="212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med.ohio.gov/PrescriberResources.aspx" TargetMode="External"/><Relationship Id="rId18" Type="http://schemas.openxmlformats.org/officeDocument/2006/relationships/hyperlink" Target="http://www.dhs.state.mn.us/main/idcplg?IdcService=GET_DYNAMIC_CONVERSION&amp;amp;amp%3BRevisionSelectionMethod=LatestReleased&amp;amp;amp%3BdDocName=dhs16_190131" TargetMode="External"/><Relationship Id="rId26" Type="http://schemas.openxmlformats.org/officeDocument/2006/relationships/hyperlink" Target="http://www.hidesigns.com/assets/" TargetMode="External"/><Relationship Id="rId39" Type="http://schemas.openxmlformats.org/officeDocument/2006/relationships/hyperlink" Target="http://apps.leg.wa.gov/wac/default.aspx?cite=246-919-8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gencymeddirectors.wa.gov/opioiddosing.asp" TargetMode="External"/><Relationship Id="rId34" Type="http://schemas.openxmlformats.org/officeDocument/2006/relationships/hyperlink" Target="http://agencymeddirectors.wa.gov/mobile.htm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mass.gov/lwd/workers-compensation/hcsb/tg/treatment-guidelines-as-of-10-27-2014.pdf" TargetMode="External"/><Relationship Id="rId17" Type="http://schemas.openxmlformats.org/officeDocument/2006/relationships/hyperlink" Target="http://www.dhs.state.mn.us/main/idcplg?IdcService=GET_DYNAMIC_CONVERSION&amp;amp;amp%3BRevisionSelectionMethod=LatestReleased&amp;amp;amp%3BdDocName=dhs16_190131" TargetMode="External"/><Relationship Id="rId25" Type="http://schemas.openxmlformats.org/officeDocument/2006/relationships/hyperlink" Target="http://www.cdc.gov/VitalSigns/methadoneoverdoses/index" TargetMode="External"/><Relationship Id="rId33" Type="http://schemas.openxmlformats.org/officeDocument/2006/relationships/hyperlink" Target="http://www.practicalpainmanagement.com/treatments/pharmacological/opioids/evaluation-comparison-online-equianalgesic-opioid-dose-conversion" TargetMode="External"/><Relationship Id="rId38" Type="http://schemas.openxmlformats.org/officeDocument/2006/relationships/hyperlink" Target="http://apps.leg.wa.gov/wac/default.aspx?cite=246-919-86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hs.state.mn.us/main/idcplg?IdcService=GET_DYNAMIC_CONVERSION&amp;amp;amp%3BRevisionSelectionMethod=LatestReleased&amp;amp;amp%3BdDocName=dhs16_190131" TargetMode="External"/><Relationship Id="rId20" Type="http://schemas.openxmlformats.org/officeDocument/2006/relationships/hyperlink" Target="http://www.agencymeddirectors.wa.gov/opioiddosing.asp" TargetMode="External"/><Relationship Id="rId29" Type="http://schemas.openxmlformats.org/officeDocument/2006/relationships/hyperlink" Target="http://www.pharmacist.com/opioidcalc-tool-address-opioid-analgesic-overdose-epidemic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yperlink" Target="http://www.cdc.gov/VitalSigns/methadoneoverdoses/index" TargetMode="External"/><Relationship Id="rId32" Type="http://schemas.openxmlformats.org/officeDocument/2006/relationships/hyperlink" Target="http://www.practicalpainmanagement.com/treatments/pharmacological/opioids/evaluation-comparison-online-equianalgesic-opioid-dose-conversion" TargetMode="External"/><Relationship Id="rId37" Type="http://schemas.openxmlformats.org/officeDocument/2006/relationships/hyperlink" Target="http://projectlazarus.org/about-project-lazarus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dhs.state.mn.us/main/idcplg?IdcService=GET_DYNAMIC_CONVERSION&amp;amp;amp%3BRevisionSelectionMethod=LatestReleased&amp;amp;amp%3BdDocName=dhs16_190131" TargetMode="External"/><Relationship Id="rId23" Type="http://schemas.openxmlformats.org/officeDocument/2006/relationships/hyperlink" Target="http://iprcc.nih.gov/National_Pain_Strategy/NPS_Main.htm" TargetMode="External"/><Relationship Id="rId28" Type="http://schemas.openxmlformats.org/officeDocument/2006/relationships/hyperlink" Target="http://www.pharmacist.com/opioidcalc-tool-address-opioid-analgesic-overdose-epidemic" TargetMode="External"/><Relationship Id="rId36" Type="http://schemas.openxmlformats.org/officeDocument/2006/relationships/hyperlink" Target="http://projectlazarus.org/about-project-lazarus" TargetMode="External"/><Relationship Id="rId10" Type="http://schemas.openxmlformats.org/officeDocument/2006/relationships/header" Target="header1.xml"/><Relationship Id="rId19" Type="http://schemas.openxmlformats.org/officeDocument/2006/relationships/hyperlink" Target="mailto:Zieglers@ipfw.edu" TargetMode="External"/><Relationship Id="rId31" Type="http://schemas.openxmlformats.org/officeDocument/2006/relationships/hyperlink" Target="http://www.practicalpainmanagement.com/treatments/pharmacological/opioids/evaluation-comparison-online-equianalgesic-opioid-dose-conversion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www.ismanet.org/pdf/legal/FinalRule93014.pdf" TargetMode="External"/><Relationship Id="rId22" Type="http://schemas.openxmlformats.org/officeDocument/2006/relationships/hyperlink" Target="http://iprcc.nih.gov/National_Pain_Strategy/NPS_Main.htm" TargetMode="External"/><Relationship Id="rId27" Type="http://schemas.openxmlformats.org/officeDocument/2006/relationships/hyperlink" Target="http://cdn.colorado.gov/" TargetMode="External"/><Relationship Id="rId30" Type="http://schemas.openxmlformats.org/officeDocument/2006/relationships/hyperlink" Target="http://www.practicalpainmanagement.com/treatments/pharmacological/opioids/evaluation-comparison-online-equianalgesic-opioid-dose-conversion" TargetMode="External"/><Relationship Id="rId35" Type="http://schemas.openxmlformats.org/officeDocument/2006/relationships/hyperlink" Target="http://agencymeddirectors.wa.gov/mob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4075</Words>
  <Characters>23680</Characters>
  <Application>Microsoft Office Word</Application>
  <DocSecurity>0</DocSecurity>
  <Lines>845</Lines>
  <Paragraphs>186</Paragraphs>
  <ScaleCrop>false</ScaleCrop>
  <Company>CMS</Company>
  <LinksUpToDate>false</LinksUpToDate>
  <CharactersWithSpaces>27569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2018-07-23T16:02:00Z</dcterms:created>
  <dcterms:modified xsi:type="dcterms:W3CDTF">2018-07-23T20:38:00Z</dcterms:modified>
</cp:coreProperties>
</file>