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40"/>
        <w:rPr>
          <w:rFonts w:ascii="Times New Roman"/>
          <w:b w:val="0"/>
          <w:sz w:val="20"/>
        </w:rPr>
      </w:pPr>
      <w:r>
        <w:rPr>
          <w:rFonts w:ascii="Times New Roman"/>
          <w:b w:val="0"/>
          <w:sz w:val="20"/>
        </w:rPr>
        <w:drawing>
          <wp:inline distT="0" distB="0" distL="0" distR="0">
            <wp:extent cx="7763858" cy="138531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63858" cy="1385315"/>
                    </a:xfrm>
                    <a:prstGeom prst="rect">
                      <a:avLst/>
                    </a:prstGeom>
                  </pic:spPr>
                </pic:pic>
              </a:graphicData>
            </a:graphic>
          </wp:inline>
        </w:drawing>
      </w:r>
      <w:r>
        <w:rPr>
          <w:rFonts w:ascii="Times New Roman"/>
          <w:b w:val="0"/>
          <w:sz w:val="20"/>
        </w:rPr>
      </w:r>
    </w:p>
    <w:p>
      <w:pPr>
        <w:pStyle w:val="BodyText"/>
        <w:rPr>
          <w:rFonts w:ascii="Times New Roman"/>
          <w:b w:val="0"/>
          <w:sz w:val="12"/>
        </w:rPr>
      </w:pPr>
    </w:p>
    <w:p>
      <w:pPr>
        <w:pStyle w:val="BodyText"/>
        <w:spacing w:before="52"/>
        <w:ind w:left="1818" w:right="2314"/>
        <w:jc w:val="center"/>
      </w:pPr>
      <w:r>
        <w:rPr/>
        <w:t>ATTACHMENT 1</w:t>
      </w:r>
    </w:p>
    <w:p>
      <w:pPr>
        <w:spacing w:line="240" w:lineRule="auto" w:before="0"/>
        <w:rPr>
          <w:b/>
          <w:sz w:val="20"/>
        </w:rPr>
      </w:pPr>
    </w:p>
    <w:p>
      <w:pPr>
        <w:spacing w:line="240" w:lineRule="auto" w:before="0"/>
        <w:rPr>
          <w:b/>
          <w:sz w:val="20"/>
        </w:rPr>
      </w:pPr>
    </w:p>
    <w:p>
      <w:pPr>
        <w:spacing w:line="240" w:lineRule="auto" w:before="1" w:after="0"/>
        <w:rPr>
          <w:b/>
          <w:sz w:val="14"/>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7021"/>
      </w:tblGrid>
      <w:tr>
        <w:trPr>
          <w:trHeight w:val="1085" w:hRule="exact"/>
        </w:trPr>
        <w:tc>
          <w:tcPr>
            <w:tcW w:w="14397" w:type="dxa"/>
            <w:gridSpan w:val="2"/>
          </w:tcPr>
          <w:p>
            <w:pPr>
              <w:pStyle w:val="TableParagraph"/>
              <w:tabs>
                <w:tab w:pos="5838" w:val="left" w:leader="none"/>
              </w:tabs>
              <w:spacing w:line="268" w:lineRule="exact"/>
              <w:ind w:left="0" w:firstLine="0"/>
              <w:jc w:val="center"/>
              <w:rPr>
                <w:b/>
                <w:i/>
                <w:sz w:val="22"/>
              </w:rPr>
            </w:pPr>
            <w:r>
              <w:rPr>
                <w:b/>
                <w:i/>
                <w:sz w:val="22"/>
              </w:rPr>
              <w:t>SNP Alliance SNP Specific Network</w:t>
            </w:r>
            <w:r>
              <w:rPr>
                <w:b/>
                <w:i/>
                <w:spacing w:val="-13"/>
                <w:sz w:val="22"/>
              </w:rPr>
              <w:t> </w:t>
            </w:r>
            <w:r>
              <w:rPr>
                <w:b/>
                <w:i/>
                <w:sz w:val="22"/>
              </w:rPr>
              <w:t>Workgroup</w:t>
            </w:r>
            <w:r>
              <w:rPr>
                <w:b/>
                <w:i/>
                <w:spacing w:val="-2"/>
                <w:sz w:val="22"/>
              </w:rPr>
              <w:t> </w:t>
            </w:r>
            <w:r>
              <w:rPr>
                <w:b/>
                <w:i/>
                <w:sz w:val="22"/>
              </w:rPr>
              <w:t>Summary</w:t>
              <w:tab/>
              <w:t>Revised</w:t>
            </w:r>
            <w:r>
              <w:rPr>
                <w:b/>
                <w:i/>
                <w:spacing w:val="-4"/>
                <w:sz w:val="22"/>
              </w:rPr>
              <w:t> </w:t>
            </w:r>
            <w:r>
              <w:rPr>
                <w:b/>
                <w:i/>
                <w:sz w:val="22"/>
              </w:rPr>
              <w:t>1-10-2018</w:t>
            </w:r>
          </w:p>
          <w:p>
            <w:pPr>
              <w:pStyle w:val="TableParagraph"/>
              <w:spacing w:before="1"/>
              <w:ind w:left="0" w:firstLine="0"/>
              <w:rPr>
                <w:b/>
                <w:sz w:val="22"/>
              </w:rPr>
            </w:pPr>
          </w:p>
          <w:p>
            <w:pPr>
              <w:pStyle w:val="TableParagraph"/>
              <w:ind w:left="0" w:right="1" w:firstLine="0"/>
              <w:jc w:val="center"/>
              <w:rPr>
                <w:b/>
                <w:i/>
                <w:sz w:val="22"/>
              </w:rPr>
            </w:pPr>
            <w:r>
              <w:rPr>
                <w:b/>
                <w:i/>
                <w:sz w:val="22"/>
              </w:rPr>
              <w:t>Issues and Ideas Summary Based on SNP Specific Network Workgroup Brainstorming Sessions and Discussion with CMS</w:t>
            </w:r>
          </w:p>
        </w:tc>
      </w:tr>
      <w:tr>
        <w:trPr>
          <w:trHeight w:val="288" w:hRule="exact"/>
        </w:trPr>
        <w:tc>
          <w:tcPr>
            <w:tcW w:w="14397" w:type="dxa"/>
            <w:gridSpan w:val="2"/>
          </w:tcPr>
          <w:p>
            <w:pPr>
              <w:pStyle w:val="TableParagraph"/>
              <w:spacing w:line="268" w:lineRule="exact"/>
              <w:ind w:left="4169" w:firstLine="0"/>
              <w:rPr>
                <w:b/>
                <w:i/>
                <w:sz w:val="22"/>
              </w:rPr>
            </w:pPr>
            <w:r>
              <w:rPr>
                <w:b/>
                <w:i/>
                <w:sz w:val="22"/>
              </w:rPr>
              <w:t>Principles for Consideration of SNP Specific Network Requirements</w:t>
            </w:r>
          </w:p>
        </w:tc>
      </w:tr>
      <w:tr>
        <w:trPr>
          <w:trHeight w:val="2520" w:hRule="exact"/>
        </w:trPr>
        <w:tc>
          <w:tcPr>
            <w:tcW w:w="14397" w:type="dxa"/>
            <w:gridSpan w:val="2"/>
          </w:tcPr>
          <w:p>
            <w:pPr>
              <w:pStyle w:val="TableParagraph"/>
              <w:numPr>
                <w:ilvl w:val="0"/>
                <w:numId w:val="1"/>
              </w:numPr>
              <w:tabs>
                <w:tab w:pos="463" w:val="left" w:leader="none"/>
                <w:tab w:pos="464" w:val="left" w:leader="none"/>
              </w:tabs>
              <w:spacing w:line="277" w:lineRule="exact" w:before="0" w:after="0"/>
              <w:ind w:left="463" w:right="0" w:hanging="360"/>
              <w:jc w:val="left"/>
              <w:rPr>
                <w:i/>
                <w:sz w:val="22"/>
              </w:rPr>
            </w:pPr>
            <w:r>
              <w:rPr>
                <w:i/>
                <w:sz w:val="22"/>
              </w:rPr>
              <w:t>Improve match of network requirements to population and subpopulation</w:t>
            </w:r>
            <w:r>
              <w:rPr>
                <w:i/>
                <w:spacing w:val="-24"/>
                <w:sz w:val="22"/>
              </w:rPr>
              <w:t> </w:t>
            </w:r>
            <w:r>
              <w:rPr>
                <w:i/>
                <w:sz w:val="22"/>
              </w:rPr>
              <w:t>needs</w:t>
            </w:r>
          </w:p>
          <w:p>
            <w:pPr>
              <w:pStyle w:val="TableParagraph"/>
              <w:numPr>
                <w:ilvl w:val="0"/>
                <w:numId w:val="1"/>
              </w:numPr>
              <w:tabs>
                <w:tab w:pos="463" w:val="left" w:leader="none"/>
                <w:tab w:pos="464" w:val="left" w:leader="none"/>
              </w:tabs>
              <w:spacing w:line="240" w:lineRule="auto" w:before="0" w:after="0"/>
              <w:ind w:left="463" w:right="0" w:hanging="360"/>
              <w:jc w:val="left"/>
              <w:rPr>
                <w:i/>
                <w:sz w:val="22"/>
              </w:rPr>
            </w:pPr>
            <w:r>
              <w:rPr>
                <w:i/>
                <w:sz w:val="22"/>
              </w:rPr>
              <w:t>Consider efficiency of operational implementation and minimize additional administrative burden for both CMS and</w:t>
            </w:r>
            <w:r>
              <w:rPr>
                <w:i/>
                <w:spacing w:val="-35"/>
                <w:sz w:val="22"/>
              </w:rPr>
              <w:t> </w:t>
            </w:r>
            <w:r>
              <w:rPr>
                <w:i/>
                <w:sz w:val="22"/>
              </w:rPr>
              <w:t>plans</w:t>
            </w:r>
          </w:p>
          <w:p>
            <w:pPr>
              <w:pStyle w:val="TableParagraph"/>
              <w:numPr>
                <w:ilvl w:val="0"/>
                <w:numId w:val="1"/>
              </w:numPr>
              <w:tabs>
                <w:tab w:pos="463" w:val="left" w:leader="none"/>
                <w:tab w:pos="464" w:val="left" w:leader="none"/>
              </w:tabs>
              <w:spacing w:line="240" w:lineRule="auto" w:before="0" w:after="0"/>
              <w:ind w:left="463" w:right="592" w:hanging="360"/>
              <w:jc w:val="left"/>
              <w:rPr>
                <w:i/>
                <w:sz w:val="22"/>
              </w:rPr>
            </w:pPr>
            <w:r>
              <w:rPr>
                <w:i/>
                <w:sz w:val="22"/>
              </w:rPr>
              <w:t>Yet recognize that there may need to be more complexity during interim steps to get to something workable, so refinement of criteria and operational </w:t>
            </w:r>
            <w:r>
              <w:rPr>
                <w:i/>
                <w:sz w:val="22"/>
              </w:rPr>
              <w:t>implementation may occur over</w:t>
            </w:r>
            <w:r>
              <w:rPr>
                <w:i/>
                <w:spacing w:val="-10"/>
                <w:sz w:val="22"/>
              </w:rPr>
              <w:t> </w:t>
            </w:r>
            <w:r>
              <w:rPr>
                <w:i/>
                <w:sz w:val="22"/>
              </w:rPr>
              <w:t>time</w:t>
            </w:r>
          </w:p>
          <w:p>
            <w:pPr>
              <w:pStyle w:val="TableParagraph"/>
              <w:numPr>
                <w:ilvl w:val="0"/>
                <w:numId w:val="1"/>
              </w:numPr>
              <w:tabs>
                <w:tab w:pos="463" w:val="left" w:leader="none"/>
                <w:tab w:pos="464" w:val="left" w:leader="none"/>
              </w:tabs>
              <w:spacing w:line="279" w:lineRule="exact" w:before="0" w:after="0"/>
              <w:ind w:left="463" w:right="0" w:hanging="360"/>
              <w:jc w:val="left"/>
              <w:rPr>
                <w:i/>
                <w:sz w:val="22"/>
              </w:rPr>
            </w:pPr>
            <w:r>
              <w:rPr>
                <w:i/>
                <w:sz w:val="22"/>
              </w:rPr>
              <w:t>Avoid penalizing or sanctioning plans for new processes during ramp up or phase in</w:t>
            </w:r>
            <w:r>
              <w:rPr>
                <w:i/>
                <w:spacing w:val="-32"/>
                <w:sz w:val="22"/>
              </w:rPr>
              <w:t> </w:t>
            </w:r>
            <w:r>
              <w:rPr>
                <w:i/>
                <w:sz w:val="22"/>
              </w:rPr>
              <w:t>periods</w:t>
            </w:r>
          </w:p>
          <w:p>
            <w:pPr>
              <w:pStyle w:val="TableParagraph"/>
              <w:numPr>
                <w:ilvl w:val="0"/>
                <w:numId w:val="1"/>
              </w:numPr>
              <w:tabs>
                <w:tab w:pos="463" w:val="left" w:leader="none"/>
                <w:tab w:pos="464" w:val="left" w:leader="none"/>
              </w:tabs>
              <w:spacing w:line="279" w:lineRule="exact" w:before="0" w:after="0"/>
              <w:ind w:left="463" w:right="0" w:hanging="360"/>
              <w:jc w:val="left"/>
              <w:rPr>
                <w:i/>
                <w:sz w:val="22"/>
              </w:rPr>
            </w:pPr>
            <w:r>
              <w:rPr>
                <w:i/>
                <w:sz w:val="22"/>
              </w:rPr>
              <w:t>While</w:t>
            </w:r>
            <w:r>
              <w:rPr>
                <w:i/>
                <w:spacing w:val="-2"/>
                <w:sz w:val="22"/>
              </w:rPr>
              <w:t> </w:t>
            </w:r>
            <w:r>
              <w:rPr>
                <w:i/>
                <w:sz w:val="22"/>
              </w:rPr>
              <w:t>reducing</w:t>
            </w:r>
            <w:r>
              <w:rPr>
                <w:i/>
                <w:spacing w:val="-3"/>
                <w:sz w:val="22"/>
              </w:rPr>
              <w:t> </w:t>
            </w:r>
            <w:r>
              <w:rPr>
                <w:i/>
                <w:sz w:val="22"/>
              </w:rPr>
              <w:t>exceptions</w:t>
            </w:r>
            <w:r>
              <w:rPr>
                <w:i/>
                <w:spacing w:val="-4"/>
                <w:sz w:val="22"/>
              </w:rPr>
              <w:t> </w:t>
            </w:r>
            <w:r>
              <w:rPr>
                <w:i/>
                <w:sz w:val="22"/>
              </w:rPr>
              <w:t>may</w:t>
            </w:r>
            <w:r>
              <w:rPr>
                <w:i/>
                <w:spacing w:val="-2"/>
                <w:sz w:val="22"/>
              </w:rPr>
              <w:t> </w:t>
            </w:r>
            <w:r>
              <w:rPr>
                <w:i/>
                <w:sz w:val="22"/>
              </w:rPr>
              <w:t>be</w:t>
            </w:r>
            <w:r>
              <w:rPr>
                <w:i/>
                <w:spacing w:val="-2"/>
                <w:sz w:val="22"/>
              </w:rPr>
              <w:t> </w:t>
            </w:r>
            <w:r>
              <w:rPr>
                <w:i/>
                <w:sz w:val="22"/>
              </w:rPr>
              <w:t>a</w:t>
            </w:r>
            <w:r>
              <w:rPr>
                <w:i/>
                <w:spacing w:val="-3"/>
                <w:sz w:val="22"/>
              </w:rPr>
              <w:t> </w:t>
            </w:r>
            <w:r>
              <w:rPr>
                <w:i/>
                <w:sz w:val="22"/>
              </w:rPr>
              <w:t>goal,</w:t>
            </w:r>
            <w:r>
              <w:rPr>
                <w:i/>
                <w:spacing w:val="-5"/>
                <w:sz w:val="22"/>
              </w:rPr>
              <w:t> </w:t>
            </w:r>
            <w:r>
              <w:rPr>
                <w:i/>
                <w:sz w:val="22"/>
              </w:rPr>
              <w:t>recognize</w:t>
            </w:r>
            <w:r>
              <w:rPr>
                <w:i/>
                <w:spacing w:val="-2"/>
                <w:sz w:val="22"/>
              </w:rPr>
              <w:t> </w:t>
            </w:r>
            <w:r>
              <w:rPr>
                <w:i/>
                <w:sz w:val="22"/>
              </w:rPr>
              <w:t>need</w:t>
            </w:r>
            <w:r>
              <w:rPr>
                <w:i/>
                <w:spacing w:val="-3"/>
                <w:sz w:val="22"/>
              </w:rPr>
              <w:t> </w:t>
            </w:r>
            <w:r>
              <w:rPr>
                <w:i/>
                <w:sz w:val="22"/>
              </w:rPr>
              <w:t>for</w:t>
            </w:r>
            <w:r>
              <w:rPr>
                <w:i/>
                <w:spacing w:val="-1"/>
                <w:sz w:val="22"/>
              </w:rPr>
              <w:t> </w:t>
            </w:r>
            <w:r>
              <w:rPr>
                <w:i/>
                <w:sz w:val="22"/>
              </w:rPr>
              <w:t>appeals,</w:t>
            </w:r>
            <w:r>
              <w:rPr>
                <w:i/>
                <w:spacing w:val="-2"/>
                <w:sz w:val="22"/>
              </w:rPr>
              <w:t> </w:t>
            </w:r>
            <w:r>
              <w:rPr>
                <w:i/>
                <w:sz w:val="22"/>
              </w:rPr>
              <w:t>exceptions</w:t>
            </w:r>
            <w:r>
              <w:rPr>
                <w:i/>
                <w:spacing w:val="-4"/>
                <w:sz w:val="22"/>
              </w:rPr>
              <w:t> </w:t>
            </w:r>
            <w:r>
              <w:rPr>
                <w:i/>
                <w:sz w:val="22"/>
              </w:rPr>
              <w:t>and</w:t>
            </w:r>
            <w:r>
              <w:rPr>
                <w:i/>
                <w:spacing w:val="-3"/>
                <w:sz w:val="22"/>
              </w:rPr>
              <w:t> </w:t>
            </w:r>
            <w:r>
              <w:rPr>
                <w:i/>
                <w:sz w:val="22"/>
              </w:rPr>
              <w:t>process</w:t>
            </w:r>
            <w:r>
              <w:rPr>
                <w:i/>
                <w:spacing w:val="-4"/>
                <w:sz w:val="22"/>
              </w:rPr>
              <w:t> </w:t>
            </w:r>
            <w:r>
              <w:rPr>
                <w:i/>
                <w:sz w:val="22"/>
              </w:rPr>
              <w:t>for</w:t>
            </w:r>
            <w:r>
              <w:rPr>
                <w:i/>
                <w:spacing w:val="-2"/>
                <w:sz w:val="22"/>
              </w:rPr>
              <w:t> </w:t>
            </w:r>
            <w:r>
              <w:rPr>
                <w:i/>
                <w:sz w:val="22"/>
              </w:rPr>
              <w:t>handling</w:t>
            </w:r>
            <w:r>
              <w:rPr>
                <w:i/>
                <w:spacing w:val="-3"/>
                <w:sz w:val="22"/>
              </w:rPr>
              <w:t> </w:t>
            </w:r>
            <w:r>
              <w:rPr>
                <w:i/>
                <w:sz w:val="22"/>
              </w:rPr>
              <w:t>unanticipated</w:t>
            </w:r>
            <w:r>
              <w:rPr>
                <w:i/>
                <w:spacing w:val="-2"/>
                <w:sz w:val="22"/>
              </w:rPr>
              <w:t> </w:t>
            </w:r>
            <w:r>
              <w:rPr>
                <w:i/>
                <w:sz w:val="22"/>
              </w:rPr>
              <w:t>issues</w:t>
            </w:r>
          </w:p>
          <w:p>
            <w:pPr>
              <w:pStyle w:val="TableParagraph"/>
              <w:numPr>
                <w:ilvl w:val="0"/>
                <w:numId w:val="1"/>
              </w:numPr>
              <w:tabs>
                <w:tab w:pos="463" w:val="left" w:leader="none"/>
                <w:tab w:pos="464" w:val="left" w:leader="none"/>
              </w:tabs>
              <w:spacing w:line="240" w:lineRule="auto" w:before="1" w:after="0"/>
              <w:ind w:left="463" w:right="0" w:hanging="360"/>
              <w:jc w:val="left"/>
              <w:rPr>
                <w:i/>
                <w:sz w:val="22"/>
              </w:rPr>
            </w:pPr>
            <w:r>
              <w:rPr>
                <w:i/>
                <w:sz w:val="22"/>
              </w:rPr>
              <w:t>Consider what has been learned in MMP and D-SNP</w:t>
            </w:r>
            <w:r>
              <w:rPr>
                <w:i/>
                <w:spacing w:val="-18"/>
                <w:sz w:val="22"/>
              </w:rPr>
              <w:t> </w:t>
            </w:r>
            <w:r>
              <w:rPr>
                <w:i/>
                <w:sz w:val="22"/>
              </w:rPr>
              <w:t>demonstration</w:t>
            </w:r>
          </w:p>
          <w:p>
            <w:pPr>
              <w:pStyle w:val="TableParagraph"/>
              <w:numPr>
                <w:ilvl w:val="0"/>
                <w:numId w:val="1"/>
              </w:numPr>
              <w:tabs>
                <w:tab w:pos="463" w:val="left" w:leader="none"/>
                <w:tab w:pos="464" w:val="left" w:leader="none"/>
              </w:tabs>
              <w:spacing w:line="240" w:lineRule="auto" w:before="0" w:after="0"/>
              <w:ind w:left="463" w:right="0" w:hanging="360"/>
              <w:jc w:val="left"/>
              <w:rPr>
                <w:i/>
                <w:sz w:val="22"/>
              </w:rPr>
            </w:pPr>
            <w:r>
              <w:rPr>
                <w:i/>
                <w:sz w:val="22"/>
              </w:rPr>
              <w:t>Consider availability of NEMT, telehealth, mobile providers and in-home</w:t>
            </w:r>
            <w:r>
              <w:rPr>
                <w:i/>
                <w:spacing w:val="-30"/>
                <w:sz w:val="22"/>
              </w:rPr>
              <w:t> </w:t>
            </w:r>
            <w:r>
              <w:rPr>
                <w:i/>
                <w:sz w:val="22"/>
              </w:rPr>
              <w:t>providers</w:t>
            </w:r>
          </w:p>
          <w:p>
            <w:pPr>
              <w:pStyle w:val="TableParagraph"/>
              <w:numPr>
                <w:ilvl w:val="0"/>
                <w:numId w:val="1"/>
              </w:numPr>
              <w:tabs>
                <w:tab w:pos="463" w:val="left" w:leader="none"/>
                <w:tab w:pos="464" w:val="left" w:leader="none"/>
              </w:tabs>
              <w:spacing w:line="240" w:lineRule="auto" w:before="0" w:after="0"/>
              <w:ind w:left="463" w:right="0" w:hanging="360"/>
              <w:jc w:val="left"/>
              <w:rPr>
                <w:i/>
                <w:sz w:val="22"/>
              </w:rPr>
            </w:pPr>
            <w:r>
              <w:rPr>
                <w:i/>
                <w:sz w:val="22"/>
              </w:rPr>
              <w:t>Consider</w:t>
            </w:r>
            <w:r>
              <w:rPr>
                <w:i/>
                <w:spacing w:val="-2"/>
                <w:sz w:val="22"/>
              </w:rPr>
              <w:t> </w:t>
            </w:r>
            <w:r>
              <w:rPr>
                <w:i/>
                <w:sz w:val="22"/>
              </w:rPr>
              <w:t>developing</w:t>
            </w:r>
            <w:r>
              <w:rPr>
                <w:i/>
                <w:spacing w:val="-4"/>
                <w:sz w:val="22"/>
              </w:rPr>
              <w:t> </w:t>
            </w:r>
            <w:r>
              <w:rPr>
                <w:i/>
                <w:sz w:val="22"/>
              </w:rPr>
              <w:t>delivery</w:t>
            </w:r>
            <w:r>
              <w:rPr>
                <w:i/>
                <w:spacing w:val="-3"/>
                <w:sz w:val="22"/>
              </w:rPr>
              <w:t> </w:t>
            </w:r>
            <w:r>
              <w:rPr>
                <w:i/>
                <w:sz w:val="22"/>
              </w:rPr>
              <w:t>trends,</w:t>
            </w:r>
            <w:r>
              <w:rPr>
                <w:i/>
                <w:spacing w:val="-3"/>
                <w:sz w:val="22"/>
              </w:rPr>
              <w:t> </w:t>
            </w:r>
            <w:r>
              <w:rPr>
                <w:i/>
                <w:sz w:val="22"/>
              </w:rPr>
              <w:t>impact</w:t>
            </w:r>
            <w:r>
              <w:rPr>
                <w:i/>
                <w:spacing w:val="-3"/>
                <w:sz w:val="22"/>
              </w:rPr>
              <w:t> </w:t>
            </w:r>
            <w:r>
              <w:rPr>
                <w:i/>
                <w:sz w:val="22"/>
              </w:rPr>
              <w:t>and</w:t>
            </w:r>
            <w:r>
              <w:rPr>
                <w:i/>
                <w:spacing w:val="-6"/>
                <w:sz w:val="22"/>
              </w:rPr>
              <w:t> </w:t>
            </w:r>
            <w:r>
              <w:rPr>
                <w:i/>
                <w:sz w:val="22"/>
              </w:rPr>
              <w:t>role</w:t>
            </w:r>
            <w:r>
              <w:rPr>
                <w:i/>
                <w:spacing w:val="-3"/>
                <w:sz w:val="22"/>
              </w:rPr>
              <w:t> </w:t>
            </w:r>
            <w:r>
              <w:rPr>
                <w:i/>
                <w:sz w:val="22"/>
              </w:rPr>
              <w:t>of</w:t>
            </w:r>
            <w:r>
              <w:rPr>
                <w:i/>
                <w:spacing w:val="-6"/>
                <w:sz w:val="22"/>
              </w:rPr>
              <w:t> </w:t>
            </w:r>
            <w:r>
              <w:rPr>
                <w:i/>
                <w:sz w:val="22"/>
              </w:rPr>
              <w:t>provider</w:t>
            </w:r>
            <w:r>
              <w:rPr>
                <w:i/>
                <w:spacing w:val="-5"/>
                <w:sz w:val="22"/>
              </w:rPr>
              <w:t> </w:t>
            </w:r>
            <w:r>
              <w:rPr>
                <w:i/>
                <w:sz w:val="22"/>
              </w:rPr>
              <w:t>quality</w:t>
            </w:r>
            <w:r>
              <w:rPr>
                <w:i/>
                <w:spacing w:val="-3"/>
                <w:sz w:val="22"/>
              </w:rPr>
              <w:t> </w:t>
            </w:r>
            <w:r>
              <w:rPr>
                <w:i/>
                <w:sz w:val="22"/>
              </w:rPr>
              <w:t>and</w:t>
            </w:r>
            <w:r>
              <w:rPr>
                <w:i/>
                <w:spacing w:val="-4"/>
                <w:sz w:val="22"/>
              </w:rPr>
              <w:t> </w:t>
            </w:r>
            <w:r>
              <w:rPr>
                <w:i/>
                <w:sz w:val="22"/>
              </w:rPr>
              <w:t>value</w:t>
            </w:r>
            <w:r>
              <w:rPr>
                <w:i/>
                <w:spacing w:val="-5"/>
                <w:sz w:val="22"/>
              </w:rPr>
              <w:t> </w:t>
            </w:r>
            <w:r>
              <w:rPr>
                <w:i/>
                <w:sz w:val="22"/>
              </w:rPr>
              <w:t>based</w:t>
            </w:r>
            <w:r>
              <w:rPr>
                <w:i/>
                <w:spacing w:val="-3"/>
                <w:sz w:val="22"/>
              </w:rPr>
              <w:t> </w:t>
            </w:r>
            <w:r>
              <w:rPr>
                <w:i/>
                <w:sz w:val="22"/>
              </w:rPr>
              <w:t>purchasing</w:t>
            </w:r>
            <w:r>
              <w:rPr>
                <w:i/>
                <w:spacing w:val="-5"/>
                <w:sz w:val="22"/>
              </w:rPr>
              <w:t> </w:t>
            </w:r>
            <w:r>
              <w:rPr>
                <w:i/>
                <w:sz w:val="22"/>
              </w:rPr>
              <w:t>strategies</w:t>
            </w:r>
          </w:p>
        </w:tc>
      </w:tr>
      <w:tr>
        <w:trPr>
          <w:trHeight w:val="377" w:hRule="exact"/>
        </w:trPr>
        <w:tc>
          <w:tcPr>
            <w:tcW w:w="14397" w:type="dxa"/>
            <w:gridSpan w:val="2"/>
          </w:tcPr>
          <w:p>
            <w:pPr/>
          </w:p>
        </w:tc>
      </w:tr>
      <w:tr>
        <w:trPr>
          <w:trHeight w:val="451" w:hRule="exact"/>
        </w:trPr>
        <w:tc>
          <w:tcPr>
            <w:tcW w:w="7376" w:type="dxa"/>
          </w:tcPr>
          <w:p>
            <w:pPr>
              <w:pStyle w:val="TableParagraph"/>
              <w:spacing w:line="268" w:lineRule="exact"/>
              <w:ind w:left="1032" w:firstLine="0"/>
              <w:rPr>
                <w:b/>
                <w:i/>
                <w:sz w:val="22"/>
              </w:rPr>
            </w:pPr>
            <w:r>
              <w:rPr>
                <w:b/>
                <w:i/>
                <w:sz w:val="22"/>
              </w:rPr>
              <w:t>SNP Alliance Member In-put to CMS for SNP Specific Networks</w:t>
            </w:r>
          </w:p>
        </w:tc>
        <w:tc>
          <w:tcPr>
            <w:tcW w:w="7021" w:type="dxa"/>
          </w:tcPr>
          <w:p>
            <w:pPr>
              <w:pStyle w:val="TableParagraph"/>
              <w:spacing w:line="268" w:lineRule="exact"/>
              <w:ind w:left="1963" w:firstLine="0"/>
              <w:rPr>
                <w:b/>
                <w:i/>
                <w:sz w:val="22"/>
              </w:rPr>
            </w:pPr>
            <w:r>
              <w:rPr>
                <w:b/>
                <w:i/>
                <w:sz w:val="22"/>
              </w:rPr>
              <w:t>Suggestions for Possible Solutions</w:t>
            </w:r>
          </w:p>
        </w:tc>
      </w:tr>
      <w:tr>
        <w:trPr>
          <w:trHeight w:val="2744" w:hRule="exact"/>
        </w:trPr>
        <w:tc>
          <w:tcPr>
            <w:tcW w:w="7376" w:type="dxa"/>
          </w:tcPr>
          <w:p>
            <w:pPr>
              <w:pStyle w:val="TableParagraph"/>
              <w:spacing w:line="268" w:lineRule="exact"/>
              <w:ind w:left="103" w:firstLine="0"/>
              <w:rPr>
                <w:b/>
                <w:sz w:val="22"/>
              </w:rPr>
            </w:pPr>
            <w:r>
              <w:rPr>
                <w:i/>
                <w:sz w:val="22"/>
              </w:rPr>
              <w:t>1.    </w:t>
            </w:r>
            <w:r>
              <w:rPr>
                <w:b/>
                <w:i/>
                <w:sz w:val="22"/>
              </w:rPr>
              <w:t>Recognize Differences in Provider Delivery System for I SNPs</w:t>
            </w:r>
            <w:r>
              <w:rPr>
                <w:b/>
                <w:sz w:val="22"/>
              </w:rPr>
              <w:t>:</w:t>
            </w:r>
          </w:p>
          <w:p>
            <w:pPr>
              <w:pStyle w:val="TableParagraph"/>
              <w:numPr>
                <w:ilvl w:val="0"/>
                <w:numId w:val="2"/>
              </w:numPr>
              <w:tabs>
                <w:tab w:pos="463" w:val="left" w:leader="none"/>
                <w:tab w:pos="464" w:val="left" w:leader="none"/>
              </w:tabs>
              <w:spacing w:line="279" w:lineRule="exact" w:before="0" w:after="0"/>
              <w:ind w:left="463" w:right="0" w:hanging="360"/>
              <w:jc w:val="left"/>
              <w:rPr>
                <w:sz w:val="22"/>
              </w:rPr>
            </w:pPr>
            <w:r>
              <w:rPr>
                <w:sz w:val="22"/>
              </w:rPr>
              <w:t>In most cases, the majority of ISNP members are dually</w:t>
            </w:r>
            <w:r>
              <w:rPr>
                <w:spacing w:val="-23"/>
                <w:sz w:val="22"/>
              </w:rPr>
              <w:t> </w:t>
            </w:r>
            <w:r>
              <w:rPr>
                <w:sz w:val="22"/>
              </w:rPr>
              <w:t>eligible.</w:t>
            </w:r>
          </w:p>
          <w:p>
            <w:pPr>
              <w:pStyle w:val="TableParagraph"/>
              <w:numPr>
                <w:ilvl w:val="0"/>
                <w:numId w:val="2"/>
              </w:numPr>
              <w:tabs>
                <w:tab w:pos="463" w:val="left" w:leader="none"/>
                <w:tab w:pos="464" w:val="left" w:leader="none"/>
              </w:tabs>
              <w:spacing w:line="240" w:lineRule="auto" w:before="0" w:after="0"/>
              <w:ind w:left="463" w:right="138" w:hanging="360"/>
              <w:jc w:val="left"/>
              <w:rPr>
                <w:sz w:val="22"/>
              </w:rPr>
            </w:pPr>
            <w:r>
              <w:rPr>
                <w:sz w:val="22"/>
              </w:rPr>
              <w:t>I-SNPs utilize large numbers of bedside providers (including specialists) who are not counted toward the HSD tables because networks are reviewed on a county basis and these providers do not serve the entire county population.</w:t>
            </w:r>
          </w:p>
          <w:p>
            <w:pPr>
              <w:pStyle w:val="TableParagraph"/>
              <w:numPr>
                <w:ilvl w:val="0"/>
                <w:numId w:val="2"/>
              </w:numPr>
              <w:tabs>
                <w:tab w:pos="463" w:val="left" w:leader="none"/>
                <w:tab w:pos="464" w:val="left" w:leader="none"/>
              </w:tabs>
              <w:spacing w:line="240" w:lineRule="auto" w:before="2" w:after="0"/>
              <w:ind w:left="463" w:right="517" w:hanging="360"/>
              <w:jc w:val="left"/>
              <w:rPr>
                <w:sz w:val="22"/>
              </w:rPr>
            </w:pPr>
            <w:r>
              <w:rPr>
                <w:sz w:val="22"/>
              </w:rPr>
              <w:t>Instead ISNPs attempt to contract with SNF affiliated providers who are already serving residents so they build their networks around the</w:t>
            </w:r>
            <w:r>
              <w:rPr>
                <w:spacing w:val="-21"/>
                <w:sz w:val="22"/>
              </w:rPr>
              <w:t> </w:t>
            </w:r>
            <w:r>
              <w:rPr>
                <w:sz w:val="22"/>
              </w:rPr>
              <w:t>SNFs.</w:t>
            </w:r>
          </w:p>
          <w:p>
            <w:pPr>
              <w:pStyle w:val="TableParagraph"/>
              <w:numPr>
                <w:ilvl w:val="0"/>
                <w:numId w:val="2"/>
              </w:numPr>
              <w:tabs>
                <w:tab w:pos="463" w:val="left" w:leader="none"/>
                <w:tab w:pos="464" w:val="left" w:leader="none"/>
              </w:tabs>
              <w:spacing w:line="266" w:lineRule="exact" w:before="9" w:after="0"/>
              <w:ind w:left="463" w:right="461" w:hanging="360"/>
              <w:jc w:val="left"/>
              <w:rPr>
                <w:sz w:val="22"/>
              </w:rPr>
            </w:pPr>
            <w:r>
              <w:rPr>
                <w:sz w:val="22"/>
              </w:rPr>
              <w:t>Therefore ISNPs spend valuable resources contracting for providers that SNF members will never</w:t>
            </w:r>
            <w:r>
              <w:rPr>
                <w:spacing w:val="-9"/>
                <w:sz w:val="22"/>
              </w:rPr>
              <w:t> </w:t>
            </w:r>
            <w:r>
              <w:rPr>
                <w:sz w:val="22"/>
              </w:rPr>
              <w:t>use.</w:t>
            </w:r>
          </w:p>
        </w:tc>
        <w:tc>
          <w:tcPr>
            <w:tcW w:w="7021" w:type="dxa"/>
          </w:tcPr>
          <w:p>
            <w:pPr>
              <w:pStyle w:val="TableParagraph"/>
              <w:numPr>
                <w:ilvl w:val="0"/>
                <w:numId w:val="3"/>
              </w:numPr>
              <w:tabs>
                <w:tab w:pos="463" w:val="left" w:leader="none"/>
                <w:tab w:pos="464" w:val="left" w:leader="none"/>
              </w:tabs>
              <w:spacing w:line="240" w:lineRule="auto" w:before="0" w:after="0"/>
              <w:ind w:left="463" w:right="189" w:hanging="360"/>
              <w:jc w:val="left"/>
              <w:rPr>
                <w:sz w:val="22"/>
              </w:rPr>
            </w:pPr>
            <w:r>
              <w:rPr>
                <w:sz w:val="22"/>
              </w:rPr>
              <w:t>Develop and asses T&amp;D and minimum number requirements on Medicare eligible individuals who meet nursing facility level of care (or if that data is not available, Medicare SNF/and Medicaid dually eligible SNF/NF members) (versus general population standards development and full county network assessment). This should result in modification of minimum number standards to reflect that these members do not use as many out of facility</w:t>
            </w:r>
            <w:r>
              <w:rPr>
                <w:spacing w:val="-11"/>
                <w:sz w:val="22"/>
              </w:rPr>
              <w:t> </w:t>
            </w:r>
            <w:r>
              <w:rPr>
                <w:sz w:val="22"/>
              </w:rPr>
              <w:t>providers.</w:t>
            </w:r>
          </w:p>
          <w:p>
            <w:pPr>
              <w:pStyle w:val="TableParagraph"/>
              <w:numPr>
                <w:ilvl w:val="0"/>
                <w:numId w:val="3"/>
              </w:numPr>
              <w:tabs>
                <w:tab w:pos="463" w:val="left" w:leader="none"/>
                <w:tab w:pos="464" w:val="left" w:leader="none"/>
              </w:tabs>
              <w:spacing w:line="240" w:lineRule="auto" w:before="1" w:after="0"/>
              <w:ind w:left="463" w:right="242" w:hanging="360"/>
              <w:jc w:val="left"/>
              <w:rPr>
                <w:sz w:val="22"/>
              </w:rPr>
            </w:pPr>
            <w:r>
              <w:rPr>
                <w:sz w:val="22"/>
              </w:rPr>
              <w:t>Allow bedside providers including primary care and specialists who focus on serving SNF and Assisted Living residents based on affiliations with SNFs (who may not serve the general population) to be</w:t>
            </w:r>
            <w:r>
              <w:rPr>
                <w:spacing w:val="-17"/>
                <w:sz w:val="22"/>
              </w:rPr>
              <w:t> </w:t>
            </w:r>
            <w:r>
              <w:rPr>
                <w:sz w:val="22"/>
              </w:rPr>
              <w:t>counted</w:t>
            </w:r>
          </w:p>
        </w:tc>
      </w:tr>
    </w:tbl>
    <w:p>
      <w:pPr>
        <w:spacing w:after="0" w:line="240" w:lineRule="auto"/>
        <w:jc w:val="left"/>
        <w:rPr>
          <w:sz w:val="22"/>
        </w:rPr>
        <w:sectPr>
          <w:type w:val="continuous"/>
          <w:pgSz w:w="15840" w:h="12240" w:orient="landscape"/>
          <w:pgMar w:top="220" w:bottom="280" w:left="860" w:right="36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7021"/>
      </w:tblGrid>
      <w:tr>
        <w:trPr>
          <w:trHeight w:val="1925" w:hRule="exact"/>
        </w:trPr>
        <w:tc>
          <w:tcPr>
            <w:tcW w:w="7376" w:type="dxa"/>
          </w:tcPr>
          <w:p>
            <w:pPr>
              <w:pStyle w:val="TableParagraph"/>
              <w:numPr>
                <w:ilvl w:val="0"/>
                <w:numId w:val="4"/>
              </w:numPr>
              <w:tabs>
                <w:tab w:pos="463" w:val="left" w:leader="none"/>
                <w:tab w:pos="464" w:val="left" w:leader="none"/>
              </w:tabs>
              <w:spacing w:line="240" w:lineRule="auto" w:before="0" w:after="0"/>
              <w:ind w:left="463" w:right="264" w:hanging="360"/>
              <w:jc w:val="left"/>
              <w:rPr>
                <w:sz w:val="22"/>
              </w:rPr>
            </w:pPr>
            <w:r>
              <w:rPr>
                <w:sz w:val="22"/>
              </w:rPr>
              <w:t>ISNPs do not need many SNFs and certain other external providers in their networks as members live in a SNF and typically receive rehab in their “home”.</w:t>
            </w:r>
          </w:p>
        </w:tc>
        <w:tc>
          <w:tcPr>
            <w:tcW w:w="7021" w:type="dxa"/>
          </w:tcPr>
          <w:p>
            <w:pPr>
              <w:pStyle w:val="TableParagraph"/>
              <w:spacing w:line="268" w:lineRule="exact"/>
              <w:ind w:firstLine="0"/>
              <w:rPr>
                <w:sz w:val="22"/>
              </w:rPr>
            </w:pPr>
            <w:r>
              <w:rPr>
                <w:sz w:val="22"/>
              </w:rPr>
              <w:t>and change provider directory requirements to reflect this.</w:t>
            </w:r>
          </w:p>
          <w:p>
            <w:pPr>
              <w:pStyle w:val="TableParagraph"/>
              <w:numPr>
                <w:ilvl w:val="0"/>
                <w:numId w:val="5"/>
              </w:numPr>
              <w:tabs>
                <w:tab w:pos="463" w:val="left" w:leader="none"/>
                <w:tab w:pos="464" w:val="left" w:leader="none"/>
              </w:tabs>
              <w:spacing w:line="240" w:lineRule="auto" w:before="0" w:after="0"/>
              <w:ind w:left="463" w:right="0" w:hanging="360"/>
              <w:jc w:val="left"/>
              <w:rPr>
                <w:sz w:val="22"/>
              </w:rPr>
            </w:pPr>
            <w:r>
              <w:rPr>
                <w:sz w:val="22"/>
              </w:rPr>
              <w:t>Map population standards to location of SNFs versus whole</w:t>
            </w:r>
            <w:r>
              <w:rPr>
                <w:spacing w:val="-21"/>
                <w:sz w:val="22"/>
              </w:rPr>
              <w:t> </w:t>
            </w:r>
            <w:r>
              <w:rPr>
                <w:sz w:val="22"/>
              </w:rPr>
              <w:t>county</w:t>
            </w:r>
          </w:p>
          <w:p>
            <w:pPr>
              <w:pStyle w:val="TableParagraph"/>
              <w:numPr>
                <w:ilvl w:val="0"/>
                <w:numId w:val="5"/>
              </w:numPr>
              <w:tabs>
                <w:tab w:pos="463" w:val="left" w:leader="none"/>
                <w:tab w:pos="464" w:val="left" w:leader="none"/>
              </w:tabs>
              <w:spacing w:line="240" w:lineRule="auto" w:before="0" w:after="0"/>
              <w:ind w:left="463" w:right="437" w:hanging="360"/>
              <w:jc w:val="left"/>
              <w:rPr>
                <w:sz w:val="22"/>
              </w:rPr>
            </w:pPr>
            <w:r>
              <w:rPr>
                <w:sz w:val="22"/>
              </w:rPr>
              <w:t>Adjust time and distance standards for provider categories to reflect that most members do not need to travel to see</w:t>
            </w:r>
            <w:r>
              <w:rPr>
                <w:spacing w:val="-20"/>
                <w:sz w:val="22"/>
              </w:rPr>
              <w:t> </w:t>
            </w:r>
            <w:r>
              <w:rPr>
                <w:sz w:val="22"/>
              </w:rPr>
              <w:t>providers</w:t>
            </w:r>
          </w:p>
          <w:p>
            <w:pPr>
              <w:pStyle w:val="TableParagraph"/>
              <w:numPr>
                <w:ilvl w:val="0"/>
                <w:numId w:val="5"/>
              </w:numPr>
              <w:tabs>
                <w:tab w:pos="463" w:val="left" w:leader="none"/>
                <w:tab w:pos="464" w:val="left" w:leader="none"/>
              </w:tabs>
              <w:spacing w:line="240" w:lineRule="auto" w:before="0" w:after="0"/>
              <w:ind w:left="463" w:right="250" w:hanging="360"/>
              <w:jc w:val="left"/>
              <w:rPr>
                <w:sz w:val="22"/>
              </w:rPr>
            </w:pPr>
            <w:r>
              <w:rPr>
                <w:sz w:val="22"/>
              </w:rPr>
              <w:t>Change institutional provider requirements for ISNPs to recognize that most members receive rehab services in their SNF</w:t>
            </w:r>
            <w:r>
              <w:rPr>
                <w:spacing w:val="-17"/>
                <w:sz w:val="22"/>
              </w:rPr>
              <w:t> </w:t>
            </w:r>
            <w:r>
              <w:rPr>
                <w:sz w:val="22"/>
              </w:rPr>
              <w:t>residences.</w:t>
            </w:r>
          </w:p>
        </w:tc>
      </w:tr>
      <w:tr>
        <w:trPr>
          <w:trHeight w:val="1913" w:hRule="exact"/>
        </w:trPr>
        <w:tc>
          <w:tcPr>
            <w:tcW w:w="7376" w:type="dxa"/>
          </w:tcPr>
          <w:p>
            <w:pPr>
              <w:pStyle w:val="TableParagraph"/>
              <w:rPr>
                <w:i/>
                <w:sz w:val="22"/>
              </w:rPr>
            </w:pPr>
            <w:r>
              <w:rPr>
                <w:i/>
                <w:sz w:val="22"/>
              </w:rPr>
              <w:t>2. </w:t>
            </w:r>
            <w:r>
              <w:rPr>
                <w:b/>
                <w:i/>
                <w:sz w:val="22"/>
              </w:rPr>
              <w:t>Recognize Differences in Needs and Provider Delivery System for Dual </w:t>
            </w:r>
            <w:r>
              <w:rPr>
                <w:b/>
                <w:i/>
                <w:sz w:val="22"/>
              </w:rPr>
              <w:t>Eligibles in DSNPs</w:t>
            </w:r>
            <w:r>
              <w:rPr>
                <w:i/>
                <w:sz w:val="22"/>
              </w:rPr>
              <w:t>:</w:t>
            </w:r>
          </w:p>
          <w:p>
            <w:pPr>
              <w:pStyle w:val="TableParagraph"/>
              <w:numPr>
                <w:ilvl w:val="0"/>
                <w:numId w:val="6"/>
              </w:numPr>
              <w:tabs>
                <w:tab w:pos="463" w:val="left" w:leader="none"/>
                <w:tab w:pos="464" w:val="left" w:leader="none"/>
              </w:tabs>
              <w:spacing w:line="240" w:lineRule="auto" w:before="1" w:after="0"/>
              <w:ind w:left="463" w:right="308" w:hanging="360"/>
              <w:jc w:val="left"/>
              <w:rPr>
                <w:sz w:val="22"/>
              </w:rPr>
            </w:pPr>
            <w:r>
              <w:rPr>
                <w:sz w:val="22"/>
              </w:rPr>
              <w:t>Number of duals is much smaller than full Medicare population or may</w:t>
            </w:r>
            <w:r>
              <w:rPr>
                <w:spacing w:val="-21"/>
                <w:sz w:val="22"/>
              </w:rPr>
              <w:t> </w:t>
            </w:r>
            <w:r>
              <w:rPr>
                <w:sz w:val="22"/>
              </w:rPr>
              <w:t>be distributed differently across the service</w:t>
            </w:r>
            <w:r>
              <w:rPr>
                <w:spacing w:val="-9"/>
                <w:sz w:val="22"/>
              </w:rPr>
              <w:t> </w:t>
            </w:r>
            <w:r>
              <w:rPr>
                <w:sz w:val="22"/>
              </w:rPr>
              <w:t>area.</w:t>
            </w:r>
          </w:p>
          <w:p>
            <w:pPr>
              <w:pStyle w:val="TableParagraph"/>
              <w:numPr>
                <w:ilvl w:val="0"/>
                <w:numId w:val="6"/>
              </w:numPr>
              <w:tabs>
                <w:tab w:pos="463" w:val="left" w:leader="none"/>
                <w:tab w:pos="464" w:val="left" w:leader="none"/>
              </w:tabs>
              <w:spacing w:line="266" w:lineRule="exact" w:before="8" w:after="0"/>
              <w:ind w:left="463" w:right="553" w:hanging="360"/>
              <w:jc w:val="left"/>
              <w:rPr>
                <w:sz w:val="22"/>
              </w:rPr>
            </w:pPr>
            <w:r>
              <w:rPr>
                <w:sz w:val="22"/>
              </w:rPr>
              <w:t>Number and type of providers needed may differ from larger Medicare population, including in general and as county urbanicity</w:t>
            </w:r>
            <w:r>
              <w:rPr>
                <w:spacing w:val="-12"/>
                <w:sz w:val="22"/>
              </w:rPr>
              <w:t> </w:t>
            </w:r>
            <w:r>
              <w:rPr>
                <w:sz w:val="22"/>
              </w:rPr>
              <w:t>changes.</w:t>
            </w:r>
          </w:p>
        </w:tc>
        <w:tc>
          <w:tcPr>
            <w:tcW w:w="7021" w:type="dxa"/>
          </w:tcPr>
          <w:p>
            <w:pPr>
              <w:pStyle w:val="TableParagraph"/>
              <w:numPr>
                <w:ilvl w:val="0"/>
                <w:numId w:val="7"/>
              </w:numPr>
              <w:tabs>
                <w:tab w:pos="463" w:val="left" w:leader="none"/>
                <w:tab w:pos="464" w:val="left" w:leader="none"/>
              </w:tabs>
              <w:spacing w:line="240" w:lineRule="auto" w:before="0" w:after="0"/>
              <w:ind w:left="463" w:right="713" w:hanging="360"/>
              <w:jc w:val="left"/>
              <w:rPr>
                <w:sz w:val="22"/>
              </w:rPr>
            </w:pPr>
            <w:r>
              <w:rPr>
                <w:sz w:val="22"/>
              </w:rPr>
              <w:t>Develop and calculate standards (including base metrics, 95</w:t>
            </w:r>
            <w:r>
              <w:rPr>
                <w:position w:val="8"/>
                <w:sz w:val="14"/>
              </w:rPr>
              <w:t>th </w:t>
            </w:r>
            <w:r>
              <w:rPr>
                <w:sz w:val="22"/>
              </w:rPr>
              <w:t>percentile) on population of eligible duals versus entire Medicare population (similar to</w:t>
            </w:r>
            <w:r>
              <w:rPr>
                <w:spacing w:val="-8"/>
                <w:sz w:val="22"/>
              </w:rPr>
              <w:t> </w:t>
            </w:r>
            <w:r>
              <w:rPr>
                <w:sz w:val="22"/>
              </w:rPr>
              <w:t>MMPs).</w:t>
            </w:r>
          </w:p>
          <w:p>
            <w:pPr>
              <w:pStyle w:val="TableParagraph"/>
              <w:numPr>
                <w:ilvl w:val="0"/>
                <w:numId w:val="7"/>
              </w:numPr>
              <w:tabs>
                <w:tab w:pos="463" w:val="left" w:leader="none"/>
                <w:tab w:pos="464" w:val="left" w:leader="none"/>
              </w:tabs>
              <w:spacing w:line="240" w:lineRule="auto" w:before="1" w:after="0"/>
              <w:ind w:left="463" w:right="265" w:hanging="360"/>
              <w:jc w:val="left"/>
              <w:rPr>
                <w:sz w:val="22"/>
              </w:rPr>
            </w:pPr>
            <w:r>
              <w:rPr>
                <w:sz w:val="22"/>
              </w:rPr>
              <w:t>Adjust D-SNP provider network requirements for distribution and utilization based on subpopulation of duals to be served such as FBDE, or over 65 or under 65</w:t>
            </w:r>
            <w:r>
              <w:rPr>
                <w:spacing w:val="-9"/>
                <w:sz w:val="22"/>
              </w:rPr>
              <w:t> </w:t>
            </w:r>
            <w:r>
              <w:rPr>
                <w:sz w:val="22"/>
              </w:rPr>
              <w:t>members.</w:t>
            </w:r>
          </w:p>
        </w:tc>
      </w:tr>
      <w:tr>
        <w:trPr>
          <w:trHeight w:val="2172" w:hRule="exact"/>
        </w:trPr>
        <w:tc>
          <w:tcPr>
            <w:tcW w:w="7376" w:type="dxa"/>
          </w:tcPr>
          <w:p>
            <w:pPr>
              <w:pStyle w:val="TableParagraph"/>
              <w:ind w:right="286"/>
              <w:rPr>
                <w:b/>
                <w:i/>
                <w:sz w:val="22"/>
              </w:rPr>
            </w:pPr>
            <w:r>
              <w:rPr>
                <w:i/>
                <w:sz w:val="22"/>
              </w:rPr>
              <w:t>3. </w:t>
            </w:r>
            <w:r>
              <w:rPr>
                <w:b/>
                <w:i/>
                <w:sz w:val="22"/>
              </w:rPr>
              <w:t>Recognize and Take Into Account Alternative and Changing Service </w:t>
            </w:r>
            <w:r>
              <w:rPr>
                <w:b/>
                <w:i/>
                <w:sz w:val="22"/>
              </w:rPr>
              <w:t>Delivery Patterns:</w:t>
            </w:r>
          </w:p>
          <w:p>
            <w:pPr>
              <w:pStyle w:val="TableParagraph"/>
              <w:numPr>
                <w:ilvl w:val="0"/>
                <w:numId w:val="8"/>
              </w:numPr>
              <w:tabs>
                <w:tab w:pos="463" w:val="left" w:leader="none"/>
                <w:tab w:pos="464" w:val="left" w:leader="none"/>
              </w:tabs>
              <w:spacing w:line="240" w:lineRule="auto" w:before="1" w:after="0"/>
              <w:ind w:left="463" w:right="535" w:hanging="360"/>
              <w:jc w:val="left"/>
              <w:rPr>
                <w:sz w:val="22"/>
              </w:rPr>
            </w:pPr>
            <w:r>
              <w:rPr>
                <w:sz w:val="22"/>
              </w:rPr>
              <w:t>Dual eligibles often have transportation and access challenges not experienced by the broader Medicare population. These challenges are exacerbated in rural areas. Medicaid programs typically allow for telehealth, mobile, or in-home delivery to accommodate these vulnerabilities and enhance adequate access to</w:t>
            </w:r>
            <w:r>
              <w:rPr>
                <w:spacing w:val="-10"/>
                <w:sz w:val="22"/>
              </w:rPr>
              <w:t> </w:t>
            </w:r>
            <w:r>
              <w:rPr>
                <w:sz w:val="22"/>
              </w:rPr>
              <w:t>care.</w:t>
            </w:r>
          </w:p>
        </w:tc>
        <w:tc>
          <w:tcPr>
            <w:tcW w:w="7021" w:type="dxa"/>
          </w:tcPr>
          <w:p>
            <w:pPr>
              <w:pStyle w:val="TableParagraph"/>
              <w:numPr>
                <w:ilvl w:val="0"/>
                <w:numId w:val="9"/>
              </w:numPr>
              <w:tabs>
                <w:tab w:pos="463" w:val="left" w:leader="none"/>
                <w:tab w:pos="464" w:val="left" w:leader="none"/>
              </w:tabs>
              <w:spacing w:line="240" w:lineRule="auto" w:before="0" w:after="0"/>
              <w:ind w:left="463" w:right="182" w:hanging="360"/>
              <w:jc w:val="left"/>
              <w:rPr>
                <w:sz w:val="22"/>
              </w:rPr>
            </w:pPr>
            <w:r>
              <w:rPr>
                <w:sz w:val="22"/>
              </w:rPr>
              <w:t>Extend MMP additional exceptions process to DSNPs including embracing technological innovations such as mobile clinics, in home, e- visits and other telehealth modes to help address access issues such as shortages of behavioral health providers and other specialty types in rural areas, and to accommodate transportation limitations often experienced by duals.</w:t>
            </w:r>
          </w:p>
        </w:tc>
      </w:tr>
      <w:tr>
        <w:trPr>
          <w:trHeight w:val="3817" w:hRule="exact"/>
        </w:trPr>
        <w:tc>
          <w:tcPr>
            <w:tcW w:w="7376" w:type="dxa"/>
          </w:tcPr>
          <w:p>
            <w:pPr>
              <w:pStyle w:val="TableParagraph"/>
              <w:ind w:right="212"/>
              <w:rPr>
                <w:sz w:val="22"/>
              </w:rPr>
            </w:pPr>
            <w:r>
              <w:rPr>
                <w:i/>
                <w:sz w:val="22"/>
              </w:rPr>
              <w:t>4.  </w:t>
            </w:r>
            <w:r>
              <w:rPr>
                <w:b/>
                <w:i/>
                <w:sz w:val="22"/>
              </w:rPr>
              <w:t>Provider Refusal to Serve Dual Eligibles or Certain Complex </w:t>
            </w:r>
            <w:r>
              <w:rPr>
                <w:b/>
                <w:i/>
                <w:sz w:val="22"/>
              </w:rPr>
              <w:t>Subpopulations: </w:t>
            </w:r>
            <w:r>
              <w:rPr>
                <w:sz w:val="22"/>
              </w:rPr>
              <w:t>ISNPs and DSNPs report that providers often refuse to serve duals, individuals in SNFs, and individuals with complex disabilities. This leads to difficulty in contracting with these providers and/or or results in them refusing to provide access when contracted.</w:t>
            </w:r>
          </w:p>
          <w:p>
            <w:pPr>
              <w:pStyle w:val="TableParagraph"/>
              <w:spacing w:before="1"/>
              <w:ind w:left="0" w:firstLine="0"/>
              <w:rPr>
                <w:b/>
                <w:sz w:val="22"/>
              </w:rPr>
            </w:pPr>
          </w:p>
          <w:p>
            <w:pPr>
              <w:pStyle w:val="TableParagraph"/>
              <w:ind w:right="189" w:firstLine="0"/>
              <w:rPr>
                <w:sz w:val="22"/>
              </w:rPr>
            </w:pPr>
            <w:r>
              <w:rPr>
                <w:b/>
                <w:sz w:val="22"/>
              </w:rPr>
              <w:t>Exclusivity or Refusal of Provider to Contract: </w:t>
            </w:r>
            <w:r>
              <w:rPr>
                <w:sz w:val="22"/>
              </w:rPr>
              <w:t>ISNPs and DSNPs say that many providers will not contract with smaller plans or have exclusive relationships with certain plans despite favorable plan design providing full Medicare rates without cost sharing etc.</w:t>
            </w:r>
          </w:p>
        </w:tc>
        <w:tc>
          <w:tcPr>
            <w:tcW w:w="7021" w:type="dxa"/>
          </w:tcPr>
          <w:p>
            <w:pPr>
              <w:pStyle w:val="TableParagraph"/>
              <w:numPr>
                <w:ilvl w:val="0"/>
                <w:numId w:val="10"/>
              </w:numPr>
              <w:tabs>
                <w:tab w:pos="463" w:val="left" w:leader="none"/>
                <w:tab w:pos="464" w:val="left" w:leader="none"/>
              </w:tabs>
              <w:spacing w:line="240" w:lineRule="auto" w:before="0" w:after="0"/>
              <w:ind w:left="463" w:right="536" w:hanging="360"/>
              <w:jc w:val="left"/>
              <w:rPr>
                <w:sz w:val="22"/>
              </w:rPr>
            </w:pPr>
            <w:r>
              <w:rPr>
                <w:sz w:val="22"/>
              </w:rPr>
              <w:t>Include refusal to serve dual population as an acceptable exception request.</w:t>
            </w:r>
          </w:p>
          <w:p>
            <w:pPr>
              <w:pStyle w:val="TableParagraph"/>
              <w:numPr>
                <w:ilvl w:val="0"/>
                <w:numId w:val="10"/>
              </w:numPr>
              <w:tabs>
                <w:tab w:pos="463" w:val="left" w:leader="none"/>
                <w:tab w:pos="464" w:val="left" w:leader="none"/>
              </w:tabs>
              <w:spacing w:line="240" w:lineRule="auto" w:before="3" w:after="0"/>
              <w:ind w:left="463" w:right="288" w:hanging="360"/>
              <w:jc w:val="left"/>
              <w:rPr>
                <w:sz w:val="22"/>
              </w:rPr>
            </w:pPr>
            <w:r>
              <w:rPr>
                <w:sz w:val="22"/>
              </w:rPr>
              <w:t>CMS should adjust provider requirements to reflect that these providers are not available. For example, CMS could combine its physician supply data with state Medicaid provider data to identify providers who conceivably are willing to participate in both</w:t>
            </w:r>
            <w:r>
              <w:rPr>
                <w:spacing w:val="-21"/>
                <w:sz w:val="22"/>
              </w:rPr>
              <w:t> </w:t>
            </w:r>
            <w:r>
              <w:rPr>
                <w:sz w:val="22"/>
              </w:rPr>
              <w:t>programs.</w:t>
            </w:r>
          </w:p>
          <w:p>
            <w:pPr>
              <w:pStyle w:val="TableParagraph"/>
              <w:numPr>
                <w:ilvl w:val="0"/>
                <w:numId w:val="10"/>
              </w:numPr>
              <w:tabs>
                <w:tab w:pos="463" w:val="left" w:leader="none"/>
                <w:tab w:pos="464" w:val="left" w:leader="none"/>
              </w:tabs>
              <w:spacing w:line="240" w:lineRule="auto" w:before="0" w:after="0"/>
              <w:ind w:left="463" w:right="795" w:hanging="360"/>
              <w:jc w:val="left"/>
              <w:rPr>
                <w:sz w:val="22"/>
              </w:rPr>
            </w:pPr>
            <w:r>
              <w:rPr>
                <w:sz w:val="22"/>
              </w:rPr>
              <w:t>Develop a mechanism at the CMS level for dealing with plan and consumer reports of providers who refuse to serve</w:t>
            </w:r>
            <w:r>
              <w:rPr>
                <w:spacing w:val="-20"/>
                <w:sz w:val="22"/>
              </w:rPr>
              <w:t> </w:t>
            </w:r>
            <w:r>
              <w:rPr>
                <w:sz w:val="22"/>
              </w:rPr>
              <w:t>duals</w:t>
            </w:r>
          </w:p>
          <w:p>
            <w:pPr>
              <w:pStyle w:val="TableParagraph"/>
              <w:numPr>
                <w:ilvl w:val="0"/>
                <w:numId w:val="10"/>
              </w:numPr>
              <w:tabs>
                <w:tab w:pos="463" w:val="left" w:leader="none"/>
                <w:tab w:pos="464" w:val="left" w:leader="none"/>
              </w:tabs>
              <w:spacing w:line="240" w:lineRule="auto" w:before="0" w:after="0"/>
              <w:ind w:left="463" w:right="134" w:hanging="360"/>
              <w:jc w:val="left"/>
              <w:rPr>
                <w:sz w:val="22"/>
              </w:rPr>
            </w:pPr>
            <w:r>
              <w:rPr>
                <w:sz w:val="22"/>
              </w:rPr>
              <w:t>CMS should research underlying reasons for provider discrimination against these populations and should develop policies for addressing them with providers. These could range from regulatory requirements around discriminatory practices to providing incentives for providers such as recognition of issues around SDOH and other barriers to serving these individuals, or working with states to discourage exclusivity</w:t>
            </w:r>
            <w:r>
              <w:rPr>
                <w:spacing w:val="-17"/>
                <w:sz w:val="22"/>
              </w:rPr>
              <w:t> </w:t>
            </w:r>
            <w:r>
              <w:rPr>
                <w:sz w:val="22"/>
              </w:rPr>
              <w:t>for</w:t>
            </w:r>
          </w:p>
        </w:tc>
      </w:tr>
    </w:tbl>
    <w:p>
      <w:pPr>
        <w:spacing w:after="0" w:line="240" w:lineRule="auto"/>
        <w:jc w:val="left"/>
        <w:rPr>
          <w:sz w:val="22"/>
        </w:rPr>
        <w:sectPr>
          <w:footerReference w:type="default" r:id="rId6"/>
          <w:pgSz w:w="15840" w:h="12240" w:orient="landscape"/>
          <w:pgMar w:footer="952" w:header="0" w:top="1080" w:bottom="1140" w:left="860" w:right="360"/>
          <w:pgNumType w:start="2"/>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7021"/>
      </w:tblGrid>
      <w:tr>
        <w:trPr>
          <w:trHeight w:val="1889" w:hRule="exact"/>
        </w:trPr>
        <w:tc>
          <w:tcPr>
            <w:tcW w:w="7376" w:type="dxa"/>
          </w:tcPr>
          <w:p>
            <w:pPr/>
          </w:p>
        </w:tc>
        <w:tc>
          <w:tcPr>
            <w:tcW w:w="7021" w:type="dxa"/>
          </w:tcPr>
          <w:p>
            <w:pPr>
              <w:pStyle w:val="TableParagraph"/>
              <w:ind w:right="320" w:firstLine="0"/>
              <w:rPr>
                <w:sz w:val="22"/>
              </w:rPr>
            </w:pPr>
            <w:r>
              <w:rPr>
                <w:sz w:val="22"/>
              </w:rPr>
              <w:t>Medicaid contracts through methods such as rate floors and ceilings (e.g., using rate floors to encourage participation and ceilings to discourage out of network care). This approach likely would influence Medicare contracting practices in the state as well.</w:t>
            </w:r>
          </w:p>
        </w:tc>
      </w:tr>
      <w:tr>
        <w:trPr>
          <w:trHeight w:val="5430" w:hRule="exact"/>
        </w:trPr>
        <w:tc>
          <w:tcPr>
            <w:tcW w:w="7376" w:type="dxa"/>
          </w:tcPr>
          <w:p>
            <w:pPr>
              <w:pStyle w:val="TableParagraph"/>
              <w:spacing w:line="268" w:lineRule="exact" w:before="1"/>
              <w:ind w:left="103" w:firstLine="0"/>
              <w:rPr>
                <w:b/>
                <w:i/>
                <w:sz w:val="22"/>
              </w:rPr>
            </w:pPr>
            <w:r>
              <w:rPr>
                <w:b/>
                <w:i/>
                <w:sz w:val="22"/>
              </w:rPr>
              <w:t>5.    Contract Level vs PBP Level Reviews</w:t>
            </w:r>
          </w:p>
          <w:p>
            <w:pPr>
              <w:pStyle w:val="TableParagraph"/>
              <w:numPr>
                <w:ilvl w:val="0"/>
                <w:numId w:val="11"/>
              </w:numPr>
              <w:tabs>
                <w:tab w:pos="463" w:val="left" w:leader="none"/>
                <w:tab w:pos="464" w:val="left" w:leader="none"/>
              </w:tabs>
              <w:spacing w:line="240" w:lineRule="auto" w:before="0" w:after="0"/>
              <w:ind w:left="463" w:right="419" w:hanging="360"/>
              <w:jc w:val="left"/>
              <w:rPr>
                <w:sz w:val="22"/>
              </w:rPr>
            </w:pPr>
            <w:r>
              <w:rPr>
                <w:sz w:val="22"/>
              </w:rPr>
              <w:t>Many SNPs are part of larger contracts and thus subject to contract level reviews</w:t>
            </w:r>
          </w:p>
          <w:p>
            <w:pPr>
              <w:pStyle w:val="TableParagraph"/>
              <w:numPr>
                <w:ilvl w:val="0"/>
                <w:numId w:val="11"/>
              </w:numPr>
              <w:tabs>
                <w:tab w:pos="463" w:val="left" w:leader="none"/>
                <w:tab w:pos="464" w:val="left" w:leader="none"/>
              </w:tabs>
              <w:spacing w:line="240" w:lineRule="auto" w:before="2" w:after="0"/>
              <w:ind w:left="463" w:right="282" w:hanging="360"/>
              <w:jc w:val="left"/>
              <w:rPr>
                <w:sz w:val="22"/>
              </w:rPr>
            </w:pPr>
            <w:r>
              <w:rPr>
                <w:sz w:val="22"/>
              </w:rPr>
              <w:t>How to balance additional burden with potential benefit of additional PBP submissions</w:t>
            </w:r>
          </w:p>
        </w:tc>
        <w:tc>
          <w:tcPr>
            <w:tcW w:w="7021" w:type="dxa"/>
          </w:tcPr>
          <w:p>
            <w:pPr>
              <w:pStyle w:val="TableParagraph"/>
              <w:numPr>
                <w:ilvl w:val="0"/>
                <w:numId w:val="12"/>
              </w:numPr>
              <w:tabs>
                <w:tab w:pos="463" w:val="left" w:leader="none"/>
                <w:tab w:pos="464" w:val="left" w:leader="none"/>
              </w:tabs>
              <w:spacing w:line="240" w:lineRule="auto" w:before="0" w:after="0"/>
              <w:ind w:left="463" w:right="216" w:hanging="360"/>
              <w:jc w:val="left"/>
              <w:rPr>
                <w:sz w:val="22"/>
              </w:rPr>
            </w:pPr>
            <w:r>
              <w:rPr>
                <w:sz w:val="22"/>
              </w:rPr>
              <w:t>Allow contract level option in provider types where no significant differences for subpopulation exist (establish threshold parameters for “significant “</w:t>
            </w:r>
            <w:r>
              <w:rPr>
                <w:spacing w:val="-1"/>
                <w:sz w:val="22"/>
              </w:rPr>
              <w:t> </w:t>
            </w:r>
            <w:r>
              <w:rPr>
                <w:sz w:val="22"/>
              </w:rPr>
              <w:t>differences)</w:t>
            </w:r>
          </w:p>
          <w:p>
            <w:pPr>
              <w:pStyle w:val="TableParagraph"/>
              <w:numPr>
                <w:ilvl w:val="0"/>
                <w:numId w:val="12"/>
              </w:numPr>
              <w:tabs>
                <w:tab w:pos="463" w:val="left" w:leader="none"/>
                <w:tab w:pos="464" w:val="left" w:leader="none"/>
              </w:tabs>
              <w:spacing w:line="240" w:lineRule="auto" w:before="1" w:after="0"/>
              <w:ind w:left="463" w:right="174" w:hanging="360"/>
              <w:jc w:val="left"/>
              <w:rPr>
                <w:sz w:val="22"/>
              </w:rPr>
            </w:pPr>
            <w:r>
              <w:rPr>
                <w:sz w:val="22"/>
              </w:rPr>
              <w:t>Where methodology shows needs exceed contract level, conduct those provider type reviews at PBP level along with exceptions that expand access as in MMP</w:t>
            </w:r>
            <w:r>
              <w:rPr>
                <w:spacing w:val="-8"/>
                <w:sz w:val="22"/>
              </w:rPr>
              <w:t> </w:t>
            </w:r>
            <w:r>
              <w:rPr>
                <w:sz w:val="22"/>
              </w:rPr>
              <w:t>process</w:t>
            </w:r>
          </w:p>
          <w:p>
            <w:pPr>
              <w:pStyle w:val="TableParagraph"/>
              <w:numPr>
                <w:ilvl w:val="0"/>
                <w:numId w:val="12"/>
              </w:numPr>
              <w:tabs>
                <w:tab w:pos="463" w:val="left" w:leader="none"/>
                <w:tab w:pos="464" w:val="left" w:leader="none"/>
              </w:tabs>
              <w:spacing w:line="279" w:lineRule="exact" w:before="0" w:after="0"/>
              <w:ind w:left="463" w:right="0" w:hanging="360"/>
              <w:jc w:val="left"/>
              <w:rPr>
                <w:sz w:val="22"/>
              </w:rPr>
            </w:pPr>
            <w:r>
              <w:rPr>
                <w:sz w:val="22"/>
              </w:rPr>
              <w:t>Other options/variations</w:t>
            </w:r>
            <w:r>
              <w:rPr>
                <w:spacing w:val="-9"/>
                <w:sz w:val="22"/>
              </w:rPr>
              <w:t> </w:t>
            </w:r>
            <w:r>
              <w:rPr>
                <w:sz w:val="22"/>
              </w:rPr>
              <w:t>include:</w:t>
            </w:r>
          </w:p>
          <w:p>
            <w:pPr>
              <w:pStyle w:val="TableParagraph"/>
              <w:numPr>
                <w:ilvl w:val="1"/>
                <w:numId w:val="12"/>
              </w:numPr>
              <w:tabs>
                <w:tab w:pos="1183" w:val="left" w:leader="none"/>
                <w:tab w:pos="1184" w:val="left" w:leader="none"/>
              </w:tabs>
              <w:spacing w:line="237" w:lineRule="auto" w:before="1" w:after="0"/>
              <w:ind w:left="1183" w:right="172" w:hanging="360"/>
              <w:jc w:val="left"/>
              <w:rPr>
                <w:sz w:val="22"/>
              </w:rPr>
            </w:pPr>
            <w:r>
              <w:rPr>
                <w:sz w:val="22"/>
              </w:rPr>
              <w:t>Single MAO network submission that CMS assesses twice (once against broader population (standard) and once against SNP population and standards); MAOs would receive two sets of results</w:t>
            </w:r>
          </w:p>
          <w:p>
            <w:pPr>
              <w:pStyle w:val="TableParagraph"/>
              <w:numPr>
                <w:ilvl w:val="1"/>
                <w:numId w:val="12"/>
              </w:numPr>
              <w:tabs>
                <w:tab w:pos="1183" w:val="left" w:leader="none"/>
                <w:tab w:pos="1184" w:val="left" w:leader="none"/>
              </w:tabs>
              <w:spacing w:line="237" w:lineRule="auto" w:before="3" w:after="0"/>
              <w:ind w:left="1183" w:right="336" w:hanging="360"/>
              <w:jc w:val="left"/>
              <w:rPr>
                <w:sz w:val="22"/>
              </w:rPr>
            </w:pPr>
            <w:r>
              <w:rPr>
                <w:sz w:val="22"/>
              </w:rPr>
              <w:t>If certain providers are only contracted for certain products, potential to add columns to the HSD tables that address the PBP a provider should be mapped to (MAOs still have single submission with CMS/Quest writing code that pulls and maps the appropriate provider); two sets of results back to</w:t>
            </w:r>
            <w:r>
              <w:rPr>
                <w:spacing w:val="-15"/>
                <w:sz w:val="22"/>
              </w:rPr>
              <w:t> </w:t>
            </w:r>
            <w:r>
              <w:rPr>
                <w:sz w:val="22"/>
              </w:rPr>
              <w:t>plans</w:t>
            </w:r>
          </w:p>
          <w:p>
            <w:pPr>
              <w:pStyle w:val="TableParagraph"/>
              <w:numPr>
                <w:ilvl w:val="1"/>
                <w:numId w:val="12"/>
              </w:numPr>
              <w:tabs>
                <w:tab w:pos="1183" w:val="left" w:leader="none"/>
                <w:tab w:pos="1184" w:val="left" w:leader="none"/>
              </w:tabs>
              <w:spacing w:line="232" w:lineRule="auto" w:before="7" w:after="0"/>
              <w:ind w:left="1183" w:right="363" w:hanging="360"/>
              <w:jc w:val="left"/>
              <w:rPr>
                <w:sz w:val="22"/>
              </w:rPr>
            </w:pPr>
            <w:r>
              <w:rPr>
                <w:sz w:val="22"/>
              </w:rPr>
              <w:t>Off cycle reviews to minimize burden (coupled with PBP level submission and review) -- e.g., alternate review</w:t>
            </w:r>
            <w:r>
              <w:rPr>
                <w:spacing w:val="-12"/>
                <w:sz w:val="22"/>
              </w:rPr>
              <w:t> </w:t>
            </w:r>
            <w:r>
              <w:rPr>
                <w:sz w:val="22"/>
              </w:rPr>
              <w:t>years</w:t>
            </w:r>
          </w:p>
          <w:p>
            <w:pPr>
              <w:pStyle w:val="TableParagraph"/>
              <w:numPr>
                <w:ilvl w:val="0"/>
                <w:numId w:val="12"/>
              </w:numPr>
              <w:tabs>
                <w:tab w:pos="463" w:val="left" w:leader="none"/>
                <w:tab w:pos="464" w:val="left" w:leader="none"/>
              </w:tabs>
              <w:spacing w:line="240" w:lineRule="auto" w:before="2" w:after="0"/>
              <w:ind w:left="463" w:right="0" w:hanging="360"/>
              <w:jc w:val="left"/>
              <w:rPr>
                <w:sz w:val="22"/>
              </w:rPr>
            </w:pPr>
            <w:r>
              <w:rPr>
                <w:sz w:val="22"/>
              </w:rPr>
              <w:t>Involve states in exceptions review for</w:t>
            </w:r>
            <w:r>
              <w:rPr>
                <w:spacing w:val="-17"/>
                <w:sz w:val="22"/>
              </w:rPr>
              <w:t> </w:t>
            </w:r>
            <w:r>
              <w:rPr>
                <w:sz w:val="22"/>
              </w:rPr>
              <w:t>DSNPs.</w:t>
            </w:r>
          </w:p>
        </w:tc>
      </w:tr>
      <w:tr>
        <w:trPr>
          <w:trHeight w:val="2182" w:hRule="exact"/>
        </w:trPr>
        <w:tc>
          <w:tcPr>
            <w:tcW w:w="7376" w:type="dxa"/>
          </w:tcPr>
          <w:p>
            <w:pPr>
              <w:pStyle w:val="TableParagraph"/>
              <w:ind w:right="286"/>
              <w:rPr>
                <w:b/>
                <w:sz w:val="22"/>
              </w:rPr>
            </w:pPr>
            <w:r>
              <w:rPr>
                <w:i/>
                <w:sz w:val="22"/>
              </w:rPr>
              <w:t>6. </w:t>
            </w:r>
            <w:r>
              <w:rPr>
                <w:b/>
                <w:sz w:val="22"/>
              </w:rPr>
              <w:t>Reduce Confusion for Beneficiaries in PBP Level or SNF Specific Directories:</w:t>
            </w:r>
          </w:p>
          <w:p>
            <w:pPr>
              <w:pStyle w:val="TableParagraph"/>
              <w:numPr>
                <w:ilvl w:val="0"/>
                <w:numId w:val="13"/>
              </w:numPr>
              <w:tabs>
                <w:tab w:pos="463" w:val="left" w:leader="none"/>
                <w:tab w:pos="464" w:val="left" w:leader="none"/>
              </w:tabs>
              <w:spacing w:line="240" w:lineRule="auto" w:before="1" w:after="0"/>
              <w:ind w:left="463" w:right="361" w:hanging="360"/>
              <w:jc w:val="left"/>
              <w:rPr>
                <w:sz w:val="22"/>
              </w:rPr>
            </w:pPr>
            <w:r>
              <w:rPr>
                <w:sz w:val="22"/>
              </w:rPr>
              <w:t>When the ISNP is using their contract level network, providers must be listed who are not available to SNF residents, making provider</w:t>
            </w:r>
            <w:r>
              <w:rPr>
                <w:spacing w:val="-24"/>
                <w:sz w:val="22"/>
              </w:rPr>
              <w:t> </w:t>
            </w:r>
            <w:r>
              <w:rPr>
                <w:sz w:val="22"/>
              </w:rPr>
              <w:t>directories confusing.</w:t>
            </w:r>
          </w:p>
          <w:p>
            <w:pPr>
              <w:pStyle w:val="TableParagraph"/>
              <w:numPr>
                <w:ilvl w:val="0"/>
                <w:numId w:val="13"/>
              </w:numPr>
              <w:tabs>
                <w:tab w:pos="463" w:val="left" w:leader="none"/>
                <w:tab w:pos="464" w:val="left" w:leader="none"/>
              </w:tabs>
              <w:spacing w:line="240" w:lineRule="auto" w:before="0" w:after="0"/>
              <w:ind w:left="463" w:right="530" w:hanging="360"/>
              <w:jc w:val="left"/>
              <w:rPr>
                <w:sz w:val="22"/>
              </w:rPr>
            </w:pPr>
            <w:r>
              <w:rPr>
                <w:sz w:val="22"/>
              </w:rPr>
              <w:t>Providers who are exclusively serving SNF residents are also listed in directories although they are not available to the community</w:t>
            </w:r>
            <w:r>
              <w:rPr>
                <w:spacing w:val="-19"/>
                <w:sz w:val="22"/>
              </w:rPr>
              <w:t> </w:t>
            </w:r>
            <w:r>
              <w:rPr>
                <w:sz w:val="22"/>
              </w:rPr>
              <w:t>residents.</w:t>
            </w:r>
          </w:p>
        </w:tc>
        <w:tc>
          <w:tcPr>
            <w:tcW w:w="7021" w:type="dxa"/>
          </w:tcPr>
          <w:p>
            <w:pPr>
              <w:pStyle w:val="TableParagraph"/>
              <w:numPr>
                <w:ilvl w:val="0"/>
                <w:numId w:val="14"/>
              </w:numPr>
              <w:tabs>
                <w:tab w:pos="463" w:val="left" w:leader="none"/>
                <w:tab w:pos="464" w:val="left" w:leader="none"/>
              </w:tabs>
              <w:spacing w:line="240" w:lineRule="auto" w:before="0" w:after="0"/>
              <w:ind w:left="463" w:right="255" w:hanging="360"/>
              <w:jc w:val="left"/>
              <w:rPr>
                <w:sz w:val="22"/>
              </w:rPr>
            </w:pPr>
            <w:r>
              <w:rPr>
                <w:sz w:val="22"/>
              </w:rPr>
              <w:t>SNP specific network could eliminate this problem if network review is done at the PBP</w:t>
            </w:r>
            <w:r>
              <w:rPr>
                <w:spacing w:val="-5"/>
                <w:sz w:val="22"/>
              </w:rPr>
              <w:t> </w:t>
            </w:r>
            <w:r>
              <w:rPr>
                <w:sz w:val="22"/>
              </w:rPr>
              <w:t>level</w:t>
            </w:r>
          </w:p>
          <w:p>
            <w:pPr>
              <w:pStyle w:val="TableParagraph"/>
              <w:numPr>
                <w:ilvl w:val="0"/>
                <w:numId w:val="14"/>
              </w:numPr>
              <w:tabs>
                <w:tab w:pos="463" w:val="left" w:leader="none"/>
                <w:tab w:pos="464" w:val="left" w:leader="none"/>
              </w:tabs>
              <w:spacing w:line="240" w:lineRule="auto" w:before="1" w:after="0"/>
              <w:ind w:left="463" w:right="445" w:hanging="360"/>
              <w:jc w:val="left"/>
              <w:rPr>
                <w:sz w:val="22"/>
              </w:rPr>
            </w:pPr>
            <w:r>
              <w:rPr>
                <w:sz w:val="22"/>
              </w:rPr>
              <w:t>Or if network review is at contract level, allow difference in member materials</w:t>
            </w:r>
          </w:p>
        </w:tc>
      </w:tr>
    </w:tbl>
    <w:p>
      <w:pPr>
        <w:spacing w:after="0" w:line="240" w:lineRule="auto"/>
        <w:jc w:val="left"/>
        <w:rPr>
          <w:sz w:val="22"/>
        </w:rPr>
        <w:sectPr>
          <w:pgSz w:w="15840" w:h="12240" w:orient="landscape"/>
          <w:pgMar w:header="0" w:footer="952" w:top="1080" w:bottom="1140" w:left="860" w:right="36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7021"/>
      </w:tblGrid>
      <w:tr>
        <w:trPr>
          <w:trHeight w:val="1623" w:hRule="exact"/>
        </w:trPr>
        <w:tc>
          <w:tcPr>
            <w:tcW w:w="7376" w:type="dxa"/>
          </w:tcPr>
          <w:p>
            <w:pPr>
              <w:pStyle w:val="TableParagraph"/>
              <w:ind w:right="198"/>
              <w:rPr>
                <w:sz w:val="22"/>
              </w:rPr>
            </w:pPr>
            <w:r>
              <w:rPr>
                <w:i/>
                <w:sz w:val="22"/>
              </w:rPr>
              <w:t>7. </w:t>
            </w:r>
            <w:r>
              <w:rPr>
                <w:b/>
                <w:i/>
                <w:sz w:val="22"/>
              </w:rPr>
              <w:t>IE SNPs and Assisted Living</w:t>
            </w:r>
            <w:r>
              <w:rPr>
                <w:i/>
                <w:sz w:val="22"/>
              </w:rPr>
              <w:t>: </w:t>
            </w:r>
            <w:r>
              <w:rPr>
                <w:sz w:val="22"/>
              </w:rPr>
              <w:t>Some IE SNPs have had trouble with network reviews related to Assisted Living, which are not a covered service under Medicare so they don’t appear on plan previous network or Medicare supply tables and cannot be contracted until after the application/contract is approved but CMS is requiring they be contracted prior to the approval.</w:t>
            </w:r>
          </w:p>
        </w:tc>
        <w:tc>
          <w:tcPr>
            <w:tcW w:w="7021" w:type="dxa"/>
          </w:tcPr>
          <w:p>
            <w:pPr>
              <w:pStyle w:val="TableParagraph"/>
              <w:numPr>
                <w:ilvl w:val="0"/>
                <w:numId w:val="15"/>
              </w:numPr>
              <w:tabs>
                <w:tab w:pos="463" w:val="left" w:leader="none"/>
                <w:tab w:pos="464" w:val="left" w:leader="none"/>
              </w:tabs>
              <w:spacing w:line="240" w:lineRule="auto" w:before="0" w:after="0"/>
              <w:ind w:left="463" w:right="145" w:hanging="360"/>
              <w:jc w:val="left"/>
              <w:rPr>
                <w:sz w:val="22"/>
              </w:rPr>
            </w:pPr>
            <w:r>
              <w:rPr>
                <w:sz w:val="22"/>
              </w:rPr>
              <w:t>Adjust review process guidelines or provide training for reviewers to consider that IE SNPs cannot contract with Assisted Living until contract is</w:t>
            </w:r>
            <w:r>
              <w:rPr>
                <w:spacing w:val="-1"/>
                <w:sz w:val="22"/>
              </w:rPr>
              <w:t> </w:t>
            </w:r>
            <w:r>
              <w:rPr>
                <w:sz w:val="22"/>
              </w:rPr>
              <w:t>approved.</w:t>
            </w:r>
          </w:p>
        </w:tc>
      </w:tr>
      <w:tr>
        <w:trPr>
          <w:trHeight w:val="8102" w:hRule="exact"/>
        </w:trPr>
        <w:tc>
          <w:tcPr>
            <w:tcW w:w="7376" w:type="dxa"/>
          </w:tcPr>
          <w:p>
            <w:pPr>
              <w:pStyle w:val="TableParagraph"/>
              <w:rPr>
                <w:i/>
                <w:sz w:val="22"/>
              </w:rPr>
            </w:pPr>
            <w:r>
              <w:rPr>
                <w:i/>
                <w:sz w:val="22"/>
              </w:rPr>
              <w:t>8. </w:t>
            </w:r>
            <w:r>
              <w:rPr>
                <w:b/>
                <w:i/>
                <w:sz w:val="22"/>
              </w:rPr>
              <w:t>Recognize New Service Delivery Best Practices and Role of Quality in </w:t>
            </w:r>
            <w:r>
              <w:rPr>
                <w:b/>
                <w:i/>
                <w:sz w:val="22"/>
              </w:rPr>
              <w:t>Providers, vs Quantity</w:t>
            </w:r>
            <w:r>
              <w:rPr>
                <w:i/>
                <w:sz w:val="22"/>
              </w:rPr>
              <w:t>:</w:t>
            </w:r>
          </w:p>
          <w:p>
            <w:pPr>
              <w:pStyle w:val="TableParagraph"/>
              <w:numPr>
                <w:ilvl w:val="0"/>
                <w:numId w:val="16"/>
              </w:numPr>
              <w:tabs>
                <w:tab w:pos="463" w:val="left" w:leader="none"/>
                <w:tab w:pos="464" w:val="left" w:leader="none"/>
              </w:tabs>
              <w:spacing w:line="240" w:lineRule="auto" w:before="0" w:after="0"/>
              <w:ind w:left="463" w:right="334" w:hanging="360"/>
              <w:jc w:val="left"/>
              <w:rPr>
                <w:sz w:val="22"/>
              </w:rPr>
            </w:pPr>
            <w:r>
              <w:rPr>
                <w:sz w:val="22"/>
              </w:rPr>
              <w:t>Some provider care systems have been developed with special expertise and focus for chronic conditions, geriatrics, end of life care, integration of primary and behavioral health, disease specialties,</w:t>
            </w:r>
            <w:r>
              <w:rPr>
                <w:spacing w:val="-22"/>
                <w:sz w:val="22"/>
              </w:rPr>
              <w:t> </w:t>
            </w:r>
            <w:r>
              <w:rPr>
                <w:sz w:val="22"/>
              </w:rPr>
              <w:t>etc.</w:t>
            </w:r>
          </w:p>
          <w:p>
            <w:pPr>
              <w:pStyle w:val="TableParagraph"/>
              <w:numPr>
                <w:ilvl w:val="0"/>
                <w:numId w:val="16"/>
              </w:numPr>
              <w:tabs>
                <w:tab w:pos="463" w:val="left" w:leader="none"/>
                <w:tab w:pos="464" w:val="left" w:leader="none"/>
              </w:tabs>
              <w:spacing w:line="240" w:lineRule="auto" w:before="1" w:after="0"/>
              <w:ind w:left="463" w:right="355" w:hanging="360"/>
              <w:jc w:val="left"/>
              <w:rPr>
                <w:sz w:val="22"/>
              </w:rPr>
            </w:pPr>
            <w:r>
              <w:rPr>
                <w:sz w:val="22"/>
              </w:rPr>
              <w:t>Beneficiaries may benefit more from improved care under value based provider contracting arrangements with these types of providers than by having access to poor providers. This would reflect CMS efforts to shift to alternative payment models across Medicare more</w:t>
            </w:r>
            <w:r>
              <w:rPr>
                <w:spacing w:val="-15"/>
                <w:sz w:val="22"/>
              </w:rPr>
              <w:t> </w:t>
            </w:r>
            <w:r>
              <w:rPr>
                <w:sz w:val="22"/>
              </w:rPr>
              <w:t>broadly.</w:t>
            </w:r>
          </w:p>
          <w:p>
            <w:pPr>
              <w:pStyle w:val="TableParagraph"/>
              <w:numPr>
                <w:ilvl w:val="0"/>
                <w:numId w:val="16"/>
              </w:numPr>
              <w:tabs>
                <w:tab w:pos="463" w:val="left" w:leader="none"/>
                <w:tab w:pos="464" w:val="left" w:leader="none"/>
              </w:tabs>
              <w:spacing w:line="240" w:lineRule="auto" w:before="0" w:after="0"/>
              <w:ind w:left="463" w:right="169" w:hanging="360"/>
              <w:jc w:val="left"/>
              <w:rPr>
                <w:sz w:val="22"/>
              </w:rPr>
            </w:pPr>
            <w:r>
              <w:rPr>
                <w:sz w:val="22"/>
              </w:rPr>
              <w:t>However, to meet current requirements plans must use valuable administrative resources on obtaining contracts with providers on the supply files, rather than focusing on providers that are interested in serving dual groups and who also provide more</w:t>
            </w:r>
            <w:r>
              <w:rPr>
                <w:spacing w:val="-14"/>
                <w:sz w:val="22"/>
              </w:rPr>
              <w:t> </w:t>
            </w:r>
            <w:r>
              <w:rPr>
                <w:sz w:val="22"/>
              </w:rPr>
              <w:t>value.</w:t>
            </w:r>
          </w:p>
          <w:p>
            <w:pPr>
              <w:pStyle w:val="TableParagraph"/>
              <w:numPr>
                <w:ilvl w:val="0"/>
                <w:numId w:val="16"/>
              </w:numPr>
              <w:tabs>
                <w:tab w:pos="463" w:val="left" w:leader="none"/>
                <w:tab w:pos="464" w:val="left" w:leader="none"/>
              </w:tabs>
              <w:spacing w:line="240" w:lineRule="auto" w:before="3" w:after="0"/>
              <w:ind w:left="463" w:right="366" w:hanging="360"/>
              <w:jc w:val="left"/>
              <w:rPr>
                <w:sz w:val="22"/>
              </w:rPr>
            </w:pPr>
            <w:r>
              <w:rPr>
                <w:sz w:val="22"/>
              </w:rPr>
              <w:t>Supply based approaches may also be driving unnecessary utilization and costs.</w:t>
            </w:r>
          </w:p>
        </w:tc>
        <w:tc>
          <w:tcPr>
            <w:tcW w:w="7021" w:type="dxa"/>
          </w:tcPr>
          <w:p>
            <w:pPr>
              <w:pStyle w:val="TableParagraph"/>
              <w:numPr>
                <w:ilvl w:val="0"/>
                <w:numId w:val="17"/>
              </w:numPr>
              <w:tabs>
                <w:tab w:pos="463" w:val="left" w:leader="none"/>
                <w:tab w:pos="464" w:val="left" w:leader="none"/>
              </w:tabs>
              <w:spacing w:line="240" w:lineRule="auto" w:before="0" w:after="0"/>
              <w:ind w:left="463" w:right="578" w:hanging="360"/>
              <w:jc w:val="left"/>
              <w:rPr>
                <w:sz w:val="22"/>
              </w:rPr>
            </w:pPr>
            <w:r>
              <w:rPr>
                <w:sz w:val="22"/>
              </w:rPr>
              <w:t>Consider impact of growing role of value/quality based contracting approaches in network</w:t>
            </w:r>
            <w:r>
              <w:rPr>
                <w:spacing w:val="-10"/>
                <w:sz w:val="22"/>
              </w:rPr>
              <w:t> </w:t>
            </w:r>
            <w:r>
              <w:rPr>
                <w:sz w:val="22"/>
              </w:rPr>
              <w:t>development</w:t>
            </w:r>
          </w:p>
          <w:p>
            <w:pPr>
              <w:pStyle w:val="TableParagraph"/>
              <w:numPr>
                <w:ilvl w:val="0"/>
                <w:numId w:val="17"/>
              </w:numPr>
              <w:tabs>
                <w:tab w:pos="463" w:val="left" w:leader="none"/>
                <w:tab w:pos="464" w:val="left" w:leader="none"/>
              </w:tabs>
              <w:spacing w:line="240" w:lineRule="auto" w:before="3" w:after="0"/>
              <w:ind w:left="463" w:right="814" w:hanging="360"/>
              <w:jc w:val="left"/>
              <w:rPr>
                <w:sz w:val="22"/>
              </w:rPr>
            </w:pPr>
            <w:r>
              <w:rPr>
                <w:sz w:val="22"/>
              </w:rPr>
              <w:t>Work toward recognizing quality vs quantity (supply) based best practice approaches to network</w:t>
            </w:r>
            <w:r>
              <w:rPr>
                <w:spacing w:val="-12"/>
                <w:sz w:val="22"/>
              </w:rPr>
              <w:t> </w:t>
            </w:r>
            <w:r>
              <w:rPr>
                <w:sz w:val="22"/>
              </w:rPr>
              <w:t>development</w:t>
            </w:r>
          </w:p>
          <w:p>
            <w:pPr>
              <w:pStyle w:val="TableParagraph"/>
              <w:numPr>
                <w:ilvl w:val="1"/>
                <w:numId w:val="17"/>
              </w:numPr>
              <w:tabs>
                <w:tab w:pos="1183" w:val="left" w:leader="none"/>
                <w:tab w:pos="1184" w:val="left" w:leader="none"/>
              </w:tabs>
              <w:spacing w:line="237" w:lineRule="auto" w:before="2" w:after="0"/>
              <w:ind w:left="1183" w:right="182" w:hanging="360"/>
              <w:jc w:val="left"/>
              <w:rPr>
                <w:sz w:val="22"/>
              </w:rPr>
            </w:pPr>
            <w:r>
              <w:rPr>
                <w:sz w:val="22"/>
              </w:rPr>
              <w:t>Clarify or strengthen process for reporting of and reducing use of poor quality providers in network development, for example allowing an exception for these providers when they are the nearest available to</w:t>
            </w:r>
            <w:r>
              <w:rPr>
                <w:spacing w:val="-8"/>
                <w:sz w:val="22"/>
              </w:rPr>
              <w:t> </w:t>
            </w:r>
            <w:r>
              <w:rPr>
                <w:sz w:val="22"/>
              </w:rPr>
              <w:t>beneficiaries</w:t>
            </w:r>
          </w:p>
          <w:p>
            <w:pPr>
              <w:pStyle w:val="TableParagraph"/>
              <w:numPr>
                <w:ilvl w:val="1"/>
                <w:numId w:val="17"/>
              </w:numPr>
              <w:tabs>
                <w:tab w:pos="1183" w:val="left" w:leader="none"/>
                <w:tab w:pos="1184" w:val="left" w:leader="none"/>
              </w:tabs>
              <w:spacing w:line="271" w:lineRule="exact" w:before="0" w:after="0"/>
              <w:ind w:left="1183" w:right="0" w:hanging="360"/>
              <w:jc w:val="left"/>
              <w:rPr>
                <w:sz w:val="22"/>
              </w:rPr>
            </w:pPr>
            <w:r>
              <w:rPr>
                <w:sz w:val="22"/>
              </w:rPr>
              <w:t>Possible</w:t>
            </w:r>
            <w:r>
              <w:rPr>
                <w:spacing w:val="-5"/>
                <w:sz w:val="22"/>
              </w:rPr>
              <w:t> </w:t>
            </w:r>
            <w:r>
              <w:rPr>
                <w:sz w:val="22"/>
              </w:rPr>
              <w:t>Approaches:</w:t>
            </w:r>
          </w:p>
          <w:p>
            <w:pPr>
              <w:pStyle w:val="TableParagraph"/>
              <w:numPr>
                <w:ilvl w:val="2"/>
                <w:numId w:val="17"/>
              </w:numPr>
              <w:tabs>
                <w:tab w:pos="1543" w:val="left" w:leader="none"/>
                <w:tab w:pos="1544" w:val="left" w:leader="none"/>
              </w:tabs>
              <w:spacing w:line="237" w:lineRule="auto" w:before="0" w:after="0"/>
              <w:ind w:left="1543" w:right="163" w:hanging="360"/>
              <w:jc w:val="left"/>
              <w:rPr>
                <w:sz w:val="22"/>
              </w:rPr>
            </w:pPr>
            <w:r>
              <w:rPr>
                <w:sz w:val="22"/>
              </w:rPr>
              <w:t>Pass a network in instances where it fails network access but exceeds quality thresholds (would need to create guardrails around how much of a fail is permitted;</w:t>
            </w:r>
            <w:r>
              <w:rPr>
                <w:spacing w:val="-22"/>
                <w:sz w:val="22"/>
              </w:rPr>
              <w:t> </w:t>
            </w:r>
            <w:r>
              <w:rPr>
                <w:sz w:val="22"/>
              </w:rPr>
              <w:t>perhaps, pass networks at 75% coverage (rather than 90%) if providers meet some quality</w:t>
            </w:r>
            <w:r>
              <w:rPr>
                <w:spacing w:val="-13"/>
                <w:sz w:val="22"/>
              </w:rPr>
              <w:t> </w:t>
            </w:r>
            <w:r>
              <w:rPr>
                <w:sz w:val="22"/>
              </w:rPr>
              <w:t>threshold)</w:t>
            </w:r>
          </w:p>
          <w:p>
            <w:pPr>
              <w:pStyle w:val="TableParagraph"/>
              <w:numPr>
                <w:ilvl w:val="2"/>
                <w:numId w:val="17"/>
              </w:numPr>
              <w:tabs>
                <w:tab w:pos="1543" w:val="left" w:leader="none"/>
                <w:tab w:pos="1544" w:val="left" w:leader="none"/>
              </w:tabs>
              <w:spacing w:line="237" w:lineRule="auto" w:before="6" w:after="0"/>
              <w:ind w:left="1543" w:right="378" w:hanging="360"/>
              <w:jc w:val="left"/>
              <w:rPr>
                <w:sz w:val="22"/>
              </w:rPr>
            </w:pPr>
            <w:r>
              <w:rPr>
                <w:sz w:val="22"/>
              </w:rPr>
              <w:t>Remove providers from supply file in instances where at least two MAOs in a county have signaled poor quality of that</w:t>
            </w:r>
            <w:r>
              <w:rPr>
                <w:spacing w:val="-2"/>
                <w:sz w:val="22"/>
              </w:rPr>
              <w:t> </w:t>
            </w:r>
            <w:r>
              <w:rPr>
                <w:sz w:val="22"/>
              </w:rPr>
              <w:t>providers</w:t>
            </w:r>
          </w:p>
          <w:p>
            <w:pPr>
              <w:pStyle w:val="TableParagraph"/>
              <w:numPr>
                <w:ilvl w:val="2"/>
                <w:numId w:val="17"/>
              </w:numPr>
              <w:tabs>
                <w:tab w:pos="1543" w:val="left" w:leader="none"/>
                <w:tab w:pos="1544" w:val="left" w:leader="none"/>
              </w:tabs>
              <w:spacing w:line="237" w:lineRule="auto" w:before="3" w:after="0"/>
              <w:ind w:left="1543" w:right="115" w:hanging="360"/>
              <w:jc w:val="left"/>
              <w:rPr>
                <w:sz w:val="22"/>
              </w:rPr>
            </w:pPr>
            <w:r>
              <w:rPr>
                <w:sz w:val="22"/>
              </w:rPr>
              <w:t>Develop an overall scoring algorithm that measures both “quantity” and quality, such that MAOs can pass solely on quantity (i.e., status quo) or can get “bonus points” of some sort based on the quality of their network (similar to number 1</w:t>
            </w:r>
            <w:r>
              <w:rPr>
                <w:spacing w:val="-4"/>
                <w:sz w:val="22"/>
              </w:rPr>
              <w:t> </w:t>
            </w:r>
            <w:r>
              <w:rPr>
                <w:sz w:val="22"/>
              </w:rPr>
              <w:t>above)</w:t>
            </w:r>
          </w:p>
          <w:p>
            <w:pPr>
              <w:pStyle w:val="TableParagraph"/>
              <w:numPr>
                <w:ilvl w:val="0"/>
                <w:numId w:val="17"/>
              </w:numPr>
              <w:tabs>
                <w:tab w:pos="463" w:val="left" w:leader="none"/>
                <w:tab w:pos="464" w:val="left" w:leader="none"/>
              </w:tabs>
              <w:spacing w:line="240" w:lineRule="auto" w:before="1" w:after="0"/>
              <w:ind w:left="463" w:right="564" w:hanging="360"/>
              <w:jc w:val="left"/>
              <w:rPr>
                <w:sz w:val="22"/>
              </w:rPr>
            </w:pPr>
            <w:r>
              <w:rPr>
                <w:sz w:val="22"/>
              </w:rPr>
              <w:t>Consider improving definitions of what constitutes supply, perhaps based on FFS or encounter data (eventually) patterns of care for subpopulation groups such as dually eligible</w:t>
            </w:r>
            <w:r>
              <w:rPr>
                <w:spacing w:val="-13"/>
                <w:sz w:val="22"/>
              </w:rPr>
              <w:t> </w:t>
            </w:r>
            <w:r>
              <w:rPr>
                <w:sz w:val="22"/>
              </w:rPr>
              <w:t>benes.</w:t>
            </w:r>
          </w:p>
          <w:p>
            <w:pPr>
              <w:pStyle w:val="TableParagraph"/>
              <w:numPr>
                <w:ilvl w:val="1"/>
                <w:numId w:val="17"/>
              </w:numPr>
              <w:tabs>
                <w:tab w:pos="1183" w:val="left" w:leader="none"/>
                <w:tab w:pos="1184" w:val="left" w:leader="none"/>
              </w:tabs>
              <w:spacing w:line="235" w:lineRule="auto" w:before="4" w:after="0"/>
              <w:ind w:left="1183" w:right="108" w:hanging="360"/>
              <w:jc w:val="left"/>
              <w:rPr>
                <w:sz w:val="22"/>
              </w:rPr>
            </w:pPr>
            <w:r>
              <w:rPr>
                <w:sz w:val="22"/>
              </w:rPr>
              <w:t>As encounter/utilization data improves, move toward a service access approach instead of a provider type availability</w:t>
            </w:r>
            <w:r>
              <w:rPr>
                <w:spacing w:val="-18"/>
                <w:sz w:val="22"/>
              </w:rPr>
              <w:t> </w:t>
            </w:r>
            <w:r>
              <w:rPr>
                <w:sz w:val="22"/>
              </w:rPr>
              <w:t>approach</w:t>
            </w:r>
          </w:p>
          <w:p>
            <w:pPr>
              <w:pStyle w:val="TableParagraph"/>
              <w:numPr>
                <w:ilvl w:val="1"/>
                <w:numId w:val="17"/>
              </w:numPr>
              <w:tabs>
                <w:tab w:pos="1183" w:val="left" w:leader="none"/>
                <w:tab w:pos="1184" w:val="left" w:leader="none"/>
              </w:tabs>
              <w:spacing w:line="235" w:lineRule="auto" w:before="3" w:after="0"/>
              <w:ind w:left="1183" w:right="418" w:hanging="360"/>
              <w:jc w:val="left"/>
              <w:rPr>
                <w:sz w:val="22"/>
              </w:rPr>
            </w:pPr>
            <w:r>
              <w:rPr>
                <w:sz w:val="22"/>
              </w:rPr>
              <w:t>Consider expertise and relationships needed to serve special populations vs access issues</w:t>
            </w:r>
            <w:r>
              <w:rPr>
                <w:spacing w:val="-3"/>
                <w:sz w:val="22"/>
              </w:rPr>
              <w:t> </w:t>
            </w:r>
            <w:r>
              <w:rPr>
                <w:sz w:val="22"/>
              </w:rPr>
              <w:t>only.</w:t>
            </w:r>
          </w:p>
          <w:p>
            <w:pPr>
              <w:pStyle w:val="TableParagraph"/>
              <w:numPr>
                <w:ilvl w:val="2"/>
                <w:numId w:val="17"/>
              </w:numPr>
              <w:tabs>
                <w:tab w:pos="1903" w:val="left" w:leader="none"/>
                <w:tab w:pos="1904" w:val="left" w:leader="none"/>
              </w:tabs>
              <w:spacing w:line="240" w:lineRule="auto" w:before="1" w:after="0"/>
              <w:ind w:left="1903" w:right="0" w:hanging="360"/>
              <w:jc w:val="left"/>
              <w:rPr>
                <w:sz w:val="22"/>
              </w:rPr>
            </w:pPr>
            <w:r>
              <w:rPr>
                <w:sz w:val="22"/>
              </w:rPr>
              <w:t>Examples: Recognize role of PCPs in addressing</w:t>
            </w:r>
            <w:r>
              <w:rPr>
                <w:spacing w:val="-21"/>
                <w:sz w:val="22"/>
              </w:rPr>
              <w:t> </w:t>
            </w:r>
            <w:r>
              <w:rPr>
                <w:sz w:val="22"/>
              </w:rPr>
              <w:t>broader</w:t>
            </w:r>
          </w:p>
        </w:tc>
      </w:tr>
    </w:tbl>
    <w:p>
      <w:pPr>
        <w:spacing w:after="0" w:line="240" w:lineRule="auto"/>
        <w:jc w:val="left"/>
        <w:rPr>
          <w:sz w:val="22"/>
        </w:rPr>
        <w:sectPr>
          <w:pgSz w:w="15840" w:h="12240" w:orient="landscape"/>
          <w:pgMar w:header="0" w:footer="952" w:top="1080" w:bottom="1140" w:left="860" w:right="36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7021"/>
      </w:tblGrid>
      <w:tr>
        <w:trPr>
          <w:trHeight w:val="1889" w:hRule="exact"/>
        </w:trPr>
        <w:tc>
          <w:tcPr>
            <w:tcW w:w="7376" w:type="dxa"/>
          </w:tcPr>
          <w:p>
            <w:pPr/>
          </w:p>
        </w:tc>
        <w:tc>
          <w:tcPr>
            <w:tcW w:w="7021" w:type="dxa"/>
          </w:tcPr>
          <w:p>
            <w:pPr>
              <w:pStyle w:val="TableParagraph"/>
              <w:ind w:left="1903" w:right="171" w:firstLine="0"/>
              <w:rPr>
                <w:sz w:val="22"/>
              </w:rPr>
            </w:pPr>
            <w:r>
              <w:rPr>
                <w:sz w:val="22"/>
              </w:rPr>
              <w:t>scope of needs especially in rural or hard to serve areas, permitting alternate provider type exceptions or developing standards through services rendered by providers versus provider type only</w:t>
            </w:r>
          </w:p>
          <w:p>
            <w:pPr>
              <w:pStyle w:val="TableParagraph"/>
              <w:tabs>
                <w:tab w:pos="1183" w:val="left" w:leader="none"/>
              </w:tabs>
              <w:spacing w:line="235" w:lineRule="auto" w:before="4"/>
              <w:ind w:left="1183" w:right="301"/>
              <w:rPr>
                <w:sz w:val="22"/>
              </w:rPr>
            </w:pPr>
            <w:r>
              <w:rPr>
                <w:rFonts w:ascii="Courier New"/>
                <w:sz w:val="22"/>
              </w:rPr>
              <w:t>o</w:t>
              <w:tab/>
            </w:r>
            <w:r>
              <w:rPr>
                <w:sz w:val="22"/>
              </w:rPr>
              <w:t>Improve and make consistent definitions of</w:t>
            </w:r>
            <w:r>
              <w:rPr>
                <w:spacing w:val="-14"/>
                <w:sz w:val="22"/>
              </w:rPr>
              <w:t> </w:t>
            </w:r>
            <w:r>
              <w:rPr>
                <w:sz w:val="22"/>
              </w:rPr>
              <w:t>population</w:t>
            </w:r>
            <w:r>
              <w:rPr>
                <w:spacing w:val="-2"/>
                <w:sz w:val="22"/>
              </w:rPr>
              <w:t> </w:t>
            </w:r>
            <w:r>
              <w:rPr>
                <w:sz w:val="22"/>
              </w:rPr>
              <w:t>sub-</w:t>
            </w:r>
            <w:r>
              <w:rPr>
                <w:w w:val="100"/>
                <w:sz w:val="22"/>
              </w:rPr>
              <w:t> </w:t>
            </w:r>
            <w:r>
              <w:rPr>
                <w:sz w:val="22"/>
              </w:rPr>
              <w:t>groups for possible VBP, measurement and network</w:t>
            </w:r>
            <w:r>
              <w:rPr>
                <w:spacing w:val="-19"/>
                <w:sz w:val="22"/>
              </w:rPr>
              <w:t> </w:t>
            </w:r>
            <w:r>
              <w:rPr>
                <w:sz w:val="22"/>
              </w:rPr>
              <w:t>purposes</w:t>
            </w:r>
          </w:p>
        </w:tc>
      </w:tr>
      <w:tr>
        <w:trPr>
          <w:trHeight w:val="1904" w:hRule="exact"/>
        </w:trPr>
        <w:tc>
          <w:tcPr>
            <w:tcW w:w="7376" w:type="dxa"/>
          </w:tcPr>
          <w:p>
            <w:pPr>
              <w:pStyle w:val="TableParagraph"/>
              <w:spacing w:line="268" w:lineRule="exact" w:before="1"/>
              <w:ind w:left="103" w:firstLine="0"/>
              <w:rPr>
                <w:b/>
                <w:i/>
                <w:sz w:val="22"/>
              </w:rPr>
            </w:pPr>
            <w:r>
              <w:rPr>
                <w:b/>
                <w:i/>
                <w:sz w:val="22"/>
              </w:rPr>
              <w:t>9.   Streamline Communications/Reduce Administrative Burden</w:t>
            </w:r>
          </w:p>
          <w:p>
            <w:pPr>
              <w:pStyle w:val="TableParagraph"/>
              <w:numPr>
                <w:ilvl w:val="0"/>
                <w:numId w:val="18"/>
              </w:numPr>
              <w:tabs>
                <w:tab w:pos="463" w:val="left" w:leader="none"/>
                <w:tab w:pos="464" w:val="left" w:leader="none"/>
              </w:tabs>
              <w:spacing w:line="240" w:lineRule="auto" w:before="0" w:after="0"/>
              <w:ind w:left="463" w:right="200" w:hanging="360"/>
              <w:jc w:val="left"/>
              <w:rPr>
                <w:sz w:val="22"/>
              </w:rPr>
            </w:pPr>
            <w:r>
              <w:rPr>
                <w:sz w:val="22"/>
              </w:rPr>
              <w:t>Some plans have been denied approval for lack of one provider but are not informed of who the provider is. It can be difficult and burdensome to compare CMS’ entire supply table with a plan’s network and overlay with beneficiary locations to identify missing providers; however, CMS has this information readily accessible as part of its</w:t>
            </w:r>
            <w:r>
              <w:rPr>
                <w:spacing w:val="-13"/>
                <w:sz w:val="22"/>
              </w:rPr>
              <w:t> </w:t>
            </w:r>
            <w:r>
              <w:rPr>
                <w:sz w:val="22"/>
              </w:rPr>
              <w:t>review.</w:t>
            </w:r>
          </w:p>
        </w:tc>
        <w:tc>
          <w:tcPr>
            <w:tcW w:w="7021" w:type="dxa"/>
          </w:tcPr>
          <w:p>
            <w:pPr>
              <w:pStyle w:val="TableParagraph"/>
              <w:numPr>
                <w:ilvl w:val="0"/>
                <w:numId w:val="19"/>
              </w:numPr>
              <w:tabs>
                <w:tab w:pos="464" w:val="left" w:leader="none"/>
              </w:tabs>
              <w:spacing w:line="240" w:lineRule="auto" w:before="0" w:after="0"/>
              <w:ind w:left="463" w:right="194" w:hanging="360"/>
              <w:jc w:val="both"/>
              <w:rPr>
                <w:sz w:val="22"/>
              </w:rPr>
            </w:pPr>
            <w:r>
              <w:rPr>
                <w:sz w:val="22"/>
              </w:rPr>
              <w:t>Develop and incorporate streamlined process for CMS to communicate this information to plan, for example including the NPI, provider name, and location in denial</w:t>
            </w:r>
            <w:r>
              <w:rPr>
                <w:spacing w:val="-6"/>
                <w:sz w:val="22"/>
              </w:rPr>
              <w:t> </w:t>
            </w:r>
            <w:r>
              <w:rPr>
                <w:sz w:val="22"/>
              </w:rPr>
              <w:t>details.</w:t>
            </w:r>
          </w:p>
        </w:tc>
      </w:tr>
      <w:tr>
        <w:trPr>
          <w:trHeight w:val="5989" w:hRule="exact"/>
        </w:trPr>
        <w:tc>
          <w:tcPr>
            <w:tcW w:w="7376" w:type="dxa"/>
          </w:tcPr>
          <w:p>
            <w:pPr>
              <w:pStyle w:val="TableParagraph"/>
              <w:spacing w:line="268" w:lineRule="exact"/>
              <w:ind w:left="103" w:firstLine="0"/>
              <w:rPr>
                <w:b/>
                <w:i/>
                <w:sz w:val="22"/>
              </w:rPr>
            </w:pPr>
            <w:r>
              <w:rPr>
                <w:b/>
                <w:i/>
                <w:sz w:val="22"/>
              </w:rPr>
              <w:t>10.  Mapping and Data Source Challenges</w:t>
            </w:r>
          </w:p>
          <w:p>
            <w:pPr>
              <w:pStyle w:val="TableParagraph"/>
              <w:numPr>
                <w:ilvl w:val="0"/>
                <w:numId w:val="20"/>
              </w:numPr>
              <w:tabs>
                <w:tab w:pos="463" w:val="left" w:leader="none"/>
                <w:tab w:pos="464" w:val="left" w:leader="none"/>
              </w:tabs>
              <w:spacing w:line="240" w:lineRule="auto" w:before="0" w:after="0"/>
              <w:ind w:left="463" w:right="423" w:hanging="360"/>
              <w:jc w:val="left"/>
              <w:rPr>
                <w:sz w:val="22"/>
              </w:rPr>
            </w:pPr>
            <w:r>
              <w:rPr>
                <w:sz w:val="22"/>
              </w:rPr>
              <w:t>CMS network mapping measures distance “as the crow flies” resulting in inaccurate distance assumptions due to lakes, forests,</w:t>
            </w:r>
            <w:r>
              <w:rPr>
                <w:spacing w:val="-15"/>
                <w:sz w:val="22"/>
              </w:rPr>
              <w:t> </w:t>
            </w:r>
            <w:r>
              <w:rPr>
                <w:sz w:val="22"/>
              </w:rPr>
              <w:t>etc.</w:t>
            </w:r>
          </w:p>
          <w:p>
            <w:pPr>
              <w:pStyle w:val="TableParagraph"/>
              <w:numPr>
                <w:ilvl w:val="0"/>
                <w:numId w:val="20"/>
              </w:numPr>
              <w:tabs>
                <w:tab w:pos="463" w:val="left" w:leader="none"/>
                <w:tab w:pos="464" w:val="left" w:leader="none"/>
              </w:tabs>
              <w:spacing w:line="240" w:lineRule="auto" w:before="0" w:after="0"/>
              <w:ind w:left="463" w:right="432" w:hanging="360"/>
              <w:jc w:val="left"/>
              <w:rPr>
                <w:sz w:val="22"/>
              </w:rPr>
            </w:pPr>
            <w:r>
              <w:rPr>
                <w:sz w:val="22"/>
              </w:rPr>
              <w:t>Some exceptions have to be submitted repeatedly across several years because providers are not actually available but this information has not been updated in CMS source</w:t>
            </w:r>
            <w:r>
              <w:rPr>
                <w:spacing w:val="-6"/>
                <w:sz w:val="22"/>
              </w:rPr>
              <w:t> </w:t>
            </w:r>
            <w:r>
              <w:rPr>
                <w:sz w:val="22"/>
              </w:rPr>
              <w:t>data</w:t>
            </w:r>
          </w:p>
          <w:p>
            <w:pPr>
              <w:pStyle w:val="TableParagraph"/>
              <w:numPr>
                <w:ilvl w:val="0"/>
                <w:numId w:val="20"/>
              </w:numPr>
              <w:tabs>
                <w:tab w:pos="463" w:val="left" w:leader="none"/>
                <w:tab w:pos="464" w:val="left" w:leader="none"/>
              </w:tabs>
              <w:spacing w:line="240" w:lineRule="auto" w:before="3" w:after="0"/>
              <w:ind w:left="463" w:right="749" w:hanging="360"/>
              <w:jc w:val="left"/>
              <w:rPr>
                <w:sz w:val="22"/>
              </w:rPr>
            </w:pPr>
            <w:r>
              <w:rPr>
                <w:sz w:val="22"/>
              </w:rPr>
              <w:t>Provider addresses may reflect billing offices not location of provider services</w:t>
            </w:r>
          </w:p>
          <w:p>
            <w:pPr>
              <w:pStyle w:val="TableParagraph"/>
              <w:numPr>
                <w:ilvl w:val="0"/>
                <w:numId w:val="20"/>
              </w:numPr>
              <w:tabs>
                <w:tab w:pos="463" w:val="left" w:leader="none"/>
                <w:tab w:pos="464" w:val="left" w:leader="none"/>
              </w:tabs>
              <w:spacing w:line="279" w:lineRule="exact" w:before="0" w:after="0"/>
              <w:ind w:left="463" w:right="0" w:hanging="360"/>
              <w:jc w:val="left"/>
              <w:rPr>
                <w:sz w:val="22"/>
              </w:rPr>
            </w:pPr>
            <w:r>
              <w:rPr>
                <w:sz w:val="22"/>
              </w:rPr>
              <w:t>Multiple sources of data for supply files may not be</w:t>
            </w:r>
            <w:r>
              <w:rPr>
                <w:spacing w:val="-20"/>
                <w:sz w:val="22"/>
              </w:rPr>
              <w:t> </w:t>
            </w:r>
            <w:r>
              <w:rPr>
                <w:sz w:val="22"/>
              </w:rPr>
              <w:t>updated</w:t>
            </w:r>
          </w:p>
          <w:p>
            <w:pPr>
              <w:pStyle w:val="TableParagraph"/>
              <w:numPr>
                <w:ilvl w:val="0"/>
                <w:numId w:val="20"/>
              </w:numPr>
              <w:tabs>
                <w:tab w:pos="463" w:val="left" w:leader="none"/>
                <w:tab w:pos="464" w:val="left" w:leader="none"/>
              </w:tabs>
              <w:spacing w:line="240" w:lineRule="auto" w:before="0" w:after="0"/>
              <w:ind w:left="463" w:right="357" w:hanging="360"/>
              <w:jc w:val="left"/>
              <w:rPr>
                <w:sz w:val="22"/>
              </w:rPr>
            </w:pPr>
            <w:r>
              <w:rPr>
                <w:sz w:val="22"/>
              </w:rPr>
              <w:t>Physician compare contains many Medicare providers that do not</w:t>
            </w:r>
            <w:r>
              <w:rPr>
                <w:spacing w:val="-28"/>
                <w:sz w:val="22"/>
              </w:rPr>
              <w:t> </w:t>
            </w:r>
            <w:r>
              <w:rPr>
                <w:sz w:val="22"/>
              </w:rPr>
              <w:t>service duals, but many Medicaid providers who do may not be</w:t>
            </w:r>
            <w:r>
              <w:rPr>
                <w:spacing w:val="-18"/>
                <w:sz w:val="22"/>
              </w:rPr>
              <w:t> </w:t>
            </w:r>
            <w:r>
              <w:rPr>
                <w:sz w:val="22"/>
              </w:rPr>
              <w:t>listed</w:t>
            </w:r>
          </w:p>
        </w:tc>
        <w:tc>
          <w:tcPr>
            <w:tcW w:w="7021" w:type="dxa"/>
          </w:tcPr>
          <w:p>
            <w:pPr>
              <w:pStyle w:val="TableParagraph"/>
              <w:numPr>
                <w:ilvl w:val="0"/>
                <w:numId w:val="21"/>
              </w:numPr>
              <w:tabs>
                <w:tab w:pos="463" w:val="left" w:leader="none"/>
                <w:tab w:pos="464" w:val="left" w:leader="none"/>
              </w:tabs>
              <w:spacing w:line="240" w:lineRule="auto" w:before="0" w:after="0"/>
              <w:ind w:left="463" w:right="334" w:hanging="360"/>
              <w:jc w:val="left"/>
              <w:rPr>
                <w:sz w:val="22"/>
              </w:rPr>
            </w:pPr>
            <w:r>
              <w:rPr>
                <w:sz w:val="22"/>
              </w:rPr>
              <w:t>Adjust mapping software to map using driving distance, or adjust criteria to reflect mapping software limitations (e.g., decrease beneficiary coverage requirement to 75%; increase time and distance values); note that an adjustment to mapping software likely also requires an adjustment to the criteria that were developed using that software and the underlying algorithms that map “as the crow</w:t>
            </w:r>
            <w:r>
              <w:rPr>
                <w:spacing w:val="-14"/>
                <w:sz w:val="22"/>
              </w:rPr>
              <w:t> </w:t>
            </w:r>
            <w:r>
              <w:rPr>
                <w:sz w:val="22"/>
              </w:rPr>
              <w:t>flies.”</w:t>
            </w:r>
          </w:p>
          <w:p>
            <w:pPr>
              <w:pStyle w:val="TableParagraph"/>
              <w:numPr>
                <w:ilvl w:val="0"/>
                <w:numId w:val="21"/>
              </w:numPr>
              <w:tabs>
                <w:tab w:pos="463" w:val="left" w:leader="none"/>
                <w:tab w:pos="464" w:val="left" w:leader="none"/>
              </w:tabs>
              <w:spacing w:line="240" w:lineRule="auto" w:before="1" w:after="0"/>
              <w:ind w:left="463" w:right="384" w:hanging="360"/>
              <w:jc w:val="left"/>
              <w:rPr>
                <w:sz w:val="22"/>
              </w:rPr>
            </w:pPr>
            <w:r>
              <w:rPr>
                <w:sz w:val="22"/>
              </w:rPr>
              <w:t>Allow exceptions to apply for multiple years in instances where CMS source data does not show an influx of providers in a given area or where state attests to need for multiple year exceptions (see</w:t>
            </w:r>
            <w:r>
              <w:rPr>
                <w:spacing w:val="-24"/>
                <w:sz w:val="22"/>
              </w:rPr>
              <w:t> </w:t>
            </w:r>
            <w:r>
              <w:rPr>
                <w:sz w:val="22"/>
              </w:rPr>
              <w:t>below).</w:t>
            </w:r>
          </w:p>
          <w:p>
            <w:pPr>
              <w:pStyle w:val="TableParagraph"/>
              <w:numPr>
                <w:ilvl w:val="0"/>
                <w:numId w:val="21"/>
              </w:numPr>
              <w:tabs>
                <w:tab w:pos="463" w:val="left" w:leader="none"/>
                <w:tab w:pos="464" w:val="left" w:leader="none"/>
              </w:tabs>
              <w:spacing w:line="240" w:lineRule="auto" w:before="0" w:after="0"/>
              <w:ind w:left="463" w:right="416" w:hanging="360"/>
              <w:jc w:val="left"/>
              <w:rPr>
                <w:sz w:val="22"/>
              </w:rPr>
            </w:pPr>
            <w:r>
              <w:rPr>
                <w:sz w:val="22"/>
              </w:rPr>
              <w:t>For integrated plans, collaborate with state on exceptions process to reduce yearly submissions by recognizing state approved/verified exceptions including those related to drive times, geography and mapping.</w:t>
            </w:r>
          </w:p>
          <w:p>
            <w:pPr>
              <w:pStyle w:val="TableParagraph"/>
              <w:numPr>
                <w:ilvl w:val="0"/>
                <w:numId w:val="21"/>
              </w:numPr>
              <w:tabs>
                <w:tab w:pos="463" w:val="left" w:leader="none"/>
                <w:tab w:pos="464" w:val="left" w:leader="none"/>
              </w:tabs>
              <w:spacing w:line="240" w:lineRule="auto" w:before="0" w:after="0"/>
              <w:ind w:left="463" w:right="267" w:hanging="360"/>
              <w:jc w:val="left"/>
              <w:rPr>
                <w:sz w:val="22"/>
              </w:rPr>
            </w:pPr>
            <w:r>
              <w:rPr>
                <w:sz w:val="22"/>
              </w:rPr>
              <w:t>Create a method to allow plans or other entities to report cases for correction to a business owner within CMS where providers on the list are not actually available (e.g., publishing the supply file publically for comment each</w:t>
            </w:r>
            <w:r>
              <w:rPr>
                <w:spacing w:val="-2"/>
                <w:sz w:val="22"/>
              </w:rPr>
              <w:t> </w:t>
            </w:r>
            <w:r>
              <w:rPr>
                <w:sz w:val="22"/>
              </w:rPr>
              <w:t>year).</w:t>
            </w:r>
          </w:p>
          <w:p>
            <w:pPr>
              <w:pStyle w:val="TableParagraph"/>
              <w:numPr>
                <w:ilvl w:val="0"/>
                <w:numId w:val="21"/>
              </w:numPr>
              <w:tabs>
                <w:tab w:pos="463" w:val="left" w:leader="none"/>
                <w:tab w:pos="464" w:val="left" w:leader="none"/>
              </w:tabs>
              <w:spacing w:line="266" w:lineRule="exact" w:before="8" w:after="0"/>
              <w:ind w:left="463" w:right="252" w:hanging="360"/>
              <w:jc w:val="left"/>
              <w:rPr>
                <w:sz w:val="22"/>
              </w:rPr>
            </w:pPr>
            <w:r>
              <w:rPr>
                <w:sz w:val="22"/>
              </w:rPr>
              <w:t>Require providers to attest annually to practice locations and specialty types listed in CMS source</w:t>
            </w:r>
            <w:r>
              <w:rPr>
                <w:spacing w:val="-10"/>
                <w:sz w:val="22"/>
              </w:rPr>
              <w:t> </w:t>
            </w:r>
            <w:r>
              <w:rPr>
                <w:sz w:val="22"/>
              </w:rPr>
              <w:t>data.</w:t>
            </w:r>
          </w:p>
          <w:p>
            <w:pPr>
              <w:pStyle w:val="TableParagraph"/>
              <w:numPr>
                <w:ilvl w:val="0"/>
                <w:numId w:val="21"/>
              </w:numPr>
              <w:tabs>
                <w:tab w:pos="463" w:val="left" w:leader="none"/>
                <w:tab w:pos="464" w:val="left" w:leader="none"/>
              </w:tabs>
              <w:spacing w:line="240" w:lineRule="auto" w:before="5" w:after="0"/>
              <w:ind w:left="463" w:right="544" w:hanging="360"/>
              <w:jc w:val="left"/>
              <w:rPr>
                <w:sz w:val="22"/>
              </w:rPr>
            </w:pPr>
            <w:r>
              <w:rPr>
                <w:sz w:val="22"/>
              </w:rPr>
              <w:t>Define, flag and track serious repeat instances of provider data inaccuracy using information in NPPES and Physician Compare, and send notice of risk of reduction in FFS payment until information</w:t>
            </w:r>
            <w:r>
              <w:rPr>
                <w:spacing w:val="-22"/>
                <w:sz w:val="22"/>
              </w:rPr>
              <w:t> </w:t>
            </w:r>
            <w:r>
              <w:rPr>
                <w:sz w:val="22"/>
              </w:rPr>
              <w:t>is</w:t>
            </w:r>
          </w:p>
        </w:tc>
      </w:tr>
    </w:tbl>
    <w:p>
      <w:pPr>
        <w:spacing w:after="0" w:line="240" w:lineRule="auto"/>
        <w:jc w:val="left"/>
        <w:rPr>
          <w:sz w:val="22"/>
        </w:rPr>
        <w:sectPr>
          <w:pgSz w:w="15840" w:h="12240" w:orient="landscape"/>
          <w:pgMar w:header="0" w:footer="952" w:top="1080" w:bottom="1140" w:left="860" w:right="36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6"/>
        <w:gridCol w:w="7021"/>
      </w:tblGrid>
      <w:tr>
        <w:trPr>
          <w:trHeight w:val="1366" w:hRule="exact"/>
        </w:trPr>
        <w:tc>
          <w:tcPr>
            <w:tcW w:w="7376" w:type="dxa"/>
          </w:tcPr>
          <w:p>
            <w:pPr/>
          </w:p>
        </w:tc>
        <w:tc>
          <w:tcPr>
            <w:tcW w:w="7021" w:type="dxa"/>
          </w:tcPr>
          <w:p>
            <w:pPr>
              <w:pStyle w:val="TableParagraph"/>
              <w:spacing w:line="268" w:lineRule="exact"/>
              <w:ind w:firstLine="0"/>
              <w:rPr>
                <w:sz w:val="22"/>
              </w:rPr>
            </w:pPr>
            <w:r>
              <w:rPr>
                <w:sz w:val="22"/>
              </w:rPr>
              <w:t>attested to/corrected.</w:t>
            </w:r>
          </w:p>
          <w:p>
            <w:pPr>
              <w:pStyle w:val="TableParagraph"/>
              <w:numPr>
                <w:ilvl w:val="0"/>
                <w:numId w:val="22"/>
              </w:numPr>
              <w:tabs>
                <w:tab w:pos="463" w:val="left" w:leader="none"/>
                <w:tab w:pos="464" w:val="left" w:leader="none"/>
              </w:tabs>
              <w:spacing w:line="240" w:lineRule="auto" w:before="0" w:after="0"/>
              <w:ind w:left="463" w:right="126" w:hanging="360"/>
              <w:jc w:val="left"/>
              <w:rPr>
                <w:sz w:val="22"/>
              </w:rPr>
            </w:pPr>
            <w:r>
              <w:rPr>
                <w:sz w:val="22"/>
              </w:rPr>
              <w:t>Collaborate with states to identify Medicaid providers and remove from CMS source data any providers not also listed as a Medicaid provider (for DSNP</w:t>
            </w:r>
            <w:r>
              <w:rPr>
                <w:spacing w:val="-6"/>
                <w:sz w:val="22"/>
              </w:rPr>
              <w:t> </w:t>
            </w:r>
            <w:r>
              <w:rPr>
                <w:sz w:val="22"/>
              </w:rPr>
              <w:t>mapping)</w:t>
            </w:r>
          </w:p>
        </w:tc>
      </w:tr>
    </w:tbl>
    <w:p>
      <w:pPr>
        <w:spacing w:line="240" w:lineRule="auto" w:before="0"/>
        <w:rPr>
          <w:b/>
          <w:sz w:val="20"/>
        </w:rPr>
      </w:pPr>
    </w:p>
    <w:p>
      <w:pPr>
        <w:spacing w:line="240" w:lineRule="auto" w:before="8"/>
        <w:rPr>
          <w:b/>
          <w:sz w:val="16"/>
        </w:rPr>
      </w:pPr>
    </w:p>
    <w:p>
      <w:pPr>
        <w:spacing w:before="0"/>
        <w:ind w:left="6009" w:right="6504" w:hanging="4"/>
        <w:jc w:val="center"/>
        <w:rPr>
          <w:sz w:val="22"/>
        </w:rPr>
      </w:pPr>
      <w:r>
        <w:rPr>
          <w:sz w:val="22"/>
        </w:rPr>
        <w:t>SNP Alliance Contact: Pamela Parker </w:t>
      </w:r>
      <w:hyperlink r:id="rId7">
        <w:r>
          <w:rPr>
            <w:color w:val="0462C1"/>
            <w:sz w:val="22"/>
            <w:u w:val="single" w:color="0462C1"/>
          </w:rPr>
          <w:t>Pparker2@comcast.net</w:t>
        </w:r>
      </w:hyperlink>
      <w:r>
        <w:rPr>
          <w:color w:val="0462C1"/>
          <w:sz w:val="22"/>
          <w:u w:val="single" w:color="0462C1"/>
        </w:rPr>
        <w:t> </w:t>
      </w:r>
      <w:r>
        <w:rPr>
          <w:sz w:val="22"/>
        </w:rPr>
        <w:t>612-719-5845</w:t>
      </w:r>
    </w:p>
    <w:p>
      <w:pPr>
        <w:spacing w:line="240" w:lineRule="auto" w:before="12"/>
        <w:rPr>
          <w:sz w:val="21"/>
        </w:rPr>
      </w:pPr>
    </w:p>
    <w:p>
      <w:pPr>
        <w:pStyle w:val="BodyText"/>
        <w:ind w:left="1818" w:right="2314"/>
        <w:jc w:val="center"/>
      </w:pPr>
      <w:r>
        <w:rPr/>
        <w:t>750 9th Street, NW, Suite 650, Washington, DC 20001-4793 Tel: (202) 204-7975 </w:t>
      </w:r>
      <w:hyperlink r:id="rId8">
        <w:r>
          <w:rPr/>
          <w:t>cphillips@snpalliance.org</w:t>
        </w:r>
      </w:hyperlink>
    </w:p>
    <w:sectPr>
      <w:pgSz w:w="15840" w:h="12240" w:orient="landscape"/>
      <w:pgMar w:header="0" w:footer="952" w:top="1080" w:bottom="1140" w:left="8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730.580017pt;margin-top:550.375977pt;width:9.6pt;height:13.05pt;mso-position-horizontal-relative:page;mso-position-vertical-relative:page;z-index:-7792"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20">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19">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150" w:hanging="360"/>
      </w:pPr>
      <w:rPr>
        <w:rFonts w:hint="default"/>
      </w:rPr>
    </w:lvl>
    <w:lvl w:ilvl="2">
      <w:start w:val="0"/>
      <w:numFmt w:val="bullet"/>
      <w:lvlText w:val="•"/>
      <w:lvlJc w:val="left"/>
      <w:pPr>
        <w:ind w:left="1841" w:hanging="360"/>
      </w:pPr>
      <w:rPr>
        <w:rFonts w:hint="default"/>
      </w:rPr>
    </w:lvl>
    <w:lvl w:ilvl="3">
      <w:start w:val="0"/>
      <w:numFmt w:val="bullet"/>
      <w:lvlText w:val="•"/>
      <w:lvlJc w:val="left"/>
      <w:pPr>
        <w:ind w:left="2532" w:hanging="360"/>
      </w:pPr>
      <w:rPr>
        <w:rFonts w:hint="default"/>
      </w:rPr>
    </w:lvl>
    <w:lvl w:ilvl="4">
      <w:start w:val="0"/>
      <w:numFmt w:val="bullet"/>
      <w:lvlText w:val="•"/>
      <w:lvlJc w:val="left"/>
      <w:pPr>
        <w:ind w:left="3222" w:hanging="360"/>
      </w:pPr>
      <w:rPr>
        <w:rFonts w:hint="default"/>
      </w:rPr>
    </w:lvl>
    <w:lvl w:ilvl="5">
      <w:start w:val="0"/>
      <w:numFmt w:val="bullet"/>
      <w:lvlText w:val="•"/>
      <w:lvlJc w:val="left"/>
      <w:pPr>
        <w:ind w:left="3913"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94" w:hanging="360"/>
      </w:pPr>
      <w:rPr>
        <w:rFonts w:hint="default"/>
      </w:rPr>
    </w:lvl>
    <w:lvl w:ilvl="8">
      <w:start w:val="0"/>
      <w:numFmt w:val="bullet"/>
      <w:lvlText w:val="•"/>
      <w:lvlJc w:val="left"/>
      <w:pPr>
        <w:ind w:left="5985" w:hanging="360"/>
      </w:pPr>
      <w:rPr>
        <w:rFonts w:hint="default"/>
      </w:rPr>
    </w:lvl>
  </w:abstractNum>
  <w:abstractNum w:abstractNumId="18">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17">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150" w:hanging="360"/>
      </w:pPr>
      <w:rPr>
        <w:rFonts w:hint="default"/>
      </w:rPr>
    </w:lvl>
    <w:lvl w:ilvl="2">
      <w:start w:val="0"/>
      <w:numFmt w:val="bullet"/>
      <w:lvlText w:val="•"/>
      <w:lvlJc w:val="left"/>
      <w:pPr>
        <w:ind w:left="1841" w:hanging="360"/>
      </w:pPr>
      <w:rPr>
        <w:rFonts w:hint="default"/>
      </w:rPr>
    </w:lvl>
    <w:lvl w:ilvl="3">
      <w:start w:val="0"/>
      <w:numFmt w:val="bullet"/>
      <w:lvlText w:val="•"/>
      <w:lvlJc w:val="left"/>
      <w:pPr>
        <w:ind w:left="2532" w:hanging="360"/>
      </w:pPr>
      <w:rPr>
        <w:rFonts w:hint="default"/>
      </w:rPr>
    </w:lvl>
    <w:lvl w:ilvl="4">
      <w:start w:val="0"/>
      <w:numFmt w:val="bullet"/>
      <w:lvlText w:val="•"/>
      <w:lvlJc w:val="left"/>
      <w:pPr>
        <w:ind w:left="3222" w:hanging="360"/>
      </w:pPr>
      <w:rPr>
        <w:rFonts w:hint="default"/>
      </w:rPr>
    </w:lvl>
    <w:lvl w:ilvl="5">
      <w:start w:val="0"/>
      <w:numFmt w:val="bullet"/>
      <w:lvlText w:val="•"/>
      <w:lvlJc w:val="left"/>
      <w:pPr>
        <w:ind w:left="3913"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94" w:hanging="360"/>
      </w:pPr>
      <w:rPr>
        <w:rFonts w:hint="default"/>
      </w:rPr>
    </w:lvl>
    <w:lvl w:ilvl="8">
      <w:start w:val="0"/>
      <w:numFmt w:val="bullet"/>
      <w:lvlText w:val="•"/>
      <w:lvlJc w:val="left"/>
      <w:pPr>
        <w:ind w:left="5985" w:hanging="360"/>
      </w:pPr>
      <w:rPr>
        <w:rFonts w:hint="default"/>
      </w:rPr>
    </w:lvl>
  </w:abstractNum>
  <w:abstractNum w:abstractNumId="16">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o"/>
      <w:lvlJc w:val="left"/>
      <w:pPr>
        <w:ind w:left="1183" w:hanging="360"/>
      </w:pPr>
      <w:rPr>
        <w:rFonts w:hint="default" w:ascii="Courier New" w:hAnsi="Courier New" w:eastAsia="Courier New" w:cs="Courier New"/>
        <w:w w:val="100"/>
        <w:sz w:val="22"/>
        <w:szCs w:val="22"/>
      </w:rPr>
    </w:lvl>
    <w:lvl w:ilvl="2">
      <w:start w:val="0"/>
      <w:numFmt w:val="bullet"/>
      <w:lvlText w:val="-"/>
      <w:lvlJc w:val="left"/>
      <w:pPr>
        <w:ind w:left="1543" w:hanging="360"/>
      </w:pPr>
      <w:rPr>
        <w:rFonts w:hint="default" w:ascii="Courier New" w:hAnsi="Courier New" w:eastAsia="Courier New" w:cs="Courier New"/>
        <w:w w:val="100"/>
        <w:sz w:val="22"/>
        <w:szCs w:val="22"/>
      </w:rPr>
    </w:lvl>
    <w:lvl w:ilvl="3">
      <w:start w:val="0"/>
      <w:numFmt w:val="bullet"/>
      <w:lvlText w:val="•"/>
      <w:lvlJc w:val="left"/>
      <w:pPr>
        <w:ind w:left="1900" w:hanging="360"/>
      </w:pPr>
      <w:rPr>
        <w:rFonts w:hint="default"/>
      </w:rPr>
    </w:lvl>
    <w:lvl w:ilvl="4">
      <w:start w:val="0"/>
      <w:numFmt w:val="bullet"/>
      <w:lvlText w:val="•"/>
      <w:lvlJc w:val="left"/>
      <w:pPr>
        <w:ind w:left="2630" w:hanging="360"/>
      </w:pPr>
      <w:rPr>
        <w:rFonts w:hint="default"/>
      </w:rPr>
    </w:lvl>
    <w:lvl w:ilvl="5">
      <w:start w:val="0"/>
      <w:numFmt w:val="bullet"/>
      <w:lvlText w:val="•"/>
      <w:lvlJc w:val="left"/>
      <w:pPr>
        <w:ind w:left="3360" w:hanging="360"/>
      </w:pPr>
      <w:rPr>
        <w:rFonts w:hint="default"/>
      </w:rPr>
    </w:lvl>
    <w:lvl w:ilvl="6">
      <w:start w:val="0"/>
      <w:numFmt w:val="bullet"/>
      <w:lvlText w:val="•"/>
      <w:lvlJc w:val="left"/>
      <w:pPr>
        <w:ind w:left="4090" w:hanging="360"/>
      </w:pPr>
      <w:rPr>
        <w:rFonts w:hint="default"/>
      </w:rPr>
    </w:lvl>
    <w:lvl w:ilvl="7">
      <w:start w:val="0"/>
      <w:numFmt w:val="bullet"/>
      <w:lvlText w:val="•"/>
      <w:lvlJc w:val="left"/>
      <w:pPr>
        <w:ind w:left="4820" w:hanging="360"/>
      </w:pPr>
      <w:rPr>
        <w:rFonts w:hint="default"/>
      </w:rPr>
    </w:lvl>
    <w:lvl w:ilvl="8">
      <w:start w:val="0"/>
      <w:numFmt w:val="bullet"/>
      <w:lvlText w:val="•"/>
      <w:lvlJc w:val="left"/>
      <w:pPr>
        <w:ind w:left="5551" w:hanging="360"/>
      </w:pPr>
      <w:rPr>
        <w:rFonts w:hint="default"/>
      </w:rPr>
    </w:lvl>
  </w:abstractNum>
  <w:abstractNum w:abstractNumId="15">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150" w:hanging="360"/>
      </w:pPr>
      <w:rPr>
        <w:rFonts w:hint="default"/>
      </w:rPr>
    </w:lvl>
    <w:lvl w:ilvl="2">
      <w:start w:val="0"/>
      <w:numFmt w:val="bullet"/>
      <w:lvlText w:val="•"/>
      <w:lvlJc w:val="left"/>
      <w:pPr>
        <w:ind w:left="1841" w:hanging="360"/>
      </w:pPr>
      <w:rPr>
        <w:rFonts w:hint="default"/>
      </w:rPr>
    </w:lvl>
    <w:lvl w:ilvl="3">
      <w:start w:val="0"/>
      <w:numFmt w:val="bullet"/>
      <w:lvlText w:val="•"/>
      <w:lvlJc w:val="left"/>
      <w:pPr>
        <w:ind w:left="2532" w:hanging="360"/>
      </w:pPr>
      <w:rPr>
        <w:rFonts w:hint="default"/>
      </w:rPr>
    </w:lvl>
    <w:lvl w:ilvl="4">
      <w:start w:val="0"/>
      <w:numFmt w:val="bullet"/>
      <w:lvlText w:val="•"/>
      <w:lvlJc w:val="left"/>
      <w:pPr>
        <w:ind w:left="3222" w:hanging="360"/>
      </w:pPr>
      <w:rPr>
        <w:rFonts w:hint="default"/>
      </w:rPr>
    </w:lvl>
    <w:lvl w:ilvl="5">
      <w:start w:val="0"/>
      <w:numFmt w:val="bullet"/>
      <w:lvlText w:val="•"/>
      <w:lvlJc w:val="left"/>
      <w:pPr>
        <w:ind w:left="3913"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94" w:hanging="360"/>
      </w:pPr>
      <w:rPr>
        <w:rFonts w:hint="default"/>
      </w:rPr>
    </w:lvl>
    <w:lvl w:ilvl="8">
      <w:start w:val="0"/>
      <w:numFmt w:val="bullet"/>
      <w:lvlText w:val="•"/>
      <w:lvlJc w:val="left"/>
      <w:pPr>
        <w:ind w:left="5985" w:hanging="360"/>
      </w:pPr>
      <w:rPr>
        <w:rFonts w:hint="default"/>
      </w:rPr>
    </w:lvl>
  </w:abstractNum>
  <w:abstractNum w:abstractNumId="14">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13">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12">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150" w:hanging="360"/>
      </w:pPr>
      <w:rPr>
        <w:rFonts w:hint="default"/>
      </w:rPr>
    </w:lvl>
    <w:lvl w:ilvl="2">
      <w:start w:val="0"/>
      <w:numFmt w:val="bullet"/>
      <w:lvlText w:val="•"/>
      <w:lvlJc w:val="left"/>
      <w:pPr>
        <w:ind w:left="1841" w:hanging="360"/>
      </w:pPr>
      <w:rPr>
        <w:rFonts w:hint="default"/>
      </w:rPr>
    </w:lvl>
    <w:lvl w:ilvl="3">
      <w:start w:val="0"/>
      <w:numFmt w:val="bullet"/>
      <w:lvlText w:val="•"/>
      <w:lvlJc w:val="left"/>
      <w:pPr>
        <w:ind w:left="2532" w:hanging="360"/>
      </w:pPr>
      <w:rPr>
        <w:rFonts w:hint="default"/>
      </w:rPr>
    </w:lvl>
    <w:lvl w:ilvl="4">
      <w:start w:val="0"/>
      <w:numFmt w:val="bullet"/>
      <w:lvlText w:val="•"/>
      <w:lvlJc w:val="left"/>
      <w:pPr>
        <w:ind w:left="3222" w:hanging="360"/>
      </w:pPr>
      <w:rPr>
        <w:rFonts w:hint="default"/>
      </w:rPr>
    </w:lvl>
    <w:lvl w:ilvl="5">
      <w:start w:val="0"/>
      <w:numFmt w:val="bullet"/>
      <w:lvlText w:val="•"/>
      <w:lvlJc w:val="left"/>
      <w:pPr>
        <w:ind w:left="3913"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94" w:hanging="360"/>
      </w:pPr>
      <w:rPr>
        <w:rFonts w:hint="default"/>
      </w:rPr>
    </w:lvl>
    <w:lvl w:ilvl="8">
      <w:start w:val="0"/>
      <w:numFmt w:val="bullet"/>
      <w:lvlText w:val="•"/>
      <w:lvlJc w:val="left"/>
      <w:pPr>
        <w:ind w:left="5985" w:hanging="360"/>
      </w:pPr>
      <w:rPr>
        <w:rFonts w:hint="default"/>
      </w:rPr>
    </w:lvl>
  </w:abstractNum>
  <w:abstractNum w:abstractNumId="11">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o"/>
      <w:lvlJc w:val="left"/>
      <w:pPr>
        <w:ind w:left="1183" w:hanging="360"/>
      </w:pPr>
      <w:rPr>
        <w:rFonts w:hint="default" w:ascii="Courier New" w:hAnsi="Courier New" w:eastAsia="Courier New" w:cs="Courier New"/>
        <w:w w:val="100"/>
        <w:sz w:val="22"/>
        <w:szCs w:val="22"/>
      </w:rPr>
    </w:lvl>
    <w:lvl w:ilvl="2">
      <w:start w:val="0"/>
      <w:numFmt w:val="bullet"/>
      <w:lvlText w:val="•"/>
      <w:lvlJc w:val="left"/>
      <w:pPr>
        <w:ind w:left="1827" w:hanging="360"/>
      </w:pPr>
      <w:rPr>
        <w:rFonts w:hint="default"/>
      </w:rPr>
    </w:lvl>
    <w:lvl w:ilvl="3">
      <w:start w:val="0"/>
      <w:numFmt w:val="bullet"/>
      <w:lvlText w:val="•"/>
      <w:lvlJc w:val="left"/>
      <w:pPr>
        <w:ind w:left="2475" w:hanging="360"/>
      </w:pPr>
      <w:rPr>
        <w:rFonts w:hint="default"/>
      </w:rPr>
    </w:lvl>
    <w:lvl w:ilvl="4">
      <w:start w:val="0"/>
      <w:numFmt w:val="bullet"/>
      <w:lvlText w:val="•"/>
      <w:lvlJc w:val="left"/>
      <w:pPr>
        <w:ind w:left="3123" w:hanging="360"/>
      </w:pPr>
      <w:rPr>
        <w:rFonts w:hint="default"/>
      </w:rPr>
    </w:lvl>
    <w:lvl w:ilvl="5">
      <w:start w:val="0"/>
      <w:numFmt w:val="bullet"/>
      <w:lvlText w:val="•"/>
      <w:lvlJc w:val="left"/>
      <w:pPr>
        <w:ind w:left="3771" w:hanging="360"/>
      </w:pPr>
      <w:rPr>
        <w:rFonts w:hint="default"/>
      </w:rPr>
    </w:lvl>
    <w:lvl w:ilvl="6">
      <w:start w:val="0"/>
      <w:numFmt w:val="bullet"/>
      <w:lvlText w:val="•"/>
      <w:lvlJc w:val="left"/>
      <w:pPr>
        <w:ind w:left="4419" w:hanging="360"/>
      </w:pPr>
      <w:rPr>
        <w:rFonts w:hint="default"/>
      </w:rPr>
    </w:lvl>
    <w:lvl w:ilvl="7">
      <w:start w:val="0"/>
      <w:numFmt w:val="bullet"/>
      <w:lvlText w:val="•"/>
      <w:lvlJc w:val="left"/>
      <w:pPr>
        <w:ind w:left="5067" w:hanging="360"/>
      </w:pPr>
      <w:rPr>
        <w:rFonts w:hint="default"/>
      </w:rPr>
    </w:lvl>
    <w:lvl w:ilvl="8">
      <w:start w:val="0"/>
      <w:numFmt w:val="bullet"/>
      <w:lvlText w:val="•"/>
      <w:lvlJc w:val="left"/>
      <w:pPr>
        <w:ind w:left="5715" w:hanging="360"/>
      </w:pPr>
      <w:rPr>
        <w:rFonts w:hint="default"/>
      </w:rPr>
    </w:lvl>
  </w:abstractNum>
  <w:abstractNum w:abstractNumId="10">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150" w:hanging="360"/>
      </w:pPr>
      <w:rPr>
        <w:rFonts w:hint="default"/>
      </w:rPr>
    </w:lvl>
    <w:lvl w:ilvl="2">
      <w:start w:val="0"/>
      <w:numFmt w:val="bullet"/>
      <w:lvlText w:val="•"/>
      <w:lvlJc w:val="left"/>
      <w:pPr>
        <w:ind w:left="1841" w:hanging="360"/>
      </w:pPr>
      <w:rPr>
        <w:rFonts w:hint="default"/>
      </w:rPr>
    </w:lvl>
    <w:lvl w:ilvl="3">
      <w:start w:val="0"/>
      <w:numFmt w:val="bullet"/>
      <w:lvlText w:val="•"/>
      <w:lvlJc w:val="left"/>
      <w:pPr>
        <w:ind w:left="2532" w:hanging="360"/>
      </w:pPr>
      <w:rPr>
        <w:rFonts w:hint="default"/>
      </w:rPr>
    </w:lvl>
    <w:lvl w:ilvl="4">
      <w:start w:val="0"/>
      <w:numFmt w:val="bullet"/>
      <w:lvlText w:val="•"/>
      <w:lvlJc w:val="left"/>
      <w:pPr>
        <w:ind w:left="3222" w:hanging="360"/>
      </w:pPr>
      <w:rPr>
        <w:rFonts w:hint="default"/>
      </w:rPr>
    </w:lvl>
    <w:lvl w:ilvl="5">
      <w:start w:val="0"/>
      <w:numFmt w:val="bullet"/>
      <w:lvlText w:val="•"/>
      <w:lvlJc w:val="left"/>
      <w:pPr>
        <w:ind w:left="3913"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94" w:hanging="360"/>
      </w:pPr>
      <w:rPr>
        <w:rFonts w:hint="default"/>
      </w:rPr>
    </w:lvl>
    <w:lvl w:ilvl="8">
      <w:start w:val="0"/>
      <w:numFmt w:val="bullet"/>
      <w:lvlText w:val="•"/>
      <w:lvlJc w:val="left"/>
      <w:pPr>
        <w:ind w:left="5985" w:hanging="360"/>
      </w:pPr>
      <w:rPr>
        <w:rFonts w:hint="default"/>
      </w:rPr>
    </w:lvl>
  </w:abstractNum>
  <w:abstractNum w:abstractNumId="9">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8">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7">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150" w:hanging="360"/>
      </w:pPr>
      <w:rPr>
        <w:rFonts w:hint="default"/>
      </w:rPr>
    </w:lvl>
    <w:lvl w:ilvl="2">
      <w:start w:val="0"/>
      <w:numFmt w:val="bullet"/>
      <w:lvlText w:val="•"/>
      <w:lvlJc w:val="left"/>
      <w:pPr>
        <w:ind w:left="1841" w:hanging="360"/>
      </w:pPr>
      <w:rPr>
        <w:rFonts w:hint="default"/>
      </w:rPr>
    </w:lvl>
    <w:lvl w:ilvl="3">
      <w:start w:val="0"/>
      <w:numFmt w:val="bullet"/>
      <w:lvlText w:val="•"/>
      <w:lvlJc w:val="left"/>
      <w:pPr>
        <w:ind w:left="2532" w:hanging="360"/>
      </w:pPr>
      <w:rPr>
        <w:rFonts w:hint="default"/>
      </w:rPr>
    </w:lvl>
    <w:lvl w:ilvl="4">
      <w:start w:val="0"/>
      <w:numFmt w:val="bullet"/>
      <w:lvlText w:val="•"/>
      <w:lvlJc w:val="left"/>
      <w:pPr>
        <w:ind w:left="3222" w:hanging="360"/>
      </w:pPr>
      <w:rPr>
        <w:rFonts w:hint="default"/>
      </w:rPr>
    </w:lvl>
    <w:lvl w:ilvl="5">
      <w:start w:val="0"/>
      <w:numFmt w:val="bullet"/>
      <w:lvlText w:val="•"/>
      <w:lvlJc w:val="left"/>
      <w:pPr>
        <w:ind w:left="3913"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94" w:hanging="360"/>
      </w:pPr>
      <w:rPr>
        <w:rFonts w:hint="default"/>
      </w:rPr>
    </w:lvl>
    <w:lvl w:ilvl="8">
      <w:start w:val="0"/>
      <w:numFmt w:val="bullet"/>
      <w:lvlText w:val="•"/>
      <w:lvlJc w:val="left"/>
      <w:pPr>
        <w:ind w:left="5985" w:hanging="360"/>
      </w:pPr>
      <w:rPr>
        <w:rFonts w:hint="default"/>
      </w:rPr>
    </w:lvl>
  </w:abstractNum>
  <w:abstractNum w:abstractNumId="6">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5">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150" w:hanging="360"/>
      </w:pPr>
      <w:rPr>
        <w:rFonts w:hint="default"/>
      </w:rPr>
    </w:lvl>
    <w:lvl w:ilvl="2">
      <w:start w:val="0"/>
      <w:numFmt w:val="bullet"/>
      <w:lvlText w:val="•"/>
      <w:lvlJc w:val="left"/>
      <w:pPr>
        <w:ind w:left="1841" w:hanging="360"/>
      </w:pPr>
      <w:rPr>
        <w:rFonts w:hint="default"/>
      </w:rPr>
    </w:lvl>
    <w:lvl w:ilvl="3">
      <w:start w:val="0"/>
      <w:numFmt w:val="bullet"/>
      <w:lvlText w:val="•"/>
      <w:lvlJc w:val="left"/>
      <w:pPr>
        <w:ind w:left="2532" w:hanging="360"/>
      </w:pPr>
      <w:rPr>
        <w:rFonts w:hint="default"/>
      </w:rPr>
    </w:lvl>
    <w:lvl w:ilvl="4">
      <w:start w:val="0"/>
      <w:numFmt w:val="bullet"/>
      <w:lvlText w:val="•"/>
      <w:lvlJc w:val="left"/>
      <w:pPr>
        <w:ind w:left="3222" w:hanging="360"/>
      </w:pPr>
      <w:rPr>
        <w:rFonts w:hint="default"/>
      </w:rPr>
    </w:lvl>
    <w:lvl w:ilvl="5">
      <w:start w:val="0"/>
      <w:numFmt w:val="bullet"/>
      <w:lvlText w:val="•"/>
      <w:lvlJc w:val="left"/>
      <w:pPr>
        <w:ind w:left="3913"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94" w:hanging="360"/>
      </w:pPr>
      <w:rPr>
        <w:rFonts w:hint="default"/>
      </w:rPr>
    </w:lvl>
    <w:lvl w:ilvl="8">
      <w:start w:val="0"/>
      <w:numFmt w:val="bullet"/>
      <w:lvlText w:val="•"/>
      <w:lvlJc w:val="left"/>
      <w:pPr>
        <w:ind w:left="5985" w:hanging="360"/>
      </w:pPr>
      <w:rPr>
        <w:rFonts w:hint="default"/>
      </w:rPr>
    </w:lvl>
  </w:abstractNum>
  <w:abstractNum w:abstractNumId="4">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3">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150" w:hanging="360"/>
      </w:pPr>
      <w:rPr>
        <w:rFonts w:hint="default"/>
      </w:rPr>
    </w:lvl>
    <w:lvl w:ilvl="2">
      <w:start w:val="0"/>
      <w:numFmt w:val="bullet"/>
      <w:lvlText w:val="•"/>
      <w:lvlJc w:val="left"/>
      <w:pPr>
        <w:ind w:left="1841" w:hanging="360"/>
      </w:pPr>
      <w:rPr>
        <w:rFonts w:hint="default"/>
      </w:rPr>
    </w:lvl>
    <w:lvl w:ilvl="3">
      <w:start w:val="0"/>
      <w:numFmt w:val="bullet"/>
      <w:lvlText w:val="•"/>
      <w:lvlJc w:val="left"/>
      <w:pPr>
        <w:ind w:left="2532" w:hanging="360"/>
      </w:pPr>
      <w:rPr>
        <w:rFonts w:hint="default"/>
      </w:rPr>
    </w:lvl>
    <w:lvl w:ilvl="4">
      <w:start w:val="0"/>
      <w:numFmt w:val="bullet"/>
      <w:lvlText w:val="•"/>
      <w:lvlJc w:val="left"/>
      <w:pPr>
        <w:ind w:left="3222" w:hanging="360"/>
      </w:pPr>
      <w:rPr>
        <w:rFonts w:hint="default"/>
      </w:rPr>
    </w:lvl>
    <w:lvl w:ilvl="5">
      <w:start w:val="0"/>
      <w:numFmt w:val="bullet"/>
      <w:lvlText w:val="•"/>
      <w:lvlJc w:val="left"/>
      <w:pPr>
        <w:ind w:left="3913"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94" w:hanging="360"/>
      </w:pPr>
      <w:rPr>
        <w:rFonts w:hint="default"/>
      </w:rPr>
    </w:lvl>
    <w:lvl w:ilvl="8">
      <w:start w:val="0"/>
      <w:numFmt w:val="bullet"/>
      <w:lvlText w:val="•"/>
      <w:lvlJc w:val="left"/>
      <w:pPr>
        <w:ind w:left="5985" w:hanging="360"/>
      </w:pPr>
      <w:rPr>
        <w:rFonts w:hint="default"/>
      </w:rPr>
    </w:lvl>
  </w:abstractNum>
  <w:abstractNum w:abstractNumId="2">
    <w:multiLevelType w:val="hybridMultilevel"/>
    <w:lvl w:ilvl="0">
      <w:start w:val="0"/>
      <w:numFmt w:val="bullet"/>
      <w:lvlText w:val=""/>
      <w:lvlJc w:val="left"/>
      <w:pPr>
        <w:ind w:left="463" w:hanging="361"/>
      </w:pPr>
      <w:rPr>
        <w:rFonts w:hint="default" w:ascii="Symbol" w:hAnsi="Symbol" w:eastAsia="Symbol" w:cs="Symbol"/>
        <w:w w:val="100"/>
        <w:sz w:val="22"/>
        <w:szCs w:val="22"/>
      </w:rPr>
    </w:lvl>
    <w:lvl w:ilvl="1">
      <w:start w:val="0"/>
      <w:numFmt w:val="bullet"/>
      <w:lvlText w:val="•"/>
      <w:lvlJc w:val="left"/>
      <w:pPr>
        <w:ind w:left="1115" w:hanging="361"/>
      </w:pPr>
      <w:rPr>
        <w:rFonts w:hint="default"/>
      </w:rPr>
    </w:lvl>
    <w:lvl w:ilvl="2">
      <w:start w:val="0"/>
      <w:numFmt w:val="bullet"/>
      <w:lvlText w:val="•"/>
      <w:lvlJc w:val="left"/>
      <w:pPr>
        <w:ind w:left="1770" w:hanging="361"/>
      </w:pPr>
      <w:rPr>
        <w:rFonts w:hint="default"/>
      </w:rPr>
    </w:lvl>
    <w:lvl w:ilvl="3">
      <w:start w:val="0"/>
      <w:numFmt w:val="bullet"/>
      <w:lvlText w:val="•"/>
      <w:lvlJc w:val="left"/>
      <w:pPr>
        <w:ind w:left="2425" w:hanging="361"/>
      </w:pPr>
      <w:rPr>
        <w:rFonts w:hint="default"/>
      </w:rPr>
    </w:lvl>
    <w:lvl w:ilvl="4">
      <w:start w:val="0"/>
      <w:numFmt w:val="bullet"/>
      <w:lvlText w:val="•"/>
      <w:lvlJc w:val="left"/>
      <w:pPr>
        <w:ind w:left="3080" w:hanging="361"/>
      </w:pPr>
      <w:rPr>
        <w:rFonts w:hint="default"/>
      </w:rPr>
    </w:lvl>
    <w:lvl w:ilvl="5">
      <w:start w:val="0"/>
      <w:numFmt w:val="bullet"/>
      <w:lvlText w:val="•"/>
      <w:lvlJc w:val="left"/>
      <w:pPr>
        <w:ind w:left="3735" w:hanging="361"/>
      </w:pPr>
      <w:rPr>
        <w:rFonts w:hint="default"/>
      </w:rPr>
    </w:lvl>
    <w:lvl w:ilvl="6">
      <w:start w:val="0"/>
      <w:numFmt w:val="bullet"/>
      <w:lvlText w:val="•"/>
      <w:lvlJc w:val="left"/>
      <w:pPr>
        <w:ind w:left="4390" w:hanging="361"/>
      </w:pPr>
      <w:rPr>
        <w:rFonts w:hint="default"/>
      </w:rPr>
    </w:lvl>
    <w:lvl w:ilvl="7">
      <w:start w:val="0"/>
      <w:numFmt w:val="bullet"/>
      <w:lvlText w:val="•"/>
      <w:lvlJc w:val="left"/>
      <w:pPr>
        <w:ind w:left="5045" w:hanging="361"/>
      </w:pPr>
      <w:rPr>
        <w:rFonts w:hint="default"/>
      </w:rPr>
    </w:lvl>
    <w:lvl w:ilvl="8">
      <w:start w:val="0"/>
      <w:numFmt w:val="bullet"/>
      <w:lvlText w:val="•"/>
      <w:lvlJc w:val="left"/>
      <w:pPr>
        <w:ind w:left="5701" w:hanging="361"/>
      </w:pPr>
      <w:rPr>
        <w:rFonts w:hint="default"/>
      </w:rPr>
    </w:lvl>
  </w:abstractNum>
  <w:abstractNum w:abstractNumId="1">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150" w:hanging="360"/>
      </w:pPr>
      <w:rPr>
        <w:rFonts w:hint="default"/>
      </w:rPr>
    </w:lvl>
    <w:lvl w:ilvl="2">
      <w:start w:val="0"/>
      <w:numFmt w:val="bullet"/>
      <w:lvlText w:val="•"/>
      <w:lvlJc w:val="left"/>
      <w:pPr>
        <w:ind w:left="1841" w:hanging="360"/>
      </w:pPr>
      <w:rPr>
        <w:rFonts w:hint="default"/>
      </w:rPr>
    </w:lvl>
    <w:lvl w:ilvl="3">
      <w:start w:val="0"/>
      <w:numFmt w:val="bullet"/>
      <w:lvlText w:val="•"/>
      <w:lvlJc w:val="left"/>
      <w:pPr>
        <w:ind w:left="2532" w:hanging="360"/>
      </w:pPr>
      <w:rPr>
        <w:rFonts w:hint="default"/>
      </w:rPr>
    </w:lvl>
    <w:lvl w:ilvl="4">
      <w:start w:val="0"/>
      <w:numFmt w:val="bullet"/>
      <w:lvlText w:val="•"/>
      <w:lvlJc w:val="left"/>
      <w:pPr>
        <w:ind w:left="3222" w:hanging="360"/>
      </w:pPr>
      <w:rPr>
        <w:rFonts w:hint="default"/>
      </w:rPr>
    </w:lvl>
    <w:lvl w:ilvl="5">
      <w:start w:val="0"/>
      <w:numFmt w:val="bullet"/>
      <w:lvlText w:val="•"/>
      <w:lvlJc w:val="left"/>
      <w:pPr>
        <w:ind w:left="3913"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294" w:hanging="360"/>
      </w:pPr>
      <w:rPr>
        <w:rFonts w:hint="default"/>
      </w:rPr>
    </w:lvl>
    <w:lvl w:ilvl="8">
      <w:start w:val="0"/>
      <w:numFmt w:val="bullet"/>
      <w:lvlText w:val="•"/>
      <w:lvlJc w:val="left"/>
      <w:pPr>
        <w:ind w:left="5985" w:hanging="360"/>
      </w:pPr>
      <w:rPr>
        <w:rFonts w:hint="default"/>
      </w:rPr>
    </w:lvl>
  </w:abstractNum>
  <w:abstractNum w:abstractNumId="0">
    <w:multiLevelType w:val="hybridMultilevel"/>
    <w:lvl w:ilvl="0">
      <w:start w:val="0"/>
      <w:numFmt w:val="bullet"/>
      <w:lvlText w:val=""/>
      <w:lvlJc w:val="left"/>
      <w:pPr>
        <w:ind w:left="463" w:hanging="360"/>
      </w:pPr>
      <w:rPr>
        <w:rFonts w:hint="default" w:ascii="Symbol" w:hAnsi="Symbol" w:eastAsia="Symbol" w:cs="Symbol"/>
        <w:w w:val="100"/>
        <w:sz w:val="22"/>
        <w:szCs w:val="22"/>
      </w:rPr>
    </w:lvl>
    <w:lvl w:ilvl="1">
      <w:start w:val="0"/>
      <w:numFmt w:val="bullet"/>
      <w:lvlText w:val="•"/>
      <w:lvlJc w:val="left"/>
      <w:pPr>
        <w:ind w:left="1852" w:hanging="360"/>
      </w:pPr>
      <w:rPr>
        <w:rFonts w:hint="default"/>
      </w:rPr>
    </w:lvl>
    <w:lvl w:ilvl="2">
      <w:start w:val="0"/>
      <w:numFmt w:val="bullet"/>
      <w:lvlText w:val="•"/>
      <w:lvlJc w:val="left"/>
      <w:pPr>
        <w:ind w:left="3245" w:hanging="360"/>
      </w:pPr>
      <w:rPr>
        <w:rFonts w:hint="default"/>
      </w:rPr>
    </w:lvl>
    <w:lvl w:ilvl="3">
      <w:start w:val="0"/>
      <w:numFmt w:val="bullet"/>
      <w:lvlText w:val="•"/>
      <w:lvlJc w:val="left"/>
      <w:pPr>
        <w:ind w:left="4638" w:hanging="360"/>
      </w:pPr>
      <w:rPr>
        <w:rFonts w:hint="default"/>
      </w:rPr>
    </w:lvl>
    <w:lvl w:ilvl="4">
      <w:start w:val="0"/>
      <w:numFmt w:val="bullet"/>
      <w:lvlText w:val="•"/>
      <w:lvlJc w:val="left"/>
      <w:pPr>
        <w:ind w:left="6031" w:hanging="360"/>
      </w:pPr>
      <w:rPr>
        <w:rFonts w:hint="default"/>
      </w:rPr>
    </w:lvl>
    <w:lvl w:ilvl="5">
      <w:start w:val="0"/>
      <w:numFmt w:val="bullet"/>
      <w:lvlText w:val="•"/>
      <w:lvlJc w:val="left"/>
      <w:pPr>
        <w:ind w:left="7423" w:hanging="360"/>
      </w:pPr>
      <w:rPr>
        <w:rFonts w:hint="default"/>
      </w:rPr>
    </w:lvl>
    <w:lvl w:ilvl="6">
      <w:start w:val="0"/>
      <w:numFmt w:val="bullet"/>
      <w:lvlText w:val="•"/>
      <w:lvlJc w:val="left"/>
      <w:pPr>
        <w:ind w:left="8816" w:hanging="360"/>
      </w:pPr>
      <w:rPr>
        <w:rFonts w:hint="default"/>
      </w:rPr>
    </w:lvl>
    <w:lvl w:ilvl="7">
      <w:start w:val="0"/>
      <w:numFmt w:val="bullet"/>
      <w:lvlText w:val="•"/>
      <w:lvlJc w:val="left"/>
      <w:pPr>
        <w:ind w:left="10209" w:hanging="360"/>
      </w:pPr>
      <w:rPr>
        <w:rFonts w:hint="default"/>
      </w:rPr>
    </w:lvl>
    <w:lvl w:ilvl="8">
      <w:start w:val="0"/>
      <w:numFmt w:val="bullet"/>
      <w:lvlText w:val="•"/>
      <w:lvlJc w:val="left"/>
      <w:pPr>
        <w:ind w:left="11602" w:hanging="3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ind w:left="463" w:hanging="360"/>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mailto:Pparker2@comcast.net" TargetMode="External"/><Relationship Id="rId8" Type="http://schemas.openxmlformats.org/officeDocument/2006/relationships/hyperlink" Target="mailto:cphillips@snpalliance.org"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Parker</dc:creator>
  <dcterms:created xsi:type="dcterms:W3CDTF">2018-06-12T23:20:32Z</dcterms:created>
  <dcterms:modified xsi:type="dcterms:W3CDTF">2018-06-12T23:20:32Z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