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</w:pPr>
      <w:r>
        <w:rPr>
          <w:color w:val="3785AD"/>
          <w:w w:val="110"/>
        </w:rPr>
        <w:t>Journal of Pain</w:t>
      </w:r>
      <w:r>
        <w:rPr>
          <w:color w:val="3785AD"/>
          <w:spacing w:val="-13"/>
          <w:w w:val="110"/>
        </w:rPr>
        <w:t> </w:t>
      </w:r>
      <w:r>
        <w:rPr>
          <w:color w:val="3785AD"/>
          <w:w w:val="110"/>
        </w:rPr>
        <w:t>Research</w:t>
      </w:r>
    </w:p>
    <w:p>
      <w:pPr>
        <w:pStyle w:val="BodyText"/>
        <w:spacing w:before="10"/>
        <w:rPr>
          <w:rFonts w:ascii="Book Antiqua"/>
          <w:sz w:val="40"/>
        </w:rPr>
      </w:pPr>
    </w:p>
    <w:p>
      <w:pPr>
        <w:spacing w:before="0"/>
        <w:ind w:left="1179" w:right="0" w:firstLine="0"/>
        <w:jc w:val="left"/>
        <w:rPr>
          <w:rFonts w:ascii="Gill Sans MT"/>
          <w:sz w:val="12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899792</wp:posOffset>
            </wp:positionH>
            <wp:positionV relativeFrom="paragraph">
              <wp:posOffset>-21845</wp:posOffset>
            </wp:positionV>
            <wp:extent cx="90563" cy="13575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 Access Full Text Article</w:t>
      </w:r>
    </w:p>
    <w:p>
      <w:pPr>
        <w:pStyle w:val="Heading2"/>
        <w:ind w:left="2414"/>
      </w:pPr>
      <w:r>
        <w:rPr/>
        <w:br w:type="column"/>
      </w:r>
      <w:hyperlink r:id="rId7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>
      <w:pPr>
        <w:spacing w:before="58"/>
        <w:ind w:left="956" w:right="0" w:firstLine="0"/>
        <w:jc w:val="left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>
      <w:pPr>
        <w:pStyle w:val="BodyText"/>
        <w:rPr>
          <w:rFonts w:ascii="Book Antiqua"/>
          <w:sz w:val="14"/>
        </w:rPr>
      </w:pPr>
    </w:p>
    <w:p>
      <w:pPr>
        <w:pStyle w:val="BodyText"/>
        <w:spacing w:before="111"/>
        <w:ind w:left="2334"/>
        <w:rPr>
          <w:rFonts w:ascii="Gill Sans MT"/>
        </w:rPr>
      </w:pPr>
      <w:r>
        <w:rPr>
          <w:rFonts w:ascii="Gill Sans MT"/>
          <w:color w:val="231F20"/>
          <w:w w:val="110"/>
        </w:rPr>
        <w:t>E D i T </w:t>
      </w:r>
      <w:r>
        <w:rPr>
          <w:rFonts w:ascii="Gill Sans MT"/>
          <w:color w:val="231F20"/>
          <w:w w:val="140"/>
        </w:rPr>
        <w:t>o </w:t>
      </w:r>
      <w:r>
        <w:rPr>
          <w:rFonts w:ascii="Gill Sans MT"/>
          <w:color w:val="231F20"/>
          <w:w w:val="110"/>
        </w:rPr>
        <w:t>R i A </w:t>
      </w:r>
      <w:r>
        <w:rPr>
          <w:rFonts w:ascii="Gill Sans MT"/>
          <w:color w:val="231F20"/>
          <w:w w:val="205"/>
        </w:rPr>
        <w:t>l</w:t>
      </w:r>
    </w:p>
    <w:p>
      <w:pPr>
        <w:spacing w:after="0"/>
        <w:rPr>
          <w:rFonts w:ascii="Gill Sans MT"/>
        </w:rPr>
        <w:sectPr>
          <w:footerReference w:type="default" r:id="rId5"/>
          <w:type w:val="continuous"/>
          <w:pgSz w:w="12240" w:h="15840"/>
          <w:pgMar w:footer="0" w:top="760" w:bottom="0" w:left="460" w:right="0"/>
          <w:cols w:num="2" w:equalWidth="0">
            <w:col w:w="3805" w:space="3255"/>
            <w:col w:w="4720"/>
          </w:cols>
        </w:sectPr>
      </w:pPr>
    </w:p>
    <w:p>
      <w:pPr>
        <w:spacing w:line="242" w:lineRule="auto" w:before="46"/>
        <w:ind w:left="956" w:right="1704" w:firstLine="0"/>
        <w:jc w:val="left"/>
        <w:rPr>
          <w:rFonts w:ascii="Gill Sans MT"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510256pt;margin-top:65.776848pt;width:18.45pt;height:354.25pt;mso-position-horizontal-relative:page;mso-position-vertical-relative:paragraph;z-index:1120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797" w:right="18" w:hanging="2778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7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19-Feb-2018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color w:val="231F20"/>
          <w:sz w:val="48"/>
        </w:rPr>
        <w:t>The MEDD myth: the impact of pseudoscience on pain research and prescribing-guideline development</w:t>
      </w:r>
    </w:p>
    <w:p>
      <w:pPr>
        <w:pStyle w:val="BodyText"/>
        <w:spacing w:before="1"/>
        <w:rPr>
          <w:rFonts w:ascii="Gill Sans MT"/>
          <w:sz w:val="17"/>
        </w:rPr>
      </w:pPr>
    </w:p>
    <w:p>
      <w:pPr>
        <w:spacing w:line="266" w:lineRule="auto" w:before="100"/>
        <w:ind w:left="3963" w:right="3917" w:firstLine="0"/>
        <w:jc w:val="left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This article was published in the following Dove Press journal: Journal of Pain Research</w:t>
      </w:r>
    </w:p>
    <w:p>
      <w:pPr>
        <w:spacing w:line="162" w:lineRule="exact" w:before="0"/>
        <w:ind w:left="2216" w:right="5217" w:firstLine="0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23 March 2016</w:t>
      </w:r>
    </w:p>
    <w:p>
      <w:pPr>
        <w:spacing w:before="17"/>
        <w:ind w:left="3942" w:right="5216" w:firstLine="0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  <w:u w:val="single" w:color="231F20"/>
        </w:rPr>
        <w:t>Number of times this article has been viewed</w:t>
      </w:r>
    </w:p>
    <w:p>
      <w:pPr>
        <w:pStyle w:val="BodyText"/>
        <w:spacing w:before="7"/>
        <w:rPr>
          <w:rFonts w:ascii="Gill Sans MT"/>
          <w:sz w:val="11"/>
        </w:rPr>
      </w:pPr>
      <w:r>
        <w:rPr/>
        <w:pict>
          <v:line style="position:absolute;mso-position-horizontal-relative:page;mso-position-vertical-relative:paragraph;z-index:0;mso-wrap-distance-left:0;mso-wrap-distance-right:0" from="221.149994pt,8.961228pt" to="558.149994pt,8.961228pt" stroked="true" strokeweight=".5pt" strokecolor="#231f20">
            <v:stroke dashstyle="solid"/>
            <w10:wrap type="topAndBottom"/>
          </v:line>
        </w:pict>
      </w:r>
    </w:p>
    <w:p>
      <w:pPr>
        <w:pStyle w:val="BodyText"/>
        <w:rPr>
          <w:rFonts w:ascii="Gill Sans MT"/>
          <w:sz w:val="6"/>
        </w:rPr>
      </w:pPr>
    </w:p>
    <w:p>
      <w:pPr>
        <w:spacing w:after="0"/>
        <w:rPr>
          <w:rFonts w:ascii="Gill Sans MT"/>
          <w:sz w:val="6"/>
        </w:rPr>
        <w:sectPr>
          <w:type w:val="continuous"/>
          <w:pgSz w:w="12240" w:h="15840"/>
          <w:pgMar w:top="760" w:bottom="0" w:left="460" w:right="0"/>
        </w:sectPr>
      </w:pPr>
    </w:p>
    <w:p>
      <w:pPr>
        <w:pStyle w:val="Heading3"/>
        <w:spacing w:before="68"/>
        <w:rPr>
          <w:sz w:val="13"/>
        </w:rPr>
      </w:pPr>
      <w:r>
        <w:rPr>
          <w:color w:val="231F20"/>
        </w:rPr>
        <w:t>Jeffrey Fudin</w:t>
      </w:r>
      <w:r>
        <w:rPr>
          <w:color w:val="231F20"/>
          <w:position w:val="7"/>
          <w:sz w:val="13"/>
        </w:rPr>
        <w:t>1</w:t>
      </w:r>
    </w:p>
    <w:p>
      <w:pPr>
        <w:spacing w:line="264" w:lineRule="auto" w:before="25"/>
        <w:ind w:left="956" w:right="0" w:firstLine="0"/>
        <w:jc w:val="left"/>
        <w:rPr>
          <w:rFonts w:ascii="Gill Sans MT"/>
          <w:sz w:val="13"/>
        </w:rPr>
      </w:pPr>
      <w:r>
        <w:rPr>
          <w:rFonts w:ascii="Gill Sans MT"/>
          <w:color w:val="231F20"/>
          <w:sz w:val="22"/>
        </w:rPr>
        <w:t>Jacqueline Pratt Cleary</w:t>
      </w:r>
      <w:r>
        <w:rPr>
          <w:rFonts w:ascii="Gill Sans MT"/>
          <w:color w:val="231F20"/>
          <w:position w:val="7"/>
          <w:sz w:val="13"/>
        </w:rPr>
        <w:t>2 </w:t>
      </w:r>
      <w:r>
        <w:rPr>
          <w:rFonts w:ascii="Gill Sans MT"/>
          <w:color w:val="231F20"/>
          <w:sz w:val="22"/>
        </w:rPr>
        <w:t>Michael E Schatman</w:t>
      </w:r>
      <w:r>
        <w:rPr>
          <w:rFonts w:ascii="Gill Sans MT"/>
          <w:color w:val="231F20"/>
          <w:position w:val="7"/>
          <w:sz w:val="13"/>
        </w:rPr>
        <w:t>3</w:t>
      </w:r>
    </w:p>
    <w:p>
      <w:pPr>
        <w:spacing w:before="105"/>
        <w:ind w:left="956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position w:val="5"/>
          <w:sz w:val="9"/>
        </w:rPr>
        <w:t>1</w:t>
      </w:r>
      <w:r>
        <w:rPr>
          <w:rFonts w:ascii="Gill Sans MT"/>
          <w:color w:val="231F20"/>
          <w:sz w:val="16"/>
        </w:rPr>
        <w:t>Western New England University</w:t>
      </w:r>
    </w:p>
    <w:p>
      <w:pPr>
        <w:spacing w:line="244" w:lineRule="auto" w:before="4"/>
        <w:ind w:left="956" w:right="-12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College of Pharmacy, Springfield, MA, </w:t>
      </w:r>
      <w:r>
        <w:rPr>
          <w:rFonts w:ascii="Gill Sans MT"/>
          <w:color w:val="231F20"/>
          <w:position w:val="5"/>
          <w:sz w:val="9"/>
        </w:rPr>
        <w:t>2</w:t>
      </w:r>
      <w:r>
        <w:rPr>
          <w:rFonts w:ascii="Gill Sans MT"/>
          <w:color w:val="231F20"/>
          <w:sz w:val="16"/>
        </w:rPr>
        <w:t>Stratton VA Medical Center, Albany, NY, </w:t>
      </w:r>
      <w:r>
        <w:rPr>
          <w:rFonts w:ascii="Gill Sans MT"/>
          <w:color w:val="231F20"/>
          <w:position w:val="5"/>
          <w:sz w:val="9"/>
        </w:rPr>
        <w:t>3</w:t>
      </w:r>
      <w:r>
        <w:rPr>
          <w:rFonts w:ascii="Gill Sans MT"/>
          <w:color w:val="231F20"/>
          <w:sz w:val="16"/>
        </w:rPr>
        <w:t>US Pain Foundation, Bellevue, WA, USA</w:t>
      </w:r>
    </w:p>
    <w:p>
      <w:pPr>
        <w:pStyle w:val="BodyText"/>
        <w:spacing w:line="292" w:lineRule="auto" w:before="90"/>
        <w:ind w:left="334" w:right="1071"/>
        <w:jc w:val="both"/>
        <w:rPr>
          <w:sz w:val="11"/>
        </w:rPr>
      </w:pPr>
      <w:r>
        <w:rPr/>
        <w:br w:type="column"/>
      </w:r>
      <w:r>
        <w:rPr>
          <w:color w:val="231F20"/>
        </w:rPr>
        <w:t>With the </w:t>
      </w:r>
      <w:r>
        <w:rPr>
          <w:color w:val="231F20"/>
          <w:spacing w:val="2"/>
        </w:rPr>
        <w:t>opioid-misuse </w:t>
      </w:r>
      <w:r>
        <w:rPr>
          <w:color w:val="231F20"/>
        </w:rPr>
        <w:t>and </w:t>
      </w:r>
      <w:r>
        <w:rPr>
          <w:color w:val="231F20"/>
          <w:spacing w:val="2"/>
        </w:rPr>
        <w:t>-abuse </w:t>
      </w:r>
      <w:r>
        <w:rPr>
          <w:color w:val="231F20"/>
        </w:rPr>
        <w:t>problem on the </w:t>
      </w:r>
      <w:r>
        <w:rPr>
          <w:color w:val="231F20"/>
          <w:spacing w:val="2"/>
        </w:rPr>
        <w:t>rise, pain practitioners </w:t>
      </w:r>
      <w:r>
        <w:rPr>
          <w:color w:val="231F20"/>
        </w:rPr>
        <w:t>and lawmakers are scrambling for strategies to help mitigate opioid risks. Approaches include</w:t>
      </w:r>
      <w:r>
        <w:rPr>
          <w:color w:val="231F20"/>
          <w:spacing w:val="-21"/>
        </w:rPr>
        <w:t> </w:t>
      </w:r>
      <w:r>
        <w:rPr>
          <w:color w:val="231F20"/>
        </w:rPr>
        <w:t>opioid-treatment</w:t>
      </w:r>
      <w:r>
        <w:rPr>
          <w:color w:val="231F20"/>
          <w:spacing w:val="-21"/>
        </w:rPr>
        <w:t> </w:t>
      </w:r>
      <w:r>
        <w:rPr>
          <w:color w:val="231F20"/>
        </w:rPr>
        <w:t>agreements,</w:t>
      </w:r>
      <w:r>
        <w:rPr>
          <w:color w:val="231F20"/>
          <w:spacing w:val="-21"/>
        </w:rPr>
        <w:t> </w:t>
      </w:r>
      <w:r>
        <w:rPr>
          <w:color w:val="231F20"/>
        </w:rPr>
        <w:t>urine</w:t>
      </w:r>
      <w:r>
        <w:rPr>
          <w:color w:val="231F20"/>
          <w:spacing w:val="-21"/>
        </w:rPr>
        <w:t> </w:t>
      </w:r>
      <w:r>
        <w:rPr>
          <w:color w:val="231F20"/>
        </w:rPr>
        <w:t>drug</w:t>
      </w:r>
      <w:r>
        <w:rPr>
          <w:color w:val="231F20"/>
          <w:spacing w:val="-21"/>
        </w:rPr>
        <w:t> </w:t>
      </w:r>
      <w:r>
        <w:rPr>
          <w:color w:val="231F20"/>
        </w:rPr>
        <w:t>testing,</w:t>
      </w:r>
      <w:r>
        <w:rPr>
          <w:color w:val="231F20"/>
          <w:spacing w:val="-21"/>
        </w:rPr>
        <w:t> </w:t>
      </w:r>
      <w:r>
        <w:rPr>
          <w:color w:val="231F20"/>
        </w:rPr>
        <w:t>prescription-monitoring</w:t>
      </w:r>
      <w:r>
        <w:rPr>
          <w:color w:val="231F20"/>
          <w:spacing w:val="-21"/>
        </w:rPr>
        <w:t> </w:t>
      </w:r>
      <w:r>
        <w:rPr>
          <w:color w:val="231F20"/>
        </w:rPr>
        <w:t>pro- grams,</w:t>
      </w:r>
      <w:r>
        <w:rPr>
          <w:color w:val="231F20"/>
          <w:spacing w:val="-5"/>
        </w:rPr>
        <w:t> </w:t>
      </w:r>
      <w:r>
        <w:rPr>
          <w:color w:val="231F20"/>
        </w:rPr>
        <w:t>assorted</w:t>
      </w:r>
      <w:r>
        <w:rPr>
          <w:color w:val="231F20"/>
          <w:spacing w:val="-5"/>
        </w:rPr>
        <w:t> </w:t>
      </w:r>
      <w:r>
        <w:rPr>
          <w:color w:val="231F20"/>
        </w:rPr>
        <w:t>validated</w:t>
      </w:r>
      <w:r>
        <w:rPr>
          <w:color w:val="231F20"/>
          <w:spacing w:val="-5"/>
        </w:rPr>
        <w:t> </w:t>
      </w:r>
      <w:r>
        <w:rPr>
          <w:color w:val="231F20"/>
        </w:rPr>
        <w:t>risk-assessment</w:t>
      </w:r>
      <w:r>
        <w:rPr>
          <w:color w:val="231F20"/>
          <w:spacing w:val="-5"/>
        </w:rPr>
        <w:t> </w:t>
      </w:r>
      <w:r>
        <w:rPr>
          <w:color w:val="231F20"/>
        </w:rPr>
        <w:t>tools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abuse/misuse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opioid-induced respiratory</w:t>
      </w:r>
      <w:r>
        <w:rPr>
          <w:color w:val="231F20"/>
          <w:spacing w:val="-23"/>
        </w:rPr>
        <w:t> </w:t>
      </w:r>
      <w:r>
        <w:rPr>
          <w:color w:val="231F20"/>
        </w:rPr>
        <w:t>depression</w:t>
      </w:r>
      <w:r>
        <w:rPr>
          <w:color w:val="231F20"/>
          <w:spacing w:val="-23"/>
        </w:rPr>
        <w:t> </w:t>
      </w:r>
      <w:r>
        <w:rPr>
          <w:color w:val="231F20"/>
        </w:rPr>
        <w:t>(OIRD),</w:t>
      </w:r>
      <w:r>
        <w:rPr>
          <w:color w:val="231F20"/>
          <w:spacing w:val="-23"/>
        </w:rPr>
        <w:t> </w:t>
      </w:r>
      <w:r>
        <w:rPr>
          <w:color w:val="231F20"/>
        </w:rPr>
        <w:t>biopsychosocial</w:t>
      </w:r>
      <w:r>
        <w:rPr>
          <w:color w:val="231F20"/>
          <w:spacing w:val="-23"/>
        </w:rPr>
        <w:t> </w:t>
      </w:r>
      <w:r>
        <w:rPr>
          <w:color w:val="231F20"/>
        </w:rPr>
        <w:t>support,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other</w:t>
      </w:r>
      <w:r>
        <w:rPr>
          <w:color w:val="231F20"/>
          <w:spacing w:val="-23"/>
        </w:rPr>
        <w:t> </w:t>
      </w:r>
      <w:r>
        <w:rPr>
          <w:color w:val="231F20"/>
        </w:rPr>
        <w:t>strategies.</w:t>
      </w:r>
      <w:r>
        <w:rPr>
          <w:color w:val="231F20"/>
          <w:position w:val="7"/>
          <w:sz w:val="11"/>
        </w:rPr>
        <w:t>1–3</w:t>
      </w:r>
      <w:r>
        <w:rPr>
          <w:color w:val="231F20"/>
          <w:spacing w:val="-12"/>
          <w:position w:val="7"/>
          <w:sz w:val="11"/>
        </w:rPr>
        <w:t> </w:t>
      </w:r>
      <w:r>
        <w:rPr>
          <w:color w:val="231F20"/>
        </w:rPr>
        <w:t>Nono- pioid pain therapies should be considered and maximized prior to initiating opioid treatment; </w:t>
      </w:r>
      <w:r>
        <w:rPr>
          <w:color w:val="231F20"/>
          <w:spacing w:val="-4"/>
        </w:rPr>
        <w:t>however, </w:t>
      </w:r>
      <w:r>
        <w:rPr>
          <w:color w:val="231F20"/>
        </w:rPr>
        <w:t>in some cases opioids are the optimal choice for both noncancer and cancer-related pain</w:t>
      </w:r>
      <w:r>
        <w:rPr>
          <w:color w:val="231F20"/>
          <w:spacing w:val="-2"/>
        </w:rPr>
        <w:t> </w:t>
      </w:r>
      <w:r>
        <w:rPr>
          <w:color w:val="231F20"/>
        </w:rPr>
        <w:t>syndromes.</w:t>
      </w:r>
      <w:r>
        <w:rPr>
          <w:color w:val="231F20"/>
          <w:position w:val="7"/>
          <w:sz w:val="11"/>
        </w:rPr>
        <w:t>4</w:t>
      </w:r>
    </w:p>
    <w:p>
      <w:pPr>
        <w:pStyle w:val="BodyText"/>
        <w:spacing w:line="292" w:lineRule="auto" w:before="1"/>
        <w:ind w:left="334" w:right="1073" w:firstLine="283"/>
        <w:jc w:val="both"/>
      </w:pPr>
      <w:r>
        <w:rPr>
          <w:color w:val="231F20"/>
        </w:rPr>
        <w:t>Aside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strategies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curtail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opioid-associated</w:t>
      </w:r>
      <w:r>
        <w:rPr>
          <w:color w:val="231F20"/>
          <w:spacing w:val="-9"/>
        </w:rPr>
        <w:t> </w:t>
      </w:r>
      <w:r>
        <w:rPr>
          <w:color w:val="231F20"/>
        </w:rPr>
        <w:t>risks,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pro- fessional</w:t>
      </w:r>
      <w:r>
        <w:rPr>
          <w:color w:val="231F20"/>
          <w:spacing w:val="-18"/>
        </w:rPr>
        <w:t> </w:t>
      </w:r>
      <w:r>
        <w:rPr>
          <w:color w:val="231F20"/>
        </w:rPr>
        <w:t>literature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ubiquitously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employs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morphine-equivalent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daily</w:t>
      </w:r>
      <w:r>
        <w:rPr>
          <w:color w:val="231F20"/>
          <w:spacing w:val="-18"/>
        </w:rPr>
        <w:t> </w:t>
      </w:r>
      <w:r>
        <w:rPr>
          <w:color w:val="231F20"/>
        </w:rPr>
        <w:t>dose</w:t>
      </w:r>
      <w:r>
        <w:rPr>
          <w:color w:val="231F20"/>
          <w:spacing w:val="-18"/>
        </w:rPr>
        <w:t> </w:t>
      </w:r>
      <w:r>
        <w:rPr>
          <w:color w:val="231F20"/>
        </w:rPr>
        <w:t>(MEDD)</w:t>
      </w:r>
      <w:r>
        <w:rPr>
          <w:color w:val="231F20"/>
          <w:spacing w:val="-18"/>
        </w:rPr>
        <w:t> </w:t>
      </w:r>
      <w:r>
        <w:rPr>
          <w:color w:val="231F20"/>
        </w:rPr>
        <w:t>and other</w:t>
      </w:r>
      <w:r>
        <w:rPr>
          <w:color w:val="231F20"/>
          <w:spacing w:val="-6"/>
        </w:rPr>
        <w:t> </w:t>
      </w:r>
      <w:r>
        <w:rPr>
          <w:color w:val="231F20"/>
        </w:rPr>
        <w:t>comparable</w:t>
      </w:r>
      <w:r>
        <w:rPr>
          <w:color w:val="231F20"/>
          <w:spacing w:val="-6"/>
        </w:rPr>
        <w:t> </w:t>
      </w:r>
      <w:r>
        <w:rPr>
          <w:color w:val="231F20"/>
        </w:rPr>
        <w:t>acronyms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attribute</w:t>
      </w:r>
      <w:r>
        <w:rPr>
          <w:color w:val="231F20"/>
          <w:spacing w:val="-6"/>
        </w:rPr>
        <w:t> </w:t>
      </w:r>
      <w:r>
        <w:rPr>
          <w:color w:val="231F20"/>
        </w:rPr>
        <w:t>escalating</w:t>
      </w:r>
      <w:r>
        <w:rPr>
          <w:color w:val="231F20"/>
          <w:spacing w:val="-6"/>
        </w:rPr>
        <w:t> </w:t>
      </w:r>
      <w:r>
        <w:rPr>
          <w:color w:val="231F20"/>
        </w:rPr>
        <w:t>risks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6"/>
        </w:rPr>
        <w:t> </w:t>
      </w:r>
      <w:r>
        <w:rPr>
          <w:color w:val="231F20"/>
        </w:rPr>
        <w:t>daily</w:t>
      </w:r>
      <w:r>
        <w:rPr>
          <w:color w:val="231F20"/>
          <w:spacing w:val="-6"/>
        </w:rPr>
        <w:t> </w:t>
      </w:r>
      <w:r>
        <w:rPr>
          <w:color w:val="231F20"/>
        </w:rPr>
        <w:t>opioid dose.</w:t>
      </w:r>
      <w:r>
        <w:rPr>
          <w:color w:val="231F20"/>
          <w:position w:val="7"/>
          <w:sz w:val="11"/>
        </w:rPr>
        <w:t>1,4,5</w:t>
      </w:r>
      <w:r>
        <w:rPr>
          <w:color w:val="231F20"/>
          <w:spacing w:val="-5"/>
          <w:position w:val="7"/>
          <w:sz w:val="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maneuver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frequently</w:t>
      </w:r>
      <w:r>
        <w:rPr>
          <w:color w:val="231F20"/>
          <w:spacing w:val="-11"/>
        </w:rPr>
        <w:t> </w:t>
      </w:r>
      <w:r>
        <w:rPr>
          <w:color w:val="231F20"/>
        </w:rPr>
        <w:t>endorsed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avert</w:t>
      </w:r>
      <w:r>
        <w:rPr>
          <w:color w:val="231F20"/>
          <w:spacing w:val="-11"/>
        </w:rPr>
        <w:t> </w:t>
      </w:r>
      <w:r>
        <w:rPr>
          <w:color w:val="231F20"/>
        </w:rPr>
        <w:t>OIRD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daily</w:t>
      </w:r>
      <w:r>
        <w:rPr>
          <w:color w:val="231F20"/>
          <w:spacing w:val="-11"/>
        </w:rPr>
        <w:t> </w:t>
      </w:r>
      <w:r>
        <w:rPr>
          <w:color w:val="231F20"/>
        </w:rPr>
        <w:t>opioid-dose reduction measured </w:t>
      </w:r>
      <w:r>
        <w:rPr>
          <w:color w:val="231F20"/>
          <w:spacing w:val="-3"/>
        </w:rPr>
        <w:t>by </w:t>
      </w:r>
      <w:r>
        <w:rPr>
          <w:color w:val="231F20"/>
        </w:rPr>
        <w:t>MEDD.</w:t>
      </w:r>
      <w:r>
        <w:rPr>
          <w:color w:val="231F20"/>
          <w:position w:val="7"/>
          <w:sz w:val="11"/>
        </w:rPr>
        <w:t>6–8 </w:t>
      </w:r>
      <w:r>
        <w:rPr>
          <w:color w:val="231F20"/>
        </w:rPr>
        <w:t>Since </w:t>
      </w:r>
      <w:r>
        <w:rPr>
          <w:color w:val="231F20"/>
          <w:spacing w:val="-3"/>
        </w:rPr>
        <w:t>potency, </w:t>
      </w:r>
      <w:r>
        <w:rPr>
          <w:color w:val="231F20"/>
        </w:rPr>
        <w:t>receptor-binding affinity, physical tolerance, and various pharmacokinetic attributes differ among opioids, the concept of</w:t>
      </w:r>
      <w:r>
        <w:rPr>
          <w:color w:val="231F20"/>
          <w:spacing w:val="-9"/>
        </w:rPr>
        <w:t> </w:t>
      </w:r>
      <w:r>
        <w:rPr>
          <w:color w:val="231F20"/>
        </w:rPr>
        <w:t>MEDD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employed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justify</w:t>
      </w:r>
      <w:r>
        <w:rPr>
          <w:color w:val="231F20"/>
          <w:spacing w:val="-9"/>
        </w:rPr>
        <w:t> </w:t>
      </w:r>
      <w:r>
        <w:rPr>
          <w:color w:val="231F20"/>
        </w:rPr>
        <w:t>transitioning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currently</w:t>
      </w:r>
      <w:r>
        <w:rPr>
          <w:color w:val="231F20"/>
          <w:spacing w:val="-9"/>
        </w:rPr>
        <w:t> </w:t>
      </w:r>
      <w:r>
        <w:rPr>
          <w:color w:val="231F20"/>
        </w:rPr>
        <w:t>prescribed</w:t>
      </w:r>
      <w:r>
        <w:rPr>
          <w:color w:val="231F20"/>
          <w:spacing w:val="-9"/>
        </w:rPr>
        <w:t> </w:t>
      </w:r>
      <w:r>
        <w:rPr>
          <w:color w:val="231F20"/>
        </w:rPr>
        <w:t>opioid</w:t>
      </w:r>
      <w:r>
        <w:rPr>
          <w:color w:val="231F20"/>
          <w:spacing w:val="-9"/>
        </w:rPr>
        <w:t> </w:t>
      </w:r>
      <w:r>
        <w:rPr>
          <w:color w:val="231F20"/>
        </w:rPr>
        <w:t>to one or more opioid “equivalents”.</w:t>
      </w:r>
      <w:r>
        <w:rPr>
          <w:color w:val="231F20"/>
          <w:position w:val="7"/>
          <w:sz w:val="11"/>
        </w:rPr>
        <w:t>9 </w:t>
      </w:r>
      <w:r>
        <w:rPr>
          <w:color w:val="231F20"/>
          <w:spacing w:val="-4"/>
        </w:rPr>
        <w:t>However, </w:t>
      </w:r>
      <w:r>
        <w:rPr>
          <w:color w:val="231F20"/>
        </w:rPr>
        <w:t>the defined daily dosage (DDD) of one opioid does not necessarily exhibit the same effects of the DDD of another opioid. This distinction then creates a problem clinically when opioid consumption is being considered. Svedsen et al,</w:t>
      </w:r>
      <w:r>
        <w:rPr>
          <w:color w:val="231F20"/>
          <w:position w:val="7"/>
          <w:sz w:val="11"/>
        </w:rPr>
        <w:t>9  </w:t>
      </w:r>
      <w:r>
        <w:rPr>
          <w:color w:val="231F20"/>
        </w:rPr>
        <w:t>for example, conducted an analysis comparing DDD  and oral morphine equivalent (OMEQ). It should be noted, </w:t>
      </w:r>
      <w:r>
        <w:rPr>
          <w:color w:val="231F20"/>
          <w:spacing w:val="-4"/>
        </w:rPr>
        <w:t>however, </w:t>
      </w:r>
      <w:r>
        <w:rPr>
          <w:color w:val="231F20"/>
        </w:rPr>
        <w:t>that due to the variations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equivalence</w:t>
      </w:r>
      <w:r>
        <w:rPr>
          <w:color w:val="231F20"/>
          <w:spacing w:val="-11"/>
        </w:rPr>
        <w:t> </w:t>
      </w:r>
      <w:r>
        <w:rPr>
          <w:color w:val="231F20"/>
        </w:rPr>
        <w:t>calculators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numerous</w:t>
      </w:r>
      <w:r>
        <w:rPr>
          <w:color w:val="231F20"/>
          <w:spacing w:val="-11"/>
        </w:rPr>
        <w:t> </w:t>
      </w:r>
      <w:r>
        <w:rPr>
          <w:color w:val="231F20"/>
        </w:rPr>
        <w:t>sources</w:t>
      </w:r>
      <w:r>
        <w:rPr>
          <w:color w:val="231F20"/>
          <w:spacing w:val="-11"/>
        </w:rPr>
        <w:t> </w:t>
      </w:r>
      <w:r>
        <w:rPr>
          <w:color w:val="231F20"/>
        </w:rPr>
        <w:t>having</w:t>
      </w:r>
      <w:r>
        <w:rPr>
          <w:color w:val="231F20"/>
          <w:spacing w:val="-11"/>
        </w:rPr>
        <w:t> </w:t>
      </w:r>
      <w:r>
        <w:rPr>
          <w:color w:val="231F20"/>
        </w:rPr>
        <w:t>different</w:t>
      </w:r>
      <w:r>
        <w:rPr>
          <w:color w:val="231F20"/>
          <w:spacing w:val="-11"/>
        </w:rPr>
        <w:t> </w:t>
      </w:r>
      <w:r>
        <w:rPr>
          <w:color w:val="231F20"/>
        </w:rPr>
        <w:t>potency- </w:t>
      </w:r>
      <w:r>
        <w:rPr>
          <w:color w:val="231F20"/>
          <w:spacing w:val="-3"/>
        </w:rPr>
        <w:t>equivalent</w:t>
      </w:r>
      <w:r>
        <w:rPr>
          <w:color w:val="231F20"/>
          <w:spacing w:val="-23"/>
        </w:rPr>
        <w:t> </w:t>
      </w:r>
      <w:r>
        <w:rPr>
          <w:color w:val="231F20"/>
        </w:rPr>
        <w:t>estimators,</w:t>
      </w:r>
      <w:r>
        <w:rPr>
          <w:color w:val="231F20"/>
          <w:spacing w:val="-23"/>
        </w:rPr>
        <w:t> </w:t>
      </w:r>
      <w:r>
        <w:rPr>
          <w:color w:val="231F20"/>
        </w:rPr>
        <w:t>there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several</w:t>
      </w:r>
      <w:r>
        <w:rPr>
          <w:color w:val="231F20"/>
          <w:spacing w:val="-23"/>
        </w:rPr>
        <w:t> </w:t>
      </w:r>
      <w:r>
        <w:rPr>
          <w:color w:val="231F20"/>
        </w:rPr>
        <w:t>identified</w:t>
      </w:r>
      <w:r>
        <w:rPr>
          <w:color w:val="231F20"/>
          <w:spacing w:val="-23"/>
        </w:rPr>
        <w:t> </w:t>
      </w:r>
      <w:r>
        <w:rPr>
          <w:color w:val="231F20"/>
        </w:rPr>
        <w:t>limitations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concept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OMEQ. </w:t>
      </w:r>
      <w:r>
        <w:rPr>
          <w:color w:val="231F20"/>
        </w:rPr>
        <w:t>The authors excluded methadone altogether, due to conversion issues. Nevertheless, methadone is included precipitously throughout the literature as part of </w:t>
      </w:r>
      <w:r>
        <w:rPr>
          <w:color w:val="231F20"/>
          <w:spacing w:val="-3"/>
        </w:rPr>
        <w:t>MEDD, </w:t>
      </w:r>
      <w:r>
        <w:rPr>
          <w:color w:val="231F20"/>
        </w:rPr>
        <w:t>and has also been attributed to an elevated risk level aside from its calculated </w:t>
      </w:r>
      <w:r>
        <w:rPr>
          <w:color w:val="231F20"/>
          <w:spacing w:val="-3"/>
        </w:rPr>
        <w:t>MEDD.</w:t>
      </w:r>
      <w:r>
        <w:rPr>
          <w:color w:val="231F20"/>
          <w:spacing w:val="-3"/>
          <w:position w:val="7"/>
          <w:sz w:val="11"/>
        </w:rPr>
        <w:t>8 </w:t>
      </w:r>
      <w:r>
        <w:rPr>
          <w:color w:val="231F20"/>
        </w:rPr>
        <w:t>Svedsen et al determined that the range of equianalgesic ratios varies dramatically between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9"/>
        </w:rPr>
        <w:t> </w:t>
      </w:r>
      <w:r>
        <w:rPr>
          <w:color w:val="231F20"/>
        </w:rPr>
        <w:t>opioids.</w:t>
      </w:r>
      <w:r>
        <w:rPr>
          <w:color w:val="231F20"/>
          <w:position w:val="7"/>
          <w:sz w:val="11"/>
        </w:rPr>
        <w:t>9</w:t>
      </w:r>
      <w:r>
        <w:rPr>
          <w:color w:val="231F20"/>
          <w:spacing w:val="-4"/>
          <w:position w:val="7"/>
          <w:sz w:val="11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example,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converted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morphine</w:t>
      </w:r>
      <w:r>
        <w:rPr>
          <w:color w:val="231F20"/>
          <w:spacing w:val="-9"/>
        </w:rPr>
        <w:t> </w:t>
      </w:r>
      <w:r>
        <w:rPr>
          <w:color w:val="231F20"/>
        </w:rPr>
        <w:t>equivalents,</w:t>
      </w:r>
      <w:r>
        <w:rPr>
          <w:color w:val="231F20"/>
          <w:spacing w:val="-9"/>
        </w:rPr>
        <w:t> </w:t>
      </w:r>
      <w:r>
        <w:rPr>
          <w:color w:val="231F20"/>
        </w:rPr>
        <w:t>fen- </w:t>
      </w:r>
      <w:r>
        <w:rPr>
          <w:color w:val="231F20"/>
          <w:spacing w:val="-5"/>
        </w:rPr>
        <w:t>tanyl’s </w:t>
      </w:r>
      <w:r>
        <w:rPr>
          <w:color w:val="231F20"/>
        </w:rPr>
        <w:t>conversion ranged from 68 to 150 mg, and buprenorphine ranged from 33.3 to 60 mg. The authors demonstrated several of the concerns with variations in</w:t>
      </w:r>
      <w:r>
        <w:rPr>
          <w:color w:val="231F20"/>
          <w:spacing w:val="20"/>
        </w:rPr>
        <w:t> </w:t>
      </w:r>
      <w:r>
        <w:rPr>
          <w:color w:val="231F20"/>
        </w:rPr>
        <w:t>using</w:t>
      </w:r>
    </w:p>
    <w:p>
      <w:pPr>
        <w:spacing w:after="0" w:line="292" w:lineRule="auto"/>
        <w:jc w:val="both"/>
        <w:sectPr>
          <w:type w:val="continuous"/>
          <w:pgSz w:w="12240" w:h="15840"/>
          <w:pgMar w:top="760" w:bottom="0" w:left="460" w:right="0"/>
          <w:cols w:num="2" w:equalWidth="0">
            <w:col w:w="3589" w:space="40"/>
            <w:col w:w="8151"/>
          </w:cols>
        </w:sectPr>
      </w:pPr>
    </w:p>
    <w:p>
      <w:pPr>
        <w:pStyle w:val="BodyText"/>
        <w:tabs>
          <w:tab w:pos="3678" w:val="left" w:leader="none"/>
          <w:tab w:pos="3962" w:val="left" w:leader="none"/>
        </w:tabs>
        <w:spacing w:before="1"/>
        <w:ind w:left="956"/>
      </w:pPr>
      <w:r>
        <w:rPr>
          <w:color w:val="231F20"/>
          <w:u w:val="single" w:color="231F20"/>
        </w:rPr>
        <w:t> </w:t>
        <w:tab/>
      </w:r>
      <w:r>
        <w:rPr>
          <w:color w:val="231F20"/>
        </w:rPr>
        <w:tab/>
        <w:t>OMEQ, and raised the question of </w:t>
      </w:r>
      <w:r>
        <w:rPr>
          <w:color w:val="231F20"/>
          <w:spacing w:val="-4"/>
        </w:rPr>
        <w:t>why </w:t>
      </w:r>
      <w:r>
        <w:rPr>
          <w:color w:val="231F20"/>
        </w:rPr>
        <w:t>OMEQ is even the standard conversion</w:t>
      </w:r>
      <w:r>
        <w:rPr>
          <w:color w:val="231F20"/>
          <w:spacing w:val="-26"/>
        </w:rPr>
        <w:t> </w:t>
      </w:r>
      <w:r>
        <w:rPr>
          <w:color w:val="231F20"/>
        </w:rPr>
        <w:t>cited</w:t>
      </w:r>
    </w:p>
    <w:p>
      <w:pPr>
        <w:spacing w:after="0"/>
        <w:sectPr>
          <w:type w:val="continuous"/>
          <w:pgSz w:w="12240" w:h="15840"/>
          <w:pgMar w:top="760" w:bottom="0" w:left="460" w:right="0"/>
        </w:sectPr>
      </w:pPr>
    </w:p>
    <w:p>
      <w:pPr>
        <w:spacing w:line="244" w:lineRule="auto" w:before="77"/>
        <w:ind w:left="957" w:right="-16" w:hanging="1"/>
        <w:jc w:val="left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Correspondence: Michael E Schatman CPE</w:t>
      </w:r>
      <w:r>
        <w:rPr>
          <w:rFonts w:ascii="Gill Sans MT"/>
          <w:color w:val="231F20"/>
          <w:spacing w:val="-2"/>
          <w:sz w:val="16"/>
        </w:rPr>
        <w:t> </w:t>
      </w:r>
      <w:r>
        <w:rPr>
          <w:rFonts w:ascii="Gill Sans MT"/>
          <w:color w:val="231F20"/>
          <w:sz w:val="16"/>
        </w:rPr>
        <w:t>1601,</w:t>
      </w:r>
      <w:r>
        <w:rPr>
          <w:rFonts w:ascii="Gill Sans MT"/>
          <w:color w:val="231F20"/>
          <w:spacing w:val="-18"/>
          <w:sz w:val="16"/>
        </w:rPr>
        <w:t> </w:t>
      </w:r>
      <w:r>
        <w:rPr>
          <w:rFonts w:ascii="Gill Sans MT"/>
          <w:color w:val="231F20"/>
          <w:sz w:val="16"/>
        </w:rPr>
        <w:t>114th</w:t>
      </w:r>
      <w:r>
        <w:rPr>
          <w:rFonts w:ascii="Gill Sans MT"/>
          <w:color w:val="231F20"/>
          <w:spacing w:val="-19"/>
          <w:sz w:val="16"/>
        </w:rPr>
        <w:t> </w:t>
      </w:r>
      <w:r>
        <w:rPr>
          <w:rFonts w:ascii="Gill Sans MT"/>
          <w:color w:val="231F20"/>
          <w:sz w:val="16"/>
        </w:rPr>
        <w:t>Avenue</w:t>
      </w:r>
      <w:r>
        <w:rPr>
          <w:rFonts w:ascii="Gill Sans MT"/>
          <w:color w:val="231F20"/>
          <w:spacing w:val="-2"/>
          <w:sz w:val="16"/>
        </w:rPr>
        <w:t> </w:t>
      </w:r>
      <w:r>
        <w:rPr>
          <w:rFonts w:ascii="Gill Sans MT"/>
          <w:color w:val="231F20"/>
          <w:sz w:val="16"/>
        </w:rPr>
        <w:t>SE,</w:t>
      </w:r>
      <w:r>
        <w:rPr>
          <w:rFonts w:ascii="Gill Sans MT"/>
          <w:color w:val="231F20"/>
          <w:spacing w:val="-18"/>
          <w:sz w:val="16"/>
        </w:rPr>
        <w:t> </w:t>
      </w:r>
      <w:r>
        <w:rPr>
          <w:rFonts w:ascii="Gill Sans MT"/>
          <w:color w:val="231F20"/>
          <w:sz w:val="16"/>
        </w:rPr>
        <w:t>Suite</w:t>
      </w:r>
      <w:r>
        <w:rPr>
          <w:rFonts w:ascii="Gill Sans MT"/>
          <w:color w:val="231F20"/>
          <w:spacing w:val="-2"/>
          <w:sz w:val="16"/>
        </w:rPr>
        <w:t> </w:t>
      </w:r>
      <w:r>
        <w:rPr>
          <w:rFonts w:ascii="Gill Sans MT"/>
          <w:color w:val="231F20"/>
          <w:sz w:val="16"/>
        </w:rPr>
        <w:t>100, Bellevue,Washington, USA 98004 </w:t>
      </w:r>
      <w:hyperlink r:id="rId8">
        <w:r>
          <w:rPr>
            <w:rFonts w:ascii="Gill Sans MT"/>
            <w:color w:val="231F20"/>
            <w:sz w:val="16"/>
          </w:rPr>
          <w:t>Email</w:t>
        </w:r>
        <w:r>
          <w:rPr>
            <w:rFonts w:ascii="Gill Sans MT"/>
            <w:color w:val="231F20"/>
            <w:spacing w:val="-3"/>
            <w:sz w:val="16"/>
          </w:rPr>
          <w:t> </w:t>
        </w:r>
        <w:r>
          <w:rPr>
            <w:rFonts w:ascii="Gill Sans MT"/>
            <w:color w:val="231F20"/>
            <w:sz w:val="16"/>
          </w:rPr>
          <w:t>headdock@comcast.net</w:t>
        </w:r>
      </w:hyperlink>
    </w:p>
    <w:p>
      <w:pPr>
        <w:pStyle w:val="BodyText"/>
        <w:spacing w:before="49"/>
        <w:ind w:left="481"/>
      </w:pPr>
      <w:r>
        <w:rPr/>
        <w:br w:type="column"/>
      </w:r>
      <w:r>
        <w:rPr>
          <w:color w:val="231F20"/>
        </w:rPr>
        <w:t>by the medical literature and clinicians.</w:t>
      </w:r>
    </w:p>
    <w:p>
      <w:pPr>
        <w:pStyle w:val="BodyText"/>
        <w:spacing w:line="292" w:lineRule="auto" w:before="49"/>
        <w:ind w:left="481" w:right="998" w:firstLine="283"/>
      </w:pPr>
      <w:r>
        <w:rPr>
          <w:color w:val="231F20"/>
        </w:rPr>
        <w:t>Considering the plethora of literature that relies on MEDD to assign opioid and public health risks, as well as to study various opioid-prescribing trends, we question</w:t>
      </w:r>
    </w:p>
    <w:p>
      <w:pPr>
        <w:spacing w:after="0" w:line="292" w:lineRule="auto"/>
        <w:sectPr>
          <w:type w:val="continuous"/>
          <w:pgSz w:w="12240" w:h="15840"/>
          <w:pgMar w:top="760" w:bottom="0" w:left="460" w:right="0"/>
          <w:cols w:num="2" w:equalWidth="0">
            <w:col w:w="3442" w:space="40"/>
            <w:col w:w="8298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spacing w:before="27"/>
        <w:ind w:left="956" w:right="0" w:firstLine="0"/>
        <w:jc w:val="left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7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before="14"/>
        <w:ind w:left="930" w:right="0" w:firstLine="0"/>
        <w:jc w:val="left"/>
        <w:rPr>
          <w:rFonts w:ascii="Gill Sans MT" w:hAnsi="Gill Sans MT"/>
          <w:sz w:val="16"/>
        </w:rPr>
      </w:pPr>
      <w:r>
        <w:rPr/>
        <w:br w:type="column"/>
      </w:r>
      <w:r>
        <w:rPr>
          <w:rFonts w:ascii="Gill Sans MT" w:hAnsi="Gill Sans MT"/>
          <w:color w:val="231F20"/>
          <w:sz w:val="16"/>
        </w:rPr>
        <w:t>Journal of Pain Research 2016:9</w:t>
      </w:r>
      <w:r>
        <w:rPr>
          <w:rFonts w:ascii="Gill Sans MT" w:hAnsi="Gill Sans MT"/>
          <w:color w:val="231F20"/>
          <w:spacing w:val="-11"/>
          <w:sz w:val="16"/>
        </w:rPr>
        <w:t> </w:t>
      </w:r>
      <w:r>
        <w:rPr>
          <w:rFonts w:ascii="Gill Sans MT" w:hAnsi="Gill Sans MT"/>
          <w:color w:val="231F20"/>
          <w:sz w:val="16"/>
        </w:rPr>
        <w:t>153–156</w:t>
      </w:r>
    </w:p>
    <w:p>
      <w:pPr>
        <w:spacing w:line="206" w:lineRule="exact" w:before="3"/>
        <w:ind w:left="938" w:right="1055" w:firstLine="0"/>
        <w:jc w:val="center"/>
        <w:rPr>
          <w:rFonts w:ascii="Gill Sans MT"/>
          <w:b/>
          <w:sz w:val="20"/>
        </w:rPr>
      </w:pPr>
      <w:r>
        <w:rPr/>
        <w:br w:type="column"/>
      </w:r>
      <w:r>
        <w:rPr>
          <w:rFonts w:ascii="Gill Sans MT"/>
          <w:b/>
          <w:color w:val="231F20"/>
          <w:sz w:val="20"/>
        </w:rPr>
        <w:t>153</w:t>
      </w:r>
    </w:p>
    <w:p>
      <w:pPr>
        <w:spacing w:after="0" w:line="206" w:lineRule="exact"/>
        <w:jc w:val="center"/>
        <w:rPr>
          <w:rFonts w:ascii="Gill Sans MT"/>
          <w:sz w:val="20"/>
        </w:rPr>
        <w:sectPr>
          <w:type w:val="continuous"/>
          <w:pgSz w:w="12240" w:h="15840"/>
          <w:pgMar w:top="760" w:bottom="0" w:left="460" w:right="0"/>
          <w:cols w:num="3" w:equalWidth="0">
            <w:col w:w="2993" w:space="40"/>
            <w:col w:w="3582" w:space="2800"/>
            <w:col w:w="2365"/>
          </w:cols>
        </w:sectPr>
      </w:pPr>
    </w:p>
    <w:p>
      <w:pPr>
        <w:spacing w:before="1"/>
        <w:ind w:left="936" w:right="936" w:firstLine="0"/>
        <w:jc w:val="center"/>
        <w:rPr>
          <w:rFonts w:ascii="Book Antiqua"/>
          <w:sz w:val="12"/>
        </w:rPr>
      </w:pPr>
      <w:hyperlink r:id="rId7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spacing w:before="78"/>
        <w:ind w:left="956" w:right="0" w:firstLine="0"/>
        <w:jc w:val="left"/>
        <w:rPr>
          <w:rFonts w:ascii="Gill Sans MT"/>
          <w:sz w:val="10"/>
        </w:rPr>
      </w:pPr>
      <w:hyperlink r:id="rId9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color w:val="B8BABC"/>
            <w:sz w:val="10"/>
          </w:rPr>
          <w:t>//dx.doi.org/10.2147/JPR.S107794</w:t>
        </w:r>
      </w:hyperlink>
    </w:p>
    <w:p>
      <w:pPr>
        <w:spacing w:line="130" w:lineRule="exact" w:before="33"/>
        <w:ind w:left="1798" w:right="1128" w:hanging="2"/>
        <w:jc w:val="left"/>
        <w:rPr>
          <w:rFonts w:ascii="Gill Sans MT Condensed" w:hAnsi="Gill Sans MT Condensed"/>
          <w:sz w:val="12"/>
        </w:rPr>
      </w:pPr>
      <w:r>
        <w:rPr/>
        <w:br w:type="column"/>
      </w:r>
      <w:r>
        <w:rPr>
          <w:rFonts w:ascii="Gill Sans MT Condensed" w:hAnsi="Gill Sans MT Condensed"/>
          <w:color w:val="231F20"/>
          <w:sz w:val="12"/>
        </w:rPr>
        <w:t>©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2016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Fudin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et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al.</w:t>
      </w:r>
      <w:r>
        <w:rPr>
          <w:rFonts w:ascii="Gill Sans MT Condensed" w:hAnsi="Gill Sans MT Condensed"/>
          <w:color w:val="231F20"/>
          <w:spacing w:val="-2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work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is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published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licensed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pacing w:val="-3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Dove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Medical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Press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Limited.</w:t>
      </w:r>
      <w:r>
        <w:rPr>
          <w:rFonts w:ascii="Gill Sans MT Condensed" w:hAnsi="Gill Sans MT Condensed"/>
          <w:color w:val="231F20"/>
          <w:spacing w:val="-2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full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terms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of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are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pacing w:val="-2"/>
          <w:sz w:val="12"/>
        </w:rPr>
        <w:t>available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at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hyperlink r:id="rId10">
        <w:r>
          <w:rPr>
            <w:rFonts w:ascii="Gill Sans MT Condensed" w:hAnsi="Gill Sans MT Condensed"/>
            <w:color w:val="231F20"/>
            <w:sz w:val="12"/>
          </w:rPr>
          <w:t>https://www.dovepress.com/terms.</w:t>
        </w:r>
      </w:hyperlink>
      <w:r>
        <w:rPr>
          <w:rFonts w:ascii="Gill Sans MT Condensed" w:hAnsi="Gill Sans MT Condensed"/>
          <w:color w:val="231F20"/>
          <w:sz w:val="12"/>
        </w:rPr>
        <w:t> </w:t>
      </w:r>
      <w:hyperlink r:id="rId10">
        <w:r>
          <w:rPr>
            <w:rFonts w:ascii="Gill Sans MT Condensed" w:hAnsi="Gill Sans MT Condensed"/>
            <w:color w:val="231F20"/>
            <w:sz w:val="12"/>
          </w:rPr>
          <w:t>php</w:t>
        </w:r>
      </w:hyperlink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incorporate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Creative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Commons</w:t>
      </w:r>
      <w:r>
        <w:rPr>
          <w:rFonts w:ascii="Gill Sans MT Condensed" w:hAnsi="Gill Sans MT Condensed"/>
          <w:color w:val="231F20"/>
          <w:spacing w:val="-15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Attribution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–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Non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Commercial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(unported,</w:t>
      </w:r>
      <w:r>
        <w:rPr>
          <w:rFonts w:ascii="Gill Sans MT Condensed" w:hAnsi="Gill Sans MT Condensed"/>
          <w:color w:val="231F20"/>
          <w:spacing w:val="-20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v3.0)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pacing w:val="-3"/>
          <w:sz w:val="12"/>
        </w:rPr>
        <w:t>(</w:t>
      </w:r>
      <w:hyperlink r:id="rId11">
        <w:r>
          <w:rPr>
            <w:rFonts w:ascii="Gill Sans MT Condensed" w:hAnsi="Gill Sans MT Condensed"/>
            <w:color w:val="231F20"/>
            <w:spacing w:val="-3"/>
            <w:sz w:val="12"/>
          </w:rPr>
          <w:t>http://creativecommons.org/licenses/by-nc/3.0/</w:t>
        </w:r>
      </w:hyperlink>
      <w:r>
        <w:rPr>
          <w:rFonts w:ascii="Gill Sans MT Condensed" w:hAnsi="Gill Sans MT Condensed"/>
          <w:color w:val="231F20"/>
          <w:spacing w:val="-3"/>
          <w:sz w:val="12"/>
        </w:rPr>
        <w:t>).</w:t>
      </w:r>
      <w:r>
        <w:rPr>
          <w:rFonts w:ascii="Gill Sans MT Condensed" w:hAnsi="Gill Sans MT Condensed"/>
          <w:color w:val="231F20"/>
          <w:spacing w:val="-20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accessing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> </w:t>
      </w:r>
      <w:r>
        <w:rPr>
          <w:rFonts w:ascii="Gill Sans MT Condensed" w:hAnsi="Gill Sans MT Condensed"/>
          <w:color w:val="231F20"/>
          <w:sz w:val="12"/>
        </w:rPr>
        <w:t>work</w:t>
      </w:r>
    </w:p>
    <w:p>
      <w:pPr>
        <w:spacing w:line="130" w:lineRule="exact" w:before="0"/>
        <w:ind w:left="956" w:right="1128" w:firstLine="0"/>
        <w:jc w:val="left"/>
        <w:rPr>
          <w:rFonts w:ascii="Gill Sans MT Condensed"/>
          <w:sz w:val="12"/>
        </w:rPr>
      </w:pPr>
      <w:r>
        <w:rPr/>
        <w:pict>
          <v:group style="position:absolute;margin-left:221.028107pt;margin-top:-13.9774pt;width:39.450pt;height:13.7pt;mso-position-horizontal-relative:page;mso-position-vertical-relative:paragraph;z-index:1072" coordorigin="4421,-280" coordsize="789,274">
            <v:rect style="position:absolute;left:4427;top:-255;width:776;height:244" filled="true" fillcolor="#aab2ab" stroked="false">
              <v:fill type="solid"/>
            </v:rect>
            <v:line style="position:absolute" from="4427,-261" to="5203,-261" stroked="true" strokeweight=".6pt" strokecolor="#aab2ab">
              <v:stroke dashstyle="solid"/>
            </v:line>
            <v:line style="position:absolute" from="4427,-271" to="5203,-271" stroked="true" strokeweight=".4pt" strokecolor="#aab2ab">
              <v:stroke dashstyle="solid"/>
            </v:line>
            <v:line style="position:absolute" from="4428,-276" to="5005,-276" stroked="true" strokeweight=".1pt" strokecolor="#aab2ab">
              <v:stroke dashstyle="solid"/>
            </v:line>
            <v:shape style="position:absolute;left:5194;top:-277;width:10;height:2" coordorigin="5194,-277" coordsize="10,2" path="m5203,-277l5194,-275,5203,-275,5203,-277xe" filled="true" fillcolor="#aab2ab" stroked="false">
              <v:path arrowok="t"/>
              <v:fill type="solid"/>
            </v:shape>
            <v:shape style="position:absolute;left:4457;top:-254;width:204;height:204" type="#_x0000_t75" stroked="false">
              <v:imagedata r:id="rId12" o:title=""/>
            </v:shape>
            <v:shape style="position:absolute;left:4423;top:-280;width:782;height:274" coordorigin="4423,-280" coordsize="782,274" path="m5198,-280l4430,-280,4423,-273,4423,-7,4424,-6,5203,-6,5205,-7,5205,-28,4559,-28,4528,-32,4499,-44,4476,-63,4458,-88,4430,-88,4430,-269,4433,-273,5205,-273,5205,-273,5198,-280xm5205,-273l5195,-273,5198,-269,5198,-88,4660,-88,4642,-63,4619,-44,4590,-32,4559,-28,5205,-28,5205,-273xe" filled="true" fillcolor="#010202" stroked="false">
              <v:path arrowok="t"/>
              <v:fill type="solid"/>
            </v:shape>
            <v:shape style="position:absolute;left:4794;top:-67;width:267;height:46" coordorigin="4794,-67" coordsize="267,46" path="m4830,-38l4829,-41,4828,-42,4826,-44,4824,-46,4822,-47,4824,-47,4825,-49,4825,-49,4827,-52,4828,-53,4827,-58,4827,-59,4827,-59,4826,-62,4825,-63,4823,-65,4821,-65,4820,-65,4820,-38,4820,-34,4819,-33,4819,-32,4817,-31,4817,-31,4815,-31,4813,-30,4803,-30,4803,-42,4815,-42,4817,-42,4820,-40,4820,-38,4820,-65,4818,-66,4818,-52,4818,-51,4816,-49,4814,-49,4803,-49,4803,-59,4814,-59,4815,-58,4816,-58,4817,-57,4818,-57,4818,-56,4818,-52,4818,-66,4818,-66,4814,-66,4794,-66,4794,-23,4816,-23,4818,-23,4822,-24,4824,-25,4827,-27,4828,-28,4829,-30,4829,-31,4830,-33,4830,-38m4873,-66l4862,-66,4852,-49,4842,-66,4831,-66,4847,-40,4847,-23,4857,-23,4857,-40,4863,-49,4873,-66m5013,-66l5004,-66,5004,-37,4995,-52,4986,-66,4977,-66,4977,-23,4986,-23,4986,-52,5004,-23,5013,-23,5013,-37,5013,-66m5060,-40l5051,-40,5050,-37,5049,-34,5046,-31,5044,-30,5039,-30,5037,-30,5034,-32,5033,-33,5031,-36,5030,-37,5029,-41,5029,-48,5030,-52,5031,-53,5033,-56,5034,-57,5037,-59,5039,-59,5043,-59,5045,-58,5046,-58,5048,-56,5049,-56,5050,-54,5050,-53,5050,-52,5059,-52,5059,-54,5058,-56,5057,-59,5056,-60,5055,-62,5052,-65,5050,-66,5045,-67,5043,-67,5038,-67,5035,-67,5029,-64,5027,-63,5023,-59,5022,-56,5020,-51,5020,-48,5020,-41,5020,-38,5022,-33,5023,-31,5027,-27,5029,-25,5035,-23,5038,-22,5043,-22,5046,-22,5050,-24,5052,-25,5056,-28,5057,-30,5057,-30,5059,-35,5060,-37,5060,-40e" filled="true" fillcolor="#ffffff" stroked="false">
              <v:path arrowok="t"/>
              <v:fill type="solid"/>
            </v:shape>
            <v:shape style="position:absolute;left:4945;top:-258;width:151;height:151" type="#_x0000_t75" stroked="false">
              <v:imagedata r:id="rId13" o:title=""/>
            </v:shape>
            <v:shape style="position:absolute;left:4760;top:-258;width:151;height:151" type="#_x0000_t75" stroked="false">
              <v:imagedata r:id="rId14" o:title=""/>
            </v:shape>
            <w10:wrap type="none"/>
          </v:group>
        </w:pict>
      </w:r>
      <w:r>
        <w:rPr>
          <w:rFonts w:ascii="Gill Sans MT Condensed"/>
          <w:color w:val="231F20"/>
          <w:sz w:val="12"/>
        </w:rPr>
        <w:t>you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pacing w:val="-3"/>
          <w:sz w:val="12"/>
        </w:rPr>
        <w:t>hereby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accept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pacing w:val="-3"/>
          <w:sz w:val="12"/>
        </w:rPr>
        <w:t>Terms.</w:t>
      </w:r>
      <w:r>
        <w:rPr>
          <w:rFonts w:ascii="Gill Sans MT Condensed"/>
          <w:color w:val="231F20"/>
          <w:spacing w:val="-21"/>
          <w:sz w:val="12"/>
        </w:rPr>
        <w:t> </w:t>
      </w:r>
      <w:r>
        <w:rPr>
          <w:rFonts w:ascii="Gill Sans MT Condensed"/>
          <w:color w:val="231F20"/>
          <w:sz w:val="12"/>
        </w:rPr>
        <w:t>Non-commercial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uses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are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permitted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without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pacing w:val="-2"/>
          <w:sz w:val="12"/>
        </w:rPr>
        <w:t>any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further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from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Dove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Medical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Press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Limited,</w:t>
      </w:r>
      <w:r>
        <w:rPr>
          <w:rFonts w:ascii="Gill Sans MT Condensed"/>
          <w:color w:val="231F20"/>
          <w:spacing w:val="-21"/>
          <w:sz w:val="12"/>
        </w:rPr>
        <w:t> </w:t>
      </w:r>
      <w:r>
        <w:rPr>
          <w:rFonts w:ascii="Gill Sans MT Condensed"/>
          <w:color w:val="231F20"/>
          <w:sz w:val="12"/>
        </w:rPr>
        <w:t>provided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is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properly</w:t>
      </w:r>
      <w:r>
        <w:rPr>
          <w:rFonts w:ascii="Gill Sans MT Condensed"/>
          <w:color w:val="231F20"/>
          <w:spacing w:val="-11"/>
          <w:sz w:val="12"/>
        </w:rPr>
        <w:t> </w:t>
      </w:r>
      <w:r>
        <w:rPr>
          <w:rFonts w:ascii="Gill Sans MT Condensed"/>
          <w:color w:val="231F20"/>
          <w:sz w:val="12"/>
        </w:rPr>
        <w:t>attributed.</w:t>
      </w:r>
      <w:r>
        <w:rPr>
          <w:rFonts w:ascii="Gill Sans MT Condensed"/>
          <w:color w:val="231F20"/>
          <w:spacing w:val="-21"/>
          <w:sz w:val="12"/>
        </w:rPr>
        <w:t> </w:t>
      </w:r>
      <w:r>
        <w:rPr>
          <w:rFonts w:ascii="Gill Sans MT Condensed"/>
          <w:color w:val="231F20"/>
          <w:spacing w:val="-3"/>
          <w:sz w:val="12"/>
        </w:rPr>
        <w:t>For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for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commercial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use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this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work,</w:t>
      </w:r>
      <w:r>
        <w:rPr>
          <w:rFonts w:ascii="Gill Sans MT Condensed"/>
          <w:color w:val="231F20"/>
          <w:spacing w:val="-23"/>
          <w:sz w:val="12"/>
        </w:rPr>
        <w:t> </w:t>
      </w:r>
      <w:r>
        <w:rPr>
          <w:rFonts w:ascii="Gill Sans MT Condensed"/>
          <w:color w:val="231F20"/>
          <w:sz w:val="12"/>
        </w:rPr>
        <w:t>please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see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paragraphs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4.2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and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5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z w:val="12"/>
        </w:rPr>
        <w:t>our</w:t>
      </w:r>
      <w:r>
        <w:rPr>
          <w:rFonts w:ascii="Gill Sans MT Condensed"/>
          <w:color w:val="231F20"/>
          <w:spacing w:val="-15"/>
          <w:sz w:val="12"/>
        </w:rPr>
        <w:t> </w:t>
      </w:r>
      <w:r>
        <w:rPr>
          <w:rFonts w:ascii="Gill Sans MT Condensed"/>
          <w:color w:val="231F20"/>
          <w:spacing w:val="-3"/>
          <w:sz w:val="12"/>
        </w:rPr>
        <w:t>Terms</w:t>
      </w:r>
      <w:r>
        <w:rPr>
          <w:rFonts w:ascii="Gill Sans MT Condensed"/>
          <w:color w:val="231F20"/>
          <w:spacing w:val="-15"/>
          <w:sz w:val="12"/>
        </w:rPr>
        <w:t> </w:t>
      </w:r>
      <w:hyperlink r:id="rId10">
        <w:r>
          <w:rPr>
            <w:rFonts w:ascii="Gill Sans MT Condensed"/>
            <w:color w:val="231F20"/>
            <w:sz w:val="12"/>
          </w:rPr>
          <w:t>(https://www.dovepress.com/terms.php</w:t>
        </w:r>
      </w:hyperlink>
      <w:r>
        <w:rPr>
          <w:rFonts w:ascii="Gill Sans MT Condensed"/>
          <w:color w:val="231F20"/>
          <w:sz w:val="12"/>
        </w:rPr>
        <w:t>).</w:t>
      </w:r>
    </w:p>
    <w:p>
      <w:pPr>
        <w:spacing w:after="0" w:line="130" w:lineRule="exact"/>
        <w:jc w:val="left"/>
        <w:rPr>
          <w:rFonts w:ascii="Gill Sans MT Condensed"/>
          <w:sz w:val="12"/>
        </w:rPr>
        <w:sectPr>
          <w:type w:val="continuous"/>
          <w:pgSz w:w="12240" w:h="15840"/>
          <w:pgMar w:top="760" w:bottom="0" w:left="460" w:right="0"/>
          <w:cols w:num="2" w:equalWidth="0">
            <w:col w:w="2531" w:space="475"/>
            <w:col w:w="8774"/>
          </w:cols>
        </w:sectPr>
      </w:pPr>
    </w:p>
    <w:p>
      <w:pPr>
        <w:tabs>
          <w:tab w:pos="9543" w:val="left" w:leader="none"/>
        </w:tabs>
        <w:spacing w:before="90"/>
        <w:ind w:left="617" w:right="0" w:firstLine="0"/>
        <w:jc w:val="left"/>
        <w:rPr>
          <w:rFonts w:ascii="Book Antiqua"/>
          <w:sz w:val="16"/>
        </w:rPr>
      </w:pPr>
      <w:r>
        <w:rPr/>
        <w:pict>
          <v:line style="position:absolute;mso-position-horizontal-relative:page;mso-position-vertical-relative:paragraph;z-index:1144;mso-wrap-distance-left:0;mso-wrap-distance-right:0" from="53.849998pt,15.956164pt" to="541.149998pt,15.956164pt" stroked="true" strokeweight=".5pt" strokecolor="#231f20">
            <v:stroke dashstyle="solid"/>
            <w10:wrap type="topAndBottom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> </w:t>
      </w:r>
      <w:r>
        <w:rPr>
          <w:rFonts w:ascii="Gill Sans MT"/>
          <w:color w:val="231F20"/>
          <w:w w:val="105"/>
          <w:sz w:val="16"/>
        </w:rPr>
        <w:t>al</w:t>
        <w:tab/>
      </w:r>
      <w:hyperlink r:id="rId7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>
      <w:pPr>
        <w:pStyle w:val="BodyText"/>
        <w:rPr>
          <w:rFonts w:ascii="Book Antiqua"/>
          <w:sz w:val="10"/>
        </w:rPr>
      </w:pPr>
    </w:p>
    <w:p>
      <w:pPr>
        <w:spacing w:after="0"/>
        <w:rPr>
          <w:rFonts w:ascii="Book Antiqua"/>
          <w:sz w:val="10"/>
        </w:rPr>
        <w:sectPr>
          <w:pgSz w:w="12240" w:h="15840"/>
          <w:pgMar w:header="0" w:footer="0" w:top="480" w:bottom="0" w:left="460" w:right="0"/>
        </w:sectPr>
      </w:pPr>
    </w:p>
    <w:p>
      <w:pPr>
        <w:pStyle w:val="BodyText"/>
        <w:spacing w:line="292" w:lineRule="auto" w:before="90"/>
        <w:ind w:left="61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validity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MEDD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justifiable</w:t>
      </w:r>
      <w:r>
        <w:rPr>
          <w:color w:val="231F20"/>
          <w:spacing w:val="-9"/>
        </w:rPr>
        <w:t> </w:t>
      </w:r>
      <w:r>
        <w:rPr>
          <w:color w:val="231F20"/>
        </w:rPr>
        <w:t>parameter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to rely so </w:t>
      </w:r>
      <w:r>
        <w:rPr>
          <w:color w:val="231F20"/>
          <w:spacing w:val="-4"/>
        </w:rPr>
        <w:t>heavily. </w:t>
      </w:r>
      <w:r>
        <w:rPr>
          <w:color w:val="231F20"/>
        </w:rPr>
        <w:t>In doing so, </w:t>
      </w:r>
      <w:r>
        <w:rPr>
          <w:color w:val="231F20"/>
          <w:spacing w:val="-4"/>
        </w:rPr>
        <w:t>we </w:t>
      </w:r>
      <w:r>
        <w:rPr>
          <w:color w:val="231F20"/>
        </w:rPr>
        <w:t>searched the literature for development or validity of daily morphine equivalent</w:t>
      </w:r>
      <w:r>
        <w:rPr>
          <w:color w:val="231F20"/>
          <w:spacing w:val="-35"/>
        </w:rPr>
        <w:t> </w:t>
      </w:r>
      <w:r>
        <w:rPr>
          <w:color w:val="231F20"/>
        </w:rPr>
        <w:t>using the</w:t>
      </w:r>
      <w:r>
        <w:rPr>
          <w:color w:val="231F20"/>
          <w:spacing w:val="-21"/>
        </w:rPr>
        <w:t> </w:t>
      </w:r>
      <w:r>
        <w:rPr>
          <w:color w:val="231F20"/>
        </w:rPr>
        <w:t>search</w:t>
      </w:r>
      <w:r>
        <w:rPr>
          <w:color w:val="231F20"/>
          <w:spacing w:val="-21"/>
        </w:rPr>
        <w:t> </w:t>
      </w:r>
      <w:r>
        <w:rPr>
          <w:color w:val="231F20"/>
        </w:rPr>
        <w:t>terms</w:t>
      </w:r>
      <w:r>
        <w:rPr>
          <w:color w:val="231F20"/>
          <w:spacing w:val="-21"/>
        </w:rPr>
        <w:t> </w:t>
      </w:r>
      <w:r>
        <w:rPr>
          <w:color w:val="231F20"/>
        </w:rPr>
        <w:t>“morphine</w:t>
      </w:r>
      <w:r>
        <w:rPr>
          <w:color w:val="231F20"/>
          <w:spacing w:val="-21"/>
        </w:rPr>
        <w:t> </w:t>
      </w:r>
      <w:r>
        <w:rPr>
          <w:color w:val="231F20"/>
        </w:rPr>
        <w:t>equivalent</w:t>
      </w:r>
      <w:r>
        <w:rPr>
          <w:color w:val="231F20"/>
          <w:spacing w:val="-21"/>
        </w:rPr>
        <w:t> </w:t>
      </w:r>
      <w:r>
        <w:rPr>
          <w:color w:val="231F20"/>
        </w:rPr>
        <w:t>daily</w:t>
      </w:r>
      <w:r>
        <w:rPr>
          <w:color w:val="231F20"/>
          <w:spacing w:val="-21"/>
        </w:rPr>
        <w:t> </w:t>
      </w:r>
      <w:r>
        <w:rPr>
          <w:color w:val="231F20"/>
        </w:rPr>
        <w:t>dose</w:t>
      </w:r>
      <w:r>
        <w:rPr>
          <w:color w:val="231F20"/>
          <w:spacing w:val="-21"/>
        </w:rPr>
        <w:t> </w:t>
      </w:r>
      <w:r>
        <w:rPr>
          <w:color w:val="231F20"/>
        </w:rPr>
        <w:t>(MEDD)”, “oral</w:t>
      </w:r>
      <w:r>
        <w:rPr>
          <w:color w:val="231F20"/>
          <w:spacing w:val="-14"/>
        </w:rPr>
        <w:t> </w:t>
      </w:r>
      <w:r>
        <w:rPr>
          <w:color w:val="231F20"/>
        </w:rPr>
        <w:t>morphine</w:t>
      </w:r>
      <w:r>
        <w:rPr>
          <w:color w:val="231F20"/>
          <w:spacing w:val="-14"/>
        </w:rPr>
        <w:t> </w:t>
      </w:r>
      <w:r>
        <w:rPr>
          <w:color w:val="231F20"/>
        </w:rPr>
        <w:t>equivalent</w:t>
      </w:r>
      <w:r>
        <w:rPr>
          <w:color w:val="231F20"/>
          <w:spacing w:val="-14"/>
        </w:rPr>
        <w:t> </w:t>
      </w:r>
      <w:r>
        <w:rPr>
          <w:color w:val="231F20"/>
        </w:rPr>
        <w:t>(OMEQ)”,</w:t>
      </w:r>
      <w:r>
        <w:rPr>
          <w:color w:val="231F20"/>
          <w:spacing w:val="-14"/>
        </w:rPr>
        <w:t> </w:t>
      </w:r>
      <w:r>
        <w:rPr>
          <w:color w:val="231F20"/>
        </w:rPr>
        <w:t>“equianalgesic</w:t>
      </w:r>
      <w:r>
        <w:rPr>
          <w:color w:val="231F20"/>
          <w:spacing w:val="-14"/>
        </w:rPr>
        <w:t> </w:t>
      </w:r>
      <w:r>
        <w:rPr>
          <w:color w:val="231F20"/>
        </w:rPr>
        <w:t>opioid dose”, and “morphine equivalents</w:t>
      </w:r>
      <w:r>
        <w:rPr>
          <w:color w:val="231F20"/>
          <w:spacing w:val="-4"/>
        </w:rPr>
        <w:t> </w:t>
      </w:r>
      <w:r>
        <w:rPr>
          <w:color w:val="231F20"/>
        </w:rPr>
        <w:t>(MEQs)”.</w:t>
      </w:r>
    </w:p>
    <w:p>
      <w:pPr>
        <w:pStyle w:val="BodyText"/>
        <w:spacing w:line="292" w:lineRule="auto" w:before="1"/>
        <w:ind w:left="617" w:firstLine="283"/>
        <w:jc w:val="both"/>
      </w:pPr>
      <w:r>
        <w:rPr/>
        <w:pict>
          <v:shape style="position:absolute;margin-left:23.510256pt;margin-top:22.554132pt;width:18.45pt;height:354.25pt;mso-position-horizontal-relative:page;mso-position-vertical-relative:paragraph;z-index:1192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797" w:right="18" w:hanging="2778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7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19-Feb-2018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4"/>
        </w:rPr>
        <w:t>Information </w:t>
      </w:r>
      <w:r>
        <w:rPr>
          <w:color w:val="231F20"/>
          <w:spacing w:val="3"/>
        </w:rPr>
        <w:t>sources included Medline </w:t>
      </w:r>
      <w:r>
        <w:rPr>
          <w:color w:val="231F20"/>
          <w:spacing w:val="2"/>
        </w:rPr>
        <w:t>via </w:t>
      </w:r>
      <w:r>
        <w:rPr>
          <w:color w:val="231F20"/>
        </w:rPr>
        <w:t>PubMed, Access Medicine, CINAHL, </w:t>
      </w:r>
      <w:r>
        <w:rPr>
          <w:color w:val="231F20"/>
          <w:spacing w:val="-3"/>
        </w:rPr>
        <w:t>Ovid, </w:t>
      </w:r>
      <w:r>
        <w:rPr>
          <w:color w:val="231F20"/>
        </w:rPr>
        <w:t>the National Guideline Clearing House, Google, Google Scholar, Medscape, and eMedicine. Equianalgesic dose was defined as a dose at which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two</w:t>
      </w:r>
      <w:r>
        <w:rPr>
          <w:color w:val="231F20"/>
          <w:spacing w:val="-19"/>
        </w:rPr>
        <w:t> </w:t>
      </w:r>
      <w:r>
        <w:rPr>
          <w:color w:val="231F20"/>
        </w:rPr>
        <w:t>opioids</w:t>
      </w:r>
      <w:r>
        <w:rPr>
          <w:color w:val="231F20"/>
          <w:spacing w:val="-19"/>
        </w:rPr>
        <w:t> </w:t>
      </w:r>
      <w:r>
        <w:rPr>
          <w:color w:val="231F20"/>
        </w:rPr>
        <w:t>(at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steady</w:t>
      </w:r>
      <w:r>
        <w:rPr>
          <w:color w:val="231F20"/>
          <w:spacing w:val="-19"/>
        </w:rPr>
        <w:t> </w:t>
      </w:r>
      <w:r>
        <w:rPr>
          <w:color w:val="231F20"/>
        </w:rPr>
        <w:t>state)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-19"/>
        </w:rPr>
        <w:t> </w:t>
      </w:r>
      <w:r>
        <w:rPr>
          <w:color w:val="231F20"/>
        </w:rPr>
        <w:t>approximately the same pain relief.</w:t>
      </w:r>
      <w:r>
        <w:rPr>
          <w:color w:val="231F20"/>
          <w:position w:val="7"/>
          <w:sz w:val="11"/>
        </w:rPr>
        <w:t>10 </w:t>
      </w:r>
      <w:r>
        <w:rPr>
          <w:color w:val="231F20"/>
        </w:rPr>
        <w:t>Scant data resulted from this search relating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initial</w:t>
      </w:r>
      <w:r>
        <w:rPr>
          <w:color w:val="231F20"/>
          <w:spacing w:val="-14"/>
        </w:rPr>
        <w:t> </w:t>
      </w:r>
      <w:r>
        <w:rPr>
          <w:color w:val="231F20"/>
        </w:rPr>
        <w:t>concept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daily</w:t>
      </w:r>
      <w:r>
        <w:rPr>
          <w:color w:val="231F20"/>
          <w:spacing w:val="-14"/>
        </w:rPr>
        <w:t> </w:t>
      </w:r>
      <w:r>
        <w:rPr>
          <w:color w:val="231F20"/>
        </w:rPr>
        <w:t>morphine</w:t>
      </w:r>
      <w:r>
        <w:rPr>
          <w:color w:val="231F20"/>
          <w:spacing w:val="-14"/>
        </w:rPr>
        <w:t> </w:t>
      </w:r>
      <w:r>
        <w:rPr>
          <w:color w:val="231F20"/>
        </w:rPr>
        <w:t>equivalence; </w:t>
      </w:r>
      <w:r>
        <w:rPr>
          <w:color w:val="231F20"/>
          <w:spacing w:val="-4"/>
        </w:rPr>
        <w:t>however, </w:t>
      </w:r>
      <w:r>
        <w:rPr>
          <w:color w:val="231F20"/>
        </w:rPr>
        <w:t>numerous publications and studies revealed flaws in this widely accepted standard of</w:t>
      </w:r>
      <w:r>
        <w:rPr>
          <w:color w:val="231F20"/>
          <w:spacing w:val="-5"/>
        </w:rPr>
        <w:t> </w:t>
      </w:r>
      <w:r>
        <w:rPr>
          <w:color w:val="231F20"/>
        </w:rPr>
        <w:t>measurement.</w:t>
      </w:r>
    </w:p>
    <w:p>
      <w:pPr>
        <w:pStyle w:val="BodyText"/>
        <w:spacing w:line="292" w:lineRule="auto" w:before="1"/>
        <w:ind w:left="617" w:firstLine="283"/>
        <w:jc w:val="both"/>
        <w:rPr>
          <w:sz w:val="11"/>
        </w:rPr>
      </w:pPr>
      <w:r>
        <w:rPr>
          <w:color w:val="231F20"/>
        </w:rPr>
        <w:t>Nuckols et al conducted a study in 2014, the purpose of which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was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compare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contrast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existing</w:t>
      </w:r>
      <w:r>
        <w:rPr>
          <w:color w:val="231F20"/>
          <w:spacing w:val="-20"/>
        </w:rPr>
        <w:t> </w:t>
      </w:r>
      <w:r>
        <w:rPr>
          <w:color w:val="231F20"/>
        </w:rPr>
        <w:t>guidelines</w:t>
      </w:r>
      <w:r>
        <w:rPr>
          <w:color w:val="231F20"/>
          <w:spacing w:val="-20"/>
        </w:rPr>
        <w:t> </w:t>
      </w:r>
      <w:r>
        <w:rPr>
          <w:color w:val="231F20"/>
        </w:rPr>
        <w:t>on 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opioids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chronic</w:t>
      </w:r>
      <w:r>
        <w:rPr>
          <w:color w:val="231F20"/>
          <w:spacing w:val="-10"/>
        </w:rPr>
        <w:t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11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13</w:t>
      </w:r>
      <w:r>
        <w:rPr>
          <w:color w:val="231F20"/>
          <w:spacing w:val="-10"/>
        </w:rPr>
        <w:t> </w:t>
      </w:r>
      <w:r>
        <w:rPr>
          <w:color w:val="231F20"/>
        </w:rPr>
        <w:t>guidelines were considered eligible for the </w:t>
      </w:r>
      <w:r>
        <w:rPr>
          <w:color w:val="231F20"/>
          <w:spacing w:val="-3"/>
        </w:rPr>
        <w:t>study. </w:t>
      </w:r>
      <w:r>
        <w:rPr>
          <w:color w:val="231F20"/>
        </w:rPr>
        <w:t>Of the 13 guidelines considered,</w:t>
      </w:r>
      <w:r>
        <w:rPr>
          <w:color w:val="231F20"/>
          <w:spacing w:val="-6"/>
        </w:rPr>
        <w:t> </w:t>
      </w:r>
      <w:r>
        <w:rPr>
          <w:color w:val="231F20"/>
        </w:rPr>
        <w:t>four</w:t>
      </w:r>
      <w:r>
        <w:rPr>
          <w:color w:val="231F20"/>
          <w:spacing w:val="-6"/>
        </w:rPr>
        <w:t> </w:t>
      </w:r>
      <w:r>
        <w:rPr>
          <w:color w:val="231F20"/>
        </w:rPr>
        <w:t>determined</w:t>
      </w:r>
      <w:r>
        <w:rPr>
          <w:color w:val="231F20"/>
          <w:spacing w:val="-6"/>
        </w:rPr>
        <w:t> </w:t>
      </w:r>
      <w:r>
        <w:rPr>
          <w:color w:val="231F20"/>
        </w:rPr>
        <w:t>“high”</w:t>
      </w:r>
      <w:r>
        <w:rPr>
          <w:color w:val="231F20"/>
          <w:spacing w:val="-6"/>
        </w:rPr>
        <w:t> </w:t>
      </w:r>
      <w:r>
        <w:rPr>
          <w:color w:val="231F20"/>
        </w:rPr>
        <w:t>doses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than 200 mg </w:t>
      </w:r>
      <w:r>
        <w:rPr>
          <w:color w:val="231F20"/>
          <w:spacing w:val="-3"/>
        </w:rPr>
        <w:t>MEDD. </w:t>
      </w:r>
      <w:r>
        <w:rPr>
          <w:color w:val="231F20"/>
        </w:rPr>
        <w:t>These claims were made on the basis of randomized controlled trials demonstrating pain control achieved at </w:t>
      </w:r>
      <w:r>
        <w:rPr>
          <w:color w:val="231F20"/>
          <w:spacing w:val="-3"/>
        </w:rPr>
        <w:t>lower </w:t>
      </w:r>
      <w:r>
        <w:rPr>
          <w:color w:val="231F20"/>
        </w:rPr>
        <w:t>doses and observational studies</w:t>
      </w:r>
      <w:r>
        <w:rPr>
          <w:color w:val="231F20"/>
          <w:spacing w:val="-27"/>
        </w:rPr>
        <w:t> </w:t>
      </w:r>
      <w:r>
        <w:rPr>
          <w:color w:val="231F20"/>
        </w:rPr>
        <w:t>revealing increased adverse events at higher doses. The American Society of Interventional Pain Physicians 2012 guidelines </w:t>
      </w:r>
      <w:r>
        <w:rPr>
          <w:color w:val="231F20"/>
          <w:spacing w:val="3"/>
        </w:rPr>
        <w:t>recommend </w:t>
      </w:r>
      <w:r>
        <w:rPr>
          <w:color w:val="231F20"/>
        </w:rPr>
        <w:t>a </w:t>
      </w:r>
      <w:r>
        <w:rPr>
          <w:color w:val="231F20"/>
          <w:spacing w:val="3"/>
        </w:rPr>
        <w:t>dosage limit </w:t>
      </w:r>
      <w:r>
        <w:rPr>
          <w:color w:val="231F20"/>
        </w:rPr>
        <w:t>of 90 mg MEDD, </w:t>
      </w:r>
      <w:r>
        <w:rPr>
          <w:color w:val="231F20"/>
          <w:spacing w:val="3"/>
        </w:rPr>
        <w:t>based </w:t>
      </w:r>
      <w:r>
        <w:rPr>
          <w:color w:val="231F20"/>
        </w:rPr>
        <w:t>on observational</w:t>
      </w:r>
      <w:r>
        <w:rPr>
          <w:color w:val="231F20"/>
          <w:spacing w:val="-19"/>
        </w:rPr>
        <w:t> </w:t>
      </w:r>
      <w:r>
        <w:rPr>
          <w:color w:val="231F20"/>
        </w:rPr>
        <w:t>studies</w:t>
      </w:r>
      <w:r>
        <w:rPr>
          <w:color w:val="231F20"/>
          <w:spacing w:val="-19"/>
        </w:rPr>
        <w:t> </w:t>
      </w:r>
      <w:r>
        <w:rPr>
          <w:color w:val="231F20"/>
        </w:rPr>
        <w:t>detecting</w:t>
      </w:r>
      <w:r>
        <w:rPr>
          <w:color w:val="231F20"/>
          <w:spacing w:val="-19"/>
        </w:rPr>
        <w:t> </w:t>
      </w:r>
      <w:r>
        <w:rPr>
          <w:color w:val="231F20"/>
        </w:rPr>
        <w:t>an</w:t>
      </w:r>
      <w:r>
        <w:rPr>
          <w:color w:val="231F20"/>
          <w:spacing w:val="-19"/>
        </w:rPr>
        <w:t> </w:t>
      </w:r>
      <w:r>
        <w:rPr>
          <w:color w:val="231F20"/>
        </w:rPr>
        <w:t>increase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overdoses</w:t>
      </w:r>
      <w:r>
        <w:rPr>
          <w:color w:val="231F20"/>
          <w:spacing w:val="-19"/>
        </w:rPr>
        <w:t> </w:t>
      </w:r>
      <w:r>
        <w:rPr>
          <w:color w:val="231F20"/>
        </w:rPr>
        <w:t>with greater than 100 mg of morphine equivalent per </w:t>
      </w:r>
      <w:r>
        <w:rPr>
          <w:color w:val="231F20"/>
          <w:spacing w:val="-3"/>
        </w:rPr>
        <w:t>day </w:t>
      </w:r>
      <w:r>
        <w:rPr>
          <w:color w:val="231F20"/>
        </w:rPr>
        <w:t>used. Eight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guidelines</w:t>
      </w:r>
      <w:r>
        <w:rPr>
          <w:color w:val="231F20"/>
          <w:spacing w:val="-6"/>
        </w:rPr>
        <w:t> </w:t>
      </w:r>
      <w:r>
        <w:rPr>
          <w:color w:val="231F20"/>
        </w:rPr>
        <w:t>recommended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doses</w:t>
      </w:r>
      <w:r>
        <w:rPr>
          <w:color w:val="231F20"/>
          <w:spacing w:val="-6"/>
        </w:rPr>
        <w:t> </w:t>
      </w:r>
      <w:r>
        <w:rPr>
          <w:color w:val="231F20"/>
        </w:rPr>
        <w:t>(not specified) should be used with caution. The authors also noted that most guideline recommendations are supported only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20"/>
        </w:rPr>
        <w:t> </w:t>
      </w:r>
      <w:r>
        <w:rPr>
          <w:color w:val="231F20"/>
        </w:rPr>
        <w:t>observational</w:t>
      </w:r>
      <w:r>
        <w:rPr>
          <w:color w:val="231F20"/>
          <w:spacing w:val="-20"/>
        </w:rPr>
        <w:t> </w:t>
      </w:r>
      <w:r>
        <w:rPr>
          <w:color w:val="231F20"/>
        </w:rPr>
        <w:t>data</w:t>
      </w:r>
      <w:r>
        <w:rPr>
          <w:color w:val="231F20"/>
          <w:spacing w:val="-20"/>
        </w:rPr>
        <w:t> </w:t>
      </w:r>
      <w:r>
        <w:rPr>
          <w:color w:val="231F20"/>
        </w:rPr>
        <w:t>or</w:t>
      </w:r>
      <w:r>
        <w:rPr>
          <w:color w:val="231F20"/>
          <w:spacing w:val="-20"/>
        </w:rPr>
        <w:t> </w:t>
      </w:r>
      <w:r>
        <w:rPr>
          <w:color w:val="231F20"/>
        </w:rPr>
        <w:t>expert</w:t>
      </w:r>
      <w:r>
        <w:rPr>
          <w:color w:val="231F20"/>
          <w:spacing w:val="-20"/>
        </w:rPr>
        <w:t> </w:t>
      </w:r>
      <w:r>
        <w:rPr>
          <w:color w:val="231F20"/>
        </w:rPr>
        <w:t>recommendations.</w:t>
      </w:r>
      <w:r>
        <w:rPr>
          <w:color w:val="231F20"/>
          <w:position w:val="7"/>
          <w:sz w:val="11"/>
        </w:rPr>
        <w:t>9,7,12–14 </w:t>
      </w:r>
      <w:r>
        <w:rPr>
          <w:color w:val="231F20"/>
        </w:rPr>
        <w:t>Nuckols</w:t>
      </w:r>
      <w:r>
        <w:rPr>
          <w:color w:val="231F20"/>
          <w:spacing w:val="-6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al</w:t>
      </w:r>
      <w:r>
        <w:rPr>
          <w:color w:val="231F20"/>
          <w:spacing w:val="-6"/>
        </w:rPr>
        <w:t> </w:t>
      </w:r>
      <w:r>
        <w:rPr>
          <w:color w:val="231F20"/>
        </w:rPr>
        <w:t>concluded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13</w:t>
      </w:r>
      <w:r>
        <w:rPr>
          <w:color w:val="231F20"/>
          <w:spacing w:val="-6"/>
        </w:rPr>
        <w:t> </w:t>
      </w:r>
      <w:r>
        <w:rPr>
          <w:color w:val="231F20"/>
        </w:rPr>
        <w:t>guidelines</w:t>
      </w:r>
      <w:r>
        <w:rPr>
          <w:color w:val="231F20"/>
          <w:spacing w:val="-6"/>
        </w:rPr>
        <w:t> </w:t>
      </w:r>
      <w:r>
        <w:rPr>
          <w:color w:val="231F20"/>
        </w:rPr>
        <w:t>discussed, there was no consensus as to what actually constitutes a “morphine</w:t>
      </w:r>
      <w:r>
        <w:rPr>
          <w:color w:val="231F20"/>
          <w:spacing w:val="2"/>
        </w:rPr>
        <w:t> </w:t>
      </w:r>
      <w:r>
        <w:rPr>
          <w:color w:val="231F20"/>
        </w:rPr>
        <w:t>equivalent”.</w:t>
      </w:r>
      <w:r>
        <w:rPr>
          <w:color w:val="231F20"/>
          <w:position w:val="7"/>
          <w:sz w:val="11"/>
        </w:rPr>
        <w:t>11</w:t>
      </w:r>
    </w:p>
    <w:p>
      <w:pPr>
        <w:pStyle w:val="BodyText"/>
        <w:spacing w:line="288" w:lineRule="auto" w:before="1"/>
        <w:ind w:left="617" w:firstLine="283"/>
        <w:jc w:val="both"/>
      </w:pPr>
      <w:r>
        <w:rPr>
          <w:color w:val="231F20"/>
        </w:rPr>
        <w:t>A significant problem with the concept of MEDD is</w:t>
      </w:r>
      <w:r>
        <w:rPr>
          <w:color w:val="231F20"/>
          <w:spacing w:val="-15"/>
        </w:rPr>
        <w:t> </w:t>
      </w:r>
      <w:r>
        <w:rPr>
          <w:color w:val="231F20"/>
        </w:rPr>
        <w:t>the lack of a universally accepted opioid-conversion method.</w:t>
      </w:r>
      <w:r>
        <w:rPr>
          <w:color w:val="231F20"/>
          <w:position w:val="7"/>
          <w:sz w:val="11"/>
        </w:rPr>
        <w:t>15 </w:t>
      </w:r>
      <w:r>
        <w:rPr>
          <w:color w:val="231F20"/>
        </w:rPr>
        <w:t>A survey was conducted asking pharmacists, physicians, nurse practitioners, and physicians’ assistants to estimate daily morphine equivalents using their reference of choice to</w:t>
      </w:r>
      <w:r>
        <w:rPr>
          <w:color w:val="231F20"/>
          <w:spacing w:val="-22"/>
        </w:rPr>
        <w:t> </w:t>
      </w:r>
      <w:r>
        <w:rPr>
          <w:color w:val="231F20"/>
        </w:rPr>
        <w:t>convert</w:t>
      </w:r>
      <w:r>
        <w:rPr>
          <w:color w:val="231F20"/>
          <w:spacing w:val="-22"/>
        </w:rPr>
        <w:t> </w:t>
      </w:r>
      <w:r>
        <w:rPr>
          <w:color w:val="231F20"/>
        </w:rPr>
        <w:t>hydrocodone</w:t>
      </w:r>
      <w:r>
        <w:rPr>
          <w:color w:val="231F20"/>
          <w:spacing w:val="-22"/>
        </w:rPr>
        <w:t> </w:t>
      </w:r>
      <w:r>
        <w:rPr>
          <w:color w:val="231F20"/>
        </w:rPr>
        <w:t>80</w:t>
      </w:r>
      <w:r>
        <w:rPr>
          <w:color w:val="231F20"/>
          <w:spacing w:val="-21"/>
        </w:rPr>
        <w:t> </w:t>
      </w:r>
      <w:r>
        <w:rPr>
          <w:color w:val="231F20"/>
        </w:rPr>
        <w:t>mg,</w:t>
      </w:r>
      <w:r>
        <w:rPr>
          <w:color w:val="231F20"/>
          <w:spacing w:val="-22"/>
        </w:rPr>
        <w:t> </w:t>
      </w:r>
      <w:r>
        <w:rPr>
          <w:color w:val="231F20"/>
        </w:rPr>
        <w:t>fentanyl</w:t>
      </w:r>
      <w:r>
        <w:rPr>
          <w:color w:val="231F20"/>
          <w:spacing w:val="-22"/>
        </w:rPr>
        <w:t> </w:t>
      </w:r>
      <w:r>
        <w:rPr>
          <w:color w:val="231F20"/>
        </w:rPr>
        <w:t>transdermal</w:t>
      </w:r>
      <w:r>
        <w:rPr>
          <w:color w:val="231F20"/>
          <w:spacing w:val="-22"/>
        </w:rPr>
        <w:t> </w:t>
      </w:r>
      <w:r>
        <w:rPr>
          <w:color w:val="231F20"/>
        </w:rPr>
        <w:t>patches 1,800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g/day (equal to 75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g/hour), methadone 40 mg, oxycodone 120 mg, and hydromorphone 48 mg. A total   of 319 respondents that were included in the final analysis had a variety of responses, but the most striking were the standard deviations of fentanyl MEDD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>124 mg MEDD and methadone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>166 mg </w:t>
      </w:r>
      <w:r>
        <w:rPr>
          <w:color w:val="231F20"/>
          <w:spacing w:val="-3"/>
        </w:rPr>
        <w:t>MEDD. </w:t>
      </w:r>
      <w:r>
        <w:rPr>
          <w:color w:val="231F20"/>
        </w:rPr>
        <w:t>This study illustrated that  utilization  of  various  dosage-conversion  tablets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219" w:lineRule="exact" w:before="1"/>
        <w:ind w:left="617" w:right="0" w:firstLine="0"/>
        <w:jc w:val="both"/>
        <w:rPr>
          <w:rFonts w:ascii="Gill Sans MT"/>
          <w:sz w:val="10"/>
        </w:rPr>
      </w:pPr>
      <w:r>
        <w:rPr/>
        <w:pict>
          <v:line style="position:absolute;mso-position-horizontal-relative:page;mso-position-vertical-relative:paragraph;z-index:1168" from="53.849998pt,-.912608pt" to="541.149998pt,-.912608pt" stroked="true" strokeweight=".5pt" strokecolor="#231f20">
            <v:stroke dashstyle="solid"/>
            <w10:wrap type="none"/>
          </v:line>
        </w:pict>
      </w:r>
      <w:r>
        <w:rPr>
          <w:rFonts w:ascii="Gill Sans MT"/>
          <w:b/>
          <w:color w:val="231F20"/>
          <w:position w:val="-6"/>
          <w:sz w:val="20"/>
        </w:rPr>
        <w:t>154      </w:t>
      </w:r>
      <w:r>
        <w:rPr>
          <w:rFonts w:ascii="Gill Sans MT"/>
          <w:b/>
          <w:color w:val="808285"/>
          <w:sz w:val="10"/>
        </w:rPr>
        <w:t>submit your manuscript </w:t>
      </w:r>
      <w:r>
        <w:rPr>
          <w:rFonts w:ascii="Gill Sans MT"/>
          <w:color w:val="B8BABC"/>
          <w:sz w:val="10"/>
        </w:rPr>
        <w:t>|  </w:t>
      </w:r>
      <w:hyperlink r:id="rId7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line="137" w:lineRule="exact" w:before="0"/>
        <w:ind w:left="1337" w:right="0" w:firstLine="0"/>
        <w:jc w:val="left"/>
        <w:rPr>
          <w:rFonts w:ascii="Book Antiqua"/>
          <w:sz w:val="12"/>
        </w:rPr>
      </w:pPr>
      <w:hyperlink r:id="rId7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pStyle w:val="BodyText"/>
        <w:spacing w:line="290" w:lineRule="auto" w:before="90"/>
        <w:ind w:left="240" w:right="1414"/>
        <w:jc w:val="both"/>
      </w:pPr>
      <w:r>
        <w:rPr/>
        <w:br w:type="column"/>
      </w:r>
      <w:r>
        <w:rPr>
          <w:color w:val="231F20"/>
        </w:rPr>
        <w:t>equianalgesic ratios that </w:t>
      </w:r>
      <w:r>
        <w:rPr>
          <w:color w:val="231F20"/>
          <w:spacing w:val="-3"/>
        </w:rPr>
        <w:t>have </w:t>
      </w:r>
      <w:r>
        <w:rPr>
          <w:color w:val="231F20"/>
        </w:rPr>
        <w:t>been published could lead to dramatic underdosing or fatal overdosing in some cases. In 2014, Shaw and Fudin conducted a survey comparing vari- ous online opioid dose-conversion tools and found a </w:t>
      </w:r>
      <w:r>
        <w:rPr>
          <w:rFonts w:ascii="Symbol" w:hAnsi="Symbol"/>
          <w:color w:val="231F20"/>
        </w:rPr>
        <w:t></w:t>
      </w:r>
      <w:r>
        <w:rPr>
          <w:color w:val="231F20"/>
        </w:rPr>
        <w:t>55% to </w:t>
      </w:r>
      <w:r>
        <w:rPr>
          <w:rFonts w:ascii="Symbol" w:hAnsi="Symbol"/>
          <w:color w:val="231F20"/>
        </w:rPr>
        <w:t></w:t>
      </w:r>
      <w:r>
        <w:rPr>
          <w:color w:val="231F20"/>
        </w:rPr>
        <w:t>242% variation across eight opioid-conversion calcu- lators.</w:t>
      </w:r>
      <w:r>
        <w:rPr>
          <w:color w:val="231F20"/>
          <w:position w:val="7"/>
          <w:sz w:val="11"/>
        </w:rPr>
        <w:t>16 </w:t>
      </w:r>
      <w:r>
        <w:rPr>
          <w:color w:val="231F20"/>
        </w:rPr>
        <w:t>The standard deviations in these </w:t>
      </w:r>
      <w:r>
        <w:rPr>
          <w:color w:val="231F20"/>
          <w:spacing w:val="-3"/>
        </w:rPr>
        <w:t>two </w:t>
      </w:r>
      <w:r>
        <w:rPr>
          <w:color w:val="231F20"/>
        </w:rPr>
        <w:t>studies alone exceeded</w:t>
      </w:r>
      <w:r>
        <w:rPr>
          <w:color w:val="231F20"/>
          <w:spacing w:val="-8"/>
        </w:rPr>
        <w:t> </w:t>
      </w:r>
      <w:r>
        <w:rPr>
          <w:color w:val="231F20"/>
        </w:rPr>
        <w:t>many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MEDD</w:t>
      </w:r>
      <w:r>
        <w:rPr>
          <w:color w:val="231F20"/>
          <w:spacing w:val="-8"/>
        </w:rPr>
        <w:t> </w:t>
      </w:r>
      <w:r>
        <w:rPr>
          <w:color w:val="231F20"/>
        </w:rPr>
        <w:t>maximums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several</w:t>
      </w:r>
      <w:r>
        <w:rPr>
          <w:color w:val="231F20"/>
          <w:spacing w:val="-8"/>
        </w:rPr>
        <w:t> </w:t>
      </w:r>
      <w:r>
        <w:rPr>
          <w:color w:val="231F20"/>
        </w:rPr>
        <w:t>states </w:t>
      </w:r>
      <w:r>
        <w:rPr>
          <w:color w:val="231F20"/>
          <w:spacing w:val="-3"/>
        </w:rPr>
        <w:t>have </w:t>
      </w:r>
      <w:r>
        <w:rPr>
          <w:color w:val="231F20"/>
        </w:rPr>
        <w:t>employed to trigger consultation from a certified pain expert.</w:t>
      </w:r>
      <w:r>
        <w:rPr>
          <w:color w:val="231F20"/>
          <w:position w:val="7"/>
          <w:sz w:val="11"/>
        </w:rPr>
        <w:t>8,17–19</w:t>
      </w:r>
      <w:r>
        <w:rPr>
          <w:color w:val="231F20"/>
          <w:spacing w:val="-16"/>
          <w:position w:val="7"/>
          <w:sz w:val="11"/>
        </w:rPr>
        <w:t> </w:t>
      </w:r>
      <w:r>
        <w:rPr>
          <w:color w:val="231F20"/>
        </w:rPr>
        <w:t>These</w:t>
      </w:r>
      <w:r>
        <w:rPr>
          <w:color w:val="231F20"/>
          <w:spacing w:val="-21"/>
        </w:rPr>
        <w:t> </w:t>
      </w:r>
      <w:r>
        <w:rPr>
          <w:color w:val="231F20"/>
        </w:rPr>
        <w:t>studies</w:t>
      </w:r>
      <w:r>
        <w:rPr>
          <w:color w:val="231F20"/>
          <w:spacing w:val="-21"/>
        </w:rPr>
        <w:t> </w:t>
      </w:r>
      <w:r>
        <w:rPr>
          <w:color w:val="231F20"/>
        </w:rPr>
        <w:t>alone</w:t>
      </w:r>
      <w:r>
        <w:rPr>
          <w:color w:val="231F20"/>
          <w:spacing w:val="-21"/>
        </w:rPr>
        <w:t> </w:t>
      </w:r>
      <w:r>
        <w:rPr>
          <w:color w:val="231F20"/>
        </w:rPr>
        <w:t>unequivocally</w:t>
      </w:r>
      <w:r>
        <w:rPr>
          <w:color w:val="231F20"/>
          <w:spacing w:val="-21"/>
        </w:rPr>
        <w:t> </w:t>
      </w:r>
      <w:r>
        <w:rPr>
          <w:color w:val="231F20"/>
        </w:rPr>
        <w:t>disqualify</w:t>
      </w:r>
      <w:r>
        <w:rPr>
          <w:color w:val="231F20"/>
          <w:spacing w:val="-21"/>
        </w:rPr>
        <w:t> </w:t>
      </w:r>
      <w:r>
        <w:rPr>
          <w:color w:val="231F20"/>
        </w:rPr>
        <w:t>the validity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embracing</w:t>
      </w:r>
      <w:r>
        <w:rPr>
          <w:color w:val="231F20"/>
          <w:spacing w:val="-10"/>
        </w:rPr>
        <w:t> </w:t>
      </w:r>
      <w:r>
        <w:rPr>
          <w:color w:val="231F20"/>
        </w:rPr>
        <w:t>MEDD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assess</w:t>
      </w:r>
      <w:r>
        <w:rPr>
          <w:color w:val="231F20"/>
          <w:spacing w:val="-10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0"/>
        </w:rPr>
        <w:t> </w:t>
      </w:r>
      <w:r>
        <w:rPr>
          <w:color w:val="231F20"/>
        </w:rPr>
        <w:t>meaning- ful statistical </w:t>
      </w:r>
      <w:r>
        <w:rPr>
          <w:color w:val="231F20"/>
          <w:spacing w:val="-8"/>
        </w:rPr>
        <w:t>way. </w:t>
      </w:r>
      <w:r>
        <w:rPr>
          <w:color w:val="231F20"/>
        </w:rPr>
        <w:t>Outside of MEDD calculations, there</w:t>
      </w:r>
      <w:r>
        <w:rPr>
          <w:color w:val="231F20"/>
          <w:spacing w:val="-21"/>
        </w:rPr>
        <w:t> </w:t>
      </w:r>
      <w:r>
        <w:rPr>
          <w:color w:val="231F20"/>
        </w:rPr>
        <w:t>are </w:t>
      </w:r>
      <w:r>
        <w:rPr>
          <w:color w:val="231F20"/>
          <w:spacing w:val="-3"/>
        </w:rPr>
        <w:t>several</w:t>
      </w:r>
      <w:r>
        <w:rPr>
          <w:color w:val="231F20"/>
          <w:spacing w:val="-25"/>
        </w:rPr>
        <w:t> </w:t>
      </w:r>
      <w:r>
        <w:rPr>
          <w:color w:val="231F20"/>
        </w:rPr>
        <w:t>factors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also</w:t>
      </w:r>
      <w:r>
        <w:rPr>
          <w:color w:val="231F20"/>
          <w:spacing w:val="-25"/>
        </w:rPr>
        <w:t> </w:t>
      </w:r>
      <w:r>
        <w:rPr>
          <w:color w:val="231F20"/>
        </w:rPr>
        <w:t>require</w:t>
      </w:r>
      <w:r>
        <w:rPr>
          <w:color w:val="231F20"/>
          <w:spacing w:val="-25"/>
        </w:rPr>
        <w:t> </w:t>
      </w:r>
      <w:r>
        <w:rPr>
          <w:color w:val="231F20"/>
        </w:rPr>
        <w:t>consideration,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25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remain largely ignored. These include patient-specific attributes, such as pharmacogenetics, organ dysfunction, overall pain control, drug tolerance, drug–drug interactions, drug–food interactions,</w:t>
      </w:r>
      <w:r>
        <w:rPr>
          <w:color w:val="231F20"/>
          <w:spacing w:val="-20"/>
        </w:rPr>
        <w:t> </w:t>
      </w:r>
      <w:r>
        <w:rPr>
          <w:color w:val="231F20"/>
        </w:rPr>
        <w:t>patient</w:t>
      </w:r>
      <w:r>
        <w:rPr>
          <w:color w:val="231F20"/>
          <w:spacing w:val="-20"/>
        </w:rPr>
        <w:t> </w:t>
      </w:r>
      <w:r>
        <w:rPr>
          <w:color w:val="231F20"/>
        </w:rPr>
        <w:t>age,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body</w:t>
      </w:r>
      <w:r>
        <w:rPr>
          <w:color w:val="231F20"/>
          <w:spacing w:val="-20"/>
        </w:rPr>
        <w:t> </w:t>
      </w:r>
      <w:r>
        <w:rPr>
          <w:color w:val="231F20"/>
        </w:rPr>
        <w:t>surface</w:t>
      </w:r>
      <w:r>
        <w:rPr>
          <w:color w:val="231F20"/>
          <w:spacing w:val="-20"/>
        </w:rPr>
        <w:t> </w:t>
      </w:r>
      <w:r>
        <w:rPr>
          <w:color w:val="231F20"/>
        </w:rPr>
        <w:t>area.</w:t>
      </w:r>
      <w:r>
        <w:rPr>
          <w:color w:val="231F20"/>
          <w:position w:val="7"/>
          <w:sz w:val="11"/>
        </w:rPr>
        <w:t>15</w:t>
      </w:r>
      <w:r>
        <w:rPr>
          <w:color w:val="231F20"/>
          <w:spacing w:val="-15"/>
          <w:position w:val="7"/>
          <w:sz w:val="11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bottom line is that as the scientific concepts upon which prescrib- ing guideline authors depend are </w:t>
      </w:r>
      <w:r>
        <w:rPr>
          <w:color w:val="231F20"/>
          <w:spacing w:val="-3"/>
        </w:rPr>
        <w:t>flawed </w:t>
      </w:r>
      <w:r>
        <w:rPr>
          <w:color w:val="231F20"/>
        </w:rPr>
        <w:t>and </w:t>
      </w:r>
      <w:r>
        <w:rPr>
          <w:color w:val="231F20"/>
          <w:spacing w:val="-4"/>
        </w:rPr>
        <w:t>invalid, </w:t>
      </w:r>
      <w:r>
        <w:rPr>
          <w:color w:val="231F20"/>
        </w:rPr>
        <w:t>so are the guidelines themselves. As a result, </w:t>
      </w:r>
      <w:r>
        <w:rPr>
          <w:color w:val="231F20"/>
          <w:spacing w:val="-4"/>
        </w:rPr>
        <w:t>we </w:t>
      </w:r>
      <w:r>
        <w:rPr>
          <w:color w:val="231F20"/>
        </w:rPr>
        <w:t>posit that these guidelines are disingenuous and highly</w:t>
      </w:r>
      <w:r>
        <w:rPr>
          <w:color w:val="231F20"/>
          <w:spacing w:val="-5"/>
        </w:rPr>
        <w:t> </w:t>
      </w:r>
      <w:r>
        <w:rPr>
          <w:color w:val="231F20"/>
        </w:rPr>
        <w:t>unethical.</w:t>
      </w:r>
    </w:p>
    <w:p>
      <w:pPr>
        <w:pStyle w:val="BodyText"/>
        <w:spacing w:line="292" w:lineRule="auto" w:before="3"/>
        <w:ind w:left="240" w:right="1414" w:firstLine="283"/>
        <w:jc w:val="both"/>
        <w:rPr>
          <w:sz w:val="11"/>
        </w:rPr>
      </w:pPr>
      <w:r>
        <w:rPr>
          <w:color w:val="231F20"/>
        </w:rPr>
        <w:t>Opiate overdoses unfortunately can occur at any dose, and</w:t>
      </w:r>
      <w:r>
        <w:rPr>
          <w:color w:val="231F20"/>
          <w:spacing w:val="-18"/>
        </w:rPr>
        <w:t> </w:t>
      </w:r>
      <w:r>
        <w:rPr>
          <w:color w:val="231F20"/>
        </w:rPr>
        <w:t>patients</w:t>
      </w:r>
      <w:r>
        <w:rPr>
          <w:color w:val="231F20"/>
          <w:spacing w:val="-18"/>
        </w:rPr>
        <w:t> </w:t>
      </w:r>
      <w:r>
        <w:rPr>
          <w:color w:val="231F20"/>
        </w:rPr>
        <w:t>are</w:t>
      </w:r>
      <w:r>
        <w:rPr>
          <w:color w:val="231F20"/>
          <w:spacing w:val="-18"/>
        </w:rPr>
        <w:t> </w:t>
      </w:r>
      <w:r>
        <w:rPr>
          <w:color w:val="231F20"/>
        </w:rPr>
        <w:t>at</w:t>
      </w:r>
      <w:r>
        <w:rPr>
          <w:color w:val="231F20"/>
          <w:spacing w:val="-18"/>
        </w:rPr>
        <w:t> </w:t>
      </w:r>
      <w:r>
        <w:rPr>
          <w:color w:val="231F20"/>
        </w:rPr>
        <w:t>risk</w:t>
      </w:r>
      <w:r>
        <w:rPr>
          <w:color w:val="231F20"/>
          <w:spacing w:val="-18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even</w:t>
      </w:r>
      <w:r>
        <w:rPr>
          <w:color w:val="231F20"/>
          <w:spacing w:val="-18"/>
        </w:rPr>
        <w:t> </w:t>
      </w:r>
      <w:r>
        <w:rPr>
          <w:color w:val="231F20"/>
        </w:rPr>
        <w:t>low-dose</w:t>
      </w:r>
      <w:r>
        <w:rPr>
          <w:color w:val="231F20"/>
          <w:spacing w:val="-18"/>
        </w:rPr>
        <w:t> </w:t>
      </w:r>
      <w:r>
        <w:rPr>
          <w:color w:val="231F20"/>
        </w:rPr>
        <w:t>opioids.</w:t>
      </w:r>
      <w:r>
        <w:rPr>
          <w:color w:val="231F20"/>
          <w:spacing w:val="-18"/>
        </w:rPr>
        <w:t> </w:t>
      </w:r>
      <w:r>
        <w:rPr>
          <w:color w:val="231F20"/>
        </w:rPr>
        <w:t>Zedler</w:t>
      </w:r>
      <w:r>
        <w:rPr>
          <w:color w:val="231F20"/>
          <w:spacing w:val="-18"/>
        </w:rPr>
        <w:t> </w:t>
      </w:r>
      <w:r>
        <w:rPr>
          <w:color w:val="231F20"/>
        </w:rPr>
        <w:t>et</w:t>
      </w:r>
      <w:r>
        <w:rPr>
          <w:color w:val="231F20"/>
          <w:spacing w:val="-18"/>
        </w:rPr>
        <w:t> </w:t>
      </w:r>
      <w:r>
        <w:rPr>
          <w:color w:val="231F20"/>
        </w:rPr>
        <w:t>al developed a risk index for OIRD in the veteran population. This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validated</w:t>
      </w:r>
      <w:r>
        <w:rPr>
          <w:color w:val="231F20"/>
          <w:spacing w:val="-22"/>
        </w:rPr>
        <w:t> </w:t>
      </w:r>
      <w:r>
        <w:rPr>
          <w:color w:val="231F20"/>
        </w:rPr>
        <w:t>risk</w:t>
      </w:r>
      <w:r>
        <w:rPr>
          <w:color w:val="231F20"/>
          <w:spacing w:val="-22"/>
        </w:rPr>
        <w:t> </w:t>
      </w:r>
      <w:r>
        <w:rPr>
          <w:color w:val="231F20"/>
        </w:rPr>
        <w:t>tool</w:t>
      </w:r>
      <w:r>
        <w:rPr>
          <w:color w:val="231F20"/>
          <w:spacing w:val="-22"/>
        </w:rPr>
        <w:t> </w:t>
      </w:r>
      <w:r>
        <w:rPr>
          <w:color w:val="231F20"/>
        </w:rPr>
        <w:t>illustrated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veteran</w:t>
      </w:r>
      <w:r>
        <w:rPr>
          <w:color w:val="231F20"/>
          <w:spacing w:val="-22"/>
        </w:rPr>
        <w:t> </w:t>
      </w:r>
      <w:r>
        <w:rPr>
          <w:color w:val="231F20"/>
        </w:rPr>
        <w:t>populations, </w:t>
      </w:r>
      <w:r>
        <w:rPr>
          <w:color w:val="231F20"/>
          <w:spacing w:val="-4"/>
        </w:rPr>
        <w:t>even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daily</w:t>
      </w:r>
      <w:r>
        <w:rPr>
          <w:color w:val="231F20"/>
          <w:spacing w:val="-19"/>
        </w:rPr>
        <w:t> </w:t>
      </w:r>
      <w:r>
        <w:rPr>
          <w:color w:val="231F20"/>
        </w:rPr>
        <w:t>morphine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equivalence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20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mg/day</w:t>
      </w:r>
      <w:r>
        <w:rPr>
          <w:color w:val="231F20"/>
          <w:spacing w:val="-19"/>
        </w:rPr>
        <w:t> </w:t>
      </w:r>
      <w:r>
        <w:rPr>
          <w:color w:val="231F20"/>
        </w:rPr>
        <w:t>equates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an increase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OIRD.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2"/>
          <w:position w:val="7"/>
          <w:sz w:val="11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OIRD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 higher</w:t>
      </w:r>
      <w:r>
        <w:rPr>
          <w:color w:val="231F20"/>
          <w:spacing w:val="-9"/>
        </w:rPr>
        <w:t> </w:t>
      </w:r>
      <w:r>
        <w:rPr>
          <w:color w:val="231F20"/>
        </w:rPr>
        <w:t>daily</w:t>
      </w:r>
      <w:r>
        <w:rPr>
          <w:color w:val="231F20"/>
          <w:spacing w:val="-9"/>
        </w:rPr>
        <w:t> </w:t>
      </w:r>
      <w:r>
        <w:rPr>
          <w:color w:val="231F20"/>
        </w:rPr>
        <w:t>morphine</w:t>
      </w:r>
      <w:r>
        <w:rPr>
          <w:color w:val="231F20"/>
          <w:spacing w:val="-9"/>
        </w:rPr>
        <w:t> </w:t>
      </w:r>
      <w:r>
        <w:rPr>
          <w:color w:val="231F20"/>
        </w:rPr>
        <w:t>equivalence;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however,</w:t>
      </w:r>
      <w:r>
        <w:rPr>
          <w:color w:val="231F20"/>
          <w:spacing w:val="-9"/>
        </w:rPr>
        <w:t> </w:t>
      </w:r>
      <w:r>
        <w:rPr>
          <w:color w:val="231F20"/>
        </w:rPr>
        <w:t>Dasgupta</w:t>
      </w:r>
      <w:r>
        <w:rPr>
          <w:color w:val="231F20"/>
          <w:spacing w:val="-9"/>
        </w:rPr>
        <w:t> </w:t>
      </w:r>
      <w:r>
        <w:rPr>
          <w:color w:val="231F20"/>
        </w:rPr>
        <w:t>et</w:t>
      </w:r>
      <w:r>
        <w:rPr>
          <w:color w:val="231F20"/>
          <w:spacing w:val="-9"/>
        </w:rPr>
        <w:t> </w:t>
      </w:r>
      <w:r>
        <w:rPr>
          <w:color w:val="231F20"/>
        </w:rPr>
        <w:t>al concluded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dose-dependent</w:t>
      </w:r>
      <w:r>
        <w:rPr>
          <w:color w:val="231F20"/>
          <w:spacing w:val="-9"/>
        </w:rPr>
        <w:t> </w:t>
      </w:r>
      <w:r>
        <w:rPr>
          <w:color w:val="231F20"/>
        </w:rPr>
        <w:t>opioid-overdose</w:t>
      </w:r>
      <w:r>
        <w:rPr>
          <w:color w:val="231F20"/>
          <w:spacing w:val="-9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among patients did not </w:t>
      </w:r>
      <w:r>
        <w:rPr>
          <w:color w:val="231F20"/>
          <w:spacing w:val="-3"/>
        </w:rPr>
        <w:t>have </w:t>
      </w:r>
      <w:r>
        <w:rPr>
          <w:color w:val="231F20"/>
        </w:rPr>
        <w:t>a distinct risk</w:t>
      </w:r>
      <w:r>
        <w:rPr>
          <w:color w:val="231F20"/>
          <w:spacing w:val="11"/>
        </w:rPr>
        <w:t> </w:t>
      </w:r>
      <w:r>
        <w:rPr>
          <w:color w:val="231F20"/>
        </w:rPr>
        <w:t>threshold.</w:t>
      </w:r>
      <w:r>
        <w:rPr>
          <w:color w:val="231F20"/>
          <w:position w:val="7"/>
          <w:sz w:val="11"/>
        </w:rPr>
        <w:t>21</w:t>
      </w:r>
    </w:p>
    <w:p>
      <w:pPr>
        <w:pStyle w:val="BodyText"/>
        <w:spacing w:line="292" w:lineRule="auto"/>
        <w:ind w:left="240" w:right="1412" w:firstLine="283"/>
        <w:jc w:val="both"/>
      </w:pPr>
      <w:r>
        <w:rPr>
          <w:color w:val="231F20"/>
        </w:rPr>
        <w:t>While Zedler et </w:t>
      </w:r>
      <w:r>
        <w:rPr>
          <w:color w:val="231F20"/>
          <w:spacing w:val="-7"/>
        </w:rPr>
        <w:t>al’s </w:t>
      </w:r>
      <w:r>
        <w:rPr>
          <w:color w:val="231F20"/>
        </w:rPr>
        <w:t>validated multivariate linear</w:t>
      </w:r>
      <w:r>
        <w:rPr>
          <w:color w:val="231F20"/>
          <w:spacing w:val="-26"/>
        </w:rPr>
        <w:t> </w:t>
      </w:r>
      <w:r>
        <w:rPr>
          <w:color w:val="231F20"/>
        </w:rPr>
        <w:t>regres- sion model for OIRD clearly established elevated risks for patients with comorbid psychiatric illness, end-organ dys- function,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more,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items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inherently</w:t>
      </w:r>
      <w:r>
        <w:rPr>
          <w:color w:val="231F20"/>
          <w:spacing w:val="-10"/>
        </w:rPr>
        <w:t> </w:t>
      </w:r>
      <w:r>
        <w:rPr>
          <w:color w:val="231F20"/>
        </w:rPr>
        <w:t>ignored</w:t>
      </w:r>
      <w:r>
        <w:rPr>
          <w:color w:val="231F20"/>
          <w:spacing w:val="-10"/>
        </w:rPr>
        <w:t> </w:t>
      </w:r>
      <w:r>
        <w:rPr>
          <w:color w:val="231F20"/>
        </w:rPr>
        <w:t>when establishing</w:t>
      </w:r>
      <w:r>
        <w:rPr>
          <w:color w:val="231F20"/>
          <w:spacing w:val="-20"/>
        </w:rPr>
        <w:t> </w:t>
      </w:r>
      <w:r>
        <w:rPr>
          <w:color w:val="231F20"/>
        </w:rPr>
        <w:t>state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national</w:t>
      </w:r>
      <w:r>
        <w:rPr>
          <w:color w:val="231F20"/>
          <w:spacing w:val="-20"/>
        </w:rPr>
        <w:t> </w:t>
      </w:r>
      <w:r>
        <w:rPr>
          <w:color w:val="231F20"/>
        </w:rPr>
        <w:t>guidelines</w:t>
      </w:r>
      <w:r>
        <w:rPr>
          <w:color w:val="231F20"/>
          <w:spacing w:val="-20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habitually</w:t>
      </w:r>
      <w:r>
        <w:rPr>
          <w:color w:val="231F20"/>
          <w:spacing w:val="-20"/>
        </w:rPr>
        <w:t> </w:t>
      </w:r>
      <w:r>
        <w:rPr>
          <w:color w:val="231F20"/>
        </w:rPr>
        <w:t>rely only upon MEDD. These </w:t>
      </w:r>
      <w:r>
        <w:rPr>
          <w:color w:val="231F20"/>
          <w:spacing w:val="2"/>
        </w:rPr>
        <w:t>important </w:t>
      </w:r>
      <w:r>
        <w:rPr>
          <w:color w:val="231F20"/>
        </w:rPr>
        <w:t>comorbid liabilities considered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Risk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Index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Serious</w:t>
      </w:r>
      <w:r>
        <w:rPr>
          <w:color w:val="231F20"/>
          <w:spacing w:val="-24"/>
        </w:rPr>
        <w:t> </w:t>
      </w:r>
      <w:r>
        <w:rPr>
          <w:color w:val="231F20"/>
        </w:rPr>
        <w:t>Prescription</w:t>
      </w:r>
      <w:r>
        <w:rPr>
          <w:color w:val="231F20"/>
          <w:spacing w:val="-24"/>
        </w:rPr>
        <w:t> </w:t>
      </w:r>
      <w:r>
        <w:rPr>
          <w:color w:val="231F20"/>
        </w:rPr>
        <w:t>Opioid- Induced Respiratory Depression or Overdose (RIOSORD) are</w:t>
      </w:r>
      <w:r>
        <w:rPr>
          <w:color w:val="231F20"/>
          <w:spacing w:val="-11"/>
        </w:rPr>
        <w:t> </w:t>
      </w:r>
      <w:r>
        <w:rPr>
          <w:color w:val="231F20"/>
        </w:rPr>
        <w:t>important</w:t>
      </w:r>
      <w:r>
        <w:rPr>
          <w:color w:val="231F20"/>
          <w:spacing w:val="-11"/>
        </w:rPr>
        <w:t> </w:t>
      </w:r>
      <w:r>
        <w:rPr>
          <w:color w:val="231F20"/>
        </w:rPr>
        <w:t>parameters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unjustifiably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lacked</w:t>
      </w:r>
      <w:r>
        <w:rPr>
          <w:color w:val="231F20"/>
          <w:spacing w:val="-11"/>
        </w:rPr>
        <w:t> </w:t>
      </w:r>
      <w:r>
        <w:rPr>
          <w:color w:val="231F20"/>
        </w:rPr>
        <w:t>con- sideration.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9"/>
          <w:position w:val="7"/>
          <w:sz w:val="11"/>
        </w:rPr>
        <w:t> </w:t>
      </w:r>
      <w:r>
        <w:rPr>
          <w:color w:val="231F20"/>
          <w:spacing w:val="-4"/>
        </w:rPr>
        <w:t>Moreover,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7"/>
        </w:rPr>
        <w:t> </w:t>
      </w:r>
      <w:r>
        <w:rPr>
          <w:color w:val="231F20"/>
        </w:rPr>
        <w:t>do</w:t>
      </w:r>
      <w:r>
        <w:rPr>
          <w:color w:val="231F20"/>
          <w:spacing w:val="-17"/>
        </w:rPr>
        <w:t> </w:t>
      </w:r>
      <w:r>
        <w:rPr>
          <w:color w:val="231F20"/>
        </w:rPr>
        <w:t>rely</w:t>
      </w:r>
      <w:r>
        <w:rPr>
          <w:color w:val="231F20"/>
          <w:spacing w:val="-17"/>
        </w:rPr>
        <w:t> </w:t>
      </w:r>
      <w:r>
        <w:rPr>
          <w:color w:val="231F20"/>
        </w:rPr>
        <w:t>on</w:t>
      </w:r>
      <w:r>
        <w:rPr>
          <w:color w:val="231F20"/>
          <w:spacing w:val="-17"/>
        </w:rPr>
        <w:t> </w:t>
      </w:r>
      <w:r>
        <w:rPr>
          <w:color w:val="231F20"/>
        </w:rPr>
        <w:t>drug</w:t>
      </w:r>
      <w:r>
        <w:rPr>
          <w:color w:val="231F20"/>
          <w:spacing w:val="-17"/>
        </w:rPr>
        <w:t> </w:t>
      </w:r>
      <w:r>
        <w:rPr>
          <w:color w:val="231F20"/>
        </w:rPr>
        <w:t>therapy</w:t>
      </w:r>
      <w:r>
        <w:rPr>
          <w:color w:val="231F20"/>
          <w:spacing w:val="-17"/>
        </w:rPr>
        <w:t> </w:t>
      </w:r>
      <w:r>
        <w:rPr>
          <w:color w:val="231F20"/>
        </w:rPr>
        <w:t>alone,</w:t>
      </w:r>
      <w:r>
        <w:rPr>
          <w:color w:val="231F20"/>
          <w:spacing w:val="-17"/>
        </w:rPr>
        <w:t> </w:t>
      </w:r>
      <w:r>
        <w:rPr>
          <w:color w:val="231F20"/>
        </w:rPr>
        <w:t>it is</w:t>
      </w:r>
      <w:r>
        <w:rPr>
          <w:color w:val="231F20"/>
          <w:spacing w:val="-19"/>
        </w:rPr>
        <w:t> </w:t>
      </w:r>
      <w:r>
        <w:rPr>
          <w:color w:val="231F20"/>
        </w:rPr>
        <w:t>clear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majority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opioid-related</w:t>
      </w:r>
      <w:r>
        <w:rPr>
          <w:color w:val="231F20"/>
          <w:spacing w:val="-19"/>
        </w:rPr>
        <w:t> </w:t>
      </w:r>
      <w:r>
        <w:rPr>
          <w:color w:val="231F20"/>
        </w:rPr>
        <w:t>deaths</w:t>
      </w:r>
      <w:r>
        <w:rPr>
          <w:color w:val="231F20"/>
          <w:spacing w:val="-19"/>
        </w:rPr>
        <w:t>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attribut- able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combination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opioids</w:t>
      </w:r>
      <w:r>
        <w:rPr>
          <w:color w:val="231F20"/>
          <w:spacing w:val="-21"/>
        </w:rPr>
        <w:t> </w:t>
      </w:r>
      <w:r>
        <w:rPr>
          <w:color w:val="231F20"/>
        </w:rPr>
        <w:t>plus</w:t>
      </w:r>
      <w:r>
        <w:rPr>
          <w:color w:val="231F20"/>
          <w:spacing w:val="-21"/>
        </w:rPr>
        <w:t> </w:t>
      </w:r>
      <w:r>
        <w:rPr>
          <w:color w:val="231F20"/>
        </w:rPr>
        <w:t>sedative</w:t>
      </w:r>
      <w:r>
        <w:rPr>
          <w:color w:val="231F20"/>
          <w:spacing w:val="-21"/>
        </w:rPr>
        <w:t> </w:t>
      </w:r>
      <w:r>
        <w:rPr>
          <w:color w:val="231F20"/>
        </w:rPr>
        <w:t>hypnotics</w:t>
      </w:r>
      <w:r>
        <w:rPr>
          <w:color w:val="231F20"/>
          <w:spacing w:val="-21"/>
        </w:rPr>
        <w:t> </w:t>
      </w:r>
      <w:r>
        <w:rPr>
          <w:color w:val="231F20"/>
        </w:rPr>
        <w:t>and/ or</w:t>
      </w:r>
      <w:r>
        <w:rPr>
          <w:color w:val="231F20"/>
          <w:spacing w:val="-21"/>
        </w:rPr>
        <w:t> </w:t>
      </w:r>
      <w:r>
        <w:rPr>
          <w:color w:val="231F20"/>
        </w:rPr>
        <w:t>alcohol.</w:t>
      </w:r>
      <w:r>
        <w:rPr>
          <w:color w:val="231F20"/>
          <w:position w:val="7"/>
          <w:sz w:val="11"/>
        </w:rPr>
        <w:t>21</w:t>
      </w:r>
      <w:r>
        <w:rPr>
          <w:color w:val="231F20"/>
          <w:spacing w:val="-11"/>
          <w:position w:val="7"/>
          <w:sz w:val="11"/>
        </w:rPr>
        <w:t> </w:t>
      </w:r>
      <w:r>
        <w:rPr>
          <w:color w:val="231F20"/>
        </w:rPr>
        <w:t>If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we</w:t>
      </w:r>
      <w:r>
        <w:rPr>
          <w:color w:val="231F20"/>
          <w:spacing w:val="-21"/>
        </w:rPr>
        <w:t> </w:t>
      </w:r>
      <w:r>
        <w:rPr>
          <w:color w:val="231F20"/>
        </w:rPr>
        <w:t>accept</w:t>
      </w:r>
      <w:r>
        <w:rPr>
          <w:color w:val="231F20"/>
          <w:spacing w:val="-21"/>
        </w:rPr>
        <w:t> </w:t>
      </w:r>
      <w:r>
        <w:rPr>
          <w:color w:val="231F20"/>
        </w:rPr>
        <w:t>this</w:t>
      </w:r>
      <w:r>
        <w:rPr>
          <w:color w:val="231F20"/>
          <w:spacing w:val="-21"/>
        </w:rPr>
        <w:t> </w:t>
      </w:r>
      <w:r>
        <w:rPr>
          <w:color w:val="231F20"/>
        </w:rPr>
        <w:t>as</w:t>
      </w:r>
      <w:r>
        <w:rPr>
          <w:color w:val="231F20"/>
          <w:spacing w:val="-21"/>
        </w:rPr>
        <w:t> </w:t>
      </w:r>
      <w:r>
        <w:rPr>
          <w:color w:val="231F20"/>
        </w:rPr>
        <w:t>fact,</w:t>
      </w:r>
      <w:r>
        <w:rPr>
          <w:color w:val="231F20"/>
          <w:spacing w:val="-21"/>
        </w:rPr>
        <w:t> </w:t>
      </w:r>
      <w:r>
        <w:rPr>
          <w:color w:val="231F20"/>
        </w:rPr>
        <w:t>assigned</w:t>
      </w:r>
      <w:r>
        <w:rPr>
          <w:color w:val="231F20"/>
          <w:spacing w:val="-21"/>
        </w:rPr>
        <w:t> </w:t>
      </w:r>
      <w:r>
        <w:rPr>
          <w:color w:val="231F20"/>
        </w:rPr>
        <w:t>risks</w:t>
      </w:r>
      <w:r>
        <w:rPr>
          <w:color w:val="231F20"/>
          <w:spacing w:val="-21"/>
        </w:rPr>
        <w:t> </w:t>
      </w:r>
      <w:r>
        <w:rPr>
          <w:color w:val="231F20"/>
        </w:rPr>
        <w:t>should</w:t>
      </w:r>
      <w:r>
        <w:rPr>
          <w:color w:val="231F20"/>
          <w:spacing w:val="-21"/>
        </w:rPr>
        <w:t> </w:t>
      </w:r>
      <w:r>
        <w:rPr>
          <w:color w:val="231F20"/>
        </w:rPr>
        <w:t>be based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an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opioid:sedative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hypnotic</w:t>
      </w:r>
      <w:r>
        <w:rPr>
          <w:color w:val="231F20"/>
          <w:spacing w:val="-20"/>
        </w:rPr>
        <w:t> </w:t>
      </w:r>
      <w:r>
        <w:rPr>
          <w:color w:val="231F20"/>
        </w:rPr>
        <w:t>ratio</w:t>
      </w:r>
      <w:r>
        <w:rPr>
          <w:color w:val="231F20"/>
          <w:spacing w:val="-20"/>
        </w:rPr>
        <w:t> </w:t>
      </w:r>
      <w:r>
        <w:rPr>
          <w:color w:val="231F20"/>
        </w:rPr>
        <w:t>rather</w:t>
      </w:r>
      <w:r>
        <w:rPr>
          <w:color w:val="231F20"/>
          <w:spacing w:val="-20"/>
        </w:rPr>
        <w:t> </w:t>
      </w:r>
      <w:r>
        <w:rPr>
          <w:color w:val="231F20"/>
        </w:rPr>
        <w:t>than</w:t>
      </w:r>
      <w:r>
        <w:rPr>
          <w:color w:val="231F20"/>
          <w:spacing w:val="-20"/>
        </w:rPr>
        <w:t> </w:t>
      </w:r>
      <w:r>
        <w:rPr>
          <w:color w:val="231F20"/>
        </w:rPr>
        <w:t>opioids alone.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difficulty</w:t>
      </w:r>
      <w:r>
        <w:rPr>
          <w:color w:val="231F20"/>
          <w:spacing w:val="-27"/>
        </w:rPr>
        <w:t> </w:t>
      </w:r>
      <w:r>
        <w:rPr>
          <w:color w:val="231F20"/>
        </w:rPr>
        <w:t>here</w:t>
      </w:r>
      <w:r>
        <w:rPr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elevated</w:t>
      </w:r>
      <w:r>
        <w:rPr>
          <w:color w:val="231F20"/>
          <w:spacing w:val="-27"/>
        </w:rPr>
        <w:t> </w:t>
      </w:r>
      <w:r>
        <w:rPr>
          <w:color w:val="231F20"/>
        </w:rPr>
        <w:t>risks</w:t>
      </w:r>
      <w:r>
        <w:rPr>
          <w:color w:val="231F20"/>
          <w:spacing w:val="-27"/>
        </w:rPr>
        <w:t> </w:t>
      </w:r>
      <w:r>
        <w:rPr>
          <w:color w:val="231F20"/>
        </w:rPr>
        <w:t>associated</w:t>
      </w:r>
      <w:r>
        <w:rPr>
          <w:color w:val="231F20"/>
          <w:spacing w:val="-27"/>
        </w:rPr>
        <w:t> </w:t>
      </w:r>
      <w:r>
        <w:rPr>
          <w:color w:val="231F20"/>
        </w:rPr>
        <w:t>with sedating drugs, such as alcohol, benzodiazepines, imida- zopyridines, pyrazolopyrimidines, cyclopyrrolones,</w:t>
      </w:r>
      <w:r>
        <w:rPr>
          <w:color w:val="231F20"/>
          <w:spacing w:val="-34"/>
        </w:rPr>
        <w:t> </w:t>
      </w:r>
      <w:r>
        <w:rPr>
          <w:color w:val="231F20"/>
        </w:rPr>
        <w:t>various other skeletal muscle relaxants, such as carisoprodol and meprobamate, antidepressants, antipsychotics, </w:t>
      </w:r>
      <w:r>
        <w:rPr>
          <w:color w:val="231F20"/>
          <w:spacing w:val="13"/>
        </w:rPr>
        <w:t> </w:t>
      </w:r>
      <w:r>
        <w:rPr>
          <w:color w:val="231F20"/>
        </w:rPr>
        <w:t>anticonvul-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2924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</w:p>
    <w:p>
      <w:pPr>
        <w:spacing w:after="0"/>
        <w:jc w:val="left"/>
        <w:rPr>
          <w:rFonts w:ascii="Gill Sans MT"/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5352" w:space="40"/>
            <w:col w:w="6388"/>
          </w:cols>
        </w:sectPr>
      </w:pPr>
    </w:p>
    <w:p>
      <w:pPr>
        <w:tabs>
          <w:tab w:pos="9594" w:val="left" w:leader="none"/>
        </w:tabs>
        <w:spacing w:before="90"/>
        <w:ind w:left="956" w:right="0" w:firstLine="0"/>
        <w:jc w:val="left"/>
        <w:rPr>
          <w:rFonts w:ascii="Gill Sans MT"/>
          <w:sz w:val="16"/>
        </w:rPr>
      </w:pPr>
      <w:r>
        <w:rPr/>
        <w:pict>
          <v:line style="position:absolute;mso-position-horizontal-relative:page;mso-position-vertical-relative:paragraph;z-index:1216;mso-wrap-distance-left:0;mso-wrap-distance-right:0" from="70.849998pt,15.953723pt" to="558.149998pt,15.953723pt" stroked="true" strokeweight=".5pt" strokecolor="#231f20">
            <v:stroke dashstyle="solid"/>
            <w10:wrap type="topAndBottom"/>
          </v:line>
        </w:pict>
      </w:r>
      <w:hyperlink r:id="rId7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color w:val="231F20"/>
          <w:sz w:val="16"/>
        </w:rPr>
        <w:t>The MEDD</w:t>
      </w:r>
      <w:r>
        <w:rPr>
          <w:rFonts w:ascii="Gill Sans MT"/>
          <w:color w:val="231F20"/>
          <w:spacing w:val="-7"/>
          <w:sz w:val="16"/>
        </w:rPr>
        <w:t> </w:t>
      </w:r>
      <w:r>
        <w:rPr>
          <w:rFonts w:ascii="Gill Sans MT"/>
          <w:color w:val="231F20"/>
          <w:sz w:val="16"/>
        </w:rPr>
        <w:t>myth</w:t>
      </w:r>
    </w:p>
    <w:p>
      <w:pPr>
        <w:pStyle w:val="BodyText"/>
        <w:spacing w:before="9"/>
        <w:rPr>
          <w:rFonts w:ascii="Gill Sans MT"/>
          <w:sz w:val="10"/>
        </w:rPr>
      </w:pPr>
    </w:p>
    <w:p>
      <w:pPr>
        <w:spacing w:after="0"/>
        <w:rPr>
          <w:rFonts w:ascii="Gill Sans MT"/>
          <w:sz w:val="10"/>
        </w:rPr>
        <w:sectPr>
          <w:pgSz w:w="12240" w:h="15840"/>
          <w:pgMar w:header="0" w:footer="0" w:top="480" w:bottom="0" w:left="460" w:right="0"/>
        </w:sectPr>
      </w:pPr>
    </w:p>
    <w:p>
      <w:pPr>
        <w:pStyle w:val="BodyText"/>
        <w:spacing w:line="292" w:lineRule="auto" w:before="89"/>
        <w:ind w:left="956" w:right="1"/>
        <w:jc w:val="both"/>
      </w:pPr>
      <w:r>
        <w:rPr>
          <w:color w:val="231F20"/>
        </w:rPr>
        <w:t>sants,</w:t>
      </w:r>
      <w:r>
        <w:rPr>
          <w:color w:val="231F20"/>
          <w:spacing w:val="-20"/>
        </w:rPr>
        <w:t> </w:t>
      </w:r>
      <w:r>
        <w:rPr>
          <w:color w:val="231F20"/>
        </w:rPr>
        <w:t>antihistamines,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many</w:t>
      </w:r>
      <w:r>
        <w:rPr>
          <w:color w:val="231F20"/>
          <w:spacing w:val="-20"/>
        </w:rPr>
        <w:t> </w:t>
      </w:r>
      <w:r>
        <w:rPr>
          <w:color w:val="231F20"/>
        </w:rPr>
        <w:t>others,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20"/>
        </w:rPr>
        <w:t> </w:t>
      </w:r>
      <w:r>
        <w:rPr>
          <w:color w:val="231F20"/>
        </w:rPr>
        <w:t>unique</w:t>
      </w:r>
      <w:r>
        <w:rPr>
          <w:color w:val="231F20"/>
          <w:spacing w:val="-20"/>
        </w:rPr>
        <w:t> </w:t>
      </w:r>
      <w:r>
        <w:rPr>
          <w:color w:val="231F20"/>
        </w:rPr>
        <w:t>inherent risks as single agents. </w:t>
      </w:r>
      <w:r>
        <w:rPr>
          <w:color w:val="231F20"/>
          <w:spacing w:val="-4"/>
        </w:rPr>
        <w:t>However, </w:t>
      </w:r>
      <w:r>
        <w:rPr>
          <w:color w:val="231F20"/>
        </w:rPr>
        <w:t>while many of these</w:t>
      </w:r>
      <w:r>
        <w:rPr>
          <w:color w:val="231F20"/>
          <w:spacing w:val="-31"/>
        </w:rPr>
        <w:t> </w:t>
      </w:r>
      <w:r>
        <w:rPr>
          <w:color w:val="231F20"/>
        </w:rPr>
        <w:t>agents are ordinarily prescribed concomitantly, minimal attention has been attributed to their combined risks, most probably because of this</w:t>
      </w:r>
      <w:r>
        <w:rPr>
          <w:color w:val="231F20"/>
          <w:spacing w:val="-17"/>
        </w:rPr>
        <w:t> </w:t>
      </w:r>
      <w:r>
        <w:rPr>
          <w:color w:val="231F20"/>
        </w:rPr>
        <w:t>unpredictability.</w:t>
      </w:r>
    </w:p>
    <w:p>
      <w:pPr>
        <w:pStyle w:val="BodyText"/>
        <w:spacing w:line="292" w:lineRule="auto" w:before="1"/>
        <w:ind w:left="956" w:firstLine="283"/>
        <w:jc w:val="both"/>
      </w:pPr>
      <w:r>
        <w:rPr/>
        <w:pict>
          <v:shape style="position:absolute;margin-left:23.510256pt;margin-top:36.554134pt;width:18.45pt;height:354.25pt;mso-position-horizontal-relative:page;mso-position-vertical-relative:paragraph;z-index:1264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797" w:right="18" w:hanging="2778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7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19-Feb-2018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final</w:t>
      </w:r>
      <w:r>
        <w:rPr>
          <w:color w:val="231F20"/>
          <w:spacing w:val="-12"/>
        </w:rPr>
        <w:t> </w:t>
      </w:r>
      <w:r>
        <w:rPr>
          <w:color w:val="231F20"/>
        </w:rPr>
        <w:t>point,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believe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important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address the continued utilization of MEDD as a dependent variable in pain research. A PubMed search of recent publications indicates the continued use of this archaic concept in stud- ies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cancer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noncancer</w:t>
      </w:r>
      <w:r>
        <w:rPr>
          <w:color w:val="231F20"/>
          <w:spacing w:val="-10"/>
        </w:rPr>
        <w:t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22,23</w:t>
      </w:r>
      <w:r>
        <w:rPr>
          <w:color w:val="231F20"/>
          <w:spacing w:val="-5"/>
          <w:position w:val="7"/>
          <w:sz w:val="11"/>
        </w:rPr>
        <w:t> </w:t>
      </w:r>
      <w:r>
        <w:rPr>
          <w:color w:val="231F20"/>
        </w:rPr>
        <w:t>Unlike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zealots who are heavily responsible for recent opioid-prescribing guidelines and trends, </w:t>
      </w:r>
      <w:r>
        <w:rPr>
          <w:color w:val="231F20"/>
          <w:spacing w:val="-4"/>
        </w:rPr>
        <w:t>we </w:t>
      </w:r>
      <w:r>
        <w:rPr>
          <w:color w:val="231F20"/>
        </w:rPr>
        <w:t>do not necessarily believe that researchers</w:t>
      </w:r>
      <w:r>
        <w:rPr>
          <w:color w:val="231F20"/>
          <w:spacing w:val="-19"/>
        </w:rPr>
        <w:t> </w:t>
      </w:r>
      <w:r>
        <w:rPr>
          <w:color w:val="231F20"/>
        </w:rPr>
        <w:t>who</w:t>
      </w:r>
      <w:r>
        <w:rPr>
          <w:color w:val="231F20"/>
          <w:spacing w:val="-19"/>
        </w:rPr>
        <w:t> </w:t>
      </w:r>
      <w:r>
        <w:rPr>
          <w:color w:val="231F20"/>
        </w:rPr>
        <w:t>continue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rely</w:t>
      </w:r>
      <w:r>
        <w:rPr>
          <w:color w:val="231F20"/>
          <w:spacing w:val="-19"/>
        </w:rPr>
        <w:t> </w:t>
      </w:r>
      <w:r>
        <w:rPr>
          <w:color w:val="231F20"/>
        </w:rPr>
        <w:t>upon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concept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MEDD are</w:t>
      </w:r>
      <w:r>
        <w:rPr>
          <w:color w:val="231F20"/>
          <w:spacing w:val="-13"/>
        </w:rPr>
        <w:t> </w:t>
      </w:r>
      <w:r>
        <w:rPr>
          <w:color w:val="231F20"/>
        </w:rPr>
        <w:t>being</w:t>
      </w:r>
      <w:r>
        <w:rPr>
          <w:color w:val="231F20"/>
          <w:spacing w:val="-13"/>
        </w:rPr>
        <w:t> </w:t>
      </w:r>
      <w:r>
        <w:rPr>
          <w:color w:val="231F20"/>
        </w:rPr>
        <w:t>disingenuously</w:t>
      </w:r>
      <w:r>
        <w:rPr>
          <w:color w:val="231F20"/>
          <w:spacing w:val="-13"/>
        </w:rPr>
        <w:t> </w:t>
      </w:r>
      <w:r>
        <w:rPr>
          <w:color w:val="231F20"/>
        </w:rPr>
        <w:t>agenda-driven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doing</w:t>
      </w:r>
      <w:r>
        <w:rPr>
          <w:color w:val="231F20"/>
          <w:spacing w:val="-13"/>
        </w:rPr>
        <w:t> </w:t>
      </w:r>
      <w:r>
        <w:rPr>
          <w:color w:val="231F20"/>
        </w:rPr>
        <w:t>so.</w:t>
      </w:r>
      <w:r>
        <w:rPr>
          <w:color w:val="231F20"/>
          <w:spacing w:val="-13"/>
        </w:rPr>
        <w:t> </w:t>
      </w:r>
      <w:r>
        <w:rPr>
          <w:color w:val="231F20"/>
        </w:rPr>
        <w:t>Rather, researchers’ use of MEDD continues to be commonplace, simply because doing so has been conveniently accepted rather than methodically questioned. It is easier to ignore pharmacogenomics and individualized </w:t>
      </w:r>
      <w:r>
        <w:rPr>
          <w:color w:val="231F20"/>
          <w:spacing w:val="-3"/>
        </w:rPr>
        <w:t>therapy,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“lump” all opioids and patients together based on the denomina-  tor of </w:t>
      </w:r>
      <w:r>
        <w:rPr>
          <w:color w:val="231F20"/>
          <w:spacing w:val="-3"/>
        </w:rPr>
        <w:t>MEDD, </w:t>
      </w:r>
      <w:r>
        <w:rPr>
          <w:color w:val="231F20"/>
        </w:rPr>
        <w:t>as opposed to comparing the impact of an intervention on individual consumption of opioids,    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</w:p>
    <w:p>
      <w:pPr>
        <w:pStyle w:val="BodyText"/>
        <w:spacing w:line="292" w:lineRule="auto" w:before="89"/>
        <w:ind w:left="240" w:right="1071"/>
        <w:jc w:val="both"/>
      </w:pPr>
      <w:r>
        <w:rPr/>
        <w:br w:type="column"/>
      </w:r>
      <w:r>
        <w:rPr>
          <w:color w:val="231F20"/>
        </w:rPr>
        <w:t>not necessarily be used to guide clinicians when adjusting opioid</w:t>
      </w:r>
      <w:r>
        <w:rPr>
          <w:color w:val="231F20"/>
          <w:spacing w:val="-7"/>
        </w:rPr>
        <w:t> </w:t>
      </w:r>
      <w:r>
        <w:rPr>
          <w:color w:val="231F20"/>
        </w:rPr>
        <w:t>doses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rotating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another.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opinion, impressionist </w:t>
      </w:r>
      <w:r>
        <w:rPr>
          <w:color w:val="231F20"/>
          <w:spacing w:val="-2"/>
        </w:rPr>
        <w:t>lawmakers </w:t>
      </w:r>
      <w:r>
        <w:rPr>
          <w:color w:val="231F20"/>
        </w:rPr>
        <w:t>and antiopioid zealots are basing clinical policy decisions on </w:t>
      </w:r>
      <w:r>
        <w:rPr>
          <w:color w:val="231F20"/>
          <w:spacing w:val="-4"/>
        </w:rPr>
        <w:t>flawed </w:t>
      </w:r>
      <w:r>
        <w:rPr>
          <w:color w:val="231F20"/>
        </w:rPr>
        <w:t>concepts that ultimately could</w:t>
      </w:r>
      <w:r>
        <w:rPr>
          <w:color w:val="231F20"/>
          <w:spacing w:val="-9"/>
        </w:rPr>
        <w:t> </w:t>
      </w:r>
      <w:r>
        <w:rPr>
          <w:color w:val="231F20"/>
        </w:rPr>
        <w:t>adversely</w:t>
      </w:r>
      <w:r>
        <w:rPr>
          <w:color w:val="231F20"/>
          <w:spacing w:val="-9"/>
        </w:rPr>
        <w:t> </w:t>
      </w:r>
      <w:r>
        <w:rPr>
          <w:color w:val="231F20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positive</w:t>
      </w:r>
      <w:r>
        <w:rPr>
          <w:color w:val="231F20"/>
          <w:spacing w:val="-9"/>
        </w:rPr>
        <w:t> </w:t>
      </w:r>
      <w:r>
        <w:rPr>
          <w:color w:val="231F20"/>
        </w:rPr>
        <w:t>outcomes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legitimate</w:t>
      </w:r>
      <w:r>
        <w:rPr>
          <w:color w:val="231F20"/>
          <w:spacing w:val="-9"/>
        </w:rPr>
        <w:t> </w:t>
      </w:r>
      <w:r>
        <w:rPr>
          <w:color w:val="231F20"/>
        </w:rPr>
        <w:t>pain patients.</w:t>
      </w:r>
      <w:r>
        <w:rPr>
          <w:color w:val="231F20"/>
          <w:spacing w:val="-23"/>
        </w:rPr>
        <w:t> </w:t>
      </w:r>
      <w:r>
        <w:rPr>
          <w:color w:val="231F20"/>
        </w:rPr>
        <w:t>Let</w:t>
      </w:r>
      <w:r>
        <w:rPr>
          <w:color w:val="231F20"/>
          <w:spacing w:val="-23"/>
        </w:rPr>
        <w:t> </w:t>
      </w:r>
      <w:r>
        <w:rPr>
          <w:color w:val="231F20"/>
        </w:rPr>
        <w:t>us</w:t>
      </w:r>
      <w:r>
        <w:rPr>
          <w:color w:val="231F20"/>
          <w:spacing w:val="-23"/>
        </w:rPr>
        <w:t> </w:t>
      </w:r>
      <w:r>
        <w:rPr>
          <w:color w:val="231F20"/>
        </w:rPr>
        <w:t>hope</w:t>
      </w:r>
      <w:r>
        <w:rPr>
          <w:color w:val="231F20"/>
          <w:spacing w:val="-23"/>
        </w:rPr>
        <w:t> </w:t>
      </w:r>
      <w:r>
        <w:rPr>
          <w:color w:val="231F20"/>
        </w:rPr>
        <w:t>that</w:t>
      </w:r>
      <w:r>
        <w:rPr>
          <w:color w:val="231F20"/>
          <w:spacing w:val="-23"/>
        </w:rPr>
        <w:t> </w:t>
      </w:r>
      <w:r>
        <w:rPr>
          <w:color w:val="231F20"/>
        </w:rPr>
        <w:t>pain</w:t>
      </w:r>
      <w:r>
        <w:rPr>
          <w:color w:val="231F20"/>
          <w:spacing w:val="-23"/>
        </w:rPr>
        <w:t> </w:t>
      </w:r>
      <w:r>
        <w:rPr>
          <w:color w:val="231F20"/>
        </w:rPr>
        <w:t>researchers</w:t>
      </w:r>
      <w:r>
        <w:rPr>
          <w:color w:val="231F20"/>
          <w:spacing w:val="-23"/>
        </w:rPr>
        <w:t> </w:t>
      </w:r>
      <w:r>
        <w:rPr>
          <w:color w:val="231F20"/>
        </w:rPr>
        <w:t>will</w:t>
      </w:r>
      <w:r>
        <w:rPr>
          <w:color w:val="231F20"/>
          <w:spacing w:val="-23"/>
        </w:rPr>
        <w:t> </w:t>
      </w:r>
      <w:r>
        <w:rPr>
          <w:color w:val="231F20"/>
        </w:rPr>
        <w:t>lead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6"/>
        </w:rPr>
        <w:t>way</w:t>
      </w:r>
      <w:r>
        <w:rPr>
          <w:color w:val="231F20"/>
          <w:spacing w:val="-23"/>
        </w:rPr>
        <w:t> </w:t>
      </w:r>
      <w:r>
        <w:rPr>
          <w:color w:val="231F20"/>
        </w:rPr>
        <w:t>in </w:t>
      </w:r>
      <w:r>
        <w:rPr>
          <w:color w:val="231F20"/>
          <w:spacing w:val="-3"/>
        </w:rPr>
        <w:t>developing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much-needed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ethical</w:t>
      </w:r>
      <w:r>
        <w:rPr>
          <w:color w:val="231F20"/>
          <w:spacing w:val="-24"/>
        </w:rPr>
        <w:t> </w:t>
      </w:r>
      <w:r>
        <w:rPr>
          <w:color w:val="231F20"/>
        </w:rPr>
        <w:t>paradigmatic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revision, </w:t>
      </w:r>
      <w:r>
        <w:rPr>
          <w:color w:val="231F20"/>
        </w:rPr>
        <w:t>as the MEDD </w:t>
      </w:r>
      <w:r>
        <w:rPr>
          <w:color w:val="231F20"/>
          <w:spacing w:val="-3"/>
        </w:rPr>
        <w:t>myth </w:t>
      </w:r>
      <w:r>
        <w:rPr>
          <w:color w:val="231F20"/>
        </w:rPr>
        <w:t>must be</w:t>
      </w:r>
      <w:r>
        <w:rPr>
          <w:color w:val="231F20"/>
          <w:spacing w:val="-28"/>
        </w:rPr>
        <w:t> </w:t>
      </w:r>
      <w:r>
        <w:rPr>
          <w:color w:val="231F20"/>
        </w:rPr>
        <w:t>dispelled.</w:t>
      </w:r>
    </w:p>
    <w:p>
      <w:pPr>
        <w:pStyle w:val="BodyText"/>
        <w:rPr>
          <w:sz w:val="18"/>
        </w:rPr>
      </w:pPr>
    </w:p>
    <w:p>
      <w:pPr>
        <w:pStyle w:val="Heading1"/>
        <w:jc w:val="both"/>
      </w:pPr>
      <w:r>
        <w:rPr>
          <w:color w:val="231F20"/>
        </w:rPr>
        <w:t>Disclosure</w:t>
      </w:r>
    </w:p>
    <w:p>
      <w:pPr>
        <w:pStyle w:val="BodyText"/>
        <w:spacing w:line="292" w:lineRule="auto" w:before="28"/>
        <w:ind w:left="240" w:right="1070"/>
        <w:jc w:val="both"/>
      </w:pPr>
      <w:r>
        <w:rPr>
          <w:color w:val="231F20"/>
        </w:rPr>
        <w:t>JF reports the following: Astra Zeneca (speakers bureau, advisory</w:t>
      </w:r>
      <w:r>
        <w:rPr>
          <w:color w:val="231F20"/>
          <w:spacing w:val="-8"/>
        </w:rPr>
        <w:t> </w:t>
      </w:r>
      <w:r>
        <w:rPr>
          <w:color w:val="231F20"/>
        </w:rPr>
        <w:t>board);</w:t>
      </w:r>
      <w:r>
        <w:rPr>
          <w:color w:val="231F20"/>
          <w:spacing w:val="-8"/>
        </w:rPr>
        <w:t> </w:t>
      </w:r>
      <w:r>
        <w:rPr>
          <w:color w:val="231F20"/>
        </w:rPr>
        <w:t>DepoMed</w:t>
      </w:r>
      <w:r>
        <w:rPr>
          <w:color w:val="231F20"/>
          <w:spacing w:val="-8"/>
        </w:rPr>
        <w:t> </w:t>
      </w:r>
      <w:r>
        <w:rPr>
          <w:color w:val="231F20"/>
        </w:rPr>
        <w:t>(advisory</w:t>
      </w:r>
      <w:r>
        <w:rPr>
          <w:color w:val="231F20"/>
          <w:spacing w:val="-8"/>
        </w:rPr>
        <w:t> </w:t>
      </w:r>
      <w:r>
        <w:rPr>
          <w:color w:val="231F20"/>
        </w:rPr>
        <w:t>board);</w:t>
      </w:r>
      <w:r>
        <w:rPr>
          <w:color w:val="231F20"/>
          <w:spacing w:val="-8"/>
        </w:rPr>
        <w:t> </w:t>
      </w:r>
      <w:r>
        <w:rPr>
          <w:color w:val="231F20"/>
        </w:rPr>
        <w:t>Endo</w:t>
      </w:r>
      <w:r>
        <w:rPr>
          <w:color w:val="231F20"/>
          <w:spacing w:val="-8"/>
        </w:rPr>
        <w:t> </w:t>
      </w:r>
      <w:r>
        <w:rPr>
          <w:color w:val="231F20"/>
        </w:rPr>
        <w:t>(consul- tant); Kaléo (speakers bureau, advisory board); KemPharm (consultant); Millennium Health LLC (speakers bureau, advisory</w:t>
      </w:r>
      <w:r>
        <w:rPr>
          <w:color w:val="231F20"/>
          <w:spacing w:val="-15"/>
        </w:rPr>
        <w:t> </w:t>
      </w:r>
      <w:r>
        <w:rPr>
          <w:color w:val="231F20"/>
        </w:rPr>
        <w:t>board,</w:t>
      </w:r>
      <w:r>
        <w:rPr>
          <w:color w:val="231F20"/>
          <w:spacing w:val="-15"/>
        </w:rPr>
        <w:t> </w:t>
      </w:r>
      <w:r>
        <w:rPr>
          <w:color w:val="231F20"/>
        </w:rPr>
        <w:t>expert</w:t>
      </w:r>
      <w:r>
        <w:rPr>
          <w:color w:val="231F20"/>
          <w:spacing w:val="-15"/>
        </w:rPr>
        <w:t> </w:t>
      </w:r>
      <w:r>
        <w:rPr>
          <w:color w:val="231F20"/>
        </w:rPr>
        <w:t>witness);</w:t>
      </w:r>
      <w:r>
        <w:rPr>
          <w:color w:val="231F20"/>
          <w:spacing w:val="-15"/>
        </w:rPr>
        <w:t> </w:t>
      </w:r>
      <w:r>
        <w:rPr>
          <w:color w:val="231F20"/>
        </w:rPr>
        <w:t>Practical</w:t>
      </w:r>
      <w:r>
        <w:rPr>
          <w:color w:val="231F20"/>
          <w:spacing w:val="-15"/>
        </w:rPr>
        <w:t> </w:t>
      </w:r>
      <w:r>
        <w:rPr>
          <w:color w:val="231F20"/>
        </w:rPr>
        <w:t>Pain</w:t>
      </w:r>
      <w:r>
        <w:rPr>
          <w:color w:val="231F20"/>
          <w:spacing w:val="-15"/>
        </w:rPr>
        <w:t> </w:t>
      </w:r>
      <w:r>
        <w:rPr>
          <w:color w:val="231F20"/>
        </w:rPr>
        <w:t>Management </w:t>
      </w:r>
      <w:r>
        <w:rPr>
          <w:color w:val="231F20"/>
          <w:spacing w:val="-4"/>
        </w:rPr>
        <w:t>(development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online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opioid-conversion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calculator);</w:t>
      </w:r>
      <w:r>
        <w:rPr>
          <w:color w:val="231F20"/>
          <w:spacing w:val="-16"/>
        </w:rPr>
        <w:t> </w:t>
      </w:r>
      <w:r>
        <w:rPr>
          <w:color w:val="231F20"/>
        </w:rPr>
        <w:t>Remit- igate LLC (founder, owner); Scilex Pharmaceuticals (con- sultant); and Zogenix (consultant). The other authors</w:t>
      </w:r>
      <w:r>
        <w:rPr>
          <w:color w:val="231F20"/>
          <w:spacing w:val="-25"/>
        </w:rPr>
        <w:t> </w:t>
      </w:r>
      <w:r>
        <w:rPr>
          <w:color w:val="231F20"/>
        </w:rPr>
        <w:t>report no</w:t>
      </w:r>
      <w:r>
        <w:rPr>
          <w:color w:val="231F20"/>
          <w:spacing w:val="-20"/>
        </w:rPr>
        <w:t> </w:t>
      </w:r>
      <w:r>
        <w:rPr>
          <w:color w:val="231F20"/>
        </w:rPr>
        <w:t>conflicts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interest.</w:t>
      </w:r>
      <w:r>
        <w:rPr>
          <w:color w:val="231F20"/>
          <w:spacing w:val="-28"/>
        </w:rPr>
        <w:t> </w:t>
      </w:r>
      <w:r>
        <w:rPr>
          <w:color w:val="231F20"/>
        </w:rPr>
        <w:t>This</w:t>
      </w:r>
      <w:r>
        <w:rPr>
          <w:color w:val="231F20"/>
          <w:spacing w:val="-20"/>
        </w:rPr>
        <w:t> </w:t>
      </w:r>
      <w:r>
        <w:rPr>
          <w:color w:val="231F20"/>
        </w:rPr>
        <w:t>editorial</w:t>
      </w:r>
      <w:r>
        <w:rPr>
          <w:color w:val="231F20"/>
          <w:spacing w:val="-20"/>
        </w:rPr>
        <w:t> </w:t>
      </w:r>
      <w:r>
        <w:rPr>
          <w:color w:val="231F20"/>
        </w:rPr>
        <w:t>represents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opinions 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authors,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reviewed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prepared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part of any government agency or companies</w:t>
      </w:r>
      <w:r>
        <w:rPr>
          <w:color w:val="231F20"/>
          <w:spacing w:val="-16"/>
        </w:rPr>
        <w:t> </w:t>
      </w:r>
      <w:r>
        <w:rPr>
          <w:color w:val="231F20"/>
        </w:rPr>
        <w:t>listed.</w:t>
      </w:r>
    </w:p>
    <w:p>
      <w:pPr>
        <w:spacing w:after="0" w:line="292" w:lineRule="auto"/>
        <w:jc w:val="both"/>
        <w:sectPr>
          <w:type w:val="continuous"/>
          <w:pgSz w:w="12240" w:h="15840"/>
          <w:pgMar w:top="760" w:bottom="0" w:left="460" w:right="0"/>
          <w:cols w:num="2" w:equalWidth="0">
            <w:col w:w="5692" w:space="40"/>
            <w:col w:w="6048"/>
          </w:cols>
        </w:sectPr>
      </w:pPr>
    </w:p>
    <w:p>
      <w:pPr>
        <w:pStyle w:val="BodyText"/>
        <w:tabs>
          <w:tab w:pos="5971" w:val="left" w:leader="none"/>
          <w:tab w:pos="10702" w:val="left" w:leader="none"/>
        </w:tabs>
        <w:spacing w:line="207" w:lineRule="exact" w:before="1"/>
        <w:ind w:left="956"/>
      </w:pPr>
      <w:r>
        <w:rPr>
          <w:color w:val="231F20"/>
        </w:rPr>
        <w:t>as morphine, fentanyl, and methadone. </w:t>
      </w:r>
      <w:r>
        <w:rPr>
          <w:color w:val="231F20"/>
          <w:spacing w:val="-3"/>
        </w:rPr>
        <w:t>However,  </w:t>
      </w:r>
      <w:r>
        <w:rPr>
          <w:color w:val="231F20"/>
        </w:rPr>
        <w:t>just   </w:t>
      </w:r>
      <w:r>
        <w:rPr>
          <w:color w:val="231F20"/>
          <w:spacing w:val="35"/>
        </w:rPr>
        <w:t> </w:t>
      </w:r>
      <w:r>
        <w:rPr>
          <w:color w:val="231F20"/>
        </w:rPr>
        <w:t>as</w:t>
        <w:tab/>
      </w:r>
      <w:r>
        <w:rPr>
          <w:color w:val="231F20"/>
          <w:u w:val="single" w:color="231F20"/>
        </w:rPr>
        <w:t> </w:t>
        <w:tab/>
      </w:r>
    </w:p>
    <w:p>
      <w:pPr>
        <w:spacing w:after="0" w:line="207" w:lineRule="exact"/>
        <w:sectPr>
          <w:type w:val="continuous"/>
          <w:pgSz w:w="12240" w:h="15840"/>
          <w:pgMar w:top="760" w:bottom="0" w:left="460" w:right="0"/>
        </w:sectPr>
      </w:pPr>
    </w:p>
    <w:p>
      <w:pPr>
        <w:pStyle w:val="BodyText"/>
        <w:spacing w:line="292" w:lineRule="auto" w:before="73"/>
        <w:ind w:left="956"/>
        <w:jc w:val="both"/>
      </w:pPr>
      <w:r>
        <w:rPr>
          <w:color w:val="231F20"/>
        </w:rPr>
        <w:t>prescribing guidelines are based on flawed formulas and evidence, invalid concepts can make research invalid. </w:t>
      </w:r>
      <w:r>
        <w:rPr>
          <w:color w:val="231F20"/>
          <w:spacing w:val="-10"/>
        </w:rPr>
        <w:t>We </w:t>
      </w:r>
      <w:r>
        <w:rPr>
          <w:color w:val="231F20"/>
        </w:rPr>
        <w:t>are thus compelled to consider whether outcome research that continues to rely upon the concept of MEDD is also invalidated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such.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hope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researchers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col- leagues will acknowledge this imbroglio and convert their processes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outcome</w:t>
      </w:r>
      <w:r>
        <w:rPr>
          <w:color w:val="231F20"/>
          <w:spacing w:val="-12"/>
        </w:rPr>
        <w:t> </w:t>
      </w:r>
      <w:r>
        <w:rPr>
          <w:color w:val="231F20"/>
        </w:rPr>
        <w:t>research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manner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</w:rPr>
        <w:t>produce more valid and meaningful results for individual patients, rather than meaningless</w:t>
      </w:r>
      <w:r>
        <w:rPr>
          <w:color w:val="231F20"/>
          <w:spacing w:val="4"/>
        </w:rPr>
        <w:t> </w:t>
      </w:r>
      <w:r>
        <w:rPr>
          <w:color w:val="231F20"/>
        </w:rPr>
        <w:t>cohorts.</w:t>
      </w:r>
    </w:p>
    <w:p>
      <w:pPr>
        <w:pStyle w:val="BodyText"/>
        <w:spacing w:line="292" w:lineRule="auto" w:before="1"/>
        <w:ind w:left="956" w:firstLine="283"/>
        <w:jc w:val="both"/>
      </w:pPr>
      <w:r>
        <w:rPr>
          <w:color w:val="231F20"/>
        </w:rPr>
        <w:t>Single-dose studies, expert opinion, and observations are </w:t>
      </w:r>
      <w:r>
        <w:rPr>
          <w:color w:val="231F20"/>
          <w:spacing w:val="-3"/>
        </w:rPr>
        <w:t>largely </w:t>
      </w:r>
      <w:r>
        <w:rPr>
          <w:color w:val="231F20"/>
        </w:rPr>
        <w:t>the source from which equianalgesic tables are derived.</w:t>
      </w:r>
      <w:r>
        <w:rPr>
          <w:color w:val="231F20"/>
          <w:position w:val="7"/>
          <w:sz w:val="11"/>
        </w:rPr>
        <w:t>10,24 </w:t>
      </w:r>
      <w:r>
        <w:rPr>
          <w:color w:val="231F20"/>
          <w:spacing w:val="-3"/>
        </w:rPr>
        <w:t>With </w:t>
      </w:r>
      <w:r>
        <w:rPr>
          <w:color w:val="231F20"/>
        </w:rPr>
        <w:t>the exception of methadone conversions, published</w:t>
      </w:r>
      <w:r>
        <w:rPr>
          <w:color w:val="231F20"/>
          <w:spacing w:val="-17"/>
        </w:rPr>
        <w:t> </w:t>
      </w:r>
      <w:r>
        <w:rPr>
          <w:color w:val="231F20"/>
        </w:rPr>
        <w:t>studies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7"/>
        </w:rPr>
        <w:t> </w:t>
      </w:r>
      <w:r>
        <w:rPr>
          <w:color w:val="231F20"/>
        </w:rPr>
        <w:t>been</w:t>
      </w:r>
      <w:r>
        <w:rPr>
          <w:color w:val="231F20"/>
          <w:spacing w:val="-17"/>
        </w:rPr>
        <w:t> </w:t>
      </w:r>
      <w:r>
        <w:rPr>
          <w:color w:val="231F20"/>
        </w:rPr>
        <w:t>conducted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noncancer</w:t>
      </w:r>
      <w:r>
        <w:rPr>
          <w:color w:val="231F20"/>
          <w:spacing w:val="-17"/>
        </w:rPr>
        <w:t> </w:t>
      </w:r>
      <w:r>
        <w:rPr>
          <w:color w:val="231F20"/>
        </w:rPr>
        <w:t>patients and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accounted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inter-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intrapatient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variability.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marked</w:t>
      </w:r>
      <w:r>
        <w:rPr>
          <w:color w:val="231F20"/>
          <w:spacing w:val="-10"/>
        </w:rPr>
        <w:t> </w:t>
      </w:r>
      <w:r>
        <w:rPr>
          <w:color w:val="231F20"/>
        </w:rPr>
        <w:t>variability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dosing</w:t>
      </w:r>
      <w:r>
        <w:rPr>
          <w:color w:val="231F20"/>
          <w:spacing w:val="-10"/>
        </w:rPr>
        <w:t> </w:t>
      </w:r>
      <w:r>
        <w:rPr>
          <w:color w:val="231F20"/>
        </w:rPr>
        <w:t>conversions</w:t>
      </w:r>
      <w:r>
        <w:rPr>
          <w:color w:val="231F20"/>
          <w:spacing w:val="-10"/>
        </w:rPr>
        <w:t> </w:t>
      </w:r>
      <w:r>
        <w:rPr>
          <w:color w:val="231F20"/>
        </w:rPr>
        <w:t>from one opioid to another, the lack of a distinct risk </w:t>
      </w:r>
      <w:r>
        <w:rPr>
          <w:color w:val="231F20"/>
          <w:spacing w:val="-3"/>
        </w:rPr>
        <w:t>threshold, </w:t>
      </w:r>
      <w:r>
        <w:rPr>
          <w:color w:val="231F20"/>
        </w:rPr>
        <w:t>and various patient variabilities, the concepts of MEDD and daily limits are grossly </w:t>
      </w:r>
      <w:r>
        <w:rPr>
          <w:color w:val="231F20"/>
          <w:spacing w:val="-3"/>
        </w:rPr>
        <w:t>flawed. </w:t>
      </w:r>
      <w:r>
        <w:rPr>
          <w:color w:val="231F20"/>
          <w:spacing w:val="-4"/>
        </w:rPr>
        <w:t>How </w:t>
      </w:r>
      <w:r>
        <w:rPr>
          <w:color w:val="231F20"/>
          <w:spacing w:val="-3"/>
        </w:rPr>
        <w:t>any </w:t>
      </w:r>
      <w:r>
        <w:rPr>
          <w:color w:val="231F20"/>
          <w:spacing w:val="-4"/>
        </w:rPr>
        <w:t>agency, </w:t>
      </w:r>
      <w:r>
        <w:rPr>
          <w:color w:val="231F20"/>
        </w:rPr>
        <w:t>clini- cian, or </w:t>
      </w:r>
      <w:r>
        <w:rPr>
          <w:color w:val="231F20"/>
          <w:spacing w:val="-3"/>
        </w:rPr>
        <w:t>lawmaker </w:t>
      </w:r>
      <w:r>
        <w:rPr>
          <w:color w:val="231F20"/>
        </w:rPr>
        <w:t>can claim a daily limit on total morphine equivalence</w:t>
      </w:r>
      <w:r>
        <w:rPr>
          <w:color w:val="231F20"/>
          <w:spacing w:val="-16"/>
        </w:rPr>
        <w:t> </w:t>
      </w:r>
      <w:r>
        <w:rPr>
          <w:color w:val="231F20"/>
        </w:rPr>
        <w:t>and/or</w:t>
      </w:r>
      <w:r>
        <w:rPr>
          <w:color w:val="231F20"/>
          <w:spacing w:val="-16"/>
        </w:rPr>
        <w:t> </w:t>
      </w:r>
      <w:r>
        <w:rPr>
          <w:color w:val="231F20"/>
        </w:rPr>
        <w:t>dispensed</w:t>
      </w:r>
      <w:r>
        <w:rPr>
          <w:color w:val="231F20"/>
          <w:spacing w:val="-16"/>
        </w:rPr>
        <w:t> </w:t>
      </w:r>
      <w:r>
        <w:rPr>
          <w:color w:val="231F20"/>
        </w:rPr>
        <w:t>dosage</w:t>
      </w:r>
      <w:r>
        <w:rPr>
          <w:color w:val="231F20"/>
          <w:spacing w:val="-16"/>
        </w:rPr>
        <w:t> </w:t>
      </w:r>
      <w:r>
        <w:rPr>
          <w:color w:val="231F20"/>
        </w:rPr>
        <w:t>units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mind-boggling when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obviously</w:t>
      </w:r>
      <w:r>
        <w:rPr>
          <w:color w:val="231F20"/>
          <w:spacing w:val="-12"/>
        </w:rPr>
        <w:t> </w:t>
      </w:r>
      <w:r>
        <w:rPr>
          <w:color w:val="231F20"/>
        </w:rPr>
        <w:t>no</w:t>
      </w:r>
      <w:r>
        <w:rPr>
          <w:color w:val="231F20"/>
          <w:spacing w:val="-12"/>
        </w:rPr>
        <w:t> </w:t>
      </w:r>
      <w:r>
        <w:rPr>
          <w:color w:val="231F20"/>
        </w:rPr>
        <w:t>accurate,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validated,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universally </w:t>
      </w:r>
      <w:r>
        <w:rPr>
          <w:color w:val="231F20"/>
        </w:rPr>
        <w:t>accepted</w:t>
      </w:r>
      <w:r>
        <w:rPr>
          <w:color w:val="231F20"/>
          <w:spacing w:val="-22"/>
        </w:rPr>
        <w:t> </w:t>
      </w:r>
      <w:r>
        <w:rPr>
          <w:color w:val="231F20"/>
          <w:spacing w:val="-6"/>
        </w:rPr>
        <w:t>way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calculate</w:t>
      </w:r>
      <w:r>
        <w:rPr>
          <w:color w:val="231F20"/>
          <w:spacing w:val="-22"/>
        </w:rPr>
        <w:t> </w:t>
      </w:r>
      <w:r>
        <w:rPr>
          <w:color w:val="231F20"/>
        </w:rPr>
        <w:t>total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MEDD.</w:t>
      </w:r>
      <w:r>
        <w:rPr>
          <w:color w:val="231F20"/>
          <w:spacing w:val="-30"/>
        </w:rPr>
        <w:t> </w:t>
      </w:r>
      <w:r>
        <w:rPr>
          <w:color w:val="231F20"/>
          <w:spacing w:val="-5"/>
        </w:rPr>
        <w:t>Tragically,</w:t>
      </w:r>
      <w:r>
        <w:rPr>
          <w:color w:val="231F20"/>
          <w:spacing w:val="-22"/>
        </w:rPr>
        <w:t> </w:t>
      </w:r>
      <w:r>
        <w:rPr>
          <w:color w:val="231F20"/>
        </w:rPr>
        <w:t>this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what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United</w:t>
      </w:r>
      <w:r>
        <w:rPr>
          <w:color w:val="231F20"/>
          <w:spacing w:val="-22"/>
        </w:rPr>
        <w:t> </w:t>
      </w:r>
      <w:r>
        <w:rPr>
          <w:color w:val="231F20"/>
        </w:rPr>
        <w:t>States</w:t>
      </w:r>
      <w:r>
        <w:rPr>
          <w:color w:val="231F20"/>
          <w:spacing w:val="-22"/>
        </w:rPr>
        <w:t> </w:t>
      </w:r>
      <w:r>
        <w:rPr>
          <w:color w:val="231F20"/>
        </w:rPr>
        <w:t>Centers</w:t>
      </w:r>
      <w:r>
        <w:rPr>
          <w:color w:val="231F20"/>
          <w:spacing w:val="-22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Disease</w:t>
      </w:r>
      <w:r>
        <w:rPr>
          <w:color w:val="231F20"/>
          <w:spacing w:val="-22"/>
        </w:rPr>
        <w:t> </w:t>
      </w:r>
      <w:r>
        <w:rPr>
          <w:color w:val="231F20"/>
        </w:rPr>
        <w:t>Control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Prevention (CDC)</w:t>
      </w:r>
      <w:r>
        <w:rPr>
          <w:color w:val="231F20"/>
          <w:spacing w:val="-11"/>
        </w:rPr>
        <w:t> </w:t>
      </w:r>
      <w:r>
        <w:rPr>
          <w:color w:val="231F20"/>
        </w:rPr>
        <w:t>Guideline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Prescribing</w:t>
      </w:r>
      <w:r>
        <w:rPr>
          <w:color w:val="231F20"/>
          <w:spacing w:val="-11"/>
        </w:rPr>
        <w:t> </w:t>
      </w:r>
      <w:r>
        <w:rPr>
          <w:color w:val="231F20"/>
        </w:rPr>
        <w:t>Opioids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Chronic</w:t>
      </w:r>
      <w:r>
        <w:rPr>
          <w:color w:val="231F20"/>
          <w:spacing w:val="-11"/>
        </w:rPr>
        <w:t> </w:t>
      </w:r>
      <w:r>
        <w:rPr>
          <w:color w:val="231F20"/>
        </w:rPr>
        <w:t>Pain</w:t>
      </w:r>
      <w:r>
        <w:rPr>
          <w:color w:val="231F20"/>
          <w:position w:val="7"/>
          <w:sz w:val="11"/>
        </w:rPr>
        <w:t>25 </w:t>
      </w:r>
      <w:r>
        <w:rPr>
          <w:color w:val="231F20"/>
        </w:rPr>
        <w:t>has</w:t>
      </w:r>
      <w:r>
        <w:rPr>
          <w:color w:val="231F20"/>
          <w:spacing w:val="-18"/>
        </w:rPr>
        <w:t> </w:t>
      </w:r>
      <w:r>
        <w:rPr>
          <w:color w:val="231F20"/>
        </w:rPr>
        <w:t>done.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Simply</w:t>
      </w:r>
      <w:r>
        <w:rPr>
          <w:color w:val="231F20"/>
          <w:spacing w:val="-18"/>
        </w:rPr>
        <w:t> </w:t>
      </w:r>
      <w:r>
        <w:rPr>
          <w:color w:val="231F20"/>
        </w:rPr>
        <w:t>put,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scientifically,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ethically,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morally </w:t>
      </w:r>
      <w:r>
        <w:rPr>
          <w:color w:val="231F20"/>
        </w:rPr>
        <w:t>inexplicable.</w:t>
      </w:r>
      <w:r>
        <w:rPr>
          <w:color w:val="231F20"/>
          <w:spacing w:val="-31"/>
        </w:rPr>
        <w:t> </w:t>
      </w:r>
      <w:r>
        <w:rPr>
          <w:color w:val="231F20"/>
        </w:rPr>
        <w:t>Therefore,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flawed</w:t>
      </w:r>
      <w:r>
        <w:rPr>
          <w:color w:val="231F20"/>
          <w:spacing w:val="-23"/>
        </w:rPr>
        <w:t> </w:t>
      </w:r>
      <w:r>
        <w:rPr>
          <w:color w:val="231F20"/>
        </w:rPr>
        <w:t>concept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MEDD</w:t>
      </w:r>
      <w:r>
        <w:rPr>
          <w:color w:val="231F20"/>
          <w:spacing w:val="-23"/>
        </w:rPr>
        <w:t> </w:t>
      </w:r>
      <w:r>
        <w:rPr>
          <w:color w:val="231F20"/>
        </w:rPr>
        <w:t>should</w:t>
      </w:r>
    </w:p>
    <w:p>
      <w:pPr>
        <w:pStyle w:val="Heading1"/>
        <w:spacing w:line="318" w:lineRule="exact"/>
        <w:ind w:left="242"/>
      </w:pPr>
      <w:r>
        <w:rPr>
          <w:b w:val="0"/>
        </w:rPr>
        <w:br w:type="column"/>
      </w:r>
      <w:r>
        <w:rPr>
          <w:color w:val="231F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2" w:hanging="200"/>
        <w:jc w:val="both"/>
        <w:rPr>
          <w:sz w:val="16"/>
        </w:rPr>
      </w:pPr>
      <w:r>
        <w:rPr>
          <w:color w:val="231F20"/>
          <w:spacing w:val="4"/>
          <w:sz w:val="16"/>
        </w:rPr>
        <w:t>Fudin </w:t>
      </w:r>
      <w:r>
        <w:rPr>
          <w:color w:val="231F20"/>
          <w:sz w:val="16"/>
        </w:rPr>
        <w:t>J. </w:t>
      </w:r>
      <w:r>
        <w:rPr>
          <w:color w:val="231F20"/>
          <w:spacing w:val="5"/>
          <w:sz w:val="16"/>
        </w:rPr>
        <w:t>Update </w:t>
      </w:r>
      <w:r>
        <w:rPr>
          <w:color w:val="231F20"/>
          <w:spacing w:val="3"/>
          <w:sz w:val="16"/>
        </w:rPr>
        <w:t>on </w:t>
      </w:r>
      <w:r>
        <w:rPr>
          <w:color w:val="231F20"/>
          <w:spacing w:val="4"/>
          <w:sz w:val="16"/>
        </w:rPr>
        <w:t>Risk </w:t>
      </w:r>
      <w:r>
        <w:rPr>
          <w:color w:val="231F20"/>
          <w:spacing w:val="5"/>
          <w:sz w:val="16"/>
        </w:rPr>
        <w:t>Evaluation </w:t>
      </w:r>
      <w:r>
        <w:rPr>
          <w:color w:val="231F20"/>
          <w:spacing w:val="4"/>
          <w:sz w:val="16"/>
        </w:rPr>
        <w:t>and </w:t>
      </w:r>
      <w:r>
        <w:rPr>
          <w:color w:val="231F20"/>
          <w:spacing w:val="5"/>
          <w:sz w:val="16"/>
        </w:rPr>
        <w:t>Mitigation Strategies </w:t>
      </w:r>
      <w:r>
        <w:rPr>
          <w:color w:val="231F20"/>
          <w:sz w:val="16"/>
        </w:rPr>
        <w:t>(REMS) associated with long-acting opioids. </w:t>
      </w:r>
      <w:r>
        <w:rPr>
          <w:i/>
          <w:color w:val="231F20"/>
          <w:sz w:val="16"/>
        </w:rPr>
        <w:t>Drug </w:t>
      </w:r>
      <w:r>
        <w:rPr>
          <w:i/>
          <w:color w:val="231F20"/>
          <w:spacing w:val="-3"/>
          <w:sz w:val="16"/>
        </w:rPr>
        <w:t>Topics</w:t>
      </w:r>
      <w:r>
        <w:rPr>
          <w:color w:val="231F20"/>
          <w:spacing w:val="-3"/>
          <w:sz w:val="16"/>
        </w:rPr>
        <w:t>. </w:t>
      </w:r>
      <w:r>
        <w:rPr>
          <w:color w:val="231F20"/>
          <w:sz w:val="16"/>
        </w:rPr>
        <w:t>2011;155: 45–58.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7" w:after="0"/>
        <w:ind w:left="522" w:right="1076" w:hanging="200"/>
        <w:jc w:val="both"/>
        <w:rPr>
          <w:sz w:val="16"/>
        </w:rPr>
      </w:pPr>
      <w:r>
        <w:rPr>
          <w:color w:val="231F20"/>
          <w:sz w:val="16"/>
        </w:rPr>
        <w:t>Gourlay DL, Heit HA, Caplan YH. </w:t>
      </w:r>
      <w:r>
        <w:rPr>
          <w:i/>
          <w:color w:val="231F20"/>
          <w:sz w:val="16"/>
        </w:rPr>
        <w:t>Urine Drug </w:t>
      </w:r>
      <w:r>
        <w:rPr>
          <w:i/>
          <w:color w:val="231F20"/>
          <w:spacing w:val="-3"/>
          <w:sz w:val="16"/>
        </w:rPr>
        <w:t>Testing </w:t>
      </w:r>
      <w:r>
        <w:rPr>
          <w:i/>
          <w:color w:val="231F20"/>
          <w:sz w:val="16"/>
        </w:rPr>
        <w:t>in Clinical </w:t>
      </w:r>
      <w:r>
        <w:rPr>
          <w:i/>
          <w:color w:val="231F20"/>
          <w:sz w:val="16"/>
        </w:rPr>
        <w:t>Practice.</w:t>
      </w:r>
      <w:r>
        <w:rPr>
          <w:i/>
          <w:color w:val="231F20"/>
          <w:spacing w:val="-2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5"/>
          <w:sz w:val="16"/>
        </w:rPr>
        <w:t> </w:t>
      </w:r>
      <w:r>
        <w:rPr>
          <w:i/>
          <w:color w:val="231F20"/>
          <w:sz w:val="16"/>
        </w:rPr>
        <w:t>Art</w:t>
      </w:r>
      <w:r>
        <w:rPr>
          <w:i/>
          <w:color w:val="231F20"/>
          <w:spacing w:val="-18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8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-1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8"/>
          <w:sz w:val="16"/>
        </w:rPr>
        <w:t> </w:t>
      </w:r>
      <w:r>
        <w:rPr>
          <w:i/>
          <w:color w:val="231F20"/>
          <w:spacing w:val="-3"/>
          <w:sz w:val="16"/>
        </w:rPr>
        <w:t>Patient</w:t>
      </w:r>
      <w:r>
        <w:rPr>
          <w:i/>
          <w:color w:val="231F20"/>
          <w:spacing w:val="-18"/>
          <w:sz w:val="16"/>
        </w:rPr>
        <w:t> </w:t>
      </w:r>
      <w:r>
        <w:rPr>
          <w:i/>
          <w:color w:val="231F20"/>
          <w:sz w:val="16"/>
        </w:rPr>
        <w:t>Care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6th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ed.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Bridgewater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(NJ): Center for Independent Healthcare Education; 2015.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7" w:hanging="200"/>
        <w:jc w:val="both"/>
        <w:rPr>
          <w:sz w:val="16"/>
        </w:rPr>
      </w:pPr>
      <w:r>
        <w:rPr>
          <w:color w:val="231F20"/>
          <w:sz w:val="16"/>
        </w:rPr>
        <w:t>Moeller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KE,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Lee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KC,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Kissack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JC.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Urine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drug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screening: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practical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guide for clinicians. </w:t>
      </w:r>
      <w:r>
        <w:rPr>
          <w:i/>
          <w:color w:val="231F20"/>
          <w:sz w:val="16"/>
        </w:rPr>
        <w:t>Mayo Clin Proc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2008;83:66–76.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3" w:hanging="200"/>
        <w:jc w:val="both"/>
        <w:rPr>
          <w:sz w:val="16"/>
        </w:rPr>
      </w:pPr>
      <w:r>
        <w:rPr>
          <w:color w:val="231F20"/>
          <w:sz w:val="16"/>
        </w:rPr>
        <w:t>Chou R, Fanciullo </w:t>
      </w:r>
      <w:r>
        <w:rPr>
          <w:color w:val="231F20"/>
          <w:spacing w:val="-2"/>
          <w:sz w:val="16"/>
        </w:rPr>
        <w:t>GJ,  </w:t>
      </w:r>
      <w:r>
        <w:rPr>
          <w:color w:val="231F20"/>
          <w:sz w:val="16"/>
        </w:rPr>
        <w:t>Fine PG, et al. Clinical guidelines for the    use of chronic opioid therapy in chronic noncancer pain. </w:t>
      </w:r>
      <w:r>
        <w:rPr>
          <w:i/>
          <w:color w:val="231F20"/>
          <w:sz w:val="16"/>
        </w:rPr>
        <w:t>J Pain</w:t>
      </w:r>
      <w:r>
        <w:rPr>
          <w:color w:val="231F20"/>
          <w:sz w:val="16"/>
        </w:rPr>
        <w:t>. 2009;10:113–130.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3" w:hanging="200"/>
        <w:jc w:val="both"/>
        <w:rPr>
          <w:sz w:val="16"/>
        </w:rPr>
      </w:pPr>
      <w:r>
        <w:rPr>
          <w:color w:val="231F20"/>
          <w:sz w:val="16"/>
        </w:rPr>
        <w:t>Federation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State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Boards.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pacing w:val="-3"/>
          <w:sz w:val="16"/>
        </w:rPr>
        <w:t>Policy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Opioid </w:t>
      </w:r>
      <w:r>
        <w:rPr>
          <w:i/>
          <w:color w:val="231F20"/>
          <w:sz w:val="16"/>
        </w:rPr>
        <w:t>Analgesics in the Treatment of Chronic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>. </w:t>
      </w:r>
      <w:r>
        <w:rPr>
          <w:color w:val="231F20"/>
          <w:sz w:val="16"/>
        </w:rPr>
        <w:t>Euless (TX): FSMB; 2013. </w:t>
      </w:r>
      <w:r>
        <w:rPr>
          <w:color w:val="231F20"/>
          <w:spacing w:val="-5"/>
          <w:sz w:val="16"/>
        </w:rPr>
        <w:t>Available </w:t>
      </w:r>
      <w:r>
        <w:rPr>
          <w:color w:val="231F20"/>
          <w:sz w:val="16"/>
        </w:rPr>
        <w:t>from: </w:t>
      </w:r>
      <w:hyperlink r:id="rId15">
        <w:r>
          <w:rPr>
            <w:color w:val="231F20"/>
            <w:spacing w:val="-3"/>
            <w:sz w:val="16"/>
          </w:rPr>
          <w:t>http://www.fsmb.org/Media/Default/PDF/FSMB/</w:t>
        </w:r>
      </w:hyperlink>
      <w:r>
        <w:rPr>
          <w:color w:val="231F20"/>
          <w:spacing w:val="-3"/>
          <w:sz w:val="16"/>
        </w:rPr>
        <w:t> </w:t>
      </w:r>
      <w:hyperlink r:id="rId15">
        <w:r>
          <w:rPr>
            <w:color w:val="231F20"/>
            <w:sz w:val="16"/>
          </w:rPr>
          <w:t>Advocacy/pain_policy_july2013.pdf</w:t>
        </w:r>
      </w:hyperlink>
      <w:r>
        <w:rPr>
          <w:color w:val="231F20"/>
          <w:sz w:val="16"/>
        </w:rPr>
        <w:t>. Accessed February 28,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2016.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4" w:hanging="200"/>
        <w:jc w:val="both"/>
        <w:rPr>
          <w:sz w:val="16"/>
        </w:rPr>
      </w:pPr>
      <w:r>
        <w:rPr>
          <w:color w:val="231F20"/>
          <w:sz w:val="16"/>
        </w:rPr>
        <w:t>American Society of Interventional Pain Physicians. </w:t>
      </w:r>
      <w:r>
        <w:rPr>
          <w:i/>
          <w:color w:val="231F20"/>
          <w:sz w:val="16"/>
        </w:rPr>
        <w:t>Guidelines for </w:t>
      </w:r>
      <w:r>
        <w:rPr>
          <w:i/>
          <w:color w:val="231F20"/>
          <w:sz w:val="16"/>
        </w:rPr>
        <w:t>Responsible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Prescribing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4"/>
          <w:sz w:val="16"/>
        </w:rPr>
        <w:t>Part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2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– Guidance</w:t>
      </w:r>
      <w:r>
        <w:rPr>
          <w:color w:val="231F20"/>
          <w:sz w:val="16"/>
        </w:rPr>
        <w:t>. Paducah (KY): ASIPP;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2012.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6" w:hanging="200"/>
        <w:jc w:val="both"/>
        <w:rPr>
          <w:sz w:val="16"/>
        </w:rPr>
      </w:pPr>
      <w:r>
        <w:rPr>
          <w:color w:val="231F20"/>
          <w:sz w:val="16"/>
        </w:rPr>
        <w:t>US Department of </w:t>
      </w:r>
      <w:r>
        <w:rPr>
          <w:color w:val="231F20"/>
          <w:spacing w:val="-3"/>
          <w:sz w:val="16"/>
        </w:rPr>
        <w:t>Veterans </w:t>
      </w:r>
      <w:r>
        <w:rPr>
          <w:color w:val="231F20"/>
          <w:sz w:val="16"/>
        </w:rPr>
        <w:t>Affairs. </w:t>
      </w:r>
      <w:r>
        <w:rPr>
          <w:i/>
          <w:color w:val="231F20"/>
          <w:sz w:val="16"/>
        </w:rPr>
        <w:t>Clinical Practice Guideline for </w:t>
      </w:r>
      <w:r>
        <w:rPr>
          <w:i/>
          <w:color w:val="231F20"/>
          <w:sz w:val="16"/>
        </w:rPr>
        <w:t>Management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23"/>
          <w:sz w:val="16"/>
        </w:rPr>
        <w:t> </w:t>
      </w:r>
      <w:r>
        <w:rPr>
          <w:i/>
          <w:color w:val="231F20"/>
          <w:spacing w:val="-3"/>
          <w:sz w:val="16"/>
        </w:rPr>
        <w:t>Therapy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3"/>
          <w:sz w:val="16"/>
        </w:rPr>
        <w:t>Washington: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Depart- ment of Defense; 2012.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4" w:hanging="200"/>
        <w:jc w:val="both"/>
        <w:rPr>
          <w:sz w:val="16"/>
        </w:rPr>
      </w:pPr>
      <w:r>
        <w:rPr>
          <w:color w:val="231F20"/>
          <w:sz w:val="16"/>
        </w:rPr>
        <w:t>Centers for Disease Control and Prevention. Draft CDC guideline   for prescribing opioids for chronic pain. 2016. </w:t>
      </w:r>
      <w:r>
        <w:rPr>
          <w:color w:val="231F20"/>
          <w:spacing w:val="-3"/>
          <w:sz w:val="16"/>
        </w:rPr>
        <w:t>Available </w:t>
      </w:r>
      <w:r>
        <w:rPr>
          <w:color w:val="231F20"/>
          <w:sz w:val="16"/>
        </w:rPr>
        <w:t>from: </w:t>
      </w:r>
      <w:hyperlink r:id="rId16">
        <w:r>
          <w:rPr>
            <w:color w:val="231F20"/>
            <w:sz w:val="16"/>
          </w:rPr>
          <w:t>http://</w:t>
        </w:r>
      </w:hyperlink>
      <w:r>
        <w:rPr>
          <w:color w:val="231F20"/>
          <w:sz w:val="16"/>
        </w:rPr>
        <w:t> </w:t>
      </w:r>
      <w:hyperlink r:id="rId16">
        <w:r>
          <w:rPr>
            <w:color w:val="231F20"/>
            <w:spacing w:val="3"/>
            <w:sz w:val="16"/>
          </w:rPr>
          <w:t>www.cdc.gov/drugoverdose/prescribing/guideline.html</w:t>
        </w:r>
      </w:hyperlink>
      <w:r>
        <w:rPr>
          <w:color w:val="231F20"/>
          <w:spacing w:val="3"/>
          <w:sz w:val="16"/>
        </w:rPr>
        <w:t>. Accessed </w:t>
      </w:r>
      <w:r>
        <w:rPr>
          <w:color w:val="231F20"/>
          <w:sz w:val="16"/>
        </w:rPr>
        <w:t>February 24,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2016.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4" w:hanging="200"/>
        <w:jc w:val="both"/>
        <w:rPr>
          <w:sz w:val="16"/>
        </w:rPr>
      </w:pPr>
      <w:r>
        <w:rPr>
          <w:color w:val="231F20"/>
          <w:sz w:val="16"/>
        </w:rPr>
        <w:t>Svedsen K, Borchgrevink </w:t>
      </w:r>
      <w:r>
        <w:rPr>
          <w:color w:val="231F20"/>
          <w:spacing w:val="-13"/>
          <w:sz w:val="16"/>
        </w:rPr>
        <w:t>P, </w:t>
      </w:r>
      <w:r>
        <w:rPr>
          <w:color w:val="231F20"/>
          <w:sz w:val="16"/>
        </w:rPr>
        <w:t>Fredheim </w:t>
      </w:r>
      <w:r>
        <w:rPr>
          <w:color w:val="231F20"/>
          <w:spacing w:val="-3"/>
          <w:sz w:val="16"/>
        </w:rPr>
        <w:t>O, </w:t>
      </w:r>
      <w:r>
        <w:rPr>
          <w:color w:val="231F20"/>
          <w:sz w:val="16"/>
        </w:rPr>
        <w:t>Hamunen K, Mellbye A, Dale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O.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Choosing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unit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measurement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counts: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oral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mor- phine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equivalents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studies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opioid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consumption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useful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addition to defined daily doses. </w:t>
      </w:r>
      <w:r>
        <w:rPr>
          <w:i/>
          <w:color w:val="231F20"/>
          <w:sz w:val="16"/>
        </w:rPr>
        <w:t>Palliat Med</w:t>
      </w:r>
      <w:r>
        <w:rPr>
          <w:color w:val="231F20"/>
          <w:sz w:val="16"/>
        </w:rPr>
        <w:t>.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2011;25:725–732.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6" w:hanging="280"/>
        <w:jc w:val="both"/>
        <w:rPr>
          <w:sz w:val="16"/>
        </w:rPr>
      </w:pPr>
      <w:r>
        <w:rPr>
          <w:color w:val="231F20"/>
          <w:sz w:val="16"/>
        </w:rPr>
        <w:t>Shaheen </w:t>
      </w:r>
      <w:r>
        <w:rPr>
          <w:color w:val="231F20"/>
          <w:spacing w:val="-12"/>
          <w:sz w:val="16"/>
        </w:rPr>
        <w:t>P, </w:t>
      </w:r>
      <w:r>
        <w:rPr>
          <w:color w:val="231F20"/>
          <w:sz w:val="16"/>
        </w:rPr>
        <w:t>Walsh </w:t>
      </w:r>
      <w:r>
        <w:rPr>
          <w:color w:val="231F20"/>
          <w:spacing w:val="-4"/>
          <w:sz w:val="16"/>
        </w:rPr>
        <w:t>D, </w:t>
      </w:r>
      <w:r>
        <w:rPr>
          <w:color w:val="231F20"/>
          <w:sz w:val="16"/>
        </w:rPr>
        <w:t>Lasheen </w:t>
      </w:r>
      <w:r>
        <w:rPr>
          <w:color w:val="231F20"/>
          <w:spacing w:val="-11"/>
          <w:sz w:val="16"/>
        </w:rPr>
        <w:t>W, </w:t>
      </w:r>
      <w:r>
        <w:rPr>
          <w:color w:val="231F20"/>
          <w:sz w:val="16"/>
        </w:rPr>
        <w:t>Davis </w:t>
      </w:r>
      <w:r>
        <w:rPr>
          <w:color w:val="231F20"/>
          <w:spacing w:val="-8"/>
          <w:sz w:val="16"/>
        </w:rPr>
        <w:t>MP, </w:t>
      </w:r>
      <w:r>
        <w:rPr>
          <w:color w:val="231F20"/>
          <w:sz w:val="16"/>
        </w:rPr>
        <w:t>Lagman RL. Opioid equianalgesic tablets: are they all equally dangerous? </w:t>
      </w:r>
      <w:r>
        <w:rPr>
          <w:i/>
          <w:color w:val="231F20"/>
          <w:sz w:val="16"/>
        </w:rPr>
        <w:t>J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26"/>
          <w:sz w:val="16"/>
        </w:rPr>
        <w:t> </w:t>
      </w:r>
      <w:r>
        <w:rPr>
          <w:i/>
          <w:color w:val="231F20"/>
          <w:sz w:val="16"/>
        </w:rPr>
        <w:t>Symptom </w:t>
      </w:r>
      <w:r>
        <w:rPr>
          <w:i/>
          <w:color w:val="231F20"/>
          <w:sz w:val="16"/>
        </w:rPr>
        <w:t>Manage</w:t>
      </w:r>
      <w:r>
        <w:rPr>
          <w:color w:val="231F20"/>
          <w:sz w:val="16"/>
        </w:rPr>
        <w:t>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2009;38:409–417.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0" w:after="0"/>
        <w:ind w:left="522" w:right="1075" w:hanging="280"/>
        <w:jc w:val="both"/>
        <w:rPr>
          <w:sz w:val="16"/>
        </w:rPr>
      </w:pPr>
      <w:r>
        <w:rPr>
          <w:color w:val="231F20"/>
          <w:sz w:val="16"/>
        </w:rPr>
        <w:t>Nuckols</w:t>
      </w:r>
      <w:r>
        <w:rPr>
          <w:color w:val="231F20"/>
          <w:spacing w:val="-28"/>
          <w:sz w:val="16"/>
        </w:rPr>
        <w:t> </w:t>
      </w:r>
      <w:r>
        <w:rPr>
          <w:color w:val="231F20"/>
          <w:spacing w:val="-9"/>
          <w:sz w:val="16"/>
        </w:rPr>
        <w:t>T,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Anderson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L,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3"/>
          <w:sz w:val="16"/>
        </w:rPr>
        <w:t>Popescu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I,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prescribing: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systematic review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critical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appraisal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guidelines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pain.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Ann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Intern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2014;160:38–47.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5690" w:space="40"/>
            <w:col w:w="6050"/>
          </w:cols>
        </w:sectPr>
      </w:pPr>
    </w:p>
    <w:p>
      <w:pPr>
        <w:pStyle w:val="BodyText"/>
      </w:pPr>
    </w:p>
    <w:p>
      <w:pPr>
        <w:pStyle w:val="BodyText"/>
        <w:spacing w:before="5" w:after="1"/>
        <w:rPr>
          <w:sz w:val="23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87.8pt;height:.5pt;mso-position-horizontal-relative:char;mso-position-vertical-relative:line" coordorigin="0,0" coordsize="9756,10">
            <v:line style="position:absolute" from="5,5" to="9751,5" stroked="true" strokeweight=".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60" w:bottom="0" w:left="460" w:right="0"/>
        </w:sectPr>
      </w:pPr>
    </w:p>
    <w:p>
      <w:pPr>
        <w:tabs>
          <w:tab w:pos="6990" w:val="left" w:leader="none"/>
        </w:tabs>
        <w:spacing w:before="11"/>
        <w:ind w:left="0" w:right="0" w:firstLine="0"/>
        <w:jc w:val="right"/>
        <w:rPr>
          <w:rFonts w:ascii="Gill Sans MT"/>
          <w:sz w:val="10"/>
        </w:rPr>
      </w:pPr>
      <w:r>
        <w:rPr>
          <w:rFonts w:ascii="Gill Sans MT"/>
          <w:color w:val="231F20"/>
          <w:position w:val="-3"/>
          <w:sz w:val="16"/>
        </w:rPr>
        <w:t>Journal of Pain</w:t>
      </w:r>
      <w:r>
        <w:rPr>
          <w:rFonts w:ascii="Gill Sans MT"/>
          <w:color w:val="231F20"/>
          <w:spacing w:val="-7"/>
          <w:position w:val="-3"/>
          <w:sz w:val="16"/>
        </w:rPr>
        <w:t> </w:t>
      </w:r>
      <w:r>
        <w:rPr>
          <w:rFonts w:ascii="Gill Sans MT"/>
          <w:color w:val="231F20"/>
          <w:position w:val="-3"/>
          <w:sz w:val="16"/>
        </w:rPr>
        <w:t>Research</w:t>
      </w:r>
      <w:r>
        <w:rPr>
          <w:rFonts w:ascii="Gill Sans MT"/>
          <w:color w:val="231F20"/>
          <w:spacing w:val="-2"/>
          <w:position w:val="-3"/>
          <w:sz w:val="16"/>
        </w:rPr>
        <w:t> </w:t>
      </w:r>
      <w:r>
        <w:rPr>
          <w:rFonts w:ascii="Gill Sans MT"/>
          <w:color w:val="231F20"/>
          <w:position w:val="-3"/>
          <w:sz w:val="16"/>
        </w:rPr>
        <w:t>2016:9</w:t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7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before="13"/>
        <w:ind w:left="0" w:right="0" w:firstLine="0"/>
        <w:jc w:val="right"/>
        <w:rPr>
          <w:rFonts w:ascii="Book Antiqua"/>
          <w:sz w:val="12"/>
        </w:rPr>
      </w:pPr>
      <w:hyperlink r:id="rId7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spacing w:before="3"/>
        <w:ind w:left="348" w:right="0" w:firstLine="0"/>
        <w:jc w:val="left"/>
        <w:rPr>
          <w:rFonts w:ascii="Gill Sans MT"/>
          <w:b/>
          <w:sz w:val="20"/>
        </w:rPr>
      </w:pPr>
      <w:r>
        <w:rPr/>
        <w:br w:type="column"/>
      </w:r>
      <w:r>
        <w:rPr>
          <w:rFonts w:ascii="Gill Sans MT"/>
          <w:b/>
          <w:color w:val="231F20"/>
          <w:sz w:val="20"/>
        </w:rPr>
        <w:t>155</w:t>
      </w:r>
    </w:p>
    <w:p>
      <w:pPr>
        <w:spacing w:after="0"/>
        <w:jc w:val="left"/>
        <w:rPr>
          <w:rFonts w:ascii="Gill Sans MT"/>
          <w:sz w:val="20"/>
        </w:rPr>
        <w:sectPr>
          <w:type w:val="continuous"/>
          <w:pgSz w:w="12240" w:h="15840"/>
          <w:pgMar w:top="760" w:bottom="0" w:left="460" w:right="0"/>
          <w:cols w:num="2" w:equalWidth="0">
            <w:col w:w="9984" w:space="40"/>
            <w:col w:w="1756"/>
          </w:cols>
        </w:sectPr>
      </w:pPr>
    </w:p>
    <w:p>
      <w:pPr>
        <w:tabs>
          <w:tab w:pos="9543" w:val="left" w:leader="none"/>
        </w:tabs>
        <w:spacing w:before="90"/>
        <w:ind w:left="617" w:right="0" w:firstLine="0"/>
        <w:jc w:val="left"/>
        <w:rPr>
          <w:rFonts w:ascii="Book Antiqua"/>
          <w:sz w:val="16"/>
        </w:rPr>
      </w:pPr>
      <w:r>
        <w:rPr/>
        <w:pict>
          <v:line style="position:absolute;mso-position-horizontal-relative:page;mso-position-vertical-relative:paragraph;z-index:1288;mso-wrap-distance-left:0;mso-wrap-distance-right:0" from="53.849998pt,15.956164pt" to="541.149998pt,15.956164pt" stroked="true" strokeweight=".5pt" strokecolor="#231f20">
            <v:stroke dashstyle="solid"/>
            <w10:wrap type="topAndBottom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> </w:t>
      </w:r>
      <w:r>
        <w:rPr>
          <w:rFonts w:ascii="Gill Sans MT"/>
          <w:color w:val="231F20"/>
          <w:w w:val="105"/>
          <w:sz w:val="16"/>
        </w:rPr>
        <w:t>al</w:t>
        <w:tab/>
      </w:r>
      <w:hyperlink r:id="rId7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>
      <w:pPr>
        <w:pStyle w:val="BodyText"/>
        <w:spacing w:before="4"/>
        <w:rPr>
          <w:rFonts w:ascii="Book Antiqua"/>
          <w:sz w:val="10"/>
        </w:rPr>
      </w:pPr>
    </w:p>
    <w:p>
      <w:pPr>
        <w:spacing w:after="0"/>
        <w:rPr>
          <w:rFonts w:ascii="Book Antiqua"/>
          <w:sz w:val="10"/>
        </w:rPr>
        <w:sectPr>
          <w:pgSz w:w="12240" w:h="15840"/>
          <w:pgMar w:header="0" w:footer="0" w:top="480" w:bottom="0" w:left="460" w:right="0"/>
        </w:sectPr>
      </w:pP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91" w:after="0"/>
        <w:ind w:left="897" w:right="1" w:hanging="280"/>
        <w:jc w:val="both"/>
        <w:rPr>
          <w:sz w:val="16"/>
        </w:rPr>
      </w:pPr>
      <w:r>
        <w:rPr>
          <w:color w:val="231F20"/>
          <w:sz w:val="16"/>
        </w:rPr>
        <w:t>Institute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Clinical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Improvement.</w:t>
      </w:r>
      <w:r>
        <w:rPr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Assessment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Manage- </w:t>
      </w:r>
      <w:r>
        <w:rPr>
          <w:i/>
          <w:color w:val="231F20"/>
          <w:sz w:val="16"/>
        </w:rPr>
        <w:t>ment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>.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Bloomington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(MN):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ICSI;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2011.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4"/>
          <w:sz w:val="16"/>
        </w:rPr>
        <w:t>Available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from: </w:t>
      </w:r>
      <w:hyperlink r:id="rId17">
        <w:r>
          <w:rPr>
            <w:color w:val="231F20"/>
            <w:sz w:val="16"/>
          </w:rPr>
          <w:t>www.icsi.org/_asset/bw798b/ChronicPain.pdf</w:t>
        </w:r>
      </w:hyperlink>
      <w:r>
        <w:rPr>
          <w:color w:val="231F20"/>
          <w:sz w:val="16"/>
        </w:rPr>
        <w:t>.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Accessed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February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21, 2016.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0" w:hanging="280"/>
        <w:jc w:val="both"/>
        <w:rPr>
          <w:sz w:val="16"/>
        </w:rPr>
      </w:pPr>
      <w:r>
        <w:rPr>
          <w:color w:val="231F20"/>
          <w:sz w:val="16"/>
        </w:rPr>
        <w:t>American Pain Society. </w:t>
      </w:r>
      <w:r>
        <w:rPr>
          <w:i/>
          <w:color w:val="231F20"/>
          <w:sz w:val="16"/>
        </w:rPr>
        <w:t>Guideline for the Use of Chronic Opioid </w:t>
      </w:r>
      <w:r>
        <w:rPr>
          <w:i/>
          <w:color w:val="231F20"/>
          <w:sz w:val="16"/>
        </w:rPr>
        <w:t>Therapy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Noncancer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Evidence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Review</w:t>
      </w:r>
      <w:r>
        <w:rPr>
          <w:color w:val="231F20"/>
          <w:sz w:val="16"/>
        </w:rPr>
        <w:t>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Chicago: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APS; 2009. Available from: </w:t>
      </w:r>
      <w:hyperlink r:id="rId18">
        <w:r>
          <w:rPr>
            <w:color w:val="231F20"/>
            <w:sz w:val="16"/>
          </w:rPr>
          <w:t>www.americanpainsociety.org/uploads/pdfs/</w:t>
        </w:r>
      </w:hyperlink>
      <w:r>
        <w:rPr>
          <w:color w:val="231F20"/>
          <w:sz w:val="16"/>
        </w:rPr>
        <w:t> </w:t>
      </w:r>
      <w:hyperlink r:id="rId18">
        <w:r>
          <w:rPr>
            <w:color w:val="231F20"/>
            <w:sz w:val="16"/>
          </w:rPr>
          <w:t>Opioid_Final_Evidence_Report.pdf</w:t>
        </w:r>
      </w:hyperlink>
      <w:r>
        <w:rPr>
          <w:color w:val="231F20"/>
          <w:sz w:val="16"/>
        </w:rPr>
        <w:t>. Accessed March 14,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2016.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1" w:hanging="280"/>
        <w:jc w:val="both"/>
        <w:rPr>
          <w:sz w:val="16"/>
        </w:rPr>
      </w:pPr>
      <w:r>
        <w:rPr/>
        <w:pict>
          <v:shape style="position:absolute;margin-left:23.510256pt;margin-top:26.204939pt;width:18.45pt;height:354.25pt;mso-position-horizontal-relative:page;mso-position-vertical-relative:paragraph;z-index:1360" type="#_x0000_t202" filled="false" stroked="false">
            <v:textbox inset="0,0,0,0" style="layout-flow:vertical;mso-layout-flow-alt:bottom-to-top">
              <w:txbxContent>
                <w:p>
                  <w:pPr>
                    <w:spacing w:line="160" w:lineRule="exact" w:before="28"/>
                    <w:ind w:left="2797" w:right="18" w:hanging="2778"/>
                    <w:jc w:val="left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w w:val="100"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hyperlink r:id="rId7">
                    <w:r>
                      <w:rPr>
                        <w:rFonts w:ascii="Arial"/>
                        <w:i/>
                        <w:w w:val="100"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> </w:t>
                    </w:r>
                  </w:hyperlink>
                  <w:r>
                    <w:rPr>
                      <w:rFonts w:ascii="Arial"/>
                      <w:i/>
                      <w:w w:val="100"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19-Feb-2018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 For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> </w:t>
                  </w:r>
                  <w:r>
                    <w:rPr>
                      <w:rFonts w:ascii="Arial"/>
                      <w:i/>
                      <w:w w:val="100"/>
                      <w:sz w:val="15"/>
                    </w:rPr>
                    <w:t>only.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National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Use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Guideline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Group.</w:t>
      </w:r>
      <w:r>
        <w:rPr>
          <w:color w:val="231F20"/>
          <w:spacing w:val="-22"/>
          <w:sz w:val="16"/>
        </w:rPr>
        <w:t> </w:t>
      </w:r>
      <w:r>
        <w:rPr>
          <w:i/>
          <w:color w:val="231F20"/>
          <w:sz w:val="16"/>
        </w:rPr>
        <w:t>Canadian</w:t>
      </w:r>
      <w:r>
        <w:rPr>
          <w:i/>
          <w:color w:val="231F20"/>
          <w:spacing w:val="-22"/>
          <w:sz w:val="16"/>
        </w:rPr>
        <w:t> </w:t>
      </w:r>
      <w:r>
        <w:rPr>
          <w:i/>
          <w:color w:val="231F20"/>
          <w:sz w:val="16"/>
        </w:rPr>
        <w:t>Guideline</w:t>
      </w:r>
      <w:r>
        <w:rPr>
          <w:i/>
          <w:color w:val="231F20"/>
          <w:spacing w:val="-22"/>
          <w:sz w:val="16"/>
        </w:rPr>
        <w:t> </w:t>
      </w:r>
      <w:r>
        <w:rPr>
          <w:i/>
          <w:color w:val="231F20"/>
          <w:spacing w:val="-3"/>
          <w:sz w:val="16"/>
        </w:rPr>
        <w:t>for</w:t>
      </w:r>
      <w:r>
        <w:rPr>
          <w:i/>
          <w:color w:val="231F20"/>
          <w:spacing w:val="-22"/>
          <w:sz w:val="16"/>
        </w:rPr>
        <w:t> </w:t>
      </w:r>
      <w:r>
        <w:rPr>
          <w:i/>
          <w:color w:val="231F20"/>
          <w:spacing w:val="-3"/>
          <w:sz w:val="16"/>
        </w:rPr>
        <w:t>Safe</w:t>
      </w:r>
      <w:r>
        <w:rPr>
          <w:i/>
          <w:color w:val="231F20"/>
          <w:spacing w:val="-22"/>
          <w:sz w:val="16"/>
        </w:rPr>
        <w:t> </w:t>
      </w:r>
      <w:r>
        <w:rPr>
          <w:i/>
          <w:color w:val="231F20"/>
          <w:sz w:val="16"/>
        </w:rPr>
        <w:t>and </w:t>
      </w:r>
      <w:r>
        <w:rPr>
          <w:i/>
          <w:color w:val="231F20"/>
          <w:sz w:val="16"/>
        </w:rPr>
        <w:t>Effective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Opioids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17"/>
          <w:sz w:val="16"/>
        </w:rPr>
        <w:t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Hamilton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(ON): National Pain Centre; 2010. </w:t>
      </w:r>
      <w:r>
        <w:rPr>
          <w:color w:val="231F20"/>
          <w:spacing w:val="-3"/>
          <w:sz w:val="16"/>
        </w:rPr>
        <w:t>Available </w:t>
      </w:r>
      <w:r>
        <w:rPr>
          <w:color w:val="231F20"/>
          <w:sz w:val="16"/>
        </w:rPr>
        <w:t>from:</w:t>
      </w:r>
      <w:r>
        <w:rPr>
          <w:color w:val="231F20"/>
          <w:spacing w:val="-13"/>
          <w:sz w:val="16"/>
        </w:rPr>
        <w:t> </w:t>
      </w:r>
      <w:hyperlink r:id="rId19">
        <w:r>
          <w:rPr>
            <w:color w:val="231F20"/>
            <w:sz w:val="16"/>
          </w:rPr>
          <w:t>http://nationalpaincentre.</w:t>
        </w:r>
      </w:hyperlink>
      <w:r>
        <w:rPr>
          <w:color w:val="231F20"/>
          <w:sz w:val="16"/>
        </w:rPr>
        <w:t> </w:t>
      </w:r>
      <w:hyperlink r:id="rId19">
        <w:r>
          <w:rPr>
            <w:color w:val="231F20"/>
            <w:sz w:val="16"/>
          </w:rPr>
          <w:t>mcmaster.ca/opioid</w:t>
        </w:r>
      </w:hyperlink>
      <w:r>
        <w:rPr>
          <w:color w:val="231F20"/>
          <w:sz w:val="16"/>
        </w:rPr>
        <w:t>. Accessed February 24,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2016.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>Rennick A, Atkinson </w:t>
      </w:r>
      <w:r>
        <w:rPr>
          <w:color w:val="231F20"/>
          <w:spacing w:val="-4"/>
          <w:sz w:val="16"/>
        </w:rPr>
        <w:t>TJ, </w:t>
      </w:r>
      <w:r>
        <w:rPr>
          <w:color w:val="231F20"/>
          <w:sz w:val="16"/>
        </w:rPr>
        <w:t>Cimino NM, Strassels SA, McPherson ML, Fudin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5"/>
          <w:sz w:val="16"/>
        </w:rPr>
        <w:t>J.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Variability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opioid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equivalence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calculations.</w:t>
      </w:r>
      <w:r>
        <w:rPr>
          <w:color w:val="231F20"/>
          <w:spacing w:val="-13"/>
          <w:sz w:val="16"/>
        </w:rPr>
        <w:t>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Epub 2015 Sep 9.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2" w:hanging="280"/>
        <w:jc w:val="both"/>
        <w:rPr>
          <w:sz w:val="16"/>
        </w:rPr>
      </w:pPr>
      <w:r>
        <w:rPr>
          <w:color w:val="231F20"/>
          <w:spacing w:val="-4"/>
          <w:sz w:val="16"/>
        </w:rPr>
        <w:t>Shaw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K,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3"/>
          <w:sz w:val="16"/>
        </w:rPr>
        <w:t>Fudin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Evaluation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3"/>
          <w:sz w:val="16"/>
        </w:rPr>
        <w:t>comparison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3"/>
          <w:sz w:val="16"/>
        </w:rPr>
        <w:t>online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3"/>
          <w:sz w:val="16"/>
        </w:rPr>
        <w:t>equianalgesic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opi- oid dose conversion calculators. </w:t>
      </w:r>
      <w:r>
        <w:rPr>
          <w:i/>
          <w:color w:val="231F20"/>
          <w:sz w:val="16"/>
        </w:rPr>
        <w:t>Pract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Manag</w:t>
      </w:r>
      <w:r>
        <w:rPr>
          <w:color w:val="231F20"/>
          <w:sz w:val="16"/>
        </w:rPr>
        <w:t>.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2013;13:61–66.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>Health Care Association of New </w:t>
      </w:r>
      <w:r>
        <w:rPr>
          <w:color w:val="231F20"/>
          <w:spacing w:val="-3"/>
          <w:sz w:val="16"/>
        </w:rPr>
        <w:t>Jersey.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Management Guideline</w:t>
      </w:r>
      <w:r>
        <w:rPr>
          <w:color w:val="231F20"/>
          <w:sz w:val="16"/>
        </w:rPr>
        <w:t>. Hamilton (NJ): HCANJ; 2006.</w: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61" w:lineRule="auto" w:before="0" w:after="0"/>
        <w:ind w:left="897" w:right="1" w:hanging="280"/>
        <w:jc w:val="both"/>
        <w:rPr>
          <w:sz w:val="16"/>
        </w:rPr>
      </w:pPr>
      <w:r>
        <w:rPr>
          <w:color w:val="231F20"/>
          <w:sz w:val="16"/>
        </w:rPr>
        <w:t>Washington State Department of Labor and Industries. </w:t>
      </w:r>
      <w:r>
        <w:rPr>
          <w:i/>
          <w:color w:val="231F20"/>
          <w:sz w:val="16"/>
        </w:rPr>
        <w:t>Guideline for </w:t>
      </w:r>
      <w:r>
        <w:rPr>
          <w:i/>
          <w:color w:val="231F20"/>
          <w:sz w:val="16"/>
        </w:rPr>
        <w:t>Prescribing Opioids to </w:t>
      </w:r>
      <w:r>
        <w:rPr>
          <w:i/>
          <w:color w:val="231F20"/>
          <w:spacing w:val="-3"/>
          <w:sz w:val="16"/>
        </w:rPr>
        <w:t>Treat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in Injured </w:t>
      </w:r>
      <w:r>
        <w:rPr>
          <w:i/>
          <w:color w:val="231F20"/>
          <w:spacing w:val="-4"/>
          <w:sz w:val="16"/>
        </w:rPr>
        <w:t>Workers</w:t>
      </w:r>
      <w:r>
        <w:rPr>
          <w:color w:val="231F20"/>
          <w:spacing w:val="-4"/>
          <w:sz w:val="16"/>
        </w:rPr>
        <w:t>. </w:t>
      </w:r>
      <w:r>
        <w:rPr>
          <w:color w:val="231F20"/>
          <w:sz w:val="16"/>
        </w:rPr>
        <w:t>Olympia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(WA): </w:t>
      </w:r>
      <w:r>
        <w:rPr>
          <w:color w:val="231F20"/>
          <w:sz w:val="16"/>
        </w:rPr>
        <w:t>L&amp;I; 2013.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91" w:after="0"/>
        <w:ind w:left="519" w:right="1412" w:hanging="280"/>
        <w:jc w:val="both"/>
        <w:rPr>
          <w:sz w:val="16"/>
        </w:rPr>
      </w:pPr>
      <w:r>
        <w:rPr>
          <w:color w:val="231F20"/>
          <w:spacing w:val="3"/>
          <w:w w:val="99"/>
          <w:sz w:val="16"/>
        </w:rPr>
        <w:br w:type="column"/>
      </w:r>
      <w:r>
        <w:rPr>
          <w:color w:val="231F20"/>
          <w:sz w:val="16"/>
        </w:rPr>
        <w:t>University of </w:t>
      </w:r>
      <w:r>
        <w:rPr>
          <w:color w:val="231F20"/>
          <w:spacing w:val="2"/>
          <w:sz w:val="16"/>
        </w:rPr>
        <w:t>Michigan Health System. </w:t>
      </w:r>
      <w:r>
        <w:rPr>
          <w:i/>
          <w:color w:val="231F20"/>
          <w:spacing w:val="2"/>
          <w:sz w:val="16"/>
        </w:rPr>
        <w:t>Managing </w:t>
      </w:r>
      <w:r>
        <w:rPr>
          <w:i/>
          <w:color w:val="231F20"/>
          <w:sz w:val="16"/>
        </w:rPr>
        <w:t>Chronic </w:t>
      </w:r>
      <w:r>
        <w:rPr>
          <w:i/>
          <w:color w:val="231F20"/>
          <w:spacing w:val="3"/>
          <w:sz w:val="16"/>
        </w:rPr>
        <w:t>Non- </w:t>
      </w:r>
      <w:r>
        <w:rPr>
          <w:i/>
          <w:color w:val="231F20"/>
          <w:sz w:val="16"/>
        </w:rPr>
        <w:t>terminal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in Adults Including Prescribing Controlled Substances</w:t>
      </w:r>
      <w:r>
        <w:rPr>
          <w:color w:val="231F20"/>
          <w:sz w:val="16"/>
        </w:rPr>
        <w:t>. Ann Arbor (MI): UHMS;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2011.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>Zedler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3"/>
          <w:sz w:val="16"/>
        </w:rPr>
        <w:t>B,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Xie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L,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Wang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Development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risk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index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serious prescription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opioid-induced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respiratory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depression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3"/>
          <w:sz w:val="16"/>
        </w:rPr>
        <w:t>overdose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8"/>
          <w:sz w:val="16"/>
        </w:rPr>
        <w:t> </w:t>
      </w:r>
      <w:r>
        <w:rPr>
          <w:color w:val="231F20"/>
          <w:spacing w:val="-5"/>
          <w:sz w:val="16"/>
        </w:rPr>
        <w:t>Veter- </w:t>
      </w:r>
      <w:r>
        <w:rPr>
          <w:color w:val="231F20"/>
          <w:sz w:val="16"/>
        </w:rPr>
        <w:t>ans’ Health Administration patients.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2015;16;1566–1579.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3" w:hanging="280"/>
        <w:jc w:val="both"/>
        <w:rPr>
          <w:sz w:val="16"/>
        </w:rPr>
      </w:pPr>
      <w:r>
        <w:rPr>
          <w:color w:val="231F20"/>
          <w:sz w:val="16"/>
        </w:rPr>
        <w:t>Dasgupta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3"/>
          <w:sz w:val="16"/>
        </w:rPr>
        <w:t>N,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Funk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Proescholdbell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S,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Hirsch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Ribisl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K,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Marshall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S. Cohort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study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impact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high-dose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opioid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analgesics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overdose mortality.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Epub 2015 Sep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>Reddy A, Tayjasanant S, Haider A, et al. The opioid rotation ratio of strong opioids to transdermal fentanyl in cancer patients. </w:t>
      </w:r>
      <w:r>
        <w:rPr>
          <w:i/>
          <w:color w:val="231F20"/>
          <w:sz w:val="16"/>
        </w:rPr>
        <w:t>Cancer</w:t>
      </w:r>
      <w:r>
        <w:rPr>
          <w:color w:val="231F20"/>
          <w:sz w:val="16"/>
        </w:rPr>
        <w:t>. 2016;122:149–156.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7" w:hanging="280"/>
        <w:jc w:val="both"/>
        <w:rPr>
          <w:sz w:val="16"/>
        </w:rPr>
      </w:pPr>
      <w:r>
        <w:rPr>
          <w:color w:val="231F20"/>
          <w:sz w:val="16"/>
        </w:rPr>
        <w:t>Correa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Farney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5"/>
          <w:sz w:val="16"/>
        </w:rPr>
        <w:t>RJ,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Chung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12"/>
          <w:sz w:val="16"/>
        </w:rPr>
        <w:t>F,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Prasad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A,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Lam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6"/>
          <w:sz w:val="16"/>
        </w:rPr>
        <w:t>Wong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opioid use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central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sleep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apnea: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3"/>
          <w:sz w:val="16"/>
        </w:rPr>
        <w:t>review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3"/>
          <w:sz w:val="16"/>
        </w:rPr>
        <w:t>prevalence,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mechanisms,</w:t>
      </w:r>
      <w:r>
        <w:rPr>
          <w:color w:val="231F20"/>
          <w:spacing w:val="-20"/>
          <w:sz w:val="16"/>
        </w:rPr>
        <w:t> </w:t>
      </w:r>
      <w:r>
        <w:rPr>
          <w:color w:val="231F20"/>
          <w:sz w:val="16"/>
        </w:rPr>
        <w:t>and perioperative considerations. </w:t>
      </w:r>
      <w:r>
        <w:rPr>
          <w:i/>
          <w:color w:val="231F20"/>
          <w:sz w:val="16"/>
        </w:rPr>
        <w:t>Anesth Analg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2015;120:1273–1285.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4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>Webster </w:t>
      </w:r>
      <w:r>
        <w:rPr>
          <w:color w:val="231F20"/>
          <w:sz w:val="16"/>
        </w:rPr>
        <w:t>LR, Fine PG. Overdose deaths demand a new paradigm for opioid rotation. </w:t>
      </w:r>
      <w:r>
        <w:rPr>
          <w:i/>
          <w:color w:val="231F20"/>
          <w:spacing w:val="-4"/>
          <w:sz w:val="16"/>
        </w:rPr>
        <w:t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2012;13:571–574.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61" w:lineRule="auto" w:before="0" w:after="0"/>
        <w:ind w:left="519" w:right="1416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>Dowell </w:t>
      </w:r>
      <w:r>
        <w:rPr>
          <w:color w:val="231F20"/>
          <w:spacing w:val="-5"/>
          <w:sz w:val="16"/>
        </w:rPr>
        <w:t>D, </w:t>
      </w:r>
      <w:r>
        <w:rPr>
          <w:color w:val="231F20"/>
          <w:sz w:val="16"/>
        </w:rPr>
        <w:t>Haegerich TM, Chou R. CDC Guideline for Prescribing Opioids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Chronic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Pain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United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States,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2016.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MMWR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Recomm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Rep</w:t>
      </w:r>
      <w:r>
        <w:rPr>
          <w:color w:val="231F20"/>
          <w:sz w:val="16"/>
        </w:rPr>
        <w:t>. 2016;65:1–49.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2240" w:h="15840"/>
          <w:pgMar w:top="760" w:bottom="0" w:left="460" w:right="0"/>
          <w:cols w:num="2" w:equalWidth="0">
            <w:col w:w="5353" w:space="40"/>
            <w:col w:w="63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line="244" w:lineRule="auto" w:before="76"/>
        <w:ind w:left="910" w:right="1708" w:firstLine="0"/>
        <w:jc w:val="both"/>
        <w:rPr>
          <w:rFonts w:ascii="Calibri" w:hAnsi="Calibri"/>
          <w:sz w:val="12"/>
        </w:rPr>
      </w:pPr>
      <w:r>
        <w:rPr>
          <w:rFonts w:ascii="Calibri" w:hAnsi="Calibri"/>
          <w:color w:val="231F20"/>
          <w:sz w:val="12"/>
        </w:rPr>
        <w:t>Dove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Medical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encourages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responsible,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free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frank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academic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debate.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‘Editorial’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section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does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not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necessarily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represent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views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Press,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its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officers,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agents,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employees,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related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entities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or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editors.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While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all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reasonable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steps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have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been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taken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to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confirm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each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8"/>
          <w:sz w:val="12"/>
        </w:rPr>
        <w:t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accepts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no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liability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in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respect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nor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is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it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responsible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for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accuracy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> </w:t>
      </w:r>
      <w:r>
        <w:rPr>
          <w:rFonts w:ascii="Calibri" w:hAnsi="Calibri"/>
          <w:color w:val="231F20"/>
          <w:sz w:val="12"/>
        </w:rPr>
        <w:t>Editorial.</w:t>
      </w:r>
    </w:p>
    <w:p>
      <w:pPr>
        <w:pStyle w:val="BodyText"/>
        <w:spacing w:before="6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2240" w:h="15840"/>
          <w:pgMar w:top="760" w:bottom="0" w:left="460" w:right="0"/>
        </w:sectPr>
      </w:pPr>
    </w:p>
    <w:p>
      <w:pPr>
        <w:spacing w:before="116"/>
        <w:ind w:left="910" w:right="0" w:firstLine="0"/>
        <w:jc w:val="both"/>
        <w:rPr>
          <w:rFonts w:ascii="Book Antiqua"/>
          <w:sz w:val="16"/>
        </w:rPr>
      </w:pPr>
      <w:r>
        <w:rPr/>
        <w:pict>
          <v:rect style="position:absolute;margin-left:53.849998pt;margin-top:-4.196313pt;width:487.3pt;height:106.237pt;mso-position-horizontal-relative:page;mso-position-vertical-relative:paragraph;z-index:-7840" filled="true" fillcolor="#ebebec" stroked="false">
            <v:fill type="solid"/>
            <w10:wrap type="non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>
      <w:pPr>
        <w:spacing w:before="78"/>
        <w:ind w:left="890" w:right="0" w:firstLine="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>
      <w:pPr>
        <w:spacing w:line="160" w:lineRule="exact" w:before="92"/>
        <w:ind w:left="910" w:right="142" w:firstLine="0"/>
        <w:jc w:val="both"/>
        <w:rPr>
          <w:sz w:val="16"/>
        </w:rPr>
      </w:pPr>
      <w:r>
        <w:rPr>
          <w:color w:val="231F20"/>
          <w:sz w:val="16"/>
        </w:rPr>
        <w:t>The Journal of Pain Research is an international, peer-reviewed,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open access, online journal that welcomes laboratory and clinical findings in the fields of pain research and the prevention and management     of </w:t>
      </w:r>
      <w:r>
        <w:rPr>
          <w:color w:val="231F20"/>
          <w:spacing w:val="2"/>
          <w:sz w:val="16"/>
        </w:rPr>
        <w:t>pain. Original research, </w:t>
      </w:r>
      <w:r>
        <w:rPr>
          <w:color w:val="231F20"/>
          <w:sz w:val="16"/>
        </w:rPr>
        <w:t>reviews,  </w:t>
      </w:r>
      <w:r>
        <w:rPr>
          <w:color w:val="231F20"/>
          <w:spacing w:val="2"/>
          <w:sz w:val="16"/>
        </w:rPr>
        <w:t>symposium  </w:t>
      </w:r>
      <w:r>
        <w:rPr>
          <w:color w:val="231F20"/>
          <w:spacing w:val="3"/>
          <w:sz w:val="16"/>
        </w:rPr>
        <w:t>reports, </w:t>
      </w:r>
      <w:r>
        <w:rPr>
          <w:color w:val="231F20"/>
          <w:sz w:val="16"/>
        </w:rPr>
        <w:t>hypoth- esis formation and commentaries are all considered for  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publication.</w:t>
      </w:r>
    </w:p>
    <w:p>
      <w:pPr>
        <w:spacing w:before="96"/>
        <w:ind w:left="910" w:right="0" w:firstLine="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>Submit</w:t>
      </w:r>
      <w:r>
        <w:rPr>
          <w:rFonts w:ascii="Gill Sans MT"/>
          <w:b/>
          <w:color w:val="808285"/>
          <w:spacing w:val="-9"/>
          <w:sz w:val="12"/>
        </w:rPr>
        <w:t> </w:t>
      </w:r>
      <w:r>
        <w:rPr>
          <w:rFonts w:ascii="Gill Sans MT"/>
          <w:b/>
          <w:color w:val="808285"/>
          <w:sz w:val="12"/>
        </w:rPr>
        <w:t>your</w:t>
      </w:r>
      <w:r>
        <w:rPr>
          <w:rFonts w:ascii="Gill Sans MT"/>
          <w:b/>
          <w:color w:val="808285"/>
          <w:spacing w:val="-9"/>
          <w:sz w:val="12"/>
        </w:rPr>
        <w:t> </w:t>
      </w:r>
      <w:r>
        <w:rPr>
          <w:rFonts w:ascii="Gill Sans MT"/>
          <w:b/>
          <w:color w:val="808285"/>
          <w:sz w:val="12"/>
        </w:rPr>
        <w:t>manuscript</w:t>
      </w:r>
      <w:r>
        <w:rPr>
          <w:rFonts w:ascii="Gill Sans MT"/>
          <w:b/>
          <w:color w:val="808285"/>
          <w:spacing w:val="-9"/>
          <w:sz w:val="12"/>
        </w:rPr>
        <w:t> </w:t>
      </w:r>
      <w:r>
        <w:rPr>
          <w:rFonts w:ascii="Gill Sans MT"/>
          <w:b/>
          <w:color w:val="808285"/>
          <w:sz w:val="12"/>
        </w:rPr>
        <w:t>here:</w:t>
      </w:r>
      <w:r>
        <w:rPr>
          <w:rFonts w:ascii="Gill Sans MT"/>
          <w:b/>
          <w:color w:val="808285"/>
          <w:spacing w:val="-9"/>
          <w:sz w:val="12"/>
        </w:rPr>
        <w:t> </w:t>
      </w:r>
      <w:hyperlink r:id="rId20">
        <w:r>
          <w:rPr>
            <w:rFonts w:ascii="Gill Sans MT"/>
            <w:color w:val="808285"/>
            <w:sz w:val="12"/>
          </w:rPr>
          <w:t>http://www.dovepress.com/journal-of-pain-research-journal</w:t>
        </w:r>
      </w:hyperlink>
    </w:p>
    <w:p>
      <w:pPr>
        <w:pStyle w:val="BodyText"/>
        <w:rPr>
          <w:rFonts w:ascii="Gill Sans MT"/>
          <w:sz w:val="14"/>
        </w:rPr>
      </w:pPr>
    </w:p>
    <w:p>
      <w:pPr>
        <w:pStyle w:val="BodyText"/>
        <w:rPr>
          <w:rFonts w:ascii="Gill Sans MT"/>
          <w:sz w:val="14"/>
        </w:rPr>
      </w:pPr>
    </w:p>
    <w:p>
      <w:pPr>
        <w:pStyle w:val="BodyText"/>
        <w:spacing w:before="6"/>
        <w:rPr>
          <w:rFonts w:ascii="Gill Sans MT"/>
          <w:sz w:val="18"/>
        </w:rPr>
      </w:pPr>
    </w:p>
    <w:p>
      <w:pPr>
        <w:tabs>
          <w:tab w:pos="1336" w:val="left" w:leader="none"/>
        </w:tabs>
        <w:spacing w:line="219" w:lineRule="exact" w:before="0"/>
        <w:ind w:left="617" w:right="0" w:firstLine="0"/>
        <w:jc w:val="left"/>
        <w:rPr>
          <w:rFonts w:ascii="Gill Sans MT"/>
          <w:sz w:val="10"/>
        </w:rPr>
      </w:pPr>
      <w:r>
        <w:rPr/>
        <w:pict>
          <v:line style="position:absolute;mso-position-horizontal-relative:page;mso-position-vertical-relative:paragraph;z-index:1336" from="53.849998pt,-.962608pt" to="541.149998pt,-.962608pt" stroked="true" strokeweight=".5pt" strokecolor="#231f20">
            <v:stroke dashstyle="solid"/>
            <w10:wrap type="none"/>
          </v:line>
        </w:pict>
      </w:r>
      <w:r>
        <w:rPr>
          <w:rFonts w:ascii="Gill Sans MT"/>
          <w:b/>
          <w:color w:val="231F20"/>
          <w:position w:val="-6"/>
          <w:sz w:val="20"/>
        </w:rPr>
        <w:t>156</w:t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> </w:t>
      </w:r>
      <w:hyperlink r:id="rId7">
        <w:r>
          <w:rPr>
            <w:rFonts w:ascii="Gill Sans MT"/>
            <w:color w:val="B8BABC"/>
            <w:sz w:val="10"/>
          </w:rPr>
          <w:t>www.dovepress.com</w:t>
        </w:r>
      </w:hyperlink>
    </w:p>
    <w:p>
      <w:pPr>
        <w:spacing w:line="137" w:lineRule="exact" w:before="0"/>
        <w:ind w:left="1337" w:right="0" w:firstLine="0"/>
        <w:jc w:val="left"/>
        <w:rPr>
          <w:rFonts w:ascii="Book Antiqua"/>
          <w:sz w:val="12"/>
        </w:rPr>
      </w:pPr>
      <w:hyperlink r:id="rId7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>
      <w:pPr>
        <w:pStyle w:val="Heading2"/>
        <w:spacing w:before="104"/>
        <w:ind w:left="3295"/>
      </w:pPr>
      <w:r>
        <w:rPr/>
        <w:br w:type="column"/>
      </w:r>
      <w:hyperlink r:id="rId7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>
      <w:pPr>
        <w:pStyle w:val="BodyText"/>
        <w:rPr>
          <w:rFonts w:ascii="Book Antiqua"/>
          <w:sz w:val="29"/>
        </w:rPr>
      </w:pPr>
    </w:p>
    <w:p>
      <w:pPr>
        <w:spacing w:line="160" w:lineRule="exact" w:before="1"/>
        <w:ind w:left="96" w:right="1720" w:firstLine="0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manuscript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management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completely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online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includes 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very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quick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fair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peer-review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system,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all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easy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use.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Visit </w:t>
      </w:r>
      <w:hyperlink r:id="rId21">
        <w:r>
          <w:rPr>
            <w:color w:val="231F20"/>
            <w:sz w:val="16"/>
          </w:rPr>
          <w:t>http://www.dovepress.com/testimonials.php</w:t>
        </w:r>
      </w:hyperlink>
      <w:r>
        <w:rPr>
          <w:color w:val="231F20"/>
          <w:sz w:val="16"/>
        </w:rPr>
        <w:t> to read real quotes from published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authors.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7"/>
        <w:ind w:left="2780" w:right="0" w:firstLine="0"/>
        <w:jc w:val="left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</w:p>
    <w:sectPr>
      <w:type w:val="continuous"/>
      <w:pgSz w:w="12240" w:h="15840"/>
      <w:pgMar w:top="760" w:bottom="0" w:left="460" w:right="0"/>
      <w:cols w:num="2" w:equalWidth="0">
        <w:col w:w="5496" w:space="40"/>
        <w:col w:w="62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ill Sans MT">
    <w:altName w:val="Gill Sans MT"/>
    <w:charset w:val="0"/>
    <w:family w:val="swiss"/>
    <w:pitch w:val="variable"/>
  </w:font>
  <w:font w:name="Gill Sans MT Condensed">
    <w:altName w:val="Gill Sans MT Condensed"/>
    <w:charset w:val="0"/>
    <w:family w:val="swiss"/>
    <w:pitch w:val="variable"/>
  </w:font>
  <w:font w:name="Book Antiqua">
    <w:altName w:val="Book Antiqu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line style="position:absolute;mso-position-horizontal-relative:page;mso-position-vertical-relative:page;z-index:-8128" from="28.666622pt,792pt" to="583.333505pt,792pt" stroked="true" strokeweight=".799629pt" strokecolor="#000000">
          <v:stroke dashstyle="solid"/>
          <w10:wrap type="none"/>
        </v:lin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00"/>
        <w:jc w:val="right"/>
      </w:pPr>
      <w:rPr>
        <w:rFonts w:hint="default" w:ascii="Times New Roman" w:hAnsi="Times New Roman" w:eastAsia="Times New Roman" w:cs="Times New Roman"/>
        <w:color w:val="231F20"/>
        <w:spacing w:val="-15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073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26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2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3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9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4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Gill Sans MT" w:hAnsi="Gill Sans MT" w:eastAsia="Gill Sans MT" w:cs="Gill Sans MT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9"/>
      <w:ind w:left="956"/>
      <w:outlineLvl w:val="2"/>
    </w:pPr>
    <w:rPr>
      <w:rFonts w:ascii="Book Antiqua" w:hAnsi="Book Antiqua" w:eastAsia="Book Antiqua" w:cs="Book Antiqua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25"/>
      <w:ind w:left="956"/>
      <w:outlineLvl w:val="3"/>
    </w:pPr>
    <w:rPr>
      <w:rFonts w:ascii="Gill Sans MT" w:hAnsi="Gill Sans MT" w:eastAsia="Gill Sans MT" w:cs="Gill Sans MT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22" w:right="1" w:hanging="28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dovepress.com/" TargetMode="External"/><Relationship Id="rId8" Type="http://schemas.openxmlformats.org/officeDocument/2006/relationships/hyperlink" Target="mailto:headdock@comcast.net" TargetMode="External"/><Relationship Id="rId9" Type="http://schemas.openxmlformats.org/officeDocument/2006/relationships/hyperlink" Target="http://dx.doi.org/10.2147/JPR.S107794" TargetMode="External"/><Relationship Id="rId10" Type="http://schemas.openxmlformats.org/officeDocument/2006/relationships/hyperlink" Target="https://www.dovepress.com/terms.php" TargetMode="External"/><Relationship Id="rId11" Type="http://schemas.openxmlformats.org/officeDocument/2006/relationships/hyperlink" Target="http://creativecommons.org/licenses/by-nc/3.0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fsmb.org/Media/Default/PDF/FSMB/Advocacy/pain_policy_july2013.pdf" TargetMode="External"/><Relationship Id="rId16" Type="http://schemas.openxmlformats.org/officeDocument/2006/relationships/hyperlink" Target="http://www.cdc.gov/drugoverdose/prescribing/guideline.html" TargetMode="External"/><Relationship Id="rId17" Type="http://schemas.openxmlformats.org/officeDocument/2006/relationships/hyperlink" Target="http://www.icsi.org/_asset/bw798b/ChronicPain.pdf" TargetMode="External"/><Relationship Id="rId18" Type="http://schemas.openxmlformats.org/officeDocument/2006/relationships/hyperlink" Target="http://www.americanpainsociety.org/uploads/pdfs/Opioid_Final_Evidence_Report.pdf" TargetMode="External"/><Relationship Id="rId19" Type="http://schemas.openxmlformats.org/officeDocument/2006/relationships/hyperlink" Target="http://nationalpaincentre.mcmaster.ca/opioid" TargetMode="External"/><Relationship Id="rId20" Type="http://schemas.openxmlformats.org/officeDocument/2006/relationships/hyperlink" Target="http://www.dovepress.com/journal-of-pain-research-journal" TargetMode="External"/><Relationship Id="rId21" Type="http://schemas.openxmlformats.org/officeDocument/2006/relationships/hyperlink" Target="http://www.dovepress.com/testimonials.php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Schatman</dc:creator>
  <dc:subject>The MEDD myth</dc:subject>
  <dc:title>JPR-107794-the-medd-myth---the-impact-of-pseudoscience-on-pain-research</dc:title>
  <dcterms:created xsi:type="dcterms:W3CDTF">2018-06-12T23:23:48Z</dcterms:created>
  <dcterms:modified xsi:type="dcterms:W3CDTF">2018-06-12T23:23:48Z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2018-06-13T00:00:00Z</vt:filetime>
  </property>
</Properties>
</file>