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9A" w:rsidRDefault="0091324C">
      <w:pPr>
        <w:pStyle w:val="Heading2"/>
        <w:tabs>
          <w:tab w:val="left" w:pos="8517"/>
        </w:tabs>
        <w:ind w:right="1075"/>
        <w:jc w:val="right"/>
      </w:pPr>
      <w:r>
        <w:rPr>
          <w:color w:val="3785AD"/>
          <w:w w:val="110"/>
        </w:rPr>
        <w:t>Journal of</w:t>
      </w:r>
      <w:r>
        <w:rPr>
          <w:color w:val="3785AD"/>
          <w:spacing w:val="-13"/>
          <w:w w:val="110"/>
        </w:rPr>
        <w:t xml:space="preserve"> </w:t>
      </w:r>
      <w:r>
        <w:rPr>
          <w:color w:val="3785AD"/>
          <w:w w:val="110"/>
        </w:rPr>
        <w:t>Pain</w:t>
      </w:r>
      <w:r>
        <w:rPr>
          <w:color w:val="3785AD"/>
          <w:spacing w:val="-7"/>
          <w:w w:val="110"/>
        </w:rPr>
        <w:t xml:space="preserve"> </w:t>
      </w:r>
      <w:r>
        <w:rPr>
          <w:color w:val="3785AD"/>
          <w:w w:val="110"/>
        </w:rPr>
        <w:t>Research</w:t>
      </w:r>
      <w:r>
        <w:rPr>
          <w:color w:val="3785AD"/>
          <w:w w:val="110"/>
        </w:rPr>
        <w:tab/>
      </w:r>
      <w:hyperlink r:id="rId7">
        <w:r>
          <w:rPr>
            <w:color w:val="3785AD"/>
            <w:spacing w:val="-1"/>
            <w:w w:val="110"/>
          </w:rPr>
          <w:t>Dove</w:t>
        </w:r>
        <w:r>
          <w:rPr>
            <w:color w:val="B8BABC"/>
            <w:spacing w:val="-1"/>
            <w:w w:val="110"/>
          </w:rPr>
          <w:t>press</w:t>
        </w:r>
      </w:hyperlink>
    </w:p>
    <w:p w:rsidR="0080489A" w:rsidRDefault="0091324C">
      <w:pPr>
        <w:spacing w:before="58"/>
        <w:ind w:right="1074"/>
        <w:jc w:val="right"/>
        <w:rPr>
          <w:rFonts w:ascii="Book Antiqua"/>
          <w:sz w:val="12"/>
        </w:rPr>
      </w:pPr>
      <w:r>
        <w:rPr>
          <w:rFonts w:ascii="Book Antiqua"/>
          <w:color w:val="B8BABC"/>
          <w:w w:val="115"/>
          <w:sz w:val="12"/>
        </w:rPr>
        <w:t>open access to scientific and medical research</w:t>
      </w:r>
    </w:p>
    <w:p w:rsidR="0080489A" w:rsidRDefault="0080489A">
      <w:pPr>
        <w:pStyle w:val="BodyText"/>
        <w:spacing w:before="11"/>
        <w:rPr>
          <w:rFonts w:ascii="Book Antiqua"/>
          <w:sz w:val="14"/>
        </w:rPr>
      </w:pPr>
    </w:p>
    <w:p w:rsidR="0080489A" w:rsidRDefault="0080489A">
      <w:pPr>
        <w:rPr>
          <w:rFonts w:ascii="Book Antiqua"/>
          <w:sz w:val="14"/>
        </w:rPr>
        <w:sectPr w:rsidR="0080489A">
          <w:footerReference w:type="default" r:id="rId8"/>
          <w:type w:val="continuous"/>
          <w:pgSz w:w="12240" w:h="15840"/>
          <w:pgMar w:top="760" w:right="0" w:bottom="0" w:left="460" w:header="720" w:footer="0" w:gutter="0"/>
          <w:cols w:space="720"/>
        </w:sectPr>
      </w:pPr>
    </w:p>
    <w:p w:rsidR="0080489A" w:rsidRDefault="0091324C">
      <w:pPr>
        <w:spacing w:before="115"/>
        <w:ind w:left="1178"/>
        <w:rPr>
          <w:rFonts w:ascii="Gill Sans MT"/>
          <w:sz w:val="12"/>
        </w:rPr>
      </w:pP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899792</wp:posOffset>
            </wp:positionH>
            <wp:positionV relativeFrom="paragraph">
              <wp:posOffset>51174</wp:posOffset>
            </wp:positionV>
            <wp:extent cx="90563" cy="1357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63" cy="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B8BABC"/>
          <w:sz w:val="12"/>
        </w:rPr>
        <w:t>Open</w:t>
      </w:r>
      <w:r>
        <w:rPr>
          <w:rFonts w:ascii="Gill Sans MT"/>
          <w:color w:val="B8BABC"/>
          <w:spacing w:val="-13"/>
          <w:sz w:val="12"/>
        </w:rPr>
        <w:t xml:space="preserve"> </w:t>
      </w:r>
      <w:r>
        <w:rPr>
          <w:rFonts w:ascii="Gill Sans MT"/>
          <w:color w:val="B8BABC"/>
          <w:sz w:val="12"/>
        </w:rPr>
        <w:t>Access</w:t>
      </w:r>
      <w:r>
        <w:rPr>
          <w:rFonts w:ascii="Gill Sans MT"/>
          <w:color w:val="B8BABC"/>
          <w:spacing w:val="-1"/>
          <w:sz w:val="12"/>
        </w:rPr>
        <w:t xml:space="preserve"> </w:t>
      </w:r>
      <w:r>
        <w:rPr>
          <w:rFonts w:ascii="Gill Sans MT"/>
          <w:color w:val="B8BABC"/>
          <w:sz w:val="12"/>
        </w:rPr>
        <w:t>Full</w:t>
      </w:r>
      <w:r>
        <w:rPr>
          <w:rFonts w:ascii="Gill Sans MT"/>
          <w:color w:val="B8BABC"/>
          <w:spacing w:val="-16"/>
          <w:sz w:val="12"/>
        </w:rPr>
        <w:t xml:space="preserve"> </w:t>
      </w:r>
      <w:r>
        <w:rPr>
          <w:rFonts w:ascii="Gill Sans MT"/>
          <w:color w:val="B8BABC"/>
          <w:spacing w:val="-5"/>
          <w:sz w:val="12"/>
        </w:rPr>
        <w:t>Text</w:t>
      </w:r>
      <w:r>
        <w:rPr>
          <w:rFonts w:ascii="Gill Sans MT"/>
          <w:color w:val="B8BABC"/>
          <w:spacing w:val="-13"/>
          <w:sz w:val="12"/>
        </w:rPr>
        <w:t xml:space="preserve"> </w:t>
      </w:r>
      <w:r>
        <w:rPr>
          <w:rFonts w:ascii="Gill Sans MT"/>
          <w:color w:val="B8BABC"/>
          <w:sz w:val="12"/>
        </w:rPr>
        <w:t>Article</w:t>
      </w:r>
    </w:p>
    <w:p w:rsidR="0080489A" w:rsidRDefault="0091324C">
      <w:pPr>
        <w:pStyle w:val="BodyText"/>
        <w:spacing w:before="100"/>
        <w:ind w:left="956"/>
        <w:rPr>
          <w:rFonts w:ascii="Gill Sans MT"/>
        </w:rPr>
      </w:pPr>
      <w:r>
        <w:br w:type="column"/>
      </w:r>
      <w:r>
        <w:rPr>
          <w:rFonts w:ascii="Gill Sans MT"/>
          <w:spacing w:val="30"/>
        </w:rPr>
        <w:t>EDIT</w:t>
      </w:r>
      <w:r>
        <w:rPr>
          <w:rFonts w:ascii="Gill Sans MT"/>
          <w:spacing w:val="-35"/>
        </w:rPr>
        <w:t xml:space="preserve"> </w:t>
      </w:r>
      <w:r>
        <w:rPr>
          <w:rFonts w:ascii="Gill Sans MT"/>
        </w:rPr>
        <w:t xml:space="preserve">O </w:t>
      </w:r>
      <w:r>
        <w:rPr>
          <w:rFonts w:ascii="Gill Sans MT"/>
          <w:spacing w:val="30"/>
        </w:rPr>
        <w:t>RIAL</w:t>
      </w:r>
      <w:r>
        <w:rPr>
          <w:rFonts w:ascii="Gill Sans MT"/>
          <w:spacing w:val="-14"/>
        </w:rPr>
        <w:t xml:space="preserve"> </w:t>
      </w:r>
    </w:p>
    <w:p w:rsidR="0080489A" w:rsidRDefault="0080489A">
      <w:pPr>
        <w:rPr>
          <w:rFonts w:ascii="Gill Sans MT"/>
        </w:rPr>
        <w:sectPr w:rsidR="0080489A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2599" w:space="5839"/>
            <w:col w:w="3342"/>
          </w:cols>
        </w:sectPr>
      </w:pPr>
    </w:p>
    <w:p w:rsidR="0080489A" w:rsidRDefault="0091324C">
      <w:pPr>
        <w:spacing w:before="46" w:line="242" w:lineRule="auto"/>
        <w:ind w:left="956" w:right="435"/>
        <w:rPr>
          <w:rFonts w:ascii="Gill Sans MT"/>
          <w:sz w:val="48"/>
        </w:rPr>
      </w:pPr>
      <w:r>
        <w:rPr>
          <w:rFonts w:ascii="Gill Sans MT"/>
          <w:sz w:val="48"/>
        </w:rPr>
        <w:t>Safety concerns with the Centers for Disease Control opioid calculator</w:t>
      </w:r>
    </w:p>
    <w:p w:rsidR="0080489A" w:rsidRDefault="0080489A">
      <w:pPr>
        <w:pStyle w:val="BodyText"/>
        <w:rPr>
          <w:rFonts w:ascii="Gill Sans MT"/>
        </w:rPr>
      </w:pPr>
    </w:p>
    <w:p w:rsidR="0080489A" w:rsidRDefault="0080489A">
      <w:pPr>
        <w:pStyle w:val="BodyText"/>
        <w:rPr>
          <w:rFonts w:ascii="Gill Sans MT"/>
        </w:rPr>
      </w:pPr>
    </w:p>
    <w:p w:rsidR="0080489A" w:rsidRDefault="0080489A">
      <w:pPr>
        <w:pStyle w:val="BodyText"/>
        <w:spacing w:before="4"/>
        <w:rPr>
          <w:rFonts w:ascii="Gill Sans MT"/>
          <w:sz w:val="25"/>
        </w:rPr>
      </w:pPr>
    </w:p>
    <w:p w:rsidR="0080489A" w:rsidRDefault="0091324C">
      <w:pPr>
        <w:spacing w:before="101" w:line="266" w:lineRule="auto"/>
        <w:ind w:left="3963" w:right="3917"/>
        <w:rPr>
          <w:rFonts w:ascii="Gill Sans MT"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23.5pt;margin-top:-30.75pt;width:18.45pt;height:354.7pt;z-index:1144;mso-position-horizontal-relative:page" filled="f" stroked="f">
            <v:textbox style="layout-flow:vertical;mso-layout-flow-alt:bottom-to-top" inset="0,0,0,0">
              <w:txbxContent>
                <w:p w:rsidR="0080489A" w:rsidRDefault="0091324C">
                  <w:pPr>
                    <w:spacing w:before="28" w:line="160" w:lineRule="exact"/>
                    <w:ind w:left="2801" w:right="18" w:hanging="2782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18-Dec-2017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rFonts w:ascii="Gill Sans MT"/>
          <w:sz w:val="14"/>
        </w:rPr>
        <w:t>This article was published in the following Dove Press journal: Journal of Pain Research</w:t>
      </w:r>
    </w:p>
    <w:p w:rsidR="0080489A" w:rsidRDefault="0080489A">
      <w:pPr>
        <w:pStyle w:val="BodyText"/>
        <w:rPr>
          <w:rFonts w:ascii="Gill Sans MT"/>
        </w:rPr>
      </w:pPr>
    </w:p>
    <w:p w:rsidR="0080489A" w:rsidRDefault="0080489A">
      <w:pPr>
        <w:pStyle w:val="BodyText"/>
        <w:spacing w:before="11"/>
        <w:rPr>
          <w:rFonts w:ascii="Gill Sans MT"/>
          <w:sz w:val="28"/>
        </w:rPr>
      </w:pPr>
    </w:p>
    <w:p w:rsidR="0080489A" w:rsidRDefault="0091324C">
      <w:pPr>
        <w:pStyle w:val="BodyText"/>
        <w:spacing w:line="20" w:lineRule="exact"/>
        <w:ind w:left="3958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>
          <v:group id="_x0000_s2089" style="width:337.5pt;height:.5pt;mso-position-horizontal-relative:char;mso-position-vertical-relative:line" coordsize="6750,10">
            <v:line id="_x0000_s2090" style="position:absolute" from="5,5" to="6745,5" strokeweight=".5pt"/>
            <w10:wrap type="none"/>
            <w10:anchorlock/>
          </v:group>
        </w:pict>
      </w:r>
    </w:p>
    <w:p w:rsidR="0080489A" w:rsidRDefault="0080489A">
      <w:pPr>
        <w:spacing w:line="20" w:lineRule="exact"/>
        <w:rPr>
          <w:rFonts w:ascii="Gill Sans MT"/>
          <w:sz w:val="2"/>
        </w:rPr>
        <w:sectPr w:rsidR="0080489A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80489A" w:rsidRDefault="0091324C">
      <w:pPr>
        <w:pStyle w:val="Heading3"/>
        <w:spacing w:before="104" w:line="264" w:lineRule="auto"/>
        <w:ind w:right="1049"/>
        <w:rPr>
          <w:sz w:val="13"/>
        </w:rPr>
      </w:pPr>
      <w:r>
        <w:t>Jeffrey Fudin</w:t>
      </w:r>
      <w:r>
        <w:rPr>
          <w:position w:val="7"/>
          <w:sz w:val="13"/>
        </w:rPr>
        <w:t xml:space="preserve">1–4 </w:t>
      </w:r>
      <w:r>
        <w:t>Mena Raouf</w:t>
      </w:r>
      <w:r>
        <w:rPr>
          <w:position w:val="7"/>
          <w:sz w:val="13"/>
        </w:rPr>
        <w:t>2</w:t>
      </w:r>
    </w:p>
    <w:p w:rsidR="0080489A" w:rsidRDefault="0091324C">
      <w:pPr>
        <w:spacing w:line="254" w:lineRule="exact"/>
        <w:ind w:left="956"/>
        <w:rPr>
          <w:rFonts w:ascii="Gill Sans MT" w:hAnsi="Gill Sans MT"/>
          <w:sz w:val="13"/>
        </w:rPr>
      </w:pPr>
      <w:r>
        <w:rPr>
          <w:rFonts w:ascii="Gill Sans MT" w:hAnsi="Gill Sans MT"/>
        </w:rPr>
        <w:t>Erica L Wegrzyn</w:t>
      </w:r>
      <w:r>
        <w:rPr>
          <w:rFonts w:ascii="Gill Sans MT" w:hAnsi="Gill Sans MT"/>
          <w:position w:val="7"/>
          <w:sz w:val="13"/>
        </w:rPr>
        <w:t>2–4</w:t>
      </w:r>
    </w:p>
    <w:p w:rsidR="0080489A" w:rsidRDefault="0091324C">
      <w:pPr>
        <w:spacing w:before="25"/>
        <w:ind w:left="956"/>
        <w:rPr>
          <w:rFonts w:ascii="Gill Sans MT"/>
          <w:sz w:val="13"/>
        </w:rPr>
      </w:pPr>
      <w:r>
        <w:rPr>
          <w:rFonts w:ascii="Gill Sans MT"/>
        </w:rPr>
        <w:t>Michael E Schatman</w:t>
      </w:r>
      <w:r>
        <w:rPr>
          <w:rFonts w:ascii="Gill Sans MT"/>
          <w:position w:val="7"/>
          <w:sz w:val="13"/>
        </w:rPr>
        <w:t>5,6</w:t>
      </w:r>
    </w:p>
    <w:p w:rsidR="0080489A" w:rsidRDefault="0091324C">
      <w:pPr>
        <w:spacing w:before="130"/>
        <w:ind w:left="956"/>
        <w:rPr>
          <w:rFonts w:ascii="Gill Sans MT"/>
          <w:sz w:val="16"/>
        </w:rPr>
      </w:pPr>
      <w:r>
        <w:rPr>
          <w:rFonts w:ascii="Gill Sans MT"/>
          <w:position w:val="5"/>
          <w:sz w:val="9"/>
        </w:rPr>
        <w:t>1</w:t>
      </w:r>
      <w:r>
        <w:rPr>
          <w:rFonts w:ascii="Gill Sans MT"/>
          <w:sz w:val="16"/>
        </w:rPr>
        <w:t>Scientific and Clinical Affairs,</w:t>
      </w:r>
    </w:p>
    <w:p w:rsidR="0080489A" w:rsidRDefault="0091324C">
      <w:pPr>
        <w:spacing w:before="3" w:line="244" w:lineRule="auto"/>
        <w:ind w:left="956" w:right="37"/>
        <w:rPr>
          <w:rFonts w:ascii="Gill Sans MT"/>
          <w:sz w:val="16"/>
        </w:rPr>
      </w:pPr>
      <w:r>
        <w:rPr>
          <w:rFonts w:ascii="Gill Sans MT"/>
          <w:sz w:val="16"/>
        </w:rPr>
        <w:t xml:space="preserve">Remitigate, LLC, Delmar, NY, USA; </w:t>
      </w:r>
      <w:r>
        <w:rPr>
          <w:rFonts w:ascii="Gill Sans MT"/>
          <w:position w:val="5"/>
          <w:sz w:val="9"/>
        </w:rPr>
        <w:t>2</w:t>
      </w:r>
      <w:r>
        <w:rPr>
          <w:rFonts w:ascii="Gill Sans MT"/>
          <w:sz w:val="16"/>
        </w:rPr>
        <w:t xml:space="preserve">Stratton VA Medical Center, Albany, NY, USA; </w:t>
      </w:r>
      <w:r>
        <w:rPr>
          <w:rFonts w:ascii="Gill Sans MT"/>
          <w:position w:val="5"/>
          <w:sz w:val="9"/>
        </w:rPr>
        <w:t>3</w:t>
      </w:r>
      <w:r>
        <w:rPr>
          <w:rFonts w:ascii="Gill Sans MT"/>
          <w:sz w:val="16"/>
        </w:rPr>
        <w:t>Western New England</w:t>
      </w:r>
    </w:p>
    <w:p w:rsidR="0080489A" w:rsidRDefault="0091324C">
      <w:pPr>
        <w:ind w:left="957"/>
        <w:rPr>
          <w:rFonts w:ascii="Gill Sans MT"/>
          <w:sz w:val="16"/>
        </w:rPr>
      </w:pPr>
      <w:r>
        <w:rPr>
          <w:rFonts w:ascii="Gill Sans MT"/>
          <w:sz w:val="16"/>
        </w:rPr>
        <w:t>Uni</w:t>
      </w:r>
      <w:r>
        <w:rPr>
          <w:rFonts w:ascii="Gill Sans MT"/>
          <w:sz w:val="16"/>
        </w:rPr>
        <w:t>versity College of Pharmacy,</w:t>
      </w:r>
    </w:p>
    <w:p w:rsidR="0080489A" w:rsidRDefault="0091324C">
      <w:pPr>
        <w:spacing w:before="4" w:line="244" w:lineRule="auto"/>
        <w:ind w:left="957" w:right="37"/>
        <w:rPr>
          <w:rFonts w:ascii="Gill Sans MT"/>
          <w:sz w:val="16"/>
        </w:rPr>
      </w:pPr>
      <w:r>
        <w:rPr>
          <w:rFonts w:ascii="Gill Sans MT"/>
          <w:sz w:val="16"/>
        </w:rPr>
        <w:t xml:space="preserve">Springfield, MA, USA; </w:t>
      </w:r>
      <w:r>
        <w:rPr>
          <w:rFonts w:ascii="Gill Sans MT"/>
          <w:position w:val="5"/>
          <w:sz w:val="9"/>
        </w:rPr>
        <w:t>4</w:t>
      </w:r>
      <w:r>
        <w:rPr>
          <w:rFonts w:ascii="Gill Sans MT"/>
          <w:sz w:val="16"/>
        </w:rPr>
        <w:t>Albany College of Pharmacy &amp; Health Sciences,</w:t>
      </w:r>
    </w:p>
    <w:p w:rsidR="0080489A" w:rsidRDefault="0091324C">
      <w:pPr>
        <w:spacing w:line="244" w:lineRule="auto"/>
        <w:ind w:left="956" w:right="379"/>
        <w:rPr>
          <w:rFonts w:ascii="Gill Sans MT"/>
          <w:sz w:val="16"/>
        </w:rPr>
      </w:pPr>
      <w:r>
        <w:rPr>
          <w:rFonts w:ascii="Gill Sans MT"/>
          <w:sz w:val="16"/>
        </w:rPr>
        <w:t xml:space="preserve">Albany, NY, USA; </w:t>
      </w:r>
      <w:r>
        <w:rPr>
          <w:rFonts w:ascii="Gill Sans MT"/>
          <w:position w:val="5"/>
          <w:sz w:val="9"/>
        </w:rPr>
        <w:t>5</w:t>
      </w:r>
      <w:r>
        <w:rPr>
          <w:rFonts w:ascii="Gill Sans MT"/>
          <w:sz w:val="16"/>
        </w:rPr>
        <w:t xml:space="preserve">Research and Network Development, Boston Pain Care, Waltham, MA, USA; </w:t>
      </w:r>
      <w:r>
        <w:rPr>
          <w:rFonts w:ascii="Gill Sans MT"/>
          <w:position w:val="5"/>
          <w:sz w:val="9"/>
        </w:rPr>
        <w:t>6</w:t>
      </w:r>
      <w:r>
        <w:rPr>
          <w:rFonts w:ascii="Gill Sans MT"/>
          <w:sz w:val="16"/>
        </w:rPr>
        <w:t>Department of Public Health &amp;</w:t>
      </w:r>
    </w:p>
    <w:p w:rsidR="0080489A" w:rsidRDefault="0091324C">
      <w:pPr>
        <w:spacing w:line="244" w:lineRule="auto"/>
        <w:ind w:left="956"/>
        <w:rPr>
          <w:rFonts w:ascii="Gill Sans MT"/>
          <w:sz w:val="16"/>
        </w:rPr>
      </w:pPr>
      <w:r>
        <w:rPr>
          <w:rFonts w:ascii="Gill Sans MT"/>
          <w:sz w:val="16"/>
        </w:rPr>
        <w:t>Community Medicine, Tufts University School of Medicine, Boston, MA, USA</w:t>
      </w: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rPr>
          <w:rFonts w:ascii="Gill Sans MT"/>
          <w:sz w:val="18"/>
        </w:rPr>
      </w:pPr>
    </w:p>
    <w:p w:rsidR="0080489A" w:rsidRDefault="0080489A">
      <w:pPr>
        <w:pStyle w:val="BodyText"/>
        <w:spacing w:before="5"/>
        <w:rPr>
          <w:rFonts w:ascii="Gill Sans MT"/>
          <w:sz w:val="19"/>
        </w:rPr>
      </w:pPr>
    </w:p>
    <w:p w:rsidR="0080489A" w:rsidRDefault="0091324C">
      <w:pPr>
        <w:spacing w:line="244" w:lineRule="auto"/>
        <w:ind w:left="956" w:right="685"/>
        <w:rPr>
          <w:rFonts w:ascii="Gill Sans MT"/>
          <w:sz w:val="16"/>
        </w:rPr>
      </w:pPr>
      <w:r>
        <w:pict>
          <v:line id="_x0000_s2088" style="position:absolute;left:0;text-align:left;z-index:1120;mso-position-horizontal-relative:page" from="70.85pt,-6.8pt" to="206.95pt,-6.8pt" strokeweight=".5pt">
            <w10:wrap anchorx="page"/>
          </v:line>
        </w:pict>
      </w:r>
      <w:r>
        <w:rPr>
          <w:rFonts w:ascii="Gill Sans MT"/>
          <w:sz w:val="16"/>
        </w:rPr>
        <w:t>Correspondence: Jeffrey Fudin Remitigate, LLC</w:t>
      </w:r>
    </w:p>
    <w:p w:rsidR="0080489A" w:rsidRDefault="0091324C">
      <w:pPr>
        <w:spacing w:line="244" w:lineRule="auto"/>
        <w:ind w:left="956" w:right="1049"/>
        <w:rPr>
          <w:rFonts w:ascii="Gill Sans MT"/>
          <w:sz w:val="16"/>
        </w:rPr>
      </w:pPr>
      <w:r>
        <w:rPr>
          <w:rFonts w:ascii="Gill Sans MT"/>
          <w:sz w:val="16"/>
        </w:rPr>
        <w:t>357 Delaware Ave #214, Delmar, NY 12054, USA</w:t>
      </w:r>
    </w:p>
    <w:p w:rsidR="0080489A" w:rsidRDefault="0091324C">
      <w:pPr>
        <w:ind w:left="956"/>
        <w:rPr>
          <w:rFonts w:ascii="Gill Sans MT"/>
          <w:sz w:val="16"/>
        </w:rPr>
      </w:pPr>
      <w:hyperlink r:id="rId11">
        <w:r>
          <w:rPr>
            <w:rFonts w:ascii="Gill Sans MT"/>
            <w:sz w:val="16"/>
          </w:rPr>
          <w:t>Email Jeffrey.fudin@remitigate.com</w:t>
        </w:r>
      </w:hyperlink>
    </w:p>
    <w:p w:rsidR="0080489A" w:rsidRDefault="0091324C">
      <w:pPr>
        <w:pStyle w:val="Heading1"/>
        <w:spacing w:before="90"/>
        <w:ind w:left="279"/>
      </w:pPr>
      <w:r>
        <w:rPr>
          <w:b w:val="0"/>
        </w:rPr>
        <w:br w:type="column"/>
      </w:r>
      <w:r>
        <w:t>Introduction</w:t>
      </w:r>
    </w:p>
    <w:p w:rsidR="0080489A" w:rsidRDefault="0091324C">
      <w:pPr>
        <w:pStyle w:val="BodyText"/>
        <w:spacing w:before="29" w:line="288" w:lineRule="auto"/>
        <w:ind w:left="279" w:right="1074"/>
        <w:jc w:val="both"/>
        <w:rPr>
          <w:sz w:val="11"/>
        </w:rPr>
      </w:pPr>
      <w:r>
        <w:rPr>
          <w:spacing w:val="3"/>
        </w:rPr>
        <w:t xml:space="preserve">Morphine milligram </w:t>
      </w:r>
      <w:r>
        <w:t xml:space="preserve">equivalence </w:t>
      </w:r>
      <w:r>
        <w:rPr>
          <w:spacing w:val="2"/>
        </w:rPr>
        <w:t xml:space="preserve">(MME) </w:t>
      </w:r>
      <w:r>
        <w:t xml:space="preserve">and </w:t>
      </w:r>
      <w:r>
        <w:rPr>
          <w:spacing w:val="2"/>
        </w:rPr>
        <w:t xml:space="preserve">other comparable </w:t>
      </w:r>
      <w:r>
        <w:t xml:space="preserve">acronyms have been employed in federal pain guidelines and used </w:t>
      </w:r>
      <w:r>
        <w:rPr>
          <w:spacing w:val="-3"/>
        </w:rPr>
        <w:t xml:space="preserve">by </w:t>
      </w:r>
      <w:r>
        <w:t>policy makers to limit opioid prescribing.</w:t>
      </w:r>
      <w:r>
        <w:rPr>
          <w:position w:val="7"/>
          <w:sz w:val="11"/>
        </w:rPr>
        <w:t xml:space="preserve">1–5 </w:t>
      </w:r>
      <w:r>
        <w:t>On March 18, 2016, the Centers for D</w:t>
      </w:r>
      <w:r>
        <w:t>isease Control (CDC) released its Guideline for Prescribing Opioids for Chronic Pain.</w:t>
      </w:r>
      <w:r>
        <w:rPr>
          <w:position w:val="7"/>
          <w:sz w:val="11"/>
        </w:rPr>
        <w:t xml:space="preserve">1 </w:t>
      </w:r>
      <w:r>
        <w:t>The guidelines provided 12 recommendations for “primary care clinicians prescribing opioids for chronic pain outside of active cancer treatment, palliative care, and end</w:t>
      </w:r>
      <w:r>
        <w:t xml:space="preserve">-of-life care”. One of the CDC recommendations states that clinicians “should </w:t>
      </w:r>
      <w:r>
        <w:rPr>
          <w:spacing w:val="-3"/>
        </w:rPr>
        <w:t xml:space="preserve">avoid </w:t>
      </w:r>
      <w:r>
        <w:t xml:space="preserve">increasing dosage to </w:t>
      </w:r>
      <w:r>
        <w:rPr>
          <w:rFonts w:ascii="Symbol" w:hAnsi="Symbol"/>
        </w:rPr>
        <w:t></w:t>
      </w:r>
      <w:r>
        <w:t xml:space="preserve">90 MME/day or carefully justify a decision to titrate dosage to </w:t>
      </w:r>
      <w:r>
        <w:rPr>
          <w:rFonts w:ascii="Symbol" w:hAnsi="Symbol"/>
        </w:rPr>
        <w:t></w:t>
      </w:r>
      <w:r>
        <w:t xml:space="preserve">90 MME/day”. </w:t>
      </w:r>
      <w:r>
        <w:rPr>
          <w:position w:val="7"/>
          <w:sz w:val="11"/>
        </w:rPr>
        <w:t>1</w:t>
      </w:r>
    </w:p>
    <w:p w:rsidR="0080489A" w:rsidRDefault="0091324C">
      <w:pPr>
        <w:pStyle w:val="BodyText"/>
        <w:spacing w:line="292" w:lineRule="auto"/>
        <w:ind w:left="279" w:right="1071" w:firstLine="283"/>
        <w:jc w:val="both"/>
      </w:pPr>
      <w:r>
        <w:t>There has been controversy regarding the methodology used to develop t</w:t>
      </w:r>
      <w:r>
        <w:t>he</w:t>
      </w:r>
      <w:r>
        <w:rPr>
          <w:spacing w:val="-28"/>
        </w:rPr>
        <w:t xml:space="preserve"> </w:t>
      </w:r>
      <w:r>
        <w:t>CDC opioid</w:t>
      </w:r>
      <w:r>
        <w:rPr>
          <w:spacing w:val="-7"/>
        </w:rPr>
        <w:t xml:space="preserve"> </w:t>
      </w:r>
      <w:r>
        <w:t>prescribing</w:t>
      </w:r>
      <w:r>
        <w:rPr>
          <w:spacing w:val="-7"/>
        </w:rPr>
        <w:t xml:space="preserve"> </w:t>
      </w:r>
      <w:r>
        <w:t>guidelines,</w:t>
      </w:r>
      <w:r>
        <w:rPr>
          <w:position w:val="7"/>
          <w:sz w:val="11"/>
        </w:rPr>
        <w:t>6,7</w:t>
      </w:r>
      <w:r>
        <w:rPr>
          <w:spacing w:val="-3"/>
          <w:position w:val="7"/>
          <w:sz w:val="1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concern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guideline committees</w:t>
      </w:r>
      <w:r>
        <w:rPr>
          <w:spacing w:val="-20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t>domination</w:t>
      </w:r>
      <w:r>
        <w:rPr>
          <w:spacing w:val="-20"/>
        </w:rPr>
        <w:t xml:space="preserve"> </w:t>
      </w:r>
      <w:r>
        <w:rPr>
          <w:spacing w:val="-3"/>
        </w:rPr>
        <w:t>by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anti-opioid</w:t>
      </w:r>
      <w:r>
        <w:rPr>
          <w:spacing w:val="-20"/>
        </w:rPr>
        <w:t xml:space="preserve"> </w:t>
      </w:r>
      <w:r>
        <w:t>group,</w:t>
      </w:r>
      <w:r>
        <w:rPr>
          <w:spacing w:val="-20"/>
        </w:rPr>
        <w:t xml:space="preserve"> </w:t>
      </w:r>
      <w:r>
        <w:t>Physicians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Responsible Opioid Prescribing.</w:t>
      </w:r>
      <w:r>
        <w:rPr>
          <w:position w:val="7"/>
          <w:sz w:val="11"/>
        </w:rPr>
        <w:t xml:space="preserve">8 </w:t>
      </w:r>
      <w:r>
        <w:t>The CDC used the Grading of Recommendations, Assessment, Development, and Evaluation (GRADE) framework for producing evidence-based recommendations;</w:t>
      </w:r>
      <w:r>
        <w:rPr>
          <w:spacing w:val="-15"/>
        </w:rPr>
        <w:t xml:space="preserve"> </w:t>
      </w:r>
      <w:r>
        <w:rPr>
          <w:spacing w:val="-4"/>
        </w:rPr>
        <w:t>however,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guidelines</w:t>
      </w:r>
      <w:r>
        <w:rPr>
          <w:spacing w:val="-15"/>
        </w:rPr>
        <w:t xml:space="preserve"> </w:t>
      </w:r>
      <w:r>
        <w:t>deviated</w:t>
      </w:r>
      <w:r>
        <w:rPr>
          <w:spacing w:val="-15"/>
        </w:rPr>
        <w:t xml:space="preserve"> </w:t>
      </w:r>
      <w:r>
        <w:t>significantly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established GRADE</w:t>
      </w:r>
      <w:r>
        <w:rPr>
          <w:spacing w:val="-28"/>
        </w:rPr>
        <w:t xml:space="preserve"> </w:t>
      </w:r>
      <w:r>
        <w:rPr>
          <w:spacing w:val="-3"/>
        </w:rPr>
        <w:t>methodology</w:t>
      </w:r>
      <w:r>
        <w:rPr>
          <w:spacing w:val="-28"/>
        </w:rPr>
        <w:t xml:space="preserve"> </w:t>
      </w:r>
      <w:r>
        <w:t>without</w:t>
      </w:r>
      <w:r>
        <w:rPr>
          <w:spacing w:val="-28"/>
        </w:rPr>
        <w:t xml:space="preserve"> </w:t>
      </w:r>
      <w:r>
        <w:t>associated</w:t>
      </w:r>
      <w:r>
        <w:rPr>
          <w:spacing w:val="-28"/>
        </w:rPr>
        <w:t xml:space="preserve"> </w:t>
      </w:r>
      <w:r>
        <w:t>ju</w:t>
      </w:r>
      <w:r>
        <w:t>stification.</w:t>
      </w:r>
      <w:r>
        <w:rPr>
          <w:position w:val="7"/>
          <w:sz w:val="11"/>
        </w:rPr>
        <w:t>9</w:t>
      </w:r>
      <w:r>
        <w:rPr>
          <w:spacing w:val="-18"/>
          <w:position w:val="7"/>
          <w:sz w:val="11"/>
        </w:rPr>
        <w:t xml:space="preserve"> </w:t>
      </w:r>
      <w:r>
        <w:t>There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significant</w:t>
      </w:r>
      <w:r>
        <w:rPr>
          <w:spacing w:val="-28"/>
        </w:rPr>
        <w:t xml:space="preserve"> </w:t>
      </w:r>
      <w:r>
        <w:t>mismatch in the strength of the recommendations made in the guidelines and the supporting evidence. When considering that all recommendations were based on level 3 or 4 evidence yet eleven of the recommendations were as</w:t>
      </w:r>
      <w:r>
        <w:t>signed grade A, this is a major deviation from the National Clearing House guidelines on levels of evidence and grades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recommendations.</w:t>
      </w:r>
      <w:r>
        <w:rPr>
          <w:position w:val="7"/>
          <w:sz w:val="11"/>
        </w:rPr>
        <w:t>10</w:t>
      </w:r>
      <w:r>
        <w:rPr>
          <w:spacing w:val="-10"/>
          <w:position w:val="7"/>
          <w:sz w:val="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CDC</w:t>
      </w:r>
      <w:r>
        <w:rPr>
          <w:spacing w:val="-10"/>
        </w:rPr>
        <w:t xml:space="preserve"> </w:t>
      </w:r>
      <w:r>
        <w:t>guidelines</w:t>
      </w:r>
      <w:r>
        <w:rPr>
          <w:spacing w:val="-10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observation periods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basing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recommendations</w:t>
      </w:r>
      <w:r>
        <w:rPr>
          <w:spacing w:val="-7"/>
        </w:rPr>
        <w:t xml:space="preserve"> </w:t>
      </w:r>
      <w:r>
        <w:t>o</w:t>
      </w:r>
      <w:r>
        <w:t>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risks of opioids. According to the CDC guidelines, “No evidence shows a long-term ben- efit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opioids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opioids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outcomes examined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least</w:t>
      </w:r>
      <w:r>
        <w:rPr>
          <w:spacing w:val="-20"/>
        </w:rPr>
        <w:t xml:space="preserve"> </w:t>
      </w:r>
      <w:r>
        <w:t>1</w:t>
      </w:r>
      <w:r>
        <w:rPr>
          <w:spacing w:val="-20"/>
        </w:rPr>
        <w:t xml:space="preserve"> </w:t>
      </w:r>
      <w:r>
        <w:t>year</w:t>
      </w:r>
      <w:r>
        <w:rPr>
          <w:spacing w:val="-20"/>
        </w:rPr>
        <w:t xml:space="preserve"> </w:t>
      </w:r>
      <w:r>
        <w:t>later”.</w:t>
      </w:r>
      <w:r>
        <w:rPr>
          <w:position w:val="7"/>
          <w:sz w:val="11"/>
        </w:rPr>
        <w:t>1</w:t>
      </w:r>
      <w:r>
        <w:rPr>
          <w:spacing w:val="-15"/>
          <w:position w:val="7"/>
          <w:sz w:val="11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inconsistent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standards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 xml:space="preserve">analgesic study durations in chronic pain. The international harmonized standards adopted </w:t>
      </w:r>
      <w:r>
        <w:rPr>
          <w:spacing w:val="-3"/>
        </w:rPr>
        <w:t xml:space="preserve">by </w:t>
      </w:r>
      <w:r>
        <w:t>the</w:t>
      </w:r>
      <w:r>
        <w:rPr>
          <w:spacing w:val="-8"/>
        </w:rPr>
        <w:t xml:space="preserve"> </w:t>
      </w:r>
      <w:r>
        <w:t>United</w:t>
      </w:r>
      <w:r>
        <w:rPr>
          <w:spacing w:val="-8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chronic</w:t>
      </w:r>
      <w:r>
        <w:rPr>
          <w:spacing w:val="-8"/>
        </w:rPr>
        <w:t xml:space="preserve"> </w:t>
      </w:r>
      <w:r>
        <w:t>pain</w:t>
      </w:r>
      <w:r>
        <w:rPr>
          <w:spacing w:val="-8"/>
        </w:rPr>
        <w:t xml:space="preserve"> </w:t>
      </w:r>
      <w:r>
        <w:t>interventions</w:t>
      </w:r>
      <w:r>
        <w:rPr>
          <w:spacing w:val="-8"/>
        </w:rPr>
        <w:t xml:space="preserve"> </w:t>
      </w:r>
      <w:r>
        <w:t>recommend</w:t>
      </w:r>
      <w:r>
        <w:rPr>
          <w:spacing w:val="-8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weeks</w:t>
      </w:r>
      <w:r>
        <w:rPr>
          <w:spacing w:val="-8"/>
        </w:rPr>
        <w:t xml:space="preserve"> </w:t>
      </w:r>
      <w:r>
        <w:t>for efficacy assessment.</w:t>
      </w:r>
      <w:r>
        <w:rPr>
          <w:position w:val="7"/>
          <w:sz w:val="11"/>
        </w:rPr>
        <w:t xml:space="preserve">11 </w:t>
      </w:r>
      <w:r>
        <w:rPr>
          <w:spacing w:val="-6"/>
        </w:rPr>
        <w:t xml:space="preserve">Tayeb </w:t>
      </w:r>
      <w:r>
        <w:t>et al conducted a review evaluating analgesic trial</w:t>
      </w:r>
      <w:r>
        <w:rPr>
          <w:spacing w:val="-32"/>
        </w:rPr>
        <w:t xml:space="preserve"> </w:t>
      </w:r>
      <w:r>
        <w:t xml:space="preserve">dura- tions for opioids, antidepressants, anticonvulsants, nonsteroidal anti-inflammatory drugs, and behavioral </w:t>
      </w:r>
      <w:r>
        <w:rPr>
          <w:spacing w:val="-3"/>
        </w:rPr>
        <w:t>therapy.</w:t>
      </w:r>
      <w:r>
        <w:rPr>
          <w:spacing w:val="-3"/>
          <w:position w:val="7"/>
          <w:sz w:val="11"/>
        </w:rPr>
        <w:t xml:space="preserve">12 </w:t>
      </w:r>
      <w:r>
        <w:t>The authors found that nearly all trials had active treatment durations of 12 wee</w:t>
      </w:r>
      <w:r>
        <w:t xml:space="preserve">ks or less across 869 articles. Commenting on </w:t>
      </w:r>
      <w:r>
        <w:rPr>
          <w:spacing w:val="-6"/>
        </w:rPr>
        <w:t xml:space="preserve">CDC’s </w:t>
      </w:r>
      <w:r>
        <w:t xml:space="preserve">recommendation on nonopioid therapies, </w:t>
      </w:r>
      <w:r>
        <w:rPr>
          <w:spacing w:val="-6"/>
        </w:rPr>
        <w:t xml:space="preserve">Tayeb </w:t>
      </w:r>
      <w:r>
        <w:t>et al wrote, “if a one year minimum threshold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duration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active</w:t>
      </w:r>
      <w:r>
        <w:rPr>
          <w:spacing w:val="14"/>
        </w:rPr>
        <w:t xml:space="preserve"> </w:t>
      </w:r>
      <w:r>
        <w:t>treatment</w:t>
      </w:r>
      <w:r>
        <w:rPr>
          <w:spacing w:val="14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t>required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justify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</w:p>
    <w:p w:rsidR="0080489A" w:rsidRDefault="0080489A">
      <w:pPr>
        <w:spacing w:line="292" w:lineRule="auto"/>
        <w:jc w:val="both"/>
        <w:sectPr w:rsidR="0080489A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3644" w:space="40"/>
            <w:col w:w="8096"/>
          </w:cols>
        </w:sectPr>
      </w:pPr>
    </w:p>
    <w:p w:rsidR="0080489A" w:rsidRDefault="0080489A">
      <w:pPr>
        <w:pStyle w:val="BodyText"/>
      </w:pPr>
    </w:p>
    <w:p w:rsidR="0080489A" w:rsidRDefault="0080489A">
      <w:pPr>
        <w:pStyle w:val="BodyText"/>
        <w:spacing w:before="6"/>
        <w:rPr>
          <w:sz w:val="17"/>
        </w:rPr>
      </w:pPr>
    </w:p>
    <w:p w:rsidR="0080489A" w:rsidRDefault="0091324C"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86" style="width:487.8pt;height:.5pt;mso-position-horizontal-relative:char;mso-position-vertical-relative:line" coordsize="9756,10">
            <v:line id="_x0000_s2087" style="position:absolute" from="5,5" to="9751,5" strokeweight=".5pt"/>
            <w10:wrap type="none"/>
            <w10:anchorlock/>
          </v:group>
        </w:pict>
      </w:r>
    </w:p>
    <w:p w:rsidR="0080489A" w:rsidRDefault="0080489A">
      <w:pPr>
        <w:spacing w:line="20" w:lineRule="exact"/>
        <w:rPr>
          <w:sz w:val="2"/>
        </w:rPr>
        <w:sectPr w:rsidR="0080489A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80489A" w:rsidRDefault="0091324C">
      <w:pPr>
        <w:spacing w:before="27"/>
        <w:ind w:left="956"/>
        <w:rPr>
          <w:rFonts w:ascii="Gill Sans MT"/>
          <w:sz w:val="10"/>
        </w:rPr>
      </w:pP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12">
        <w:r>
          <w:rPr>
            <w:rFonts w:ascii="Gill Sans MT"/>
            <w:color w:val="B8BABC"/>
            <w:sz w:val="10"/>
          </w:rPr>
          <w:t>www.dovepress.com</w:t>
        </w:r>
      </w:hyperlink>
    </w:p>
    <w:p w:rsidR="0080489A" w:rsidRDefault="0091324C">
      <w:pPr>
        <w:tabs>
          <w:tab w:val="left" w:pos="1812"/>
        </w:tabs>
        <w:spacing w:before="55"/>
        <w:ind w:left="956"/>
        <w:rPr>
          <w:sz w:val="12"/>
        </w:rPr>
      </w:pPr>
      <w:hyperlink r:id="rId13">
        <w:r>
          <w:rPr>
            <w:rFonts w:ascii="Book Antiqua"/>
            <w:color w:val="3785AD"/>
            <w:spacing w:val="-1"/>
            <w:w w:val="110"/>
            <w:sz w:val="12"/>
          </w:rPr>
          <w:t>Dove</w:t>
        </w:r>
        <w:r>
          <w:rPr>
            <w:rFonts w:ascii="Book Antiqua"/>
            <w:color w:val="B8BABC"/>
            <w:spacing w:val="-1"/>
            <w:w w:val="110"/>
            <w:sz w:val="12"/>
          </w:rPr>
          <w:t>press</w:t>
        </w:r>
        <w:r>
          <w:rPr>
            <w:rFonts w:ascii="Book Antiqua"/>
            <w:color w:val="B8BABC"/>
            <w:spacing w:val="-1"/>
            <w:w w:val="110"/>
            <w:sz w:val="12"/>
          </w:rPr>
          <w:tab/>
        </w:r>
        <w:r>
          <w:rPr>
            <w:color w:val="B8BABC"/>
            <w:position w:val="-8"/>
            <w:sz w:val="12"/>
          </w:rPr>
          <w:t xml:space="preserve">   </w:t>
        </w:r>
        <w:r>
          <w:rPr>
            <w:color w:val="B8BABC"/>
            <w:spacing w:val="-14"/>
            <w:position w:val="-8"/>
            <w:sz w:val="12"/>
          </w:rPr>
          <w:t xml:space="preserve">    </w:t>
        </w:r>
        <w:r>
          <w:rPr>
            <w:color w:val="B8BABC"/>
            <w:spacing w:val="-4"/>
            <w:position w:val="-8"/>
            <w:sz w:val="12"/>
          </w:rPr>
          <w:t xml:space="preserve"> </w:t>
        </w:r>
        <w:r>
          <w:rPr>
            <w:color w:val="B8BABC"/>
            <w:spacing w:val="-4"/>
            <w:position w:val="-7"/>
            <w:sz w:val="12"/>
          </w:rPr>
          <w:t xml:space="preserve">   </w:t>
        </w:r>
        <w:r>
          <w:rPr>
            <w:color w:val="B8BABC"/>
            <w:spacing w:val="6"/>
            <w:position w:val="-7"/>
            <w:sz w:val="12"/>
          </w:rPr>
          <w:t xml:space="preserve"> </w:t>
        </w:r>
      </w:hyperlink>
      <w:r>
        <w:rPr>
          <w:rFonts w:ascii="Book Antiqua"/>
          <w:noProof/>
          <w:color w:val="B8BABC"/>
          <w:position w:val="-8"/>
          <w:sz w:val="12"/>
        </w:rPr>
        <w:drawing>
          <wp:inline distT="0" distB="0" distL="0" distR="0">
            <wp:extent cx="128803" cy="1288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03" cy="1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B8BABC"/>
          <w:spacing w:val="-14"/>
          <w:position w:val="-8"/>
          <w:sz w:val="12"/>
        </w:rPr>
        <w:drawing>
          <wp:inline distT="0" distB="0" distL="0" distR="0">
            <wp:extent cx="136727" cy="1367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27" cy="1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B8BABC"/>
          <w:spacing w:val="-4"/>
          <w:position w:val="-8"/>
          <w:sz w:val="12"/>
        </w:rPr>
        <w:drawing>
          <wp:inline distT="0" distB="0" distL="0" distR="0">
            <wp:extent cx="128816" cy="12881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" cy="1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B8BABC"/>
          <w:spacing w:val="6"/>
          <w:position w:val="-7"/>
          <w:sz w:val="12"/>
        </w:rPr>
        <w:drawing>
          <wp:inline distT="0" distB="0" distL="0" distR="0">
            <wp:extent cx="128561" cy="12856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61" cy="1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9A" w:rsidRDefault="0091324C">
      <w:pPr>
        <w:spacing w:before="22"/>
        <w:ind w:left="956"/>
        <w:rPr>
          <w:rFonts w:ascii="Gill Sans MT"/>
          <w:b/>
          <w:sz w:val="10"/>
        </w:rPr>
      </w:pPr>
      <w:hyperlink r:id="rId18">
        <w:r>
          <w:rPr>
            <w:rFonts w:ascii="Gill Sans MT"/>
            <w:b/>
            <w:color w:val="808285"/>
            <w:sz w:val="10"/>
          </w:rPr>
          <w:t>http:</w:t>
        </w:r>
        <w:r>
          <w:rPr>
            <w:rFonts w:ascii="Gill Sans MT"/>
            <w:b/>
            <w:color w:val="B8BABC"/>
            <w:sz w:val="10"/>
          </w:rPr>
          <w:t>//dx.doi.org/10.2147/JPR.S155444</w:t>
        </w:r>
      </w:hyperlink>
    </w:p>
    <w:p w:rsidR="0080489A" w:rsidRDefault="0091324C">
      <w:pPr>
        <w:tabs>
          <w:tab w:val="right" w:pos="7669"/>
        </w:tabs>
        <w:spacing w:before="6" w:line="230" w:lineRule="exact"/>
        <w:ind w:left="930"/>
        <w:rPr>
          <w:rFonts w:ascii="Gill Sans MT" w:hAnsi="Gill Sans MT"/>
          <w:b/>
          <w:sz w:val="20"/>
        </w:rPr>
      </w:pPr>
      <w:r>
        <w:br w:type="column"/>
      </w:r>
      <w:r>
        <w:rPr>
          <w:rFonts w:ascii="Gill Sans MT" w:hAnsi="Gill Sans MT"/>
          <w:sz w:val="16"/>
        </w:rPr>
        <w:t>Journal of Pain Research</w:t>
      </w:r>
      <w:r>
        <w:rPr>
          <w:rFonts w:ascii="Gill Sans MT" w:hAnsi="Gill Sans MT"/>
          <w:spacing w:val="42"/>
          <w:sz w:val="16"/>
        </w:rPr>
        <w:t xml:space="preserve"> </w:t>
      </w:r>
      <w:r>
        <w:rPr>
          <w:rFonts w:ascii="Gill Sans MT" w:hAnsi="Gill Sans MT"/>
          <w:sz w:val="16"/>
        </w:rPr>
        <w:t>2018:11</w:t>
      </w:r>
      <w:r>
        <w:rPr>
          <w:rFonts w:ascii="Gill Sans MT" w:hAnsi="Gill Sans MT"/>
          <w:spacing w:val="-1"/>
          <w:sz w:val="16"/>
        </w:rPr>
        <w:t xml:space="preserve"> </w:t>
      </w:r>
      <w:r>
        <w:rPr>
          <w:rFonts w:ascii="Gill Sans MT" w:hAnsi="Gill Sans MT"/>
          <w:sz w:val="16"/>
        </w:rPr>
        <w:t>1–4</w:t>
      </w:r>
      <w:r>
        <w:rPr>
          <w:rFonts w:ascii="Gill Sans MT" w:hAnsi="Gill Sans MT"/>
          <w:b/>
          <w:position w:val="-2"/>
          <w:sz w:val="20"/>
        </w:rPr>
        <w:tab/>
        <w:t>1</w:t>
      </w:r>
    </w:p>
    <w:p w:rsidR="0080489A" w:rsidRDefault="0091324C">
      <w:pPr>
        <w:spacing w:before="6" w:line="130" w:lineRule="exact"/>
        <w:ind w:left="1771" w:right="1128" w:hanging="2"/>
        <w:rPr>
          <w:rFonts w:ascii="Gill Sans MT Condensed" w:hAnsi="Gill Sans MT Condensed"/>
          <w:sz w:val="12"/>
        </w:rPr>
      </w:pPr>
      <w:r>
        <w:pict>
          <v:group id="_x0000_s2075" style="position:absolute;left:0;text-align:left;margin-left:221.05pt;margin-top:-.7pt;width:39.45pt;height:13.7pt;z-index:-9808;mso-position-horizontal-relative:page" coordorigin="4421,-14" coordsize="789,274">
            <v:rect id="_x0000_s2085" style="position:absolute;left:4427;top:11;width:776;height:244" fillcolor="#aab2ab" stroked="f"/>
            <v:line id="_x0000_s2084" style="position:absolute" from="4427,5" to="5203,5" strokecolor="#aab2ab" strokeweight=".6pt"/>
            <v:line id="_x0000_s2083" style="position:absolute" from="4427,-5" to="5203,-5" strokecolor="#aab2ab" strokeweight=".4pt"/>
            <v:line id="_x0000_s2082" style="position:absolute" from="4428,-10" to="5005,-10" strokecolor="#aab2ab" strokeweight=".1pt"/>
            <v:shape id="_x0000_s2081" style="position:absolute;left:5194;top:-11;width:10;height:2" coordorigin="5194,-11" coordsize="10,2" path="m5203,-11r-9,2l5203,-9r,-2xe" fillcolor="#aab2a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left:4457;top:12;width:204;height:204">
              <v:imagedata r:id="rId19" o:title=""/>
            </v:shape>
            <v:shape id="_x0000_s2079" style="position:absolute;left:4423;top:-14;width:782;height:274" coordorigin="4423,-14" coordsize="782,274" o:spt="100" adj="0,,0" path="m5198,-14r-768,l4423,-7r,266l4424,260r779,l5205,259r,-21l4559,238r-31,-4l4499,222r-23,-19l4458,178r-28,l4430,-3r3,-4l5205,-7r,l5198,-14xm5205,-7r-10,l5198,-3r,181l4660,178r-18,25l4619,222r-29,12l4559,238r646,l5205,-7xe" fillcolor="black" stroked="f">
              <v:stroke joinstyle="round"/>
              <v:formulas/>
              <v:path arrowok="t" o:connecttype="segments"/>
            </v:shape>
            <v:shape id="_x0000_s2078" style="position:absolute;left:4794;top:199;width:267;height:46" coordorigin="4794,199" coordsize="267,46" o:spt="100" adj="0,,0" path="m4830,228r-1,-3l4828,224r-2,-2l4824,220r-2,-1l4824,218r1,-1l4825,217r2,-3l4828,213r,-6l4827,207r,l4826,204r-1,-1l4823,201r-2,l4820,200r,28l4820,232r-1,1l4819,234r-2,1l4817,235r-1,l4815,235r-2,1l4803,236r,-12l4815,224r2,l4820,226r,2l4820,200r-2,l4818,214r,1l4816,217r-2,l4803,217r,-10l4814,207r1,l4816,208r1,l4818,209r,1l4818,214r,-14l4818,200r-4,l4794,200r,43l4816,243r2,l4822,242r2,-1l4827,239r1,-1l4829,236r,-1l4829,234r1,-1l4830,228t43,-28l4862,200r-10,17l4842,200r-11,l4847,226r,17l4857,243r,-17l4863,217r10,-17m5013,200r-9,l5004,229r-9,-15l4986,200r-9,l4977,243r9,l4986,214r18,29l5013,243r,-14l5013,200t47,26l5051,226r-1,3l5049,231r-3,4l5044,236r-5,l5037,235r-3,-1l5033,233r-2,-3l5030,228r-1,-3l5029,225r,-7l5030,214r1,-1l5033,210r1,-1l5037,207r2,l5043,207r2,1l5046,208r2,2l5049,210r1,2l5050,213r,1l5059,214r,-2l5058,209r-1,-2l5056,206r-1,-2l5052,201r-2,-1l5045,199r-2,l5038,199r-3,l5029,202r-2,1l5023,207r-1,2l5022,210r-2,5l5020,218r,7l5020,228r2,5l5023,235r4,4l5029,241r6,2l5038,244r5,l5046,243r4,-1l5052,241r4,-3l5057,236r,l5059,231r1,-2l5060,226e" stroked="f">
              <v:stroke joinstyle="round"/>
              <v:formulas/>
              <v:path arrowok="t" o:connecttype="segments"/>
            </v:shape>
            <v:shape id="_x0000_s2077" type="#_x0000_t75" style="position:absolute;left:4945;top:8;width:151;height:151">
              <v:imagedata r:id="rId20" o:title=""/>
            </v:shape>
            <v:shape id="_x0000_s2076" type="#_x0000_t75" style="position:absolute;left:4760;top:8;width:151;height:151">
              <v:imagedata r:id="rId21" o:title=""/>
            </v:shape>
            <w10:wrap anchorx="page"/>
          </v:group>
        </w:pict>
      </w:r>
      <w:r>
        <w:rPr>
          <w:rFonts w:ascii="Gill Sans MT Condensed" w:hAnsi="Gill Sans MT Condensed"/>
          <w:sz w:val="12"/>
        </w:rPr>
        <w:t>©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2018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Fudin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et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al.</w:t>
      </w:r>
      <w:r>
        <w:rPr>
          <w:rFonts w:ascii="Gill Sans MT Condensed" w:hAnsi="Gill Sans MT Condensed"/>
          <w:spacing w:val="-2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This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work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is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published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and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licensed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pacing w:val="-3"/>
          <w:sz w:val="12"/>
        </w:rPr>
        <w:t>by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Dove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Medical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Press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Limited.</w:t>
      </w:r>
      <w:r>
        <w:rPr>
          <w:rFonts w:ascii="Gill Sans MT Condensed" w:hAnsi="Gill Sans MT Condensed"/>
          <w:spacing w:val="-2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full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terms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of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this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license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are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pacing w:val="-2"/>
          <w:sz w:val="12"/>
        </w:rPr>
        <w:t>available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at</w:t>
      </w:r>
      <w:r>
        <w:rPr>
          <w:rFonts w:ascii="Gill Sans MT Condensed" w:hAnsi="Gill Sans MT Condensed"/>
          <w:spacing w:val="-11"/>
          <w:sz w:val="12"/>
        </w:rPr>
        <w:t xml:space="preserve"> </w:t>
      </w:r>
      <w:hyperlink r:id="rId22">
        <w:r>
          <w:rPr>
            <w:rFonts w:ascii="Gill Sans MT Condensed" w:hAnsi="Gill Sans MT Condensed"/>
            <w:sz w:val="12"/>
          </w:rPr>
          <w:t>https://www.do</w:t>
        </w:r>
      </w:hyperlink>
      <w:r>
        <w:rPr>
          <w:rFonts w:ascii="Gill Sans MT Condensed" w:hAnsi="Gill Sans MT Condensed"/>
          <w:sz w:val="12"/>
        </w:rPr>
        <w:t>vepress</w:t>
      </w:r>
      <w:hyperlink r:id="rId23">
        <w:r>
          <w:rPr>
            <w:rFonts w:ascii="Gill Sans MT Condensed" w:hAnsi="Gill Sans MT Condensed"/>
            <w:sz w:val="12"/>
          </w:rPr>
          <w:t>.com/terms</w:t>
        </w:r>
      </w:hyperlink>
      <w:r>
        <w:rPr>
          <w:rFonts w:ascii="Gill Sans MT Condensed" w:hAnsi="Gill Sans MT Condensed"/>
          <w:sz w:val="12"/>
        </w:rPr>
        <w:t>. php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and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incorporate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Creative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Commons</w:t>
      </w:r>
      <w:r>
        <w:rPr>
          <w:rFonts w:ascii="Gill Sans MT Condensed" w:hAnsi="Gill Sans MT Condensed"/>
          <w:spacing w:val="-14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Attribution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–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Non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Commercial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(unported,</w:t>
      </w:r>
      <w:r>
        <w:rPr>
          <w:rFonts w:ascii="Gill Sans MT Condensed" w:hAnsi="Gill Sans MT Condensed"/>
          <w:spacing w:val="-2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v3.0)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License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hyperlink r:id="rId24">
        <w:r>
          <w:rPr>
            <w:rFonts w:ascii="Gill Sans MT Condensed" w:hAnsi="Gill Sans MT Condensed"/>
            <w:spacing w:val="-3"/>
            <w:sz w:val="12"/>
          </w:rPr>
          <w:t>(http://creativecommons.org/licenses/by-nc/3.0/).</w:t>
        </w:r>
      </w:hyperlink>
      <w:r>
        <w:rPr>
          <w:rFonts w:ascii="Gill Sans MT Condensed" w:hAnsi="Gill Sans MT Condensed"/>
          <w:spacing w:val="-2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By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accessing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z w:val="12"/>
        </w:rPr>
        <w:t>the</w:t>
      </w:r>
      <w:r>
        <w:rPr>
          <w:rFonts w:ascii="Gill Sans MT Condensed" w:hAnsi="Gill Sans MT Condensed"/>
          <w:spacing w:val="-10"/>
          <w:sz w:val="12"/>
        </w:rPr>
        <w:t xml:space="preserve"> </w:t>
      </w:r>
      <w:r>
        <w:rPr>
          <w:rFonts w:ascii="Gill Sans MT Condensed" w:hAnsi="Gill Sans MT Condensed"/>
          <w:spacing w:val="-3"/>
          <w:sz w:val="12"/>
        </w:rPr>
        <w:t>work</w:t>
      </w:r>
    </w:p>
    <w:p w:rsidR="0080489A" w:rsidRDefault="0091324C">
      <w:pPr>
        <w:spacing w:line="130" w:lineRule="exact"/>
        <w:ind w:left="930" w:right="1128"/>
        <w:rPr>
          <w:rFonts w:ascii="Gill Sans MT Condensed"/>
          <w:sz w:val="12"/>
        </w:rPr>
      </w:pPr>
      <w:r>
        <w:rPr>
          <w:rFonts w:ascii="Gill Sans MT Condensed"/>
          <w:sz w:val="12"/>
        </w:rPr>
        <w:t>you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pacing w:val="-3"/>
          <w:sz w:val="12"/>
        </w:rPr>
        <w:t>hereby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accept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pacing w:val="-3"/>
          <w:sz w:val="12"/>
        </w:rPr>
        <w:t>Terms.</w:t>
      </w:r>
      <w:r>
        <w:rPr>
          <w:rFonts w:ascii="Gill Sans MT Condensed"/>
          <w:spacing w:val="-21"/>
          <w:sz w:val="12"/>
        </w:rPr>
        <w:t xml:space="preserve"> </w:t>
      </w:r>
      <w:r>
        <w:rPr>
          <w:rFonts w:ascii="Gill Sans MT Condensed"/>
          <w:sz w:val="12"/>
        </w:rPr>
        <w:t>Non-commercial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uses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work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are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permitted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without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pacing w:val="-2"/>
          <w:sz w:val="12"/>
        </w:rPr>
        <w:t>any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further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permission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from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Dove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Medical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Press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Limited,</w:t>
      </w:r>
      <w:r>
        <w:rPr>
          <w:rFonts w:ascii="Gill Sans MT Condensed"/>
          <w:spacing w:val="-21"/>
          <w:sz w:val="12"/>
        </w:rPr>
        <w:t xml:space="preserve"> </w:t>
      </w:r>
      <w:r>
        <w:rPr>
          <w:rFonts w:ascii="Gill Sans MT Condensed"/>
          <w:sz w:val="12"/>
        </w:rPr>
        <w:t>provided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the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work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is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properly</w:t>
      </w:r>
      <w:r>
        <w:rPr>
          <w:rFonts w:ascii="Gill Sans MT Condensed"/>
          <w:spacing w:val="-11"/>
          <w:sz w:val="12"/>
        </w:rPr>
        <w:t xml:space="preserve"> </w:t>
      </w:r>
      <w:r>
        <w:rPr>
          <w:rFonts w:ascii="Gill Sans MT Condensed"/>
          <w:sz w:val="12"/>
        </w:rPr>
        <w:t>attributed.</w:t>
      </w:r>
      <w:r>
        <w:rPr>
          <w:rFonts w:ascii="Gill Sans MT Condensed"/>
          <w:spacing w:val="-21"/>
          <w:sz w:val="12"/>
        </w:rPr>
        <w:t xml:space="preserve"> </w:t>
      </w:r>
      <w:r>
        <w:rPr>
          <w:rFonts w:ascii="Gill Sans MT Condensed"/>
          <w:spacing w:val="-4"/>
          <w:sz w:val="12"/>
        </w:rPr>
        <w:t xml:space="preserve">For </w:t>
      </w:r>
      <w:r>
        <w:rPr>
          <w:rFonts w:ascii="Gill Sans MT Condensed"/>
          <w:sz w:val="12"/>
        </w:rPr>
        <w:t>permission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for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commercial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use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this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work,</w:t>
      </w:r>
      <w:r>
        <w:rPr>
          <w:rFonts w:ascii="Gill Sans MT Condensed"/>
          <w:spacing w:val="-23"/>
          <w:sz w:val="12"/>
        </w:rPr>
        <w:t xml:space="preserve"> </w:t>
      </w:r>
      <w:r>
        <w:rPr>
          <w:rFonts w:ascii="Gill Sans MT Condensed"/>
          <w:sz w:val="12"/>
        </w:rPr>
        <w:t>please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see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paragraphs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4.2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and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5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of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z w:val="12"/>
        </w:rPr>
        <w:t>our</w:t>
      </w:r>
      <w:r>
        <w:rPr>
          <w:rFonts w:ascii="Gill Sans MT Condensed"/>
          <w:spacing w:val="-15"/>
          <w:sz w:val="12"/>
        </w:rPr>
        <w:t xml:space="preserve"> </w:t>
      </w:r>
      <w:r>
        <w:rPr>
          <w:rFonts w:ascii="Gill Sans MT Condensed"/>
          <w:spacing w:val="-3"/>
          <w:sz w:val="12"/>
        </w:rPr>
        <w:t>Terms</w:t>
      </w:r>
      <w:r>
        <w:rPr>
          <w:rFonts w:ascii="Gill Sans MT Condensed"/>
          <w:spacing w:val="-15"/>
          <w:sz w:val="12"/>
        </w:rPr>
        <w:t xml:space="preserve"> </w:t>
      </w:r>
      <w:hyperlink r:id="rId25">
        <w:r>
          <w:rPr>
            <w:rFonts w:ascii="Gill Sans MT Condensed"/>
            <w:sz w:val="12"/>
          </w:rPr>
          <w:t>(https://www.do</w:t>
        </w:r>
      </w:hyperlink>
      <w:r>
        <w:rPr>
          <w:rFonts w:ascii="Gill Sans MT Condensed"/>
          <w:sz w:val="12"/>
        </w:rPr>
        <w:t>vepress</w:t>
      </w:r>
      <w:hyperlink r:id="rId26">
        <w:r>
          <w:rPr>
            <w:rFonts w:ascii="Gill Sans MT Condensed"/>
            <w:sz w:val="12"/>
          </w:rPr>
          <w:t>.com/terms.php).</w:t>
        </w:r>
      </w:hyperlink>
    </w:p>
    <w:p w:rsidR="0080489A" w:rsidRDefault="0080489A">
      <w:pPr>
        <w:spacing w:line="130" w:lineRule="exact"/>
        <w:rPr>
          <w:rFonts w:ascii="Gill Sans MT Condensed"/>
          <w:sz w:val="12"/>
        </w:rPr>
        <w:sectPr w:rsidR="0080489A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2993" w:space="40"/>
            <w:col w:w="8747"/>
          </w:cols>
        </w:sectPr>
      </w:pPr>
    </w:p>
    <w:p w:rsidR="0080489A" w:rsidRDefault="0091324C">
      <w:pPr>
        <w:spacing w:before="95"/>
        <w:ind w:left="617"/>
        <w:rPr>
          <w:rFonts w:ascii="Gill Sans MT"/>
          <w:sz w:val="16"/>
        </w:rPr>
      </w:pPr>
      <w:r>
        <w:lastRenderedPageBreak/>
        <w:pict>
          <v:line id="_x0000_s2074" style="position:absolute;left:0;text-align:left;z-index:1240;mso-position-horizontal-relative:page" from="53.85pt,15.95pt" to="541.15pt,15.95pt" strokeweight=".5pt">
            <w10:wrap anchorx="page"/>
          </v:line>
        </w:pict>
      </w:r>
      <w:r>
        <w:rPr>
          <w:rFonts w:ascii="Gill Sans MT"/>
          <w:sz w:val="16"/>
        </w:rPr>
        <w:t>Fudin et al</w:t>
      </w:r>
    </w:p>
    <w:p w:rsidR="0080489A" w:rsidRDefault="0080489A">
      <w:pPr>
        <w:pStyle w:val="BodyText"/>
        <w:spacing w:before="8"/>
        <w:rPr>
          <w:rFonts w:ascii="Gill Sans MT"/>
          <w:sz w:val="24"/>
        </w:rPr>
      </w:pPr>
    </w:p>
    <w:p w:rsidR="0080489A" w:rsidRDefault="0091324C">
      <w:pPr>
        <w:pStyle w:val="BodyText"/>
        <w:spacing w:line="292" w:lineRule="auto"/>
        <w:ind w:left="617" w:right="-9"/>
        <w:rPr>
          <w:sz w:val="11"/>
        </w:rPr>
      </w:pPr>
      <w:r>
        <w:t>major typical therapies for chronic pain, then none of these</w:t>
      </w:r>
      <w:r>
        <w:t xml:space="preserve"> </w:t>
      </w:r>
      <w:r>
        <w:t>nonopioid therapies could be recommended.”</w:t>
      </w:r>
      <w:r>
        <w:rPr>
          <w:position w:val="7"/>
          <w:sz w:val="11"/>
        </w:rPr>
        <w:t>12</w:t>
      </w:r>
    </w:p>
    <w:p w:rsidR="0080489A" w:rsidRDefault="0091324C">
      <w:pPr>
        <w:spacing w:before="90"/>
        <w:ind w:left="243" w:firstLine="3911"/>
        <w:rPr>
          <w:rFonts w:ascii="Book Antiqua"/>
          <w:sz w:val="16"/>
        </w:rPr>
      </w:pPr>
      <w:r>
        <w:br w:type="column"/>
      </w:r>
      <w:hyperlink r:id="rId27">
        <w:r>
          <w:rPr>
            <w:rFonts w:ascii="Book Antiqua"/>
            <w:color w:val="3785AD"/>
            <w:w w:val="110"/>
            <w:sz w:val="16"/>
          </w:rPr>
          <w:t>Dove</w:t>
        </w:r>
        <w:r>
          <w:rPr>
            <w:rFonts w:ascii="Book Antiqua"/>
            <w:color w:val="B8BABC"/>
            <w:w w:val="110"/>
            <w:sz w:val="16"/>
          </w:rPr>
          <w:t>press</w:t>
        </w:r>
      </w:hyperlink>
    </w:p>
    <w:p w:rsidR="0080489A" w:rsidRDefault="0080489A">
      <w:pPr>
        <w:pStyle w:val="BodyText"/>
        <w:spacing w:before="4"/>
        <w:rPr>
          <w:rFonts w:ascii="Book Antiqua"/>
          <w:sz w:val="21"/>
        </w:rPr>
      </w:pPr>
    </w:p>
    <w:p w:rsidR="0080489A" w:rsidRDefault="0091324C">
      <w:pPr>
        <w:spacing w:line="276" w:lineRule="auto"/>
        <w:ind w:left="243" w:right="1085"/>
        <w:rPr>
          <w:rFonts w:ascii="Gill Sans MT"/>
          <w:sz w:val="10"/>
        </w:rPr>
      </w:pPr>
      <w:r>
        <w:rPr>
          <w:rFonts w:ascii="Gill Sans MT"/>
          <w:b/>
          <w:sz w:val="18"/>
        </w:rPr>
        <w:t xml:space="preserve">Table 1 </w:t>
      </w:r>
      <w:r>
        <w:rPr>
          <w:rFonts w:ascii="Gill Sans MT"/>
          <w:sz w:val="18"/>
        </w:rPr>
        <w:t>Methadone MME as calculated by the CDC Opioid Guideline Mobile App</w:t>
      </w:r>
      <w:r>
        <w:rPr>
          <w:rFonts w:ascii="Gill Sans MT"/>
          <w:position w:val="6"/>
          <w:sz w:val="10"/>
        </w:rPr>
        <w:t>13</w:t>
      </w:r>
    </w:p>
    <w:p w:rsidR="0080489A" w:rsidRDefault="0080489A">
      <w:pPr>
        <w:pStyle w:val="BodyText"/>
        <w:spacing w:before="2"/>
        <w:rPr>
          <w:rFonts w:ascii="Gill Sans MT"/>
          <w:sz w:val="3"/>
        </w:rPr>
      </w:pPr>
    </w:p>
    <w:p w:rsidR="0080489A" w:rsidRDefault="0091324C">
      <w:pPr>
        <w:pStyle w:val="BodyText"/>
        <w:spacing w:line="20" w:lineRule="exact"/>
        <w:ind w:left="233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>
          <v:group id="_x0000_s2071" style="width:237.55pt;height:1pt;mso-position-horizontal-relative:char;mso-position-vertical-relative:line" coordsize="4751,20">
            <v:line id="_x0000_s2073" style="position:absolute" from="10,10" to="2743,10" strokeweight="1pt"/>
            <v:line id="_x0000_s2072" style="position:absolute" from="2743,10" to="4741,10" strokeweight="1pt"/>
            <w10:wrap type="none"/>
            <w10:anchorlock/>
          </v:group>
        </w:pict>
      </w:r>
    </w:p>
    <w:p w:rsidR="0080489A" w:rsidRDefault="0091324C">
      <w:pPr>
        <w:spacing w:before="32"/>
        <w:ind w:left="243"/>
        <w:rPr>
          <w:rFonts w:ascii="Gill Sans MT"/>
          <w:b/>
          <w:sz w:val="16"/>
        </w:rPr>
      </w:pPr>
      <w:r>
        <w:pict>
          <v:group id="_x0000_s2068" style="position:absolute;left:0;text-align:left;margin-left:304.35pt;margin-top:12.8pt;width:237.05pt;height:.5pt;z-index:1264;mso-position-horizontal-relative:page" coordorigin="6087,256" coordsize="4741,10">
            <v:line id="_x0000_s2070" style="position:absolute" from="6092,261" to="8825,261" strokeweight=".5pt"/>
            <v:line id="_x0000_s2069" style="position:absolute" from="8825,261" to="10823,261" strokeweight=".5pt"/>
            <w10:wrap anchorx="page"/>
          </v:group>
        </w:pict>
      </w:r>
      <w:r>
        <w:rPr>
          <w:rFonts w:ascii="Gill Sans MT"/>
          <w:b/>
          <w:sz w:val="16"/>
        </w:rPr>
        <w:t>Guideline resources: CDC Opioid Guideline Mobile App</w:t>
      </w:r>
    </w:p>
    <w:p w:rsidR="0080489A" w:rsidRDefault="0080489A">
      <w:pPr>
        <w:rPr>
          <w:rFonts w:ascii="Gill Sans MT"/>
          <w:sz w:val="16"/>
        </w:rPr>
        <w:sectPr w:rsidR="0080489A">
          <w:pgSz w:w="12240" w:h="15840"/>
          <w:pgMar w:top="480" w:right="0" w:bottom="0" w:left="460" w:header="0" w:footer="0" w:gutter="0"/>
          <w:cols w:num="2" w:space="720" w:equalWidth="0">
            <w:col w:w="5349" w:space="40"/>
            <w:col w:w="6391"/>
          </w:cols>
        </w:sectPr>
      </w:pPr>
    </w:p>
    <w:p w:rsidR="0080489A" w:rsidRDefault="0091324C">
      <w:pPr>
        <w:pStyle w:val="Heading1"/>
        <w:spacing w:before="25"/>
        <w:ind w:left="617"/>
        <w:jc w:val="left"/>
      </w:pPr>
      <w:r>
        <w:t>CDC MME calculator</w:t>
      </w:r>
    </w:p>
    <w:p w:rsidR="0080489A" w:rsidRDefault="0091324C">
      <w:pPr>
        <w:pStyle w:val="BodyText"/>
        <w:spacing w:before="28" w:line="197" w:lineRule="exact"/>
        <w:ind w:left="617"/>
      </w:pPr>
      <w:r>
        <w:t>Along with the strategies employed by  MME   prescribing</w:t>
      </w:r>
    </w:p>
    <w:p w:rsidR="0080489A" w:rsidRDefault="0091324C">
      <w:pPr>
        <w:spacing w:before="85" w:line="285" w:lineRule="auto"/>
        <w:ind w:left="244" w:right="-19"/>
        <w:rPr>
          <w:rFonts w:ascii="Gill Sans MT"/>
          <w:b/>
          <w:sz w:val="16"/>
        </w:rPr>
      </w:pPr>
      <w:r>
        <w:br w:type="column"/>
      </w:r>
      <w:r>
        <w:rPr>
          <w:rFonts w:ascii="Gill Sans MT"/>
          <w:b/>
          <w:sz w:val="16"/>
        </w:rPr>
        <w:t>Methadone daily dose (mg)</w:t>
      </w:r>
    </w:p>
    <w:p w:rsidR="0080489A" w:rsidRDefault="0091324C">
      <w:pPr>
        <w:spacing w:before="85" w:line="285" w:lineRule="auto"/>
        <w:ind w:left="617" w:right="1907"/>
        <w:rPr>
          <w:rFonts w:ascii="Gill Sans MT"/>
          <w:b/>
          <w:sz w:val="16"/>
        </w:rPr>
      </w:pPr>
      <w:r>
        <w:br w:type="column"/>
      </w:r>
      <w:r>
        <w:rPr>
          <w:rFonts w:ascii="Gill Sans MT"/>
          <w:b/>
          <w:sz w:val="16"/>
        </w:rPr>
        <w:t>Morphine milligram equivalent (mg)</w:t>
      </w:r>
    </w:p>
    <w:p w:rsidR="0080489A" w:rsidRDefault="0080489A">
      <w:pPr>
        <w:spacing w:line="285" w:lineRule="auto"/>
        <w:rPr>
          <w:rFonts w:ascii="Gill Sans MT"/>
          <w:sz w:val="16"/>
        </w:rPr>
        <w:sectPr w:rsidR="0080489A">
          <w:type w:val="continuous"/>
          <w:pgSz w:w="12240" w:h="15840"/>
          <w:pgMar w:top="760" w:right="0" w:bottom="0" w:left="460" w:header="720" w:footer="720" w:gutter="0"/>
          <w:cols w:num="3" w:space="720" w:equalWidth="0">
            <w:col w:w="5348" w:space="40"/>
            <w:col w:w="1479" w:space="881"/>
            <w:col w:w="4032"/>
          </w:cols>
        </w:sectPr>
      </w:pPr>
    </w:p>
    <w:p w:rsidR="0080489A" w:rsidRDefault="0091324C">
      <w:pPr>
        <w:pStyle w:val="BodyText"/>
        <w:spacing w:before="82" w:line="288" w:lineRule="auto"/>
        <w:ind w:left="616"/>
        <w:jc w:val="both"/>
      </w:pPr>
      <w:r>
        <w:pict>
          <v:group id="_x0000_s2065" style="position:absolute;left:0;text-align:left;margin-left:304.35pt;margin-top:-2.4pt;width:237.05pt;height:.5pt;z-index:1288;mso-position-horizontal-relative:page" coordorigin="6087,-48" coordsize="4741,10">
            <v:line id="_x0000_s2067" style="position:absolute" from="6092,-43" to="8825,-43" strokeweight=".5pt"/>
            <v:line id="_x0000_s2066" style="position:absolute" from="8825,-43" to="10823,-43" strokeweight=".5pt"/>
            <w10:wrap anchorx="page"/>
          </v:group>
        </w:pict>
      </w:r>
      <w:r>
        <w:pict>
          <v:shape id="_x0000_s2064" type="#_x0000_t202" style="position:absolute;left:0;text-align:left;margin-left:23.5pt;margin-top:40.4pt;width:18.45pt;height:354.7pt;z-index:1312;mso-position-horizontal-relative:page" filled="f" stroked="f">
            <v:textbox style="layout-flow:vertical;mso-layout-flow-alt:bottom-to-top" inset="0,0,0,0">
              <w:txbxContent>
                <w:p w:rsidR="0080489A" w:rsidRDefault="0091324C">
                  <w:pPr>
                    <w:spacing w:before="28" w:line="160" w:lineRule="exact"/>
                    <w:ind w:left="2801" w:right="18" w:hanging="2782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28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18-Dec-2017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t xml:space="preserve">thresholds, the CDC provided a checklist for opioid pre- scribing, along with additional tools to guide clinicians on implementing the recommendations. These tools include the </w:t>
      </w:r>
      <w:r>
        <w:rPr>
          <w:spacing w:val="-6"/>
        </w:rPr>
        <w:t xml:space="preserve">CDC’s </w:t>
      </w:r>
      <w:r>
        <w:t>“Opioid Guide App” for smartphone with the slogan “Managing Chronic Pain I</w:t>
      </w:r>
      <w:r>
        <w:t>s Complex, But Access- ing Prescribing Guidance Has Never Been Easier”.</w:t>
      </w:r>
      <w:r>
        <w:rPr>
          <w:position w:val="7"/>
          <w:sz w:val="11"/>
        </w:rPr>
        <w:t xml:space="preserve">13 </w:t>
      </w:r>
      <w:r>
        <w:t>The App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MME</w:t>
      </w:r>
      <w:r>
        <w:rPr>
          <w:spacing w:val="-6"/>
        </w:rPr>
        <w:t xml:space="preserve"> </w:t>
      </w:r>
      <w:r>
        <w:t>calculator</w:t>
      </w:r>
      <w:r>
        <w:rPr>
          <w:spacing w:val="-6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 different opioid(s) along with the daily dose to calculate the total MME daily dose. The App provides</w:t>
      </w:r>
      <w:r>
        <w:rPr>
          <w:spacing w:val="-11"/>
        </w:rPr>
        <w:t xml:space="preserve"> </w:t>
      </w:r>
      <w:r>
        <w:t>recommenda- tions</w:t>
      </w:r>
      <w:r>
        <w:t xml:space="preserve"> based on the calculated MME. </w:t>
      </w:r>
      <w:r>
        <w:rPr>
          <w:spacing w:val="-4"/>
        </w:rPr>
        <w:t xml:space="preserve">For </w:t>
      </w:r>
      <w:r>
        <w:t xml:space="preserve">50–89 </w:t>
      </w:r>
      <w:r>
        <w:rPr>
          <w:spacing w:val="-3"/>
        </w:rPr>
        <w:t xml:space="preserve">MME/day,  </w:t>
      </w:r>
      <w:r>
        <w:t xml:space="preserve">a message appears stating </w:t>
      </w:r>
      <w:r>
        <w:rPr>
          <w:spacing w:val="-3"/>
        </w:rPr>
        <w:t xml:space="preserve">“For </w:t>
      </w:r>
      <w:r>
        <w:rPr>
          <w:rFonts w:ascii="Symbol" w:hAnsi="Symbol"/>
        </w:rPr>
        <w:t></w:t>
      </w:r>
      <w:r>
        <w:t xml:space="preserve">50 </w:t>
      </w:r>
      <w:r>
        <w:rPr>
          <w:spacing w:val="-3"/>
        </w:rPr>
        <w:t xml:space="preserve">MME/day, </w:t>
      </w:r>
      <w:r>
        <w:t>use extra precautions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reassess</w:t>
      </w:r>
      <w:r>
        <w:rPr>
          <w:spacing w:val="-8"/>
        </w:rPr>
        <w:t xml:space="preserve"> </w:t>
      </w:r>
      <w:r>
        <w:t>pain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frequently. Discuss reducing dose or tapering/discontinuing opioids if benefits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outweigh</w:t>
      </w:r>
      <w:r>
        <w:rPr>
          <w:spacing w:val="-7"/>
        </w:rPr>
        <w:t xml:space="preserve"> </w:t>
      </w:r>
      <w:r>
        <w:t>harms”.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rFonts w:ascii="Symbol" w:hAnsi="Symbol"/>
        </w:rPr>
        <w:t></w:t>
      </w:r>
      <w:r>
        <w:t>90</w:t>
      </w:r>
      <w:r>
        <w:rPr>
          <w:spacing w:val="-7"/>
        </w:rPr>
        <w:t xml:space="preserve"> </w:t>
      </w:r>
      <w:r>
        <w:t>MME,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message appears stating, “Caution: </w:t>
      </w:r>
      <w:r>
        <w:rPr>
          <w:rFonts w:ascii="Symbol" w:hAnsi="Symbol"/>
        </w:rPr>
        <w:t></w:t>
      </w:r>
      <w:r>
        <w:t xml:space="preserve">90 MME </w:t>
      </w:r>
      <w:r>
        <w:rPr>
          <w:spacing w:val="-3"/>
        </w:rPr>
        <w:t xml:space="preserve">may </w:t>
      </w:r>
      <w:r>
        <w:t xml:space="preserve">increase risk for overdose. </w:t>
      </w:r>
      <w:r>
        <w:rPr>
          <w:spacing w:val="-6"/>
        </w:rPr>
        <w:t xml:space="preserve">Avoid </w:t>
      </w:r>
      <w:r>
        <w:t xml:space="preserve">or carefully justify doses </w:t>
      </w:r>
      <w:r>
        <w:rPr>
          <w:rFonts w:ascii="Symbol" w:hAnsi="Symbol"/>
        </w:rPr>
        <w:t></w:t>
      </w:r>
      <w:r>
        <w:t>90 MME/day; consider</w:t>
      </w:r>
      <w:r>
        <w:rPr>
          <w:spacing w:val="-12"/>
        </w:rPr>
        <w:t xml:space="preserve"> </w:t>
      </w:r>
      <w:r>
        <w:t>referring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specialist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schedule</w:t>
      </w:r>
      <w:r>
        <w:rPr>
          <w:spacing w:val="-12"/>
        </w:rPr>
        <w:t xml:space="preserve"> </w:t>
      </w:r>
      <w:r>
        <w:t>reassessment</w:t>
      </w:r>
      <w:r>
        <w:rPr>
          <w:spacing w:val="-12"/>
        </w:rPr>
        <w:t xml:space="preserve"> </w:t>
      </w:r>
      <w:r>
        <w:t>at least every 3 months”.</w:t>
      </w:r>
      <w:r>
        <w:rPr>
          <w:position w:val="7"/>
          <w:sz w:val="11"/>
        </w:rPr>
        <w:t xml:space="preserve">13 </w:t>
      </w:r>
      <w:r>
        <w:t xml:space="preserve">While </w:t>
      </w:r>
      <w:r>
        <w:rPr>
          <w:spacing w:val="-4"/>
        </w:rPr>
        <w:t xml:space="preserve">we </w:t>
      </w:r>
      <w:r>
        <w:t>agree with the intended concept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improve</w:t>
      </w:r>
      <w:r>
        <w:rPr>
          <w:spacing w:val="-15"/>
        </w:rPr>
        <w:t xml:space="preserve"> </w:t>
      </w:r>
      <w:r>
        <w:rPr>
          <w:spacing w:val="-3"/>
        </w:rPr>
        <w:t>safety,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conspicuous</w:t>
      </w:r>
      <w:r>
        <w:rPr>
          <w:spacing w:val="-16"/>
        </w:rPr>
        <w:t xml:space="preserve"> </w:t>
      </w:r>
      <w:r>
        <w:t>flaws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 posted calculator that could significantly affect safety and incur increased risk of mortality and</w:t>
      </w:r>
      <w:r>
        <w:rPr>
          <w:spacing w:val="-13"/>
        </w:rPr>
        <w:t xml:space="preserve"> </w:t>
      </w:r>
      <w:r>
        <w:t>morbidity.</w:t>
      </w:r>
    </w:p>
    <w:p w:rsidR="0080489A" w:rsidRDefault="0080489A">
      <w:pPr>
        <w:pStyle w:val="BodyText"/>
        <w:spacing w:before="5"/>
        <w:rPr>
          <w:sz w:val="18"/>
        </w:rPr>
      </w:pPr>
    </w:p>
    <w:p w:rsidR="0080489A" w:rsidRDefault="0091324C">
      <w:pPr>
        <w:pStyle w:val="Heading1"/>
        <w:ind w:left="617"/>
      </w:pPr>
      <w:r>
        <w:t>The case with methadone</w:t>
      </w:r>
    </w:p>
    <w:p w:rsidR="0080489A" w:rsidRDefault="0091324C">
      <w:pPr>
        <w:pStyle w:val="BodyText"/>
        <w:spacing w:before="28" w:line="292" w:lineRule="auto"/>
        <w:ind w:left="616"/>
        <w:jc w:val="both"/>
      </w:pPr>
      <w:r>
        <w:t>A major flaw with the CDC calculato</w:t>
      </w:r>
      <w:r>
        <w:t xml:space="preserve">r is the methadone to morphine conversion, as the conversion is neither linear nor bidirectional due to the unique and complex pharma- cokinetics of methadone. Methadone’s unique additional mechanism of </w:t>
      </w:r>
      <w:r>
        <w:rPr>
          <w:i/>
        </w:rPr>
        <w:t>N</w:t>
      </w:r>
      <w:r>
        <w:t>-methyl-</w:t>
      </w:r>
      <w:r>
        <w:rPr>
          <w:sz w:val="16"/>
        </w:rPr>
        <w:t>d</w:t>
      </w:r>
      <w:r>
        <w:t>-aspartate antagonism is thought to</w:t>
      </w:r>
      <w:r>
        <w:rPr>
          <w:spacing w:val="-11"/>
        </w:rPr>
        <w:t xml:space="preserve"> </w:t>
      </w:r>
      <w:r>
        <w:t>attenua</w:t>
      </w:r>
      <w:r>
        <w:t>te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tolerance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opioids is increased.</w:t>
      </w:r>
      <w:r>
        <w:rPr>
          <w:position w:val="7"/>
          <w:sz w:val="11"/>
        </w:rPr>
        <w:t xml:space="preserve">14 </w:t>
      </w:r>
      <w:r>
        <w:t>Fudin et al pointed out significant swings at dose interval breaks and developed a mathematical model, The Fudin Factor</w:t>
      </w:r>
      <w:r>
        <w:rPr>
          <w:position w:val="7"/>
          <w:sz w:val="11"/>
        </w:rPr>
        <w:t>©</w:t>
      </w:r>
      <w:r>
        <w:t>, that eliminates peaks and troughs with methadone</w:t>
      </w:r>
      <w:r>
        <w:rPr>
          <w:spacing w:val="-19"/>
        </w:rPr>
        <w:t xml:space="preserve"> </w:t>
      </w:r>
      <w:r>
        <w:t>dose</w:t>
      </w:r>
      <w:r>
        <w:rPr>
          <w:spacing w:val="-19"/>
        </w:rPr>
        <w:t xml:space="preserve"> </w:t>
      </w:r>
      <w:r>
        <w:t>conversions.</w:t>
      </w:r>
      <w:r>
        <w:rPr>
          <w:position w:val="7"/>
          <w:sz w:val="11"/>
        </w:rPr>
        <w:t>14</w:t>
      </w:r>
      <w:r>
        <w:rPr>
          <w:spacing w:val="-15"/>
          <w:position w:val="7"/>
          <w:sz w:val="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CDC</w:t>
      </w:r>
      <w:r>
        <w:rPr>
          <w:spacing w:val="-19"/>
        </w:rPr>
        <w:t xml:space="preserve"> </w:t>
      </w:r>
      <w:r>
        <w:t>calculator</w:t>
      </w:r>
      <w:r>
        <w:rPr>
          <w:spacing w:val="-19"/>
        </w:rPr>
        <w:t xml:space="preserve"> </w:t>
      </w:r>
      <w:r>
        <w:t>does</w:t>
      </w:r>
      <w:r>
        <w:rPr>
          <w:spacing w:val="-19"/>
        </w:rPr>
        <w:t xml:space="preserve"> </w:t>
      </w:r>
      <w:r>
        <w:t>not account for these significant swings and can be dangerous when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t>clinicians</w:t>
      </w:r>
      <w:r>
        <w:rPr>
          <w:spacing w:val="-12"/>
        </w:rPr>
        <w:t xml:space="preserve"> </w:t>
      </w:r>
      <w:r>
        <w:t>inexperienced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methadone</w:t>
      </w:r>
      <w:r>
        <w:rPr>
          <w:spacing w:val="-12"/>
        </w:rPr>
        <w:t xml:space="preserve"> </w:t>
      </w:r>
      <w:r>
        <w:t>dos- ing.</w:t>
      </w:r>
      <w:r>
        <w:rPr>
          <w:spacing w:val="-29"/>
        </w:rPr>
        <w:t xml:space="preserve"> </w:t>
      </w:r>
      <w:r>
        <w:rPr>
          <w:spacing w:val="-6"/>
        </w:rPr>
        <w:t>Table</w:t>
      </w:r>
      <w:r>
        <w:rPr>
          <w:spacing w:val="-19"/>
        </w:rPr>
        <w:t xml:space="preserve"> </w:t>
      </w:r>
      <w:r>
        <w:t>1</w:t>
      </w:r>
      <w:r>
        <w:rPr>
          <w:spacing w:val="-19"/>
        </w:rPr>
        <w:t xml:space="preserve"> </w:t>
      </w:r>
      <w:r>
        <w:t>demonstrates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rPr>
          <w:spacing w:val="-3"/>
        </w:rPr>
        <w:t>example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abrupt</w:t>
      </w:r>
      <w:r>
        <w:rPr>
          <w:spacing w:val="-19"/>
        </w:rPr>
        <w:t xml:space="preserve"> </w:t>
      </w:r>
      <w:r>
        <w:rPr>
          <w:spacing w:val="-3"/>
        </w:rPr>
        <w:t>upsurge</w:t>
      </w:r>
      <w:r>
        <w:rPr>
          <w:spacing w:val="-19"/>
        </w:rPr>
        <w:t xml:space="preserve"> </w:t>
      </w:r>
      <w:r>
        <w:t>at dose</w:t>
      </w:r>
      <w:r>
        <w:rPr>
          <w:spacing w:val="-25"/>
        </w:rPr>
        <w:t xml:space="preserve"> </w:t>
      </w:r>
      <w:r>
        <w:t>interval</w:t>
      </w:r>
      <w:r>
        <w:rPr>
          <w:spacing w:val="-25"/>
        </w:rPr>
        <w:t xml:space="preserve"> </w:t>
      </w:r>
      <w:r>
        <w:t>breaks</w:t>
      </w:r>
      <w:r>
        <w:rPr>
          <w:spacing w:val="-25"/>
        </w:rPr>
        <w:t xml:space="preserve"> </w:t>
      </w:r>
      <w:r>
        <w:t>calculated</w:t>
      </w:r>
      <w:r>
        <w:rPr>
          <w:spacing w:val="-25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CDC</w:t>
      </w:r>
      <w:r>
        <w:rPr>
          <w:spacing w:val="-25"/>
        </w:rPr>
        <w:t xml:space="preserve"> </w:t>
      </w:r>
      <w:r>
        <w:t>Opioid</w:t>
      </w:r>
      <w:r>
        <w:rPr>
          <w:spacing w:val="-25"/>
        </w:rPr>
        <w:t xml:space="preserve"> </w:t>
      </w:r>
      <w:r>
        <w:t>Guideline Mobile</w:t>
      </w:r>
      <w:r>
        <w:rPr>
          <w:spacing w:val="-11"/>
        </w:rPr>
        <w:t xml:space="preserve"> </w:t>
      </w:r>
      <w:r>
        <w:t>App.</w:t>
      </w:r>
    </w:p>
    <w:p w:rsidR="0080489A" w:rsidRDefault="0091324C">
      <w:pPr>
        <w:pStyle w:val="BodyText"/>
        <w:spacing w:before="1" w:line="292" w:lineRule="auto"/>
        <w:ind w:left="617" w:right="4" w:firstLine="283"/>
        <w:jc w:val="both"/>
      </w:pPr>
      <w:r>
        <w:t>Methadone</w:t>
      </w:r>
      <w:r>
        <w:rPr>
          <w:spacing w:val="-7"/>
        </w:rPr>
        <w:t xml:space="preserve"> </w:t>
      </w:r>
      <w:r>
        <w:t>conversion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complex,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into a</w:t>
      </w:r>
      <w:r>
        <w:rPr>
          <w:spacing w:val="-11"/>
        </w:rPr>
        <w:t xml:space="preserve"> </w:t>
      </w:r>
      <w:r>
        <w:t>calculator,</w:t>
      </w:r>
      <w:r>
        <w:rPr>
          <w:spacing w:val="-11"/>
        </w:rPr>
        <w:t xml:space="preserve"> </w:t>
      </w:r>
      <w:r>
        <w:t>extensive</w:t>
      </w:r>
      <w:r>
        <w:rPr>
          <w:spacing w:val="-11"/>
        </w:rPr>
        <w:t xml:space="preserve"> </w:t>
      </w:r>
      <w:r>
        <w:t>warnings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order.</w:t>
      </w:r>
      <w:r>
        <w:rPr>
          <w:spacing w:val="-21"/>
        </w:rPr>
        <w:t xml:space="preserve"> </w:t>
      </w:r>
      <w:r>
        <w:t>Accordingly,</w:t>
      </w:r>
      <w:r>
        <w:rPr>
          <w:spacing w:val="-11"/>
        </w:rPr>
        <w:t xml:space="preserve"> </w:t>
      </w:r>
      <w:r>
        <w:t xml:space="preserve">a balance between </w:t>
      </w:r>
      <w:r>
        <w:rPr>
          <w:spacing w:val="-3"/>
        </w:rPr>
        <w:t xml:space="preserve">two </w:t>
      </w:r>
      <w:r>
        <w:t xml:space="preserve">different equations should be embed- ded in the software background, such that the conversion remains conservative in either direction when  </w:t>
      </w:r>
      <w:r>
        <w:rPr>
          <w:spacing w:val="36"/>
        </w:rPr>
        <w:t xml:space="preserve"> </w:t>
      </w:r>
      <w:r>
        <w:t>converting</w:t>
      </w:r>
    </w:p>
    <w:p w:rsidR="0080489A" w:rsidRDefault="0091324C">
      <w:pPr>
        <w:tabs>
          <w:tab w:val="left" w:pos="2971"/>
        </w:tabs>
        <w:spacing w:line="185" w:lineRule="exact"/>
        <w:ind w:left="238"/>
        <w:jc w:val="both"/>
        <w:rPr>
          <w:rFonts w:ascii="Gill Sans MT"/>
          <w:sz w:val="16"/>
        </w:rPr>
      </w:pPr>
      <w:r>
        <w:br w:type="column"/>
      </w:r>
      <w:r>
        <w:rPr>
          <w:rFonts w:ascii="Gill Sans MT"/>
          <w:sz w:val="16"/>
        </w:rPr>
        <w:t>20</w:t>
      </w:r>
      <w:r>
        <w:rPr>
          <w:rFonts w:ascii="Gill Sans MT"/>
          <w:sz w:val="16"/>
        </w:rPr>
        <w:tab/>
        <w:t>80</w:t>
      </w:r>
    </w:p>
    <w:p w:rsidR="0080489A" w:rsidRDefault="0091324C">
      <w:pPr>
        <w:tabs>
          <w:tab w:val="left" w:pos="2971"/>
        </w:tabs>
        <w:spacing w:before="35"/>
        <w:ind w:left="238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21</w:t>
      </w:r>
      <w:r>
        <w:rPr>
          <w:rFonts w:ascii="Gill Sans MT"/>
          <w:sz w:val="16"/>
        </w:rPr>
        <w:tab/>
        <w:t>168</w:t>
      </w:r>
    </w:p>
    <w:p w:rsidR="0080489A" w:rsidRDefault="0091324C">
      <w:pPr>
        <w:tabs>
          <w:tab w:val="left" w:pos="2971"/>
        </w:tabs>
        <w:spacing w:before="35"/>
        <w:ind w:left="238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40</w:t>
      </w:r>
      <w:r>
        <w:rPr>
          <w:rFonts w:ascii="Gill Sans MT"/>
          <w:sz w:val="16"/>
        </w:rPr>
        <w:tab/>
        <w:t>320</w:t>
      </w:r>
    </w:p>
    <w:p w:rsidR="0080489A" w:rsidRDefault="0091324C">
      <w:pPr>
        <w:tabs>
          <w:tab w:val="left" w:pos="2971"/>
        </w:tabs>
        <w:spacing w:before="35"/>
        <w:ind w:left="238"/>
        <w:jc w:val="both"/>
        <w:rPr>
          <w:rFonts w:ascii="Gill Sans MT"/>
          <w:sz w:val="16"/>
        </w:rPr>
      </w:pPr>
      <w:r>
        <w:rPr>
          <w:rFonts w:ascii="Gill Sans MT"/>
          <w:sz w:val="16"/>
        </w:rPr>
        <w:t>41</w:t>
      </w:r>
      <w:r>
        <w:rPr>
          <w:rFonts w:ascii="Gill Sans MT"/>
          <w:sz w:val="16"/>
        </w:rPr>
        <w:tab/>
        <w:t>410</w:t>
      </w:r>
    </w:p>
    <w:p w:rsidR="0080489A" w:rsidRDefault="0080489A">
      <w:pPr>
        <w:pStyle w:val="BodyText"/>
        <w:spacing w:before="3"/>
        <w:rPr>
          <w:rFonts w:ascii="Gill Sans MT"/>
          <w:sz w:val="3"/>
        </w:rPr>
      </w:pPr>
    </w:p>
    <w:p w:rsidR="0080489A" w:rsidRDefault="0091324C">
      <w:pPr>
        <w:pStyle w:val="BodyText"/>
        <w:spacing w:line="20" w:lineRule="exact"/>
        <w:ind w:left="233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>
          <v:group id="_x0000_s2061" style="width:237.05pt;height:.5pt;mso-position-horizontal-relative:char;mso-position-vertical-relative:line" coordsize="4741,10">
            <v:line id="_x0000_s2063" style="position:absolute" from="5,5" to="2738,5" strokeweight=".5pt"/>
            <v:line id="_x0000_s2062" style="position:absolute" from="2738,5" to="4736,5" strokeweight=".5pt"/>
            <w10:wrap type="none"/>
            <w10:anchorlock/>
          </v:group>
        </w:pict>
      </w:r>
    </w:p>
    <w:p w:rsidR="0080489A" w:rsidRDefault="0091324C">
      <w:pPr>
        <w:spacing w:before="7" w:line="266" w:lineRule="auto"/>
        <w:ind w:left="238" w:right="1414"/>
        <w:jc w:val="both"/>
        <w:rPr>
          <w:rFonts w:ascii="Gill Sans MT"/>
          <w:sz w:val="14"/>
        </w:rPr>
      </w:pPr>
      <w:r>
        <w:rPr>
          <w:rFonts w:ascii="Gill Sans MT"/>
          <w:b/>
          <w:sz w:val="14"/>
        </w:rPr>
        <w:t>Abbrevia</w:t>
      </w:r>
      <w:r>
        <w:rPr>
          <w:rFonts w:ascii="Gill Sans MT"/>
          <w:b/>
          <w:sz w:val="14"/>
        </w:rPr>
        <w:t xml:space="preserve">tions: </w:t>
      </w:r>
      <w:r>
        <w:rPr>
          <w:rFonts w:ascii="Gill Sans MT"/>
          <w:sz w:val="14"/>
        </w:rPr>
        <w:t>MME, morphine milligram equivalence; CDC, Centers for Disease Control.</w:t>
      </w:r>
    </w:p>
    <w:p w:rsidR="0080489A" w:rsidRDefault="0080489A">
      <w:pPr>
        <w:pStyle w:val="BodyText"/>
        <w:rPr>
          <w:rFonts w:ascii="Gill Sans MT"/>
          <w:sz w:val="16"/>
        </w:rPr>
      </w:pPr>
    </w:p>
    <w:p w:rsidR="0080489A" w:rsidRDefault="0080489A">
      <w:pPr>
        <w:pStyle w:val="BodyText"/>
        <w:rPr>
          <w:rFonts w:ascii="Gill Sans MT"/>
          <w:sz w:val="16"/>
        </w:rPr>
      </w:pPr>
    </w:p>
    <w:p w:rsidR="0080489A" w:rsidRDefault="0091324C">
      <w:pPr>
        <w:pStyle w:val="BodyText"/>
        <w:spacing w:before="117" w:line="292" w:lineRule="auto"/>
        <w:ind w:left="238" w:right="1410" w:hanging="1"/>
        <w:jc w:val="both"/>
        <w:rPr>
          <w:sz w:val="11"/>
        </w:rPr>
      </w:pPr>
      <w:r>
        <w:t>to or from methadone.</w:t>
      </w:r>
      <w:r>
        <w:rPr>
          <w:position w:val="7"/>
          <w:sz w:val="11"/>
        </w:rPr>
        <w:t xml:space="preserve">14 </w:t>
      </w:r>
      <w:r>
        <w:t>Considering that methadone con- tributed to nearly one in three prescription opioid overdose deaths</w:t>
      </w:r>
      <w:r>
        <w:rPr>
          <w:spacing w:val="-22"/>
        </w:rPr>
        <w:t xml:space="preserve"> </w:t>
      </w:r>
      <w:r>
        <w:t>despite</w:t>
      </w:r>
      <w:r>
        <w:rPr>
          <w:spacing w:val="-22"/>
        </w:rPr>
        <w:t xml:space="preserve"> </w:t>
      </w:r>
      <w:r>
        <w:t>accounting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less</w:t>
      </w:r>
      <w:r>
        <w:rPr>
          <w:spacing w:val="-22"/>
        </w:rPr>
        <w:t xml:space="preserve"> </w:t>
      </w:r>
      <w:r>
        <w:t>than</w:t>
      </w:r>
      <w:r>
        <w:rPr>
          <w:spacing w:val="-22"/>
        </w:rPr>
        <w:t xml:space="preserve"> </w:t>
      </w:r>
      <w:r>
        <w:t>2%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2"/>
        </w:rPr>
        <w:t>prescript</w:t>
      </w:r>
      <w:r>
        <w:rPr>
          <w:spacing w:val="-2"/>
        </w:rPr>
        <w:t xml:space="preserve">ion </w:t>
      </w:r>
      <w:r>
        <w:t>opioid</w:t>
      </w:r>
      <w:r>
        <w:rPr>
          <w:spacing w:val="-19"/>
        </w:rPr>
        <w:t xml:space="preserve"> </w:t>
      </w:r>
      <w:r>
        <w:t>sales</w:t>
      </w:r>
      <w:r>
        <w:rPr>
          <w:spacing w:val="-19"/>
        </w:rPr>
        <w:t xml:space="preserve"> </w:t>
      </w:r>
      <w:r>
        <w:t>examining</w:t>
      </w:r>
      <w:r>
        <w:rPr>
          <w:spacing w:val="-19"/>
        </w:rPr>
        <w:t xml:space="preserve"> </w:t>
      </w:r>
      <w:r>
        <w:t>opioid</w:t>
      </w:r>
      <w:r>
        <w:rPr>
          <w:spacing w:val="-19"/>
        </w:rPr>
        <w:t xml:space="preserve"> </w:t>
      </w:r>
      <w:r>
        <w:t>prescriptions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deaths</w:t>
      </w:r>
      <w:r>
        <w:rPr>
          <w:spacing w:val="-19"/>
        </w:rPr>
        <w:t xml:space="preserve"> </w:t>
      </w:r>
      <w:r>
        <w:t xml:space="preserve">from 1999–2010, it begs the question of whether or not </w:t>
      </w:r>
      <w:r>
        <w:rPr>
          <w:spacing w:val="-5"/>
        </w:rPr>
        <w:t xml:space="preserve">many, </w:t>
      </w:r>
      <w:r>
        <w:t>if not most of these deaths, could be attributable to</w:t>
      </w:r>
      <w:r>
        <w:rPr>
          <w:spacing w:val="-30"/>
        </w:rPr>
        <w:t xml:space="preserve"> </w:t>
      </w:r>
      <w:r>
        <w:t>inaccurate dosing during opioid rotation when switching to or from methadone.</w:t>
      </w:r>
      <w:r>
        <w:rPr>
          <w:position w:val="7"/>
          <w:sz w:val="11"/>
        </w:rPr>
        <w:t>15</w:t>
      </w:r>
    </w:p>
    <w:p w:rsidR="0080489A" w:rsidRDefault="0080489A">
      <w:pPr>
        <w:pStyle w:val="BodyText"/>
        <w:rPr>
          <w:sz w:val="18"/>
        </w:rPr>
      </w:pPr>
    </w:p>
    <w:p w:rsidR="0080489A" w:rsidRDefault="0091324C">
      <w:pPr>
        <w:pStyle w:val="Heading1"/>
        <w:spacing w:before="1"/>
        <w:ind w:left="238"/>
      </w:pPr>
      <w:r>
        <w:t>The case with tapentadol</w:t>
      </w:r>
    </w:p>
    <w:p w:rsidR="0080489A" w:rsidRDefault="0091324C">
      <w:pPr>
        <w:pStyle w:val="BodyText"/>
        <w:spacing w:before="29" w:line="292" w:lineRule="auto"/>
        <w:ind w:left="238" w:right="1413"/>
        <w:jc w:val="both"/>
      </w:pPr>
      <w:r>
        <w:t>Another flaw of the CDC calculator is the proposed MME for</w:t>
      </w:r>
      <w:r>
        <w:rPr>
          <w:spacing w:val="-9"/>
        </w:rPr>
        <w:t xml:space="preserve"> </w:t>
      </w:r>
      <w:r>
        <w:t>tapentadol.</w:t>
      </w:r>
      <w:r>
        <w:rPr>
          <w:spacing w:val="-19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CDC</w:t>
      </w:r>
      <w:r>
        <w:rPr>
          <w:spacing w:val="-9"/>
        </w:rPr>
        <w:t xml:space="preserve"> </w:t>
      </w:r>
      <w:r>
        <w:t>calculator,</w:t>
      </w:r>
      <w:r>
        <w:rPr>
          <w:spacing w:val="-9"/>
        </w:rPr>
        <w:t xml:space="preserve"> </w:t>
      </w:r>
      <w:r>
        <w:t>tapentadol 100</w:t>
      </w:r>
      <w:r>
        <w:rPr>
          <w:spacing w:val="-13"/>
        </w:rPr>
        <w:t xml:space="preserve"> </w:t>
      </w:r>
      <w:r>
        <w:t>mg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MME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40.</w:t>
      </w:r>
      <w:r>
        <w:rPr>
          <w:position w:val="7"/>
          <w:sz w:val="11"/>
        </w:rPr>
        <w:t>13</w:t>
      </w:r>
      <w:r>
        <w:rPr>
          <w:spacing w:val="-12"/>
          <w:position w:val="7"/>
          <w:sz w:val="11"/>
        </w:rPr>
        <w:t xml:space="preserve"> </w:t>
      </w:r>
      <w:r>
        <w:t>Tapentadol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centrally</w:t>
      </w:r>
      <w:r>
        <w:rPr>
          <w:spacing w:val="-13"/>
        </w:rPr>
        <w:t xml:space="preserve"> </w:t>
      </w:r>
      <w:r>
        <w:t xml:space="preserve">acting analgesic with dual mechanisms, mu-receptor agonism and </w:t>
      </w:r>
      <w:r>
        <w:t>norepinephrine reuptake inhibition.</w:t>
      </w:r>
      <w:r>
        <w:rPr>
          <w:position w:val="7"/>
          <w:sz w:val="11"/>
        </w:rPr>
        <w:t xml:space="preserve">16 </w:t>
      </w:r>
      <w:r>
        <w:t>Because of its dual mechanisms,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equianalgesic</w:t>
      </w:r>
      <w:r>
        <w:rPr>
          <w:spacing w:val="-22"/>
        </w:rPr>
        <w:t xml:space="preserve"> </w:t>
      </w:r>
      <w:r>
        <w:t>dosing</w:t>
      </w:r>
      <w:r>
        <w:rPr>
          <w:spacing w:val="-22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clinical</w:t>
      </w:r>
      <w:r>
        <w:rPr>
          <w:spacing w:val="-22"/>
        </w:rPr>
        <w:t xml:space="preserve"> </w:t>
      </w:r>
      <w:r>
        <w:t>trials should not be used to predict nonanalgesic effects such as respiratory</w:t>
      </w:r>
      <w:r>
        <w:rPr>
          <w:spacing w:val="4"/>
        </w:rPr>
        <w:t xml:space="preserve"> </w:t>
      </w:r>
      <w:r>
        <w:t>depression.</w:t>
      </w:r>
    </w:p>
    <w:p w:rsidR="0080489A" w:rsidRDefault="0091324C">
      <w:pPr>
        <w:pStyle w:val="BodyText"/>
        <w:spacing w:before="1" w:line="292" w:lineRule="auto"/>
        <w:ind w:left="238" w:right="1412" w:firstLine="283"/>
        <w:jc w:val="both"/>
      </w:pPr>
      <w:r>
        <w:rPr>
          <w:spacing w:val="-6"/>
        </w:rPr>
        <w:t>Tapentadol’s</w:t>
      </w:r>
      <w:r>
        <w:rPr>
          <w:spacing w:val="-22"/>
        </w:rPr>
        <w:t xml:space="preserve"> </w:t>
      </w:r>
      <w:r>
        <w:t>package</w:t>
      </w:r>
      <w:r>
        <w:rPr>
          <w:spacing w:val="-22"/>
        </w:rPr>
        <w:t xml:space="preserve"> </w:t>
      </w:r>
      <w:r>
        <w:t>insert</w:t>
      </w:r>
      <w:r>
        <w:rPr>
          <w:spacing w:val="-22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list</w:t>
      </w:r>
      <w:r>
        <w:rPr>
          <w:spacing w:val="-22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MME</w:t>
      </w:r>
      <w:r>
        <w:rPr>
          <w:spacing w:val="-22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equi- analgesic</w:t>
      </w:r>
      <w:r>
        <w:rPr>
          <w:spacing w:val="-13"/>
        </w:rPr>
        <w:t xml:space="preserve"> </w:t>
      </w:r>
      <w:r>
        <w:t>dose</w:t>
      </w:r>
      <w:r>
        <w:rPr>
          <w:spacing w:val="-13"/>
        </w:rPr>
        <w:t xml:space="preserve"> </w:t>
      </w:r>
      <w:r>
        <w:t>conversion</w:t>
      </w:r>
      <w:r>
        <w:rPr>
          <w:spacing w:val="-13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 xml:space="preserve">been </w:t>
      </w:r>
      <w:r>
        <w:rPr>
          <w:spacing w:val="-3"/>
        </w:rPr>
        <w:t xml:space="preserve">powered </w:t>
      </w:r>
      <w:r>
        <w:t>to appropriately assess conversion.</w:t>
      </w:r>
      <w:r>
        <w:rPr>
          <w:position w:val="7"/>
          <w:sz w:val="11"/>
        </w:rPr>
        <w:t xml:space="preserve">17 </w:t>
      </w:r>
      <w:r>
        <w:t>In clinical</w:t>
      </w:r>
      <w:r>
        <w:rPr>
          <w:spacing w:val="-32"/>
        </w:rPr>
        <w:t xml:space="preserve"> </w:t>
      </w:r>
      <w:r>
        <w:t>tri- als,</w:t>
      </w:r>
      <w:r>
        <w:rPr>
          <w:spacing w:val="-14"/>
        </w:rPr>
        <w:t xml:space="preserve"> </w:t>
      </w:r>
      <w:r>
        <w:t>tapentadol</w:t>
      </w:r>
      <w:r>
        <w:rPr>
          <w:spacing w:val="-14"/>
        </w:rPr>
        <w:t xml:space="preserve"> </w:t>
      </w:r>
      <w:r>
        <w:t>extended-release</w:t>
      </w:r>
      <w:r>
        <w:rPr>
          <w:spacing w:val="-14"/>
        </w:rPr>
        <w:t xml:space="preserve"> </w:t>
      </w:r>
      <w:r>
        <w:t>(ER)</w:t>
      </w:r>
      <w:r>
        <w:rPr>
          <w:spacing w:val="-14"/>
        </w:rPr>
        <w:t xml:space="preserve"> </w:t>
      </w:r>
      <w:r>
        <w:t>(100–250</w:t>
      </w:r>
      <w:r>
        <w:rPr>
          <w:spacing w:val="-14"/>
        </w:rPr>
        <w:t xml:space="preserve"> </w:t>
      </w:r>
      <w:r>
        <w:t>mg</w:t>
      </w:r>
      <w:r>
        <w:rPr>
          <w:spacing w:val="-14"/>
        </w:rPr>
        <w:t xml:space="preserve"> </w:t>
      </w:r>
      <w:r>
        <w:t>bid)</w:t>
      </w:r>
      <w:r>
        <w:rPr>
          <w:spacing w:val="-14"/>
        </w:rPr>
        <w:t xml:space="preserve"> </w:t>
      </w:r>
      <w:r>
        <w:t>had comparable</w:t>
      </w:r>
      <w:r>
        <w:rPr>
          <w:spacing w:val="-22"/>
        </w:rPr>
        <w:t xml:space="preserve"> </w:t>
      </w:r>
      <w:r>
        <w:t>analgesic</w:t>
      </w:r>
      <w:r>
        <w:rPr>
          <w:spacing w:val="-22"/>
        </w:rPr>
        <w:t xml:space="preserve"> </w:t>
      </w:r>
      <w:r>
        <w:t>effect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oxycodone</w:t>
      </w:r>
      <w:r>
        <w:rPr>
          <w:spacing w:val="-22"/>
        </w:rPr>
        <w:t xml:space="preserve"> </w:t>
      </w:r>
      <w:r>
        <w:t>controlled</w:t>
      </w:r>
      <w:r>
        <w:rPr>
          <w:spacing w:val="-22"/>
        </w:rPr>
        <w:t xml:space="preserve"> </w:t>
      </w:r>
      <w:r>
        <w:t>release (CR) (25</w:t>
      </w:r>
      <w:r>
        <w:t xml:space="preserve">–50 mg bid) in moderate to severe osteoarthritis pain, </w:t>
      </w:r>
      <w:r>
        <w:rPr>
          <w:spacing w:val="-3"/>
        </w:rPr>
        <w:t xml:space="preserve">low </w:t>
      </w:r>
      <w:r>
        <w:t xml:space="preserve">back pain, and pain related to diabetic peripheral </w:t>
      </w:r>
      <w:r>
        <w:rPr>
          <w:spacing w:val="-4"/>
        </w:rPr>
        <w:t>neuropathy.</w:t>
      </w:r>
      <w:r>
        <w:rPr>
          <w:spacing w:val="-4"/>
          <w:position w:val="7"/>
          <w:sz w:val="11"/>
        </w:rPr>
        <w:t>18</w:t>
      </w:r>
      <w:r>
        <w:rPr>
          <w:spacing w:val="-15"/>
          <w:position w:val="7"/>
          <w:sz w:val="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key</w:t>
      </w:r>
      <w:r>
        <w:rPr>
          <w:spacing w:val="-19"/>
        </w:rPr>
        <w:t xml:space="preserve"> </w:t>
      </w:r>
      <w:r>
        <w:t>phrase</w:t>
      </w:r>
      <w:r>
        <w:rPr>
          <w:spacing w:val="-19"/>
        </w:rPr>
        <w:t xml:space="preserve"> </w:t>
      </w:r>
      <w:r>
        <w:t>here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“analgesic</w:t>
      </w:r>
      <w:r>
        <w:rPr>
          <w:spacing w:val="-19"/>
        </w:rPr>
        <w:t xml:space="preserve"> </w:t>
      </w:r>
      <w:r>
        <w:rPr>
          <w:spacing w:val="-3"/>
        </w:rPr>
        <w:t>effect”,</w:t>
      </w:r>
      <w:r>
        <w:rPr>
          <w:spacing w:val="-19"/>
        </w:rPr>
        <w:t xml:space="preserve"> </w:t>
      </w:r>
      <w:r>
        <w:rPr>
          <w:spacing w:val="-3"/>
        </w:rPr>
        <w:t xml:space="preserve">which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t>definition,</w:t>
      </w:r>
      <w:r>
        <w:rPr>
          <w:spacing w:val="-23"/>
        </w:rPr>
        <w:t xml:space="preserve"> </w:t>
      </w:r>
      <w:r>
        <w:t>cannot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attribute</w:t>
      </w:r>
      <w:r>
        <w:rPr>
          <w:spacing w:val="-23"/>
        </w:rPr>
        <w:t xml:space="preserve"> </w:t>
      </w:r>
      <w:r>
        <w:t>nonanalgesic</w:t>
      </w:r>
      <w:r>
        <w:rPr>
          <w:spacing w:val="-23"/>
        </w:rPr>
        <w:t xml:space="preserve"> </w:t>
      </w:r>
      <w:r>
        <w:t>effects such as respiratory</w:t>
      </w:r>
      <w:r>
        <w:rPr>
          <w:spacing w:val="4"/>
        </w:rPr>
        <w:t xml:space="preserve"> </w:t>
      </w:r>
      <w:r>
        <w:t>depression.</w:t>
      </w:r>
    </w:p>
    <w:p w:rsidR="0080489A" w:rsidRDefault="0091324C">
      <w:pPr>
        <w:pStyle w:val="BodyText"/>
        <w:spacing w:before="1" w:line="292" w:lineRule="auto"/>
        <w:ind w:left="238" w:right="1412" w:firstLine="283"/>
        <w:jc w:val="both"/>
      </w:pPr>
      <w:r>
        <w:t>Tapentadol is 18 times less potent than morphine for mu-opioid</w:t>
      </w:r>
      <w:r>
        <w:rPr>
          <w:spacing w:val="-21"/>
        </w:rPr>
        <w:t xml:space="preserve"> </w:t>
      </w:r>
      <w:r>
        <w:t>receptor</w:t>
      </w:r>
      <w:r>
        <w:rPr>
          <w:spacing w:val="-21"/>
        </w:rPr>
        <w:t xml:space="preserve"> </w:t>
      </w:r>
      <w:r>
        <w:t>activation,</w:t>
      </w:r>
      <w:r>
        <w:rPr>
          <w:spacing w:val="-21"/>
        </w:rPr>
        <w:t xml:space="preserve"> </w:t>
      </w:r>
      <w:r>
        <w:t>but</w:t>
      </w:r>
      <w:r>
        <w:rPr>
          <w:spacing w:val="-21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2–3</w:t>
      </w:r>
      <w:r>
        <w:rPr>
          <w:spacing w:val="-21"/>
        </w:rPr>
        <w:t xml:space="preserve"> </w:t>
      </w:r>
      <w:r>
        <w:t>times</w:t>
      </w:r>
      <w:r>
        <w:rPr>
          <w:spacing w:val="-21"/>
        </w:rPr>
        <w:t xml:space="preserve"> </w:t>
      </w:r>
      <w:r>
        <w:t>less</w:t>
      </w:r>
      <w:r>
        <w:rPr>
          <w:spacing w:val="-21"/>
        </w:rPr>
        <w:t xml:space="preserve"> </w:t>
      </w:r>
      <w:r>
        <w:t>potent in providing analgesia.</w:t>
      </w:r>
      <w:r>
        <w:rPr>
          <w:position w:val="7"/>
          <w:sz w:val="11"/>
        </w:rPr>
        <w:t xml:space="preserve">17 </w:t>
      </w:r>
      <w:r>
        <w:t xml:space="preserve">The disparity between </w:t>
      </w:r>
      <w:r>
        <w:rPr>
          <w:spacing w:val="-3"/>
        </w:rPr>
        <w:t>tapentadol’s affinity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3"/>
        </w:rPr>
        <w:t>analgesic</w:t>
      </w:r>
      <w:r>
        <w:rPr>
          <w:spacing w:val="-19"/>
        </w:rPr>
        <w:t xml:space="preserve"> </w:t>
      </w:r>
      <w:r>
        <w:rPr>
          <w:spacing w:val="-3"/>
        </w:rPr>
        <w:t>potency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4"/>
        </w:rPr>
        <w:t>presumably</w:t>
      </w:r>
      <w:r>
        <w:rPr>
          <w:spacing w:val="-19"/>
        </w:rPr>
        <w:t xml:space="preserve"> </w:t>
      </w:r>
      <w:r>
        <w:t>due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its</w:t>
      </w:r>
      <w:r>
        <w:rPr>
          <w:spacing w:val="-19"/>
        </w:rPr>
        <w:t xml:space="preserve"> </w:t>
      </w:r>
      <w:r>
        <w:rPr>
          <w:spacing w:val="-4"/>
        </w:rPr>
        <w:t xml:space="preserve">activity </w:t>
      </w:r>
      <w:r>
        <w:t>on</w:t>
      </w:r>
      <w:r>
        <w:t xml:space="preserve"> norepinephrine reuptake inhibition, which is involved</w:t>
      </w:r>
      <w:r>
        <w:rPr>
          <w:spacing w:val="-27"/>
        </w:rPr>
        <w:t xml:space="preserve"> </w:t>
      </w:r>
      <w:r>
        <w:t>in descending</w:t>
      </w:r>
      <w:r>
        <w:rPr>
          <w:spacing w:val="-22"/>
        </w:rPr>
        <w:t xml:space="preserve"> </w:t>
      </w:r>
      <w:r>
        <w:t>pain</w:t>
      </w:r>
      <w:r>
        <w:rPr>
          <w:spacing w:val="-22"/>
        </w:rPr>
        <w:t xml:space="preserve"> </w:t>
      </w:r>
      <w:r>
        <w:t>modulation.</w:t>
      </w:r>
      <w:r>
        <w:rPr>
          <w:spacing w:val="-30"/>
        </w:rPr>
        <w:t xml:space="preserve"> </w:t>
      </w:r>
      <w:r>
        <w:rPr>
          <w:spacing w:val="-5"/>
        </w:rPr>
        <w:t>Tapentadol’s</w:t>
      </w:r>
      <w:r>
        <w:rPr>
          <w:spacing w:val="-22"/>
        </w:rPr>
        <w:t xml:space="preserve"> </w:t>
      </w:r>
      <w:r>
        <w:t>activity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norepi- nephrine</w:t>
      </w:r>
      <w:r>
        <w:rPr>
          <w:spacing w:val="-11"/>
        </w:rPr>
        <w:t xml:space="preserve"> </w:t>
      </w:r>
      <w:r>
        <w:t>targets</w:t>
      </w:r>
      <w:r>
        <w:rPr>
          <w:spacing w:val="-11"/>
        </w:rPr>
        <w:t xml:space="preserve"> </w:t>
      </w:r>
      <w:r>
        <w:t>neuropathic</w:t>
      </w:r>
      <w:r>
        <w:rPr>
          <w:spacing w:val="-11"/>
        </w:rPr>
        <w:t xml:space="preserve"> </w:t>
      </w:r>
      <w:r>
        <w:t>pain,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accordingly</w:t>
      </w:r>
      <w:r>
        <w:rPr>
          <w:spacing w:val="-11"/>
        </w:rPr>
        <w:t xml:space="preserve"> </w:t>
      </w:r>
      <w:r>
        <w:t>carries US</w:t>
      </w:r>
      <w:r>
        <w:rPr>
          <w:spacing w:val="-10"/>
        </w:rPr>
        <w:t xml:space="preserve"> </w:t>
      </w:r>
      <w:r>
        <w:rPr>
          <w:spacing w:val="-3"/>
        </w:rPr>
        <w:t>Food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Drug</w:t>
      </w:r>
      <w:r>
        <w:rPr>
          <w:spacing w:val="-21"/>
        </w:rPr>
        <w:t xml:space="preserve"> </w:t>
      </w:r>
      <w:r>
        <w:t>Administration</w:t>
      </w:r>
      <w:r>
        <w:rPr>
          <w:spacing w:val="-10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treatment</w:t>
      </w:r>
      <w:r>
        <w:rPr>
          <w:spacing w:val="-10"/>
        </w:rPr>
        <w:t xml:space="preserve"> </w:t>
      </w:r>
      <w:r>
        <w:t>of pain related to diabetic peripheral neuropathy.</w:t>
      </w:r>
      <w:r>
        <w:rPr>
          <w:position w:val="7"/>
          <w:sz w:val="11"/>
        </w:rPr>
        <w:t xml:space="preserve">17 </w:t>
      </w:r>
      <w:r>
        <w:rPr>
          <w:spacing w:val="13"/>
          <w:position w:val="7"/>
          <w:sz w:val="11"/>
        </w:rPr>
        <w:t xml:space="preserve"> </w:t>
      </w:r>
      <w:r>
        <w:t>Therefore,</w:t>
      </w:r>
    </w:p>
    <w:p w:rsidR="0080489A" w:rsidRDefault="0080489A">
      <w:pPr>
        <w:spacing w:line="292" w:lineRule="auto"/>
        <w:jc w:val="both"/>
        <w:sectPr w:rsidR="0080489A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354" w:space="40"/>
            <w:col w:w="6386"/>
          </w:cols>
        </w:sectPr>
      </w:pPr>
    </w:p>
    <w:p w:rsidR="0080489A" w:rsidRDefault="0080489A">
      <w:pPr>
        <w:pStyle w:val="BodyText"/>
      </w:pPr>
    </w:p>
    <w:p w:rsidR="0080489A" w:rsidRDefault="0080489A">
      <w:pPr>
        <w:pStyle w:val="BodyText"/>
        <w:spacing w:before="5" w:after="1"/>
        <w:rPr>
          <w:sz w:val="23"/>
        </w:rPr>
      </w:pPr>
    </w:p>
    <w:p w:rsidR="0080489A" w:rsidRDefault="0091324C">
      <w:pPr>
        <w:pStyle w:val="BodyText"/>
        <w:spacing w:line="20" w:lineRule="exact"/>
        <w:ind w:left="6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9" style="width:487.8pt;height:.5pt;mso-position-horizontal-relative:char;mso-position-vertical-relative:line" coordsize="9756,10">
            <v:line id="_x0000_s2060" style="position:absolute" from="5,5" to="9751,5" strokeweight=".5pt"/>
            <w10:wrap type="none"/>
            <w10:anchorlock/>
          </v:group>
        </w:pict>
      </w:r>
    </w:p>
    <w:p w:rsidR="0080489A" w:rsidRDefault="0080489A">
      <w:pPr>
        <w:spacing w:line="20" w:lineRule="exact"/>
        <w:rPr>
          <w:sz w:val="2"/>
        </w:rPr>
        <w:sectPr w:rsidR="0080489A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80489A" w:rsidRDefault="0091324C">
      <w:pPr>
        <w:tabs>
          <w:tab w:val="left" w:pos="1336"/>
        </w:tabs>
        <w:spacing w:before="4" w:line="219" w:lineRule="exact"/>
        <w:ind w:left="617"/>
        <w:rPr>
          <w:rFonts w:ascii="Gill Sans MT"/>
          <w:sz w:val="10"/>
        </w:rPr>
      </w:pPr>
      <w:r>
        <w:rPr>
          <w:rFonts w:ascii="Gill Sans MT"/>
          <w:b/>
          <w:position w:val="-6"/>
          <w:sz w:val="20"/>
        </w:rPr>
        <w:t>2</w:t>
      </w:r>
      <w:r>
        <w:rPr>
          <w:rFonts w:ascii="Gill Sans MT"/>
          <w:b/>
          <w:position w:val="-6"/>
          <w:sz w:val="20"/>
        </w:rPr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29">
        <w:r>
          <w:rPr>
            <w:rFonts w:ascii="Gill Sans MT"/>
            <w:color w:val="B8BABC"/>
            <w:sz w:val="10"/>
          </w:rPr>
          <w:t>www.dovepress.com</w:t>
        </w:r>
      </w:hyperlink>
    </w:p>
    <w:p w:rsidR="0080489A" w:rsidRDefault="0091324C">
      <w:pPr>
        <w:spacing w:line="137" w:lineRule="exact"/>
        <w:ind w:left="1316" w:right="1398"/>
        <w:jc w:val="center"/>
        <w:rPr>
          <w:rFonts w:ascii="Book Antiqua"/>
          <w:sz w:val="12"/>
        </w:rPr>
      </w:pPr>
      <w:hyperlink r:id="rId30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80489A" w:rsidRDefault="0091324C">
      <w:pPr>
        <w:spacing w:before="14"/>
        <w:ind w:left="617"/>
        <w:rPr>
          <w:rFonts w:ascii="Gill Sans MT"/>
          <w:sz w:val="16"/>
        </w:rPr>
      </w:pPr>
      <w:r>
        <w:br w:type="column"/>
      </w:r>
      <w:r>
        <w:rPr>
          <w:rFonts w:ascii="Gill Sans MT"/>
          <w:sz w:val="16"/>
        </w:rPr>
        <w:t>Journal of Pain Research 2018:11</w:t>
      </w:r>
    </w:p>
    <w:p w:rsidR="0080489A" w:rsidRDefault="0080489A">
      <w:pPr>
        <w:rPr>
          <w:rFonts w:ascii="Gill Sans MT"/>
          <w:sz w:val="16"/>
        </w:rPr>
        <w:sectPr w:rsidR="0080489A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3373" w:space="4201"/>
            <w:col w:w="4206"/>
          </w:cols>
        </w:sectPr>
      </w:pPr>
    </w:p>
    <w:p w:rsidR="0080489A" w:rsidRDefault="0091324C">
      <w:pPr>
        <w:tabs>
          <w:tab w:val="left" w:pos="7840"/>
        </w:tabs>
        <w:spacing w:before="90"/>
        <w:ind w:left="956"/>
        <w:rPr>
          <w:rFonts w:ascii="Gill Sans MT"/>
          <w:sz w:val="16"/>
        </w:rPr>
      </w:pPr>
      <w:r>
        <w:lastRenderedPageBreak/>
        <w:pict>
          <v:line id="_x0000_s2058" style="position:absolute;left:0;text-align:left;z-index:1336;mso-wrap-distance-left:0;mso-wrap-distance-right:0;mso-position-horizontal-relative:page" from="70.85pt,15.95pt" to="558.15pt,15.95pt" strokeweight=".5pt">
            <w10:wrap type="topAndBottom" anchorx="page"/>
          </v:line>
        </w:pict>
      </w:r>
      <w:hyperlink r:id="rId31">
        <w:r>
          <w:rPr>
            <w:rFonts w:ascii="Book Antiqua"/>
            <w:color w:val="3785AD"/>
            <w:sz w:val="16"/>
          </w:rPr>
          <w:t>Dove</w:t>
        </w:r>
        <w:r>
          <w:rPr>
            <w:rFonts w:ascii="Book Antiqua"/>
            <w:color w:val="B8BABC"/>
            <w:sz w:val="16"/>
          </w:rPr>
          <w:t>press</w:t>
        </w:r>
      </w:hyperlink>
      <w:r>
        <w:rPr>
          <w:rFonts w:ascii="Book Antiqua"/>
          <w:color w:val="B8BABC"/>
          <w:sz w:val="16"/>
        </w:rPr>
        <w:tab/>
      </w:r>
      <w:r>
        <w:rPr>
          <w:rFonts w:ascii="Gill Sans MT"/>
          <w:sz w:val="16"/>
        </w:rPr>
        <w:t>Safety concerns with CDC opioid</w:t>
      </w:r>
      <w:r>
        <w:rPr>
          <w:rFonts w:ascii="Gill Sans MT"/>
          <w:spacing w:val="-6"/>
          <w:sz w:val="16"/>
        </w:rPr>
        <w:t xml:space="preserve"> </w:t>
      </w:r>
      <w:r>
        <w:rPr>
          <w:rFonts w:ascii="Gill Sans MT"/>
          <w:sz w:val="16"/>
        </w:rPr>
        <w:t>calculator</w:t>
      </w:r>
    </w:p>
    <w:p w:rsidR="0080489A" w:rsidRDefault="0080489A">
      <w:pPr>
        <w:pStyle w:val="BodyText"/>
        <w:spacing w:before="9"/>
        <w:rPr>
          <w:rFonts w:ascii="Gill Sans MT"/>
          <w:sz w:val="10"/>
        </w:rPr>
      </w:pPr>
    </w:p>
    <w:p w:rsidR="0080489A" w:rsidRDefault="0080489A">
      <w:pPr>
        <w:rPr>
          <w:rFonts w:ascii="Gill Sans MT"/>
          <w:sz w:val="10"/>
        </w:rPr>
        <w:sectPr w:rsidR="0080489A">
          <w:pgSz w:w="12240" w:h="15840"/>
          <w:pgMar w:top="480" w:right="0" w:bottom="0" w:left="460" w:header="0" w:footer="0" w:gutter="0"/>
          <w:cols w:space="720"/>
        </w:sectPr>
      </w:pPr>
    </w:p>
    <w:p w:rsidR="0080489A" w:rsidRDefault="0091324C">
      <w:pPr>
        <w:pStyle w:val="BodyText"/>
        <w:spacing w:before="89" w:line="292" w:lineRule="auto"/>
        <w:ind w:left="956" w:right="2"/>
        <w:jc w:val="both"/>
      </w:pPr>
      <w:r>
        <w:t>patients with neuropathic pain are likely to require a lower “MME” when prescribed tapentadol relative to other tradi- tional opioids.</w:t>
      </w:r>
    </w:p>
    <w:p w:rsidR="0080489A" w:rsidRDefault="0091324C">
      <w:pPr>
        <w:pStyle w:val="BodyText"/>
        <w:spacing w:before="1" w:line="292" w:lineRule="auto"/>
        <w:ind w:left="956" w:firstLine="283"/>
        <w:jc w:val="both"/>
      </w:pPr>
      <w:r>
        <w:pict>
          <v:shape id="_x0000_s2057" type="#_x0000_t202" style="position:absolute;left:0;text-align:left;margin-left:23.5pt;margin-top:64.35pt;width:18.45pt;height:354.7pt;z-index:1384;mso-position-horizontal-relative:page" filled="f" stroked="f">
            <v:textbox style="layout-flow:vertical;mso-layout-flow-alt:bottom-to-top" inset="0,0,0,0">
              <w:txbxContent>
                <w:p w:rsidR="0080489A" w:rsidRDefault="0091324C">
                  <w:pPr>
                    <w:spacing w:before="28" w:line="160" w:lineRule="exact"/>
                    <w:ind w:left="2801" w:right="18" w:hanging="2782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32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18-Dec-2017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spacing w:val="-4"/>
        </w:rP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rPr>
          <w:spacing w:val="-4"/>
        </w:rPr>
        <w:t>mu-receptor</w:t>
      </w:r>
      <w:r>
        <w:rPr>
          <w:spacing w:val="-19"/>
        </w:rPr>
        <w:t xml:space="preserve"> </w:t>
      </w:r>
      <w:r>
        <w:rPr>
          <w:spacing w:val="-6"/>
        </w:rPr>
        <w:t>potency,</w:t>
      </w:r>
      <w:r>
        <w:rPr>
          <w:spacing w:val="-19"/>
        </w:rPr>
        <w:t xml:space="preserve"> </w:t>
      </w:r>
      <w:r>
        <w:rPr>
          <w:spacing w:val="-6"/>
        </w:rPr>
        <w:t>tapentadol’s</w:t>
      </w:r>
      <w:r>
        <w:rPr>
          <w:spacing w:val="-19"/>
        </w:rPr>
        <w:t xml:space="preserve"> </w:t>
      </w:r>
      <w:r>
        <w:rPr>
          <w:spacing w:val="-3"/>
        </w:rPr>
        <w:t>MME</w:t>
      </w:r>
      <w:r>
        <w:rPr>
          <w:spacing w:val="-19"/>
        </w:rPr>
        <w:t xml:space="preserve"> </w:t>
      </w:r>
      <w:r>
        <w:rPr>
          <w:spacing w:val="-3"/>
        </w:rPr>
        <w:t>for</w:t>
      </w:r>
      <w:r>
        <w:rPr>
          <w:spacing w:val="-19"/>
        </w:rPr>
        <w:t xml:space="preserve"> </w:t>
      </w:r>
      <w:r>
        <w:rPr>
          <w:spacing w:val="-3"/>
        </w:rPr>
        <w:t xml:space="preserve">non- </w:t>
      </w:r>
      <w:r>
        <w:t>analgesic</w:t>
      </w:r>
      <w:r>
        <w:rPr>
          <w:spacing w:val="-21"/>
        </w:rPr>
        <w:t xml:space="preserve"> </w:t>
      </w:r>
      <w:r>
        <w:rPr>
          <w:spacing w:val="-3"/>
        </w:rPr>
        <w:t>effects</w:t>
      </w:r>
      <w:r>
        <w:rPr>
          <w:spacing w:val="-21"/>
        </w:rPr>
        <w:t xml:space="preserve"> </w:t>
      </w:r>
      <w:r>
        <w:t>related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opioid</w:t>
      </w:r>
      <w:r>
        <w:rPr>
          <w:spacing w:val="-21"/>
        </w:rPr>
        <w:t xml:space="preserve"> </w:t>
      </w:r>
      <w:r>
        <w:t>receptor</w:t>
      </w:r>
      <w:r>
        <w:rPr>
          <w:spacing w:val="-21"/>
        </w:rPr>
        <w:t xml:space="preserve"> </w:t>
      </w:r>
      <w:r>
        <w:rPr>
          <w:spacing w:val="-3"/>
        </w:rPr>
        <w:t>activation,</w:t>
      </w:r>
      <w:r>
        <w:rPr>
          <w:spacing w:val="-21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 xml:space="preserve">as </w:t>
      </w:r>
      <w:r>
        <w:rPr>
          <w:spacing w:val="-3"/>
        </w:rPr>
        <w:t>respiratory</w:t>
      </w:r>
      <w:r>
        <w:rPr>
          <w:spacing w:val="-16"/>
        </w:rPr>
        <w:t xml:space="preserve"> </w:t>
      </w:r>
      <w:r>
        <w:rPr>
          <w:spacing w:val="-3"/>
        </w:rPr>
        <w:t>depression,</w:t>
      </w:r>
      <w:r>
        <w:rPr>
          <w:spacing w:val="-16"/>
        </w:rPr>
        <w:t xml:space="preserve"> </w:t>
      </w:r>
      <w:r>
        <w:rPr>
          <w:spacing w:val="-4"/>
        </w:rPr>
        <w:t>would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rPr>
          <w:spacing w:val="-3"/>
        </w:rPr>
        <w:t>less</w:t>
      </w:r>
      <w:r>
        <w:rPr>
          <w:spacing w:val="-16"/>
        </w:rPr>
        <w:t xml:space="preserve"> </w:t>
      </w:r>
      <w:r>
        <w:rPr>
          <w:spacing w:val="-3"/>
        </w:rPr>
        <w:t>than</w:t>
      </w:r>
      <w:r>
        <w:rPr>
          <w:spacing w:val="-16"/>
        </w:rPr>
        <w:t xml:space="preserve"> </w:t>
      </w:r>
      <w:r>
        <w:rPr>
          <w:spacing w:val="-3"/>
        </w:rPr>
        <w:t>equianalgesic</w:t>
      </w:r>
      <w:r>
        <w:rPr>
          <w:spacing w:val="-16"/>
        </w:rPr>
        <w:t xml:space="preserve"> </w:t>
      </w:r>
      <w:r>
        <w:rPr>
          <w:spacing w:val="-3"/>
        </w:rPr>
        <w:t xml:space="preserve">doses </w:t>
      </w:r>
      <w:r>
        <w:t>determined through cl</w:t>
      </w:r>
      <w:r>
        <w:t>inical trials; therefore, applying this equianalgesic</w:t>
      </w:r>
      <w:r>
        <w:rPr>
          <w:spacing w:val="-10"/>
        </w:rPr>
        <w:t xml:space="preserve"> </w:t>
      </w:r>
      <w:r>
        <w:t>dose</w:t>
      </w:r>
      <w:r>
        <w:rPr>
          <w:spacing w:val="-10"/>
        </w:rPr>
        <w:t xml:space="preserve"> </w:t>
      </w:r>
      <w:r>
        <w:t>conversion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switching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tapent- adol to a traditional opioid agonist (eg, morphine,</w:t>
      </w:r>
      <w:r>
        <w:rPr>
          <w:spacing w:val="-13"/>
        </w:rPr>
        <w:t xml:space="preserve"> </w:t>
      </w:r>
      <w:r>
        <w:t>hydroco- done,</w:t>
      </w:r>
      <w:r>
        <w:rPr>
          <w:spacing w:val="-22"/>
        </w:rPr>
        <w:t xml:space="preserve"> </w:t>
      </w:r>
      <w:r>
        <w:rPr>
          <w:spacing w:val="-3"/>
        </w:rPr>
        <w:t>oxycodone)</w:t>
      </w:r>
      <w:r>
        <w:rPr>
          <w:spacing w:val="-22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yield</w:t>
      </w:r>
      <w:r>
        <w:rPr>
          <w:spacing w:val="-22"/>
        </w:rPr>
        <w:t xml:space="preserve"> </w:t>
      </w:r>
      <w:r>
        <w:t>higher</w:t>
      </w:r>
      <w:r>
        <w:rPr>
          <w:spacing w:val="-22"/>
        </w:rPr>
        <w:t xml:space="preserve"> </w:t>
      </w:r>
      <w:r>
        <w:t>opioid</w:t>
      </w:r>
      <w:r>
        <w:rPr>
          <w:spacing w:val="-22"/>
        </w:rPr>
        <w:t xml:space="preserve"> </w:t>
      </w:r>
      <w:r>
        <w:t>receptor</w:t>
      </w:r>
      <w:r>
        <w:rPr>
          <w:spacing w:val="-22"/>
        </w:rPr>
        <w:t xml:space="preserve"> </w:t>
      </w:r>
      <w:r>
        <w:rPr>
          <w:spacing w:val="-3"/>
        </w:rPr>
        <w:t xml:space="preserve">activation </w:t>
      </w:r>
      <w:r>
        <w:t>and</w:t>
      </w:r>
      <w:r>
        <w:rPr>
          <w:spacing w:val="-18"/>
        </w:rPr>
        <w:t xml:space="preserve"> </w:t>
      </w:r>
      <w:r>
        <w:rPr>
          <w:spacing w:val="-3"/>
        </w:rPr>
        <w:t>increased</w:t>
      </w:r>
      <w:r>
        <w:rPr>
          <w:spacing w:val="-18"/>
        </w:rPr>
        <w:t xml:space="preserve"> </w:t>
      </w:r>
      <w:r>
        <w:rPr>
          <w:spacing w:val="-3"/>
        </w:rPr>
        <w:t>respiratory</w:t>
      </w:r>
      <w:r>
        <w:rPr>
          <w:spacing w:val="-18"/>
        </w:rPr>
        <w:t xml:space="preserve"> </w:t>
      </w:r>
      <w:r>
        <w:rPr>
          <w:spacing w:val="-3"/>
        </w:rPr>
        <w:t>depression.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3"/>
        </w:rPr>
        <w:t>this</w:t>
      </w:r>
      <w:r>
        <w:rPr>
          <w:spacing w:val="-18"/>
        </w:rPr>
        <w:t xml:space="preserve"> </w:t>
      </w:r>
      <w:r>
        <w:rPr>
          <w:spacing w:val="-3"/>
        </w:rPr>
        <w:t>reason,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CDC calculator</w:t>
      </w:r>
      <w:r>
        <w:rPr>
          <w:spacing w:val="-18"/>
        </w:rPr>
        <w:t xml:space="preserve"> </w:t>
      </w:r>
      <w:r>
        <w:t>MME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-3"/>
        </w:rPr>
        <w:t>tapentadol</w:t>
      </w:r>
      <w:r>
        <w:rPr>
          <w:spacing w:val="-18"/>
        </w:rPr>
        <w:t xml:space="preserve"> </w:t>
      </w:r>
      <w:r>
        <w:rPr>
          <w:spacing w:val="-3"/>
        </w:rPr>
        <w:t>represents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3"/>
        </w:rPr>
        <w:t>major</w:t>
      </w:r>
      <w:r>
        <w:rPr>
          <w:spacing w:val="-18"/>
        </w:rPr>
        <w:t xml:space="preserve"> </w:t>
      </w:r>
      <w:r>
        <w:rPr>
          <w:spacing w:val="-3"/>
        </w:rPr>
        <w:t>safety</w:t>
      </w:r>
      <w:r>
        <w:rPr>
          <w:spacing w:val="-18"/>
        </w:rPr>
        <w:t xml:space="preserve"> </w:t>
      </w:r>
      <w:r>
        <w:rPr>
          <w:spacing w:val="-3"/>
        </w:rPr>
        <w:t xml:space="preserve">issue </w:t>
      </w:r>
      <w:r>
        <w:t>if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converting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tapentadol.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8"/>
        </w:rPr>
        <w:t>CDC’s</w:t>
      </w:r>
      <w:r>
        <w:rPr>
          <w:spacing w:val="-20"/>
        </w:rPr>
        <w:t xml:space="preserve"> </w:t>
      </w:r>
      <w:r>
        <w:rPr>
          <w:spacing w:val="-4"/>
        </w:rPr>
        <w:t>calculator’s,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patient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tapentadol</w:t>
      </w:r>
      <w:r>
        <w:rPr>
          <w:spacing w:val="-20"/>
        </w:rPr>
        <w:t xml:space="preserve"> </w:t>
      </w:r>
      <w:r>
        <w:rPr>
          <w:spacing w:val="-3"/>
        </w:rPr>
        <w:t>daily</w:t>
      </w:r>
      <w:r>
        <w:rPr>
          <w:spacing w:val="-20"/>
        </w:rPr>
        <w:t xml:space="preserve"> </w:t>
      </w:r>
      <w:r>
        <w:t>dose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2"/>
        </w:rPr>
        <w:t xml:space="preserve">200 </w:t>
      </w:r>
      <w:r>
        <w:t>mg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calculated</w:t>
      </w:r>
      <w:r>
        <w:rPr>
          <w:spacing w:val="-13"/>
        </w:rPr>
        <w:t xml:space="preserve"> </w:t>
      </w:r>
      <w:r>
        <w:t>MME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80</w:t>
      </w:r>
      <w:r>
        <w:rPr>
          <w:spacing w:val="-13"/>
        </w:rPr>
        <w:t xml:space="preserve"> </w:t>
      </w:r>
      <w:r>
        <w:t>mg.</w:t>
      </w:r>
      <w:r>
        <w:rPr>
          <w:position w:val="7"/>
          <w:sz w:val="11"/>
        </w:rPr>
        <w:t>13</w:t>
      </w:r>
      <w:r>
        <w:rPr>
          <w:spacing w:val="-19"/>
          <w:position w:val="7"/>
          <w:sz w:val="11"/>
        </w:rPr>
        <w:t xml:space="preserve"> </w:t>
      </w:r>
      <w:r>
        <w:t>Therefore,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this patient is converted to a daily dose of 80 mg of morphine, she/he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opioid</w:t>
      </w:r>
      <w:r>
        <w:rPr>
          <w:spacing w:val="-7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previ- ous</w:t>
      </w:r>
      <w:r>
        <w:rPr>
          <w:spacing w:val="-11"/>
        </w:rPr>
        <w:t xml:space="preserve"> </w:t>
      </w:r>
      <w:r>
        <w:t>dose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tapentadol,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3"/>
        </w:rPr>
        <w:t>subsequently,</w:t>
      </w:r>
      <w:r>
        <w:rPr>
          <w:spacing w:val="-11"/>
        </w:rPr>
        <w:t xml:space="preserve"> </w:t>
      </w:r>
      <w:r>
        <w:rPr>
          <w:spacing w:val="-3"/>
        </w:rP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placed</w:t>
      </w:r>
      <w:r>
        <w:rPr>
          <w:spacing w:val="-11"/>
        </w:rPr>
        <w:t xml:space="preserve"> </w:t>
      </w:r>
      <w:r>
        <w:t>at increased risk for opioid</w:t>
      </w:r>
      <w:r>
        <w:rPr>
          <w:spacing w:val="-20"/>
        </w:rPr>
        <w:t xml:space="preserve"> </w:t>
      </w:r>
      <w:r>
        <w:rPr>
          <w:spacing w:val="-3"/>
        </w:rPr>
        <w:t>overdose.</w:t>
      </w:r>
    </w:p>
    <w:p w:rsidR="0080489A" w:rsidRDefault="0091324C">
      <w:pPr>
        <w:pStyle w:val="BodyText"/>
        <w:spacing w:before="1" w:line="292" w:lineRule="auto"/>
        <w:ind w:left="956" w:firstLine="283"/>
        <w:jc w:val="both"/>
      </w:pPr>
      <w:r>
        <w:rPr>
          <w:spacing w:val="-10"/>
        </w:rPr>
        <w:t xml:space="preserve">We </w:t>
      </w:r>
      <w:r>
        <w:t>do co</w:t>
      </w:r>
      <w:r>
        <w:t>mmend CDC for not including buprenorphine in their online Opioid Guide App. Buprenorphine is a par- tial agonist at the mu-receptor and has antagonist activity at the kappa receptor.</w:t>
      </w:r>
      <w:r>
        <w:rPr>
          <w:position w:val="7"/>
          <w:sz w:val="11"/>
        </w:rPr>
        <w:t xml:space="preserve">19 </w:t>
      </w:r>
      <w:r>
        <w:t xml:space="preserve">This results in a plateau effect of carbon dioxide accumulation as the </w:t>
      </w:r>
      <w:r>
        <w:t>dose increases and it  is associated with a decreased incidence of opioid-induced respiratory depression. Additionally, buprenorphine has a significantly higher affinity for the mu-receptor compared to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pure</w:t>
      </w:r>
      <w:r>
        <w:rPr>
          <w:spacing w:val="-7"/>
        </w:rPr>
        <w:t xml:space="preserve"> </w:t>
      </w:r>
      <w:r>
        <w:t>mu</w:t>
      </w:r>
      <w:r>
        <w:rPr>
          <w:spacing w:val="-7"/>
        </w:rPr>
        <w:t xml:space="preserve"> </w:t>
      </w:r>
      <w:r>
        <w:t>agonists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their binding.</w:t>
      </w:r>
      <w:r>
        <w:rPr>
          <w:spacing w:val="-2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represent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potentially</w:t>
      </w:r>
      <w:r>
        <w:rPr>
          <w:spacing w:val="-14"/>
        </w:rPr>
        <w:t xml:space="preserve"> </w:t>
      </w:r>
      <w:r>
        <w:t>dangerous</w:t>
      </w:r>
      <w:r>
        <w:rPr>
          <w:spacing w:val="-14"/>
        </w:rPr>
        <w:t xml:space="preserve"> </w:t>
      </w:r>
      <w:r>
        <w:t>situation when converting from buprenorphine to a pure mu agonist such</w:t>
      </w:r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oxycodone.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patient</w:t>
      </w:r>
      <w:r>
        <w:rPr>
          <w:spacing w:val="-19"/>
        </w:rPr>
        <w:t xml:space="preserve"> </w:t>
      </w:r>
      <w:r>
        <w:rPr>
          <w:spacing w:val="-3"/>
        </w:rPr>
        <w:t>was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appropriately</w:t>
      </w:r>
      <w:r>
        <w:rPr>
          <w:spacing w:val="-19"/>
        </w:rPr>
        <w:t xml:space="preserve"> </w:t>
      </w:r>
      <w:r>
        <w:t>tapered off buprenorphine prior to oxycodone initiation, it could</w:t>
      </w:r>
      <w:r>
        <w:rPr>
          <w:spacing w:val="-10"/>
        </w:rPr>
        <w:t xml:space="preserve"> </w:t>
      </w:r>
      <w:r>
        <w:t>be expected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minimal</w:t>
      </w:r>
      <w:r>
        <w:rPr>
          <w:spacing w:val="-7"/>
        </w:rPr>
        <w:t xml:space="preserve"> </w:t>
      </w:r>
      <w:r>
        <w:t>analgesic</w:t>
      </w:r>
      <w:r>
        <w:rPr>
          <w:spacing w:val="-7"/>
        </w:rPr>
        <w:t xml:space="preserve"> </w:t>
      </w:r>
      <w:r>
        <w:t>effects,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buprenor- phine inhibits oxycodone binding with the receptor. This could</w:t>
      </w:r>
      <w:r>
        <w:rPr>
          <w:spacing w:val="-19"/>
        </w:rPr>
        <w:t xml:space="preserve"> </w:t>
      </w:r>
      <w:r>
        <w:t>result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unanticipated</w:t>
      </w:r>
      <w:r>
        <w:rPr>
          <w:spacing w:val="-19"/>
        </w:rPr>
        <w:t xml:space="preserve"> </w:t>
      </w:r>
      <w:r>
        <w:rPr>
          <w:spacing w:val="-3"/>
        </w:rPr>
        <w:t>overdose</w:t>
      </w:r>
      <w:r>
        <w:rPr>
          <w:spacing w:val="-19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appropriately considered when dosing</w:t>
      </w:r>
      <w:r>
        <w:rPr>
          <w:spacing w:val="-8"/>
        </w:rPr>
        <w:t xml:space="preserve"> </w:t>
      </w:r>
      <w:r>
        <w:t>oxycodone.</w:t>
      </w:r>
    </w:p>
    <w:p w:rsidR="0080489A" w:rsidRDefault="0091324C">
      <w:pPr>
        <w:pStyle w:val="BodyText"/>
        <w:spacing w:before="89" w:line="292" w:lineRule="auto"/>
        <w:ind w:left="240" w:right="1073"/>
        <w:jc w:val="both"/>
      </w:pPr>
      <w:r>
        <w:br w:type="column"/>
      </w:r>
      <w:r>
        <w:t xml:space="preserve">the Institute of </w:t>
      </w:r>
      <w:r>
        <w:rPr>
          <w:spacing w:val="-3"/>
        </w:rPr>
        <w:t xml:space="preserve">Medicine’s </w:t>
      </w:r>
      <w:r>
        <w:t>recommended standards</w:t>
      </w:r>
      <w:r>
        <w:t xml:space="preserve"> for the </w:t>
      </w:r>
      <w:r>
        <w:rPr>
          <w:spacing w:val="2"/>
        </w:rPr>
        <w:t xml:space="preserve">creation </w:t>
      </w:r>
      <w:r>
        <w:t xml:space="preserve">of </w:t>
      </w:r>
      <w:r>
        <w:rPr>
          <w:spacing w:val="2"/>
        </w:rPr>
        <w:t>clinical practice guidelines.</w:t>
      </w:r>
      <w:r>
        <w:rPr>
          <w:spacing w:val="2"/>
          <w:position w:val="7"/>
          <w:sz w:val="11"/>
        </w:rPr>
        <w:t xml:space="preserve">23 </w:t>
      </w:r>
      <w:r>
        <w:rPr>
          <w:spacing w:val="2"/>
        </w:rPr>
        <w:t xml:space="preserve">More </w:t>
      </w:r>
      <w:r>
        <w:t>recently, Schatman and Ziegler noted that such manipulation of data is contributing to the tragic climate of opiophobia and oli- goanalgesia, thereby resulting in needless suffering among patients w</w:t>
      </w:r>
      <w:r>
        <w:t>ith chronic pain.</w:t>
      </w:r>
      <w:r>
        <w:rPr>
          <w:position w:val="7"/>
          <w:sz w:val="11"/>
        </w:rPr>
        <w:t xml:space="preserve">24 </w:t>
      </w:r>
      <w:r>
        <w:t>These transgressions are com- pounded</w:t>
      </w:r>
      <w:r>
        <w:rPr>
          <w:spacing w:val="-12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6"/>
        </w:rPr>
        <w:t>CDC’s</w:t>
      </w:r>
      <w:r>
        <w:rPr>
          <w:spacing w:val="-12"/>
        </w:rPr>
        <w:t xml:space="preserve"> </w:t>
      </w:r>
      <w:r>
        <w:t>promotion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3"/>
        </w:rPr>
        <w:t>flawed</w:t>
      </w:r>
      <w:r>
        <w:rPr>
          <w:spacing w:val="-2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opioid conversion, which may have the potential to cause more </w:t>
      </w:r>
      <w:r>
        <w:rPr>
          <w:spacing w:val="-4"/>
        </w:rPr>
        <w:t>overdoses</w:t>
      </w:r>
      <w:r>
        <w:rPr>
          <w:spacing w:val="-22"/>
        </w:rPr>
        <w:t xml:space="preserve"> </w:t>
      </w:r>
      <w:r>
        <w:t>than</w:t>
      </w:r>
      <w:r>
        <w:rPr>
          <w:spacing w:val="-22"/>
        </w:rPr>
        <w:t xml:space="preserve"> </w:t>
      </w:r>
      <w:r>
        <w:t>careful</w:t>
      </w:r>
      <w:r>
        <w:rPr>
          <w:spacing w:val="-22"/>
        </w:rPr>
        <w:t xml:space="preserve"> </w:t>
      </w:r>
      <w:r>
        <w:t>manual</w:t>
      </w:r>
      <w:r>
        <w:rPr>
          <w:spacing w:val="-22"/>
        </w:rPr>
        <w:t xml:space="preserve"> </w:t>
      </w:r>
      <w:r>
        <w:rPr>
          <w:spacing w:val="-3"/>
        </w:rPr>
        <w:t>conversion</w:t>
      </w:r>
      <w:r>
        <w:rPr>
          <w:spacing w:val="-22"/>
        </w:rPr>
        <w:t xml:space="preserve"> </w:t>
      </w:r>
      <w:r>
        <w:rPr>
          <w:spacing w:val="-3"/>
        </w:rPr>
        <w:t>when</w:t>
      </w:r>
      <w:r>
        <w:rPr>
          <w:spacing w:val="-22"/>
        </w:rPr>
        <w:t xml:space="preserve"> </w:t>
      </w:r>
      <w:r>
        <w:t>transitioning therapy between</w:t>
      </w:r>
      <w:r>
        <w:rPr>
          <w:spacing w:val="-13"/>
        </w:rPr>
        <w:t xml:space="preserve"> </w:t>
      </w:r>
      <w:r>
        <w:t>opioids!</w:t>
      </w:r>
    </w:p>
    <w:p w:rsidR="0080489A" w:rsidRDefault="0080489A">
      <w:pPr>
        <w:pStyle w:val="BodyText"/>
        <w:rPr>
          <w:sz w:val="18"/>
        </w:rPr>
      </w:pPr>
    </w:p>
    <w:p w:rsidR="0080489A" w:rsidRDefault="0091324C">
      <w:pPr>
        <w:pStyle w:val="Heading1"/>
      </w:pPr>
      <w:r>
        <w:t>Conclusion</w:t>
      </w:r>
    </w:p>
    <w:p w:rsidR="0080489A" w:rsidRDefault="0091324C">
      <w:pPr>
        <w:pStyle w:val="BodyText"/>
        <w:spacing w:before="28" w:line="292" w:lineRule="auto"/>
        <w:ind w:left="240" w:right="1072"/>
        <w:jc w:val="both"/>
      </w:pPr>
      <w:r>
        <w:t>MME dosing was designed in an attempt to examine opi- oids with similar analgesic effects and should not be used 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dosing</w:t>
      </w:r>
      <w:r>
        <w:rPr>
          <w:spacing w:val="-5"/>
        </w:rPr>
        <w:t xml:space="preserve"> </w:t>
      </w:r>
      <w:r>
        <w:t>conversion.</w:t>
      </w:r>
      <w:r>
        <w:rPr>
          <w:spacing w:val="-14"/>
        </w:rPr>
        <w:t xml:space="preserve"> </w:t>
      </w:r>
      <w:r>
        <w:t>The pharmacology and unique properties of each opioid and patient</w:t>
      </w:r>
      <w:r>
        <w:rPr>
          <w:spacing w:val="-7"/>
        </w:rPr>
        <w:t xml:space="preserve"> </w:t>
      </w:r>
      <w:r>
        <w:t>individualit</w:t>
      </w:r>
      <w:r>
        <w:t>y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therapeutic opioid conversion is contemplated. Conversion should not simply</w:t>
      </w:r>
      <w:r>
        <w:rPr>
          <w:spacing w:val="-13"/>
        </w:rPr>
        <w:t xml:space="preserve"> </w:t>
      </w:r>
      <w:r>
        <w:t>rely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mathematical</w:t>
      </w:r>
      <w:r>
        <w:rPr>
          <w:spacing w:val="-13"/>
        </w:rPr>
        <w:t xml:space="preserve"> </w:t>
      </w:r>
      <w:r>
        <w:t>formula</w:t>
      </w:r>
      <w:r>
        <w:rPr>
          <w:spacing w:val="-13"/>
        </w:rPr>
        <w:t xml:space="preserve"> </w:t>
      </w:r>
      <w:r>
        <w:t>embedded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 xml:space="preserve">the CDC calculator software. Furthermore, the current calcula- tion for methadone employed </w:t>
      </w:r>
      <w:r>
        <w:rPr>
          <w:spacing w:val="-3"/>
        </w:rPr>
        <w:t xml:space="preserve">by </w:t>
      </w:r>
      <w:r>
        <w:t>the calcula</w:t>
      </w:r>
      <w:r>
        <w:t>tor could allow for potentially dangerous conversions. This is especially problematic considering this calculator is intended to</w:t>
      </w:r>
      <w:r>
        <w:rPr>
          <w:spacing w:val="-21"/>
        </w:rPr>
        <w:t xml:space="preserve"> </w:t>
      </w:r>
      <w:r>
        <w:t>target nonspecialist,</w:t>
      </w:r>
      <w:r>
        <w:rPr>
          <w:spacing w:val="-19"/>
        </w:rPr>
        <w:t xml:space="preserve"> </w:t>
      </w:r>
      <w:r>
        <w:t>general</w:t>
      </w:r>
      <w:r>
        <w:rPr>
          <w:spacing w:val="-19"/>
        </w:rPr>
        <w:t xml:space="preserve"> </w:t>
      </w:r>
      <w:r>
        <w:t>practitioners.</w:t>
      </w:r>
      <w:r>
        <w:rPr>
          <w:spacing w:val="-24"/>
        </w:rPr>
        <w:t xml:space="preserve"> </w:t>
      </w:r>
      <w:r>
        <w:rPr>
          <w:spacing w:val="-11"/>
        </w:rPr>
        <w:t>We</w:t>
      </w:r>
      <w:r>
        <w:rPr>
          <w:spacing w:val="-19"/>
        </w:rPr>
        <w:t xml:space="preserve"> </w:t>
      </w:r>
      <w:r>
        <w:t>expect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higher</w:t>
      </w:r>
      <w:r>
        <w:rPr>
          <w:spacing w:val="-19"/>
        </w:rPr>
        <w:t xml:space="preserve"> </w:t>
      </w:r>
      <w:r>
        <w:rPr>
          <w:spacing w:val="-3"/>
        </w:rPr>
        <w:t xml:space="preserve">level </w:t>
      </w:r>
      <w:r>
        <w:t>of</w:t>
      </w:r>
      <w:r>
        <w:rPr>
          <w:spacing w:val="-20"/>
        </w:rPr>
        <w:t xml:space="preserve"> </w:t>
      </w:r>
      <w:r>
        <w:t>scientific</w:t>
      </w:r>
      <w:r>
        <w:rPr>
          <w:spacing w:val="-20"/>
        </w:rPr>
        <w:t xml:space="preserve"> </w:t>
      </w:r>
      <w:r>
        <w:t>accuracy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integrity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agency</w:t>
      </w:r>
      <w:r>
        <w:rPr>
          <w:spacing w:val="-20"/>
        </w:rPr>
        <w:t xml:space="preserve"> </w:t>
      </w:r>
      <w:r>
        <w:t>entrusted to protect citizens’ health and</w:t>
      </w:r>
      <w:r>
        <w:rPr>
          <w:spacing w:val="-21"/>
        </w:rPr>
        <w:t xml:space="preserve"> </w:t>
      </w:r>
      <w:r>
        <w:t>welfare.</w:t>
      </w:r>
    </w:p>
    <w:p w:rsidR="0080489A" w:rsidRDefault="0080489A">
      <w:pPr>
        <w:pStyle w:val="BodyText"/>
        <w:spacing w:before="6"/>
        <w:rPr>
          <w:sz w:val="21"/>
        </w:rPr>
      </w:pPr>
    </w:p>
    <w:p w:rsidR="0080489A" w:rsidRDefault="0091324C">
      <w:pPr>
        <w:pStyle w:val="Heading1"/>
      </w:pPr>
      <w:r>
        <w:t>Disclosure</w:t>
      </w:r>
    </w:p>
    <w:p w:rsidR="0080489A" w:rsidRDefault="0091324C">
      <w:pPr>
        <w:pStyle w:val="BodyText"/>
        <w:spacing w:before="28" w:line="292" w:lineRule="auto"/>
        <w:ind w:left="240" w:right="1072"/>
        <w:jc w:val="both"/>
      </w:pPr>
      <w:r>
        <w:rPr>
          <w:spacing w:val="-3"/>
        </w:rPr>
        <w:t>This</w:t>
      </w:r>
      <w:r>
        <w:rPr>
          <w:spacing w:val="-19"/>
        </w:rPr>
        <w:t xml:space="preserve"> </w:t>
      </w:r>
      <w:r>
        <w:t>article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sole</w:t>
      </w:r>
      <w:r>
        <w:rPr>
          <w:spacing w:val="-19"/>
        </w:rPr>
        <w:t xml:space="preserve"> </w:t>
      </w:r>
      <w:r>
        <w:rPr>
          <w:spacing w:val="-5"/>
        </w:rPr>
        <w:t>work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authors,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3"/>
        </w:rPr>
        <w:t>stated</w:t>
      </w:r>
      <w:r>
        <w:rPr>
          <w:spacing w:val="-19"/>
        </w:rPr>
        <w:t xml:space="preserve"> </w:t>
      </w:r>
      <w:r>
        <w:rPr>
          <w:spacing w:val="-3"/>
        </w:rPr>
        <w:t>opinions or</w:t>
      </w:r>
      <w:r>
        <w:rPr>
          <w:spacing w:val="-20"/>
        </w:rPr>
        <w:t xml:space="preserve"> </w:t>
      </w:r>
      <w:r>
        <w:rPr>
          <w:spacing w:val="-5"/>
        </w:rPr>
        <w:t>assertions</w:t>
      </w:r>
      <w:r>
        <w:rPr>
          <w:spacing w:val="-20"/>
        </w:rPr>
        <w:t xml:space="preserve"> </w:t>
      </w:r>
      <w:r>
        <w:rPr>
          <w:spacing w:val="-3"/>
        </w:rPr>
        <w:t>do</w:t>
      </w:r>
      <w:r>
        <w:rPr>
          <w:spacing w:val="-20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reflect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opinions</w:t>
      </w:r>
      <w:r>
        <w:rPr>
          <w:spacing w:val="-20"/>
        </w:rPr>
        <w:t xml:space="preserve"> </w:t>
      </w:r>
      <w:r>
        <w:rPr>
          <w:spacing w:val="-3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employers,</w:t>
      </w:r>
      <w:r>
        <w:rPr>
          <w:spacing w:val="-20"/>
        </w:rPr>
        <w:t xml:space="preserve"> </w:t>
      </w:r>
      <w:r>
        <w:rPr>
          <w:spacing w:val="-7"/>
        </w:rPr>
        <w:t xml:space="preserve">employee </w:t>
      </w:r>
      <w:r>
        <w:t>affiliates,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3"/>
        </w:rPr>
        <w:t>any</w:t>
      </w:r>
      <w:r>
        <w:rPr>
          <w:spacing w:val="-13"/>
        </w:rPr>
        <w:t xml:space="preserve"> </w:t>
      </w:r>
      <w:r>
        <w:t>pharmaceutical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listed.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3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 xml:space="preserve">not </w:t>
      </w:r>
      <w:r>
        <w:t>prepared as part of the authors’ duties as federal</w:t>
      </w:r>
      <w:r>
        <w:rPr>
          <w:spacing w:val="-31"/>
        </w:rPr>
        <w:t xml:space="preserve"> </w:t>
      </w:r>
      <w:r>
        <w:rPr>
          <w:spacing w:val="-4"/>
        </w:rPr>
        <w:t>employees</w:t>
      </w:r>
      <w:r>
        <w:rPr>
          <w:i/>
          <w:spacing w:val="-4"/>
        </w:rPr>
        <w:t xml:space="preserve">. </w:t>
      </w:r>
      <w:r>
        <w:rPr>
          <w:spacing w:val="-3"/>
        </w:rPr>
        <w:t>Jeffrey</w:t>
      </w:r>
      <w:r>
        <w:rPr>
          <w:spacing w:val="-12"/>
        </w:rPr>
        <w:t xml:space="preserve"> </w:t>
      </w:r>
      <w:r>
        <w:t>Fudin</w:t>
      </w:r>
      <w:r>
        <w:rPr>
          <w:spacing w:val="-12"/>
        </w:rPr>
        <w:t xml:space="preserve"> </w:t>
      </w:r>
      <w:r>
        <w:t>reports:</w:t>
      </w:r>
      <w:r>
        <w:rPr>
          <w:spacing w:val="-21"/>
        </w:rPr>
        <w:t xml:space="preserve"> </w:t>
      </w:r>
      <w:r>
        <w:t>Astra</w:t>
      </w:r>
      <w:r>
        <w:rPr>
          <w:spacing w:val="-12"/>
        </w:rPr>
        <w:t xml:space="preserve"> </w:t>
      </w:r>
      <w:r>
        <w:t>Zeneca</w:t>
      </w:r>
      <w:r>
        <w:rPr>
          <w:spacing w:val="-12"/>
        </w:rPr>
        <w:t xml:space="preserve"> </w:t>
      </w:r>
      <w:r>
        <w:t>(Speakers</w:t>
      </w:r>
      <w:r>
        <w:rPr>
          <w:spacing w:val="-12"/>
        </w:rPr>
        <w:t xml:space="preserve"> </w:t>
      </w:r>
      <w:r>
        <w:t>Bureau);</w:t>
      </w:r>
      <w:r>
        <w:rPr>
          <w:spacing w:val="-12"/>
        </w:rPr>
        <w:t xml:space="preserve"> </w:t>
      </w:r>
      <w:r>
        <w:t>Dai- ichi</w:t>
      </w:r>
      <w:r>
        <w:rPr>
          <w:spacing w:val="-10"/>
        </w:rPr>
        <w:t xml:space="preserve"> </w:t>
      </w:r>
      <w:r>
        <w:rPr>
          <w:spacing w:val="-3"/>
        </w:rPr>
        <w:t>Sankyo</w:t>
      </w:r>
      <w:r>
        <w:rPr>
          <w:spacing w:val="-10"/>
        </w:rPr>
        <w:t xml:space="preserve"> </w:t>
      </w:r>
      <w:r>
        <w:t>(Advisory</w:t>
      </w:r>
      <w:r>
        <w:rPr>
          <w:spacing w:val="-10"/>
        </w:rPr>
        <w:t xml:space="preserve"> </w:t>
      </w:r>
      <w:r>
        <w:t>Board);</w:t>
      </w:r>
      <w:r>
        <w:rPr>
          <w:spacing w:val="-10"/>
        </w:rPr>
        <w:t xml:space="preserve"> </w:t>
      </w:r>
      <w:r>
        <w:t>Egalet</w:t>
      </w:r>
      <w:r>
        <w:rPr>
          <w:spacing w:val="-10"/>
        </w:rPr>
        <w:t xml:space="preserve"> </w:t>
      </w:r>
      <w:r>
        <w:t>(consultant,</w:t>
      </w:r>
      <w:r>
        <w:rPr>
          <w:spacing w:val="-19"/>
        </w:rPr>
        <w:t xml:space="preserve"> </w:t>
      </w:r>
      <w:r>
        <w:t xml:space="preserve">Advisory </w:t>
      </w:r>
      <w:r>
        <w:rPr>
          <w:spacing w:val="2"/>
        </w:rPr>
        <w:t xml:space="preserve">Board); Quest Labs </w:t>
      </w:r>
      <w:r>
        <w:rPr>
          <w:spacing w:val="3"/>
        </w:rPr>
        <w:t xml:space="preserve">(Advisory </w:t>
      </w:r>
      <w:r>
        <w:rPr>
          <w:spacing w:val="2"/>
        </w:rPr>
        <w:t xml:space="preserve">Board; Remitigate, </w:t>
      </w:r>
      <w:r>
        <w:rPr>
          <w:spacing w:val="3"/>
        </w:rPr>
        <w:t xml:space="preserve">LLC </w:t>
      </w:r>
      <w:r>
        <w:t>[Owner]).</w:t>
      </w:r>
      <w:r>
        <w:rPr>
          <w:spacing w:val="-31"/>
        </w:rPr>
        <w:t xml:space="preserve"> </w:t>
      </w:r>
      <w:r>
        <w:t>Michael</w:t>
      </w:r>
      <w:r>
        <w:rPr>
          <w:spacing w:val="-31"/>
        </w:rPr>
        <w:t xml:space="preserve"> </w:t>
      </w:r>
      <w:r>
        <w:t>S</w:t>
      </w:r>
      <w:r>
        <w:t>chatman</w:t>
      </w:r>
      <w:r>
        <w:rPr>
          <w:spacing w:val="-31"/>
        </w:rPr>
        <w:t xml:space="preserve"> </w:t>
      </w:r>
      <w:r>
        <w:t>reports:</w:t>
      </w:r>
      <w:r>
        <w:rPr>
          <w:spacing w:val="-31"/>
        </w:rPr>
        <w:t xml:space="preserve"> </w:t>
      </w:r>
      <w:r>
        <w:t>Depomed</w:t>
      </w:r>
      <w:r>
        <w:rPr>
          <w:spacing w:val="-31"/>
        </w:rPr>
        <w:t xml:space="preserve"> </w:t>
      </w:r>
      <w:r>
        <w:t>(consultant).</w:t>
      </w:r>
    </w:p>
    <w:p w:rsidR="0080489A" w:rsidRDefault="0091324C">
      <w:pPr>
        <w:pStyle w:val="BodyText"/>
        <w:spacing w:before="1" w:line="167" w:lineRule="exact"/>
        <w:ind w:left="240"/>
        <w:jc w:val="both"/>
      </w:pPr>
      <w:r>
        <w:t>The authors report no other conflicts of interest in this work.</w:t>
      </w:r>
    </w:p>
    <w:p w:rsidR="0080489A" w:rsidRDefault="0080489A">
      <w:pPr>
        <w:spacing w:line="167" w:lineRule="exact"/>
        <w:jc w:val="both"/>
        <w:sectPr w:rsidR="0080489A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692" w:space="40"/>
            <w:col w:w="6048"/>
          </w:cols>
        </w:sectPr>
      </w:pPr>
    </w:p>
    <w:p w:rsidR="0080489A" w:rsidRDefault="0091324C">
      <w:pPr>
        <w:pStyle w:val="Heading1"/>
        <w:tabs>
          <w:tab w:val="left" w:pos="5971"/>
          <w:tab w:val="left" w:pos="10702"/>
        </w:tabs>
        <w:spacing w:line="320" w:lineRule="exact"/>
        <w:ind w:left="956"/>
        <w:jc w:val="left"/>
      </w:pPr>
      <w:r>
        <w:t>Ethical</w:t>
      </w:r>
      <w:r>
        <w:rPr>
          <w:spacing w:val="-1"/>
        </w:rPr>
        <w:t xml:space="preserve"> </w:t>
      </w:r>
      <w:r>
        <w:t>considerations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0489A" w:rsidRDefault="0080489A">
      <w:pPr>
        <w:spacing w:line="320" w:lineRule="exact"/>
        <w:sectPr w:rsidR="0080489A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80489A" w:rsidRDefault="0091324C">
      <w:pPr>
        <w:pStyle w:val="BodyText"/>
        <w:spacing w:before="33" w:line="292" w:lineRule="auto"/>
        <w:ind w:left="956"/>
        <w:jc w:val="both"/>
      </w:pPr>
      <w:r>
        <w:rPr>
          <w:spacing w:val="-3"/>
        </w:rPr>
        <w:t xml:space="preserve">Recently, </w:t>
      </w:r>
      <w:r>
        <w:t xml:space="preserve">a considerable amount of attention has been paid to the </w:t>
      </w:r>
      <w:r>
        <w:rPr>
          <w:spacing w:val="-6"/>
        </w:rPr>
        <w:t xml:space="preserve">CDC’s </w:t>
      </w:r>
      <w:r>
        <w:t xml:space="preserve">role in dealing with the public health crisis of chronic pain. </w:t>
      </w:r>
      <w:r>
        <w:rPr>
          <w:spacing w:val="-8"/>
        </w:rPr>
        <w:t xml:space="preserve">To </w:t>
      </w:r>
      <w:r>
        <w:rPr>
          <w:spacing w:val="-3"/>
        </w:rPr>
        <w:t xml:space="preserve">say </w:t>
      </w:r>
      <w:r>
        <w:t xml:space="preserve">the least, the </w:t>
      </w:r>
      <w:r>
        <w:rPr>
          <w:spacing w:val="-3"/>
        </w:rPr>
        <w:t xml:space="preserve">organization’s </w:t>
      </w:r>
      <w:r>
        <w:t>conduct has eroded both public and clinician confidence, as well as violating</w:t>
      </w:r>
      <w:r>
        <w:rPr>
          <w:spacing w:val="-21"/>
        </w:rPr>
        <w:t xml:space="preserve"> </w:t>
      </w:r>
      <w:r>
        <w:t>accepted</w:t>
      </w:r>
      <w:r>
        <w:rPr>
          <w:spacing w:val="-21"/>
        </w:rPr>
        <w:t xml:space="preserve"> </w:t>
      </w:r>
      <w:r>
        <w:rPr>
          <w:spacing w:val="-4"/>
        </w:rPr>
        <w:t>policy.</w:t>
      </w:r>
      <w:r>
        <w:rPr>
          <w:spacing w:val="-21"/>
        </w:rPr>
        <w:t xml:space="preserve"> </w:t>
      </w:r>
      <w:r>
        <w:t>First,</w:t>
      </w:r>
      <w:r>
        <w:rPr>
          <w:spacing w:val="-21"/>
        </w:rPr>
        <w:t xml:space="preserve"> </w:t>
      </w:r>
      <w:r>
        <w:rPr>
          <w:spacing w:val="-7"/>
        </w:rPr>
        <w:t>CDC’s</w:t>
      </w:r>
      <w:r>
        <w:rPr>
          <w:spacing w:val="-21"/>
        </w:rPr>
        <w:t xml:space="preserve"> </w:t>
      </w:r>
      <w:r>
        <w:t>process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developing an opioid guideline has been criticized as unscientific and lacking</w:t>
      </w:r>
      <w:r>
        <w:rPr>
          <w:spacing w:val="-11"/>
        </w:rPr>
        <w:t xml:space="preserve"> </w:t>
      </w:r>
      <w:r>
        <w:t>transparency,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group “stacked” with members of a zealous anti-opioid</w:t>
      </w:r>
      <w:r>
        <w:rPr>
          <w:spacing w:val="-11"/>
        </w:rPr>
        <w:t xml:space="preserve"> </w:t>
      </w:r>
      <w:r>
        <w:t>group.</w:t>
      </w:r>
      <w:r>
        <w:rPr>
          <w:position w:val="7"/>
          <w:sz w:val="11"/>
        </w:rPr>
        <w:t xml:space="preserve">20–22 </w:t>
      </w:r>
      <w:r>
        <w:t>The creation of this guideline was clearly inconsistent</w:t>
      </w:r>
      <w:r>
        <w:rPr>
          <w:spacing w:val="6"/>
        </w:rPr>
        <w:t xml:space="preserve"> </w:t>
      </w:r>
      <w:r>
        <w:t>with</w:t>
      </w:r>
    </w:p>
    <w:p w:rsidR="0080489A" w:rsidRDefault="0091324C">
      <w:pPr>
        <w:pStyle w:val="Heading1"/>
        <w:spacing w:line="318" w:lineRule="exact"/>
        <w:jc w:val="left"/>
      </w:pPr>
      <w:r>
        <w:rPr>
          <w:b w:val="0"/>
        </w:rPr>
        <w:br w:type="column"/>
      </w:r>
      <w:r>
        <w:t>R</w:t>
      </w:r>
      <w:r>
        <w:t>ef</w:t>
      </w:r>
      <w:bookmarkStart w:id="0" w:name="OLE_LINK1"/>
      <w:bookmarkEnd w:id="0"/>
      <w:r>
        <w:t>erences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21"/>
        </w:tabs>
        <w:spacing w:line="261" w:lineRule="auto"/>
        <w:ind w:right="1074"/>
        <w:jc w:val="both"/>
        <w:rPr>
          <w:sz w:val="16"/>
        </w:rPr>
      </w:pPr>
      <w:r>
        <w:rPr>
          <w:spacing w:val="-3"/>
          <w:sz w:val="16"/>
        </w:rPr>
        <w:t xml:space="preserve">Dowell </w:t>
      </w:r>
      <w:r>
        <w:rPr>
          <w:spacing w:val="-5"/>
          <w:sz w:val="16"/>
        </w:rPr>
        <w:t xml:space="preserve">D, </w:t>
      </w:r>
      <w:r>
        <w:rPr>
          <w:sz w:val="16"/>
        </w:rPr>
        <w:t xml:space="preserve">Haegerich TM, Chou R. CDC Guideline for prescribing opioids for chronic pain - United States, 2016. </w:t>
      </w:r>
      <w:r>
        <w:rPr>
          <w:i/>
          <w:sz w:val="16"/>
        </w:rPr>
        <w:t>MMWR Recomm Rep</w:t>
      </w:r>
      <w:r>
        <w:rPr>
          <w:sz w:val="16"/>
        </w:rPr>
        <w:t>. 2016;65(1):1–49.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21"/>
        </w:tabs>
        <w:spacing w:before="7" w:line="261" w:lineRule="auto"/>
        <w:ind w:right="1071"/>
        <w:jc w:val="both"/>
        <w:rPr>
          <w:sz w:val="16"/>
        </w:rPr>
      </w:pPr>
      <w:r>
        <w:rPr>
          <w:sz w:val="16"/>
        </w:rPr>
        <w:t xml:space="preserve">Washington State Department of Health. Opioid Prescribing. DOH. Available from: </w:t>
      </w:r>
      <w:hyperlink r:id="rId33">
        <w:r>
          <w:rPr>
            <w:sz w:val="16"/>
          </w:rPr>
          <w:t>http://www.doh.wa.gov/ForPublicHealthandHealth-</w:t>
        </w:r>
      </w:hyperlink>
      <w:r>
        <w:rPr>
          <w:sz w:val="16"/>
        </w:rPr>
        <w:t xml:space="preserve"> careProviders/HealthcareProfessionsandFacilities/PainManagement/ FrequentlyAskedQuestionsforPractitioners/MorphineEquivalentDos- ageMed. Accessed April 23,</w:t>
      </w:r>
      <w:r>
        <w:rPr>
          <w:spacing w:val="-18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21"/>
        </w:tabs>
        <w:spacing w:line="261" w:lineRule="auto"/>
        <w:ind w:right="1067"/>
        <w:jc w:val="both"/>
        <w:rPr>
          <w:sz w:val="16"/>
        </w:rPr>
      </w:pPr>
      <w:r>
        <w:rPr>
          <w:sz w:val="16"/>
        </w:rPr>
        <w:t>H</w:t>
      </w:r>
      <w:r>
        <w:rPr>
          <w:sz w:val="16"/>
        </w:rPr>
        <w:t xml:space="preserve">ealth Care Association of New </w:t>
      </w:r>
      <w:r>
        <w:rPr>
          <w:spacing w:val="-3"/>
          <w:sz w:val="16"/>
        </w:rPr>
        <w:t xml:space="preserve">Jersey.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Management Guideline</w:t>
      </w:r>
      <w:r>
        <w:rPr>
          <w:sz w:val="16"/>
        </w:rPr>
        <w:t xml:space="preserve">. </w:t>
      </w:r>
      <w:r>
        <w:rPr>
          <w:spacing w:val="3"/>
          <w:sz w:val="16"/>
        </w:rPr>
        <w:t xml:space="preserve">Hamilton: HCANJ; 2006. </w:t>
      </w:r>
      <w:r>
        <w:rPr>
          <w:sz w:val="16"/>
        </w:rPr>
        <w:t xml:space="preserve">Available </w:t>
      </w:r>
      <w:r>
        <w:rPr>
          <w:spacing w:val="3"/>
          <w:sz w:val="16"/>
        </w:rPr>
        <w:t xml:space="preserve">from: </w:t>
      </w:r>
      <w:hyperlink r:id="rId34">
        <w:r>
          <w:rPr>
            <w:spacing w:val="3"/>
            <w:sz w:val="16"/>
          </w:rPr>
          <w:t>http://www.hcanj.org/</w:t>
        </w:r>
      </w:hyperlink>
      <w:r>
        <w:rPr>
          <w:spacing w:val="3"/>
          <w:sz w:val="16"/>
        </w:rPr>
        <w:t xml:space="preserve"> </w:t>
      </w:r>
      <w:r>
        <w:rPr>
          <w:sz w:val="16"/>
        </w:rPr>
        <w:t>files/2013/09/hcanjbp_painmgmt2_3.pdf. Accessed October 4,</w:t>
      </w:r>
      <w:r>
        <w:rPr>
          <w:spacing w:val="-18"/>
          <w:sz w:val="16"/>
        </w:rPr>
        <w:t xml:space="preserve"> </w:t>
      </w:r>
      <w:r>
        <w:rPr>
          <w:sz w:val="16"/>
        </w:rPr>
        <w:t>2017.</w:t>
      </w:r>
    </w:p>
    <w:p w:rsidR="0080489A" w:rsidRDefault="0080489A">
      <w:pPr>
        <w:spacing w:line="261" w:lineRule="auto"/>
        <w:jc w:val="both"/>
        <w:rPr>
          <w:sz w:val="16"/>
        </w:rPr>
        <w:sectPr w:rsidR="0080489A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692" w:space="40"/>
            <w:col w:w="6048"/>
          </w:cols>
        </w:sectPr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  <w:spacing w:before="9"/>
        <w:rPr>
          <w:sz w:val="27"/>
        </w:rPr>
      </w:pPr>
    </w:p>
    <w:p w:rsidR="0080489A" w:rsidRDefault="0091324C"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5" style="width:487.8pt;height:.5pt;mso-position-horizontal-relative:char;mso-position-vertical-relative:line" coordsize="9756,10">
            <v:line id="_x0000_s2056" style="position:absolute" from="5,5" to="9751,5" strokeweight=".5pt"/>
            <w10:wrap type="none"/>
            <w10:anchorlock/>
          </v:group>
        </w:pict>
      </w:r>
    </w:p>
    <w:p w:rsidR="0080489A" w:rsidRDefault="0091324C">
      <w:pPr>
        <w:tabs>
          <w:tab w:val="left" w:pos="7947"/>
          <w:tab w:val="right" w:pos="10702"/>
        </w:tabs>
        <w:spacing w:before="4" w:line="219" w:lineRule="exact"/>
        <w:ind w:left="956"/>
        <w:rPr>
          <w:rFonts w:ascii="Gill Sans MT"/>
          <w:b/>
          <w:sz w:val="20"/>
        </w:rPr>
      </w:pPr>
      <w:r>
        <w:rPr>
          <w:rFonts w:ascii="Gill Sans MT"/>
          <w:position w:val="-3"/>
          <w:sz w:val="16"/>
        </w:rPr>
        <w:t>Journal of Pain</w:t>
      </w:r>
      <w:r>
        <w:rPr>
          <w:rFonts w:ascii="Gill Sans MT"/>
          <w:spacing w:val="-6"/>
          <w:position w:val="-3"/>
          <w:sz w:val="16"/>
        </w:rPr>
        <w:t xml:space="preserve"> </w:t>
      </w:r>
      <w:r>
        <w:rPr>
          <w:rFonts w:ascii="Gill Sans MT"/>
          <w:position w:val="-3"/>
          <w:sz w:val="16"/>
        </w:rPr>
        <w:t>Research</w:t>
      </w:r>
      <w:r>
        <w:rPr>
          <w:rFonts w:ascii="Gill Sans MT"/>
          <w:spacing w:val="42"/>
          <w:position w:val="-3"/>
          <w:sz w:val="16"/>
        </w:rPr>
        <w:t xml:space="preserve"> </w:t>
      </w:r>
      <w:r>
        <w:rPr>
          <w:rFonts w:ascii="Gill Sans MT"/>
          <w:position w:val="-3"/>
          <w:sz w:val="16"/>
        </w:rPr>
        <w:t>2018:11</w:t>
      </w:r>
      <w:r>
        <w:rPr>
          <w:rFonts w:ascii="Gill Sans MT"/>
          <w:position w:val="-3"/>
          <w:sz w:val="16"/>
        </w:rPr>
        <w:tab/>
      </w:r>
      <w:r>
        <w:rPr>
          <w:rFonts w:ascii="Gill Sans MT"/>
          <w:b/>
          <w:color w:val="808285"/>
          <w:sz w:val="10"/>
        </w:rPr>
        <w:t>submit your manuscript</w:t>
      </w:r>
      <w:r>
        <w:rPr>
          <w:rFonts w:ascii="Gill Sans MT"/>
          <w:b/>
          <w:color w:val="808285"/>
          <w:spacing w:val="-4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1"/>
          <w:sz w:val="10"/>
        </w:rPr>
        <w:t xml:space="preserve"> </w:t>
      </w:r>
      <w:hyperlink r:id="rId35">
        <w:r>
          <w:rPr>
            <w:rFonts w:ascii="Gill Sans MT"/>
            <w:color w:val="B8BABC"/>
            <w:sz w:val="10"/>
          </w:rPr>
          <w:t>www.dovepress.com</w:t>
        </w:r>
      </w:hyperlink>
      <w:r>
        <w:rPr>
          <w:rFonts w:ascii="Gill Sans MT"/>
          <w:b/>
          <w:position w:val="-6"/>
          <w:sz w:val="20"/>
        </w:rPr>
        <w:tab/>
        <w:t>3</w:t>
      </w:r>
    </w:p>
    <w:p w:rsidR="0080489A" w:rsidRDefault="0091324C">
      <w:pPr>
        <w:spacing w:line="137" w:lineRule="exact"/>
        <w:ind w:right="1796"/>
        <w:jc w:val="right"/>
        <w:rPr>
          <w:rFonts w:ascii="Book Antiqua"/>
          <w:sz w:val="12"/>
        </w:rPr>
      </w:pPr>
      <w:hyperlink r:id="rId36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80489A" w:rsidRDefault="0080489A">
      <w:pPr>
        <w:spacing w:line="137" w:lineRule="exact"/>
        <w:jc w:val="right"/>
        <w:rPr>
          <w:rFonts w:ascii="Book Antiqua"/>
          <w:sz w:val="12"/>
        </w:rPr>
        <w:sectPr w:rsidR="0080489A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80489A" w:rsidRDefault="0091324C">
      <w:pPr>
        <w:spacing w:before="95"/>
        <w:ind w:left="617"/>
        <w:rPr>
          <w:rFonts w:ascii="Gill Sans MT"/>
          <w:sz w:val="16"/>
        </w:rPr>
      </w:pPr>
      <w:bookmarkStart w:id="1" w:name="_GoBack"/>
      <w:r>
        <w:lastRenderedPageBreak/>
        <w:pict>
          <v:line id="_x0000_s2054" style="position:absolute;left:0;text-align:left;z-index:1456;mso-position-horizontal-relative:page" from="53.85pt,15.95pt" to="541.15pt,15.95pt" strokeweight=".5pt">
            <w10:wrap anchorx="page"/>
          </v:line>
        </w:pict>
      </w:r>
      <w:r>
        <w:rPr>
          <w:rFonts w:ascii="Gill Sans MT"/>
          <w:sz w:val="16"/>
        </w:rPr>
        <w:t>Fudin et al</w:t>
      </w:r>
    </w:p>
    <w:p w:rsidR="0080489A" w:rsidRDefault="0080489A">
      <w:pPr>
        <w:pStyle w:val="BodyText"/>
        <w:spacing w:before="2"/>
        <w:rPr>
          <w:rFonts w:ascii="Gill Sans MT"/>
          <w:sz w:val="25"/>
        </w:rPr>
      </w:pP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before="1" w:line="261" w:lineRule="auto"/>
        <w:ind w:left="897" w:right="1"/>
        <w:jc w:val="both"/>
        <w:rPr>
          <w:sz w:val="16"/>
        </w:rPr>
      </w:pPr>
      <w:r>
        <w:rPr>
          <w:sz w:val="16"/>
        </w:rPr>
        <w:t xml:space="preserve">Washington State </w:t>
      </w:r>
      <w:r>
        <w:rPr>
          <w:spacing w:val="2"/>
          <w:sz w:val="16"/>
        </w:rPr>
        <w:t xml:space="preserve">Department </w:t>
      </w:r>
      <w:r>
        <w:rPr>
          <w:sz w:val="16"/>
        </w:rPr>
        <w:t xml:space="preserve">of Labor  and  Industries.  </w:t>
      </w:r>
      <w:r>
        <w:rPr>
          <w:i/>
          <w:sz w:val="16"/>
        </w:rPr>
        <w:t xml:space="preserve">Guideline for Prescribing Opioids to </w:t>
      </w:r>
      <w:r>
        <w:rPr>
          <w:i/>
          <w:spacing w:val="-3"/>
          <w:sz w:val="16"/>
        </w:rPr>
        <w:t xml:space="preserve">Treat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 xml:space="preserve">in Injured </w:t>
      </w:r>
      <w:r>
        <w:rPr>
          <w:i/>
          <w:spacing w:val="-4"/>
          <w:sz w:val="16"/>
        </w:rPr>
        <w:t>Workers</w:t>
      </w:r>
      <w:r>
        <w:rPr>
          <w:spacing w:val="-4"/>
          <w:sz w:val="16"/>
        </w:rPr>
        <w:t xml:space="preserve">. </w:t>
      </w:r>
      <w:r>
        <w:rPr>
          <w:sz w:val="16"/>
        </w:rPr>
        <w:t xml:space="preserve">Olympia: L&amp;I; 2013. </w:t>
      </w:r>
      <w:r>
        <w:rPr>
          <w:spacing w:val="-3"/>
          <w:sz w:val="16"/>
        </w:rPr>
        <w:t xml:space="preserve">Available </w:t>
      </w:r>
      <w:r>
        <w:rPr>
          <w:sz w:val="16"/>
        </w:rPr>
        <w:t xml:space="preserve">from: </w:t>
      </w:r>
      <w:hyperlink r:id="rId37">
        <w:r>
          <w:rPr>
            <w:sz w:val="16"/>
          </w:rPr>
          <w:t>http://lni.wa.gov/ClaimsIns/Files/OMD/</w:t>
        </w:r>
      </w:hyperlink>
      <w:r>
        <w:rPr>
          <w:sz w:val="16"/>
        </w:rPr>
        <w:t xml:space="preserve"> MedTreat/FINALOpioidGuideline010713.pdf. Accessed October 4, 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/>
        <w:jc w:val="both"/>
        <w:rPr>
          <w:sz w:val="16"/>
        </w:rPr>
      </w:pPr>
      <w:r>
        <w:rPr>
          <w:sz w:val="16"/>
        </w:rPr>
        <w:t xml:space="preserve">University of </w:t>
      </w:r>
      <w:r>
        <w:rPr>
          <w:spacing w:val="2"/>
          <w:sz w:val="16"/>
        </w:rPr>
        <w:t xml:space="preserve">Michigan Health System. </w:t>
      </w:r>
      <w:r>
        <w:rPr>
          <w:i/>
          <w:spacing w:val="2"/>
          <w:sz w:val="16"/>
        </w:rPr>
        <w:t xml:space="preserve">Managing </w:t>
      </w:r>
      <w:r>
        <w:rPr>
          <w:i/>
          <w:sz w:val="16"/>
        </w:rPr>
        <w:t xml:space="preserve">Chronic </w:t>
      </w:r>
      <w:r>
        <w:rPr>
          <w:i/>
          <w:spacing w:val="3"/>
          <w:sz w:val="16"/>
        </w:rPr>
        <w:t xml:space="preserve">Non- </w:t>
      </w:r>
      <w:r>
        <w:rPr>
          <w:i/>
          <w:sz w:val="16"/>
        </w:rPr>
        <w:t xml:space="preserve">terminal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in Adults Including Prescribing Controlled Substances</w:t>
      </w:r>
      <w:r>
        <w:rPr>
          <w:sz w:val="16"/>
        </w:rPr>
        <w:t>. Ann Arbor: UHMS;</w:t>
      </w:r>
      <w:r>
        <w:rPr>
          <w:spacing w:val="-10"/>
          <w:sz w:val="16"/>
        </w:rPr>
        <w:t xml:space="preserve"> </w:t>
      </w:r>
      <w:r>
        <w:rPr>
          <w:sz w:val="16"/>
        </w:rPr>
        <w:t>2011.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/>
        <w:jc w:val="both"/>
        <w:rPr>
          <w:sz w:val="16"/>
        </w:rPr>
      </w:pPr>
      <w:r>
        <w:pict>
          <v:shape id="_x0000_s2053" type="#_x0000_t202" style="position:absolute;left:0;text-align:left;margin-left:23.5pt;margin-top:26pt;width:18.45pt;height:354.7pt;z-index:1480;mso-position-horizontal-relative:page" filled="f" stroked="f">
            <v:textbox style="layout-flow:vertical;mso-layout-flow-alt:bottom-to-top" inset="0,0,0,0">
              <w:txbxContent>
                <w:p w:rsidR="0080489A" w:rsidRDefault="0091324C">
                  <w:pPr>
                    <w:spacing w:before="28" w:line="160" w:lineRule="exact"/>
                    <w:ind w:left="2801" w:right="18" w:hanging="2782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</w:t>
                  </w:r>
                  <w:r>
                    <w:rPr>
                      <w:rFonts w:ascii="Arial"/>
                      <w:i/>
                      <w:sz w:val="15"/>
                    </w:rPr>
                    <w:t>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38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18-Dec-2017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sz w:val="16"/>
        </w:rPr>
        <w:t xml:space="preserve">American Cancer Society Cancer Action Network. </w:t>
      </w:r>
      <w:r>
        <w:rPr>
          <w:i/>
          <w:sz w:val="16"/>
        </w:rPr>
        <w:t xml:space="preserve">American Cancer Society Cancer Action Network Comments on CDC Draft </w:t>
      </w:r>
      <w:r>
        <w:rPr>
          <w:i/>
          <w:spacing w:val="2"/>
          <w:sz w:val="16"/>
        </w:rPr>
        <w:t xml:space="preserve">Opioid </w:t>
      </w:r>
      <w:r>
        <w:rPr>
          <w:i/>
          <w:sz w:val="16"/>
        </w:rPr>
        <w:t>Prescribing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Guidelines</w:t>
      </w:r>
      <w:r>
        <w:rPr>
          <w:sz w:val="16"/>
        </w:rPr>
        <w:t>.</w:t>
      </w:r>
      <w:r>
        <w:rPr>
          <w:spacing w:val="-15"/>
          <w:sz w:val="16"/>
        </w:rPr>
        <w:t xml:space="preserve"> </w:t>
      </w:r>
      <w:r>
        <w:rPr>
          <w:sz w:val="16"/>
        </w:rPr>
        <w:t>American</w:t>
      </w:r>
      <w:r>
        <w:rPr>
          <w:spacing w:val="-8"/>
          <w:sz w:val="16"/>
        </w:rPr>
        <w:t xml:space="preserve"> </w:t>
      </w:r>
      <w:r>
        <w:rPr>
          <w:sz w:val="16"/>
        </w:rPr>
        <w:t>Cancer</w:t>
      </w:r>
      <w:r>
        <w:rPr>
          <w:spacing w:val="-8"/>
          <w:sz w:val="16"/>
        </w:rPr>
        <w:t xml:space="preserve"> </w:t>
      </w:r>
      <w:r>
        <w:rPr>
          <w:sz w:val="16"/>
        </w:rPr>
        <w:t>Society</w:t>
      </w:r>
      <w:r>
        <w:rPr>
          <w:spacing w:val="-8"/>
          <w:sz w:val="16"/>
        </w:rPr>
        <w:t xml:space="preserve"> </w:t>
      </w:r>
      <w:r>
        <w:rPr>
          <w:sz w:val="16"/>
        </w:rPr>
        <w:t>Cancer</w:t>
      </w:r>
      <w:r>
        <w:rPr>
          <w:spacing w:val="-15"/>
          <w:sz w:val="16"/>
        </w:rPr>
        <w:t xml:space="preserve"> </w:t>
      </w:r>
      <w:r>
        <w:rPr>
          <w:sz w:val="16"/>
        </w:rPr>
        <w:t>Action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Net- </w:t>
      </w:r>
      <w:r>
        <w:rPr>
          <w:spacing w:val="-3"/>
          <w:sz w:val="16"/>
        </w:rPr>
        <w:t>work;</w:t>
      </w:r>
      <w:r>
        <w:rPr>
          <w:spacing w:val="-16"/>
          <w:sz w:val="16"/>
        </w:rPr>
        <w:t xml:space="preserve"> </w:t>
      </w:r>
      <w:r>
        <w:rPr>
          <w:sz w:val="16"/>
        </w:rPr>
        <w:t>2015.</w:t>
      </w:r>
      <w:r>
        <w:rPr>
          <w:spacing w:val="-22"/>
          <w:sz w:val="16"/>
        </w:rPr>
        <w:t xml:space="preserve"> </w:t>
      </w:r>
      <w:r>
        <w:rPr>
          <w:spacing w:val="-4"/>
          <w:sz w:val="16"/>
        </w:rPr>
        <w:t>Available</w:t>
      </w:r>
      <w:r>
        <w:rPr>
          <w:spacing w:val="-16"/>
          <w:sz w:val="16"/>
        </w:rPr>
        <w:t xml:space="preserve"> </w:t>
      </w:r>
      <w:r>
        <w:rPr>
          <w:sz w:val="16"/>
        </w:rPr>
        <w:t>from:</w:t>
      </w:r>
      <w:r>
        <w:rPr>
          <w:spacing w:val="-16"/>
          <w:sz w:val="16"/>
        </w:rPr>
        <w:t xml:space="preserve"> </w:t>
      </w:r>
      <w:hyperlink r:id="rId39">
        <w:r>
          <w:rPr>
            <w:sz w:val="16"/>
          </w:rPr>
          <w:t>https://www.acscan.org/sites/default/files/</w:t>
        </w:r>
      </w:hyperlink>
      <w:r>
        <w:rPr>
          <w:sz w:val="16"/>
        </w:rPr>
        <w:t xml:space="preserve"> </w:t>
      </w:r>
      <w:hyperlink r:id="rId40">
        <w:r>
          <w:rPr>
            <w:spacing w:val="-1"/>
            <w:sz w:val="16"/>
          </w:rPr>
          <w:t>ACSCAN_Comments_CDC_Opioid_Guidelines_Final.pdf.</w:t>
        </w:r>
      </w:hyperlink>
      <w:r>
        <w:rPr>
          <w:spacing w:val="-1"/>
          <w:sz w:val="16"/>
        </w:rPr>
        <w:t xml:space="preserve"> </w:t>
      </w:r>
      <w:r>
        <w:rPr>
          <w:sz w:val="16"/>
        </w:rPr>
        <w:t>Accessed April 25,</w:t>
      </w:r>
      <w:r>
        <w:rPr>
          <w:spacing w:val="-15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/>
        <w:jc w:val="both"/>
        <w:rPr>
          <w:sz w:val="16"/>
        </w:rPr>
      </w:pPr>
      <w:r>
        <w:rPr>
          <w:sz w:val="16"/>
        </w:rPr>
        <w:t xml:space="preserve">Argoff CE. New CDC Opioid Guideline: The Good, the Bad, the </w:t>
      </w:r>
      <w:r>
        <w:rPr>
          <w:spacing w:val="-3"/>
          <w:sz w:val="16"/>
        </w:rPr>
        <w:t xml:space="preserve">Ugly. </w:t>
      </w:r>
      <w:r>
        <w:rPr>
          <w:sz w:val="16"/>
        </w:rPr>
        <w:t>Medscape; 201</w:t>
      </w:r>
      <w:r>
        <w:rPr>
          <w:sz w:val="16"/>
        </w:rPr>
        <w:t xml:space="preserve">6. Available from: </w:t>
      </w:r>
      <w:hyperlink r:id="rId41">
        <w:r>
          <w:rPr>
            <w:sz w:val="16"/>
          </w:rPr>
          <w:t>http://www.medscape.com/</w:t>
        </w:r>
      </w:hyperlink>
      <w:r>
        <w:rPr>
          <w:sz w:val="16"/>
        </w:rPr>
        <w:t xml:space="preserve"> viewarticle/863183#vp_4. Accessed April 25,</w:t>
      </w:r>
      <w:r>
        <w:rPr>
          <w:spacing w:val="-23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2"/>
        <w:jc w:val="both"/>
        <w:rPr>
          <w:sz w:val="16"/>
        </w:rPr>
      </w:pPr>
      <w:r>
        <w:rPr>
          <w:sz w:val="16"/>
        </w:rPr>
        <w:t xml:space="preserve">painnewsnetwork.org. Anson </w:t>
      </w:r>
      <w:r>
        <w:rPr>
          <w:spacing w:val="-13"/>
          <w:sz w:val="16"/>
        </w:rPr>
        <w:t xml:space="preserve">P. </w:t>
      </w:r>
      <w:r>
        <w:rPr>
          <w:sz w:val="16"/>
        </w:rPr>
        <w:t xml:space="preserve">Bias and conflict of interest in opioid guidelines </w:t>
      </w:r>
      <w:r>
        <w:rPr>
          <w:spacing w:val="-3"/>
          <w:sz w:val="16"/>
        </w:rPr>
        <w:t xml:space="preserve">study. </w:t>
      </w:r>
      <w:r>
        <w:rPr>
          <w:sz w:val="16"/>
        </w:rPr>
        <w:t xml:space="preserve">Pain News Network; 2017. </w:t>
      </w:r>
      <w:r>
        <w:rPr>
          <w:spacing w:val="-3"/>
          <w:sz w:val="16"/>
        </w:rPr>
        <w:t xml:space="preserve">Available </w:t>
      </w:r>
      <w:r>
        <w:rPr>
          <w:sz w:val="16"/>
        </w:rPr>
        <w:t xml:space="preserve">from: </w:t>
      </w:r>
      <w:hyperlink r:id="rId42">
        <w:r>
          <w:rPr>
            <w:sz w:val="16"/>
          </w:rPr>
          <w:t>https://</w:t>
        </w:r>
      </w:hyperlink>
      <w:r>
        <w:rPr>
          <w:sz w:val="16"/>
        </w:rPr>
        <w:t xml:space="preserve"> </w:t>
      </w:r>
      <w:hyperlink r:id="rId43">
        <w:r>
          <w:rPr>
            <w:spacing w:val="2"/>
            <w:sz w:val="16"/>
          </w:rPr>
          <w:t>www.painnewsnetwork.org/stories/2017/1/17/bias-and-conflict-of-</w:t>
        </w:r>
      </w:hyperlink>
      <w:r>
        <w:rPr>
          <w:spacing w:val="2"/>
          <w:sz w:val="16"/>
        </w:rPr>
        <w:t xml:space="preserve"> </w:t>
      </w:r>
      <w:hyperlink r:id="rId44">
        <w:r>
          <w:rPr>
            <w:sz w:val="16"/>
          </w:rPr>
          <w:t>interest-in-new-opioid-research.</w:t>
        </w:r>
      </w:hyperlink>
      <w:r>
        <w:rPr>
          <w:sz w:val="16"/>
        </w:rPr>
        <w:t xml:space="preserve"> Accessed April 25,</w:t>
      </w:r>
      <w:r>
        <w:rPr>
          <w:spacing w:val="-22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6"/>
        <w:jc w:val="both"/>
        <w:rPr>
          <w:sz w:val="16"/>
        </w:rPr>
      </w:pPr>
      <w:r>
        <w:rPr>
          <w:sz w:val="16"/>
        </w:rPr>
        <w:t>Guyatt</w:t>
      </w:r>
      <w:r>
        <w:rPr>
          <w:spacing w:val="-18"/>
          <w:sz w:val="16"/>
        </w:rPr>
        <w:t xml:space="preserve"> </w:t>
      </w:r>
      <w:r>
        <w:rPr>
          <w:sz w:val="16"/>
        </w:rPr>
        <w:t>GH,</w:t>
      </w:r>
      <w:r>
        <w:rPr>
          <w:spacing w:val="-18"/>
          <w:sz w:val="16"/>
        </w:rPr>
        <w:t xml:space="preserve"> </w:t>
      </w:r>
      <w:r>
        <w:rPr>
          <w:sz w:val="16"/>
        </w:rPr>
        <w:t>Oxman</w:t>
      </w:r>
      <w:r>
        <w:rPr>
          <w:spacing w:val="-25"/>
          <w:sz w:val="16"/>
        </w:rPr>
        <w:t xml:space="preserve"> </w:t>
      </w:r>
      <w:r>
        <w:rPr>
          <w:spacing w:val="-5"/>
          <w:sz w:val="16"/>
        </w:rPr>
        <w:t>AD,</w:t>
      </w:r>
      <w:r>
        <w:rPr>
          <w:spacing w:val="-25"/>
          <w:sz w:val="16"/>
        </w:rPr>
        <w:t xml:space="preserve"> </w:t>
      </w:r>
      <w:r>
        <w:rPr>
          <w:spacing w:val="-3"/>
          <w:sz w:val="16"/>
        </w:rPr>
        <w:t>Vist</w:t>
      </w:r>
      <w:r>
        <w:rPr>
          <w:spacing w:val="-18"/>
          <w:sz w:val="16"/>
        </w:rPr>
        <w:t xml:space="preserve"> </w:t>
      </w:r>
      <w:r>
        <w:rPr>
          <w:sz w:val="16"/>
        </w:rPr>
        <w:t>GE,</w:t>
      </w:r>
      <w:r>
        <w:rPr>
          <w:spacing w:val="-18"/>
          <w:sz w:val="16"/>
        </w:rPr>
        <w:t xml:space="preserve"> </w:t>
      </w:r>
      <w:r>
        <w:rPr>
          <w:sz w:val="16"/>
        </w:rPr>
        <w:t>et</w:t>
      </w:r>
      <w:r>
        <w:rPr>
          <w:spacing w:val="-18"/>
          <w:sz w:val="16"/>
        </w:rPr>
        <w:t xml:space="preserve"> </w:t>
      </w:r>
      <w:r>
        <w:rPr>
          <w:sz w:val="16"/>
        </w:rPr>
        <w:t>al.</w:t>
      </w:r>
      <w:r>
        <w:rPr>
          <w:spacing w:val="-18"/>
          <w:sz w:val="16"/>
        </w:rPr>
        <w:t xml:space="preserve"> </w:t>
      </w:r>
      <w:r>
        <w:rPr>
          <w:sz w:val="16"/>
        </w:rPr>
        <w:t>GRADE:</w:t>
      </w:r>
      <w:r>
        <w:rPr>
          <w:spacing w:val="-18"/>
          <w:sz w:val="16"/>
        </w:rPr>
        <w:t xml:space="preserve"> </w:t>
      </w:r>
      <w:r>
        <w:rPr>
          <w:sz w:val="16"/>
        </w:rPr>
        <w:t>an</w:t>
      </w:r>
      <w:r>
        <w:rPr>
          <w:spacing w:val="-18"/>
          <w:sz w:val="16"/>
        </w:rPr>
        <w:t xml:space="preserve"> </w:t>
      </w:r>
      <w:r>
        <w:rPr>
          <w:spacing w:val="-3"/>
          <w:sz w:val="16"/>
        </w:rPr>
        <w:t>emerging</w:t>
      </w:r>
      <w:r>
        <w:rPr>
          <w:spacing w:val="-18"/>
          <w:sz w:val="16"/>
        </w:rPr>
        <w:t xml:space="preserve"> </w:t>
      </w:r>
      <w:r>
        <w:rPr>
          <w:sz w:val="16"/>
        </w:rPr>
        <w:t xml:space="preserve">consensus on rating quality of evidence and strength of recommendations. </w:t>
      </w:r>
      <w:r>
        <w:rPr>
          <w:i/>
          <w:sz w:val="16"/>
        </w:rPr>
        <w:t>BMJ</w:t>
      </w:r>
      <w:r>
        <w:rPr>
          <w:sz w:val="16"/>
        </w:rPr>
        <w:t>. 2008;336(7650):924–926.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6" w:hanging="280"/>
        <w:jc w:val="both"/>
        <w:rPr>
          <w:sz w:val="16"/>
        </w:rPr>
      </w:pPr>
      <w:r>
        <w:rPr>
          <w:sz w:val="16"/>
        </w:rPr>
        <w:t xml:space="preserve">Shekelle PG, </w:t>
      </w:r>
      <w:r>
        <w:rPr>
          <w:spacing w:val="-4"/>
          <w:sz w:val="16"/>
        </w:rPr>
        <w:t xml:space="preserve">Woolf </w:t>
      </w:r>
      <w:r>
        <w:rPr>
          <w:sz w:val="16"/>
        </w:rPr>
        <w:t xml:space="preserve">SH, Eccles M, Grimshaw </w:t>
      </w:r>
      <w:r>
        <w:rPr>
          <w:spacing w:val="-5"/>
          <w:sz w:val="16"/>
        </w:rPr>
        <w:t xml:space="preserve">J. </w:t>
      </w:r>
      <w:r>
        <w:rPr>
          <w:sz w:val="16"/>
        </w:rPr>
        <w:t xml:space="preserve">Developing clinical guidelines. </w:t>
      </w:r>
      <w:r>
        <w:rPr>
          <w:i/>
          <w:spacing w:val="-5"/>
          <w:sz w:val="16"/>
        </w:rPr>
        <w:t xml:space="preserve">West </w:t>
      </w:r>
      <w:r>
        <w:rPr>
          <w:i/>
          <w:sz w:val="16"/>
        </w:rPr>
        <w:t>J Med</w:t>
      </w:r>
      <w:r>
        <w:rPr>
          <w:sz w:val="16"/>
        </w:rPr>
        <w:t>.</w:t>
      </w:r>
      <w:r>
        <w:rPr>
          <w:spacing w:val="5"/>
          <w:sz w:val="16"/>
        </w:rPr>
        <w:t xml:space="preserve"> </w:t>
      </w:r>
      <w:r>
        <w:rPr>
          <w:sz w:val="16"/>
        </w:rPr>
        <w:t>1999;170(6):348–351.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0" w:hanging="280"/>
        <w:jc w:val="both"/>
        <w:rPr>
          <w:sz w:val="16"/>
        </w:rPr>
      </w:pPr>
      <w:r>
        <w:rPr>
          <w:sz w:val="16"/>
        </w:rPr>
        <w:t>International</w:t>
      </w:r>
      <w:r>
        <w:rPr>
          <w:spacing w:val="-17"/>
          <w:sz w:val="16"/>
        </w:rPr>
        <w:t xml:space="preserve"> </w:t>
      </w:r>
      <w:r>
        <w:rPr>
          <w:sz w:val="16"/>
        </w:rPr>
        <w:t>Council</w:t>
      </w:r>
      <w:r>
        <w:rPr>
          <w:spacing w:val="-17"/>
          <w:sz w:val="16"/>
        </w:rPr>
        <w:t xml:space="preserve"> </w:t>
      </w:r>
      <w:r>
        <w:rPr>
          <w:sz w:val="16"/>
        </w:rPr>
        <w:t>for</w:t>
      </w:r>
      <w:r>
        <w:rPr>
          <w:spacing w:val="-17"/>
          <w:sz w:val="16"/>
        </w:rPr>
        <w:t xml:space="preserve"> </w:t>
      </w:r>
      <w:r>
        <w:rPr>
          <w:sz w:val="16"/>
        </w:rPr>
        <w:t>Harmonisation</w:t>
      </w:r>
      <w:r>
        <w:rPr>
          <w:spacing w:val="-17"/>
          <w:sz w:val="16"/>
        </w:rPr>
        <w:t xml:space="preserve"> </w:t>
      </w:r>
      <w:r>
        <w:rPr>
          <w:sz w:val="16"/>
        </w:rPr>
        <w:t>of</w:t>
      </w:r>
      <w:r>
        <w:rPr>
          <w:spacing w:val="-24"/>
          <w:sz w:val="16"/>
        </w:rPr>
        <w:t xml:space="preserve"> </w:t>
      </w:r>
      <w:r>
        <w:rPr>
          <w:spacing w:val="-3"/>
          <w:sz w:val="16"/>
        </w:rPr>
        <w:t>Technical</w:t>
      </w:r>
      <w:r>
        <w:rPr>
          <w:spacing w:val="-17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-17"/>
          <w:sz w:val="16"/>
        </w:rPr>
        <w:t xml:space="preserve"> </w:t>
      </w:r>
      <w:r>
        <w:rPr>
          <w:sz w:val="16"/>
        </w:rPr>
        <w:t>for Pharmaceuticals for Human Use. The extent of population exposure to assess clinical safety for drugs intended for longterm treatment of non-life-threatening</w:t>
      </w:r>
      <w:r>
        <w:rPr>
          <w:spacing w:val="-18"/>
          <w:sz w:val="16"/>
        </w:rPr>
        <w:t xml:space="preserve"> </w:t>
      </w:r>
      <w:r>
        <w:rPr>
          <w:sz w:val="16"/>
        </w:rPr>
        <w:t>conditions</w:t>
      </w:r>
      <w:r>
        <w:rPr>
          <w:spacing w:val="-18"/>
          <w:sz w:val="16"/>
        </w:rPr>
        <w:t xml:space="preserve"> </w:t>
      </w:r>
      <w:r>
        <w:rPr>
          <w:sz w:val="16"/>
        </w:rPr>
        <w:t>E1.</w:t>
      </w:r>
      <w:r>
        <w:rPr>
          <w:spacing w:val="-18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18"/>
          <w:sz w:val="16"/>
        </w:rPr>
        <w:t xml:space="preserve"> </w:t>
      </w:r>
      <w:r>
        <w:rPr>
          <w:sz w:val="16"/>
        </w:rPr>
        <w:t>Council</w:t>
      </w:r>
      <w:r>
        <w:rPr>
          <w:spacing w:val="-18"/>
          <w:sz w:val="16"/>
        </w:rPr>
        <w:t xml:space="preserve"> </w:t>
      </w:r>
      <w:r>
        <w:rPr>
          <w:sz w:val="16"/>
        </w:rPr>
        <w:t>for</w:t>
      </w:r>
      <w:r>
        <w:rPr>
          <w:spacing w:val="-18"/>
          <w:sz w:val="16"/>
        </w:rPr>
        <w:t xml:space="preserve"> </w:t>
      </w:r>
      <w:r>
        <w:rPr>
          <w:sz w:val="16"/>
        </w:rPr>
        <w:t>Harmoni- sation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9"/>
          <w:sz w:val="16"/>
        </w:rPr>
        <w:t xml:space="preserve"> </w:t>
      </w:r>
      <w:r>
        <w:rPr>
          <w:sz w:val="16"/>
        </w:rPr>
        <w:t>Technical</w:t>
      </w:r>
      <w:r>
        <w:rPr>
          <w:spacing w:val="-11"/>
          <w:sz w:val="16"/>
        </w:rPr>
        <w:t xml:space="preserve"> </w:t>
      </w:r>
      <w:r>
        <w:rPr>
          <w:sz w:val="16"/>
        </w:rPr>
        <w:t>Requirements</w:t>
      </w:r>
      <w:r>
        <w:rPr>
          <w:spacing w:val="-11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Pharmaceuticals</w:t>
      </w:r>
      <w:r>
        <w:rPr>
          <w:spacing w:val="-11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Human</w:t>
      </w:r>
      <w:r>
        <w:rPr>
          <w:spacing w:val="-11"/>
          <w:sz w:val="16"/>
        </w:rPr>
        <w:t xml:space="preserve"> </w:t>
      </w:r>
      <w:r>
        <w:rPr>
          <w:sz w:val="16"/>
        </w:rPr>
        <w:t>Use; 1994.</w:t>
      </w:r>
      <w:r>
        <w:rPr>
          <w:spacing w:val="-24"/>
          <w:sz w:val="16"/>
        </w:rPr>
        <w:t xml:space="preserve"> </w:t>
      </w:r>
      <w:r>
        <w:rPr>
          <w:spacing w:val="-3"/>
          <w:sz w:val="16"/>
        </w:rPr>
        <w:t>Available</w:t>
      </w:r>
      <w:r>
        <w:rPr>
          <w:spacing w:val="-19"/>
          <w:sz w:val="16"/>
        </w:rPr>
        <w:t xml:space="preserve"> </w:t>
      </w:r>
      <w:r>
        <w:rPr>
          <w:sz w:val="16"/>
        </w:rPr>
        <w:t>from:</w:t>
      </w:r>
      <w:r>
        <w:rPr>
          <w:spacing w:val="-19"/>
          <w:sz w:val="16"/>
        </w:rPr>
        <w:t xml:space="preserve"> </w:t>
      </w:r>
      <w:hyperlink r:id="rId45">
        <w:r>
          <w:rPr>
            <w:sz w:val="16"/>
          </w:rPr>
          <w:t>http://www.ich.org/fileadmin/Public_Web_Site/</w:t>
        </w:r>
      </w:hyperlink>
      <w:r>
        <w:rPr>
          <w:sz w:val="16"/>
        </w:rPr>
        <w:t xml:space="preserve"> </w:t>
      </w:r>
      <w:hyperlink r:id="rId46">
        <w:r>
          <w:rPr>
            <w:spacing w:val="6"/>
            <w:sz w:val="16"/>
          </w:rPr>
          <w:t>ICH_Products/Guidelines/Efficacy/E1/Step4/E1_Guideline.pdf.</w:t>
        </w:r>
      </w:hyperlink>
      <w:r>
        <w:rPr>
          <w:spacing w:val="6"/>
          <w:sz w:val="16"/>
        </w:rPr>
        <w:t xml:space="preserve"> </w:t>
      </w:r>
      <w:r>
        <w:rPr>
          <w:sz w:val="16"/>
        </w:rPr>
        <w:t>Accessed April 23,</w:t>
      </w:r>
      <w:r>
        <w:rPr>
          <w:spacing w:val="-9"/>
          <w:sz w:val="16"/>
        </w:rPr>
        <w:t xml:space="preserve"> </w:t>
      </w:r>
      <w:r>
        <w:rPr>
          <w:sz w:val="16"/>
        </w:rPr>
        <w:t>2</w:t>
      </w:r>
      <w:r>
        <w:rPr>
          <w:sz w:val="16"/>
        </w:rPr>
        <w:t>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5" w:hanging="280"/>
        <w:jc w:val="both"/>
        <w:rPr>
          <w:sz w:val="16"/>
        </w:rPr>
      </w:pPr>
      <w:r>
        <w:rPr>
          <w:spacing w:val="-6"/>
          <w:sz w:val="16"/>
        </w:rPr>
        <w:t>Tayeb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BO,</w:t>
      </w:r>
      <w:r>
        <w:rPr>
          <w:spacing w:val="-15"/>
          <w:sz w:val="16"/>
        </w:rPr>
        <w:t xml:space="preserve"> </w:t>
      </w:r>
      <w:r>
        <w:rPr>
          <w:sz w:val="16"/>
        </w:rPr>
        <w:t>Barreiro</w:t>
      </w:r>
      <w:r>
        <w:rPr>
          <w:spacing w:val="-23"/>
          <w:sz w:val="16"/>
        </w:rPr>
        <w:t xml:space="preserve"> </w:t>
      </w:r>
      <w:r>
        <w:rPr>
          <w:sz w:val="16"/>
        </w:rPr>
        <w:t>AE,</w:t>
      </w:r>
      <w:r>
        <w:rPr>
          <w:spacing w:val="-15"/>
          <w:sz w:val="16"/>
        </w:rPr>
        <w:t xml:space="preserve"> </w:t>
      </w:r>
      <w:r>
        <w:rPr>
          <w:sz w:val="16"/>
        </w:rPr>
        <w:t>Bradshaw</w:t>
      </w:r>
      <w:r>
        <w:rPr>
          <w:spacing w:val="-28"/>
          <w:sz w:val="16"/>
        </w:rPr>
        <w:t xml:space="preserve"> </w:t>
      </w:r>
      <w:r>
        <w:rPr>
          <w:sz w:val="16"/>
        </w:rPr>
        <w:t>YS,</w:t>
      </w:r>
      <w:r>
        <w:rPr>
          <w:spacing w:val="-15"/>
          <w:sz w:val="16"/>
        </w:rPr>
        <w:t xml:space="preserve"> </w:t>
      </w:r>
      <w:r>
        <w:rPr>
          <w:sz w:val="16"/>
        </w:rPr>
        <w:t>Chui</w:t>
      </w:r>
      <w:r>
        <w:rPr>
          <w:spacing w:val="-15"/>
          <w:sz w:val="16"/>
        </w:rPr>
        <w:t xml:space="preserve"> </w:t>
      </w:r>
      <w:r>
        <w:rPr>
          <w:sz w:val="16"/>
        </w:rPr>
        <w:t>KK,</w:t>
      </w:r>
      <w:r>
        <w:rPr>
          <w:spacing w:val="-15"/>
          <w:sz w:val="16"/>
        </w:rPr>
        <w:t xml:space="preserve"> </w:t>
      </w:r>
      <w:r>
        <w:rPr>
          <w:sz w:val="16"/>
        </w:rPr>
        <w:t>Carr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DB.</w:t>
      </w:r>
      <w:r>
        <w:rPr>
          <w:spacing w:val="-15"/>
          <w:sz w:val="16"/>
        </w:rPr>
        <w:t xml:space="preserve"> </w:t>
      </w:r>
      <w:r>
        <w:rPr>
          <w:sz w:val="16"/>
        </w:rPr>
        <w:t>Durations</w:t>
      </w:r>
      <w:r>
        <w:rPr>
          <w:spacing w:val="-15"/>
          <w:sz w:val="16"/>
        </w:rPr>
        <w:t xml:space="preserve"> </w:t>
      </w:r>
      <w:r>
        <w:rPr>
          <w:sz w:val="16"/>
        </w:rPr>
        <w:t>of opioid,</w:t>
      </w:r>
      <w:r>
        <w:rPr>
          <w:spacing w:val="-4"/>
          <w:sz w:val="16"/>
        </w:rPr>
        <w:t xml:space="preserve"> </w:t>
      </w:r>
      <w:r>
        <w:rPr>
          <w:sz w:val="16"/>
        </w:rPr>
        <w:t>nonopioid</w:t>
      </w:r>
      <w:r>
        <w:rPr>
          <w:spacing w:val="-4"/>
          <w:sz w:val="16"/>
        </w:rPr>
        <w:t xml:space="preserve"> </w:t>
      </w:r>
      <w:r>
        <w:rPr>
          <w:sz w:val="16"/>
        </w:rPr>
        <w:t>drug,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behavioral</w:t>
      </w:r>
      <w:r>
        <w:rPr>
          <w:spacing w:val="-4"/>
          <w:sz w:val="16"/>
        </w:rPr>
        <w:t xml:space="preserve"> </w:t>
      </w:r>
      <w:r>
        <w:rPr>
          <w:sz w:val="16"/>
        </w:rPr>
        <w:t>clinical</w:t>
      </w:r>
      <w:r>
        <w:rPr>
          <w:spacing w:val="-4"/>
          <w:sz w:val="16"/>
        </w:rPr>
        <w:t xml:space="preserve"> </w:t>
      </w:r>
      <w:r>
        <w:rPr>
          <w:sz w:val="16"/>
        </w:rPr>
        <w:t>trials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4"/>
          <w:sz w:val="16"/>
        </w:rPr>
        <w:t xml:space="preserve"> </w:t>
      </w:r>
      <w:r>
        <w:rPr>
          <w:sz w:val="16"/>
        </w:rPr>
        <w:t>chronic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pain: adequate or inadequate?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Med</w:t>
      </w:r>
      <w:r>
        <w:rPr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z w:val="16"/>
        </w:rPr>
        <w:t>2016;17(11):2036–2046.</w:t>
      </w:r>
    </w:p>
    <w:p w:rsidR="0080489A" w:rsidRDefault="0091324C">
      <w:pPr>
        <w:spacing w:before="90"/>
        <w:ind w:left="4147"/>
        <w:rPr>
          <w:rFonts w:ascii="Book Antiqua"/>
          <w:sz w:val="16"/>
        </w:rPr>
      </w:pPr>
      <w:r>
        <w:br w:type="column"/>
      </w:r>
      <w:hyperlink r:id="rId47">
        <w:r>
          <w:rPr>
            <w:rFonts w:ascii="Book Antiqua"/>
            <w:color w:val="3785AD"/>
            <w:w w:val="110"/>
            <w:sz w:val="16"/>
          </w:rPr>
          <w:t>Dove</w:t>
        </w:r>
        <w:r>
          <w:rPr>
            <w:rFonts w:ascii="Book Antiqua"/>
            <w:color w:val="B8BABC"/>
            <w:w w:val="110"/>
            <w:sz w:val="16"/>
          </w:rPr>
          <w:t>press</w:t>
        </w:r>
      </w:hyperlink>
    </w:p>
    <w:p w:rsidR="0080489A" w:rsidRDefault="0080489A">
      <w:pPr>
        <w:pStyle w:val="BodyText"/>
        <w:spacing w:before="11"/>
        <w:rPr>
          <w:rFonts w:ascii="Book Antiqua"/>
          <w:sz w:val="22"/>
        </w:rPr>
      </w:pP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3" w:hanging="280"/>
        <w:jc w:val="both"/>
        <w:rPr>
          <w:sz w:val="16"/>
        </w:rPr>
      </w:pPr>
      <w:r>
        <w:rPr>
          <w:sz w:val="16"/>
        </w:rPr>
        <w:t>Centers</w:t>
      </w:r>
      <w:r>
        <w:rPr>
          <w:spacing w:val="-20"/>
          <w:sz w:val="16"/>
        </w:rPr>
        <w:t xml:space="preserve"> </w:t>
      </w:r>
      <w:r>
        <w:rPr>
          <w:sz w:val="16"/>
        </w:rPr>
        <w:t>for</w:t>
      </w:r>
      <w:r>
        <w:rPr>
          <w:spacing w:val="-20"/>
          <w:sz w:val="16"/>
        </w:rPr>
        <w:t xml:space="preserve"> </w:t>
      </w:r>
      <w:r>
        <w:rPr>
          <w:sz w:val="16"/>
        </w:rPr>
        <w:t>Disease</w:t>
      </w:r>
      <w:r>
        <w:rPr>
          <w:spacing w:val="-20"/>
          <w:sz w:val="16"/>
        </w:rPr>
        <w:t xml:space="preserve"> </w:t>
      </w:r>
      <w:r>
        <w:rPr>
          <w:sz w:val="16"/>
        </w:rPr>
        <w:t>Control</w:t>
      </w:r>
      <w:r>
        <w:rPr>
          <w:spacing w:val="-20"/>
          <w:sz w:val="16"/>
        </w:rPr>
        <w:t xml:space="preserve"> </w:t>
      </w:r>
      <w:r>
        <w:rPr>
          <w:sz w:val="16"/>
        </w:rPr>
        <w:t>and</w:t>
      </w:r>
      <w:r>
        <w:rPr>
          <w:spacing w:val="-20"/>
          <w:sz w:val="16"/>
        </w:rPr>
        <w:t xml:space="preserve"> </w:t>
      </w:r>
      <w:r>
        <w:rPr>
          <w:spacing w:val="-3"/>
          <w:sz w:val="16"/>
        </w:rPr>
        <w:t>Prevention.</w:t>
      </w:r>
      <w:r>
        <w:rPr>
          <w:spacing w:val="-20"/>
          <w:sz w:val="16"/>
        </w:rPr>
        <w:t xml:space="preserve"> </w:t>
      </w:r>
      <w:r>
        <w:rPr>
          <w:sz w:val="16"/>
        </w:rPr>
        <w:t>Guideline</w:t>
      </w:r>
      <w:r>
        <w:rPr>
          <w:spacing w:val="-20"/>
          <w:sz w:val="16"/>
        </w:rPr>
        <w:t xml:space="preserve"> </w:t>
      </w:r>
      <w:r>
        <w:rPr>
          <w:sz w:val="16"/>
        </w:rPr>
        <w:t>Resources:</w:t>
      </w:r>
      <w:r>
        <w:rPr>
          <w:spacing w:val="-20"/>
          <w:sz w:val="16"/>
        </w:rPr>
        <w:t xml:space="preserve"> </w:t>
      </w:r>
      <w:r>
        <w:rPr>
          <w:spacing w:val="-2"/>
          <w:sz w:val="16"/>
        </w:rPr>
        <w:t xml:space="preserve">CDC </w:t>
      </w:r>
      <w:r>
        <w:rPr>
          <w:sz w:val="16"/>
        </w:rPr>
        <w:t xml:space="preserve">Opioid Guideline Mobile App. CDC. </w:t>
      </w:r>
      <w:r>
        <w:rPr>
          <w:spacing w:val="-3"/>
          <w:sz w:val="16"/>
        </w:rPr>
        <w:t xml:space="preserve">Available </w:t>
      </w:r>
      <w:r>
        <w:rPr>
          <w:sz w:val="16"/>
        </w:rPr>
        <w:t xml:space="preserve">from: </w:t>
      </w:r>
      <w:hyperlink r:id="rId48">
        <w:r>
          <w:rPr>
            <w:sz w:val="16"/>
          </w:rPr>
          <w:t>https://www.</w:t>
        </w:r>
      </w:hyperlink>
      <w:r>
        <w:rPr>
          <w:sz w:val="16"/>
        </w:rPr>
        <w:t xml:space="preserve"> </w:t>
      </w:r>
      <w:hyperlink r:id="rId49">
        <w:r>
          <w:rPr>
            <w:sz w:val="16"/>
          </w:rPr>
          <w:t>cdc.gov/drugoverdose/prescribing/app.html.</w:t>
        </w:r>
      </w:hyperlink>
      <w:r>
        <w:rPr>
          <w:spacing w:val="-16"/>
          <w:sz w:val="16"/>
        </w:rPr>
        <w:t xml:space="preserve"> </w:t>
      </w:r>
      <w:r>
        <w:rPr>
          <w:sz w:val="16"/>
        </w:rPr>
        <w:t>Accessed</w:t>
      </w:r>
      <w:r>
        <w:rPr>
          <w:spacing w:val="-16"/>
          <w:sz w:val="16"/>
        </w:rPr>
        <w:t xml:space="preserve"> </w:t>
      </w:r>
      <w:r>
        <w:rPr>
          <w:sz w:val="16"/>
        </w:rPr>
        <w:t>April</w:t>
      </w:r>
      <w:r>
        <w:rPr>
          <w:spacing w:val="-8"/>
          <w:sz w:val="16"/>
        </w:rPr>
        <w:t xml:space="preserve"> </w:t>
      </w:r>
      <w:r>
        <w:rPr>
          <w:sz w:val="16"/>
        </w:rPr>
        <w:t>23,</w:t>
      </w:r>
      <w:r>
        <w:rPr>
          <w:spacing w:val="-8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5" w:hanging="280"/>
        <w:jc w:val="both"/>
        <w:rPr>
          <w:sz w:val="16"/>
        </w:rPr>
      </w:pPr>
      <w:r>
        <w:rPr>
          <w:sz w:val="16"/>
        </w:rPr>
        <w:t xml:space="preserve">Fudin </w:t>
      </w:r>
      <w:r>
        <w:rPr>
          <w:spacing w:val="-5"/>
          <w:sz w:val="16"/>
        </w:rPr>
        <w:t xml:space="preserve">J, </w:t>
      </w:r>
      <w:r>
        <w:rPr>
          <w:sz w:val="16"/>
        </w:rPr>
        <w:t xml:space="preserve">Marcoux </w:t>
      </w:r>
      <w:r>
        <w:rPr>
          <w:spacing w:val="-4"/>
          <w:sz w:val="16"/>
        </w:rPr>
        <w:t xml:space="preserve">MD, </w:t>
      </w:r>
      <w:r>
        <w:rPr>
          <w:sz w:val="16"/>
        </w:rPr>
        <w:t xml:space="preserve">Fudin </w:t>
      </w:r>
      <w:r>
        <w:rPr>
          <w:spacing w:val="-3"/>
          <w:sz w:val="16"/>
        </w:rPr>
        <w:t xml:space="preserve">JA. </w:t>
      </w:r>
      <w:r>
        <w:rPr>
          <w:sz w:val="16"/>
        </w:rPr>
        <w:t xml:space="preserve">Mathematical model for methadone conversion examined. </w:t>
      </w:r>
      <w:r>
        <w:rPr>
          <w:i/>
          <w:sz w:val="16"/>
        </w:rPr>
        <w:t xml:space="preserve">Practical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Manag</w:t>
      </w:r>
      <w:r>
        <w:rPr>
          <w:sz w:val="16"/>
        </w:rPr>
        <w:t>.</w:t>
      </w:r>
      <w:r>
        <w:rPr>
          <w:spacing w:val="-18"/>
          <w:sz w:val="16"/>
        </w:rPr>
        <w:t xml:space="preserve"> </w:t>
      </w:r>
      <w:r>
        <w:rPr>
          <w:sz w:val="16"/>
        </w:rPr>
        <w:t>2012;12(8):46–51.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2" w:hanging="280"/>
        <w:jc w:val="both"/>
        <w:rPr>
          <w:sz w:val="16"/>
        </w:rPr>
      </w:pPr>
      <w:r>
        <w:rPr>
          <w:spacing w:val="2"/>
          <w:sz w:val="16"/>
        </w:rPr>
        <w:t xml:space="preserve">National </w:t>
      </w:r>
      <w:r>
        <w:rPr>
          <w:sz w:val="16"/>
        </w:rPr>
        <w:t xml:space="preserve">Vital </w:t>
      </w:r>
      <w:r>
        <w:rPr>
          <w:spacing w:val="2"/>
          <w:sz w:val="16"/>
        </w:rPr>
        <w:t xml:space="preserve">Statistics System, 1999–2009; </w:t>
      </w:r>
      <w:r>
        <w:rPr>
          <w:spacing w:val="3"/>
          <w:sz w:val="16"/>
        </w:rPr>
        <w:t xml:space="preserve">Drug Enforcement </w:t>
      </w:r>
      <w:r>
        <w:rPr>
          <w:sz w:val="16"/>
        </w:rPr>
        <w:t>Administration</w:t>
      </w:r>
      <w:r>
        <w:rPr>
          <w:spacing w:val="-31"/>
          <w:sz w:val="16"/>
        </w:rPr>
        <w:t xml:space="preserve"> </w:t>
      </w:r>
      <w:r>
        <w:rPr>
          <w:sz w:val="16"/>
        </w:rPr>
        <w:t>Automation</w:t>
      </w:r>
      <w:r>
        <w:rPr>
          <w:spacing w:val="-26"/>
          <w:sz w:val="16"/>
        </w:rPr>
        <w:t xml:space="preserve"> </w:t>
      </w:r>
      <w:r>
        <w:rPr>
          <w:sz w:val="16"/>
        </w:rPr>
        <w:t>of</w:t>
      </w:r>
      <w:r>
        <w:rPr>
          <w:spacing w:val="-26"/>
          <w:sz w:val="16"/>
        </w:rPr>
        <w:t xml:space="preserve"> </w:t>
      </w:r>
      <w:r>
        <w:rPr>
          <w:sz w:val="16"/>
        </w:rPr>
        <w:t>Reports</w:t>
      </w:r>
      <w:r>
        <w:rPr>
          <w:spacing w:val="-26"/>
          <w:sz w:val="16"/>
        </w:rPr>
        <w:t xml:space="preserve"> </w:t>
      </w:r>
      <w:r>
        <w:rPr>
          <w:sz w:val="16"/>
        </w:rPr>
        <w:t>and</w:t>
      </w:r>
      <w:r>
        <w:rPr>
          <w:spacing w:val="-27"/>
          <w:sz w:val="16"/>
        </w:rPr>
        <w:t xml:space="preserve"> </w:t>
      </w:r>
      <w:r>
        <w:rPr>
          <w:sz w:val="16"/>
        </w:rPr>
        <w:t>Consolidated</w:t>
      </w:r>
      <w:r>
        <w:rPr>
          <w:spacing w:val="-27"/>
          <w:sz w:val="16"/>
        </w:rPr>
        <w:t xml:space="preserve"> </w:t>
      </w:r>
      <w:r>
        <w:rPr>
          <w:sz w:val="16"/>
        </w:rPr>
        <w:t>Order</w:t>
      </w:r>
      <w:r>
        <w:rPr>
          <w:spacing w:val="-27"/>
          <w:sz w:val="16"/>
        </w:rPr>
        <w:t xml:space="preserve"> </w:t>
      </w:r>
      <w:r>
        <w:rPr>
          <w:sz w:val="16"/>
        </w:rPr>
        <w:t>Systems (ARCOS),</w:t>
      </w:r>
      <w:r>
        <w:rPr>
          <w:spacing w:val="-27"/>
          <w:sz w:val="16"/>
        </w:rPr>
        <w:t xml:space="preserve"> </w:t>
      </w:r>
      <w:r>
        <w:rPr>
          <w:sz w:val="16"/>
        </w:rPr>
        <w:t>1999–2010.</w:t>
      </w:r>
      <w:r>
        <w:rPr>
          <w:spacing w:val="-31"/>
          <w:sz w:val="16"/>
        </w:rPr>
        <w:t xml:space="preserve"> </w:t>
      </w:r>
      <w:r>
        <w:rPr>
          <w:spacing w:val="-4"/>
          <w:sz w:val="16"/>
        </w:rPr>
        <w:t>Available</w:t>
      </w:r>
      <w:r>
        <w:rPr>
          <w:spacing w:val="-27"/>
          <w:sz w:val="16"/>
        </w:rPr>
        <w:t xml:space="preserve"> </w:t>
      </w:r>
      <w:r>
        <w:rPr>
          <w:sz w:val="16"/>
        </w:rPr>
        <w:t>from:</w:t>
      </w:r>
      <w:r>
        <w:rPr>
          <w:spacing w:val="-27"/>
          <w:sz w:val="16"/>
        </w:rPr>
        <w:t xml:space="preserve"> </w:t>
      </w:r>
      <w:hyperlink r:id="rId50">
        <w:r>
          <w:rPr>
            <w:sz w:val="16"/>
          </w:rPr>
          <w:t>https://www</w:t>
        </w:r>
      </w:hyperlink>
      <w:r>
        <w:rPr>
          <w:sz w:val="16"/>
        </w:rPr>
        <w:t>.cdc.go</w:t>
      </w:r>
      <w:hyperlink r:id="rId51">
        <w:r>
          <w:rPr>
            <w:sz w:val="16"/>
          </w:rPr>
          <w:t>v/drugo</w:t>
        </w:r>
      </w:hyperlink>
      <w:r>
        <w:rPr>
          <w:sz w:val="16"/>
        </w:rPr>
        <w:t>v</w:t>
      </w:r>
      <w:hyperlink r:id="rId52">
        <w:r>
          <w:rPr>
            <w:sz w:val="16"/>
          </w:rPr>
          <w:t>er-</w:t>
        </w:r>
      </w:hyperlink>
      <w:r>
        <w:rPr>
          <w:sz w:val="16"/>
        </w:rPr>
        <w:t xml:space="preserve"> dose/data/overdose.html. Accessed October 4,</w:t>
      </w:r>
      <w:r>
        <w:rPr>
          <w:spacing w:val="-20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0" w:hanging="280"/>
        <w:jc w:val="both"/>
        <w:rPr>
          <w:sz w:val="16"/>
        </w:rPr>
      </w:pPr>
      <w:r>
        <w:rPr>
          <w:sz w:val="16"/>
        </w:rPr>
        <w:t xml:space="preserve">Tzchentke TM, Christoph </w:t>
      </w:r>
      <w:r>
        <w:rPr>
          <w:spacing w:val="-8"/>
          <w:sz w:val="16"/>
        </w:rPr>
        <w:t xml:space="preserve">T, </w:t>
      </w:r>
      <w:r>
        <w:rPr>
          <w:sz w:val="16"/>
        </w:rPr>
        <w:t>Kögel B et al. (-)-(1R,2R)-3-(3-dimeth- ylamino-1-ethyl-2-methyl-propyl)-phenol hydrochloride (tapentadol HCl</w:t>
      </w:r>
      <w:r>
        <w:rPr>
          <w:sz w:val="16"/>
        </w:rPr>
        <w:t xml:space="preserve">): a novel mu-opioid receptor agonist/norepinephrine reuptake inhibitor with broad-spectrum analgesic properties. </w:t>
      </w:r>
      <w:r>
        <w:rPr>
          <w:i/>
          <w:sz w:val="16"/>
        </w:rPr>
        <w:t>J Pharmacol Exp Ther</w:t>
      </w:r>
      <w:r>
        <w:rPr>
          <w:sz w:val="16"/>
        </w:rPr>
        <w:t>. 2007;323(1):265–276.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4" w:hanging="280"/>
        <w:jc w:val="both"/>
        <w:rPr>
          <w:sz w:val="16"/>
        </w:rPr>
      </w:pPr>
      <w:r>
        <w:rPr>
          <w:sz w:val="16"/>
        </w:rPr>
        <w:t>Nucynta</w:t>
      </w:r>
      <w:r>
        <w:rPr>
          <w:spacing w:val="-5"/>
          <w:sz w:val="16"/>
        </w:rPr>
        <w:t xml:space="preserve"> </w:t>
      </w:r>
      <w:r>
        <w:rPr>
          <w:sz w:val="16"/>
        </w:rPr>
        <w:t>(tapentadol)</w:t>
      </w:r>
      <w:r>
        <w:rPr>
          <w:spacing w:val="-5"/>
          <w:sz w:val="16"/>
        </w:rPr>
        <w:t xml:space="preserve"> </w:t>
      </w:r>
      <w:r>
        <w:rPr>
          <w:sz w:val="16"/>
        </w:rPr>
        <w:t>[package</w:t>
      </w:r>
      <w:r>
        <w:rPr>
          <w:spacing w:val="-5"/>
          <w:sz w:val="16"/>
        </w:rPr>
        <w:t xml:space="preserve"> </w:t>
      </w:r>
      <w:r>
        <w:rPr>
          <w:sz w:val="16"/>
        </w:rPr>
        <w:t>insert].</w:t>
      </w:r>
      <w:r>
        <w:rPr>
          <w:spacing w:val="-13"/>
          <w:sz w:val="16"/>
        </w:rPr>
        <w:t xml:space="preserve"> </w:t>
      </w:r>
      <w:r>
        <w:rPr>
          <w:sz w:val="16"/>
        </w:rPr>
        <w:t>Titusville</w:t>
      </w:r>
      <w:r>
        <w:rPr>
          <w:spacing w:val="-5"/>
          <w:sz w:val="16"/>
        </w:rPr>
        <w:t xml:space="preserve"> </w:t>
      </w:r>
      <w:r>
        <w:rPr>
          <w:sz w:val="16"/>
        </w:rPr>
        <w:t>NJ:</w:t>
      </w:r>
      <w:r>
        <w:rPr>
          <w:spacing w:val="-5"/>
          <w:sz w:val="16"/>
        </w:rPr>
        <w:t xml:space="preserve"> </w:t>
      </w:r>
      <w:r>
        <w:rPr>
          <w:sz w:val="16"/>
        </w:rPr>
        <w:t>Janssen</w:t>
      </w:r>
      <w:r>
        <w:rPr>
          <w:spacing w:val="-5"/>
          <w:sz w:val="16"/>
        </w:rPr>
        <w:t xml:space="preserve"> </w:t>
      </w:r>
      <w:r>
        <w:rPr>
          <w:sz w:val="16"/>
        </w:rPr>
        <w:t>Pharma- ceuticals, Inc.; 2009.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4" w:hanging="280"/>
        <w:jc w:val="both"/>
        <w:rPr>
          <w:sz w:val="16"/>
        </w:rPr>
      </w:pPr>
      <w:r>
        <w:rPr>
          <w:sz w:val="16"/>
        </w:rPr>
        <w:t>Afilalo</w:t>
      </w:r>
      <w:r>
        <w:rPr>
          <w:spacing w:val="-23"/>
          <w:sz w:val="16"/>
        </w:rPr>
        <w:t xml:space="preserve"> </w:t>
      </w:r>
      <w:r>
        <w:rPr>
          <w:sz w:val="16"/>
        </w:rPr>
        <w:t>M,</w:t>
      </w:r>
      <w:r>
        <w:rPr>
          <w:spacing w:val="-23"/>
          <w:sz w:val="16"/>
        </w:rPr>
        <w:t xml:space="preserve"> </w:t>
      </w:r>
      <w:r>
        <w:rPr>
          <w:sz w:val="16"/>
        </w:rPr>
        <w:t>Morlion</w:t>
      </w:r>
      <w:r>
        <w:rPr>
          <w:spacing w:val="-23"/>
          <w:sz w:val="16"/>
        </w:rPr>
        <w:t xml:space="preserve"> </w:t>
      </w:r>
      <w:r>
        <w:rPr>
          <w:spacing w:val="-4"/>
          <w:sz w:val="16"/>
        </w:rPr>
        <w:t>B.</w:t>
      </w:r>
      <w:r>
        <w:rPr>
          <w:spacing w:val="-23"/>
          <w:sz w:val="16"/>
        </w:rPr>
        <w:t xml:space="preserve"> </w:t>
      </w:r>
      <w:r>
        <w:rPr>
          <w:sz w:val="16"/>
        </w:rPr>
        <w:t>Efficacy</w:t>
      </w:r>
      <w:r>
        <w:rPr>
          <w:spacing w:val="-23"/>
          <w:sz w:val="16"/>
        </w:rPr>
        <w:t xml:space="preserve"> </w:t>
      </w:r>
      <w:r>
        <w:rPr>
          <w:sz w:val="16"/>
        </w:rPr>
        <w:t>of</w:t>
      </w:r>
      <w:r>
        <w:rPr>
          <w:spacing w:val="-23"/>
          <w:sz w:val="16"/>
        </w:rPr>
        <w:t xml:space="preserve"> </w:t>
      </w:r>
      <w:r>
        <w:rPr>
          <w:sz w:val="16"/>
        </w:rPr>
        <w:t>tapentadol</w:t>
      </w:r>
      <w:r>
        <w:rPr>
          <w:spacing w:val="-23"/>
          <w:sz w:val="16"/>
        </w:rPr>
        <w:t xml:space="preserve"> </w:t>
      </w:r>
      <w:r>
        <w:rPr>
          <w:sz w:val="16"/>
        </w:rPr>
        <w:t>ER</w:t>
      </w:r>
      <w:r>
        <w:rPr>
          <w:spacing w:val="-23"/>
          <w:sz w:val="16"/>
        </w:rPr>
        <w:t xml:space="preserve"> </w:t>
      </w:r>
      <w:r>
        <w:rPr>
          <w:sz w:val="16"/>
        </w:rPr>
        <w:t>for</w:t>
      </w:r>
      <w:r>
        <w:rPr>
          <w:spacing w:val="-23"/>
          <w:sz w:val="16"/>
        </w:rPr>
        <w:t xml:space="preserve"> </w:t>
      </w:r>
      <w:r>
        <w:rPr>
          <w:sz w:val="16"/>
        </w:rPr>
        <w:t>managing</w:t>
      </w:r>
      <w:r>
        <w:rPr>
          <w:spacing w:val="-23"/>
          <w:sz w:val="16"/>
        </w:rPr>
        <w:t xml:space="preserve"> </w:t>
      </w:r>
      <w:r>
        <w:rPr>
          <w:sz w:val="16"/>
        </w:rPr>
        <w:t xml:space="preserve">moderate to severe chronic pain. </w:t>
      </w:r>
      <w:r>
        <w:rPr>
          <w:i/>
          <w:spacing w:val="-4"/>
          <w:sz w:val="16"/>
        </w:rPr>
        <w:t xml:space="preserve">Pain </w:t>
      </w:r>
      <w:r>
        <w:rPr>
          <w:i/>
          <w:sz w:val="16"/>
        </w:rPr>
        <w:t>Physician</w:t>
      </w:r>
      <w:r>
        <w:rPr>
          <w:sz w:val="16"/>
        </w:rPr>
        <w:t>.</w:t>
      </w:r>
      <w:r>
        <w:rPr>
          <w:spacing w:val="-4"/>
          <w:sz w:val="16"/>
        </w:rPr>
        <w:t xml:space="preserve"> </w:t>
      </w:r>
      <w:r>
        <w:rPr>
          <w:sz w:val="16"/>
        </w:rPr>
        <w:t>2013;16(1):27–40.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4" w:hanging="280"/>
        <w:jc w:val="both"/>
        <w:rPr>
          <w:sz w:val="16"/>
        </w:rPr>
      </w:pPr>
      <w:r>
        <w:rPr>
          <w:spacing w:val="-3"/>
          <w:sz w:val="16"/>
        </w:rPr>
        <w:t>Khanna</w:t>
      </w:r>
      <w:r>
        <w:rPr>
          <w:spacing w:val="-15"/>
          <w:sz w:val="16"/>
        </w:rPr>
        <w:t xml:space="preserve"> </w:t>
      </w:r>
      <w:r>
        <w:rPr>
          <w:sz w:val="16"/>
        </w:rPr>
        <w:t>IK,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Pillarisetti</w:t>
      </w:r>
      <w:r>
        <w:rPr>
          <w:spacing w:val="-15"/>
          <w:sz w:val="16"/>
        </w:rPr>
        <w:t xml:space="preserve"> </w:t>
      </w:r>
      <w:r>
        <w:rPr>
          <w:sz w:val="16"/>
        </w:rPr>
        <w:t>S.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Buprenorphine</w:t>
      </w:r>
      <w:r>
        <w:rPr>
          <w:spacing w:val="-15"/>
          <w:sz w:val="16"/>
        </w:rPr>
        <w:t xml:space="preserve"> </w:t>
      </w:r>
      <w:r>
        <w:rPr>
          <w:sz w:val="16"/>
        </w:rPr>
        <w:t>-</w:t>
      </w:r>
      <w:r>
        <w:rPr>
          <w:spacing w:val="-15"/>
          <w:sz w:val="16"/>
        </w:rPr>
        <w:t xml:space="preserve"> </w:t>
      </w:r>
      <w:r>
        <w:rPr>
          <w:sz w:val="16"/>
        </w:rPr>
        <w:t>an</w:t>
      </w:r>
      <w:r>
        <w:rPr>
          <w:spacing w:val="-15"/>
          <w:sz w:val="16"/>
        </w:rPr>
        <w:t xml:space="preserve"> </w:t>
      </w:r>
      <w:r>
        <w:rPr>
          <w:spacing w:val="-4"/>
          <w:sz w:val="16"/>
        </w:rPr>
        <w:t>attractive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opioid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>with</w:t>
      </w:r>
      <w:r>
        <w:rPr>
          <w:spacing w:val="-15"/>
          <w:sz w:val="16"/>
        </w:rPr>
        <w:t xml:space="preserve"> </w:t>
      </w:r>
      <w:r>
        <w:rPr>
          <w:spacing w:val="-3"/>
          <w:sz w:val="16"/>
        </w:rPr>
        <w:t xml:space="preserve">under- </w:t>
      </w:r>
      <w:r>
        <w:rPr>
          <w:spacing w:val="-4"/>
          <w:sz w:val="16"/>
        </w:rPr>
        <w:t>utilized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potential</w:t>
      </w:r>
      <w:r>
        <w:rPr>
          <w:spacing w:val="-17"/>
          <w:sz w:val="16"/>
        </w:rPr>
        <w:t xml:space="preserve"> </w:t>
      </w:r>
      <w:r>
        <w:rPr>
          <w:sz w:val="16"/>
        </w:rPr>
        <w:t>in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treatment</w:t>
      </w:r>
      <w:r>
        <w:rPr>
          <w:spacing w:val="-17"/>
          <w:sz w:val="16"/>
        </w:rPr>
        <w:t xml:space="preserve"> </w:t>
      </w:r>
      <w:r>
        <w:rPr>
          <w:sz w:val="16"/>
        </w:rPr>
        <w:t>of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chronic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pain.</w:t>
      </w:r>
      <w:r>
        <w:rPr>
          <w:spacing w:val="-17"/>
          <w:sz w:val="16"/>
        </w:rPr>
        <w:t xml:space="preserve"> </w:t>
      </w:r>
      <w:r>
        <w:rPr>
          <w:i/>
          <w:sz w:val="16"/>
        </w:rPr>
        <w:t>J</w:t>
      </w:r>
      <w:r>
        <w:rPr>
          <w:i/>
          <w:spacing w:val="-17"/>
          <w:sz w:val="16"/>
        </w:rPr>
        <w:t xml:space="preserve"> </w:t>
      </w:r>
      <w:r>
        <w:rPr>
          <w:i/>
          <w:spacing w:val="-7"/>
          <w:sz w:val="16"/>
        </w:rPr>
        <w:t>P</w:t>
      </w:r>
      <w:r>
        <w:rPr>
          <w:i/>
          <w:spacing w:val="-7"/>
          <w:sz w:val="16"/>
        </w:rPr>
        <w:t>ain</w:t>
      </w:r>
      <w:r>
        <w:rPr>
          <w:i/>
          <w:spacing w:val="-17"/>
          <w:sz w:val="16"/>
        </w:rPr>
        <w:t xml:space="preserve"> </w:t>
      </w:r>
      <w:r>
        <w:rPr>
          <w:i/>
          <w:spacing w:val="-3"/>
          <w:sz w:val="16"/>
        </w:rPr>
        <w:t>Res</w:t>
      </w:r>
      <w:r>
        <w:rPr>
          <w:spacing w:val="-3"/>
          <w:sz w:val="16"/>
        </w:rPr>
        <w:t>.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2015;8:859–870.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3" w:hanging="280"/>
        <w:jc w:val="both"/>
        <w:rPr>
          <w:sz w:val="16"/>
        </w:rPr>
      </w:pPr>
      <w:r>
        <w:rPr>
          <w:sz w:val="16"/>
        </w:rPr>
        <w:t>Washington</w:t>
      </w:r>
      <w:r>
        <w:rPr>
          <w:spacing w:val="-6"/>
          <w:sz w:val="16"/>
        </w:rPr>
        <w:t xml:space="preserve"> </w:t>
      </w:r>
      <w:r>
        <w:rPr>
          <w:sz w:val="16"/>
        </w:rPr>
        <w:t>Legal</w:t>
      </w:r>
      <w:r>
        <w:rPr>
          <w:spacing w:val="-6"/>
          <w:sz w:val="16"/>
        </w:rPr>
        <w:t xml:space="preserve"> </w:t>
      </w:r>
      <w:r>
        <w:rPr>
          <w:sz w:val="16"/>
        </w:rPr>
        <w:t>Foundation.</w:t>
      </w:r>
      <w:r>
        <w:rPr>
          <w:spacing w:val="-6"/>
          <w:sz w:val="16"/>
        </w:rPr>
        <w:t xml:space="preserve"> </w:t>
      </w:r>
      <w:r>
        <w:rPr>
          <w:i/>
          <w:sz w:val="16"/>
        </w:rPr>
        <w:t>Re: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Guideline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for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Prescribing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Opioids for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Chronic</w:t>
      </w:r>
      <w:r>
        <w:rPr>
          <w:i/>
          <w:spacing w:val="-15"/>
          <w:sz w:val="16"/>
        </w:rPr>
        <w:t xml:space="preserve"> </w:t>
      </w:r>
      <w:r>
        <w:rPr>
          <w:i/>
          <w:spacing w:val="-4"/>
          <w:sz w:val="16"/>
        </w:rPr>
        <w:t>Pain</w:t>
      </w:r>
      <w:r>
        <w:rPr>
          <w:spacing w:val="-4"/>
          <w:sz w:val="16"/>
        </w:rPr>
        <w:t>.</w:t>
      </w:r>
      <w:r>
        <w:rPr>
          <w:spacing w:val="-18"/>
          <w:sz w:val="16"/>
        </w:rPr>
        <w:t xml:space="preserve"> </w:t>
      </w:r>
      <w:r>
        <w:rPr>
          <w:spacing w:val="-3"/>
          <w:sz w:val="16"/>
        </w:rPr>
        <w:t>Washington</w:t>
      </w:r>
      <w:r>
        <w:rPr>
          <w:spacing w:val="-15"/>
          <w:sz w:val="16"/>
        </w:rPr>
        <w:t xml:space="preserve"> </w:t>
      </w:r>
      <w:r>
        <w:rPr>
          <w:sz w:val="16"/>
        </w:rPr>
        <w:t>Legal</w:t>
      </w:r>
      <w:r>
        <w:rPr>
          <w:spacing w:val="-15"/>
          <w:sz w:val="16"/>
        </w:rPr>
        <w:t xml:space="preserve"> </w:t>
      </w:r>
      <w:r>
        <w:rPr>
          <w:sz w:val="16"/>
        </w:rPr>
        <w:t>Foundation;</w:t>
      </w:r>
      <w:r>
        <w:rPr>
          <w:spacing w:val="-15"/>
          <w:sz w:val="16"/>
        </w:rPr>
        <w:t xml:space="preserve"> </w:t>
      </w:r>
      <w:r>
        <w:rPr>
          <w:sz w:val="16"/>
        </w:rPr>
        <w:t>2015.</w:t>
      </w:r>
      <w:r>
        <w:rPr>
          <w:spacing w:val="-22"/>
          <w:sz w:val="16"/>
        </w:rPr>
        <w:t xml:space="preserve"> </w:t>
      </w:r>
      <w:r>
        <w:rPr>
          <w:spacing w:val="-4"/>
          <w:sz w:val="16"/>
        </w:rPr>
        <w:t>Available</w:t>
      </w:r>
      <w:r>
        <w:rPr>
          <w:spacing w:val="-15"/>
          <w:sz w:val="16"/>
        </w:rPr>
        <w:t xml:space="preserve"> </w:t>
      </w:r>
      <w:r>
        <w:rPr>
          <w:sz w:val="16"/>
        </w:rPr>
        <w:t xml:space="preserve">from: </w:t>
      </w:r>
      <w:hyperlink r:id="rId53">
        <w:r>
          <w:rPr>
            <w:sz w:val="16"/>
          </w:rPr>
          <w:t>http://www.wlf.org/upload/litigation/misc/CDCComments-Opioids.</w:t>
        </w:r>
      </w:hyperlink>
      <w:r>
        <w:rPr>
          <w:sz w:val="16"/>
        </w:rPr>
        <w:t xml:space="preserve"> </w:t>
      </w:r>
      <w:hyperlink r:id="rId54">
        <w:r>
          <w:rPr>
            <w:sz w:val="16"/>
          </w:rPr>
          <w:t>pdf.</w:t>
        </w:r>
      </w:hyperlink>
      <w:r>
        <w:rPr>
          <w:sz w:val="16"/>
        </w:rPr>
        <w:t xml:space="preserve"> Accessed October 21,</w:t>
      </w:r>
      <w:r>
        <w:rPr>
          <w:spacing w:val="-9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1" w:hanging="280"/>
        <w:jc w:val="both"/>
        <w:rPr>
          <w:sz w:val="16"/>
        </w:rPr>
      </w:pPr>
      <w:r>
        <w:rPr>
          <w:sz w:val="16"/>
        </w:rPr>
        <w:t xml:space="preserve">The American Academy of Pain Medicine. </w:t>
      </w:r>
      <w:r>
        <w:rPr>
          <w:i/>
          <w:sz w:val="16"/>
        </w:rPr>
        <w:t>Re: Docket No. CDC- 2015–0112; Propos</w:t>
      </w:r>
      <w:r>
        <w:rPr>
          <w:i/>
          <w:sz w:val="16"/>
        </w:rPr>
        <w:t>ed 2016 Guideline for Prescribing Opioids for Chronic</w:t>
      </w:r>
      <w:r>
        <w:rPr>
          <w:i/>
          <w:spacing w:val="-5"/>
          <w:sz w:val="16"/>
        </w:rPr>
        <w:t xml:space="preserve"> </w:t>
      </w:r>
      <w:r>
        <w:rPr>
          <w:i/>
          <w:spacing w:val="-3"/>
          <w:sz w:val="16"/>
        </w:rPr>
        <w:t>Pain</w:t>
      </w:r>
      <w:r>
        <w:rPr>
          <w:spacing w:val="-3"/>
          <w:sz w:val="16"/>
        </w:rPr>
        <w:t>.</w:t>
      </w:r>
      <w:r>
        <w:rPr>
          <w:spacing w:val="-13"/>
          <w:sz w:val="16"/>
        </w:rPr>
        <w:t xml:space="preserve"> </w:t>
      </w:r>
      <w:r>
        <w:rPr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z w:val="16"/>
        </w:rPr>
        <w:t>American</w:t>
      </w:r>
      <w:r>
        <w:rPr>
          <w:spacing w:val="-13"/>
          <w:sz w:val="16"/>
        </w:rPr>
        <w:t xml:space="preserve"> </w:t>
      </w:r>
      <w:r>
        <w:rPr>
          <w:sz w:val="16"/>
        </w:rPr>
        <w:t>Academy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Pain</w:t>
      </w:r>
      <w:r>
        <w:rPr>
          <w:spacing w:val="-5"/>
          <w:sz w:val="16"/>
        </w:rPr>
        <w:t xml:space="preserve"> </w:t>
      </w:r>
      <w:r>
        <w:rPr>
          <w:sz w:val="16"/>
        </w:rPr>
        <w:t>Medicine;</w:t>
      </w:r>
      <w:r>
        <w:rPr>
          <w:spacing w:val="-5"/>
          <w:sz w:val="16"/>
        </w:rPr>
        <w:t xml:space="preserve"> </w:t>
      </w:r>
      <w:r>
        <w:rPr>
          <w:sz w:val="16"/>
        </w:rPr>
        <w:t>2016.</w:t>
      </w:r>
      <w:r>
        <w:rPr>
          <w:spacing w:val="-13"/>
          <w:sz w:val="16"/>
        </w:rPr>
        <w:t xml:space="preserve"> </w:t>
      </w:r>
      <w:r>
        <w:rPr>
          <w:spacing w:val="-4"/>
          <w:sz w:val="16"/>
        </w:rPr>
        <w:t xml:space="preserve">Avail- </w:t>
      </w:r>
      <w:r>
        <w:rPr>
          <w:spacing w:val="-1"/>
          <w:w w:val="95"/>
          <w:sz w:val="16"/>
        </w:rPr>
        <w:t xml:space="preserve">able from: </w:t>
      </w:r>
      <w:hyperlink r:id="rId55">
        <w:r>
          <w:rPr>
            <w:w w:val="95"/>
            <w:sz w:val="16"/>
          </w:rPr>
          <w:t>http://www.painmed.org/files/aapm-letter-to-cdc-proposed-</w:t>
        </w:r>
      </w:hyperlink>
      <w:r>
        <w:rPr>
          <w:w w:val="95"/>
          <w:sz w:val="16"/>
        </w:rPr>
        <w:t xml:space="preserve"> </w:t>
      </w:r>
      <w:r>
        <w:rPr>
          <w:sz w:val="16"/>
        </w:rPr>
        <w:t>2016-guidelines-for-prescibing.pdf. Accessed on October 21,</w:t>
      </w:r>
      <w:r>
        <w:rPr>
          <w:spacing w:val="-13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5" w:hanging="280"/>
        <w:jc w:val="both"/>
        <w:rPr>
          <w:sz w:val="16"/>
        </w:rPr>
      </w:pPr>
      <w:r>
        <w:rPr>
          <w:sz w:val="16"/>
        </w:rPr>
        <w:t>Pain</w:t>
      </w:r>
      <w:r>
        <w:rPr>
          <w:spacing w:val="-17"/>
          <w:sz w:val="16"/>
        </w:rPr>
        <w:t xml:space="preserve"> </w:t>
      </w:r>
      <w:r>
        <w:rPr>
          <w:sz w:val="16"/>
        </w:rPr>
        <w:t>News</w:t>
      </w:r>
      <w:r>
        <w:rPr>
          <w:spacing w:val="-17"/>
          <w:sz w:val="16"/>
        </w:rPr>
        <w:t xml:space="preserve"> </w:t>
      </w:r>
      <w:r>
        <w:rPr>
          <w:sz w:val="16"/>
        </w:rPr>
        <w:t>Network</w:t>
      </w:r>
      <w:r>
        <w:rPr>
          <w:spacing w:val="-17"/>
          <w:sz w:val="16"/>
        </w:rPr>
        <w:t xml:space="preserve"> </w:t>
      </w:r>
      <w:r>
        <w:rPr>
          <w:sz w:val="16"/>
        </w:rPr>
        <w:t>[homepage</w:t>
      </w:r>
      <w:r>
        <w:rPr>
          <w:spacing w:val="-17"/>
          <w:sz w:val="16"/>
        </w:rPr>
        <w:t xml:space="preserve"> </w:t>
      </w:r>
      <w:r>
        <w:rPr>
          <w:sz w:val="16"/>
        </w:rPr>
        <w:t>on</w:t>
      </w:r>
      <w:r>
        <w:rPr>
          <w:spacing w:val="-17"/>
          <w:sz w:val="16"/>
        </w:rPr>
        <w:t xml:space="preserve"> </w:t>
      </w:r>
      <w:r>
        <w:rPr>
          <w:sz w:val="16"/>
        </w:rPr>
        <w:t>the</w:t>
      </w:r>
      <w:r>
        <w:rPr>
          <w:spacing w:val="-17"/>
          <w:sz w:val="16"/>
        </w:rPr>
        <w:t xml:space="preserve"> </w:t>
      </w:r>
      <w:r>
        <w:rPr>
          <w:sz w:val="16"/>
        </w:rPr>
        <w:t>Internet].</w:t>
      </w:r>
      <w:r>
        <w:rPr>
          <w:spacing w:val="-24"/>
          <w:sz w:val="16"/>
        </w:rPr>
        <w:t xml:space="preserve"> </w:t>
      </w:r>
      <w:r>
        <w:rPr>
          <w:sz w:val="16"/>
        </w:rPr>
        <w:t>Anson</w:t>
      </w:r>
      <w:r>
        <w:rPr>
          <w:spacing w:val="-17"/>
          <w:sz w:val="16"/>
        </w:rPr>
        <w:t xml:space="preserve"> </w:t>
      </w:r>
      <w:r>
        <w:rPr>
          <w:spacing w:val="-14"/>
          <w:sz w:val="16"/>
        </w:rPr>
        <w:t>P.</w:t>
      </w:r>
      <w:r>
        <w:rPr>
          <w:spacing w:val="-17"/>
          <w:sz w:val="16"/>
        </w:rPr>
        <w:t xml:space="preserve"> </w:t>
      </w:r>
      <w:r>
        <w:rPr>
          <w:spacing w:val="-3"/>
          <w:sz w:val="16"/>
        </w:rPr>
        <w:t>PROP</w:t>
      </w:r>
      <w:r>
        <w:rPr>
          <w:spacing w:val="-17"/>
          <w:sz w:val="16"/>
        </w:rPr>
        <w:t xml:space="preserve"> </w:t>
      </w:r>
      <w:r>
        <w:rPr>
          <w:sz w:val="16"/>
        </w:rPr>
        <w:t>helped craft</w:t>
      </w:r>
      <w:r>
        <w:rPr>
          <w:spacing w:val="-19"/>
          <w:sz w:val="16"/>
        </w:rPr>
        <w:t xml:space="preserve"> </w:t>
      </w:r>
      <w:r>
        <w:rPr>
          <w:sz w:val="16"/>
        </w:rPr>
        <w:t>CDC</w:t>
      </w:r>
      <w:r>
        <w:rPr>
          <w:spacing w:val="-19"/>
          <w:sz w:val="16"/>
        </w:rPr>
        <w:t xml:space="preserve"> </w:t>
      </w:r>
      <w:r>
        <w:rPr>
          <w:sz w:val="16"/>
        </w:rPr>
        <w:t>opioid</w:t>
      </w:r>
      <w:r>
        <w:rPr>
          <w:spacing w:val="-19"/>
          <w:sz w:val="16"/>
        </w:rPr>
        <w:t xml:space="preserve"> </w:t>
      </w:r>
      <w:r>
        <w:rPr>
          <w:sz w:val="16"/>
        </w:rPr>
        <w:t>guidelines.</w:t>
      </w:r>
      <w:r>
        <w:rPr>
          <w:spacing w:val="-19"/>
          <w:sz w:val="16"/>
        </w:rPr>
        <w:t xml:space="preserve"> </w:t>
      </w:r>
      <w:r>
        <w:rPr>
          <w:sz w:val="16"/>
        </w:rPr>
        <w:t>Pain</w:t>
      </w:r>
      <w:r>
        <w:rPr>
          <w:spacing w:val="-19"/>
          <w:sz w:val="16"/>
        </w:rPr>
        <w:t xml:space="preserve"> </w:t>
      </w:r>
      <w:r>
        <w:rPr>
          <w:spacing w:val="-3"/>
          <w:sz w:val="16"/>
        </w:rPr>
        <w:t>Network</w:t>
      </w:r>
      <w:r>
        <w:rPr>
          <w:spacing w:val="-19"/>
          <w:sz w:val="16"/>
        </w:rPr>
        <w:t xml:space="preserve"> </w:t>
      </w:r>
      <w:r>
        <w:rPr>
          <w:spacing w:val="-3"/>
          <w:sz w:val="16"/>
        </w:rPr>
        <w:t>News;</w:t>
      </w:r>
      <w:r>
        <w:rPr>
          <w:spacing w:val="-19"/>
          <w:sz w:val="16"/>
        </w:rPr>
        <w:t xml:space="preserve"> </w:t>
      </w:r>
      <w:r>
        <w:rPr>
          <w:sz w:val="16"/>
        </w:rPr>
        <w:t>2015.</w:t>
      </w:r>
      <w:r>
        <w:rPr>
          <w:spacing w:val="-26"/>
          <w:sz w:val="16"/>
        </w:rPr>
        <w:t xml:space="preserve"> </w:t>
      </w:r>
      <w:r>
        <w:rPr>
          <w:spacing w:val="-5"/>
          <w:sz w:val="16"/>
        </w:rPr>
        <w:t>Available</w:t>
      </w:r>
      <w:r>
        <w:rPr>
          <w:spacing w:val="-19"/>
          <w:sz w:val="16"/>
        </w:rPr>
        <w:t xml:space="preserve"> </w:t>
      </w:r>
      <w:r>
        <w:rPr>
          <w:sz w:val="16"/>
        </w:rPr>
        <w:t>f</w:t>
      </w:r>
      <w:r>
        <w:rPr>
          <w:sz w:val="16"/>
        </w:rPr>
        <w:t xml:space="preserve">rom: </w:t>
      </w:r>
      <w:hyperlink r:id="rId56">
        <w:r>
          <w:rPr>
            <w:spacing w:val="-3"/>
            <w:sz w:val="16"/>
          </w:rPr>
          <w:t>https://www.painnewsnetwork.org/stories/2015/9/21/prop-helped-draft-</w:t>
        </w:r>
      </w:hyperlink>
      <w:r>
        <w:rPr>
          <w:spacing w:val="-3"/>
          <w:sz w:val="16"/>
        </w:rPr>
        <w:t xml:space="preserve"> </w:t>
      </w:r>
      <w:hyperlink r:id="rId57">
        <w:r>
          <w:rPr>
            <w:sz w:val="16"/>
          </w:rPr>
          <w:t>cdc-opioid-guidelines.</w:t>
        </w:r>
      </w:hyperlink>
      <w:r>
        <w:rPr>
          <w:sz w:val="16"/>
        </w:rPr>
        <w:t xml:space="preserve"> Accessed October 21,</w:t>
      </w:r>
      <w:r>
        <w:rPr>
          <w:spacing w:val="-9"/>
          <w:sz w:val="16"/>
        </w:rPr>
        <w:t xml:space="preserve"> </w:t>
      </w:r>
      <w:r>
        <w:rPr>
          <w:sz w:val="16"/>
        </w:rPr>
        <w:t>2017.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5" w:hanging="280"/>
        <w:jc w:val="both"/>
        <w:rPr>
          <w:sz w:val="16"/>
        </w:rPr>
      </w:pPr>
      <w:r>
        <w:rPr>
          <w:sz w:val="16"/>
        </w:rPr>
        <w:t xml:space="preserve">Institute of Medicine. </w:t>
      </w:r>
      <w:r>
        <w:rPr>
          <w:i/>
          <w:sz w:val="16"/>
        </w:rPr>
        <w:t xml:space="preserve">Clinical Practice Guidelines </w:t>
      </w:r>
      <w:r>
        <w:rPr>
          <w:i/>
          <w:spacing w:val="-9"/>
          <w:sz w:val="16"/>
        </w:rPr>
        <w:t xml:space="preserve">We </w:t>
      </w:r>
      <w:r>
        <w:rPr>
          <w:i/>
          <w:sz w:val="16"/>
        </w:rPr>
        <w:t>Can Trust</w:t>
      </w:r>
      <w:r>
        <w:rPr>
          <w:sz w:val="16"/>
        </w:rPr>
        <w:t>. Washington, DC: National Academies Press;</w:t>
      </w:r>
      <w:r>
        <w:rPr>
          <w:spacing w:val="-22"/>
          <w:sz w:val="16"/>
        </w:rPr>
        <w:t xml:space="preserve"> </w:t>
      </w:r>
      <w:r>
        <w:rPr>
          <w:sz w:val="16"/>
        </w:rPr>
        <w:t>2011.</w:t>
      </w:r>
    </w:p>
    <w:p w:rsidR="0080489A" w:rsidRDefault="0091324C">
      <w:pPr>
        <w:pStyle w:val="ListParagraph"/>
        <w:numPr>
          <w:ilvl w:val="0"/>
          <w:numId w:val="1"/>
        </w:numPr>
        <w:tabs>
          <w:tab w:val="left" w:pos="516"/>
        </w:tabs>
        <w:spacing w:line="261" w:lineRule="auto"/>
        <w:ind w:left="515" w:right="1416" w:hanging="280"/>
        <w:jc w:val="both"/>
        <w:rPr>
          <w:sz w:val="16"/>
        </w:rPr>
      </w:pPr>
      <w:r>
        <w:rPr>
          <w:sz w:val="16"/>
        </w:rPr>
        <w:t>Schatman</w:t>
      </w:r>
      <w:r>
        <w:rPr>
          <w:spacing w:val="-23"/>
          <w:sz w:val="16"/>
        </w:rPr>
        <w:t xml:space="preserve"> </w:t>
      </w:r>
      <w:r>
        <w:rPr>
          <w:sz w:val="16"/>
        </w:rPr>
        <w:t>ME,</w:t>
      </w:r>
      <w:r>
        <w:rPr>
          <w:spacing w:val="-23"/>
          <w:sz w:val="16"/>
        </w:rPr>
        <w:t xml:space="preserve"> </w:t>
      </w:r>
      <w:r>
        <w:rPr>
          <w:spacing w:val="-3"/>
          <w:sz w:val="16"/>
        </w:rPr>
        <w:t>Ziegler</w:t>
      </w:r>
      <w:r>
        <w:rPr>
          <w:spacing w:val="-23"/>
          <w:sz w:val="16"/>
        </w:rPr>
        <w:t xml:space="preserve"> </w:t>
      </w:r>
      <w:r>
        <w:rPr>
          <w:spacing w:val="-5"/>
          <w:sz w:val="16"/>
        </w:rPr>
        <w:t>SJ.</w:t>
      </w:r>
      <w:r>
        <w:rPr>
          <w:spacing w:val="-23"/>
          <w:sz w:val="16"/>
        </w:rPr>
        <w:t xml:space="preserve"> </w:t>
      </w:r>
      <w:r>
        <w:rPr>
          <w:spacing w:val="-3"/>
          <w:sz w:val="16"/>
        </w:rPr>
        <w:t>Pain</w:t>
      </w:r>
      <w:r>
        <w:rPr>
          <w:spacing w:val="-23"/>
          <w:sz w:val="16"/>
        </w:rPr>
        <w:t xml:space="preserve"> </w:t>
      </w:r>
      <w:r>
        <w:rPr>
          <w:sz w:val="16"/>
        </w:rPr>
        <w:t>management,</w:t>
      </w:r>
      <w:r>
        <w:rPr>
          <w:spacing w:val="-23"/>
          <w:sz w:val="16"/>
        </w:rPr>
        <w:t xml:space="preserve"> </w:t>
      </w:r>
      <w:r>
        <w:rPr>
          <w:sz w:val="16"/>
        </w:rPr>
        <w:t>prescription</w:t>
      </w:r>
      <w:r>
        <w:rPr>
          <w:spacing w:val="-23"/>
          <w:sz w:val="16"/>
        </w:rPr>
        <w:t xml:space="preserve"> </w:t>
      </w:r>
      <w:r>
        <w:rPr>
          <w:sz w:val="16"/>
        </w:rPr>
        <w:t>opioid</w:t>
      </w:r>
      <w:r>
        <w:rPr>
          <w:spacing w:val="-23"/>
          <w:sz w:val="16"/>
        </w:rPr>
        <w:t xml:space="preserve"> </w:t>
      </w:r>
      <w:r>
        <w:rPr>
          <w:sz w:val="16"/>
        </w:rPr>
        <w:t xml:space="preserve">mortal- </w:t>
      </w:r>
      <w:r>
        <w:rPr>
          <w:spacing w:val="-6"/>
          <w:sz w:val="16"/>
        </w:rPr>
        <w:t>ity,</w:t>
      </w:r>
      <w:r>
        <w:rPr>
          <w:spacing w:val="-16"/>
          <w:sz w:val="16"/>
        </w:rPr>
        <w:t xml:space="preserve"> </w:t>
      </w:r>
      <w:r>
        <w:rPr>
          <w:sz w:val="16"/>
        </w:rPr>
        <w:t>and</w:t>
      </w:r>
      <w:r>
        <w:rPr>
          <w:spacing w:val="-16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pacing w:val="-3"/>
          <w:sz w:val="16"/>
        </w:rPr>
        <w:t>CDC:</w:t>
      </w:r>
      <w:r>
        <w:rPr>
          <w:spacing w:val="-16"/>
          <w:sz w:val="16"/>
        </w:rPr>
        <w:t xml:space="preserve"> </w:t>
      </w:r>
      <w:r>
        <w:rPr>
          <w:sz w:val="16"/>
        </w:rPr>
        <w:t>is</w:t>
      </w:r>
      <w:r>
        <w:rPr>
          <w:spacing w:val="-16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pacing w:val="-4"/>
          <w:sz w:val="16"/>
        </w:rPr>
        <w:t>devil</w:t>
      </w:r>
      <w:r>
        <w:rPr>
          <w:spacing w:val="-16"/>
          <w:sz w:val="16"/>
        </w:rPr>
        <w:t xml:space="preserve"> </w:t>
      </w:r>
      <w:r>
        <w:rPr>
          <w:sz w:val="16"/>
        </w:rPr>
        <w:t>in</w:t>
      </w:r>
      <w:r>
        <w:rPr>
          <w:spacing w:val="-16"/>
          <w:sz w:val="16"/>
        </w:rPr>
        <w:t xml:space="preserve"> </w:t>
      </w:r>
      <w:r>
        <w:rPr>
          <w:sz w:val="16"/>
        </w:rPr>
        <w:t>the</w:t>
      </w:r>
      <w:r>
        <w:rPr>
          <w:spacing w:val="-16"/>
          <w:sz w:val="16"/>
        </w:rPr>
        <w:t xml:space="preserve"> </w:t>
      </w:r>
      <w:r>
        <w:rPr>
          <w:spacing w:val="-3"/>
          <w:sz w:val="16"/>
        </w:rPr>
        <w:t>data?</w:t>
      </w:r>
      <w:r>
        <w:rPr>
          <w:spacing w:val="-16"/>
          <w:sz w:val="16"/>
        </w:rPr>
        <w:t xml:space="preserve"> </w:t>
      </w:r>
      <w:r>
        <w:rPr>
          <w:i/>
          <w:sz w:val="16"/>
        </w:rPr>
        <w:t>J</w:t>
      </w:r>
      <w:r>
        <w:rPr>
          <w:i/>
          <w:spacing w:val="-16"/>
          <w:sz w:val="16"/>
        </w:rPr>
        <w:t xml:space="preserve"> </w:t>
      </w:r>
      <w:r>
        <w:rPr>
          <w:i/>
          <w:spacing w:val="-6"/>
          <w:sz w:val="16"/>
        </w:rPr>
        <w:t>Pain</w:t>
      </w:r>
      <w:r>
        <w:rPr>
          <w:i/>
          <w:spacing w:val="-16"/>
          <w:sz w:val="16"/>
        </w:rPr>
        <w:t xml:space="preserve"> </w:t>
      </w:r>
      <w:r>
        <w:rPr>
          <w:i/>
          <w:spacing w:val="-3"/>
          <w:sz w:val="16"/>
        </w:rPr>
        <w:t>Res</w:t>
      </w:r>
      <w:r>
        <w:rPr>
          <w:spacing w:val="-3"/>
          <w:sz w:val="16"/>
        </w:rPr>
        <w:t>.</w:t>
      </w:r>
      <w:r>
        <w:rPr>
          <w:spacing w:val="-16"/>
          <w:sz w:val="16"/>
        </w:rPr>
        <w:t xml:space="preserve"> </w:t>
      </w:r>
      <w:r>
        <w:rPr>
          <w:spacing w:val="-3"/>
          <w:sz w:val="16"/>
        </w:rPr>
        <w:t>2017;10:2489–2495.</w:t>
      </w:r>
    </w:p>
    <w:p w:rsidR="0080489A" w:rsidRDefault="0080489A">
      <w:pPr>
        <w:spacing w:line="261" w:lineRule="auto"/>
        <w:jc w:val="both"/>
        <w:rPr>
          <w:sz w:val="16"/>
        </w:rPr>
        <w:sectPr w:rsidR="0080489A">
          <w:pgSz w:w="12240" w:h="15840"/>
          <w:pgMar w:top="480" w:right="0" w:bottom="0" w:left="460" w:header="0" w:footer="0" w:gutter="0"/>
          <w:cols w:num="2" w:space="720" w:equalWidth="0">
            <w:col w:w="5357" w:space="40"/>
            <w:col w:w="6383"/>
          </w:cols>
        </w:sectPr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</w:pPr>
    </w:p>
    <w:p w:rsidR="0080489A" w:rsidRDefault="0080489A">
      <w:pPr>
        <w:pStyle w:val="BodyText"/>
        <w:rPr>
          <w:sz w:val="12"/>
        </w:rPr>
      </w:pPr>
    </w:p>
    <w:p w:rsidR="0080489A" w:rsidRDefault="0091324C">
      <w:pPr>
        <w:spacing w:before="93" w:line="261" w:lineRule="auto"/>
        <w:ind w:left="898" w:right="1696"/>
        <w:jc w:val="both"/>
        <w:rPr>
          <w:rFonts w:ascii="Calibri" w:hAnsi="Calibri"/>
          <w:sz w:val="12"/>
        </w:rPr>
      </w:pPr>
      <w:r>
        <w:rPr>
          <w:rFonts w:ascii="Calibri" w:hAnsi="Calibri"/>
          <w:sz w:val="12"/>
        </w:rPr>
        <w:t>Dove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Medical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Press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encourages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responsible,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free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frank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academic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debate.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Journal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Pain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Research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‘Editorial’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section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does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not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necessarily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represent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views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Dove Medical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Press,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its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officers,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agents,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employees,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related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entities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or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Journal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Pain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Research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editors.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While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all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reasonable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steps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have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been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taken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to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confirm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each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Editorial,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Dove Medical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Press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accepts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no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liability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in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respect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any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Editorial,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nor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is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it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responsible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for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the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content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accuracy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any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Editorial.</w:t>
      </w:r>
    </w:p>
    <w:p w:rsidR="0080489A" w:rsidRDefault="0080489A">
      <w:pPr>
        <w:pStyle w:val="BodyText"/>
        <w:spacing w:before="4"/>
        <w:rPr>
          <w:rFonts w:ascii="Calibri"/>
        </w:rPr>
      </w:pPr>
    </w:p>
    <w:p w:rsidR="0080489A" w:rsidRDefault="0080489A">
      <w:pPr>
        <w:rPr>
          <w:rFonts w:ascii="Calibri"/>
        </w:rPr>
        <w:sectPr w:rsidR="0080489A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80489A" w:rsidRDefault="0091324C">
      <w:pPr>
        <w:spacing w:before="115"/>
        <w:ind w:left="910"/>
        <w:jc w:val="both"/>
        <w:rPr>
          <w:rFonts w:ascii="Book Antiqua"/>
          <w:sz w:val="16"/>
        </w:rPr>
      </w:pPr>
      <w:r>
        <w:pict>
          <v:rect id="_x0000_s2052" style="position:absolute;left:0;text-align:left;margin-left:53.85pt;margin-top:-4.25pt;width:487.3pt;height:106.25pt;z-index:-9448;mso-position-horizontal-relative:page" fillcolor="#ebebec" stroked="f">
            <w10:wrap anchorx="page"/>
          </v:rect>
        </w:pict>
      </w:r>
      <w:r>
        <w:rPr>
          <w:rFonts w:ascii="Book Antiqua"/>
          <w:color w:val="3785AD"/>
          <w:w w:val="110"/>
          <w:sz w:val="16"/>
        </w:rPr>
        <w:t>Journal of Pain Research</w:t>
      </w:r>
    </w:p>
    <w:p w:rsidR="0080489A" w:rsidRDefault="0091324C">
      <w:pPr>
        <w:spacing w:before="77"/>
        <w:ind w:left="890"/>
        <w:jc w:val="both"/>
        <w:rPr>
          <w:rFonts w:ascii="Gill Sans MT"/>
          <w:b/>
          <w:sz w:val="24"/>
        </w:rPr>
      </w:pPr>
      <w:r>
        <w:rPr>
          <w:rFonts w:ascii="Gill Sans MT"/>
          <w:b/>
          <w:color w:val="808285"/>
          <w:sz w:val="24"/>
        </w:rPr>
        <w:t>Publish your work in this journal</w:t>
      </w:r>
    </w:p>
    <w:p w:rsidR="0080489A" w:rsidRDefault="0091324C">
      <w:pPr>
        <w:spacing w:before="91" w:line="160" w:lineRule="exact"/>
        <w:ind w:left="910" w:right="220"/>
        <w:jc w:val="both"/>
        <w:rPr>
          <w:sz w:val="16"/>
        </w:rPr>
      </w:pPr>
      <w:r>
        <w:rPr>
          <w:sz w:val="16"/>
        </w:rPr>
        <w:t xml:space="preserve">The Journal of Pain Research is an international, peer </w:t>
      </w:r>
      <w:r>
        <w:rPr>
          <w:spacing w:val="-3"/>
          <w:sz w:val="16"/>
        </w:rPr>
        <w:t xml:space="preserve">reviewed, </w:t>
      </w:r>
      <w:r>
        <w:rPr>
          <w:sz w:val="16"/>
        </w:rPr>
        <w:t xml:space="preserve">open access, online journal that welcomes laboratory and clinical findings in the fields of pain research and the prevention and management     of </w:t>
      </w:r>
      <w:r>
        <w:rPr>
          <w:spacing w:val="2"/>
          <w:sz w:val="16"/>
        </w:rPr>
        <w:t xml:space="preserve">pain. Original research, </w:t>
      </w:r>
      <w:r>
        <w:rPr>
          <w:sz w:val="16"/>
        </w:rPr>
        <w:t xml:space="preserve">reviews, </w:t>
      </w:r>
      <w:r>
        <w:rPr>
          <w:spacing w:val="2"/>
          <w:sz w:val="16"/>
        </w:rPr>
        <w:t xml:space="preserve">symposium </w:t>
      </w:r>
      <w:r>
        <w:rPr>
          <w:spacing w:val="3"/>
          <w:sz w:val="16"/>
        </w:rPr>
        <w:t xml:space="preserve">reports, </w:t>
      </w:r>
      <w:r>
        <w:rPr>
          <w:sz w:val="16"/>
        </w:rPr>
        <w:t xml:space="preserve">hypoth- esis formation and commentaries are all considered for  </w:t>
      </w:r>
      <w:r>
        <w:rPr>
          <w:spacing w:val="39"/>
          <w:sz w:val="16"/>
        </w:rPr>
        <w:t xml:space="preserve"> </w:t>
      </w:r>
      <w:r>
        <w:rPr>
          <w:sz w:val="16"/>
        </w:rPr>
        <w:t>publication.</w:t>
      </w:r>
    </w:p>
    <w:p w:rsidR="0080489A" w:rsidRDefault="0091324C">
      <w:pPr>
        <w:spacing w:before="95"/>
        <w:ind w:left="910"/>
        <w:jc w:val="both"/>
        <w:rPr>
          <w:rFonts w:ascii="Gill Sans MT"/>
          <w:sz w:val="12"/>
        </w:rPr>
      </w:pPr>
      <w:r>
        <w:rPr>
          <w:rFonts w:ascii="Gill Sans MT"/>
          <w:b/>
          <w:color w:val="808285"/>
          <w:sz w:val="12"/>
        </w:rPr>
        <w:t xml:space="preserve">Submit your manuscript here: </w:t>
      </w:r>
      <w:hyperlink r:id="rId58">
        <w:r>
          <w:rPr>
            <w:rFonts w:ascii="Gill Sans MT"/>
            <w:color w:val="808285"/>
            <w:sz w:val="12"/>
          </w:rPr>
          <w:t>https://www</w:t>
        </w:r>
      </w:hyperlink>
      <w:r>
        <w:rPr>
          <w:rFonts w:ascii="Gill Sans MT"/>
          <w:color w:val="808285"/>
          <w:sz w:val="12"/>
        </w:rPr>
        <w:t>.dovepr</w:t>
      </w:r>
      <w:hyperlink r:id="rId59">
        <w:r>
          <w:rPr>
            <w:rFonts w:ascii="Gill Sans MT"/>
            <w:color w:val="808285"/>
            <w:sz w:val="12"/>
          </w:rPr>
          <w:t>ess.com/journal-of-pain-research-journal</w:t>
        </w:r>
      </w:hyperlink>
    </w:p>
    <w:p w:rsidR="0080489A" w:rsidRDefault="0091324C">
      <w:pPr>
        <w:pStyle w:val="Heading2"/>
        <w:spacing w:before="103"/>
        <w:ind w:left="3213"/>
      </w:pPr>
      <w:r>
        <w:br w:type="column"/>
      </w:r>
      <w:r>
        <w:rPr>
          <w:color w:val="3785AD"/>
          <w:w w:val="110"/>
        </w:rPr>
        <w:t>Dove</w:t>
      </w:r>
      <w:r>
        <w:rPr>
          <w:color w:val="B8BABC"/>
          <w:w w:val="110"/>
        </w:rPr>
        <w:t>press</w:t>
      </w:r>
    </w:p>
    <w:p w:rsidR="0080489A" w:rsidRDefault="0080489A">
      <w:pPr>
        <w:pStyle w:val="BodyText"/>
        <w:rPr>
          <w:rFonts w:ascii="Book Antiqua"/>
          <w:sz w:val="29"/>
        </w:rPr>
      </w:pPr>
    </w:p>
    <w:p w:rsidR="0080489A" w:rsidRDefault="0091324C">
      <w:pPr>
        <w:spacing w:line="160" w:lineRule="exact"/>
        <w:ind w:left="16" w:right="1718"/>
        <w:jc w:val="both"/>
        <w:rPr>
          <w:sz w:val="16"/>
        </w:rPr>
      </w:pPr>
      <w:r>
        <w:rPr>
          <w:sz w:val="16"/>
        </w:rPr>
        <w:t>The</w:t>
      </w:r>
      <w:r>
        <w:rPr>
          <w:spacing w:val="-17"/>
          <w:sz w:val="16"/>
        </w:rPr>
        <w:t xml:space="preserve"> </w:t>
      </w:r>
      <w:r>
        <w:rPr>
          <w:sz w:val="16"/>
        </w:rPr>
        <w:t>manuscript</w:t>
      </w:r>
      <w:r>
        <w:rPr>
          <w:spacing w:val="-17"/>
          <w:sz w:val="16"/>
        </w:rPr>
        <w:t xml:space="preserve"> </w:t>
      </w:r>
      <w:r>
        <w:rPr>
          <w:sz w:val="16"/>
        </w:rPr>
        <w:t>management</w:t>
      </w:r>
      <w:r>
        <w:rPr>
          <w:spacing w:val="-17"/>
          <w:sz w:val="16"/>
        </w:rPr>
        <w:t xml:space="preserve"> </w:t>
      </w:r>
      <w:r>
        <w:rPr>
          <w:sz w:val="16"/>
        </w:rPr>
        <w:t>system</w:t>
      </w:r>
      <w:r>
        <w:rPr>
          <w:spacing w:val="-17"/>
          <w:sz w:val="16"/>
        </w:rPr>
        <w:t xml:space="preserve"> </w:t>
      </w:r>
      <w:r>
        <w:rPr>
          <w:sz w:val="16"/>
        </w:rPr>
        <w:t>is</w:t>
      </w:r>
      <w:r>
        <w:rPr>
          <w:spacing w:val="-17"/>
          <w:sz w:val="16"/>
        </w:rPr>
        <w:t xml:space="preserve"> </w:t>
      </w:r>
      <w:r>
        <w:rPr>
          <w:sz w:val="16"/>
        </w:rPr>
        <w:t>completely</w:t>
      </w:r>
      <w:r>
        <w:rPr>
          <w:spacing w:val="-17"/>
          <w:sz w:val="16"/>
        </w:rPr>
        <w:t xml:space="preserve"> </w:t>
      </w:r>
      <w:r>
        <w:rPr>
          <w:sz w:val="16"/>
        </w:rPr>
        <w:t>online</w:t>
      </w:r>
      <w:r>
        <w:rPr>
          <w:spacing w:val="-17"/>
          <w:sz w:val="16"/>
        </w:rPr>
        <w:t xml:space="preserve"> </w:t>
      </w:r>
      <w:r>
        <w:rPr>
          <w:sz w:val="16"/>
        </w:rPr>
        <w:t>and</w:t>
      </w:r>
      <w:r>
        <w:rPr>
          <w:spacing w:val="-17"/>
          <w:sz w:val="16"/>
        </w:rPr>
        <w:t xml:space="preserve"> </w:t>
      </w:r>
      <w:r>
        <w:rPr>
          <w:sz w:val="16"/>
        </w:rPr>
        <w:t>includes a</w:t>
      </w:r>
      <w:r>
        <w:rPr>
          <w:spacing w:val="-11"/>
          <w:sz w:val="16"/>
        </w:rPr>
        <w:t xml:space="preserve"> </w:t>
      </w:r>
      <w:r>
        <w:rPr>
          <w:sz w:val="16"/>
        </w:rPr>
        <w:t>very</w:t>
      </w:r>
      <w:r>
        <w:rPr>
          <w:spacing w:val="-11"/>
          <w:sz w:val="16"/>
        </w:rPr>
        <w:t xml:space="preserve"> </w:t>
      </w:r>
      <w:r>
        <w:rPr>
          <w:sz w:val="16"/>
        </w:rPr>
        <w:t>quick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fair</w:t>
      </w:r>
      <w:r>
        <w:rPr>
          <w:spacing w:val="-11"/>
          <w:sz w:val="16"/>
        </w:rPr>
        <w:t xml:space="preserve"> </w:t>
      </w:r>
      <w:r>
        <w:rPr>
          <w:sz w:val="16"/>
        </w:rPr>
        <w:t>peer-review</w:t>
      </w:r>
      <w:r>
        <w:rPr>
          <w:spacing w:val="-11"/>
          <w:sz w:val="16"/>
        </w:rPr>
        <w:t xml:space="preserve"> </w:t>
      </w:r>
      <w:r>
        <w:rPr>
          <w:sz w:val="16"/>
        </w:rPr>
        <w:t>system,</w:t>
      </w:r>
      <w:r>
        <w:rPr>
          <w:spacing w:val="-11"/>
          <w:sz w:val="16"/>
        </w:rPr>
        <w:t xml:space="preserve"> </w:t>
      </w:r>
      <w:r>
        <w:rPr>
          <w:sz w:val="16"/>
        </w:rPr>
        <w:t>which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all</w:t>
      </w:r>
      <w:r>
        <w:rPr>
          <w:spacing w:val="-11"/>
          <w:sz w:val="16"/>
        </w:rPr>
        <w:t xml:space="preserve"> </w:t>
      </w:r>
      <w:r>
        <w:rPr>
          <w:sz w:val="16"/>
        </w:rPr>
        <w:t>easy</w:t>
      </w:r>
      <w:r>
        <w:rPr>
          <w:spacing w:val="-11"/>
          <w:sz w:val="16"/>
        </w:rPr>
        <w:t xml:space="preserve"> </w:t>
      </w:r>
      <w:r>
        <w:rPr>
          <w:sz w:val="16"/>
        </w:rPr>
        <w:t>to</w:t>
      </w:r>
      <w:r>
        <w:rPr>
          <w:spacing w:val="-11"/>
          <w:sz w:val="16"/>
        </w:rPr>
        <w:t xml:space="preserve"> </w:t>
      </w:r>
      <w:r>
        <w:rPr>
          <w:sz w:val="16"/>
        </w:rPr>
        <w:t>use.</w:t>
      </w:r>
      <w:r>
        <w:rPr>
          <w:spacing w:val="-19"/>
          <w:sz w:val="16"/>
        </w:rPr>
        <w:t xml:space="preserve"> </w:t>
      </w:r>
      <w:r>
        <w:rPr>
          <w:sz w:val="16"/>
        </w:rPr>
        <w:t xml:space="preserve">Visit </w:t>
      </w:r>
      <w:hyperlink r:id="rId60">
        <w:r>
          <w:rPr>
            <w:sz w:val="16"/>
          </w:rPr>
          <w:t>http://www.dovepress.com/testimonials.php</w:t>
        </w:r>
      </w:hyperlink>
      <w:r>
        <w:rPr>
          <w:sz w:val="16"/>
        </w:rPr>
        <w:t xml:space="preserve"> to read real quotes from published</w:t>
      </w:r>
      <w:r>
        <w:rPr>
          <w:spacing w:val="-4"/>
          <w:sz w:val="16"/>
        </w:rPr>
        <w:t xml:space="preserve"> </w:t>
      </w:r>
      <w:r>
        <w:rPr>
          <w:sz w:val="16"/>
        </w:rPr>
        <w:t>authors.</w:t>
      </w:r>
    </w:p>
    <w:p w:rsidR="0080489A" w:rsidRDefault="0080489A">
      <w:pPr>
        <w:spacing w:line="160" w:lineRule="exact"/>
        <w:jc w:val="both"/>
        <w:rPr>
          <w:sz w:val="16"/>
        </w:rPr>
        <w:sectPr w:rsidR="0080489A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576" w:space="40"/>
            <w:col w:w="6164"/>
          </w:cols>
        </w:sectPr>
      </w:pPr>
    </w:p>
    <w:p w:rsidR="0080489A" w:rsidRDefault="0080489A">
      <w:pPr>
        <w:pStyle w:val="BodyText"/>
      </w:pPr>
    </w:p>
    <w:p w:rsidR="0080489A" w:rsidRDefault="0080489A">
      <w:pPr>
        <w:pStyle w:val="BodyText"/>
        <w:spacing w:before="3"/>
        <w:rPr>
          <w:sz w:val="28"/>
        </w:rPr>
      </w:pPr>
    </w:p>
    <w:p w:rsidR="0080489A" w:rsidRDefault="0091324C">
      <w:pPr>
        <w:pStyle w:val="BodyText"/>
        <w:spacing w:line="20" w:lineRule="exact"/>
        <w:ind w:left="6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0" style="width:487.8pt;height:.5pt;mso-position-horizontal-relative:char;mso-position-vertical-relative:line" coordsize="9756,10">
            <v:line id="_x0000_s2051" style="position:absolute" from="5,5" to="9751,5" strokeweight=".5pt"/>
            <w10:wrap type="none"/>
            <w10:anchorlock/>
          </v:group>
        </w:pict>
      </w:r>
    </w:p>
    <w:p w:rsidR="0080489A" w:rsidRDefault="0080489A">
      <w:pPr>
        <w:spacing w:line="20" w:lineRule="exact"/>
        <w:rPr>
          <w:sz w:val="2"/>
        </w:rPr>
        <w:sectPr w:rsidR="0080489A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80489A" w:rsidRDefault="0091324C">
      <w:pPr>
        <w:tabs>
          <w:tab w:val="left" w:pos="1336"/>
        </w:tabs>
        <w:spacing w:before="4" w:line="219" w:lineRule="exact"/>
        <w:ind w:left="617"/>
        <w:rPr>
          <w:rFonts w:ascii="Gill Sans MT"/>
          <w:sz w:val="10"/>
        </w:rPr>
      </w:pPr>
      <w:r>
        <w:rPr>
          <w:rFonts w:ascii="Gill Sans MT"/>
          <w:b/>
          <w:position w:val="-6"/>
          <w:sz w:val="20"/>
        </w:rPr>
        <w:t>4</w:t>
      </w:r>
      <w:r>
        <w:rPr>
          <w:rFonts w:ascii="Gill Sans MT"/>
          <w:b/>
          <w:position w:val="-6"/>
          <w:sz w:val="20"/>
        </w:rPr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61">
        <w:r>
          <w:rPr>
            <w:rFonts w:ascii="Gill Sans MT"/>
            <w:color w:val="B8BABC"/>
            <w:sz w:val="10"/>
          </w:rPr>
          <w:t>www.dovepress.com</w:t>
        </w:r>
      </w:hyperlink>
    </w:p>
    <w:p w:rsidR="0080489A" w:rsidRDefault="0091324C">
      <w:pPr>
        <w:spacing w:line="137" w:lineRule="exact"/>
        <w:ind w:left="1316" w:right="1398"/>
        <w:jc w:val="center"/>
        <w:rPr>
          <w:rFonts w:ascii="Book Antiqua"/>
          <w:sz w:val="12"/>
        </w:rPr>
      </w:pPr>
      <w:hyperlink r:id="rId62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80489A" w:rsidRDefault="0091324C">
      <w:pPr>
        <w:spacing w:before="14"/>
        <w:ind w:left="617"/>
        <w:rPr>
          <w:rFonts w:ascii="Gill Sans MT"/>
          <w:sz w:val="16"/>
        </w:rPr>
      </w:pPr>
      <w:r>
        <w:br w:type="column"/>
      </w:r>
      <w:r>
        <w:rPr>
          <w:rFonts w:ascii="Gill Sans MT"/>
          <w:sz w:val="16"/>
        </w:rPr>
        <w:t>Journal of Pain Research 2018:11</w:t>
      </w:r>
      <w:bookmarkEnd w:id="1"/>
    </w:p>
    <w:sectPr w:rsidR="0080489A">
      <w:type w:val="continuous"/>
      <w:pgSz w:w="12240" w:h="15840"/>
      <w:pgMar w:top="760" w:right="0" w:bottom="0" w:left="460" w:header="720" w:footer="720" w:gutter="0"/>
      <w:cols w:num="2" w:space="720" w:equalWidth="0">
        <w:col w:w="3373" w:space="4201"/>
        <w:col w:w="42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1324C">
      <w:r>
        <w:separator/>
      </w:r>
    </w:p>
  </w:endnote>
  <w:endnote w:type="continuationSeparator" w:id="0">
    <w:p w:rsidR="00000000" w:rsidRDefault="0091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89A" w:rsidRDefault="0091324C">
    <w:pPr>
      <w:pStyle w:val="BodyText"/>
      <w:spacing w:line="14" w:lineRule="auto"/>
      <w:rPr>
        <w:sz w:val="2"/>
      </w:rPr>
    </w:pPr>
    <w:r>
      <w:pict>
        <v:line id="_x0000_s1025" style="position:absolute;z-index:-251658752;mso-position-horizontal-relative:page;mso-position-vertical-relative:page" from="28.65pt,11in" to="583.35pt,11in" strokeweight=".28208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1324C">
      <w:r>
        <w:separator/>
      </w:r>
    </w:p>
  </w:footnote>
  <w:footnote w:type="continuationSeparator" w:id="0">
    <w:p w:rsidR="00000000" w:rsidRDefault="00913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75A76"/>
    <w:multiLevelType w:val="hybridMultilevel"/>
    <w:tmpl w:val="5DC47DD4"/>
    <w:lvl w:ilvl="0" w:tplc="9198D654">
      <w:start w:val="1"/>
      <w:numFmt w:val="decimal"/>
      <w:lvlText w:val="%1."/>
      <w:lvlJc w:val="left"/>
      <w:pPr>
        <w:ind w:left="520" w:hanging="22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16"/>
        <w:szCs w:val="16"/>
      </w:rPr>
    </w:lvl>
    <w:lvl w:ilvl="1" w:tplc="DF5099F6">
      <w:numFmt w:val="bullet"/>
      <w:lvlText w:val="•"/>
      <w:lvlJc w:val="left"/>
      <w:pPr>
        <w:ind w:left="1072" w:hanging="220"/>
      </w:pPr>
      <w:rPr>
        <w:rFonts w:hint="default"/>
      </w:rPr>
    </w:lvl>
    <w:lvl w:ilvl="2" w:tplc="FD124C10">
      <w:numFmt w:val="bullet"/>
      <w:lvlText w:val="•"/>
      <w:lvlJc w:val="left"/>
      <w:pPr>
        <w:ind w:left="1625" w:hanging="220"/>
      </w:pPr>
      <w:rPr>
        <w:rFonts w:hint="default"/>
      </w:rPr>
    </w:lvl>
    <w:lvl w:ilvl="3" w:tplc="4F5CE19A">
      <w:numFmt w:val="bullet"/>
      <w:lvlText w:val="•"/>
      <w:lvlJc w:val="left"/>
      <w:pPr>
        <w:ind w:left="2178" w:hanging="220"/>
      </w:pPr>
      <w:rPr>
        <w:rFonts w:hint="default"/>
      </w:rPr>
    </w:lvl>
    <w:lvl w:ilvl="4" w:tplc="94563A4C">
      <w:numFmt w:val="bullet"/>
      <w:lvlText w:val="•"/>
      <w:lvlJc w:val="left"/>
      <w:pPr>
        <w:ind w:left="2731" w:hanging="220"/>
      </w:pPr>
      <w:rPr>
        <w:rFonts w:hint="default"/>
      </w:rPr>
    </w:lvl>
    <w:lvl w:ilvl="5" w:tplc="DD525728">
      <w:numFmt w:val="bullet"/>
      <w:lvlText w:val="•"/>
      <w:lvlJc w:val="left"/>
      <w:pPr>
        <w:ind w:left="3284" w:hanging="220"/>
      </w:pPr>
      <w:rPr>
        <w:rFonts w:hint="default"/>
      </w:rPr>
    </w:lvl>
    <w:lvl w:ilvl="6" w:tplc="2D02331E">
      <w:numFmt w:val="bullet"/>
      <w:lvlText w:val="•"/>
      <w:lvlJc w:val="left"/>
      <w:pPr>
        <w:ind w:left="3837" w:hanging="220"/>
      </w:pPr>
      <w:rPr>
        <w:rFonts w:hint="default"/>
      </w:rPr>
    </w:lvl>
    <w:lvl w:ilvl="7" w:tplc="8CCAC0F2">
      <w:numFmt w:val="bullet"/>
      <w:lvlText w:val="•"/>
      <w:lvlJc w:val="left"/>
      <w:pPr>
        <w:ind w:left="4389" w:hanging="220"/>
      </w:pPr>
      <w:rPr>
        <w:rFonts w:hint="default"/>
      </w:rPr>
    </w:lvl>
    <w:lvl w:ilvl="8" w:tplc="84A6384A">
      <w:numFmt w:val="bullet"/>
      <w:lvlText w:val="•"/>
      <w:lvlJc w:val="left"/>
      <w:pPr>
        <w:ind w:left="4942" w:hanging="2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0489A"/>
    <w:rsid w:val="0080489A"/>
    <w:rsid w:val="009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5:docId w15:val="{BFB2C4B0-0353-4895-9D50-1BE2AC15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jc w:val="both"/>
      <w:outlineLvl w:val="0"/>
    </w:pPr>
    <w:rPr>
      <w:rFonts w:ascii="Gill Sans MT" w:eastAsia="Gill Sans MT" w:hAnsi="Gill Sans MT" w:cs="Gill Sans MT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9"/>
      <w:outlineLvl w:val="1"/>
    </w:pPr>
    <w:rPr>
      <w:rFonts w:ascii="Book Antiqua" w:eastAsia="Book Antiqua" w:hAnsi="Book Antiqua" w:cs="Book Antiqua"/>
      <w:sz w:val="24"/>
      <w:szCs w:val="24"/>
    </w:rPr>
  </w:style>
  <w:style w:type="paragraph" w:styleId="Heading3">
    <w:name w:val="heading 3"/>
    <w:basedOn w:val="Normal"/>
    <w:uiPriority w:val="1"/>
    <w:qFormat/>
    <w:pPr>
      <w:ind w:left="956"/>
      <w:outlineLvl w:val="2"/>
    </w:pPr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15" w:right="3" w:hanging="2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ovepress.com/" TargetMode="External"/><Relationship Id="rId18" Type="http://schemas.openxmlformats.org/officeDocument/2006/relationships/hyperlink" Target="http://dx.doi.org/10.2147/JPR.S155444" TargetMode="External"/><Relationship Id="rId26" Type="http://schemas.openxmlformats.org/officeDocument/2006/relationships/hyperlink" Target="http://www.dovepress.com/terms.php)" TargetMode="External"/><Relationship Id="rId39" Type="http://schemas.openxmlformats.org/officeDocument/2006/relationships/hyperlink" Target="https://www.acscan.org/sites/default/files/ACSCAN_Comments_CDC_Opioid_Guidelines_Final.pdf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www.hcanj.org/" TargetMode="External"/><Relationship Id="rId42" Type="http://schemas.openxmlformats.org/officeDocument/2006/relationships/hyperlink" Target="https://www.painnewsnetwork.org/stories/2017/1/17/bias-and-conflict-of-interest-in-new-opioid-research" TargetMode="External"/><Relationship Id="rId47" Type="http://schemas.openxmlformats.org/officeDocument/2006/relationships/hyperlink" Target="http://www.dovepress.com/" TargetMode="External"/><Relationship Id="rId50" Type="http://schemas.openxmlformats.org/officeDocument/2006/relationships/hyperlink" Target="http://www.cdc.gov/drugover-" TargetMode="External"/><Relationship Id="rId55" Type="http://schemas.openxmlformats.org/officeDocument/2006/relationships/hyperlink" Target="http://www.painmed.org/files/aapm-letter-to-cdc-proposed-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dovepres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://www.dovepress.com/" TargetMode="External"/><Relationship Id="rId41" Type="http://schemas.openxmlformats.org/officeDocument/2006/relationships/hyperlink" Target="http://www.medscape.com/" TargetMode="External"/><Relationship Id="rId54" Type="http://schemas.openxmlformats.org/officeDocument/2006/relationships/hyperlink" Target="http://www.wlf.org/upload/litigation/misc/CDCComments-Opioids.pdf" TargetMode="External"/><Relationship Id="rId62" Type="http://schemas.openxmlformats.org/officeDocument/2006/relationships/hyperlink" Target="http://www.dovepres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ffrey.fudin@remitigate.com" TargetMode="External"/><Relationship Id="rId24" Type="http://schemas.openxmlformats.org/officeDocument/2006/relationships/hyperlink" Target="http://creativecommons.org/licenses/by-nc/3.0/)" TargetMode="External"/><Relationship Id="rId32" Type="http://schemas.openxmlformats.org/officeDocument/2006/relationships/hyperlink" Target="http://www.dovepress.com/" TargetMode="External"/><Relationship Id="rId37" Type="http://schemas.openxmlformats.org/officeDocument/2006/relationships/hyperlink" Target="http://lni.wa.gov/ClaimsIns/Files/OMD/" TargetMode="External"/><Relationship Id="rId40" Type="http://schemas.openxmlformats.org/officeDocument/2006/relationships/hyperlink" Target="https://www.acscan.org/sites/default/files/ACSCAN_Comments_CDC_Opioid_Guidelines_Final.pdf" TargetMode="External"/><Relationship Id="rId45" Type="http://schemas.openxmlformats.org/officeDocument/2006/relationships/hyperlink" Target="http://www.ich.org/fileadmin/Public_Web_Site/ICH_Products/Guidelines/Efficacy/E1/Step4/E1_Guideline.pdf" TargetMode="External"/><Relationship Id="rId53" Type="http://schemas.openxmlformats.org/officeDocument/2006/relationships/hyperlink" Target="http://www.wlf.org/upload/litigation/misc/CDCComments-Opioids.pdf" TargetMode="External"/><Relationship Id="rId58" Type="http://schemas.openxmlformats.org/officeDocument/2006/relationships/hyperlink" Target="http://www.dovepress.com/journal-of-pain-research-journa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dovepress.com/terms" TargetMode="External"/><Relationship Id="rId28" Type="http://schemas.openxmlformats.org/officeDocument/2006/relationships/hyperlink" Target="http://www.dovepress.com/" TargetMode="External"/><Relationship Id="rId36" Type="http://schemas.openxmlformats.org/officeDocument/2006/relationships/hyperlink" Target="http://www.dovepress.com/" TargetMode="External"/><Relationship Id="rId49" Type="http://schemas.openxmlformats.org/officeDocument/2006/relationships/hyperlink" Target="https://www.cdc.gov/drugoverdose/prescribing/app.html" TargetMode="External"/><Relationship Id="rId57" Type="http://schemas.openxmlformats.org/officeDocument/2006/relationships/hyperlink" Target="https://www.painnewsnetwork.org/stories/2015/9/21/prop-helped-draft-cdc-opioid-guidelines" TargetMode="External"/><Relationship Id="rId61" Type="http://schemas.openxmlformats.org/officeDocument/2006/relationships/hyperlink" Target="http://www.dovepress.com/" TargetMode="External"/><Relationship Id="rId10" Type="http://schemas.openxmlformats.org/officeDocument/2006/relationships/hyperlink" Target="http://www.dovepress.com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ww.dovepress.com/" TargetMode="External"/><Relationship Id="rId44" Type="http://schemas.openxmlformats.org/officeDocument/2006/relationships/hyperlink" Target="https://www.painnewsnetwork.org/stories/2017/1/17/bias-and-conflict-of-interest-in-new-opioid-research" TargetMode="External"/><Relationship Id="rId52" Type="http://schemas.openxmlformats.org/officeDocument/2006/relationships/hyperlink" Target="http://www.cdc.gov/drugover-" TargetMode="External"/><Relationship Id="rId60" Type="http://schemas.openxmlformats.org/officeDocument/2006/relationships/hyperlink" Target="http://www.dovepress.com/testimonial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://www.dovepress.com/terms" TargetMode="External"/><Relationship Id="rId27" Type="http://schemas.openxmlformats.org/officeDocument/2006/relationships/hyperlink" Target="http://www.dovepress.com/" TargetMode="External"/><Relationship Id="rId30" Type="http://schemas.openxmlformats.org/officeDocument/2006/relationships/hyperlink" Target="http://www.dovepress.com/" TargetMode="External"/><Relationship Id="rId35" Type="http://schemas.openxmlformats.org/officeDocument/2006/relationships/hyperlink" Target="http://www.dovepress.com/" TargetMode="External"/><Relationship Id="rId43" Type="http://schemas.openxmlformats.org/officeDocument/2006/relationships/hyperlink" Target="https://www.painnewsnetwork.org/stories/2017/1/17/bias-and-conflict-of-interest-in-new-opioid-research" TargetMode="External"/><Relationship Id="rId48" Type="http://schemas.openxmlformats.org/officeDocument/2006/relationships/hyperlink" Target="https://www.cdc.gov/drugoverdose/prescribing/app.html" TargetMode="External"/><Relationship Id="rId56" Type="http://schemas.openxmlformats.org/officeDocument/2006/relationships/hyperlink" Target="https://www.painnewsnetwork.org/stories/2015/9/21/prop-helped-draft-cdc-opioid-guidelines" TargetMode="External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yperlink" Target="http://www.cdc.gov/drugover-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ovepress.com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dovepress.com/terms.php)" TargetMode="External"/><Relationship Id="rId33" Type="http://schemas.openxmlformats.org/officeDocument/2006/relationships/hyperlink" Target="http://www.doh.wa.gov/ForPublicHealthandHealth-" TargetMode="External"/><Relationship Id="rId38" Type="http://schemas.openxmlformats.org/officeDocument/2006/relationships/hyperlink" Target="http://www.dovepress.com/" TargetMode="External"/><Relationship Id="rId46" Type="http://schemas.openxmlformats.org/officeDocument/2006/relationships/hyperlink" Target="http://www.ich.org/fileadmin/Public_Web_Site/ICH_Products/Guidelines/Efficacy/E1/Step4/E1_Guideline.pdf" TargetMode="External"/><Relationship Id="rId59" Type="http://schemas.openxmlformats.org/officeDocument/2006/relationships/hyperlink" Target="http://www.dovepress.com/journal-of-pain-research-jou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2852</Words>
  <Characters>17697</Characters>
  <Application>Microsoft Office Word</Application>
  <DocSecurity>0</DocSecurity>
  <Lines>743</Lines>
  <Paragraphs>104</Paragraphs>
  <ScaleCrop>false</ScaleCrop>
  <Company>CMS</Company>
  <LinksUpToDate>false</LinksUpToDate>
  <CharactersWithSpaces>20438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2017-12-15T00:00:00Z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2018-06-13T00:00:00Z</vt:filetime>
  </property>
</Properties>
</file>