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Heading1"/>
        <w:ind w:left="2576"/>
      </w:pPr>
      <w:r>
        <w:rPr/>
        <w:drawing>
          <wp:anchor distT="0" distB="0" distL="0" distR="0" allowOverlap="1" layoutInCell="1" locked="0" behindDoc="0" simplePos="0" relativeHeight="1072">
            <wp:simplePos x="0" y="0"/>
            <wp:positionH relativeFrom="page">
              <wp:posOffset>731519</wp:posOffset>
            </wp:positionH>
            <wp:positionV relativeFrom="paragraph">
              <wp:posOffset>61934</wp:posOffset>
            </wp:positionV>
            <wp:extent cx="719328" cy="68275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8" cy="682751"/>
                    </a:xfrm>
                    <a:prstGeom prst="rect">
                      <a:avLst/>
                    </a:prstGeom>
                  </pic:spPr>
                </pic:pic>
              </a:graphicData>
            </a:graphic>
          </wp:anchor>
        </w:drawing>
      </w:r>
      <w:r>
        <w:rPr/>
        <w:pict>
          <v:line style="position:absolute;mso-position-horizontal-relative:page;mso-position-vertical-relative:paragraph;z-index:1120" from="4.560pt,596.236716pt" to="4.560pt,-46.003284pt" stroked="true" strokeweight=".48pt" strokecolor="#000000">
            <v:stroke dashstyle="solid"/>
            <w10:wrap type="none"/>
          </v:line>
        </w:pict>
      </w:r>
      <w:r>
        <w:rPr>
          <w:color w:val="262626"/>
          <w:w w:val="115"/>
        </w:rPr>
        <w:t>GOODYEAR</w:t>
      </w:r>
    </w:p>
    <w:p>
      <w:pPr>
        <w:spacing w:line="160" w:lineRule="exact" w:before="0"/>
        <w:ind w:left="2589" w:right="0" w:firstLine="0"/>
        <w:jc w:val="left"/>
        <w:rPr>
          <w:sz w:val="17"/>
        </w:rPr>
      </w:pPr>
      <w:r>
        <w:rPr>
          <w:color w:val="494949"/>
          <w:w w:val="105"/>
          <w:sz w:val="17"/>
        </w:rPr>
        <w:t>RET</w:t>
      </w:r>
      <w:r>
        <w:rPr>
          <w:color w:val="262626"/>
          <w:w w:val="105"/>
          <w:sz w:val="17"/>
        </w:rPr>
        <w:t>IRE</w:t>
      </w:r>
      <w:r>
        <w:rPr>
          <w:color w:val="494949"/>
          <w:w w:val="105"/>
          <w:sz w:val="17"/>
        </w:rPr>
        <w:t>E  </w:t>
      </w:r>
      <w:r>
        <w:rPr>
          <w:color w:val="262626"/>
          <w:w w:val="105"/>
          <w:sz w:val="17"/>
        </w:rPr>
        <w:t>H</w:t>
      </w:r>
      <w:r>
        <w:rPr>
          <w:color w:val="494949"/>
          <w:w w:val="105"/>
          <w:sz w:val="17"/>
        </w:rPr>
        <w:t>EALTH CARE T</w:t>
      </w:r>
      <w:r>
        <w:rPr>
          <w:color w:val="262626"/>
          <w:w w:val="105"/>
          <w:sz w:val="17"/>
        </w:rPr>
        <w:t>R</w:t>
      </w:r>
      <w:r>
        <w:rPr>
          <w:color w:val="494949"/>
          <w:w w:val="105"/>
          <w:sz w:val="17"/>
        </w:rPr>
        <w:t>UST</w:t>
      </w:r>
    </w:p>
    <w:p>
      <w:pPr>
        <w:pStyle w:val="BodyText"/>
        <w:spacing w:before="2"/>
        <w:rPr>
          <w:sz w:val="17"/>
        </w:rPr>
      </w:pPr>
      <w:r>
        <w:rPr/>
        <w:pict>
          <v:line style="position:absolute;mso-position-horizontal-relative:page;mso-position-vertical-relative:paragraph;z-index:0;mso-wrap-distance-left:0;mso-wrap-distance-right:0" from="132pt,12.448545pt" to="581.76pt,12.448545pt" stroked="true" strokeweight="1.2pt" strokecolor="#000000">
            <v:stroke dashstyle="solid"/>
            <w10:wrap type="topAndBottom"/>
          </v:line>
        </w:pict>
      </w:r>
    </w:p>
    <w:p>
      <w:pPr>
        <w:pStyle w:val="BodyText"/>
        <w:rPr>
          <w:sz w:val="20"/>
        </w:rPr>
      </w:pPr>
    </w:p>
    <w:p>
      <w:pPr>
        <w:pStyle w:val="BodyText"/>
        <w:spacing w:before="8"/>
        <w:rPr>
          <w:sz w:val="18"/>
        </w:rPr>
      </w:pPr>
    </w:p>
    <w:p>
      <w:pPr>
        <w:pStyle w:val="BodyText"/>
        <w:spacing w:before="89"/>
        <w:ind w:left="1546"/>
      </w:pPr>
      <w:r>
        <w:rPr>
          <w:color w:val="0F0F0F"/>
          <w:w w:val="105"/>
        </w:rPr>
        <w:t>March 3, 2018</w:t>
      </w:r>
    </w:p>
    <w:p>
      <w:pPr>
        <w:pStyle w:val="BodyText"/>
        <w:spacing w:before="8"/>
        <w:rPr>
          <w:sz w:val="30"/>
        </w:rPr>
      </w:pPr>
    </w:p>
    <w:p>
      <w:pPr>
        <w:pStyle w:val="BodyText"/>
        <w:ind w:left="1541"/>
      </w:pPr>
      <w:r>
        <w:rPr>
          <w:color w:val="0F0F0F"/>
          <w:w w:val="105"/>
        </w:rPr>
        <w:t>Demetrios Kouzoukas</w:t>
      </w:r>
    </w:p>
    <w:p>
      <w:pPr>
        <w:pStyle w:val="BodyText"/>
        <w:spacing w:before="22"/>
        <w:ind w:left="1541"/>
      </w:pPr>
      <w:r>
        <w:rPr>
          <w:color w:val="0F0F0F"/>
          <w:w w:val="105"/>
        </w:rPr>
        <w:t>Principal Deputy Administrator</w:t>
      </w:r>
    </w:p>
    <w:p>
      <w:pPr>
        <w:pStyle w:val="BodyText"/>
        <w:spacing w:line="259" w:lineRule="auto" w:before="27"/>
        <w:ind w:left="1541" w:right="4564" w:firstLine="4"/>
      </w:pPr>
      <w:r>
        <w:rPr>
          <w:color w:val="0F0F0F"/>
          <w:w w:val="105"/>
        </w:rPr>
        <w:t>Centers for Medicare &amp; Medicaid Services Director, Center for Medicare</w:t>
      </w:r>
    </w:p>
    <w:p>
      <w:pPr>
        <w:pStyle w:val="BodyText"/>
        <w:spacing w:before="4"/>
        <w:rPr>
          <w:sz w:val="28"/>
        </w:rPr>
      </w:pPr>
    </w:p>
    <w:p>
      <w:pPr>
        <w:pStyle w:val="BodyText"/>
        <w:spacing w:line="516" w:lineRule="auto"/>
        <w:ind w:left="1541" w:right="4564"/>
      </w:pPr>
      <w:r>
        <w:rPr>
          <w:color w:val="0F0F0F"/>
          <w:w w:val="105"/>
        </w:rPr>
        <w:t>Re: 2019 Advance Notice and Draft Call Letter Dear Administrator</w:t>
      </w:r>
      <w:r>
        <w:rPr>
          <w:color w:val="0F0F0F"/>
          <w:spacing w:val="59"/>
          <w:w w:val="105"/>
        </w:rPr>
        <w:t> </w:t>
      </w:r>
      <w:r>
        <w:rPr>
          <w:color w:val="0F0F0F"/>
          <w:w w:val="105"/>
        </w:rPr>
        <w:t>Kouzoukas:</w:t>
      </w:r>
    </w:p>
    <w:p>
      <w:pPr>
        <w:pStyle w:val="BodyText"/>
        <w:tabs>
          <w:tab w:pos="6064" w:val="left" w:leader="none"/>
          <w:tab w:pos="7330" w:val="left" w:leader="none"/>
        </w:tabs>
        <w:spacing w:line="259" w:lineRule="auto" w:before="22"/>
        <w:ind w:left="1540" w:right="966" w:firstLine="5"/>
      </w:pPr>
      <w:r>
        <w:rPr>
          <w:color w:val="0F0F0F"/>
          <w:w w:val="105"/>
        </w:rPr>
        <w:t>On February 1, 2018, CMS released Part II of the 2019 Advance Notice and Draft Call Letter (the </w:t>
      </w:r>
      <w:r>
        <w:rPr>
          <w:color w:val="262626"/>
          <w:w w:val="105"/>
        </w:rPr>
        <w:t>"Call </w:t>
      </w:r>
      <w:r>
        <w:rPr>
          <w:color w:val="0F0F0F"/>
          <w:w w:val="105"/>
        </w:rPr>
        <w:t>Letter"), which proposed </w:t>
      </w:r>
      <w:r>
        <w:rPr>
          <w:color w:val="262626"/>
          <w:w w:val="105"/>
        </w:rPr>
        <w:t>various </w:t>
      </w:r>
      <w:r>
        <w:rPr>
          <w:color w:val="0F0F0F"/>
          <w:w w:val="105"/>
        </w:rPr>
        <w:t>methodological changes for Calendar Year 2019 for Medicare Advantage (MA) capitation rates, as well as Part  C and Part D Payment Policies.  The Call Letter sought comment from   stakeholders on a number of issues, including MA EGWP payment methodology. These comments are submitted by the Retirees of Goodyear Tire &amp; Rubber Company Health Care</w:t>
      </w:r>
      <w:r>
        <w:rPr>
          <w:color w:val="0F0F0F"/>
          <w:spacing w:val="52"/>
          <w:w w:val="105"/>
        </w:rPr>
        <w:t> </w:t>
      </w:r>
      <w:r>
        <w:rPr>
          <w:color w:val="0F0F0F"/>
          <w:w w:val="105"/>
        </w:rPr>
        <w:t>Trust</w:t>
      </w:r>
      <w:r>
        <w:rPr>
          <w:color w:val="0F0F0F"/>
          <w:spacing w:val="23"/>
          <w:w w:val="105"/>
        </w:rPr>
        <w:t> </w:t>
      </w:r>
      <w:r>
        <w:rPr>
          <w:color w:val="0F0F0F"/>
          <w:w w:val="105"/>
        </w:rPr>
        <w:t>("Trust").</w:t>
        <w:tab/>
        <w:t>The Trust provides health </w:t>
      </w:r>
      <w:r>
        <w:rPr>
          <w:color w:val="0F0F0F"/>
          <w:spacing w:val="7"/>
          <w:w w:val="105"/>
        </w:rPr>
        <w:t> </w:t>
      </w:r>
      <w:r>
        <w:rPr>
          <w:color w:val="0F0F0F"/>
          <w:w w:val="105"/>
        </w:rPr>
        <w:t>coverage</w:t>
      </w:r>
      <w:r>
        <w:rPr>
          <w:color w:val="0F0F0F"/>
          <w:spacing w:val="21"/>
          <w:w w:val="105"/>
        </w:rPr>
        <w:t> </w:t>
      </w:r>
      <w:r>
        <w:rPr>
          <w:color w:val="0F0F0F"/>
          <w:w w:val="105"/>
        </w:rPr>
        <w:t>to</w:t>
      </w:r>
      <w:r>
        <w:rPr>
          <w:color w:val="0F0F0F"/>
          <w:w w:val="108"/>
        </w:rPr>
        <w:t> </w:t>
      </w:r>
      <w:r>
        <w:rPr>
          <w:color w:val="0F0F0F"/>
          <w:w w:val="105"/>
        </w:rPr>
        <w:t>retirees and their dependents who formerly worked for Goodyear Tire &amp; Rubber Company. </w:t>
      </w:r>
      <w:r>
        <w:rPr>
          <w:color w:val="0F0F0F"/>
          <w:w w:val="105"/>
          <w:sz w:val="27"/>
        </w:rPr>
        <w:t>It </w:t>
      </w:r>
      <w:r>
        <w:rPr>
          <w:color w:val="0F0F0F"/>
          <w:w w:val="105"/>
        </w:rPr>
        <w:t>currently has approximately 22,000 beneficiaries  who are enrolled in an MA PPO plan (Freedom Blue</w:t>
      </w:r>
      <w:r>
        <w:rPr>
          <w:color w:val="0F0F0F"/>
          <w:spacing w:val="65"/>
          <w:w w:val="105"/>
        </w:rPr>
        <w:t> </w:t>
      </w:r>
      <w:r>
        <w:rPr>
          <w:color w:val="0F0F0F"/>
          <w:w w:val="105"/>
        </w:rPr>
        <w:t>with</w:t>
      </w:r>
      <w:r>
        <w:rPr>
          <w:color w:val="0F0F0F"/>
          <w:spacing w:val="14"/>
          <w:w w:val="105"/>
        </w:rPr>
        <w:t> </w:t>
      </w:r>
      <w:r>
        <w:rPr>
          <w:color w:val="0F0F0F"/>
          <w:w w:val="105"/>
        </w:rPr>
        <w:t>Highmark).</w:t>
        <w:tab/>
        <w:t>The beneficiaries</w:t>
      </w:r>
      <w:r>
        <w:rPr>
          <w:color w:val="0F0F0F"/>
          <w:spacing w:val="52"/>
          <w:w w:val="105"/>
        </w:rPr>
        <w:t> </w:t>
      </w:r>
      <w:r>
        <w:rPr>
          <w:color w:val="0F0F0F"/>
          <w:w w:val="105"/>
        </w:rPr>
        <w:t>mostly</w:t>
      </w:r>
      <w:r>
        <w:rPr>
          <w:color w:val="0F0F0F"/>
          <w:spacing w:val="25"/>
          <w:w w:val="105"/>
        </w:rPr>
        <w:t> </w:t>
      </w:r>
      <w:r>
        <w:rPr>
          <w:color w:val="0F0F0F"/>
          <w:w w:val="105"/>
        </w:rPr>
        <w:t>live</w:t>
      </w:r>
      <w:r>
        <w:rPr>
          <w:color w:val="0F0F0F"/>
          <w:w w:val="106"/>
        </w:rPr>
        <w:t> </w:t>
      </w:r>
      <w:r>
        <w:rPr>
          <w:color w:val="0F0F0F"/>
          <w:w w:val="105"/>
        </w:rPr>
        <w:t>in Ohio, Alabama, Tennessee, Virginia, Nebraska and </w:t>
      </w:r>
      <w:r>
        <w:rPr>
          <w:color w:val="0F0F0F"/>
          <w:spacing w:val="51"/>
          <w:w w:val="105"/>
        </w:rPr>
        <w:t> </w:t>
      </w:r>
      <w:r>
        <w:rPr>
          <w:color w:val="0F0F0F"/>
          <w:w w:val="105"/>
        </w:rPr>
        <w:t>Kansas.</w:t>
      </w:r>
    </w:p>
    <w:p>
      <w:pPr>
        <w:pStyle w:val="BodyText"/>
        <w:spacing w:line="261" w:lineRule="auto"/>
        <w:ind w:left="1545" w:right="966" w:hanging="3"/>
      </w:pPr>
      <w:r>
        <w:rPr>
          <w:color w:val="0F0F0F"/>
          <w:w w:val="105"/>
        </w:rPr>
        <w:t>The Trust urges CMS to adopt the option to continue to use the blended bid-to­ benchmark ratios determined for Plan year 2017 based on 2016 data, instead of the option to fully implement the individual market bid-to-benchmark ratios. We understand that noEGWP bid data exists for Plan Year 2018 so as to update these ratios, and appreciate the use by CMS of the latest data available. The Trust  believes the blended  bid-to-benchmark ratios are the better option for two </w:t>
      </w:r>
      <w:r>
        <w:rPr>
          <w:color w:val="0F0F0F"/>
          <w:spacing w:val="33"/>
          <w:w w:val="105"/>
        </w:rPr>
        <w:t> </w:t>
      </w:r>
      <w:r>
        <w:rPr>
          <w:color w:val="0F0F0F"/>
          <w:w w:val="105"/>
        </w:rPr>
        <w:t>reasons:</w:t>
      </w:r>
    </w:p>
    <w:p>
      <w:pPr>
        <w:pStyle w:val="BodyText"/>
        <w:spacing w:before="4"/>
        <w:rPr>
          <w:sz w:val="27"/>
        </w:rPr>
      </w:pPr>
    </w:p>
    <w:p>
      <w:pPr>
        <w:pStyle w:val="BodyText"/>
        <w:spacing w:line="259" w:lineRule="auto"/>
        <w:ind w:left="1541" w:right="1076" w:firstLine="4"/>
      </w:pPr>
      <w:r>
        <w:rPr>
          <w:b/>
          <w:color w:val="0F0F0F"/>
          <w:w w:val="105"/>
          <w:sz w:val="27"/>
        </w:rPr>
        <w:t>Stability </w:t>
      </w:r>
      <w:r>
        <w:rPr>
          <w:color w:val="0F0F0F"/>
          <w:w w:val="105"/>
          <w:sz w:val="27"/>
        </w:rPr>
        <w:t>- </w:t>
      </w:r>
      <w:r>
        <w:rPr>
          <w:color w:val="0F0F0F"/>
          <w:w w:val="105"/>
        </w:rPr>
        <w:t>The blended bid-to-benchmark ratios create a greater level of stability and certainty for CMS and for the MA EGWP employer/union groups. Numerous sources of volatility exist for all MA plans, including new federal and state regulations that occur after rates are determined or changes in the statute that Congress makes (such as the recent postponement of the Health Insurance Providers fee).  The employer/union groups have no control over the  </w:t>
      </w:r>
      <w:r>
        <w:rPr>
          <w:color w:val="0F0F0F"/>
          <w:spacing w:val="27"/>
          <w:w w:val="105"/>
        </w:rPr>
        <w:t> </w:t>
      </w:r>
      <w:r>
        <w:rPr>
          <w:color w:val="0F0F0F"/>
          <w:w w:val="105"/>
        </w:rPr>
        <w:t>individual</w:t>
      </w:r>
    </w:p>
    <w:p>
      <w:pPr>
        <w:pStyle w:val="BodyText"/>
        <w:spacing w:before="6"/>
        <w:rPr>
          <w:sz w:val="25"/>
        </w:rPr>
      </w:pPr>
      <w:r>
        <w:rPr/>
        <w:pict>
          <v:line style="position:absolute;mso-position-horizontal-relative:page;mso-position-vertical-relative:paragraph;z-index:1048;mso-wrap-distance-left:0;mso-wrap-distance-right:0" from="44.400002pt,17.378695pt" to="540.720002pt,17.378695pt" stroked="true" strokeweight="1.44pt" strokecolor="#000000">
            <v:stroke dashstyle="solid"/>
            <w10:wrap type="topAndBottom"/>
          </v:line>
        </w:pict>
      </w:r>
    </w:p>
    <w:p>
      <w:pPr>
        <w:spacing w:before="38"/>
        <w:ind w:left="3664" w:right="0" w:firstLine="0"/>
        <w:jc w:val="left"/>
        <w:rPr>
          <w:b/>
          <w:sz w:val="19"/>
        </w:rPr>
      </w:pPr>
      <w:r>
        <w:rPr>
          <w:b/>
          <w:color w:val="0F0F0F"/>
          <w:w w:val="105"/>
          <w:sz w:val="19"/>
        </w:rPr>
        <w:t>GOODYEAR RETIREE HEALTHCARE TRUST</w:t>
      </w:r>
    </w:p>
    <w:p>
      <w:pPr>
        <w:spacing w:before="16"/>
        <w:ind w:left="2973" w:right="2323" w:firstLine="0"/>
        <w:jc w:val="center"/>
        <w:rPr>
          <w:sz w:val="18"/>
        </w:rPr>
      </w:pPr>
      <w:r>
        <w:rPr>
          <w:color w:val="0F0F0F"/>
          <w:w w:val="105"/>
          <w:sz w:val="18"/>
        </w:rPr>
        <w:t>60 </w:t>
      </w:r>
      <w:r>
        <w:rPr>
          <w:color w:val="0F0F0F"/>
          <w:w w:val="105"/>
          <w:sz w:val="15"/>
        </w:rPr>
        <w:t>BOULEVARD OF THE ALLIES• FIFTH FLOOR • PITTSBURGH, PA  </w:t>
      </w:r>
      <w:r>
        <w:rPr>
          <w:color w:val="0F0F0F"/>
          <w:w w:val="105"/>
          <w:sz w:val="18"/>
        </w:rPr>
        <w:t>15222</w:t>
      </w:r>
    </w:p>
    <w:p>
      <w:pPr>
        <w:spacing w:before="9"/>
        <w:ind w:left="2975" w:right="2323" w:firstLine="0"/>
        <w:jc w:val="center"/>
        <w:rPr>
          <w:sz w:val="18"/>
        </w:rPr>
      </w:pPr>
      <w:r>
        <w:rPr/>
        <w:pict>
          <v:line style="position:absolute;mso-position-horizontal-relative:page;mso-position-vertical-relative:paragraph;z-index:1096" from="1.32pt,96.452345pt" to="1.32pt,44.852345pt" stroked="true" strokeweight="2.4pt" strokecolor="#000000">
            <v:stroke dashstyle="solid"/>
            <w10:wrap type="none"/>
          </v:line>
        </w:pict>
      </w:r>
      <w:r>
        <w:rPr>
          <w:color w:val="0F0F0F"/>
          <w:w w:val="105"/>
          <w:sz w:val="18"/>
        </w:rPr>
        <w:t>866-694-6477 • Fax: (412) 224-4465 • </w:t>
      </w:r>
      <w:hyperlink r:id="rId6">
        <w:r>
          <w:rPr>
            <w:color w:val="0F0F0F"/>
            <w:w w:val="105"/>
            <w:sz w:val="18"/>
          </w:rPr>
          <w:t>WWW.GOODYEARRETIREETRUST.ORG</w:t>
        </w:r>
      </w:hyperlink>
    </w:p>
    <w:p>
      <w:pPr>
        <w:spacing w:after="0"/>
        <w:jc w:val="center"/>
        <w:rPr>
          <w:sz w:val="18"/>
        </w:rPr>
        <w:sectPr>
          <w:type w:val="continuous"/>
          <w:pgSz w:w="12360" w:h="16920"/>
          <w:pgMar w:top="0" w:bottom="0" w:left="0" w:right="600"/>
        </w:sectPr>
      </w:pPr>
    </w:p>
    <w:p>
      <w:pPr>
        <w:pStyle w:val="BodyText"/>
        <w:rPr>
          <w:sz w:val="20"/>
        </w:rPr>
      </w:pPr>
      <w:r>
        <w:rPr/>
        <w:pict>
          <v:line style="position:absolute;mso-position-horizontal-relative:page;mso-position-vertical-relative:page;z-index:1216" from=".71986pt,840.8403pt" to=".71986pt,0pt" stroked="true" strokeweight="1.199766pt" strokecolor="#000000">
            <v:stroke dashstyle="solid"/>
            <w10:wrap type="none"/>
          </v:line>
        </w:pict>
      </w:r>
    </w:p>
    <w:p>
      <w:pPr>
        <w:pStyle w:val="BodyText"/>
        <w:rPr>
          <w:sz w:val="20"/>
        </w:rPr>
      </w:pPr>
    </w:p>
    <w:p>
      <w:pPr>
        <w:pStyle w:val="BodyText"/>
        <w:rPr>
          <w:sz w:val="20"/>
        </w:rPr>
      </w:pPr>
    </w:p>
    <w:p>
      <w:pPr>
        <w:pStyle w:val="BodyText"/>
        <w:rPr>
          <w:sz w:val="20"/>
        </w:rPr>
      </w:pPr>
    </w:p>
    <w:p>
      <w:pPr>
        <w:pStyle w:val="Heading1"/>
        <w:spacing w:before="270"/>
      </w:pPr>
      <w:r>
        <w:rPr/>
        <w:drawing>
          <wp:anchor distT="0" distB="0" distL="0" distR="0" allowOverlap="1" layoutInCell="1" locked="0" behindDoc="0" simplePos="0" relativeHeight="1192">
            <wp:simplePos x="0" y="0"/>
            <wp:positionH relativeFrom="page">
              <wp:posOffset>682751</wp:posOffset>
            </wp:positionH>
            <wp:positionV relativeFrom="paragraph">
              <wp:posOffset>74016</wp:posOffset>
            </wp:positionV>
            <wp:extent cx="707136" cy="6705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07136" cy="670559"/>
                    </a:xfrm>
                    <a:prstGeom prst="rect">
                      <a:avLst/>
                    </a:prstGeom>
                  </pic:spPr>
                </pic:pic>
              </a:graphicData>
            </a:graphic>
          </wp:anchor>
        </w:drawing>
      </w:r>
      <w:r>
        <w:rPr>
          <w:color w:val="2D2D2D"/>
          <w:w w:val="115"/>
        </w:rPr>
        <w:t>GOODYEAR</w:t>
      </w:r>
    </w:p>
    <w:p>
      <w:pPr>
        <w:spacing w:line="160" w:lineRule="exact" w:before="0"/>
        <w:ind w:left="2511" w:right="0" w:firstLine="0"/>
        <w:jc w:val="left"/>
        <w:rPr>
          <w:sz w:val="17"/>
        </w:rPr>
      </w:pPr>
      <w:r>
        <w:rPr>
          <w:color w:val="2D2D2D"/>
          <w:w w:val="110"/>
          <w:sz w:val="17"/>
        </w:rPr>
        <w:t>RETIREE </w:t>
      </w:r>
      <w:r>
        <w:rPr>
          <w:color w:val="3F3F3F"/>
          <w:w w:val="110"/>
          <w:sz w:val="17"/>
        </w:rPr>
        <w:t>HEALTH CARE TRUST</w:t>
      </w:r>
    </w:p>
    <w:p>
      <w:pPr>
        <w:pStyle w:val="BodyText"/>
        <w:spacing w:before="9"/>
        <w:rPr>
          <w:sz w:val="16"/>
        </w:rPr>
      </w:pPr>
      <w:r>
        <w:rPr/>
        <w:pict>
          <v:line style="position:absolute;mso-position-horizontal-relative:page;mso-position-vertical-relative:paragraph;z-index:1144;mso-wrap-distance-left:0;mso-wrap-distance-right:0" from="128.375pt,12.215315pt" to="578.5271pt,12.215315pt" stroked="true" strokeweight="1.199766pt" strokecolor="#000000">
            <v:stroke dashstyle="solid"/>
            <w10:wrap type="topAndBottom"/>
          </v:line>
        </w:pict>
      </w:r>
    </w:p>
    <w:p>
      <w:pPr>
        <w:pStyle w:val="BodyText"/>
        <w:spacing w:before="11"/>
        <w:rPr>
          <w:sz w:val="14"/>
        </w:rPr>
      </w:pPr>
    </w:p>
    <w:p>
      <w:pPr>
        <w:pStyle w:val="BodyText"/>
        <w:tabs>
          <w:tab w:pos="7862" w:val="left" w:leader="none"/>
        </w:tabs>
        <w:spacing w:line="259" w:lineRule="auto" w:before="89"/>
        <w:ind w:left="1465" w:right="1641" w:firstLine="5"/>
      </w:pPr>
      <w:r>
        <w:rPr/>
        <w:pict>
          <v:line style="position:absolute;mso-position-horizontal-relative:page;mso-position-vertical-relative:paragraph;z-index:1240" from="614.400085pt,131.050417pt" to="614.400085pt,30.504717pt" stroked="true" strokeweight=".479906pt" strokecolor="#000000">
            <v:stroke dashstyle="solid"/>
            <w10:wrap type="none"/>
          </v:line>
        </w:pict>
      </w:r>
      <w:r>
        <w:rPr>
          <w:color w:val="0E0E0E"/>
          <w:w w:val="105"/>
        </w:rPr>
        <w:t>market MA bids from year-to-year and may not even have an accurate insight into what the average bid was in a county the </w:t>
      </w:r>
      <w:r>
        <w:rPr>
          <w:color w:val="0E0E0E"/>
          <w:spacing w:val="21"/>
          <w:w w:val="105"/>
        </w:rPr>
        <w:t> </w:t>
      </w:r>
      <w:r>
        <w:rPr>
          <w:color w:val="0E0E0E"/>
          <w:w w:val="105"/>
        </w:rPr>
        <w:t>previous</w:t>
      </w:r>
      <w:r>
        <w:rPr>
          <w:color w:val="0E0E0E"/>
          <w:spacing w:val="14"/>
          <w:w w:val="105"/>
        </w:rPr>
        <w:t> </w:t>
      </w:r>
      <w:r>
        <w:rPr>
          <w:color w:val="0E0E0E"/>
          <w:w w:val="105"/>
        </w:rPr>
        <w:t>year.</w:t>
        <w:tab/>
        <w:t>In</w:t>
      </w:r>
      <w:r>
        <w:rPr>
          <w:color w:val="0E0E0E"/>
          <w:spacing w:val="20"/>
          <w:w w:val="105"/>
        </w:rPr>
        <w:t> </w:t>
      </w:r>
      <w:r>
        <w:rPr>
          <w:color w:val="0E0E0E"/>
          <w:w w:val="105"/>
        </w:rPr>
        <w:t>contrast,</w:t>
      </w:r>
      <w:r>
        <w:rPr>
          <w:color w:val="0E0E0E"/>
          <w:spacing w:val="29"/>
          <w:w w:val="105"/>
        </w:rPr>
        <w:t> </w:t>
      </w:r>
      <w:r>
        <w:rPr>
          <w:color w:val="0E0E0E"/>
          <w:w w:val="105"/>
        </w:rPr>
        <w:t>maintaining</w:t>
      </w:r>
      <w:r>
        <w:rPr>
          <w:color w:val="0E0E0E"/>
          <w:w w:val="105"/>
        </w:rPr>
        <w:t> </w:t>
      </w:r>
      <w:r>
        <w:rPr>
          <w:color w:val="0E0E0E"/>
          <w:w w:val="105"/>
        </w:rPr>
        <w:t>the same blended bid-to-benchmark ratio year-over-year will allow for greater planning as the change in a given year is knowable for the employer/union groups (as it is only dependent on the changes to the benchmark in relevant  </w:t>
      </w:r>
      <w:r>
        <w:rPr>
          <w:color w:val="0E0E0E"/>
          <w:spacing w:val="40"/>
          <w:w w:val="105"/>
        </w:rPr>
        <w:t> </w:t>
      </w:r>
      <w:r>
        <w:rPr>
          <w:color w:val="0E0E0E"/>
          <w:w w:val="105"/>
        </w:rPr>
        <w:t>counties).</w:t>
      </w:r>
    </w:p>
    <w:p>
      <w:pPr>
        <w:pStyle w:val="BodyText"/>
        <w:spacing w:before="10"/>
        <w:rPr>
          <w:sz w:val="27"/>
        </w:rPr>
      </w:pPr>
    </w:p>
    <w:p>
      <w:pPr>
        <w:pStyle w:val="BodyText"/>
        <w:spacing w:line="259" w:lineRule="auto" w:before="1"/>
        <w:ind w:left="1470" w:right="1559" w:firstLine="1"/>
      </w:pPr>
      <w:r>
        <w:rPr>
          <w:b/>
          <w:color w:val="0E0E0E"/>
          <w:w w:val="105"/>
          <w:sz w:val="27"/>
        </w:rPr>
        <w:t>Consistency with Original CMS Goals </w:t>
      </w:r>
      <w:r>
        <w:rPr>
          <w:color w:val="0E0E0E"/>
          <w:w w:val="105"/>
          <w:sz w:val="27"/>
        </w:rPr>
        <w:t>-  </w:t>
      </w:r>
      <w:r>
        <w:rPr>
          <w:color w:val="0E0E0E"/>
          <w:w w:val="105"/>
        </w:rPr>
        <w:t>The blended bid-to-benchmark ratios are consistent with the original CMS goals in altering the CMS payment methodology that CMS described in the Draft Call Letter for Plan Year 2017. One goal was to reduce the payment differences between EGWP and individual </w:t>
      </w:r>
      <w:r>
        <w:rPr>
          <w:color w:val="0E0E0E"/>
          <w:spacing w:val="2"/>
          <w:w w:val="105"/>
        </w:rPr>
        <w:t>plans</w:t>
      </w:r>
      <w:r>
        <w:rPr>
          <w:color w:val="2D2D2D"/>
          <w:spacing w:val="2"/>
          <w:w w:val="105"/>
        </w:rPr>
        <w:t>, </w:t>
      </w:r>
      <w:r>
        <w:rPr>
          <w:color w:val="0E0E0E"/>
          <w:w w:val="105"/>
        </w:rPr>
        <w:t>which the blended bid-to-benchmark ratio does. Another goal was to remove the dynamic for MA EGWPs to bid without open market pressures as there are in the individual MA market. The continued waiver of the bidding requirement achieves that goal.  The final goal was to establish one set rate, notwithstanding quality  bonus payments, for all MA EGWPs in a given county. The blended bid-to benchmark ratios accomplish that goal as well. As such, implementation of the bid-to-benchmark ratios based solely on the individual market does not materially advance any of </w:t>
      </w:r>
      <w:r>
        <w:rPr>
          <w:color w:val="0E0E0E"/>
          <w:spacing w:val="4"/>
          <w:w w:val="105"/>
        </w:rPr>
        <w:t>CMS's </w:t>
      </w:r>
      <w:r>
        <w:rPr>
          <w:color w:val="0E0E0E"/>
          <w:w w:val="105"/>
        </w:rPr>
        <w:t>original goals in altering the payment  </w:t>
      </w:r>
      <w:r>
        <w:rPr>
          <w:color w:val="0E0E0E"/>
          <w:spacing w:val="35"/>
          <w:w w:val="105"/>
        </w:rPr>
        <w:t> </w:t>
      </w:r>
      <w:r>
        <w:rPr>
          <w:color w:val="0E0E0E"/>
          <w:w w:val="105"/>
        </w:rPr>
        <w:t>system</w:t>
      </w:r>
      <w:r>
        <w:rPr>
          <w:color w:val="2D2D2D"/>
          <w:w w:val="105"/>
        </w:rPr>
        <w:t>.</w:t>
      </w:r>
    </w:p>
    <w:p>
      <w:pPr>
        <w:pStyle w:val="BodyText"/>
        <w:spacing w:before="6"/>
        <w:rPr>
          <w:sz w:val="27"/>
        </w:rPr>
      </w:pPr>
    </w:p>
    <w:p>
      <w:pPr>
        <w:pStyle w:val="BodyText"/>
        <w:spacing w:line="261" w:lineRule="auto"/>
        <w:ind w:left="1475" w:right="1576"/>
      </w:pPr>
      <w:r>
        <w:rPr>
          <w:b/>
          <w:color w:val="0E0E0E"/>
          <w:w w:val="105"/>
          <w:sz w:val="27"/>
        </w:rPr>
        <w:t>Proposal </w:t>
      </w:r>
      <w:r>
        <w:rPr>
          <w:rFonts w:ascii="Arial"/>
          <w:b/>
          <w:color w:val="0E0E0E"/>
          <w:w w:val="105"/>
          <w:sz w:val="23"/>
        </w:rPr>
        <w:t>to </w:t>
      </w:r>
      <w:r>
        <w:rPr>
          <w:b/>
          <w:color w:val="0E0E0E"/>
          <w:w w:val="105"/>
          <w:sz w:val="27"/>
        </w:rPr>
        <w:t>Account for HMO versus PPO enrollment-The </w:t>
      </w:r>
      <w:r>
        <w:rPr>
          <w:color w:val="0E0E0E"/>
          <w:w w:val="105"/>
        </w:rPr>
        <w:t>Trust supports the proposed adjustment for the differences in enrollment in HMO plans versus PPO plans between the group and individual markets. The Trust believes that the adjustment could be made regardless of whether CMS decides to continue using   the blended bid-to-benchmark ratios or to fully implement the individual market bid-to-benchmark</w:t>
      </w:r>
      <w:r>
        <w:rPr>
          <w:color w:val="0E0E0E"/>
          <w:spacing w:val="49"/>
          <w:w w:val="105"/>
        </w:rPr>
        <w:t> </w:t>
      </w:r>
      <w:r>
        <w:rPr>
          <w:color w:val="0E0E0E"/>
          <w:w w:val="105"/>
        </w:rPr>
        <w:t>ratios.</w:t>
      </w:r>
    </w:p>
    <w:p>
      <w:pPr>
        <w:pStyle w:val="BodyText"/>
        <w:spacing w:line="261" w:lineRule="auto"/>
        <w:ind w:left="1473" w:right="1641" w:firstLine="3"/>
      </w:pPr>
      <w:r>
        <w:rPr>
          <w:color w:val="0E0E0E"/>
          <w:w w:val="105"/>
        </w:rPr>
        <w:t>In conclusion</w:t>
      </w:r>
      <w:r>
        <w:rPr>
          <w:color w:val="2D2D2D"/>
          <w:w w:val="105"/>
        </w:rPr>
        <w:t>, </w:t>
      </w:r>
      <w:r>
        <w:rPr>
          <w:color w:val="0E0E0E"/>
          <w:w w:val="105"/>
        </w:rPr>
        <w:t>the Trust appreciates the opportunity to comment on the Call Letter</w:t>
      </w:r>
      <w:r>
        <w:rPr>
          <w:color w:val="2D2D2D"/>
          <w:w w:val="105"/>
        </w:rPr>
        <w:t>. </w:t>
      </w:r>
      <w:r>
        <w:rPr>
          <w:color w:val="0E0E0E"/>
          <w:w w:val="105"/>
        </w:rPr>
        <w:t>We urge CMS to maintain the blended bid-to-benchmark ratios for EGWPs, and to make the proposed adjustment to account for differences in HMO versus PPO enrollment  between the group and individual markets.</w:t>
      </w:r>
    </w:p>
    <w:p>
      <w:pPr>
        <w:pStyle w:val="BodyText"/>
        <w:spacing w:before="9"/>
        <w:rPr>
          <w:sz w:val="28"/>
        </w:rPr>
      </w:pPr>
    </w:p>
    <w:p>
      <w:pPr>
        <w:pStyle w:val="BodyText"/>
        <w:spacing w:line="280" w:lineRule="exact"/>
        <w:ind w:left="1481"/>
      </w:pPr>
      <w:r>
        <w:rPr/>
        <w:pict>
          <v:shapetype id="_x0000_t202" o:spt="202" coordsize="21600,21600" path="m,l,21600r21600,l21600,xe">
            <v:stroke joinstyle="miter"/>
            <v:path gradientshapeok="t" o:connecttype="rect"/>
          </v:shapetype>
          <v:shape style="position:absolute;margin-left:143.530807pt;margin-top:12.650743pt;width:7.5pt;height:30.2pt;mso-position-horizontal-relative:page;mso-position-vertical-relative:paragraph;z-index:-3112" type="#_x0000_t202" filled="false" stroked="false">
            <v:textbox inset="0,0,0,0">
              <w:txbxContent>
                <w:p>
                  <w:pPr>
                    <w:spacing w:line="603" w:lineRule="exact" w:before="0"/>
                    <w:ind w:left="0" w:right="0" w:firstLine="0"/>
                    <w:jc w:val="left"/>
                    <w:rPr>
                      <w:rFonts w:ascii="Arial"/>
                      <w:i/>
                      <w:sz w:val="54"/>
                    </w:rPr>
                  </w:pPr>
                  <w:r>
                    <w:rPr>
                      <w:rFonts w:ascii="Arial"/>
                      <w:i/>
                      <w:color w:val="3F3F3F"/>
                      <w:w w:val="45"/>
                      <w:sz w:val="54"/>
                    </w:rPr>
                    <w:t>f:</w:t>
                  </w:r>
                </w:p>
              </w:txbxContent>
            </v:textbox>
            <w10:wrap type="none"/>
          </v:shape>
        </w:pict>
      </w:r>
      <w:r>
        <w:rPr>
          <w:color w:val="0E0E0E"/>
          <w:w w:val="105"/>
        </w:rPr>
        <w:t>Sincerely,</w:t>
      </w:r>
    </w:p>
    <w:p>
      <w:pPr>
        <w:spacing w:line="120" w:lineRule="exact" w:before="0"/>
        <w:ind w:left="1588" w:right="0" w:firstLine="0"/>
        <w:jc w:val="left"/>
        <w:rPr>
          <w:sz w:val="14"/>
        </w:rPr>
      </w:pPr>
      <w:r>
        <w:rPr>
          <w:color w:val="A0A0A0"/>
          <w:spacing w:val="1"/>
          <w:w w:val="105"/>
          <w:sz w:val="9"/>
        </w:rPr>
        <w:t>,</w:t>
      </w:r>
      <w:r>
        <w:rPr>
          <w:rFonts w:ascii="Arial" w:hAnsi="Arial"/>
          <w:color w:val="A0A0A0"/>
          <w:w w:val="96"/>
          <w:sz w:val="9"/>
        </w:rPr>
        <w:t>.</w:t>
      </w:r>
      <w:r>
        <w:rPr>
          <w:rFonts w:ascii="Arial" w:hAnsi="Arial"/>
          <w:color w:val="A0A0A0"/>
          <w:spacing w:val="-17"/>
          <w:w w:val="96"/>
          <w:sz w:val="9"/>
        </w:rPr>
        <w:t>.</w:t>
      </w:r>
      <w:r>
        <w:rPr>
          <w:color w:val="7E7E7E"/>
          <w:w w:val="49"/>
          <w:sz w:val="14"/>
        </w:rPr>
        <w:t>.,</w:t>
      </w:r>
      <w:r>
        <w:rPr>
          <w:color w:val="7E7E7E"/>
          <w:spacing w:val="-9"/>
          <w:w w:val="49"/>
          <w:sz w:val="14"/>
        </w:rPr>
        <w:t>.</w:t>
      </w:r>
      <w:r>
        <w:rPr>
          <w:color w:val="3F3F3F"/>
          <w:w w:val="49"/>
          <w:sz w:val="14"/>
        </w:rPr>
        <w:t>-</w:t>
      </w:r>
      <w:r>
        <w:rPr>
          <w:color w:val="3F3F3F"/>
          <w:sz w:val="14"/>
        </w:rPr>
        <w:t>   </w:t>
      </w:r>
      <w:r>
        <w:rPr>
          <w:color w:val="676767"/>
          <w:w w:val="97"/>
          <w:sz w:val="14"/>
        </w:rPr>
        <w:t>·</w:t>
      </w:r>
    </w:p>
    <w:p>
      <w:pPr>
        <w:tabs>
          <w:tab w:pos="3432" w:val="left" w:leader="none"/>
        </w:tabs>
        <w:spacing w:line="426" w:lineRule="exact" w:before="0"/>
        <w:ind w:left="1431" w:right="0" w:firstLine="0"/>
        <w:jc w:val="left"/>
        <w:rPr>
          <w:sz w:val="35"/>
        </w:rPr>
      </w:pPr>
      <w:r>
        <w:rPr>
          <w:i/>
          <w:color w:val="3F3F3F"/>
          <w:w w:val="80"/>
          <w:sz w:val="39"/>
        </w:rPr>
        <w:t>' </w:t>
      </w:r>
      <w:r>
        <w:rPr>
          <w:i/>
          <w:color w:val="676767"/>
          <w:spacing w:val="-14"/>
          <w:w w:val="80"/>
          <w:sz w:val="39"/>
        </w:rPr>
        <w:t>.,</w:t>
      </w:r>
      <w:r>
        <w:rPr>
          <w:i/>
          <w:color w:val="A0A0A0"/>
          <w:spacing w:val="-14"/>
          <w:w w:val="80"/>
          <w:sz w:val="39"/>
        </w:rPr>
        <w:t>(</w:t>
      </w:r>
      <w:r>
        <w:rPr>
          <w:i/>
          <w:color w:val="A0A0A0"/>
          <w:spacing w:val="-48"/>
          <w:w w:val="80"/>
          <w:sz w:val="39"/>
        </w:rPr>
        <w:t> </w:t>
      </w:r>
      <w:r>
        <w:rPr>
          <w:i/>
          <w:color w:val="676767"/>
          <w:w w:val="80"/>
          <w:sz w:val="39"/>
        </w:rPr>
        <w:t>il</w:t>
      </w:r>
      <w:r>
        <w:rPr>
          <w:i/>
          <w:color w:val="676767"/>
          <w:spacing w:val="3"/>
          <w:w w:val="80"/>
          <w:sz w:val="39"/>
        </w:rPr>
        <w:t> </w:t>
      </w:r>
      <w:r>
        <w:rPr>
          <w:i/>
          <w:color w:val="3F3F3F"/>
          <w:spacing w:val="2"/>
          <w:w w:val="80"/>
          <w:sz w:val="39"/>
        </w:rPr>
        <w:t>vvi.§4</w:t>
        <w:tab/>
      </w:r>
      <w:r>
        <w:rPr>
          <w:i/>
          <w:color w:val="525252"/>
          <w:w w:val="80"/>
          <w:sz w:val="33"/>
        </w:rPr>
        <w:t>( t-l </w:t>
      </w:r>
      <w:r>
        <w:rPr>
          <w:i/>
          <w:color w:val="A0A0A0"/>
          <w:w w:val="80"/>
          <w:sz w:val="33"/>
        </w:rPr>
        <w:t>·</w:t>
      </w:r>
      <w:r>
        <w:rPr>
          <w:i/>
          <w:color w:val="A0A0A0"/>
          <w:spacing w:val="-22"/>
          <w:w w:val="80"/>
          <w:sz w:val="33"/>
        </w:rPr>
        <w:t> </w:t>
      </w:r>
      <w:r>
        <w:rPr>
          <w:color w:val="525252"/>
          <w:w w:val="95"/>
          <w:sz w:val="35"/>
        </w:rPr>
        <w:t>!)r,v(</w:t>
      </w:r>
    </w:p>
    <w:p>
      <w:pPr>
        <w:spacing w:line="109" w:lineRule="exact" w:before="67"/>
        <w:ind w:left="4046" w:right="0" w:firstLine="0"/>
        <w:jc w:val="left"/>
        <w:rPr>
          <w:sz w:val="12"/>
        </w:rPr>
      </w:pPr>
      <w:r>
        <w:rPr>
          <w:color w:val="7E7E7E"/>
          <w:sz w:val="12"/>
        </w:rPr>
        <w:t>l/</w:t>
      </w:r>
    </w:p>
    <w:p>
      <w:pPr>
        <w:pStyle w:val="BodyText"/>
        <w:spacing w:line="270" w:lineRule="exact"/>
        <w:ind w:left="1479"/>
      </w:pPr>
      <w:r>
        <w:rPr>
          <w:color w:val="0E0E0E"/>
          <w:w w:val="105"/>
        </w:rPr>
        <w:t>Thomas F. Duzak</w:t>
      </w:r>
      <w:r>
        <w:rPr>
          <w:color w:val="2D2D2D"/>
          <w:w w:val="105"/>
        </w:rPr>
        <w:t>, </w:t>
      </w:r>
      <w:r>
        <w:rPr>
          <w:color w:val="0E0E0E"/>
          <w:w w:val="105"/>
        </w:rPr>
        <w:t>Chairman</w:t>
      </w:r>
    </w:p>
    <w:p>
      <w:pPr>
        <w:pStyle w:val="BodyText"/>
        <w:spacing w:line="259" w:lineRule="auto" w:before="27"/>
        <w:ind w:left="1479" w:right="5955" w:firstLine="2"/>
      </w:pPr>
      <w:r>
        <w:rPr>
          <w:color w:val="0E0E0E"/>
          <w:w w:val="105"/>
        </w:rPr>
        <w:t>Committee for the Retirees of Goodyear Tire &amp; Rubber Company Health Care </w:t>
      </w:r>
      <w:r>
        <w:rPr>
          <w:color w:val="0E0E0E"/>
          <w:spacing w:val="27"/>
          <w:w w:val="105"/>
        </w:rPr>
        <w:t> </w:t>
      </w:r>
      <w:r>
        <w:rPr>
          <w:color w:val="0E0E0E"/>
          <w:w w:val="105"/>
        </w:rPr>
        <w:t>Trust</w:t>
      </w:r>
    </w:p>
    <w:p>
      <w:pPr>
        <w:pStyle w:val="BodyText"/>
        <w:spacing w:before="2"/>
        <w:rPr>
          <w:sz w:val="22"/>
        </w:rPr>
      </w:pPr>
      <w:r>
        <w:rPr/>
        <w:pict>
          <v:line style="position:absolute;mso-position-horizontal-relative:page;mso-position-vertical-relative:paragraph;z-index:1168;mso-wrap-distance-left:0;mso-wrap-distance-right:0" from="41.271950pt,15.445187pt" to="537.975pt,15.445187pt" stroked="true" strokeweight="1.439719pt" strokecolor="#000000">
            <v:stroke dashstyle="solid"/>
            <w10:wrap type="topAndBottom"/>
          </v:line>
        </w:pict>
      </w:r>
    </w:p>
    <w:p>
      <w:pPr>
        <w:spacing w:before="24"/>
        <w:ind w:left="3606" w:right="0" w:firstLine="0"/>
        <w:jc w:val="left"/>
        <w:rPr>
          <w:sz w:val="20"/>
        </w:rPr>
      </w:pPr>
      <w:r>
        <w:rPr>
          <w:color w:val="0E0E0E"/>
          <w:w w:val="105"/>
          <w:sz w:val="20"/>
        </w:rPr>
        <w:t>GOODYEAR  RETIREE HEALTHCARE TRUST</w:t>
      </w:r>
    </w:p>
    <w:p>
      <w:pPr>
        <w:spacing w:before="22"/>
        <w:ind w:left="2895" w:right="2896" w:firstLine="0"/>
        <w:jc w:val="center"/>
        <w:rPr>
          <w:rFonts w:ascii="Arial" w:hAnsi="Arial"/>
          <w:sz w:val="17"/>
        </w:rPr>
      </w:pPr>
      <w:r>
        <w:rPr>
          <w:rFonts w:ascii="Arial" w:hAnsi="Arial"/>
          <w:color w:val="0E0E0E"/>
          <w:w w:val="95"/>
          <w:sz w:val="17"/>
        </w:rPr>
        <w:t>60 BOUL</w:t>
      </w:r>
      <w:r>
        <w:rPr>
          <w:rFonts w:ascii="Arial" w:hAnsi="Arial"/>
          <w:color w:val="2D2D2D"/>
          <w:w w:val="95"/>
          <w:sz w:val="17"/>
        </w:rPr>
        <w:t>E</w:t>
      </w:r>
      <w:r>
        <w:rPr>
          <w:rFonts w:ascii="Arial" w:hAnsi="Arial"/>
          <w:color w:val="0E0E0E"/>
          <w:w w:val="95"/>
          <w:sz w:val="17"/>
        </w:rPr>
        <w:t>Y ARD OF THE A LLI</w:t>
      </w:r>
      <w:r>
        <w:rPr>
          <w:rFonts w:ascii="Arial" w:hAnsi="Arial"/>
          <w:color w:val="2D2D2D"/>
          <w:w w:val="95"/>
          <w:sz w:val="17"/>
        </w:rPr>
        <w:t>E</w:t>
      </w:r>
      <w:r>
        <w:rPr>
          <w:rFonts w:ascii="Arial" w:hAnsi="Arial"/>
          <w:color w:val="0E0E0E"/>
          <w:w w:val="95"/>
          <w:sz w:val="17"/>
        </w:rPr>
        <w:t>S• FIFTH FLOOR • PITTSBUR</w:t>
      </w:r>
      <w:r>
        <w:rPr>
          <w:rFonts w:ascii="Arial" w:hAnsi="Arial"/>
          <w:color w:val="2D2D2D"/>
          <w:w w:val="95"/>
          <w:sz w:val="17"/>
        </w:rPr>
        <w:t>GH</w:t>
      </w:r>
      <w:r>
        <w:rPr>
          <w:rFonts w:ascii="Arial" w:hAnsi="Arial"/>
          <w:color w:val="0E0E0E"/>
          <w:w w:val="95"/>
          <w:sz w:val="17"/>
        </w:rPr>
        <w:t>, PA 15222</w:t>
      </w:r>
    </w:p>
    <w:p>
      <w:pPr>
        <w:spacing w:before="16"/>
        <w:ind w:left="2895" w:right="2897" w:firstLine="0"/>
        <w:jc w:val="center"/>
        <w:rPr>
          <w:sz w:val="18"/>
        </w:rPr>
      </w:pPr>
      <w:r>
        <w:rPr>
          <w:rFonts w:ascii="Arial" w:hAnsi="Arial"/>
          <w:color w:val="0E0E0E"/>
          <w:w w:val="105"/>
          <w:sz w:val="17"/>
        </w:rPr>
        <w:t>866</w:t>
      </w:r>
      <w:r>
        <w:rPr>
          <w:rFonts w:ascii="Arial" w:hAnsi="Arial"/>
          <w:color w:val="2D2D2D"/>
          <w:w w:val="105"/>
          <w:sz w:val="17"/>
        </w:rPr>
        <w:t>-</w:t>
      </w:r>
      <w:r>
        <w:rPr>
          <w:rFonts w:ascii="Arial" w:hAnsi="Arial"/>
          <w:color w:val="0E0E0E"/>
          <w:w w:val="105"/>
          <w:sz w:val="17"/>
        </w:rPr>
        <w:t>694-6477• Fax: (412) 224-4465 • </w:t>
      </w:r>
      <w:hyperlink r:id="rId6">
        <w:r>
          <w:rPr>
            <w:color w:val="0E0E0E"/>
            <w:w w:val="105"/>
            <w:sz w:val="18"/>
          </w:rPr>
          <w:t>WWW.GOODYEARRETIREETRUST.ORG</w:t>
        </w:r>
      </w:hyperlink>
    </w:p>
    <w:sectPr>
      <w:pgSz w:w="12300" w:h="1686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spacing w:before="256" w:line="520" w:lineRule="exact"/>
      <w:ind w:left="2503"/>
      <w:outlineLvl w:val="1"/>
    </w:pPr>
    <w:rPr>
      <w:rFonts w:ascii="Courier New" w:hAnsi="Courier New" w:eastAsia="Courier New" w:cs="Courier New"/>
      <w:b/>
      <w:bCs/>
      <w:sz w:val="49"/>
      <w:szCs w:val="4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OODYEARRETIREETRUST.OR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Steelworkers</dc:creator>
  <dcterms:created xsi:type="dcterms:W3CDTF">2018-06-12T23:25:48Z</dcterms:created>
  <dcterms:modified xsi:type="dcterms:W3CDTF">2018-06-12T23:25:48Z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DPE Build 5656</vt:lpwstr>
  </property>
</Properties>
</file>